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sz w:val="76"/>
          <w:szCs w:val="76"/>
          <w:u w:val="single"/>
        </w:rPr>
      </w:pPr>
      <w:r>
        <w:rPr>
          <w:rFonts w:hint="eastAsia" w:ascii="宋体" w:hAnsi="宋体" w:cs="宋体"/>
          <w:b/>
          <w:color w:val="auto"/>
          <w:sz w:val="80"/>
          <w:szCs w:val="80"/>
          <w:u w:val="single"/>
        </w:rPr>
        <w:t>广西睿升项目管理有限公司</w:t>
      </w:r>
    </w:p>
    <w:p>
      <w:pPr>
        <w:pStyle w:val="12"/>
        <w:rPr>
          <w:rFonts w:hAnsi="宋体" w:cs="宋体"/>
          <w:b/>
          <w:color w:val="auto"/>
          <w:spacing w:val="-18"/>
          <w:sz w:val="96"/>
        </w:rPr>
      </w:pPr>
      <w:r>
        <w:rPr>
          <w:b/>
          <w:color w:val="auto"/>
          <w:sz w:val="28"/>
          <w:szCs w:val="28"/>
        </w:rPr>
        <w:pict>
          <v:rect id="_x0000_i1025" o:spt="1" style="height:0.05pt;width:415.3pt;" fillcolor="#000000" filled="t" stroked="f" coordsize="21600,21600" o:hr="t" o:hrstd="t" o:hrnoshade="t" o:hralign="center">
            <v:path/>
            <v:fill on="t" focussize="0,0"/>
            <v:stroke on="f"/>
            <v:imagedata o:title=""/>
            <o:lock v:ext="edit"/>
            <w10:wrap type="none"/>
            <w10:anchorlock/>
          </v:rect>
        </w:pict>
      </w:r>
    </w:p>
    <w:p>
      <w:pPr>
        <w:pStyle w:val="12"/>
        <w:jc w:val="center"/>
        <w:rPr>
          <w:rFonts w:hAnsi="宋体" w:cs="宋体"/>
          <w:b/>
          <w:color w:val="auto"/>
          <w:sz w:val="84"/>
          <w:szCs w:val="84"/>
        </w:rPr>
      </w:pPr>
      <w:r>
        <w:rPr>
          <w:rFonts w:hint="eastAsia" w:hAnsi="宋体" w:cs="宋体"/>
          <w:b/>
          <w:color w:val="auto"/>
          <w:sz w:val="84"/>
          <w:szCs w:val="84"/>
        </w:rPr>
        <w:t xml:space="preserve">    </w:t>
      </w:r>
    </w:p>
    <w:p>
      <w:pPr>
        <w:pStyle w:val="13"/>
        <w:ind w:firstLine="843"/>
        <w:rPr>
          <w:rFonts w:cs="宋体"/>
          <w:color w:val="auto"/>
          <w:sz w:val="84"/>
          <w:szCs w:val="84"/>
        </w:rPr>
      </w:pPr>
    </w:p>
    <w:p>
      <w:pPr>
        <w:pStyle w:val="2"/>
        <w:rPr>
          <w:color w:val="auto"/>
        </w:rPr>
      </w:pPr>
    </w:p>
    <w:p>
      <w:pPr>
        <w:pStyle w:val="12"/>
        <w:jc w:val="center"/>
        <w:rPr>
          <w:rFonts w:ascii="仿宋" w:hAnsi="仿宋" w:eastAsia="仿宋" w:cs="仿宋"/>
          <w:b/>
          <w:color w:val="auto"/>
          <w:spacing w:val="-18"/>
          <w:sz w:val="84"/>
          <w:szCs w:val="84"/>
        </w:rPr>
      </w:pPr>
      <w:r>
        <w:rPr>
          <w:rFonts w:hint="eastAsia" w:ascii="仿宋" w:hAnsi="仿宋" w:eastAsia="仿宋" w:cs="仿宋"/>
          <w:b/>
          <w:color w:val="auto"/>
          <w:sz w:val="84"/>
          <w:szCs w:val="84"/>
        </w:rPr>
        <w:t>竞争性谈判采购文件</w:t>
      </w: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hAnsi="宋体" w:cs="宋体"/>
          <w:b/>
          <w:color w:val="auto"/>
        </w:rPr>
      </w:pPr>
    </w:p>
    <w:p>
      <w:pPr>
        <w:pStyle w:val="12"/>
        <w:rPr>
          <w:rFonts w:ascii="仿宋" w:hAnsi="仿宋" w:eastAsia="仿宋" w:cs="仿宋"/>
          <w:b/>
          <w:color w:val="auto"/>
        </w:rPr>
      </w:pPr>
    </w:p>
    <w:p>
      <w:pPr>
        <w:pStyle w:val="12"/>
        <w:ind w:left="2564" w:leftChars="456" w:hanging="1606" w:hangingChars="500"/>
        <w:rPr>
          <w:rFonts w:ascii="仿宋" w:hAnsi="仿宋" w:eastAsia="仿宋" w:cs="仿宋"/>
          <w:b/>
          <w:color w:val="auto"/>
          <w:sz w:val="32"/>
          <w:szCs w:val="32"/>
        </w:rPr>
      </w:pPr>
      <w:r>
        <w:rPr>
          <w:rFonts w:hint="eastAsia" w:ascii="仿宋" w:hAnsi="仿宋" w:eastAsia="仿宋" w:cs="仿宋"/>
          <w:b/>
          <w:color w:val="auto"/>
          <w:sz w:val="32"/>
          <w:szCs w:val="32"/>
        </w:rPr>
        <w:t>项目名称：2021年防城港市水生生物增殖放流苗种采购项目</w:t>
      </w:r>
    </w:p>
    <w:p>
      <w:pPr>
        <w:pStyle w:val="12"/>
        <w:ind w:firstLine="964" w:firstLineChars="300"/>
        <w:rPr>
          <w:rFonts w:ascii="仿宋" w:hAnsi="仿宋" w:eastAsia="仿宋" w:cs="仿宋"/>
          <w:b/>
          <w:color w:val="auto"/>
          <w:sz w:val="32"/>
          <w:szCs w:val="32"/>
        </w:rPr>
      </w:pPr>
      <w:r>
        <w:rPr>
          <w:rFonts w:hint="eastAsia" w:ascii="仿宋" w:hAnsi="仿宋" w:eastAsia="仿宋" w:cs="仿宋"/>
          <w:b/>
          <w:color w:val="auto"/>
          <w:sz w:val="32"/>
          <w:szCs w:val="32"/>
        </w:rPr>
        <w:t>项目编号：FCZC2021-J1-10005-GXRS</w:t>
      </w:r>
    </w:p>
    <w:p>
      <w:pPr>
        <w:pStyle w:val="12"/>
        <w:ind w:firstLine="964" w:firstLineChars="300"/>
        <w:rPr>
          <w:rFonts w:ascii="仿宋" w:hAnsi="仿宋" w:eastAsia="仿宋" w:cs="仿宋"/>
          <w:b/>
          <w:color w:val="auto"/>
          <w:sz w:val="32"/>
          <w:szCs w:val="32"/>
        </w:rPr>
      </w:pPr>
      <w:r>
        <w:rPr>
          <w:rFonts w:hint="eastAsia" w:ascii="仿宋" w:hAnsi="仿宋" w:eastAsia="仿宋" w:cs="仿宋"/>
          <w:b/>
          <w:color w:val="auto"/>
          <w:sz w:val="32"/>
          <w:szCs w:val="32"/>
        </w:rPr>
        <w:t>采 购 人：防城港市农业农村局</w:t>
      </w:r>
    </w:p>
    <w:p>
      <w:pPr>
        <w:pStyle w:val="12"/>
        <w:ind w:firstLine="964" w:firstLineChars="300"/>
        <w:rPr>
          <w:rFonts w:ascii="仿宋" w:hAnsi="仿宋" w:eastAsia="仿宋" w:cs="仿宋"/>
          <w:b/>
          <w:color w:val="auto"/>
          <w:sz w:val="32"/>
          <w:szCs w:val="32"/>
        </w:rPr>
      </w:pPr>
      <w:r>
        <w:rPr>
          <w:rFonts w:hint="eastAsia" w:ascii="仿宋" w:hAnsi="仿宋" w:eastAsia="仿宋" w:cs="仿宋"/>
          <w:b/>
          <w:color w:val="auto"/>
          <w:sz w:val="32"/>
          <w:szCs w:val="32"/>
        </w:rPr>
        <w:t>采购代理机构：广西睿升项目管理有限公司</w:t>
      </w:r>
    </w:p>
    <w:p>
      <w:pPr>
        <w:pStyle w:val="12"/>
        <w:rPr>
          <w:rFonts w:ascii="仿宋" w:hAnsi="仿宋" w:eastAsia="仿宋" w:cs="仿宋"/>
          <w:b/>
          <w:color w:val="auto"/>
        </w:rPr>
      </w:pPr>
    </w:p>
    <w:p>
      <w:pPr>
        <w:pStyle w:val="12"/>
        <w:rPr>
          <w:rFonts w:ascii="仿宋" w:hAnsi="仿宋" w:eastAsia="仿宋" w:cs="仿宋"/>
          <w:b/>
          <w:color w:val="auto"/>
        </w:rPr>
      </w:pPr>
    </w:p>
    <w:p>
      <w:pPr>
        <w:pStyle w:val="12"/>
        <w:rPr>
          <w:rFonts w:ascii="仿宋" w:hAnsi="仿宋" w:eastAsia="仿宋" w:cs="仿宋"/>
          <w:b/>
          <w:color w:val="auto"/>
        </w:rPr>
      </w:pPr>
    </w:p>
    <w:p>
      <w:pPr>
        <w:pStyle w:val="12"/>
        <w:rPr>
          <w:rFonts w:ascii="仿宋" w:hAnsi="仿宋" w:eastAsia="仿宋" w:cs="仿宋"/>
          <w:b/>
          <w:color w:val="auto"/>
        </w:rPr>
      </w:pPr>
    </w:p>
    <w:p>
      <w:pPr>
        <w:pStyle w:val="12"/>
        <w:rPr>
          <w:rFonts w:ascii="仿宋" w:hAnsi="仿宋" w:eastAsia="仿宋" w:cs="仿宋"/>
          <w:b/>
          <w:color w:val="auto"/>
          <w:sz w:val="28"/>
        </w:rPr>
      </w:pPr>
    </w:p>
    <w:p>
      <w:pPr>
        <w:spacing w:line="400" w:lineRule="exact"/>
        <w:jc w:val="center"/>
        <w:rPr>
          <w:rFonts w:ascii="仿宋" w:hAnsi="仿宋" w:eastAsia="仿宋" w:cs="仿宋"/>
          <w:b/>
          <w:color w:val="auto"/>
          <w:sz w:val="32"/>
          <w:szCs w:val="32"/>
        </w:rPr>
      </w:pPr>
    </w:p>
    <w:p>
      <w:pPr>
        <w:pStyle w:val="2"/>
      </w:pPr>
    </w:p>
    <w:p>
      <w:pPr>
        <w:spacing w:line="400" w:lineRule="exact"/>
        <w:jc w:val="center"/>
        <w:rPr>
          <w:rFonts w:ascii="仿宋" w:hAnsi="仿宋" w:eastAsia="仿宋" w:cs="仿宋"/>
          <w:b/>
          <w:color w:val="auto"/>
          <w:sz w:val="32"/>
          <w:szCs w:val="32"/>
        </w:rPr>
      </w:pPr>
    </w:p>
    <w:p>
      <w:pPr>
        <w:spacing w:line="400" w:lineRule="exact"/>
        <w:jc w:val="center"/>
        <w:rPr>
          <w:rFonts w:ascii="宋体" w:hAnsi="宋体"/>
          <w:b/>
          <w:color w:val="auto"/>
          <w:sz w:val="32"/>
          <w:szCs w:val="32"/>
        </w:rPr>
      </w:pPr>
      <w:r>
        <w:rPr>
          <w:rFonts w:hint="eastAsia" w:ascii="仿宋" w:hAnsi="仿宋" w:eastAsia="仿宋" w:cs="仿宋"/>
          <w:b/>
          <w:color w:val="auto"/>
          <w:sz w:val="32"/>
          <w:szCs w:val="32"/>
        </w:rPr>
        <w:t>二○二一年</w:t>
      </w:r>
      <w:r>
        <w:rPr>
          <w:rFonts w:hint="eastAsia" w:ascii="仿宋" w:hAnsi="仿宋" w:eastAsia="仿宋" w:cs="仿宋"/>
          <w:b/>
          <w:color w:val="auto"/>
          <w:sz w:val="32"/>
          <w:szCs w:val="32"/>
          <w:lang w:eastAsia="zh-CN"/>
        </w:rPr>
        <w:t>十</w:t>
      </w:r>
      <w:r>
        <w:rPr>
          <w:rFonts w:hint="eastAsia" w:ascii="仿宋" w:hAnsi="仿宋" w:eastAsia="仿宋" w:cs="仿宋"/>
          <w:b/>
          <w:color w:val="auto"/>
          <w:sz w:val="32"/>
          <w:szCs w:val="32"/>
        </w:rPr>
        <w:t>月</w:t>
      </w:r>
    </w:p>
    <w:p>
      <w:pPr>
        <w:spacing w:line="400" w:lineRule="exact"/>
        <w:jc w:val="center"/>
        <w:rPr>
          <w:rFonts w:ascii="宋体" w:hAnsi="宋体"/>
          <w:b/>
          <w:color w:val="auto"/>
          <w:sz w:val="44"/>
          <w:szCs w:val="44"/>
        </w:rPr>
      </w:pPr>
    </w:p>
    <w:p>
      <w:pPr>
        <w:spacing w:line="440" w:lineRule="exact"/>
        <w:rPr>
          <w:rFonts w:ascii="宋体" w:hAnsi="宋体"/>
          <w:b/>
          <w:color w:val="auto"/>
          <w:sz w:val="44"/>
          <w:szCs w:val="44"/>
        </w:rPr>
        <w:sectPr>
          <w:headerReference r:id="rId3" w:type="default"/>
          <w:pgSz w:w="11906" w:h="16838"/>
          <w:pgMar w:top="1440" w:right="1080" w:bottom="1440" w:left="1110" w:header="851" w:footer="992" w:gutter="0"/>
          <w:pgNumType w:start="1"/>
          <w:cols w:space="720" w:num="1"/>
          <w:docGrid w:type="lines" w:linePitch="312" w:charSpace="0"/>
        </w:sectPr>
      </w:pPr>
    </w:p>
    <w:p>
      <w:pPr>
        <w:spacing w:line="440" w:lineRule="exact"/>
        <w:rPr>
          <w:rFonts w:ascii="宋体" w:hAnsi="宋体"/>
          <w:b/>
          <w:color w:val="auto"/>
          <w:sz w:val="44"/>
          <w:szCs w:val="44"/>
        </w:rPr>
      </w:pPr>
    </w:p>
    <w:p>
      <w:pPr>
        <w:spacing w:line="440" w:lineRule="exact"/>
        <w:jc w:val="center"/>
        <w:rPr>
          <w:rFonts w:ascii="宋体" w:hAnsi="宋体"/>
          <w:b/>
          <w:color w:val="auto"/>
          <w:sz w:val="32"/>
          <w:szCs w:val="32"/>
        </w:rPr>
      </w:pPr>
      <w:r>
        <w:rPr>
          <w:rFonts w:hint="eastAsia" w:ascii="宋体" w:hAnsi="宋体"/>
          <w:b/>
          <w:color w:val="auto"/>
          <w:sz w:val="44"/>
          <w:szCs w:val="44"/>
        </w:rPr>
        <w:t>目       录</w:t>
      </w:r>
    </w:p>
    <w:p>
      <w:pPr>
        <w:spacing w:line="400" w:lineRule="exact"/>
        <w:jc w:val="center"/>
        <w:rPr>
          <w:rFonts w:ascii="宋体" w:hAnsi="宋体"/>
          <w:b/>
          <w:color w:val="auto"/>
          <w:sz w:val="32"/>
          <w:szCs w:val="32"/>
        </w:rPr>
      </w:pPr>
    </w:p>
    <w:p>
      <w:pPr>
        <w:spacing w:line="400" w:lineRule="exact"/>
        <w:rPr>
          <w:rFonts w:ascii="宋体" w:hAnsi="宋体"/>
          <w:b/>
          <w:color w:val="auto"/>
          <w:sz w:val="32"/>
          <w:szCs w:val="32"/>
        </w:rPr>
      </w:pPr>
    </w:p>
    <w:p>
      <w:pPr>
        <w:pStyle w:val="11"/>
        <w:tabs>
          <w:tab w:val="right" w:leader="dot" w:pos="9071"/>
        </w:tabs>
        <w:spacing w:line="480" w:lineRule="auto"/>
        <w:ind w:left="0" w:leftChars="0"/>
        <w:rPr>
          <w:color w:val="auto"/>
          <w:sz w:val="28"/>
          <w:szCs w:val="28"/>
        </w:rPr>
      </w:pPr>
      <w:r>
        <w:rPr>
          <w:rFonts w:hint="eastAsia" w:ascii="宋体" w:hAnsi="宋体"/>
          <w:b/>
          <w:color w:val="auto"/>
          <w:sz w:val="28"/>
          <w:szCs w:val="28"/>
        </w:rPr>
        <w:fldChar w:fldCharType="begin"/>
      </w:r>
      <w:r>
        <w:rPr>
          <w:rFonts w:hint="eastAsia" w:ascii="宋体" w:hAnsi="宋体"/>
          <w:b/>
          <w:color w:val="auto"/>
          <w:sz w:val="28"/>
          <w:szCs w:val="28"/>
        </w:rPr>
        <w:instrText xml:space="preserve">TOC \o "1-3" \h  \u </w:instrText>
      </w:r>
      <w:r>
        <w:rPr>
          <w:rFonts w:hint="eastAsia" w:ascii="宋体" w:hAnsi="宋体"/>
          <w:b/>
          <w:color w:val="auto"/>
          <w:sz w:val="28"/>
          <w:szCs w:val="28"/>
        </w:rPr>
        <w:fldChar w:fldCharType="separate"/>
      </w:r>
      <w:r>
        <w:rPr>
          <w:color w:val="auto"/>
        </w:rPr>
        <w:fldChar w:fldCharType="begin"/>
      </w:r>
      <w:r>
        <w:rPr>
          <w:color w:val="auto"/>
        </w:rPr>
        <w:instrText xml:space="preserve"> HYPERLINK \l "_Toc1205" </w:instrText>
      </w:r>
      <w:r>
        <w:rPr>
          <w:color w:val="auto"/>
        </w:rPr>
        <w:fldChar w:fldCharType="separate"/>
      </w:r>
      <w:r>
        <w:rPr>
          <w:rFonts w:hint="eastAsia"/>
          <w:color w:val="auto"/>
          <w:sz w:val="28"/>
          <w:szCs w:val="28"/>
        </w:rPr>
        <w:t>第一章    竞争性谈判公告</w:t>
      </w:r>
      <w:r>
        <w:rPr>
          <w:color w:val="auto"/>
          <w:sz w:val="28"/>
          <w:szCs w:val="28"/>
        </w:rPr>
        <w:tab/>
      </w:r>
      <w:r>
        <w:rPr>
          <w:color w:val="auto"/>
          <w:sz w:val="28"/>
          <w:szCs w:val="28"/>
        </w:rPr>
        <w:fldChar w:fldCharType="begin"/>
      </w:r>
      <w:r>
        <w:rPr>
          <w:color w:val="auto"/>
          <w:sz w:val="28"/>
          <w:szCs w:val="28"/>
        </w:rPr>
        <w:instrText xml:space="preserve"> PAGEREF _Toc1205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1"/>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"_Toc2202" </w:instrText>
      </w:r>
      <w:r>
        <w:rPr>
          <w:color w:val="auto"/>
        </w:rPr>
        <w:fldChar w:fldCharType="separate"/>
      </w:r>
      <w:r>
        <w:rPr>
          <w:rFonts w:hint="eastAsia"/>
          <w:color w:val="auto"/>
          <w:sz w:val="28"/>
          <w:szCs w:val="28"/>
        </w:rPr>
        <w:t>第二章    谈判供应商须知及前附表</w:t>
      </w:r>
      <w:r>
        <w:rPr>
          <w:color w:val="auto"/>
          <w:sz w:val="28"/>
          <w:szCs w:val="28"/>
        </w:rPr>
        <w:tab/>
      </w:r>
      <w:r>
        <w:rPr>
          <w:rFonts w:hint="eastAsia"/>
          <w:color w:val="auto"/>
          <w:sz w:val="28"/>
          <w:szCs w:val="28"/>
        </w:rPr>
        <w:t>4</w:t>
      </w:r>
      <w:r>
        <w:rPr>
          <w:rFonts w:hint="eastAsia"/>
          <w:color w:val="auto"/>
          <w:sz w:val="28"/>
          <w:szCs w:val="28"/>
        </w:rPr>
        <w:fldChar w:fldCharType="end"/>
      </w:r>
    </w:p>
    <w:p>
      <w:pPr>
        <w:pStyle w:val="11"/>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"_Toc22258" </w:instrText>
      </w:r>
      <w:r>
        <w:rPr>
          <w:color w:val="auto"/>
        </w:rPr>
        <w:fldChar w:fldCharType="separate"/>
      </w:r>
      <w:r>
        <w:rPr>
          <w:rFonts w:hint="eastAsia"/>
          <w:color w:val="auto"/>
          <w:sz w:val="28"/>
          <w:szCs w:val="28"/>
        </w:rPr>
        <w:t>第三章    项目采购需求</w:t>
      </w:r>
      <w:r>
        <w:rPr>
          <w:color w:val="auto"/>
          <w:sz w:val="28"/>
          <w:szCs w:val="28"/>
        </w:rPr>
        <w:tab/>
      </w:r>
      <w:r>
        <w:rPr>
          <w:rFonts w:hint="eastAsia"/>
          <w:color w:val="auto"/>
          <w:sz w:val="28"/>
          <w:szCs w:val="28"/>
        </w:rPr>
        <w:t>1</w:t>
      </w:r>
      <w:r>
        <w:rPr>
          <w:rFonts w:hint="eastAsia"/>
          <w:color w:val="auto"/>
          <w:sz w:val="28"/>
          <w:szCs w:val="28"/>
        </w:rPr>
        <w:fldChar w:fldCharType="end"/>
      </w:r>
      <w:r>
        <w:rPr>
          <w:rFonts w:hint="eastAsia"/>
          <w:color w:val="auto"/>
          <w:sz w:val="28"/>
          <w:szCs w:val="28"/>
        </w:rPr>
        <w:t>5</w:t>
      </w:r>
    </w:p>
    <w:p>
      <w:pPr>
        <w:pStyle w:val="11"/>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"_Toc8537" </w:instrText>
      </w:r>
      <w:r>
        <w:rPr>
          <w:color w:val="auto"/>
        </w:rPr>
        <w:fldChar w:fldCharType="separate"/>
      </w:r>
      <w:r>
        <w:rPr>
          <w:rFonts w:hint="eastAsia"/>
          <w:color w:val="auto"/>
          <w:sz w:val="28"/>
          <w:szCs w:val="28"/>
        </w:rPr>
        <w:t>第四章    评标办法</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ascii="宋体" w:hAnsi="宋体"/>
          <w:color w:val="auto"/>
          <w:sz w:val="28"/>
          <w:szCs w:val="28"/>
        </w:rPr>
        <w:t>5</w:t>
      </w:r>
    </w:p>
    <w:p>
      <w:pPr>
        <w:pStyle w:val="11"/>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"_Toc13395" </w:instrText>
      </w:r>
      <w:r>
        <w:rPr>
          <w:color w:val="auto"/>
        </w:rPr>
        <w:fldChar w:fldCharType="separate"/>
      </w:r>
      <w:r>
        <w:rPr>
          <w:rFonts w:hint="eastAsia"/>
          <w:color w:val="auto"/>
          <w:sz w:val="28"/>
          <w:szCs w:val="28"/>
        </w:rPr>
        <w:t>第五章    合同主要条款</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ascii="宋体" w:hAnsi="宋体"/>
          <w:color w:val="auto"/>
          <w:sz w:val="28"/>
          <w:szCs w:val="28"/>
        </w:rPr>
        <w:t>6</w:t>
      </w:r>
    </w:p>
    <w:p>
      <w:pPr>
        <w:pStyle w:val="11"/>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"_Toc24456" </w:instrText>
      </w:r>
      <w:r>
        <w:rPr>
          <w:color w:val="auto"/>
        </w:rPr>
        <w:fldChar w:fldCharType="separate"/>
      </w:r>
      <w:r>
        <w:rPr>
          <w:rFonts w:hint="eastAsia"/>
          <w:color w:val="auto"/>
          <w:sz w:val="28"/>
          <w:szCs w:val="28"/>
        </w:rPr>
        <w:t>第六章    竞争性谈判响应文件（格式）</w:t>
      </w:r>
      <w:r>
        <w:rPr>
          <w:color w:val="auto"/>
          <w:sz w:val="28"/>
          <w:szCs w:val="28"/>
        </w:rPr>
        <w:tab/>
      </w:r>
      <w:r>
        <w:rPr>
          <w:rFonts w:hint="eastAsia"/>
          <w:color w:val="auto"/>
          <w:sz w:val="28"/>
          <w:szCs w:val="28"/>
        </w:rPr>
        <w:t>3</w:t>
      </w:r>
      <w:r>
        <w:rPr>
          <w:rFonts w:hint="eastAsia"/>
          <w:color w:val="auto"/>
          <w:sz w:val="28"/>
          <w:szCs w:val="28"/>
        </w:rPr>
        <w:fldChar w:fldCharType="end"/>
      </w:r>
      <w:r>
        <w:rPr>
          <w:rFonts w:hint="eastAsia" w:ascii="宋体" w:hAnsi="宋体"/>
          <w:color w:val="auto"/>
          <w:sz w:val="28"/>
          <w:szCs w:val="28"/>
        </w:rPr>
        <w:t>1</w:t>
      </w:r>
    </w:p>
    <w:p>
      <w:pPr>
        <w:spacing w:line="480" w:lineRule="auto"/>
        <w:jc w:val="center"/>
        <w:rPr>
          <w:rFonts w:ascii="宋体" w:hAnsi="宋体"/>
          <w:b/>
          <w:color w:val="auto"/>
          <w:sz w:val="32"/>
          <w:szCs w:val="32"/>
        </w:rPr>
      </w:pPr>
      <w:r>
        <w:rPr>
          <w:rFonts w:hint="eastAsia" w:ascii="宋体" w:hAnsi="宋体"/>
          <w:color w:val="auto"/>
          <w:sz w:val="28"/>
          <w:szCs w:val="28"/>
        </w:rPr>
        <w:fldChar w:fldCharType="end"/>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rPr>
          <w:rFonts w:ascii="宋体" w:hAnsi="宋体"/>
          <w:b/>
          <w:color w:val="auto"/>
          <w:sz w:val="32"/>
          <w:szCs w:val="32"/>
        </w:rPr>
      </w:pPr>
    </w:p>
    <w:p>
      <w:pPr>
        <w:spacing w:line="340" w:lineRule="exact"/>
        <w:rPr>
          <w:rFonts w:ascii="宋体" w:hAnsi="宋体"/>
          <w:b/>
          <w:bCs/>
          <w:color w:val="auto"/>
          <w:sz w:val="28"/>
          <w:szCs w:val="28"/>
        </w:rPr>
      </w:pPr>
      <w:bookmarkStart w:id="0" w:name="_Toc1205"/>
    </w:p>
    <w:p>
      <w:pPr>
        <w:spacing w:line="400" w:lineRule="exact"/>
        <w:jc w:val="center"/>
        <w:rPr>
          <w:rFonts w:ascii="宋体" w:hAnsi="宋体"/>
          <w:b/>
          <w:bCs/>
          <w:color w:val="auto"/>
          <w:sz w:val="28"/>
          <w:szCs w:val="28"/>
        </w:rPr>
        <w:sectPr>
          <w:footerReference r:id="rId4" w:type="default"/>
          <w:pgSz w:w="11906" w:h="16838"/>
          <w:pgMar w:top="1440" w:right="1080" w:bottom="1440" w:left="1310" w:header="851" w:footer="992" w:gutter="0"/>
          <w:pgNumType w:start="1"/>
          <w:cols w:space="720" w:num="1"/>
          <w:docGrid w:type="lines" w:linePitch="312" w:charSpace="0"/>
        </w:sectPr>
      </w:pPr>
    </w:p>
    <w:p>
      <w:pPr>
        <w:spacing w:line="400" w:lineRule="exact"/>
        <w:jc w:val="center"/>
        <w:rPr>
          <w:rFonts w:ascii="宋体" w:hAnsi="宋体"/>
          <w:color w:val="auto"/>
          <w:u w:val="single"/>
        </w:rPr>
      </w:pPr>
      <w:r>
        <w:rPr>
          <w:rFonts w:hint="eastAsia" w:ascii="宋体" w:hAnsi="宋体"/>
          <w:b/>
          <w:bCs/>
          <w:color w:val="auto"/>
          <w:sz w:val="28"/>
          <w:szCs w:val="28"/>
        </w:rPr>
        <w:t>第一章 竞争性谈判公告</w:t>
      </w:r>
      <w:bookmarkEnd w:id="0"/>
    </w:p>
    <w:p>
      <w:pPr>
        <w:spacing w:line="400" w:lineRule="exact"/>
        <w:rPr>
          <w:rFonts w:asciiTheme="minorEastAsia" w:hAnsiTheme="minorEastAsia" w:eastAsiaTheme="minorEastAsia" w:cstheme="minorEastAsia"/>
          <w:color w:val="auto"/>
          <w:szCs w:val="21"/>
        </w:rPr>
      </w:pPr>
      <w:bookmarkStart w:id="1" w:name="_Toc2202"/>
      <w:r>
        <w:rPr>
          <w:rFonts w:hint="eastAsia" w:asciiTheme="minorEastAsia" w:hAnsiTheme="minorEastAsia" w:eastAsiaTheme="minorEastAsia" w:cstheme="minorEastAsia"/>
          <w:color w:val="auto"/>
          <w:szCs w:val="21"/>
        </w:rPr>
        <w:t xml:space="preserve">    </w:t>
      </w:r>
    </w:p>
    <w:p>
      <w:pPr>
        <w:pBdr>
          <w:top w:val="single" w:color="auto" w:sz="4" w:space="1"/>
          <w:left w:val="single" w:color="auto" w:sz="4" w:space="4"/>
          <w:bottom w:val="single" w:color="auto" w:sz="4" w:space="1"/>
          <w:right w:val="single" w:color="auto" w:sz="4" w:space="4"/>
        </w:pBdr>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项目概况</w:t>
      </w:r>
    </w:p>
    <w:p>
      <w:pPr>
        <w:pBdr>
          <w:top w:val="single" w:color="auto" w:sz="4" w:space="1"/>
          <w:left w:val="single" w:color="auto" w:sz="4" w:space="4"/>
          <w:bottom w:val="single" w:color="auto" w:sz="4" w:space="1"/>
          <w:right w:val="single" w:color="auto" w:sz="4" w:space="4"/>
        </w:pBdr>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2021年防城港市水生生物增殖放流苗种采购项目的潜在供应商应</w:t>
      </w:r>
      <w:r>
        <w:rPr>
          <w:rFonts w:hint="eastAsia" w:ascii="宋体" w:hAnsi="宋体"/>
          <w:color w:val="auto"/>
          <w:szCs w:val="21"/>
        </w:rPr>
        <w:t>登录政采云平台</w:t>
      </w:r>
      <w:r>
        <w:rPr>
          <w:rFonts w:hint="eastAsia" w:asciiTheme="minorEastAsia" w:hAnsiTheme="minorEastAsia" w:eastAsiaTheme="minorEastAsia" w:cstheme="minorEastAsia"/>
          <w:color w:val="auto"/>
          <w:szCs w:val="21"/>
        </w:rPr>
        <w:t>获取采购文件，并于</w:t>
      </w:r>
      <w:r>
        <w:rPr>
          <w:rFonts w:hint="eastAsia" w:asciiTheme="minorEastAsia" w:hAnsiTheme="minorEastAsia" w:eastAsiaTheme="minorEastAsia" w:cstheme="minorEastAsia"/>
          <w:color w:val="auto"/>
          <w:szCs w:val="21"/>
          <w:lang w:val="en-US" w:eastAsia="zh-CN"/>
        </w:rPr>
        <w:t>2021年10月15日9时30分</w:t>
      </w:r>
      <w:r>
        <w:rPr>
          <w:rFonts w:hint="eastAsia" w:asciiTheme="minorEastAsia" w:hAnsiTheme="minorEastAsia" w:eastAsiaTheme="minorEastAsia" w:cstheme="minorEastAsia"/>
          <w:bCs/>
          <w:color w:val="auto"/>
          <w:szCs w:val="21"/>
        </w:rPr>
        <w:t>（北京时间）前提交响应文件</w:t>
      </w:r>
      <w:r>
        <w:rPr>
          <w:rFonts w:hint="eastAsia" w:asciiTheme="minorEastAsia" w:hAnsiTheme="minorEastAsia" w:eastAsiaTheme="minorEastAsia" w:cstheme="minorEastAsia"/>
          <w:color w:val="auto"/>
          <w:szCs w:val="21"/>
        </w:rPr>
        <w:t>。</w:t>
      </w:r>
    </w:p>
    <w:p>
      <w:p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一、项目基本情况</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项目编号：FCZC2021-J1-10005-GXRS</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项目名称：2021年防城港市水生生物增殖放流苗种采购项目</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采购方式：</w:t>
      </w:r>
      <w:r>
        <w:rPr>
          <w:rFonts w:hint="eastAsia" w:asciiTheme="minorEastAsia" w:hAnsiTheme="minorEastAsia" w:eastAsiaTheme="minorEastAsia" w:cstheme="minorEastAsia"/>
          <w:color w:val="auto"/>
          <w:szCs w:val="21"/>
        </w:rPr>
        <w:sym w:font="Wingdings 2" w:char="0052"/>
      </w:r>
      <w:r>
        <w:rPr>
          <w:rFonts w:hint="eastAsia" w:asciiTheme="minorEastAsia" w:hAnsiTheme="minorEastAsia" w:eastAsiaTheme="minorEastAsia" w:cstheme="minorEastAsia"/>
          <w:color w:val="auto"/>
          <w:szCs w:val="21"/>
        </w:rPr>
        <w:t>竞争性谈判 □竞争性磋商 □询价</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预算金额：人民币玖拾柒万整（￥970000.00）</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最高限价：人民币玖拾柒万整（￥970000.00）</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采购需求：2021年防城港市水生生物增殖放流苗种采购。</w:t>
      </w:r>
    </w:p>
    <w:tbl>
      <w:tblPr>
        <w:tblStyle w:val="21"/>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32"/>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3632"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放流品种</w:t>
            </w:r>
          </w:p>
        </w:tc>
        <w:tc>
          <w:tcPr>
            <w:tcW w:w="4806"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28"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632"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长毛对虾</w:t>
            </w:r>
          </w:p>
        </w:tc>
        <w:tc>
          <w:tcPr>
            <w:tcW w:w="4806"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4000万尾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632"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黑鲷</w:t>
            </w:r>
          </w:p>
        </w:tc>
        <w:tc>
          <w:tcPr>
            <w:tcW w:w="4806"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3632"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青蟹</w:t>
            </w:r>
          </w:p>
        </w:tc>
        <w:tc>
          <w:tcPr>
            <w:tcW w:w="4806" w:type="dxa"/>
          </w:tcPr>
          <w:p>
            <w:pPr>
              <w:snapToGrid w:val="0"/>
              <w:spacing w:line="3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40万尾</w:t>
            </w:r>
          </w:p>
        </w:tc>
      </w:tr>
    </w:tbl>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合同履行期限：自签订合同之日起至2022年6月30日止完成。</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本项目不接受联合体。</w:t>
      </w:r>
    </w:p>
    <w:p>
      <w:p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二、申请人的资格要求：</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1.满足《中华人民共和国政府采购法》第二十二条规定。</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2.落实政府采购政策需满足的资格要求：无。</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3.本项目的特定资格要求：国内注册，从事水产苗种繁育并具有水产苗种生产许可证的供应商；按照《农业部办公厅关于进一步加强水生生物经济物种增殖放流苗种管理的通知》（农办渔〔2014〕55号）文件执行。</w:t>
      </w:r>
    </w:p>
    <w:p>
      <w:p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三、获取采购文件</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lang w:val="en-US" w:eastAsia="zh-CN"/>
        </w:rPr>
        <w:t>2021年10月9日</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lang w:val="en-US" w:eastAsia="zh-CN"/>
        </w:rPr>
        <w:t>2021年10月13日</w:t>
      </w:r>
      <w:r>
        <w:rPr>
          <w:rFonts w:hint="eastAsia" w:asciiTheme="minorEastAsia" w:hAnsiTheme="minorEastAsia" w:eastAsiaTheme="minorEastAsia" w:cstheme="minorEastAsia"/>
          <w:color w:val="auto"/>
          <w:szCs w:val="21"/>
        </w:rPr>
        <w:t>，每天上午8:00至12:00，下午15:00至18:00（北京时间，法定节假日除外）。</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地点：</w:t>
      </w:r>
      <w:r>
        <w:rPr>
          <w:rFonts w:hint="eastAsia" w:ascii="宋体" w:hAnsi="宋体" w:cs="宋体"/>
          <w:color w:val="auto"/>
          <w:szCs w:val="21"/>
        </w:rPr>
        <w:t>政采云平台</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方式：潜在供应商自行登录政采云平台进行报名登记并下载采购文件电子版，如在操作过程中遇到问题或者需要技术支持，请致电政采云客服热线：400-881-7190。</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售价：0元</w:t>
      </w:r>
    </w:p>
    <w:p>
      <w:p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四、响应文件提交</w:t>
      </w:r>
    </w:p>
    <w:p>
      <w:pPr>
        <w:snapToGrid w:val="0"/>
        <w:spacing w:line="340" w:lineRule="exact"/>
        <w:ind w:firstLine="420" w:firstLineChars="200"/>
        <w:rPr>
          <w:rFonts w:ascii="宋体" w:hAnsi="宋体" w:cs="宋体"/>
          <w:color w:val="auto"/>
          <w:szCs w:val="21"/>
        </w:rPr>
      </w:pPr>
      <w:r>
        <w:rPr>
          <w:rFonts w:hint="eastAsia" w:ascii="宋体" w:hAnsi="宋体" w:cs="宋体"/>
          <w:color w:val="auto"/>
          <w:szCs w:val="21"/>
        </w:rPr>
        <w:t>截止时间：</w:t>
      </w:r>
      <w:r>
        <w:rPr>
          <w:rFonts w:hint="eastAsia" w:asciiTheme="minorEastAsia" w:hAnsiTheme="minorEastAsia" w:eastAsiaTheme="minorEastAsia" w:cstheme="minorEastAsia"/>
          <w:color w:val="auto"/>
          <w:szCs w:val="21"/>
          <w:lang w:val="en-US" w:eastAsia="zh-CN"/>
        </w:rPr>
        <w:t>2021年10月15日9时30分</w:t>
      </w:r>
      <w:r>
        <w:rPr>
          <w:rFonts w:hint="eastAsia" w:ascii="宋体" w:hAnsi="宋体" w:cs="宋体"/>
          <w:color w:val="auto"/>
          <w:szCs w:val="21"/>
        </w:rPr>
        <w:t>（北京时间）</w:t>
      </w:r>
    </w:p>
    <w:p>
      <w:pPr>
        <w:snapToGrid w:val="0"/>
        <w:spacing w:line="340" w:lineRule="exact"/>
        <w:ind w:firstLine="420" w:firstLineChars="200"/>
        <w:rPr>
          <w:rFonts w:ascii="宋体" w:hAnsi="宋体"/>
          <w:color w:val="auto"/>
          <w:szCs w:val="21"/>
        </w:rPr>
      </w:pPr>
      <w:r>
        <w:rPr>
          <w:rFonts w:hint="eastAsia" w:ascii="宋体" w:hAnsi="宋体"/>
          <w:color w:val="auto"/>
          <w:szCs w:val="21"/>
        </w:rPr>
        <w:t>地点：防城港市公共资源交易中心（防城港市迎宾路红树林大厦东塔，具体开标厅详见六楼电子屏）</w:t>
      </w:r>
      <w:r>
        <w:rPr>
          <w:rFonts w:ascii="宋体" w:hAnsi="宋体"/>
          <w:color w:val="auto"/>
          <w:szCs w:val="21"/>
        </w:rPr>
        <w:t xml:space="preserve">     </w:t>
      </w:r>
    </w:p>
    <w:p>
      <w:p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五、开启</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lang w:val="en-US" w:eastAsia="zh-CN"/>
        </w:rPr>
        <w:t>2021年10月15日9时30分</w:t>
      </w:r>
      <w:r>
        <w:rPr>
          <w:rFonts w:hint="eastAsia" w:asciiTheme="minorEastAsia" w:hAnsiTheme="minorEastAsia" w:eastAsiaTheme="minorEastAsia" w:cstheme="minorEastAsia"/>
          <w:color w:val="auto"/>
          <w:szCs w:val="21"/>
        </w:rPr>
        <w:t>截标后（北京时间）</w:t>
      </w:r>
    </w:p>
    <w:p>
      <w:pPr>
        <w:snapToGrid w:val="0"/>
        <w:spacing w:line="340" w:lineRule="exact"/>
        <w:ind w:firstLine="420" w:firstLineChars="200"/>
        <w:rPr>
          <w:rFonts w:ascii="宋体" w:hAnsi="宋体"/>
          <w:color w:val="auto"/>
          <w:szCs w:val="21"/>
        </w:rPr>
      </w:pPr>
      <w:r>
        <w:rPr>
          <w:rFonts w:hint="eastAsia" w:asciiTheme="minorEastAsia" w:hAnsiTheme="minorEastAsia" w:eastAsiaTheme="minorEastAsia" w:cstheme="minorEastAsia"/>
          <w:color w:val="auto"/>
          <w:szCs w:val="21"/>
        </w:rPr>
        <w:t>地点：</w:t>
      </w:r>
      <w:r>
        <w:rPr>
          <w:rFonts w:hint="eastAsia" w:ascii="宋体" w:hAnsi="宋体"/>
          <w:color w:val="auto"/>
          <w:szCs w:val="21"/>
        </w:rPr>
        <w:t>防城港市公共资源交易中心（防城港市迎宾路红树林大厦东塔）</w:t>
      </w:r>
    </w:p>
    <w:p>
      <w:pPr>
        <w:snapToGrid w:val="0"/>
        <w:spacing w:line="340" w:lineRule="exact"/>
        <w:ind w:firstLine="420" w:firstLineChars="200"/>
        <w:rPr>
          <w:rFonts w:ascii="宋体" w:hAnsi="宋体"/>
          <w:color w:val="auto"/>
          <w:szCs w:val="21"/>
        </w:rPr>
      </w:pPr>
    </w:p>
    <w:p>
      <w:p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六、公告期限</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自本公告发布之日起3个工作日。</w:t>
      </w:r>
    </w:p>
    <w:p>
      <w:pPr>
        <w:numPr>
          <w:ilvl w:val="0"/>
          <w:numId w:val="1"/>
        </w:num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其他补充事宜</w:t>
      </w:r>
    </w:p>
    <w:p>
      <w:pPr>
        <w:snapToGrid w:val="0"/>
        <w:spacing w:line="340" w:lineRule="exact"/>
        <w:ind w:firstLine="420" w:firstLineChars="200"/>
        <w:rPr>
          <w:rFonts w:asciiTheme="minorEastAsia" w:hAnsiTheme="minorEastAsia" w:eastAsiaTheme="minorEastAsia" w:cstheme="minorEastAsia"/>
          <w:color w:val="auto"/>
          <w:szCs w:val="21"/>
        </w:rPr>
      </w:pPr>
      <w:bookmarkStart w:id="2" w:name="_Hlk37428740"/>
      <w:r>
        <w:rPr>
          <w:rFonts w:hint="eastAsia" w:asciiTheme="minorEastAsia" w:hAnsiTheme="minorEastAsia" w:eastAsiaTheme="minorEastAsia" w:cstheme="minorEastAsia"/>
          <w:color w:val="auto"/>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40" w:lineRule="exact"/>
        <w:ind w:firstLine="420" w:firstLineChars="200"/>
        <w:rPr>
          <w:color w:val="auto"/>
        </w:rPr>
      </w:pPr>
      <w:r>
        <w:rPr>
          <w:rFonts w:hint="eastAsia" w:asciiTheme="minorEastAsia" w:hAnsiTheme="minorEastAsia" w:eastAsiaTheme="minorEastAsia" w:cstheme="minorEastAsia"/>
          <w:color w:val="auto"/>
          <w:szCs w:val="21"/>
        </w:rPr>
        <w:t>2.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bookmarkEnd w:id="2"/>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3.本项目需要落实的政府采购政策：</w:t>
      </w:r>
      <w:r>
        <w:rPr>
          <w:rFonts w:hint="eastAsia" w:ascii="宋体" w:hAnsi="宋体" w:cs="宋体"/>
          <w:color w:val="auto"/>
          <w:szCs w:val="21"/>
        </w:rPr>
        <w:t>①</w:t>
      </w:r>
      <w:r>
        <w:rPr>
          <w:rFonts w:hint="eastAsia" w:asciiTheme="minorEastAsia" w:hAnsiTheme="minorEastAsia" w:eastAsiaTheme="minorEastAsia" w:cstheme="minorEastAsia"/>
          <w:color w:val="auto"/>
          <w:szCs w:val="21"/>
        </w:rPr>
        <w:t>政府采购促进中小企业发展；</w:t>
      </w:r>
      <w:r>
        <w:rPr>
          <w:rFonts w:hint="eastAsia" w:ascii="宋体" w:hAnsi="宋体" w:cs="宋体"/>
          <w:color w:val="auto"/>
          <w:szCs w:val="21"/>
        </w:rPr>
        <w:t>②</w:t>
      </w:r>
      <w:r>
        <w:rPr>
          <w:rFonts w:hint="eastAsia" w:asciiTheme="minorEastAsia" w:hAnsiTheme="minorEastAsia" w:eastAsiaTheme="minorEastAsia" w:cstheme="minorEastAsia"/>
          <w:color w:val="auto"/>
          <w:szCs w:val="21"/>
        </w:rPr>
        <w:t>政府采购支持采用本国产品的政策；</w:t>
      </w:r>
      <w:r>
        <w:rPr>
          <w:rFonts w:hint="eastAsia" w:ascii="宋体" w:hAnsi="宋体" w:cs="宋体"/>
          <w:color w:val="auto"/>
          <w:szCs w:val="21"/>
        </w:rPr>
        <w:t>③</w:t>
      </w:r>
      <w:r>
        <w:rPr>
          <w:rFonts w:hint="eastAsia" w:asciiTheme="minorEastAsia" w:hAnsiTheme="minorEastAsia" w:eastAsiaTheme="minorEastAsia" w:cstheme="minorEastAsia"/>
          <w:color w:val="auto"/>
          <w:szCs w:val="21"/>
        </w:rPr>
        <w:t>强制采购节能产品、优先采购节能产品、环境标志产品；</w:t>
      </w:r>
      <w:r>
        <w:rPr>
          <w:rFonts w:hint="eastAsia" w:ascii="宋体" w:hAnsi="宋体" w:cs="宋体"/>
          <w:color w:val="auto"/>
          <w:szCs w:val="21"/>
        </w:rPr>
        <w:t>④</w:t>
      </w:r>
      <w:r>
        <w:rPr>
          <w:rFonts w:hint="eastAsia" w:asciiTheme="minorEastAsia" w:hAnsiTheme="minorEastAsia" w:eastAsiaTheme="minorEastAsia" w:cstheme="minorEastAsia"/>
          <w:color w:val="auto"/>
          <w:szCs w:val="21"/>
        </w:rPr>
        <w:t>政府采购促进残疾人就业政策；</w:t>
      </w:r>
      <w:r>
        <w:rPr>
          <w:rFonts w:hint="eastAsia" w:ascii="宋体" w:hAnsi="宋体" w:cs="宋体"/>
          <w:color w:val="auto"/>
          <w:szCs w:val="21"/>
        </w:rPr>
        <w:t>⑤</w:t>
      </w:r>
      <w:r>
        <w:rPr>
          <w:rFonts w:hint="eastAsia" w:asciiTheme="minorEastAsia" w:hAnsiTheme="minorEastAsia" w:eastAsiaTheme="minorEastAsia" w:cstheme="minorEastAsia"/>
          <w:color w:val="auto"/>
          <w:szCs w:val="21"/>
        </w:rPr>
        <w:t>政府采购支持监狱企业发展。</w:t>
      </w:r>
    </w:p>
    <w:p>
      <w:pP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4.网上查询地址：中国政府采购网、广西壮族自治区政府采购网、广西防城港政府采购网站、防城港市公共资源交易中心网。</w:t>
      </w:r>
    </w:p>
    <w:p>
      <w:pPr>
        <w:snapToGrid w:val="0"/>
        <w:spacing w:line="340" w:lineRule="exact"/>
        <w:ind w:firstLine="420" w:firstLineChars="200"/>
        <w:rPr>
          <w:color w:val="auto"/>
        </w:rPr>
      </w:pPr>
      <w:r>
        <w:rPr>
          <w:rFonts w:hint="eastAsia" w:ascii="宋体" w:hAnsi="宋体"/>
          <w:color w:val="auto"/>
          <w:szCs w:val="21"/>
        </w:rPr>
        <w:t>5.本项目不收取谈判保证金。</w:t>
      </w:r>
    </w:p>
    <w:p>
      <w:pPr>
        <w:snapToGrid w:val="0"/>
        <w:spacing w:line="3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八、凡对本次采购提出询问，请按以下方式联系。</w:t>
      </w:r>
    </w:p>
    <w:bookmarkEnd w:id="1"/>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1.采购人信息</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名   称：防城港市农业农村局</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地   址：防城港市港口区滨海大道与北部湾大道交汇处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联系方式：</w:t>
      </w:r>
      <w:bookmarkStart w:id="3" w:name="_Toc28359009"/>
      <w:bookmarkStart w:id="4" w:name="_Toc28359086"/>
      <w:r>
        <w:rPr>
          <w:rFonts w:hint="eastAsia" w:ascii="宋体" w:hAnsi="宋体" w:cs="宋体"/>
          <w:color w:val="auto"/>
          <w:szCs w:val="21"/>
        </w:rPr>
        <w:t>吴一桂</w:t>
      </w:r>
      <w:r>
        <w:rPr>
          <w:rFonts w:hint="eastAsia" w:ascii="宋体" w:hAnsi="宋体" w:cs="宋体"/>
          <w:color w:val="auto"/>
          <w:szCs w:val="21"/>
          <w:lang w:eastAsia="zh-CN"/>
        </w:rPr>
        <w:t>，</w:t>
      </w:r>
      <w:r>
        <w:rPr>
          <w:rFonts w:hint="eastAsia" w:ascii="宋体" w:hAnsi="宋体" w:cs="宋体"/>
          <w:color w:val="auto"/>
          <w:szCs w:val="21"/>
        </w:rPr>
        <w:t>17307801496</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2.采购代理机构信息</w:t>
      </w:r>
      <w:bookmarkEnd w:id="3"/>
      <w:bookmarkEnd w:id="4"/>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名   称：广西睿升项目管理有限公司</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地   址：防城港市港口区紫荆小区D2栋</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联系方式：</w:t>
      </w:r>
      <w:bookmarkStart w:id="5" w:name="_Toc28359010"/>
      <w:bookmarkStart w:id="6" w:name="_Toc28359087"/>
      <w:r>
        <w:rPr>
          <w:rFonts w:hint="eastAsia" w:ascii="宋体" w:hAnsi="宋体" w:cs="宋体"/>
          <w:color w:val="auto"/>
          <w:szCs w:val="21"/>
        </w:rPr>
        <w:t>黄厚彰</w:t>
      </w:r>
      <w:r>
        <w:rPr>
          <w:rFonts w:hint="eastAsia" w:ascii="宋体" w:hAnsi="宋体" w:cs="宋体"/>
          <w:color w:val="auto"/>
          <w:szCs w:val="21"/>
          <w:lang w:eastAsia="zh-CN"/>
        </w:rPr>
        <w:t>，</w:t>
      </w:r>
      <w:r>
        <w:rPr>
          <w:rFonts w:hint="eastAsia" w:ascii="宋体" w:hAnsi="宋体" w:cs="宋体"/>
          <w:color w:val="auto"/>
          <w:szCs w:val="21"/>
        </w:rPr>
        <w:t>0770-2811698</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3.项目联系方式</w:t>
      </w:r>
      <w:bookmarkEnd w:id="5"/>
      <w:bookmarkEnd w:id="6"/>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项目联系人：黄厚彰</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电   话：0770-2811698</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4.监督部门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名   称：防城港市政府采购管理中心</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电   话：0770-6102319</w:t>
      </w:r>
    </w:p>
    <w:p>
      <w:pPr>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 xml:space="preserve">　　　　　　　　　　　　       </w:t>
      </w:r>
    </w:p>
    <w:p>
      <w:pPr>
        <w:snapToGrid w:val="0"/>
        <w:spacing w:line="320" w:lineRule="exact"/>
        <w:ind w:firstLine="420" w:firstLineChars="200"/>
        <w:rPr>
          <w:rFonts w:ascii="宋体" w:hAnsi="宋体" w:cs="宋体"/>
          <w:color w:val="auto"/>
          <w:szCs w:val="21"/>
        </w:rPr>
      </w:pPr>
    </w:p>
    <w:p>
      <w:pPr>
        <w:snapToGrid w:val="0"/>
        <w:spacing w:line="320" w:lineRule="exact"/>
        <w:ind w:firstLine="420" w:firstLineChars="200"/>
        <w:jc w:val="right"/>
        <w:rPr>
          <w:rFonts w:ascii="宋体" w:hAnsi="宋体" w:cs="Arial"/>
          <w:color w:val="auto"/>
          <w:szCs w:val="21"/>
        </w:rPr>
      </w:pPr>
      <w:r>
        <w:rPr>
          <w:rFonts w:hint="eastAsia" w:ascii="宋体" w:hAnsi="宋体" w:cs="Arial"/>
          <w:color w:val="auto"/>
          <w:szCs w:val="21"/>
        </w:rPr>
        <w:t>采购人：防城港市农业农村局</w:t>
      </w:r>
    </w:p>
    <w:p>
      <w:pPr>
        <w:spacing w:line="440" w:lineRule="exact"/>
        <w:ind w:firstLine="493"/>
        <w:jc w:val="right"/>
        <w:rPr>
          <w:rFonts w:ascii="宋体" w:hAnsi="宋体" w:cs="Arial"/>
          <w:color w:val="auto"/>
          <w:szCs w:val="21"/>
        </w:rPr>
      </w:pPr>
      <w:r>
        <w:rPr>
          <w:rFonts w:hint="eastAsia" w:ascii="宋体" w:hAnsi="宋体" w:cs="Arial"/>
          <w:color w:val="auto"/>
          <w:szCs w:val="21"/>
        </w:rPr>
        <w:t>采购代理机构：</w:t>
      </w:r>
      <w:r>
        <w:rPr>
          <w:rFonts w:hint="eastAsia" w:ascii="宋体" w:hAnsi="宋体" w:cs="宋体"/>
          <w:color w:val="auto"/>
          <w:szCs w:val="21"/>
        </w:rPr>
        <w:t>广西睿升项目管理有限公司</w:t>
      </w:r>
    </w:p>
    <w:p>
      <w:pPr>
        <w:spacing w:line="360" w:lineRule="exact"/>
        <w:ind w:firstLine="495"/>
        <w:jc w:val="right"/>
        <w:rPr>
          <w:color w:val="auto"/>
        </w:rPr>
      </w:pPr>
      <w:r>
        <w:rPr>
          <w:rFonts w:hint="eastAsia" w:ascii="宋体" w:hAnsi="宋体"/>
          <w:color w:val="auto"/>
          <w:szCs w:val="21"/>
        </w:rPr>
        <w:t xml:space="preserve">                                                     </w:t>
      </w:r>
      <w:r>
        <w:rPr>
          <w:rFonts w:hint="eastAsia" w:ascii="宋体" w:hAnsi="宋体" w:cs="宋体"/>
          <w:color w:val="auto"/>
          <w:szCs w:val="21"/>
        </w:rPr>
        <w:t>2021年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9</w:t>
      </w:r>
      <w:bookmarkStart w:id="76" w:name="_GoBack"/>
      <w:bookmarkEnd w:id="76"/>
      <w:r>
        <w:rPr>
          <w:rFonts w:hint="eastAsia" w:ascii="宋体" w:hAnsi="宋体" w:cs="宋体"/>
          <w:color w:val="auto"/>
          <w:szCs w:val="21"/>
        </w:rPr>
        <w:t>日</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60" w:lineRule="exact"/>
        <w:jc w:val="center"/>
        <w:rPr>
          <w:rFonts w:hint="eastAsia" w:ascii="宋体" w:hAnsi="宋体"/>
          <w:b/>
          <w:color w:val="auto"/>
          <w:sz w:val="32"/>
          <w:szCs w:val="32"/>
        </w:rPr>
      </w:pPr>
    </w:p>
    <w:p>
      <w:pPr>
        <w:spacing w:line="460" w:lineRule="exact"/>
        <w:jc w:val="center"/>
        <w:rPr>
          <w:rFonts w:ascii="宋体" w:hAnsi="宋体"/>
          <w:b/>
          <w:color w:val="auto"/>
          <w:sz w:val="32"/>
          <w:szCs w:val="32"/>
        </w:rPr>
      </w:pPr>
      <w:r>
        <w:rPr>
          <w:rFonts w:hint="eastAsia" w:ascii="宋体" w:hAnsi="宋体"/>
          <w:b/>
          <w:color w:val="auto"/>
          <w:sz w:val="32"/>
          <w:szCs w:val="32"/>
        </w:rPr>
        <w:t>第二章  谈判供应商须知及前附表</w:t>
      </w:r>
    </w:p>
    <w:p>
      <w:pPr>
        <w:spacing w:line="460" w:lineRule="exact"/>
        <w:jc w:val="center"/>
        <w:rPr>
          <w:rFonts w:ascii="宋体" w:hAnsi="宋体"/>
          <w:b/>
          <w:color w:val="auto"/>
          <w:sz w:val="32"/>
          <w:szCs w:val="32"/>
        </w:rPr>
      </w:pPr>
      <w:r>
        <w:rPr>
          <w:rFonts w:hint="eastAsia" w:ascii="宋体" w:hAnsi="宋体"/>
          <w:b/>
          <w:color w:val="auto"/>
          <w:sz w:val="32"/>
          <w:szCs w:val="32"/>
        </w:rPr>
        <w:t>谈判供应商须知前附表</w:t>
      </w:r>
    </w:p>
    <w:tbl>
      <w:tblPr>
        <w:tblStyle w:val="20"/>
        <w:tblW w:w="10179" w:type="dxa"/>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9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772" w:type="dxa"/>
          </w:tcPr>
          <w:p>
            <w:pPr>
              <w:spacing w:line="400" w:lineRule="exact"/>
              <w:jc w:val="center"/>
              <w:rPr>
                <w:rFonts w:ascii="宋体" w:hAnsi="宋体"/>
                <w:b/>
                <w:color w:val="auto"/>
                <w:szCs w:val="21"/>
              </w:rPr>
            </w:pPr>
            <w:r>
              <w:rPr>
                <w:rFonts w:hint="eastAsia" w:ascii="宋体" w:hAnsi="宋体"/>
                <w:b/>
                <w:color w:val="auto"/>
                <w:szCs w:val="21"/>
              </w:rPr>
              <w:t>序号</w:t>
            </w:r>
          </w:p>
        </w:tc>
        <w:tc>
          <w:tcPr>
            <w:tcW w:w="9407" w:type="dxa"/>
            <w:vAlign w:val="center"/>
          </w:tcPr>
          <w:p>
            <w:pPr>
              <w:spacing w:line="400" w:lineRule="exact"/>
              <w:jc w:val="center"/>
              <w:rPr>
                <w:rFonts w:ascii="宋体" w:hAnsi="宋体"/>
                <w:b/>
                <w:color w:val="auto"/>
                <w:szCs w:val="21"/>
              </w:rPr>
            </w:pPr>
            <w:r>
              <w:rPr>
                <w:rFonts w:hint="eastAsia" w:ascii="宋体" w:hAnsi="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9407" w:type="dxa"/>
            <w:vAlign w:val="center"/>
          </w:tcPr>
          <w:p>
            <w:pPr>
              <w:spacing w:line="400" w:lineRule="exact"/>
              <w:rPr>
                <w:rFonts w:ascii="宋体" w:hAnsi="宋体" w:cs="宋体"/>
                <w:color w:val="auto"/>
                <w:szCs w:val="21"/>
              </w:rPr>
            </w:pPr>
            <w:r>
              <w:rPr>
                <w:rFonts w:hint="eastAsia" w:ascii="宋体" w:hAnsi="宋体" w:cs="宋体"/>
                <w:b/>
                <w:color w:val="auto"/>
                <w:szCs w:val="21"/>
              </w:rPr>
              <w:t>项目名称</w:t>
            </w:r>
            <w:r>
              <w:rPr>
                <w:rFonts w:hint="eastAsia" w:ascii="宋体" w:hAnsi="宋体" w:cs="宋体"/>
                <w:color w:val="auto"/>
                <w:szCs w:val="21"/>
              </w:rPr>
              <w:t xml:space="preserve">：2021年防城港市水生生物增殖放流苗种采购项目   </w:t>
            </w:r>
            <w:r>
              <w:rPr>
                <w:rFonts w:hint="eastAsia" w:ascii="宋体" w:hAnsi="宋体" w:cs="宋体"/>
                <w:b/>
                <w:color w:val="auto"/>
                <w:szCs w:val="21"/>
              </w:rPr>
              <w:t>项目编号：</w:t>
            </w:r>
            <w:r>
              <w:rPr>
                <w:rFonts w:hint="eastAsia" w:ascii="宋体" w:hAnsi="宋体" w:cs="宋体"/>
                <w:bCs/>
                <w:color w:val="auto"/>
                <w:szCs w:val="21"/>
              </w:rPr>
              <w:t>FCZC2021-J1-10005-GXRS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9407" w:type="dxa"/>
            <w:vAlign w:val="center"/>
          </w:tcPr>
          <w:p>
            <w:pPr>
              <w:snapToGrid w:val="0"/>
              <w:spacing w:line="320" w:lineRule="exact"/>
              <w:rPr>
                <w:rFonts w:ascii="宋体" w:hAnsi="宋体" w:cs="宋体"/>
                <w:color w:val="auto"/>
                <w:szCs w:val="21"/>
              </w:rPr>
            </w:pPr>
            <w:r>
              <w:rPr>
                <w:rFonts w:hint="eastAsia" w:ascii="宋体" w:hAnsi="宋体" w:cs="宋体"/>
                <w:b/>
                <w:color w:val="auto"/>
                <w:szCs w:val="21"/>
              </w:rPr>
              <w:t>谈判供应商资格要求</w:t>
            </w:r>
            <w:r>
              <w:rPr>
                <w:rFonts w:hint="eastAsia" w:ascii="宋体" w:hAnsi="宋体" w:cs="宋体"/>
                <w:color w:val="auto"/>
                <w:szCs w:val="21"/>
              </w:rPr>
              <w:t>：</w:t>
            </w:r>
          </w:p>
          <w:p>
            <w:p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1.满足《中华人民共和国政府采购法》第二十二条规定。</w:t>
            </w:r>
          </w:p>
          <w:p>
            <w:p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2.落实政府采购政策需满足的资格要求：无。</w:t>
            </w:r>
          </w:p>
          <w:p>
            <w:pPr>
              <w:snapToGrid w:val="0"/>
              <w:spacing w:line="340" w:lineRule="exact"/>
              <w:rPr>
                <w:rFonts w:ascii="宋体" w:hAnsi="宋体" w:cs="宋体"/>
                <w:color w:val="auto"/>
              </w:rPr>
            </w:pPr>
            <w:r>
              <w:rPr>
                <w:rFonts w:hint="eastAsia" w:asciiTheme="minorEastAsia" w:hAnsiTheme="minorEastAsia" w:eastAsiaTheme="minorEastAsia" w:cstheme="minorEastAsia"/>
                <w:color w:val="auto"/>
                <w:szCs w:val="21"/>
              </w:rPr>
              <w:t>3.本项目的特定资格要求：国内注册，从事水产苗种繁育并具有水产苗种生产许可证的供应商；按照《农业部办公厅关于进一步加强水生生物经济物种增殖放流苗种管理的通知》（农办渔〔2014〕55号）文件执行。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9407" w:type="dxa"/>
            <w:vAlign w:val="center"/>
          </w:tcPr>
          <w:p>
            <w:pPr>
              <w:spacing w:line="400" w:lineRule="exact"/>
              <w:rPr>
                <w:rFonts w:hint="eastAsia"/>
              </w:rPr>
            </w:pPr>
            <w:r>
              <w:rPr>
                <w:rFonts w:hint="eastAsia"/>
              </w:rPr>
              <w:t>谈判报价：谈判供应商必须就“项目需求”中的货物内容作完整唯一报价，否则，其谈判将被拒绝。</w:t>
            </w:r>
          </w:p>
          <w:p>
            <w:pPr>
              <w:pStyle w:val="2"/>
            </w:pPr>
            <w:r>
              <w:rPr>
                <w:rFonts w:hint="eastAsia" w:ascii="Times New Roman" w:hAnsi="Times New Roman" w:eastAsia="宋体" w:cs="Times New Roman"/>
                <w:b/>
                <w:bCs/>
                <w:spacing w:val="0"/>
                <w:kern w:val="2"/>
                <w:sz w:val="21"/>
                <w:szCs w:val="24"/>
                <w:lang w:val="en-US" w:eastAsia="zh-CN" w:bidi="ar-SA"/>
              </w:rPr>
              <w:t>参加谈判的供应商法定代表人或授权委托代理人必须持证件：法定代表人持资格证明书原件和本人身份证原件，委托代理人持授权委托书原件（如委托）和本人身份证原件。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9407" w:type="dxa"/>
            <w:vAlign w:val="center"/>
          </w:tcPr>
          <w:p>
            <w:pPr>
              <w:spacing w:line="400" w:lineRule="exact"/>
              <w:rPr>
                <w:rFonts w:ascii="宋体" w:hAnsi="宋体" w:cs="宋体"/>
                <w:color w:val="auto"/>
                <w:szCs w:val="21"/>
              </w:rPr>
            </w:pPr>
            <w:r>
              <w:rPr>
                <w:rFonts w:hint="eastAsia" w:ascii="宋体" w:hAnsi="宋体" w:cs="宋体"/>
                <w:b/>
                <w:bCs/>
                <w:color w:val="auto"/>
                <w:szCs w:val="21"/>
              </w:rPr>
              <w:t>谈判有效期：</w:t>
            </w:r>
            <w:r>
              <w:rPr>
                <w:rFonts w:hint="eastAsia" w:ascii="宋体" w:hAnsi="宋体" w:cs="宋体"/>
                <w:color w:val="auto"/>
                <w:szCs w:val="21"/>
              </w:rPr>
              <w:t>谈判截止之日起60天。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9407" w:type="dxa"/>
            <w:vAlign w:val="center"/>
          </w:tcPr>
          <w:p>
            <w:pPr>
              <w:rPr>
                <w:rFonts w:ascii="宋体" w:hAnsi="宋体" w:cs="宋体"/>
                <w:color w:val="auto"/>
                <w:szCs w:val="21"/>
              </w:rPr>
            </w:pPr>
            <w:r>
              <w:rPr>
                <w:rFonts w:hint="eastAsia" w:ascii="宋体" w:hAnsi="宋体" w:cs="宋体"/>
                <w:b/>
                <w:color w:val="auto"/>
                <w:szCs w:val="21"/>
              </w:rPr>
              <w:t>谈判保证金</w:t>
            </w:r>
            <w:r>
              <w:rPr>
                <w:rFonts w:hint="eastAsia" w:ascii="宋体" w:hAnsi="宋体" w:cs="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9407" w:type="dxa"/>
            <w:vAlign w:val="center"/>
          </w:tcPr>
          <w:p>
            <w:pPr>
              <w:spacing w:line="400" w:lineRule="exact"/>
              <w:rPr>
                <w:rFonts w:ascii="宋体" w:hAnsi="宋体" w:cs="宋体"/>
                <w:color w:val="auto"/>
                <w:szCs w:val="21"/>
              </w:rPr>
            </w:pPr>
            <w:r>
              <w:rPr>
                <w:rFonts w:hint="eastAsia" w:ascii="宋体" w:hAnsi="宋体" w:cs="宋体"/>
                <w:b/>
                <w:color w:val="auto"/>
                <w:szCs w:val="21"/>
              </w:rPr>
              <w:t>竞争性谈判响应文件份数</w:t>
            </w:r>
            <w:r>
              <w:rPr>
                <w:rFonts w:hint="eastAsia" w:ascii="宋体" w:hAnsi="宋体" w:cs="宋体"/>
                <w:color w:val="auto"/>
                <w:szCs w:val="21"/>
              </w:rPr>
              <w:t>：正本一份，副本三份。可编辑的响应文件电子版（U盘）一份（必须提供）。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9407" w:type="dxa"/>
            <w:vAlign w:val="center"/>
          </w:tcPr>
          <w:p>
            <w:pPr>
              <w:spacing w:line="400" w:lineRule="exact"/>
              <w:rPr>
                <w:rFonts w:ascii="宋体" w:hAnsi="宋体" w:cs="宋体"/>
                <w:color w:val="auto"/>
                <w:szCs w:val="21"/>
              </w:rPr>
            </w:pPr>
            <w:r>
              <w:rPr>
                <w:rFonts w:hint="eastAsia" w:ascii="宋体" w:hAnsi="宋体" w:cs="宋体"/>
                <w:b/>
                <w:color w:val="auto"/>
                <w:szCs w:val="21"/>
              </w:rPr>
              <w:t>竞争性谈判响应文件递交截止时间和地点:</w:t>
            </w:r>
            <w:r>
              <w:rPr>
                <w:rFonts w:hint="eastAsia" w:ascii="宋体" w:hAnsi="宋体"/>
                <w:color w:val="auto"/>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8</w:t>
            </w:r>
          </w:p>
        </w:tc>
        <w:tc>
          <w:tcPr>
            <w:tcW w:w="9407" w:type="dxa"/>
            <w:vAlign w:val="center"/>
          </w:tcPr>
          <w:p>
            <w:pPr>
              <w:spacing w:line="400" w:lineRule="exact"/>
              <w:rPr>
                <w:rFonts w:ascii="宋体" w:hAnsi="宋体" w:cs="宋体"/>
                <w:color w:val="auto"/>
              </w:rPr>
            </w:pPr>
            <w:r>
              <w:rPr>
                <w:rFonts w:hint="eastAsia" w:ascii="宋体" w:hAnsi="宋体" w:cs="宋体"/>
                <w:b/>
                <w:color w:val="auto"/>
                <w:szCs w:val="21"/>
              </w:rPr>
              <w:t>谈判时间和地点:</w:t>
            </w:r>
            <w:r>
              <w:rPr>
                <w:rFonts w:hint="eastAsia" w:ascii="宋体" w:hAnsi="宋体" w:cs="宋体"/>
                <w:bCs/>
                <w:color w:val="auto"/>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9</w:t>
            </w:r>
          </w:p>
        </w:tc>
        <w:tc>
          <w:tcPr>
            <w:tcW w:w="9407" w:type="dxa"/>
            <w:vAlign w:val="center"/>
          </w:tcPr>
          <w:p>
            <w:pPr>
              <w:autoSpaceDE w:val="0"/>
              <w:autoSpaceDN w:val="0"/>
              <w:snapToGrid w:val="0"/>
              <w:spacing w:line="320" w:lineRule="exact"/>
              <w:textAlignment w:val="bottom"/>
              <w:rPr>
                <w:rFonts w:hAnsi="宋体" w:cs="宋体"/>
                <w:color w:val="auto"/>
              </w:rPr>
            </w:pPr>
            <w:r>
              <w:rPr>
                <w:rFonts w:hint="eastAsia" w:hAnsi="宋体" w:cs="宋体"/>
                <w:b/>
                <w:color w:val="auto"/>
              </w:rPr>
              <w:t>履约保证金：</w:t>
            </w:r>
            <w:r>
              <w:rPr>
                <w:rFonts w:hint="eastAsia" w:hAnsi="宋体" w:cs="宋体"/>
                <w:bCs/>
                <w:color w:val="auto"/>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10</w:t>
            </w:r>
          </w:p>
        </w:tc>
        <w:tc>
          <w:tcPr>
            <w:tcW w:w="9407" w:type="dxa"/>
            <w:vAlign w:val="center"/>
          </w:tcPr>
          <w:p>
            <w:pPr>
              <w:autoSpaceDE w:val="0"/>
              <w:autoSpaceDN w:val="0"/>
              <w:snapToGrid w:val="0"/>
              <w:spacing w:line="320" w:lineRule="exact"/>
              <w:textAlignment w:val="bottom"/>
              <w:rPr>
                <w:bCs/>
                <w:color w:val="auto"/>
              </w:rPr>
            </w:pPr>
            <w:r>
              <w:rPr>
                <w:rFonts w:hint="eastAsia"/>
                <w:color w:val="auto"/>
              </w:rPr>
              <w:t>签订合同日期：采购人须在成交通知书发出之日起25日内和成交人签订政府采购合同，并在签订采购合同后2个工作日内进行合同备案。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w:t>
            </w:r>
          </w:p>
        </w:tc>
        <w:tc>
          <w:tcPr>
            <w:tcW w:w="9407" w:type="dxa"/>
            <w:vAlign w:val="center"/>
          </w:tcPr>
          <w:p>
            <w:pPr>
              <w:autoSpaceDE w:val="0"/>
              <w:autoSpaceDN w:val="0"/>
              <w:snapToGrid w:val="0"/>
              <w:spacing w:line="320" w:lineRule="exact"/>
              <w:textAlignment w:val="bottom"/>
              <w:rPr>
                <w:b w:val="0"/>
                <w:bCs w:val="0"/>
                <w:color w:val="auto"/>
              </w:rPr>
            </w:pPr>
            <w:r>
              <w:rPr>
                <w:rFonts w:hint="eastAsia"/>
                <w:b/>
                <w:bCs/>
                <w:color w:val="auto"/>
              </w:rPr>
              <w:t>委托代理服务费：</w:t>
            </w:r>
            <w:r>
              <w:rPr>
                <w:rFonts w:hint="eastAsia"/>
                <w:b w:val="0"/>
                <w:bCs w:val="0"/>
                <w:color w:val="auto"/>
                <w:lang w:val="en-US" w:eastAsia="zh-CN"/>
              </w:rPr>
              <w:t>本项目代理服务费</w:t>
            </w:r>
            <w:r>
              <w:rPr>
                <w:rFonts w:hint="eastAsia"/>
                <w:b w:val="0"/>
                <w:bCs w:val="0"/>
                <w:color w:val="auto"/>
              </w:rPr>
              <w:t>参照</w:t>
            </w:r>
            <w:r>
              <w:rPr>
                <w:rFonts w:hint="eastAsia"/>
                <w:b w:val="0"/>
                <w:bCs w:val="0"/>
                <w:color w:val="auto"/>
                <w:lang w:eastAsia="zh-CN"/>
              </w:rPr>
              <w:t>《</w:t>
            </w:r>
            <w:r>
              <w:rPr>
                <w:rFonts w:hint="eastAsia"/>
                <w:b w:val="0"/>
                <w:bCs w:val="0"/>
                <w:color w:val="auto"/>
              </w:rPr>
              <w:t>招标代理服务</w:t>
            </w:r>
            <w:r>
              <w:rPr>
                <w:rFonts w:hint="eastAsia"/>
                <w:b w:val="0"/>
                <w:bCs w:val="0"/>
                <w:color w:val="auto"/>
                <w:lang w:val="en-US" w:eastAsia="zh-CN"/>
              </w:rPr>
              <w:t>收费</w:t>
            </w:r>
            <w:r>
              <w:rPr>
                <w:rFonts w:hint="eastAsia"/>
                <w:b w:val="0"/>
                <w:bCs w:val="0"/>
                <w:color w:val="auto"/>
              </w:rPr>
              <w:t>管理暂行办法</w:t>
            </w:r>
            <w:r>
              <w:rPr>
                <w:rFonts w:hint="eastAsia"/>
                <w:b w:val="0"/>
                <w:bCs w:val="0"/>
                <w:color w:val="auto"/>
                <w:lang w:eastAsia="zh-CN"/>
              </w:rPr>
              <w:t>》（</w:t>
            </w:r>
            <w:r>
              <w:rPr>
                <w:rFonts w:hint="eastAsia"/>
                <w:b w:val="0"/>
                <w:bCs w:val="0"/>
                <w:color w:val="auto"/>
                <w:lang w:val="en-US" w:eastAsia="zh-CN"/>
              </w:rPr>
              <w:t>计价格[2002]1980号</w:t>
            </w:r>
            <w:r>
              <w:rPr>
                <w:rFonts w:hint="eastAsia"/>
                <w:b w:val="0"/>
                <w:bCs w:val="0"/>
                <w:color w:val="auto"/>
                <w:lang w:eastAsia="zh-CN"/>
              </w:rPr>
              <w:t>）</w:t>
            </w:r>
            <w:r>
              <w:rPr>
                <w:rFonts w:hint="eastAsia"/>
                <w:b w:val="0"/>
                <w:bCs w:val="0"/>
                <w:color w:val="auto"/>
              </w:rPr>
              <w:t>收费标准</w:t>
            </w:r>
            <w:r>
              <w:rPr>
                <w:rFonts w:hint="eastAsia"/>
                <w:b w:val="0"/>
                <w:bCs w:val="0"/>
                <w:color w:val="auto"/>
                <w:lang w:val="en-US" w:eastAsia="zh-CN"/>
              </w:rPr>
              <w:t>计</w:t>
            </w:r>
            <w:r>
              <w:rPr>
                <w:rFonts w:hint="eastAsia"/>
                <w:b w:val="0"/>
                <w:bCs w:val="0"/>
                <w:color w:val="auto"/>
              </w:rPr>
              <w:t>取，由成交人向采购代理机构支付。</w:t>
            </w:r>
          </w:p>
          <w:p>
            <w:pPr>
              <w:spacing w:line="360" w:lineRule="exact"/>
              <w:rPr>
                <w:b/>
                <w:bCs/>
                <w:color w:val="auto"/>
              </w:rPr>
            </w:pPr>
            <w:r>
              <w:rPr>
                <w:rFonts w:hint="eastAsia"/>
                <w:b/>
                <w:bCs/>
                <w:color w:val="auto"/>
              </w:rPr>
              <w:t>采购代理机构账号如下：</w:t>
            </w:r>
          </w:p>
          <w:p>
            <w:pPr>
              <w:spacing w:line="360" w:lineRule="exact"/>
              <w:rPr>
                <w:color w:val="auto"/>
              </w:rPr>
            </w:pPr>
            <w:r>
              <w:rPr>
                <w:rFonts w:hint="eastAsia"/>
                <w:color w:val="auto"/>
              </w:rPr>
              <w:t>开户名称：广西睿升项目管理有限公司</w:t>
            </w:r>
          </w:p>
          <w:p>
            <w:pPr>
              <w:spacing w:line="360" w:lineRule="exact"/>
              <w:rPr>
                <w:color w:val="auto"/>
              </w:rPr>
            </w:pPr>
            <w:r>
              <w:rPr>
                <w:rFonts w:hint="eastAsia"/>
                <w:color w:val="auto"/>
              </w:rPr>
              <w:t>开户银行：</w:t>
            </w:r>
            <w:r>
              <w:rPr>
                <w:rFonts w:hint="eastAsia" w:ascii="宋体" w:hAnsi="宋体" w:cs="宋体"/>
                <w:color w:val="auto"/>
              </w:rPr>
              <w:t>桂林银行股份有限公司防城港分行</w:t>
            </w:r>
          </w:p>
          <w:p>
            <w:pPr>
              <w:spacing w:line="360" w:lineRule="exact"/>
              <w:rPr>
                <w:b/>
                <w:color w:val="auto"/>
              </w:rPr>
            </w:pPr>
            <w:r>
              <w:rPr>
                <w:rFonts w:hint="eastAsia"/>
                <w:color w:val="auto"/>
              </w:rPr>
              <w:t>银行账号：6606 0012 8704 5000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12</w:t>
            </w:r>
          </w:p>
        </w:tc>
        <w:tc>
          <w:tcPr>
            <w:tcW w:w="9407" w:type="dxa"/>
            <w:vAlign w:val="center"/>
          </w:tcPr>
          <w:p>
            <w:pPr>
              <w:spacing w:line="400" w:lineRule="exact"/>
              <w:rPr>
                <w:rFonts w:ascii="宋体" w:hAnsi="宋体" w:cs="宋体"/>
                <w:color w:val="auto"/>
                <w:szCs w:val="21"/>
              </w:rPr>
            </w:pPr>
            <w:r>
              <w:rPr>
                <w:rFonts w:hint="eastAsia" w:ascii="宋体" w:hAnsi="宋体" w:cs="宋体"/>
                <w:b/>
                <w:color w:val="auto"/>
              </w:rPr>
              <w:t>评标方法</w:t>
            </w:r>
            <w:r>
              <w:rPr>
                <w:rFonts w:hint="eastAsia" w:ascii="宋体" w:hAnsi="宋体" w:cs="宋体"/>
                <w:color w:val="auto"/>
              </w:rPr>
              <w:t>：</w:t>
            </w:r>
            <w:r>
              <w:rPr>
                <w:rFonts w:hint="eastAsia" w:hAnsi="宋体"/>
                <w:color w:val="auto"/>
              </w:rPr>
              <w:t>最低评标价法</w:t>
            </w:r>
            <w:r>
              <w:rPr>
                <w:rFonts w:hint="eastAsia" w:ascii="宋体" w:hAnsi="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13</w:t>
            </w:r>
          </w:p>
        </w:tc>
        <w:tc>
          <w:tcPr>
            <w:tcW w:w="9407" w:type="dxa"/>
            <w:vAlign w:val="center"/>
          </w:tcPr>
          <w:p>
            <w:pPr>
              <w:spacing w:line="400" w:lineRule="exact"/>
              <w:rPr>
                <w:rFonts w:ascii="宋体" w:hAnsi="宋体" w:cs="宋体"/>
                <w:b/>
                <w:color w:val="auto"/>
              </w:rPr>
            </w:pPr>
            <w:r>
              <w:rPr>
                <w:rFonts w:hint="eastAsia" w:ascii="宋体" w:hAnsi="宋体"/>
                <w:b/>
                <w:bCs/>
                <w:color w:val="auto"/>
                <w:szCs w:val="21"/>
              </w:rPr>
              <w:t>采购预算金额：</w:t>
            </w:r>
            <w:r>
              <w:rPr>
                <w:rFonts w:hint="eastAsia" w:ascii="宋体" w:hAnsi="宋体"/>
                <w:color w:val="auto"/>
                <w:szCs w:val="21"/>
              </w:rPr>
              <w:t>人民币玖拾柒万整（￥970000.00）。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w:t>
            </w:r>
          </w:p>
        </w:tc>
        <w:tc>
          <w:tcPr>
            <w:tcW w:w="9407" w:type="dxa"/>
            <w:vAlign w:val="center"/>
          </w:tcPr>
          <w:p>
            <w:pPr>
              <w:spacing w:line="400" w:lineRule="exact"/>
              <w:rPr>
                <w:rFonts w:hAnsi="宋体"/>
                <w:color w:val="auto"/>
              </w:rPr>
            </w:pPr>
            <w:r>
              <w:rPr>
                <w:rFonts w:hint="eastAsia" w:hAnsi="宋体"/>
                <w:color w:val="auto"/>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谈判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77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15</w:t>
            </w:r>
          </w:p>
        </w:tc>
        <w:tc>
          <w:tcPr>
            <w:tcW w:w="9407" w:type="dxa"/>
            <w:vAlign w:val="center"/>
          </w:tcPr>
          <w:p>
            <w:pPr>
              <w:spacing w:line="400" w:lineRule="exact"/>
              <w:rPr>
                <w:rFonts w:ascii="宋体" w:hAnsi="宋体" w:cs="宋体"/>
                <w:b/>
                <w:color w:val="auto"/>
              </w:rPr>
            </w:pPr>
            <w:r>
              <w:rPr>
                <w:rFonts w:hint="eastAsia" w:ascii="宋体" w:hAnsi="宋体" w:cs="宋体"/>
                <w:b/>
                <w:color w:val="auto"/>
              </w:rPr>
              <w:t>解释：</w:t>
            </w:r>
            <w:r>
              <w:rPr>
                <w:rFonts w:hint="eastAsia" w:ascii="宋体" w:hAnsi="宋体" w:cs="宋体"/>
                <w:bCs/>
                <w:color w:val="auto"/>
              </w:rPr>
              <w:t>本采购文件的解释权属于采购代理机构。</w:t>
            </w:r>
          </w:p>
        </w:tc>
      </w:tr>
    </w:tbl>
    <w:p>
      <w:pPr>
        <w:spacing w:line="460" w:lineRule="exact"/>
        <w:jc w:val="center"/>
        <w:rPr>
          <w:rFonts w:ascii="宋体" w:hAnsi="宋体"/>
          <w:b/>
          <w:color w:val="auto"/>
          <w:szCs w:val="21"/>
        </w:rPr>
      </w:pPr>
      <w:r>
        <w:rPr>
          <w:rFonts w:hint="eastAsia" w:ascii="宋体" w:hAnsi="宋体"/>
          <w:b/>
          <w:color w:val="auto"/>
          <w:sz w:val="32"/>
          <w:szCs w:val="32"/>
        </w:rPr>
        <w:t>谈判供应商须知</w:t>
      </w:r>
    </w:p>
    <w:p>
      <w:pPr>
        <w:spacing w:line="460" w:lineRule="exact"/>
        <w:jc w:val="center"/>
        <w:rPr>
          <w:rFonts w:ascii="宋体" w:hAnsi="宋体"/>
          <w:color w:val="auto"/>
          <w:szCs w:val="21"/>
        </w:rPr>
      </w:pPr>
      <w:r>
        <w:rPr>
          <w:rFonts w:hint="eastAsia" w:ascii="宋体" w:hAnsi="宋体"/>
          <w:b/>
          <w:color w:val="auto"/>
          <w:szCs w:val="21"/>
        </w:rPr>
        <w:t>一、总则</w:t>
      </w:r>
    </w:p>
    <w:p>
      <w:pPr>
        <w:spacing w:line="320" w:lineRule="exact"/>
        <w:ind w:firstLine="420" w:firstLineChars="200"/>
        <w:rPr>
          <w:rFonts w:ascii="宋体" w:hAnsi="宋体"/>
          <w:color w:val="auto"/>
          <w:szCs w:val="21"/>
        </w:rPr>
      </w:pPr>
    </w:p>
    <w:p>
      <w:pPr>
        <w:spacing w:line="320" w:lineRule="exact"/>
        <w:ind w:firstLine="420" w:firstLineChars="200"/>
        <w:rPr>
          <w:rFonts w:ascii="宋体" w:hAnsi="宋体"/>
          <w:b/>
          <w:color w:val="auto"/>
          <w:szCs w:val="21"/>
        </w:rPr>
      </w:pPr>
      <w:r>
        <w:rPr>
          <w:rFonts w:hint="eastAsia" w:ascii="宋体" w:hAnsi="宋体"/>
          <w:color w:val="auto"/>
          <w:szCs w:val="21"/>
        </w:rPr>
        <w:t>1.适用范围</w:t>
      </w:r>
    </w:p>
    <w:p>
      <w:pPr>
        <w:spacing w:line="320" w:lineRule="exact"/>
        <w:ind w:firstLine="420" w:firstLineChars="200"/>
        <w:rPr>
          <w:rFonts w:ascii="宋体" w:hAnsi="宋体"/>
          <w:color w:val="auto"/>
          <w:szCs w:val="21"/>
        </w:rPr>
      </w:pPr>
      <w:r>
        <w:rPr>
          <w:rFonts w:hint="eastAsia" w:ascii="宋体" w:hAnsi="宋体"/>
          <w:color w:val="auto"/>
          <w:szCs w:val="21"/>
        </w:rPr>
        <w:t>本文件仅适用于本文件中所叙述的货物类政府采购项目。</w:t>
      </w:r>
    </w:p>
    <w:p>
      <w:pPr>
        <w:spacing w:line="320" w:lineRule="exact"/>
        <w:ind w:firstLine="420" w:firstLineChars="200"/>
        <w:rPr>
          <w:rFonts w:ascii="宋体" w:hAnsi="宋体"/>
          <w:color w:val="auto"/>
          <w:szCs w:val="21"/>
        </w:rPr>
      </w:pPr>
      <w:r>
        <w:rPr>
          <w:rFonts w:hint="eastAsia" w:ascii="宋体" w:hAnsi="宋体"/>
          <w:color w:val="auto"/>
          <w:szCs w:val="21"/>
        </w:rPr>
        <w:t>2. 定义</w:t>
      </w:r>
    </w:p>
    <w:p>
      <w:pPr>
        <w:spacing w:line="320" w:lineRule="exact"/>
        <w:ind w:firstLine="420" w:firstLineChars="200"/>
        <w:rPr>
          <w:rFonts w:ascii="宋体" w:hAnsi="宋体"/>
          <w:color w:val="auto"/>
          <w:szCs w:val="21"/>
        </w:rPr>
      </w:pPr>
      <w:r>
        <w:rPr>
          <w:rFonts w:hint="eastAsia" w:ascii="宋体" w:hAnsi="宋体"/>
          <w:color w:val="auto"/>
          <w:szCs w:val="21"/>
        </w:rPr>
        <w:t>2.1“采购人”是指：</w:t>
      </w:r>
      <w:r>
        <w:rPr>
          <w:rFonts w:hint="eastAsia" w:asciiTheme="minorEastAsia" w:hAnsiTheme="minorEastAsia" w:eastAsiaTheme="minorEastAsia" w:cstheme="minorEastAsia"/>
          <w:color w:val="auto"/>
          <w:szCs w:val="21"/>
        </w:rPr>
        <w:t>防城港市农业农村局</w:t>
      </w:r>
      <w:r>
        <w:rPr>
          <w:rFonts w:hint="eastAsia" w:ascii="宋体" w:hAnsi="宋体"/>
          <w:color w:val="auto"/>
          <w:szCs w:val="21"/>
        </w:rPr>
        <w:t>。</w:t>
      </w:r>
    </w:p>
    <w:p>
      <w:pPr>
        <w:spacing w:line="320" w:lineRule="exact"/>
        <w:ind w:firstLine="420" w:firstLineChars="200"/>
        <w:rPr>
          <w:rFonts w:ascii="宋体" w:hAnsi="宋体"/>
          <w:color w:val="auto"/>
          <w:szCs w:val="21"/>
        </w:rPr>
      </w:pPr>
      <w:r>
        <w:rPr>
          <w:rFonts w:hint="eastAsia" w:ascii="宋体" w:hAnsi="宋体"/>
          <w:color w:val="auto"/>
          <w:szCs w:val="21"/>
        </w:rPr>
        <w:t>2.2“采购代理机构”是指：广西睿升项目管理有限公司。</w:t>
      </w:r>
    </w:p>
    <w:p>
      <w:pPr>
        <w:spacing w:line="320" w:lineRule="exact"/>
        <w:ind w:firstLine="420" w:firstLineChars="200"/>
        <w:rPr>
          <w:rFonts w:ascii="宋体" w:hAnsi="宋体"/>
          <w:color w:val="auto"/>
          <w:szCs w:val="21"/>
        </w:rPr>
      </w:pPr>
      <w:r>
        <w:rPr>
          <w:rFonts w:hint="eastAsia" w:ascii="宋体" w:hAnsi="宋体"/>
          <w:color w:val="auto"/>
          <w:szCs w:val="21"/>
        </w:rPr>
        <w:t>2.3“谈判供应商”是指响应本文件要求，参加谈判的法人或者其他组织。如果该供应商在本次谈判中成交,即成为“成交供应商”。</w:t>
      </w:r>
    </w:p>
    <w:p>
      <w:pPr>
        <w:spacing w:line="32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2.4“货物”是指各种形态和种类的物品，包括原材料、燃料、设备、产品等。</w:t>
      </w:r>
    </w:p>
    <w:p>
      <w:pPr>
        <w:spacing w:line="32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2.5“服务”是指除货物和工程以外的其他政府采购对象。</w:t>
      </w:r>
    </w:p>
    <w:p>
      <w:pPr>
        <w:spacing w:line="32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2.6“竞争性谈判响应文件”是指：供应商根据本采购文件要求，编制包含报价、技术和服务等所有内容的文件，也称谈判文件。</w:t>
      </w:r>
    </w:p>
    <w:p>
      <w:pPr>
        <w:snapToGrid w:val="0"/>
        <w:spacing w:line="32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2.7“ 谈判供应商公章”系指谈判供应商</w:t>
      </w:r>
      <w:r>
        <w:rPr>
          <w:rFonts w:ascii="宋体" w:hAnsi="宋体"/>
          <w:snapToGrid w:val="0"/>
          <w:color w:val="auto"/>
          <w:kern w:val="0"/>
          <w:szCs w:val="21"/>
        </w:rPr>
        <w:t>用自己法定主体行为名称制作的签名印章</w:t>
      </w:r>
      <w:r>
        <w:rPr>
          <w:rFonts w:hint="eastAsia" w:ascii="宋体" w:hAnsi="宋体"/>
          <w:snapToGrid w:val="0"/>
          <w:color w:val="auto"/>
          <w:kern w:val="0"/>
          <w:szCs w:val="21"/>
        </w:rPr>
        <w:t>，不包含专用章。</w:t>
      </w:r>
    </w:p>
    <w:p>
      <w:pPr>
        <w:snapToGrid w:val="0"/>
        <w:spacing w:line="32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2.8 </w:t>
      </w:r>
      <w:r>
        <w:rPr>
          <w:rFonts w:ascii="宋体" w:hAnsi="宋体"/>
          <w:snapToGrid w:val="0"/>
          <w:color w:val="auto"/>
          <w:kern w:val="0"/>
          <w:szCs w:val="21"/>
        </w:rPr>
        <w:t>“</w:t>
      </w:r>
      <w:r>
        <w:rPr>
          <w:rFonts w:hint="eastAsia" w:ascii="宋体" w:hAnsi="宋体"/>
          <w:snapToGrid w:val="0"/>
          <w:color w:val="auto"/>
          <w:kern w:val="0"/>
          <w:szCs w:val="21"/>
        </w:rPr>
        <w:t>财政部门指定的政府采购信息发布媒体</w:t>
      </w:r>
      <w:r>
        <w:rPr>
          <w:rFonts w:ascii="宋体" w:hAnsi="宋体"/>
          <w:snapToGrid w:val="0"/>
          <w:color w:val="auto"/>
          <w:kern w:val="0"/>
          <w:szCs w:val="21"/>
        </w:rPr>
        <w:t>”</w:t>
      </w:r>
      <w:r>
        <w:rPr>
          <w:rFonts w:hint="eastAsia" w:ascii="宋体" w:hAnsi="宋体"/>
          <w:snapToGrid w:val="0"/>
          <w:color w:val="auto"/>
          <w:kern w:val="0"/>
          <w:szCs w:val="21"/>
        </w:rPr>
        <w:t>系指中国政府采购网、广西壮族自治区政府采购网、广西防城港政府采购网站、防城港市公共资源交易中心网。</w:t>
      </w:r>
    </w:p>
    <w:p>
      <w:pPr>
        <w:spacing w:line="320" w:lineRule="exact"/>
        <w:ind w:firstLine="420" w:firstLineChars="200"/>
        <w:rPr>
          <w:rFonts w:hint="default" w:ascii="宋体" w:hAnsi="宋体" w:eastAsia="宋体" w:cs="宋体"/>
          <w:snapToGrid w:val="0"/>
          <w:color w:val="auto"/>
          <w:kern w:val="0"/>
          <w:szCs w:val="21"/>
          <w:lang w:val="en-US" w:eastAsia="zh-CN"/>
        </w:rPr>
      </w:pPr>
      <w:r>
        <w:rPr>
          <w:rFonts w:hint="eastAsia" w:ascii="宋体" w:hAnsi="宋体"/>
          <w:snapToGrid w:val="0"/>
          <w:color w:val="auto"/>
          <w:kern w:val="0"/>
          <w:szCs w:val="21"/>
        </w:rPr>
        <w:t>3</w:t>
      </w:r>
      <w:r>
        <w:rPr>
          <w:rFonts w:hint="eastAsia" w:ascii="宋体" w:hAnsi="宋体"/>
          <w:snapToGrid w:val="0"/>
          <w:color w:val="auto"/>
          <w:kern w:val="0"/>
          <w:szCs w:val="21"/>
          <w:lang w:eastAsia="zh-CN"/>
        </w:rPr>
        <w:t>.</w:t>
      </w:r>
      <w:r>
        <w:rPr>
          <w:rFonts w:hint="eastAsia" w:ascii="宋体" w:hAnsi="宋体" w:cs="宋体"/>
          <w:snapToGrid w:val="0"/>
          <w:color w:val="auto"/>
          <w:kern w:val="0"/>
          <w:szCs w:val="21"/>
        </w:rPr>
        <w:t>谈判供应商资格及要求：</w:t>
      </w:r>
      <w:r>
        <w:rPr>
          <w:rFonts w:hint="eastAsia" w:ascii="宋体" w:hAnsi="宋体" w:cs="宋体"/>
          <w:snapToGrid w:val="0"/>
          <w:color w:val="auto"/>
          <w:kern w:val="0"/>
          <w:szCs w:val="21"/>
          <w:lang w:val="en-US" w:eastAsia="zh-CN"/>
        </w:rPr>
        <w:t>详见竞争性谈判公告。</w:t>
      </w:r>
    </w:p>
    <w:p>
      <w:pPr>
        <w:spacing w:line="320" w:lineRule="exact"/>
        <w:ind w:firstLine="420" w:firstLineChars="200"/>
        <w:rPr>
          <w:rFonts w:ascii="宋体" w:hAnsi="宋体"/>
          <w:color w:val="auto"/>
          <w:szCs w:val="21"/>
        </w:rPr>
      </w:pPr>
      <w:r>
        <w:rPr>
          <w:rFonts w:hint="eastAsia" w:ascii="宋体" w:hAnsi="宋体"/>
          <w:color w:val="auto"/>
          <w:szCs w:val="21"/>
        </w:rPr>
        <w:t>4.谈判费用</w:t>
      </w:r>
    </w:p>
    <w:p>
      <w:pPr>
        <w:spacing w:line="320" w:lineRule="exact"/>
        <w:ind w:firstLine="420" w:firstLineChars="200"/>
        <w:rPr>
          <w:rFonts w:ascii="宋体" w:hAnsi="宋体"/>
          <w:color w:val="auto"/>
          <w:szCs w:val="21"/>
        </w:rPr>
      </w:pPr>
      <w:r>
        <w:rPr>
          <w:rFonts w:hint="eastAsia" w:ascii="宋体" w:hAnsi="宋体"/>
          <w:color w:val="auto"/>
          <w:szCs w:val="21"/>
        </w:rPr>
        <w:t>谈判供应商应自行承担所有与编写和提交竞争性谈判响应文件有关的费用，不论谈判结果如何，采购人和采购代理机构在任何情况下无义务和责任承担此类费用。</w:t>
      </w:r>
    </w:p>
    <w:p>
      <w:pPr>
        <w:spacing w:line="320" w:lineRule="exact"/>
        <w:ind w:firstLine="420" w:firstLineChars="200"/>
        <w:rPr>
          <w:rFonts w:ascii="宋体" w:hAnsi="宋体"/>
          <w:color w:val="auto"/>
          <w:szCs w:val="21"/>
        </w:rPr>
      </w:pPr>
      <w:r>
        <w:rPr>
          <w:rFonts w:hint="eastAsia" w:ascii="宋体" w:hAnsi="宋体"/>
          <w:color w:val="auto"/>
          <w:szCs w:val="21"/>
        </w:rPr>
        <w:t>5.联合体谈判</w:t>
      </w:r>
    </w:p>
    <w:p>
      <w:pPr>
        <w:spacing w:line="320" w:lineRule="exact"/>
        <w:ind w:firstLine="462" w:firstLineChars="220"/>
        <w:rPr>
          <w:rFonts w:ascii="宋体" w:hAnsi="宋体"/>
          <w:color w:val="auto"/>
          <w:szCs w:val="21"/>
        </w:rPr>
      </w:pPr>
      <w:r>
        <w:rPr>
          <w:rFonts w:hint="eastAsia" w:ascii="宋体" w:hAnsi="宋体"/>
          <w:color w:val="auto"/>
          <w:szCs w:val="21"/>
        </w:rPr>
        <w:t>本项目不接受联合体谈判。</w:t>
      </w:r>
    </w:p>
    <w:p>
      <w:pPr>
        <w:spacing w:line="320" w:lineRule="exact"/>
        <w:ind w:firstLine="420" w:firstLineChars="200"/>
        <w:rPr>
          <w:rFonts w:ascii="宋体" w:hAnsi="宋体"/>
          <w:color w:val="auto"/>
          <w:szCs w:val="21"/>
        </w:rPr>
      </w:pPr>
      <w:r>
        <w:rPr>
          <w:rFonts w:hint="eastAsia" w:ascii="宋体" w:hAnsi="宋体"/>
          <w:color w:val="auto"/>
          <w:szCs w:val="21"/>
        </w:rPr>
        <w:t xml:space="preserve">6.转包与分包             </w:t>
      </w:r>
    </w:p>
    <w:p>
      <w:pPr>
        <w:spacing w:line="320" w:lineRule="exact"/>
        <w:ind w:firstLine="420" w:firstLineChars="200"/>
        <w:rPr>
          <w:rFonts w:ascii="宋体" w:hAnsi="宋体"/>
          <w:color w:val="auto"/>
          <w:szCs w:val="21"/>
        </w:rPr>
      </w:pPr>
      <w:r>
        <w:rPr>
          <w:rFonts w:hint="eastAsia" w:ascii="宋体" w:hAnsi="宋体"/>
          <w:color w:val="auto"/>
          <w:szCs w:val="21"/>
        </w:rPr>
        <w:t>6.1本项目不允许转包。</w:t>
      </w:r>
    </w:p>
    <w:p>
      <w:pPr>
        <w:spacing w:line="320" w:lineRule="exact"/>
        <w:ind w:firstLine="420" w:firstLineChars="200"/>
        <w:rPr>
          <w:rFonts w:ascii="宋体" w:hAnsi="宋体"/>
          <w:color w:val="auto"/>
          <w:szCs w:val="21"/>
        </w:rPr>
      </w:pPr>
      <w:r>
        <w:rPr>
          <w:rFonts w:hint="eastAsia" w:ascii="宋体" w:hAnsi="宋体"/>
          <w:color w:val="auto"/>
          <w:szCs w:val="21"/>
        </w:rPr>
        <w:t>6.2本项目不可以分包。</w:t>
      </w:r>
    </w:p>
    <w:p>
      <w:pPr>
        <w:pStyle w:val="12"/>
        <w:snapToGrid w:val="0"/>
        <w:spacing w:line="320" w:lineRule="exact"/>
        <w:ind w:firstLine="413" w:firstLineChars="196"/>
        <w:outlineLvl w:val="1"/>
        <w:rPr>
          <w:rFonts w:hAnsi="宋体"/>
          <w:b/>
          <w:bCs/>
          <w:color w:val="auto"/>
          <w:sz w:val="21"/>
        </w:rPr>
      </w:pPr>
      <w:bookmarkStart w:id="7" w:name="_Toc4380"/>
      <w:bookmarkStart w:id="8" w:name="_Toc254970674"/>
      <w:bookmarkStart w:id="9" w:name="_Toc254970533"/>
      <w:r>
        <w:rPr>
          <w:rFonts w:hint="eastAsia" w:hAnsi="宋体"/>
          <w:b/>
          <w:bCs/>
          <w:color w:val="auto"/>
          <w:sz w:val="21"/>
        </w:rPr>
        <w:t>7.质疑和投诉</w:t>
      </w:r>
      <w:bookmarkEnd w:id="7"/>
      <w:bookmarkEnd w:id="8"/>
      <w:bookmarkEnd w:id="9"/>
    </w:p>
    <w:p>
      <w:pPr>
        <w:pStyle w:val="12"/>
        <w:snapToGrid w:val="0"/>
        <w:spacing w:line="320" w:lineRule="exact"/>
        <w:ind w:firstLine="420" w:firstLineChars="200"/>
        <w:rPr>
          <w:rFonts w:hAnsi="宋体"/>
          <w:bCs/>
          <w:color w:val="auto"/>
          <w:sz w:val="21"/>
        </w:rPr>
      </w:pPr>
      <w:r>
        <w:rPr>
          <w:rFonts w:hint="eastAsia" w:hAnsi="宋体"/>
          <w:bCs/>
          <w:color w:val="auto"/>
          <w:sz w:val="21"/>
        </w:rPr>
        <w:t>7.1谈判供应商认为采购过程或成交结果使自己的合法权益受到损害的，应当在知道或者应知其权益受到损害之日起七个工作日内，以书面形式向采购代理机构提出质疑。</w:t>
      </w:r>
      <w:r>
        <w:rPr>
          <w:rFonts w:hint="eastAsia" w:hAnsi="宋体"/>
          <w:color w:val="auto"/>
          <w:sz w:val="21"/>
        </w:rPr>
        <w:t>谈判供应商对</w:t>
      </w:r>
      <w:r>
        <w:rPr>
          <w:rFonts w:hint="eastAsia" w:hAnsi="宋体"/>
          <w:bCs/>
          <w:color w:val="auto"/>
          <w:sz w:val="21"/>
        </w:rPr>
        <w:t>采购代理机构</w:t>
      </w:r>
      <w:r>
        <w:rPr>
          <w:rFonts w:hint="eastAsia" w:hAnsi="宋体"/>
          <w:color w:val="auto"/>
          <w:sz w:val="21"/>
        </w:rPr>
        <w:t>的质疑答复不满意或者</w:t>
      </w:r>
      <w:r>
        <w:rPr>
          <w:rFonts w:hint="eastAsia" w:hAnsi="宋体"/>
          <w:bCs/>
          <w:color w:val="auto"/>
          <w:sz w:val="21"/>
        </w:rPr>
        <w:t>采购代理机构</w:t>
      </w:r>
      <w:r>
        <w:rPr>
          <w:rFonts w:hint="eastAsia" w:hAnsi="宋体"/>
          <w:color w:val="auto"/>
          <w:sz w:val="21"/>
        </w:rPr>
        <w:t>未在规定时间内作出答复的，可以在答复期满后十五个工作日内向同级政府采购监督管理部门投诉。</w:t>
      </w:r>
    </w:p>
    <w:p>
      <w:pPr>
        <w:pStyle w:val="12"/>
        <w:snapToGrid w:val="0"/>
        <w:spacing w:line="320" w:lineRule="exact"/>
        <w:ind w:firstLine="420" w:firstLineChars="200"/>
        <w:rPr>
          <w:rFonts w:hAnsi="宋体"/>
          <w:color w:val="auto"/>
          <w:sz w:val="21"/>
        </w:rPr>
      </w:pPr>
      <w:r>
        <w:rPr>
          <w:rFonts w:hint="eastAsia" w:hAnsi="宋体"/>
          <w:color w:val="auto"/>
          <w:sz w:val="21"/>
        </w:rPr>
        <w:t>7.2质疑、投诉应当采用书面形式，质疑书、投诉书均应明确阐述采购过程或成交结果使自己合法权益受到损害的实质性内容，并提供相关事实、依据和证据及其来源或线索，便于有关单位调查、答复和处理。</w:t>
      </w:r>
    </w:p>
    <w:p>
      <w:pPr>
        <w:pStyle w:val="12"/>
        <w:snapToGrid w:val="0"/>
        <w:spacing w:line="320" w:lineRule="exact"/>
        <w:ind w:firstLine="420" w:firstLineChars="200"/>
        <w:rPr>
          <w:rFonts w:hAnsi="宋体"/>
          <w:bCs/>
          <w:color w:val="auto"/>
          <w:sz w:val="21"/>
        </w:rPr>
      </w:pPr>
      <w:r>
        <w:rPr>
          <w:rFonts w:hint="eastAsia" w:hAnsi="宋体"/>
          <w:bCs/>
          <w:color w:val="auto"/>
          <w:sz w:val="21"/>
        </w:rPr>
        <w:t>7.3</w:t>
      </w:r>
      <w:r>
        <w:rPr>
          <w:rFonts w:hint="eastAsia" w:hAnsi="宋体"/>
          <w:b/>
          <w:bCs/>
          <w:color w:val="auto"/>
          <w:sz w:val="21"/>
        </w:rPr>
        <w:t xml:space="preserve"> 谈判供应商认为竞争性谈判采购文件使自己的合法权益受到损害的，按“10.1条款” 执行。</w:t>
      </w:r>
    </w:p>
    <w:p>
      <w:pPr>
        <w:snapToGrid w:val="0"/>
        <w:spacing w:beforeLines="50" w:line="320" w:lineRule="exact"/>
        <w:ind w:firstLine="411" w:firstLineChars="196"/>
        <w:jc w:val="left"/>
        <w:outlineLvl w:val="1"/>
        <w:rPr>
          <w:rFonts w:ascii="宋体" w:hAnsi="宋体"/>
          <w:bCs/>
          <w:color w:val="auto"/>
          <w:szCs w:val="21"/>
        </w:rPr>
      </w:pPr>
      <w:bookmarkStart w:id="10" w:name="_Toc254970532"/>
      <w:bookmarkStart w:id="11" w:name="_Toc254970673"/>
      <w:bookmarkStart w:id="12" w:name="_Toc9459"/>
      <w:r>
        <w:rPr>
          <w:rFonts w:hint="eastAsia" w:ascii="宋体" w:hAnsi="宋体"/>
          <w:bCs/>
          <w:color w:val="auto"/>
          <w:szCs w:val="21"/>
        </w:rPr>
        <w:t>8.特别说明：</w:t>
      </w:r>
      <w:bookmarkEnd w:id="10"/>
      <w:bookmarkEnd w:id="11"/>
      <w:bookmarkEnd w:id="12"/>
    </w:p>
    <w:p>
      <w:pPr>
        <w:pStyle w:val="12"/>
        <w:snapToGrid w:val="0"/>
        <w:spacing w:line="320" w:lineRule="exact"/>
        <w:ind w:firstLine="420" w:firstLineChars="200"/>
        <w:rPr>
          <w:rFonts w:hAnsi="宋体"/>
          <w:color w:val="auto"/>
          <w:sz w:val="21"/>
        </w:rPr>
      </w:pPr>
      <w:r>
        <w:rPr>
          <w:rFonts w:hint="eastAsia" w:hAnsi="宋体"/>
          <w:color w:val="auto"/>
          <w:sz w:val="21"/>
        </w:rPr>
        <w:t>8.1采用最低评标价法的采购项目，提供相同品牌产品的不同投标人参加同一合同项下谈判的，以其中通过资格审查、符合性审查且报价最低的参加评标；报价相同的，由采购人或者采购人委托评标委员会按照招标文件规定的方式确定一个参加评标的投标人，采购文件未规定的采取随机抽取方式确定，其他谈判无效。</w:t>
      </w:r>
    </w:p>
    <w:p>
      <w:pPr>
        <w:pStyle w:val="12"/>
        <w:snapToGrid w:val="0"/>
        <w:spacing w:line="320" w:lineRule="exact"/>
        <w:ind w:firstLine="420" w:firstLineChars="200"/>
        <w:rPr>
          <w:rFonts w:hAnsi="宋体"/>
          <w:color w:val="auto"/>
          <w:sz w:val="21"/>
        </w:rPr>
      </w:pPr>
      <w:r>
        <w:rPr>
          <w:rFonts w:hint="eastAsia" w:hAnsi="宋体"/>
          <w:color w:val="auto"/>
          <w:sz w:val="21"/>
        </w:rPr>
        <w:t>非单一产品采购项目，采购人应当根据采购项目技术构成、产品价格比重等合理确定核心产品，并在采购文件中载明。多家供应商提供的核心产品品牌相同的，按前款规定处理。</w:t>
      </w:r>
    </w:p>
    <w:p>
      <w:pPr>
        <w:pStyle w:val="12"/>
        <w:snapToGrid w:val="0"/>
        <w:spacing w:line="320" w:lineRule="exact"/>
        <w:ind w:left="2" w:leftChars="1" w:firstLine="420" w:firstLineChars="200"/>
        <w:rPr>
          <w:rFonts w:hAnsi="宋体"/>
          <w:color w:val="auto"/>
          <w:sz w:val="21"/>
        </w:rPr>
      </w:pPr>
      <w:r>
        <w:rPr>
          <w:rFonts w:hint="eastAsia" w:hAnsi="宋体"/>
          <w:color w:val="auto"/>
          <w:sz w:val="21"/>
        </w:rPr>
        <w:t>8.2谈判供应商谈判所使用的资格、信誉、荣誉、业绩与企业认证必须为本法人所拥有。谈判供应商投标所使用的采购项目实施人员必须为本法人员工（或必须为本法人或控股公司正式员工）。</w:t>
      </w:r>
    </w:p>
    <w:p>
      <w:pPr>
        <w:pStyle w:val="12"/>
        <w:snapToGrid w:val="0"/>
        <w:spacing w:line="320" w:lineRule="exact"/>
        <w:ind w:left="2" w:leftChars="1" w:firstLine="420" w:firstLineChars="200"/>
        <w:rPr>
          <w:rFonts w:hAnsi="宋体"/>
          <w:color w:val="auto"/>
          <w:sz w:val="21"/>
        </w:rPr>
      </w:pPr>
      <w:r>
        <w:rPr>
          <w:rFonts w:hint="eastAsia" w:hAnsi="宋体"/>
          <w:color w:val="auto"/>
          <w:sz w:val="21"/>
        </w:rPr>
        <w:t>8.3谈判供应商应仔细阅读采购文件的所有内容，按照采购文件的要求提交响应文件，并对所提供的全部资料的真实性承担法律责任。</w:t>
      </w:r>
    </w:p>
    <w:p>
      <w:pPr>
        <w:pStyle w:val="12"/>
        <w:snapToGrid w:val="0"/>
        <w:spacing w:line="320" w:lineRule="exact"/>
        <w:ind w:left="2" w:leftChars="1" w:firstLine="420" w:firstLineChars="200"/>
        <w:rPr>
          <w:rFonts w:hAnsi="宋体"/>
          <w:color w:val="auto"/>
          <w:sz w:val="21"/>
        </w:rPr>
      </w:pPr>
      <w:r>
        <w:rPr>
          <w:rFonts w:hint="eastAsia" w:hAnsi="宋体"/>
          <w:color w:val="auto"/>
          <w:sz w:val="21"/>
        </w:rPr>
        <w:t>8.4谈判供应商在投标活动中提供任何虚假材料，其投标无效，并报监管部门处理；成交后发现的，成交供应商须依照《中华人民共和国消费者权益保护法》第49条之规定赔偿采购人，且民事赔偿并不免除违法谈判供应商的行政与刑事责任。</w:t>
      </w:r>
    </w:p>
    <w:p>
      <w:pPr>
        <w:pStyle w:val="12"/>
        <w:snapToGrid w:val="0"/>
        <w:spacing w:line="320" w:lineRule="exact"/>
        <w:ind w:firstLine="422" w:firstLineChars="200"/>
        <w:jc w:val="center"/>
        <w:rPr>
          <w:rFonts w:hAnsi="宋体"/>
          <w:b/>
          <w:color w:val="auto"/>
          <w:sz w:val="21"/>
        </w:rPr>
      </w:pPr>
    </w:p>
    <w:p>
      <w:pPr>
        <w:pStyle w:val="12"/>
        <w:snapToGrid w:val="0"/>
        <w:spacing w:line="320" w:lineRule="exact"/>
        <w:ind w:firstLine="422" w:firstLineChars="200"/>
        <w:jc w:val="center"/>
        <w:rPr>
          <w:rFonts w:hAnsi="宋体"/>
          <w:b/>
          <w:color w:val="auto"/>
          <w:sz w:val="21"/>
        </w:rPr>
      </w:pPr>
      <w:r>
        <w:rPr>
          <w:rFonts w:hint="eastAsia" w:hAnsi="宋体"/>
          <w:b/>
          <w:color w:val="auto"/>
          <w:sz w:val="21"/>
        </w:rPr>
        <w:t>二、竞争性谈判采购文件</w:t>
      </w:r>
    </w:p>
    <w:p>
      <w:pPr>
        <w:pStyle w:val="12"/>
        <w:snapToGrid w:val="0"/>
        <w:spacing w:line="320" w:lineRule="exact"/>
        <w:ind w:firstLine="422" w:firstLineChars="200"/>
        <w:jc w:val="center"/>
        <w:rPr>
          <w:rFonts w:hAnsi="宋体"/>
          <w:b/>
          <w:color w:val="auto"/>
          <w:sz w:val="21"/>
        </w:rPr>
      </w:pPr>
    </w:p>
    <w:p>
      <w:pPr>
        <w:pStyle w:val="12"/>
        <w:snapToGrid w:val="0"/>
        <w:spacing w:line="320" w:lineRule="exact"/>
        <w:ind w:firstLine="422" w:firstLineChars="200"/>
        <w:rPr>
          <w:rFonts w:hAnsi="宋体"/>
          <w:b/>
          <w:color w:val="auto"/>
          <w:sz w:val="21"/>
        </w:rPr>
      </w:pPr>
      <w:r>
        <w:rPr>
          <w:rFonts w:hint="eastAsia" w:hAnsi="宋体"/>
          <w:b/>
          <w:color w:val="auto"/>
          <w:sz w:val="21"/>
        </w:rPr>
        <w:t>9.竞争性谈判采购文件构成</w:t>
      </w:r>
    </w:p>
    <w:p>
      <w:pPr>
        <w:pStyle w:val="12"/>
        <w:snapToGrid w:val="0"/>
        <w:spacing w:line="320" w:lineRule="exact"/>
        <w:ind w:firstLine="420" w:firstLineChars="200"/>
        <w:rPr>
          <w:rFonts w:hAnsi="宋体"/>
          <w:bCs/>
          <w:color w:val="auto"/>
          <w:sz w:val="21"/>
        </w:rPr>
      </w:pPr>
      <w:r>
        <w:rPr>
          <w:rFonts w:hint="eastAsia" w:hAnsi="宋体"/>
          <w:bCs/>
          <w:color w:val="auto"/>
          <w:sz w:val="21"/>
        </w:rPr>
        <w:t>9.1竞争性谈判公告；</w:t>
      </w:r>
    </w:p>
    <w:p>
      <w:pPr>
        <w:pStyle w:val="12"/>
        <w:snapToGrid w:val="0"/>
        <w:spacing w:line="320" w:lineRule="exact"/>
        <w:ind w:firstLine="420" w:firstLineChars="200"/>
        <w:rPr>
          <w:rFonts w:hAnsi="宋体"/>
          <w:bCs/>
          <w:color w:val="auto"/>
          <w:sz w:val="21"/>
        </w:rPr>
      </w:pPr>
      <w:r>
        <w:rPr>
          <w:rFonts w:hint="eastAsia" w:hAnsi="宋体"/>
          <w:bCs/>
          <w:color w:val="auto"/>
          <w:sz w:val="21"/>
        </w:rPr>
        <w:t>9.2谈判须知；</w:t>
      </w:r>
    </w:p>
    <w:p>
      <w:pPr>
        <w:pStyle w:val="12"/>
        <w:snapToGrid w:val="0"/>
        <w:spacing w:line="320" w:lineRule="exact"/>
        <w:ind w:firstLine="420" w:firstLineChars="200"/>
        <w:rPr>
          <w:rFonts w:hAnsi="宋体"/>
          <w:bCs/>
          <w:color w:val="auto"/>
          <w:sz w:val="21"/>
        </w:rPr>
      </w:pPr>
      <w:r>
        <w:rPr>
          <w:rFonts w:hint="eastAsia" w:hAnsi="宋体"/>
          <w:bCs/>
          <w:color w:val="auto"/>
          <w:sz w:val="21"/>
        </w:rPr>
        <w:t>9.3项目需求；</w:t>
      </w:r>
    </w:p>
    <w:p>
      <w:pPr>
        <w:pStyle w:val="12"/>
        <w:snapToGrid w:val="0"/>
        <w:spacing w:line="320" w:lineRule="exact"/>
        <w:ind w:firstLine="420" w:firstLineChars="200"/>
        <w:rPr>
          <w:rFonts w:hAnsi="宋体"/>
          <w:bCs/>
          <w:color w:val="auto"/>
          <w:sz w:val="21"/>
        </w:rPr>
      </w:pPr>
      <w:r>
        <w:rPr>
          <w:rFonts w:hint="eastAsia" w:hAnsi="宋体"/>
          <w:bCs/>
          <w:color w:val="auto"/>
          <w:sz w:val="21"/>
        </w:rPr>
        <w:t>9.4评标办法；</w:t>
      </w:r>
    </w:p>
    <w:p>
      <w:pPr>
        <w:pStyle w:val="12"/>
        <w:snapToGrid w:val="0"/>
        <w:spacing w:line="320" w:lineRule="exact"/>
        <w:ind w:firstLine="420" w:firstLineChars="200"/>
        <w:rPr>
          <w:rFonts w:hAnsi="宋体"/>
          <w:bCs/>
          <w:color w:val="auto"/>
          <w:sz w:val="21"/>
        </w:rPr>
      </w:pPr>
      <w:r>
        <w:rPr>
          <w:rFonts w:hint="eastAsia" w:hAnsi="宋体"/>
          <w:bCs/>
          <w:color w:val="auto"/>
          <w:sz w:val="21"/>
        </w:rPr>
        <w:t>9.5合同主要条款；</w:t>
      </w:r>
    </w:p>
    <w:p>
      <w:pPr>
        <w:pStyle w:val="12"/>
        <w:snapToGrid w:val="0"/>
        <w:spacing w:line="320" w:lineRule="exact"/>
        <w:ind w:firstLine="420" w:firstLineChars="200"/>
        <w:rPr>
          <w:rFonts w:hAnsi="宋体"/>
          <w:bCs/>
          <w:color w:val="auto"/>
          <w:sz w:val="21"/>
        </w:rPr>
      </w:pPr>
      <w:r>
        <w:rPr>
          <w:rFonts w:hint="eastAsia" w:hAnsi="宋体"/>
          <w:bCs/>
          <w:color w:val="auto"/>
          <w:sz w:val="21"/>
        </w:rPr>
        <w:t>9.6竞争性谈判响应文件格式。</w:t>
      </w:r>
    </w:p>
    <w:p>
      <w:pPr>
        <w:pStyle w:val="12"/>
        <w:spacing w:line="320" w:lineRule="exact"/>
        <w:ind w:firstLine="413" w:firstLineChars="196"/>
        <w:rPr>
          <w:rFonts w:hAnsi="宋体"/>
          <w:color w:val="auto"/>
          <w:sz w:val="21"/>
        </w:rPr>
      </w:pPr>
      <w:r>
        <w:rPr>
          <w:rFonts w:hint="eastAsia" w:hAnsi="宋体"/>
          <w:b/>
          <w:bCs/>
          <w:color w:val="auto"/>
          <w:sz w:val="21"/>
        </w:rPr>
        <w:t>10.</w:t>
      </w:r>
      <w:r>
        <w:rPr>
          <w:rFonts w:hint="eastAsia" w:hAnsi="宋体"/>
          <w:b/>
          <w:color w:val="auto"/>
          <w:sz w:val="21"/>
        </w:rPr>
        <w:t>竞争性谈判采购文件的澄清和修改</w:t>
      </w:r>
    </w:p>
    <w:p>
      <w:pPr>
        <w:pStyle w:val="12"/>
        <w:tabs>
          <w:tab w:val="left" w:pos="455"/>
        </w:tabs>
        <w:spacing w:line="320" w:lineRule="exact"/>
        <w:ind w:firstLine="420" w:firstLineChars="200"/>
        <w:rPr>
          <w:rFonts w:hAnsi="宋体"/>
          <w:b/>
          <w:bCs/>
          <w:color w:val="auto"/>
          <w:sz w:val="21"/>
        </w:rPr>
      </w:pPr>
      <w:r>
        <w:rPr>
          <w:rFonts w:ascii="Arial" w:hAnsi="Arial" w:cs="Arial"/>
          <w:color w:val="auto"/>
          <w:sz w:val="21"/>
          <w:shd w:val="clear" w:color="auto" w:fill="FFFFFF"/>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pStyle w:val="12"/>
        <w:tabs>
          <w:tab w:val="left" w:pos="455"/>
        </w:tabs>
        <w:spacing w:line="320" w:lineRule="exact"/>
        <w:ind w:firstLine="420" w:firstLineChars="200"/>
        <w:rPr>
          <w:rFonts w:hAnsi="宋体"/>
          <w:color w:val="auto"/>
          <w:sz w:val="21"/>
        </w:rPr>
      </w:pPr>
    </w:p>
    <w:p>
      <w:pPr>
        <w:spacing w:line="320" w:lineRule="exact"/>
        <w:jc w:val="center"/>
        <w:rPr>
          <w:rFonts w:ascii="宋体" w:hAnsi="宋体"/>
          <w:b/>
          <w:color w:val="auto"/>
          <w:szCs w:val="21"/>
        </w:rPr>
      </w:pPr>
      <w:r>
        <w:rPr>
          <w:rFonts w:hint="eastAsia" w:ascii="宋体" w:hAnsi="宋体"/>
          <w:b/>
          <w:color w:val="auto"/>
          <w:szCs w:val="21"/>
        </w:rPr>
        <w:t>三、竞争性谈判响应文件的编制</w:t>
      </w:r>
    </w:p>
    <w:p>
      <w:pPr>
        <w:spacing w:line="320" w:lineRule="exact"/>
        <w:jc w:val="center"/>
        <w:rPr>
          <w:rFonts w:ascii="宋体" w:hAnsi="宋体"/>
          <w:b/>
          <w:color w:val="auto"/>
          <w:szCs w:val="21"/>
        </w:rPr>
      </w:pPr>
    </w:p>
    <w:p>
      <w:pPr>
        <w:spacing w:line="320" w:lineRule="exact"/>
        <w:ind w:firstLine="420" w:firstLineChars="200"/>
        <w:rPr>
          <w:rFonts w:ascii="宋体" w:hAnsi="宋体"/>
          <w:color w:val="auto"/>
          <w:szCs w:val="21"/>
        </w:rPr>
      </w:pPr>
      <w:r>
        <w:rPr>
          <w:rFonts w:hint="eastAsia" w:ascii="宋体" w:hAnsi="宋体"/>
          <w:color w:val="auto"/>
          <w:szCs w:val="21"/>
        </w:rPr>
        <w:t>11.竞争性谈判响应文件的组成</w:t>
      </w:r>
    </w:p>
    <w:p>
      <w:pPr>
        <w:spacing w:line="320" w:lineRule="exact"/>
        <w:ind w:firstLine="420" w:firstLineChars="200"/>
        <w:rPr>
          <w:rFonts w:ascii="宋体" w:hAnsi="宋体"/>
          <w:color w:val="auto"/>
          <w:szCs w:val="21"/>
        </w:rPr>
      </w:pPr>
      <w:r>
        <w:rPr>
          <w:rFonts w:hint="eastAsia" w:ascii="宋体" w:hAnsi="宋体"/>
          <w:color w:val="auto"/>
          <w:szCs w:val="21"/>
        </w:rPr>
        <w:t>竞争性谈判响应文件应并按竞争性谈判采购文件第六章格式的要求填写并装订。</w:t>
      </w:r>
    </w:p>
    <w:p>
      <w:pPr>
        <w:spacing w:line="320" w:lineRule="exact"/>
        <w:ind w:firstLine="420" w:firstLineChars="200"/>
        <w:rPr>
          <w:rFonts w:ascii="宋体" w:hAnsi="宋体"/>
          <w:color w:val="auto"/>
          <w:szCs w:val="21"/>
        </w:rPr>
      </w:pPr>
      <w:r>
        <w:rPr>
          <w:rFonts w:hint="eastAsia" w:ascii="宋体" w:hAnsi="宋体"/>
          <w:color w:val="auto"/>
          <w:szCs w:val="21"/>
        </w:rPr>
        <w:t>（1）竞标函；</w:t>
      </w:r>
    </w:p>
    <w:p>
      <w:pPr>
        <w:spacing w:line="320" w:lineRule="exact"/>
        <w:ind w:firstLine="420" w:firstLineChars="200"/>
        <w:rPr>
          <w:rFonts w:ascii="宋体" w:hAnsi="宋体"/>
          <w:color w:val="auto"/>
          <w:szCs w:val="21"/>
        </w:rPr>
      </w:pPr>
      <w:r>
        <w:rPr>
          <w:rFonts w:hint="eastAsia" w:ascii="宋体" w:hAnsi="宋体"/>
          <w:color w:val="auto"/>
          <w:szCs w:val="21"/>
        </w:rPr>
        <w:t>（2）谈判报价表；</w:t>
      </w:r>
    </w:p>
    <w:p>
      <w:pPr>
        <w:spacing w:line="320" w:lineRule="exact"/>
        <w:ind w:firstLine="420" w:firstLineChars="200"/>
        <w:rPr>
          <w:rFonts w:ascii="宋体" w:hAnsi="宋体"/>
          <w:color w:val="auto"/>
          <w:szCs w:val="21"/>
        </w:rPr>
      </w:pPr>
      <w:r>
        <w:rPr>
          <w:rFonts w:hint="eastAsia" w:ascii="宋体" w:hAnsi="宋体"/>
          <w:color w:val="auto"/>
          <w:szCs w:val="21"/>
        </w:rPr>
        <w:t>（3）谈判书；</w:t>
      </w:r>
    </w:p>
    <w:p>
      <w:pPr>
        <w:spacing w:line="320" w:lineRule="exact"/>
        <w:ind w:firstLine="420" w:firstLineChars="200"/>
        <w:rPr>
          <w:rFonts w:ascii="宋体" w:hAnsi="宋体"/>
          <w:color w:val="auto"/>
          <w:szCs w:val="21"/>
        </w:rPr>
      </w:pPr>
      <w:r>
        <w:rPr>
          <w:rFonts w:hint="eastAsia" w:ascii="宋体" w:hAnsi="宋体"/>
          <w:color w:val="auto"/>
          <w:szCs w:val="21"/>
        </w:rPr>
        <w:t>（4）供货清单；</w:t>
      </w:r>
    </w:p>
    <w:p>
      <w:pPr>
        <w:spacing w:line="320" w:lineRule="exact"/>
        <w:ind w:firstLine="420" w:firstLineChars="200"/>
        <w:rPr>
          <w:rFonts w:ascii="宋体" w:hAnsi="宋体"/>
          <w:color w:val="auto"/>
          <w:szCs w:val="21"/>
        </w:rPr>
      </w:pPr>
      <w:r>
        <w:rPr>
          <w:rFonts w:hint="eastAsia" w:ascii="宋体" w:hAnsi="宋体"/>
          <w:color w:val="auto"/>
          <w:szCs w:val="21"/>
        </w:rPr>
        <w:t>（5）技术响应、偏离情况说明表；</w:t>
      </w:r>
    </w:p>
    <w:p>
      <w:pPr>
        <w:spacing w:line="320" w:lineRule="exact"/>
        <w:ind w:firstLine="420" w:firstLineChars="200"/>
        <w:rPr>
          <w:rFonts w:ascii="宋体" w:hAnsi="宋体"/>
          <w:color w:val="auto"/>
          <w:szCs w:val="21"/>
        </w:rPr>
      </w:pPr>
      <w:r>
        <w:rPr>
          <w:rFonts w:hint="eastAsia" w:ascii="宋体" w:hAnsi="宋体"/>
          <w:color w:val="auto"/>
          <w:szCs w:val="21"/>
        </w:rPr>
        <w:t>（6）售后服务承诺书（如有）；</w:t>
      </w:r>
    </w:p>
    <w:p>
      <w:pPr>
        <w:spacing w:line="320" w:lineRule="exact"/>
        <w:ind w:firstLine="420" w:firstLineChars="200"/>
        <w:rPr>
          <w:rFonts w:ascii="宋体" w:hAnsi="宋体"/>
          <w:color w:val="auto"/>
          <w:szCs w:val="21"/>
        </w:rPr>
      </w:pPr>
      <w:r>
        <w:rPr>
          <w:rFonts w:hint="eastAsia" w:ascii="宋体" w:hAnsi="宋体"/>
          <w:color w:val="auto"/>
          <w:szCs w:val="21"/>
        </w:rPr>
        <w:t>（7）谈判供应商资格证明文件（按本须知第12条要求提供）；</w:t>
      </w:r>
    </w:p>
    <w:p>
      <w:pPr>
        <w:spacing w:line="320" w:lineRule="exact"/>
        <w:ind w:firstLine="420" w:firstLineChars="200"/>
        <w:rPr>
          <w:rFonts w:ascii="宋体" w:hAnsi="宋体"/>
          <w:color w:val="auto"/>
          <w:szCs w:val="21"/>
        </w:rPr>
      </w:pPr>
      <w:r>
        <w:rPr>
          <w:rFonts w:hint="eastAsia" w:ascii="宋体" w:hAnsi="宋体"/>
          <w:color w:val="auto"/>
          <w:szCs w:val="21"/>
        </w:rPr>
        <w:t>（8）货物合格证明文件（按本须知第13条要求提供）；</w:t>
      </w:r>
    </w:p>
    <w:p>
      <w:pPr>
        <w:spacing w:line="320" w:lineRule="exact"/>
        <w:ind w:firstLine="420" w:firstLineChars="200"/>
        <w:rPr>
          <w:rFonts w:ascii="宋体" w:hAnsi="宋体"/>
          <w:color w:val="auto"/>
          <w:szCs w:val="21"/>
        </w:rPr>
      </w:pPr>
      <w:r>
        <w:rPr>
          <w:rFonts w:hint="eastAsia" w:ascii="宋体" w:hAnsi="宋体"/>
          <w:color w:val="auto"/>
          <w:szCs w:val="21"/>
        </w:rPr>
        <w:t>（9）谈判供应商必须提供的其他材料。</w:t>
      </w:r>
    </w:p>
    <w:p>
      <w:pPr>
        <w:pStyle w:val="12"/>
        <w:spacing w:line="320" w:lineRule="exact"/>
        <w:ind w:firstLine="420"/>
        <w:rPr>
          <w:rFonts w:hAnsi="宋体"/>
          <w:color w:val="auto"/>
          <w:sz w:val="21"/>
        </w:rPr>
      </w:pPr>
      <w:r>
        <w:rPr>
          <w:rFonts w:hint="eastAsia" w:hAnsi="宋体"/>
          <w:color w:val="auto"/>
          <w:sz w:val="21"/>
        </w:rPr>
        <w:t>12. 谈判供应商资格证明文件</w:t>
      </w:r>
      <w:r>
        <w:rPr>
          <w:rFonts w:hint="eastAsia" w:hAnsi="宋体"/>
          <w:b/>
          <w:color w:val="auto"/>
          <w:sz w:val="21"/>
        </w:rPr>
        <w:t>：</w:t>
      </w:r>
      <w:r>
        <w:rPr>
          <w:rFonts w:hint="eastAsia" w:hAnsi="宋体"/>
          <w:color w:val="auto"/>
          <w:sz w:val="21"/>
        </w:rPr>
        <w:t xml:space="preserve"> </w:t>
      </w:r>
    </w:p>
    <w:p>
      <w:pPr>
        <w:pStyle w:val="12"/>
        <w:spacing w:line="320" w:lineRule="exact"/>
        <w:ind w:firstLine="420"/>
        <w:rPr>
          <w:rFonts w:hAnsi="宋体"/>
          <w:color w:val="auto"/>
          <w:sz w:val="21"/>
        </w:rPr>
      </w:pPr>
      <w:r>
        <w:rPr>
          <w:rFonts w:hint="eastAsia" w:hAnsi="宋体"/>
          <w:color w:val="auto"/>
          <w:sz w:val="21"/>
        </w:rPr>
        <w:t>（1）有效的主体资格证明（如营业执照或事业单位法人证书等）副本复印件(必须提供)；</w:t>
      </w:r>
    </w:p>
    <w:p>
      <w:pPr>
        <w:pStyle w:val="12"/>
        <w:spacing w:line="320" w:lineRule="exact"/>
        <w:ind w:firstLine="420"/>
        <w:rPr>
          <w:rFonts w:hAnsi="宋体"/>
          <w:color w:val="auto"/>
          <w:sz w:val="21"/>
        </w:rPr>
      </w:pPr>
      <w:r>
        <w:rPr>
          <w:rFonts w:hint="eastAsia" w:hAnsi="宋体"/>
          <w:color w:val="auto"/>
          <w:sz w:val="21"/>
        </w:rPr>
        <w:t>（2）有效的水产苗种生产许可证复印件(必须提供)；</w:t>
      </w:r>
    </w:p>
    <w:p>
      <w:pPr>
        <w:pStyle w:val="12"/>
        <w:spacing w:line="320" w:lineRule="exact"/>
        <w:ind w:firstLine="420"/>
        <w:rPr>
          <w:rFonts w:hAnsi="宋体"/>
          <w:color w:val="auto"/>
          <w:sz w:val="21"/>
        </w:rPr>
      </w:pPr>
      <w:r>
        <w:rPr>
          <w:rFonts w:hint="eastAsia" w:hAnsi="宋体"/>
          <w:color w:val="auto"/>
          <w:sz w:val="21"/>
        </w:rPr>
        <w:t>（3）法定代表人完整有效的正反面身份证复印件（必须提供）；</w:t>
      </w:r>
    </w:p>
    <w:p>
      <w:pPr>
        <w:pStyle w:val="12"/>
        <w:spacing w:line="320" w:lineRule="exact"/>
        <w:ind w:firstLine="420"/>
        <w:rPr>
          <w:rFonts w:hAnsi="宋体"/>
          <w:color w:val="auto"/>
          <w:sz w:val="21"/>
        </w:rPr>
      </w:pPr>
      <w:r>
        <w:rPr>
          <w:rFonts w:hint="eastAsia" w:hAnsi="宋体"/>
          <w:color w:val="auto"/>
          <w:sz w:val="21"/>
        </w:rPr>
        <w:t>（4）法定代表人授权委托书原件和委托代理人完整有效的正反面身份证复印件（委托代理时必须提供)；</w:t>
      </w:r>
    </w:p>
    <w:p>
      <w:pPr>
        <w:pStyle w:val="12"/>
        <w:spacing w:line="320" w:lineRule="exact"/>
        <w:ind w:firstLine="420"/>
        <w:rPr>
          <w:rFonts w:hAnsi="宋体"/>
          <w:color w:val="auto"/>
          <w:sz w:val="21"/>
        </w:rPr>
      </w:pPr>
      <w:r>
        <w:rPr>
          <w:rFonts w:hint="eastAsia" w:hAnsi="宋体"/>
          <w:color w:val="auto"/>
          <w:sz w:val="21"/>
        </w:rPr>
        <w:t>（5）谈判供应商在响应文件递交时间截止前半年内连续3个月的依法缴纳税费的凭据复印件；无纳税记录的，应提供由供应商所在地的税务部门出具的免税证明复印件。从取得营业执照时间起到投标截止时间为止不足要求月数的，只需提供从取得营业执照起的依法缴纳税费或依法免税证明复印件；（必须提供，否则谈判无效）</w:t>
      </w:r>
    </w:p>
    <w:p>
      <w:pPr>
        <w:pStyle w:val="12"/>
        <w:spacing w:line="320" w:lineRule="exact"/>
        <w:ind w:firstLine="420"/>
        <w:rPr>
          <w:rFonts w:hAnsi="宋体"/>
          <w:color w:val="auto"/>
          <w:sz w:val="21"/>
        </w:rPr>
      </w:pPr>
      <w:r>
        <w:rPr>
          <w:rFonts w:hint="eastAsia" w:hAnsi="宋体"/>
          <w:color w:val="auto"/>
          <w:sz w:val="21"/>
        </w:rPr>
        <w:t>（6）谈判供应商在响应文件递交时间截止前半年内连续3个月的依法缴纳社保费的缴费凭证复印件；无缴费记录的，应提供由供应商所在地行政主管部门出具的依法免缴社保费证明复印件。从取得营业执照时间起到投标截止时间为止不足要求月数的只需提供从取得营业执照起的依法缴纳社保费的缴费凭证复印件；（必须提供，否则谈判无效）</w:t>
      </w:r>
    </w:p>
    <w:p>
      <w:pPr>
        <w:pStyle w:val="12"/>
        <w:spacing w:line="320" w:lineRule="exact"/>
        <w:ind w:firstLine="420"/>
        <w:rPr>
          <w:rFonts w:hAnsi="宋体"/>
          <w:color w:val="auto"/>
          <w:sz w:val="21"/>
        </w:rPr>
      </w:pPr>
      <w:r>
        <w:rPr>
          <w:rFonts w:hint="eastAsia" w:hAnsi="宋体"/>
          <w:color w:val="auto"/>
          <w:sz w:val="21"/>
        </w:rPr>
        <w:t>（7）谈判供应商2020年度财务报表复印件（或第三方审计报告复印件）或供应商基本开户银行出具的资信证明复印件（新成立的公司应提供公司成立日之后次月起到响应文件递交时间截止前一个月的财务报表或供应商基本开户银行出具的资信证明复印）；（必须提供，否则谈判无效）</w:t>
      </w:r>
    </w:p>
    <w:p>
      <w:pPr>
        <w:pStyle w:val="12"/>
        <w:spacing w:line="320" w:lineRule="exact"/>
        <w:ind w:firstLine="420"/>
        <w:rPr>
          <w:rFonts w:hAnsi="宋体"/>
          <w:color w:val="auto"/>
          <w:sz w:val="21"/>
        </w:rPr>
      </w:pPr>
      <w:r>
        <w:rPr>
          <w:rFonts w:hint="eastAsia" w:hAnsi="宋体"/>
          <w:color w:val="auto"/>
          <w:sz w:val="21"/>
        </w:rPr>
        <w:t>（8）谈判供应商认为必要提供的声明或文件资料（如中小企业声明函等，如有请提供）。</w:t>
      </w:r>
    </w:p>
    <w:p>
      <w:pPr>
        <w:spacing w:line="320" w:lineRule="exact"/>
        <w:ind w:firstLine="420" w:firstLineChars="200"/>
        <w:rPr>
          <w:rFonts w:ascii="宋体" w:hAnsi="宋体"/>
          <w:color w:val="auto"/>
          <w:szCs w:val="21"/>
        </w:rPr>
      </w:pPr>
      <w:r>
        <w:rPr>
          <w:rFonts w:hint="eastAsia" w:ascii="宋体" w:hAnsi="宋体"/>
          <w:color w:val="auto"/>
          <w:szCs w:val="21"/>
        </w:rPr>
        <w:t>13.证明货物的合格性和符合竞争性谈判采购文件规定的文件{</w:t>
      </w:r>
      <w:r>
        <w:rPr>
          <w:rFonts w:hint="eastAsia" w:ascii="宋体" w:hAnsi="宋体"/>
          <w:b/>
          <w:color w:val="auto"/>
          <w:szCs w:val="21"/>
        </w:rPr>
        <w:t>属“必须提供”的文件</w:t>
      </w:r>
      <w:r>
        <w:rPr>
          <w:rFonts w:hint="eastAsia" w:ascii="宋体" w:hAnsi="宋体"/>
          <w:b/>
          <w:color w:val="auto"/>
          <w:kern w:val="0"/>
          <w:szCs w:val="21"/>
        </w:rPr>
        <w:t>均应于</w:t>
      </w:r>
      <w:r>
        <w:rPr>
          <w:rFonts w:hint="eastAsia" w:ascii="宋体" w:hAnsi="宋体"/>
          <w:b/>
          <w:color w:val="auto"/>
          <w:szCs w:val="21"/>
        </w:rPr>
        <w:t>本项目截标前与谈判文件同时提交完备，如遗漏或未加盖单位公章的，可在谈判小组指定的期限内补齐或加盖单位公章。如提供的材料不完备或未按规定加盖单位公章的，其谈判无效}</w:t>
      </w:r>
      <w:r>
        <w:rPr>
          <w:rFonts w:hint="eastAsia" w:ascii="宋体" w:hAnsi="宋体"/>
          <w:color w:val="auto"/>
          <w:szCs w:val="21"/>
        </w:rPr>
        <w:t>：</w:t>
      </w:r>
    </w:p>
    <w:p>
      <w:pPr>
        <w:spacing w:line="320" w:lineRule="exact"/>
        <w:ind w:firstLine="420" w:firstLineChars="200"/>
        <w:rPr>
          <w:rFonts w:ascii="宋体" w:hAnsi="宋体"/>
          <w:b/>
          <w:bCs/>
          <w:color w:val="auto"/>
          <w:szCs w:val="21"/>
        </w:rPr>
      </w:pPr>
      <w:r>
        <w:rPr>
          <w:rFonts w:hint="eastAsia" w:ascii="宋体" w:hAnsi="宋体"/>
          <w:color w:val="auto"/>
          <w:szCs w:val="21"/>
        </w:rPr>
        <w:t>（1）生产厂家的相关资格（如营业执照或事业单位法人证书等、组织机构代码证等）复印件（如有，请提供）</w:t>
      </w:r>
      <w:r>
        <w:rPr>
          <w:rFonts w:hint="eastAsia" w:ascii="宋体" w:hAnsi="宋体"/>
          <w:b/>
          <w:bCs/>
          <w:color w:val="auto"/>
          <w:szCs w:val="21"/>
        </w:rPr>
        <w:t>；</w:t>
      </w:r>
    </w:p>
    <w:p>
      <w:pPr>
        <w:spacing w:line="320" w:lineRule="exact"/>
        <w:ind w:firstLine="420" w:firstLineChars="200"/>
        <w:rPr>
          <w:rFonts w:ascii="宋体" w:hAnsi="宋体"/>
          <w:color w:val="auto"/>
          <w:szCs w:val="21"/>
        </w:rPr>
      </w:pPr>
      <w:r>
        <w:rPr>
          <w:rFonts w:hint="eastAsia" w:ascii="宋体" w:hAnsi="宋体"/>
          <w:color w:val="auto"/>
          <w:szCs w:val="21"/>
        </w:rPr>
        <w:t>（2）生产许可证、销售许可证复印件（凡实行强制标准认证的产品必须提供)；</w:t>
      </w:r>
    </w:p>
    <w:p>
      <w:pPr>
        <w:spacing w:line="320" w:lineRule="exact"/>
        <w:ind w:firstLine="420" w:firstLineChars="200"/>
        <w:rPr>
          <w:rFonts w:ascii="宋体" w:hAnsi="宋体"/>
          <w:color w:val="auto"/>
          <w:szCs w:val="21"/>
        </w:rPr>
      </w:pPr>
      <w:r>
        <w:rPr>
          <w:rFonts w:hint="eastAsia" w:ascii="宋体" w:hAnsi="宋体"/>
          <w:color w:val="auto"/>
          <w:szCs w:val="21"/>
        </w:rPr>
        <w:t>（3）货物制造检测标准复印件【若《项目需求》要求提供的，必须提供】；</w:t>
      </w:r>
    </w:p>
    <w:p>
      <w:pPr>
        <w:spacing w:line="320" w:lineRule="exact"/>
        <w:ind w:firstLine="420" w:firstLineChars="200"/>
        <w:rPr>
          <w:rFonts w:ascii="宋体" w:hAnsi="宋体"/>
          <w:color w:val="auto"/>
          <w:szCs w:val="21"/>
        </w:rPr>
      </w:pPr>
      <w:r>
        <w:rPr>
          <w:rFonts w:hint="eastAsia" w:ascii="宋体" w:hAnsi="宋体"/>
          <w:color w:val="auto"/>
          <w:szCs w:val="21"/>
        </w:rPr>
        <w:t>（4）货物认证、检测报告、鉴定证书等复印件【若《项目需求》要求提供的，必须提供】；</w:t>
      </w:r>
    </w:p>
    <w:p>
      <w:pPr>
        <w:spacing w:line="320" w:lineRule="exact"/>
        <w:ind w:firstLine="420" w:firstLineChars="200"/>
        <w:rPr>
          <w:rFonts w:ascii="宋体" w:hAnsi="宋体"/>
          <w:color w:val="auto"/>
          <w:szCs w:val="21"/>
        </w:rPr>
      </w:pPr>
      <w:r>
        <w:rPr>
          <w:rFonts w:hint="eastAsia" w:ascii="宋体" w:hAnsi="宋体"/>
          <w:color w:val="auto"/>
          <w:szCs w:val="21"/>
        </w:rPr>
        <w:t>（5）省级及以上有关行政主管部分颁发的产品获奖证书复印件（如有，请提供）；</w:t>
      </w:r>
    </w:p>
    <w:p>
      <w:pPr>
        <w:spacing w:line="320" w:lineRule="exact"/>
        <w:ind w:firstLine="420" w:firstLineChars="200"/>
        <w:rPr>
          <w:rFonts w:ascii="宋体" w:hAnsi="宋体"/>
          <w:color w:val="auto"/>
          <w:szCs w:val="21"/>
        </w:rPr>
      </w:pPr>
      <w:r>
        <w:rPr>
          <w:rFonts w:hint="eastAsia" w:ascii="宋体" w:hAnsi="宋体"/>
          <w:color w:val="auto"/>
          <w:szCs w:val="21"/>
        </w:rPr>
        <w:t>（6）货物名称、型号、规格、数量、性能、内部配置、使用原材料，引进新技术、新工艺、新材料的等情况材料复印件（若《项目需求》要求提供的，必须提供）；</w:t>
      </w:r>
    </w:p>
    <w:p>
      <w:pPr>
        <w:spacing w:line="320" w:lineRule="exact"/>
        <w:ind w:firstLine="420" w:firstLineChars="200"/>
        <w:rPr>
          <w:rFonts w:ascii="宋体" w:hAnsi="宋体"/>
          <w:color w:val="auto"/>
          <w:szCs w:val="21"/>
        </w:rPr>
      </w:pPr>
      <w:r>
        <w:rPr>
          <w:rFonts w:hint="eastAsia" w:ascii="宋体" w:hAnsi="宋体"/>
          <w:color w:val="auto"/>
          <w:szCs w:val="21"/>
        </w:rPr>
        <w:t>（7）货物制造、检验、验收执行的标准【若《项目需求》要求提供的，必须提供】；</w:t>
      </w:r>
    </w:p>
    <w:p>
      <w:pPr>
        <w:spacing w:line="320" w:lineRule="exact"/>
        <w:ind w:firstLine="420" w:firstLineChars="200"/>
        <w:rPr>
          <w:rFonts w:ascii="宋体" w:hAnsi="宋体"/>
          <w:color w:val="auto"/>
          <w:szCs w:val="21"/>
        </w:rPr>
      </w:pPr>
      <w:r>
        <w:rPr>
          <w:rFonts w:hint="eastAsia" w:ascii="宋体" w:hAnsi="宋体"/>
          <w:color w:val="auto"/>
          <w:szCs w:val="21"/>
        </w:rPr>
        <w:t>（8）质量保证措施【若《项目需求》要求提供的，必须提供】；</w:t>
      </w:r>
    </w:p>
    <w:p>
      <w:pPr>
        <w:spacing w:line="320" w:lineRule="exact"/>
        <w:ind w:firstLine="420" w:firstLineChars="200"/>
        <w:rPr>
          <w:rFonts w:ascii="宋体" w:hAnsi="宋体"/>
          <w:color w:val="auto"/>
          <w:szCs w:val="21"/>
        </w:rPr>
      </w:pPr>
      <w:r>
        <w:rPr>
          <w:rFonts w:hint="eastAsia" w:ascii="宋体" w:hAnsi="宋体"/>
          <w:color w:val="auto"/>
          <w:szCs w:val="21"/>
        </w:rPr>
        <w:t>（9）产品样本、使用保养说明书、图纸等技术资料【若有，请提供原件或复印件（加盖单位公章），若《项目需求》要求提供原件的，必须提供原件】；</w:t>
      </w:r>
    </w:p>
    <w:p>
      <w:pPr>
        <w:spacing w:line="320" w:lineRule="exact"/>
        <w:ind w:firstLine="420" w:firstLineChars="200"/>
        <w:rPr>
          <w:rFonts w:ascii="宋体" w:hAnsi="宋体"/>
          <w:color w:val="auto"/>
          <w:szCs w:val="21"/>
        </w:rPr>
      </w:pPr>
      <w:r>
        <w:rPr>
          <w:rFonts w:hint="eastAsia" w:ascii="宋体" w:hAnsi="宋体"/>
          <w:color w:val="auto"/>
          <w:szCs w:val="21"/>
        </w:rPr>
        <w:t>（10）提供切实可行的售后服务和优惠承诺原件（若《项目需求》要求提供的，必须提供）；</w:t>
      </w:r>
    </w:p>
    <w:p>
      <w:pPr>
        <w:pStyle w:val="12"/>
        <w:spacing w:line="320" w:lineRule="exact"/>
        <w:ind w:firstLine="420"/>
        <w:rPr>
          <w:rFonts w:hAnsi="宋体"/>
          <w:color w:val="auto"/>
          <w:sz w:val="21"/>
        </w:rPr>
      </w:pPr>
      <w:r>
        <w:rPr>
          <w:rFonts w:hint="eastAsia" w:hAnsi="宋体"/>
          <w:color w:val="auto"/>
          <w:sz w:val="21"/>
        </w:rPr>
        <w:t>（11）设备或产品保证供货有效证明（指由投标货物生产厂家针对本项目出具的保证按响应文件承诺的时间、数量、价格供应货物的证明，若《项目需求》要求提供的，必须提供）；</w:t>
      </w:r>
    </w:p>
    <w:p>
      <w:pPr>
        <w:pStyle w:val="12"/>
        <w:spacing w:line="320" w:lineRule="exact"/>
        <w:ind w:firstLine="420"/>
        <w:rPr>
          <w:rFonts w:hAnsi="宋体"/>
          <w:color w:val="auto"/>
          <w:sz w:val="21"/>
        </w:rPr>
      </w:pPr>
      <w:r>
        <w:rPr>
          <w:rFonts w:hint="eastAsia" w:hAnsi="宋体"/>
          <w:color w:val="auto"/>
          <w:sz w:val="21"/>
        </w:rPr>
        <w:t>（12）产品销售授权书或代理证书｛若有，请提供原件或复印件（加盖单位公章），若《项目需求》要求提供原件的，必须提供原件｝；</w:t>
      </w:r>
    </w:p>
    <w:p>
      <w:pPr>
        <w:pStyle w:val="12"/>
        <w:spacing w:line="320" w:lineRule="exact"/>
        <w:ind w:firstLine="420"/>
        <w:rPr>
          <w:rFonts w:hAnsi="宋体"/>
          <w:color w:val="auto"/>
          <w:sz w:val="21"/>
        </w:rPr>
      </w:pPr>
      <w:r>
        <w:rPr>
          <w:rFonts w:hint="eastAsia" w:hAnsi="宋体"/>
          <w:color w:val="auto"/>
          <w:sz w:val="21"/>
        </w:rPr>
        <w:t>（13）谈判产品生产厂家对技术性能及配置证明文件｛若《项目需求》要求提供的，必须提供｝。</w:t>
      </w:r>
    </w:p>
    <w:p>
      <w:pPr>
        <w:spacing w:line="320" w:lineRule="exact"/>
        <w:ind w:firstLine="422" w:firstLineChars="200"/>
        <w:rPr>
          <w:rFonts w:ascii="宋体" w:hAnsi="宋体"/>
          <w:b/>
          <w:color w:val="auto"/>
          <w:szCs w:val="21"/>
        </w:rPr>
      </w:pPr>
      <w:r>
        <w:rPr>
          <w:rFonts w:hint="eastAsia" w:ascii="宋体" w:hAnsi="宋体"/>
          <w:b/>
          <w:color w:val="auto"/>
          <w:szCs w:val="21"/>
        </w:rPr>
        <w:t>14.竞争性谈判响应文件编制基本要求</w:t>
      </w:r>
    </w:p>
    <w:p>
      <w:pPr>
        <w:spacing w:line="320" w:lineRule="exact"/>
        <w:ind w:firstLine="420" w:firstLineChars="200"/>
        <w:rPr>
          <w:rFonts w:ascii="宋体" w:hAnsi="宋体"/>
          <w:color w:val="auto"/>
          <w:szCs w:val="21"/>
        </w:rPr>
      </w:pPr>
      <w:r>
        <w:rPr>
          <w:rFonts w:hint="eastAsia" w:ascii="宋体" w:hAnsi="宋体"/>
          <w:color w:val="auto"/>
          <w:szCs w:val="21"/>
        </w:rPr>
        <w:t>14.1谈判供应商对竞争性谈判响应文件的编制应按要求装订和封装。</w:t>
      </w:r>
    </w:p>
    <w:p>
      <w:pPr>
        <w:spacing w:line="320" w:lineRule="exact"/>
        <w:ind w:firstLine="420" w:firstLineChars="200"/>
        <w:rPr>
          <w:rFonts w:ascii="宋体" w:hAnsi="宋体"/>
          <w:color w:val="auto"/>
          <w:szCs w:val="21"/>
        </w:rPr>
      </w:pPr>
      <w:r>
        <w:rPr>
          <w:rFonts w:hint="eastAsia" w:ascii="宋体" w:hAnsi="宋体"/>
          <w:color w:val="auto"/>
          <w:szCs w:val="21"/>
        </w:rPr>
        <w:t>14.2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中文翻译文本为主。</w:t>
      </w:r>
    </w:p>
    <w:p>
      <w:pPr>
        <w:spacing w:line="320" w:lineRule="exact"/>
        <w:ind w:firstLine="420" w:firstLineChars="200"/>
        <w:rPr>
          <w:rFonts w:ascii="宋体" w:hAnsi="宋体"/>
          <w:color w:val="auto"/>
          <w:szCs w:val="21"/>
        </w:rPr>
      </w:pPr>
      <w:r>
        <w:rPr>
          <w:rFonts w:hint="eastAsia" w:ascii="宋体" w:hAnsi="宋体"/>
          <w:color w:val="auto"/>
          <w:szCs w:val="21"/>
        </w:rPr>
        <w:t>14.3谈判供应商应认真阅读并充分理解本文件的全部内容（包括所有的补充通知和修改内容），承诺并履行本文件中各项条款的规定及要求。</w:t>
      </w:r>
    </w:p>
    <w:p>
      <w:pPr>
        <w:spacing w:line="320" w:lineRule="exact"/>
        <w:ind w:firstLine="420" w:firstLineChars="200"/>
        <w:rPr>
          <w:rFonts w:ascii="宋体" w:hAnsi="宋体"/>
          <w:color w:val="auto"/>
          <w:szCs w:val="21"/>
        </w:rPr>
      </w:pPr>
      <w:r>
        <w:rPr>
          <w:rFonts w:hint="eastAsia" w:ascii="宋体" w:hAnsi="宋体"/>
          <w:color w:val="auto"/>
          <w:szCs w:val="21"/>
        </w:rPr>
        <w:t>14.4竞争性谈判响应文件必须按本文件的全部内容，包括所有的补充通知、修改内容及附件进行编制。</w:t>
      </w:r>
    </w:p>
    <w:p>
      <w:pPr>
        <w:spacing w:line="320" w:lineRule="exact"/>
        <w:ind w:firstLine="420" w:firstLineChars="200"/>
        <w:rPr>
          <w:rFonts w:ascii="宋体" w:hAnsi="宋体"/>
          <w:color w:val="auto"/>
          <w:szCs w:val="21"/>
        </w:rPr>
      </w:pPr>
      <w:r>
        <w:rPr>
          <w:rFonts w:hint="eastAsia" w:ascii="宋体" w:hAnsi="宋体"/>
          <w:color w:val="auto"/>
          <w:szCs w:val="21"/>
        </w:rPr>
        <w:t>14.5如因谈判供应商只填写和提供了本文件要求的部分内容和附件，而给评审造成困难，其可能导致的结果和责任由谈判供应商自行承担。</w:t>
      </w:r>
    </w:p>
    <w:p>
      <w:pPr>
        <w:spacing w:line="320" w:lineRule="exact"/>
        <w:ind w:firstLine="422" w:firstLineChars="200"/>
        <w:rPr>
          <w:rFonts w:ascii="宋体" w:hAnsi="宋体"/>
          <w:b/>
          <w:color w:val="auto"/>
          <w:szCs w:val="21"/>
        </w:rPr>
      </w:pPr>
      <w:r>
        <w:rPr>
          <w:rFonts w:hint="eastAsia" w:ascii="宋体" w:hAnsi="宋体"/>
          <w:b/>
          <w:color w:val="auto"/>
          <w:szCs w:val="21"/>
        </w:rPr>
        <w:t>15.竞争性谈判响应文件的语言及计量单位</w:t>
      </w:r>
    </w:p>
    <w:p>
      <w:pPr>
        <w:spacing w:line="320" w:lineRule="exact"/>
        <w:ind w:firstLine="420" w:firstLineChars="200"/>
        <w:rPr>
          <w:rFonts w:ascii="宋体" w:hAnsi="宋体"/>
          <w:color w:val="auto"/>
          <w:szCs w:val="21"/>
        </w:rPr>
      </w:pPr>
      <w:r>
        <w:rPr>
          <w:rFonts w:hint="eastAsia" w:ascii="宋体" w:hAnsi="宋体"/>
          <w:color w:val="auto"/>
          <w:szCs w:val="21"/>
        </w:rPr>
        <w:t>15.1竞争性谈判响应文件以及谈判供应商与采购代理机构和采购人就有关谈判事宜的所有往来函电，均应以中文书写。除签名、盖章、专用名称等特殊情形外，以中文以外的文字表述的竞争性谈判响应文件视同未提供。</w:t>
      </w:r>
    </w:p>
    <w:p>
      <w:pPr>
        <w:spacing w:line="320" w:lineRule="exact"/>
        <w:ind w:firstLine="420" w:firstLineChars="200"/>
        <w:rPr>
          <w:rFonts w:ascii="宋体" w:hAnsi="宋体"/>
          <w:color w:val="auto"/>
          <w:szCs w:val="21"/>
        </w:rPr>
      </w:pPr>
      <w:r>
        <w:rPr>
          <w:rFonts w:hint="eastAsia" w:ascii="宋体" w:hAnsi="宋体"/>
          <w:color w:val="auto"/>
          <w:szCs w:val="21"/>
        </w:rPr>
        <w:t>15.2除技术要求中另有规定外，本文件所要求使用的计量单位均应采用国家法定计量单位。</w:t>
      </w:r>
    </w:p>
    <w:p>
      <w:pPr>
        <w:spacing w:line="320" w:lineRule="exact"/>
        <w:ind w:firstLine="422" w:firstLineChars="200"/>
        <w:rPr>
          <w:rFonts w:ascii="宋体" w:hAnsi="宋体"/>
          <w:color w:val="auto"/>
          <w:szCs w:val="21"/>
        </w:rPr>
      </w:pPr>
      <w:r>
        <w:rPr>
          <w:rFonts w:hint="eastAsia" w:ascii="宋体" w:hAnsi="宋体"/>
          <w:b/>
          <w:color w:val="auto"/>
          <w:szCs w:val="21"/>
        </w:rPr>
        <w:t>16.谈判报价</w:t>
      </w:r>
    </w:p>
    <w:p>
      <w:pPr>
        <w:spacing w:line="320" w:lineRule="exact"/>
        <w:ind w:firstLine="420" w:firstLineChars="200"/>
        <w:rPr>
          <w:rFonts w:ascii="宋体" w:hAnsi="宋体"/>
          <w:color w:val="auto"/>
          <w:szCs w:val="21"/>
        </w:rPr>
      </w:pPr>
      <w:r>
        <w:rPr>
          <w:rFonts w:hint="eastAsia" w:ascii="宋体" w:hAnsi="宋体"/>
          <w:color w:val="auto"/>
          <w:szCs w:val="21"/>
        </w:rPr>
        <w:t>16.1谈判供应商必须就“项目需求”中的货物及服务内容作完整唯一报价，否则，其谈判将被拒绝。</w:t>
      </w:r>
    </w:p>
    <w:p>
      <w:pPr>
        <w:spacing w:line="320" w:lineRule="exact"/>
        <w:ind w:firstLine="420" w:firstLineChars="200"/>
        <w:rPr>
          <w:rFonts w:ascii="宋体" w:hAnsi="宋体"/>
          <w:color w:val="auto"/>
          <w:szCs w:val="21"/>
        </w:rPr>
      </w:pPr>
      <w:r>
        <w:rPr>
          <w:rFonts w:hint="eastAsia" w:ascii="宋体" w:hAnsi="宋体"/>
          <w:color w:val="auto"/>
          <w:szCs w:val="21"/>
        </w:rPr>
        <w:t>16.2对于本文件中未列明，而谈判供应商认为必需的费用也需列入总报价。在合同实施时，采购人将不予支付成交供应商没有列入的项目费用，并认为此项目的费用已包括在总报价中。</w:t>
      </w:r>
    </w:p>
    <w:p>
      <w:pPr>
        <w:spacing w:line="320" w:lineRule="exact"/>
        <w:ind w:firstLine="420" w:firstLineChars="200"/>
        <w:rPr>
          <w:rFonts w:ascii="宋体" w:hAnsi="宋体"/>
          <w:color w:val="auto"/>
          <w:szCs w:val="21"/>
        </w:rPr>
      </w:pPr>
      <w:r>
        <w:rPr>
          <w:rFonts w:hint="eastAsia" w:ascii="宋体" w:hAnsi="宋体"/>
          <w:color w:val="auto"/>
          <w:szCs w:val="21"/>
        </w:rPr>
        <w:t>16.3谈判供应商应在谈判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如果因谈判供应商原因引起的报价失误，并在谈判时被接受，其后果由谈判供应商自负。</w:t>
      </w:r>
    </w:p>
    <w:p>
      <w:pPr>
        <w:spacing w:line="320" w:lineRule="exact"/>
        <w:ind w:firstLine="420" w:firstLineChars="200"/>
        <w:rPr>
          <w:rFonts w:ascii="宋体" w:hAnsi="宋体"/>
          <w:color w:val="auto"/>
          <w:szCs w:val="21"/>
        </w:rPr>
      </w:pPr>
      <w:r>
        <w:rPr>
          <w:rFonts w:hint="eastAsia" w:ascii="宋体" w:hAnsi="宋体"/>
          <w:color w:val="auto"/>
          <w:szCs w:val="21"/>
        </w:rPr>
        <w:t>16.4谈判供应商报价应包含货物、随配附件、备品备件、工具、货物运抵指定交货地点的各种费用和售后服务、税金及其它所有成本费用的总和。</w:t>
      </w:r>
    </w:p>
    <w:p>
      <w:pPr>
        <w:spacing w:line="320" w:lineRule="exact"/>
        <w:ind w:firstLine="422" w:firstLineChars="200"/>
        <w:rPr>
          <w:rFonts w:ascii="宋体" w:hAnsi="宋体"/>
          <w:color w:val="auto"/>
          <w:szCs w:val="21"/>
        </w:rPr>
      </w:pPr>
      <w:r>
        <w:rPr>
          <w:rFonts w:hint="eastAsia" w:ascii="宋体" w:hAnsi="宋体"/>
          <w:b/>
          <w:color w:val="auto"/>
          <w:szCs w:val="21"/>
        </w:rPr>
        <w:t>17.谈判有效期</w:t>
      </w:r>
    </w:p>
    <w:p>
      <w:pPr>
        <w:pStyle w:val="12"/>
        <w:spacing w:line="320" w:lineRule="exact"/>
        <w:ind w:firstLine="420"/>
        <w:rPr>
          <w:rFonts w:hAnsi="宋体"/>
          <w:color w:val="auto"/>
          <w:sz w:val="21"/>
        </w:rPr>
      </w:pPr>
      <w:r>
        <w:rPr>
          <w:rFonts w:hint="eastAsia" w:hAnsi="宋体"/>
          <w:color w:val="auto"/>
          <w:sz w:val="21"/>
        </w:rPr>
        <w:t>17.1竞争性谈判响应文件有效期详见本须知前附表第4项规定。</w:t>
      </w:r>
    </w:p>
    <w:p>
      <w:pPr>
        <w:pStyle w:val="12"/>
        <w:spacing w:line="320" w:lineRule="exact"/>
        <w:ind w:firstLine="420"/>
        <w:rPr>
          <w:rFonts w:hAnsi="宋体"/>
          <w:color w:val="auto"/>
          <w:sz w:val="21"/>
        </w:rPr>
      </w:pPr>
      <w:r>
        <w:rPr>
          <w:rFonts w:hint="eastAsia" w:hAnsi="宋体"/>
          <w:b/>
          <w:color w:val="auto"/>
          <w:sz w:val="21"/>
        </w:rPr>
        <w:t>18.谈判保证金：无。</w:t>
      </w:r>
    </w:p>
    <w:p>
      <w:pPr>
        <w:spacing w:line="320" w:lineRule="exact"/>
        <w:jc w:val="center"/>
        <w:rPr>
          <w:rFonts w:ascii="宋体" w:hAnsi="宋体"/>
          <w:b/>
          <w:color w:val="auto"/>
          <w:szCs w:val="21"/>
        </w:rPr>
      </w:pPr>
    </w:p>
    <w:p>
      <w:pPr>
        <w:spacing w:line="320" w:lineRule="exact"/>
        <w:jc w:val="center"/>
        <w:rPr>
          <w:rFonts w:ascii="宋体" w:hAnsi="宋体"/>
          <w:b/>
          <w:color w:val="auto"/>
          <w:szCs w:val="21"/>
        </w:rPr>
      </w:pPr>
      <w:r>
        <w:rPr>
          <w:rFonts w:hint="eastAsia" w:ascii="宋体" w:hAnsi="宋体"/>
          <w:b/>
          <w:color w:val="auto"/>
          <w:szCs w:val="21"/>
        </w:rPr>
        <w:t>四、竞争性谈判响应文件的份数、封装和递交</w:t>
      </w:r>
    </w:p>
    <w:p>
      <w:pPr>
        <w:spacing w:line="320" w:lineRule="exact"/>
        <w:ind w:firstLine="422" w:firstLineChars="200"/>
        <w:rPr>
          <w:rFonts w:ascii="宋体" w:hAnsi="宋体"/>
          <w:b/>
          <w:color w:val="auto"/>
          <w:szCs w:val="21"/>
        </w:rPr>
      </w:pPr>
    </w:p>
    <w:p>
      <w:pPr>
        <w:spacing w:line="320" w:lineRule="exact"/>
        <w:ind w:firstLine="422" w:firstLineChars="200"/>
        <w:rPr>
          <w:rFonts w:ascii="宋体" w:hAnsi="宋体"/>
          <w:b/>
          <w:color w:val="auto"/>
          <w:szCs w:val="21"/>
        </w:rPr>
      </w:pPr>
      <w:r>
        <w:rPr>
          <w:rFonts w:hint="eastAsia" w:ascii="宋体" w:hAnsi="宋体"/>
          <w:b/>
          <w:color w:val="auto"/>
          <w:szCs w:val="21"/>
        </w:rPr>
        <w:t>19.谈判响应文件的份数和封装</w:t>
      </w:r>
    </w:p>
    <w:p>
      <w:pPr>
        <w:spacing w:line="320" w:lineRule="exact"/>
        <w:ind w:firstLine="420" w:firstLineChars="200"/>
        <w:rPr>
          <w:rFonts w:ascii="宋体" w:hAnsi="宋体"/>
          <w:color w:val="auto"/>
          <w:szCs w:val="21"/>
        </w:rPr>
      </w:pPr>
      <w:r>
        <w:rPr>
          <w:rFonts w:hint="eastAsia" w:ascii="宋体" w:hAnsi="宋体"/>
          <w:color w:val="auto"/>
          <w:szCs w:val="21"/>
        </w:rPr>
        <w:t>19.1谈判供应商应提供竞争性谈判响应文件正本一份，副本三份。将响应文件密封在同一个外层信封袋中，外层密封处应加盖谈判供应商单位公章或由法定代表人或委托代理人签字。</w:t>
      </w:r>
    </w:p>
    <w:p>
      <w:pPr>
        <w:spacing w:line="320" w:lineRule="exact"/>
        <w:ind w:firstLine="420" w:firstLineChars="200"/>
        <w:rPr>
          <w:rFonts w:ascii="宋体" w:hAnsi="宋体"/>
          <w:color w:val="auto"/>
          <w:szCs w:val="21"/>
        </w:rPr>
      </w:pPr>
      <w:r>
        <w:rPr>
          <w:rFonts w:hint="eastAsia" w:ascii="宋体" w:hAnsi="宋体"/>
          <w:color w:val="auto"/>
          <w:szCs w:val="21"/>
        </w:rPr>
        <w:t>19.2竞争性谈判响应文件的信封上应写明：</w:t>
      </w:r>
    </w:p>
    <w:p>
      <w:pPr>
        <w:spacing w:line="320" w:lineRule="exact"/>
        <w:ind w:left="420"/>
        <w:rPr>
          <w:rFonts w:ascii="宋体" w:hAnsi="宋体"/>
          <w:color w:val="auto"/>
          <w:szCs w:val="21"/>
        </w:rPr>
      </w:pPr>
      <w:r>
        <w:rPr>
          <w:rFonts w:hint="eastAsia" w:ascii="宋体" w:hAnsi="宋体"/>
          <w:color w:val="auto"/>
          <w:szCs w:val="21"/>
        </w:rPr>
        <w:t>（1）竞争性谈判项目编号：</w:t>
      </w:r>
      <w:r>
        <w:rPr>
          <w:rFonts w:hint="eastAsia" w:ascii="宋体" w:hAnsi="宋体"/>
          <w:color w:val="auto"/>
          <w:szCs w:val="21"/>
          <w:u w:val="single"/>
        </w:rPr>
        <w:t xml:space="preserve">                 </w:t>
      </w:r>
      <w:r>
        <w:rPr>
          <w:rFonts w:hint="eastAsia" w:ascii="宋体" w:hAnsi="宋体"/>
          <w:color w:val="auto"/>
          <w:szCs w:val="21"/>
        </w:rPr>
        <w:t>；</w:t>
      </w:r>
    </w:p>
    <w:p>
      <w:pPr>
        <w:spacing w:line="320" w:lineRule="exact"/>
        <w:ind w:left="420"/>
        <w:rPr>
          <w:rFonts w:ascii="宋体" w:hAnsi="宋体"/>
          <w:color w:val="auto"/>
          <w:szCs w:val="21"/>
        </w:rPr>
      </w:pPr>
      <w:r>
        <w:rPr>
          <w:rFonts w:hint="eastAsia" w:ascii="宋体" w:hAnsi="宋体"/>
          <w:color w:val="auto"/>
          <w:szCs w:val="21"/>
        </w:rPr>
        <w:t>（2）竞争性谈判项目名称：</w:t>
      </w:r>
      <w:r>
        <w:rPr>
          <w:rFonts w:hint="eastAsia" w:ascii="宋体" w:hAnsi="宋体"/>
          <w:color w:val="auto"/>
          <w:szCs w:val="21"/>
          <w:u w:val="single"/>
        </w:rPr>
        <w:t xml:space="preserve">                 </w:t>
      </w:r>
      <w:r>
        <w:rPr>
          <w:rFonts w:hint="eastAsia" w:ascii="宋体" w:hAnsi="宋体"/>
          <w:color w:val="auto"/>
          <w:szCs w:val="21"/>
        </w:rPr>
        <w:t>；</w:t>
      </w:r>
    </w:p>
    <w:p>
      <w:pPr>
        <w:spacing w:line="320" w:lineRule="exact"/>
        <w:ind w:left="420"/>
        <w:rPr>
          <w:rFonts w:ascii="宋体" w:hAnsi="宋体"/>
          <w:color w:val="auto"/>
          <w:szCs w:val="21"/>
        </w:rPr>
      </w:pPr>
      <w:r>
        <w:rPr>
          <w:rFonts w:hint="eastAsia" w:ascii="宋体" w:hAnsi="宋体"/>
          <w:color w:val="auto"/>
          <w:szCs w:val="21"/>
        </w:rPr>
        <w:t>（3）谈判供应商名称：</w:t>
      </w:r>
      <w:r>
        <w:rPr>
          <w:rFonts w:hint="eastAsia" w:ascii="宋体" w:hAnsi="宋体"/>
          <w:color w:val="auto"/>
          <w:szCs w:val="21"/>
          <w:u w:val="single"/>
        </w:rPr>
        <w:t xml:space="preserve">                     </w:t>
      </w:r>
      <w:r>
        <w:rPr>
          <w:rFonts w:hint="eastAsia" w:ascii="宋体" w:hAnsi="宋体"/>
          <w:color w:val="auto"/>
          <w:szCs w:val="21"/>
        </w:rPr>
        <w:t>；</w:t>
      </w:r>
    </w:p>
    <w:p>
      <w:pPr>
        <w:spacing w:line="320" w:lineRule="exact"/>
        <w:ind w:firstLine="482"/>
        <w:rPr>
          <w:rFonts w:ascii="宋体" w:hAnsi="宋体"/>
          <w:color w:val="auto"/>
          <w:szCs w:val="21"/>
        </w:rPr>
      </w:pPr>
      <w:r>
        <w:rPr>
          <w:rFonts w:hint="eastAsia" w:ascii="宋体" w:hAnsi="宋体"/>
          <w:color w:val="auto"/>
          <w:szCs w:val="21"/>
        </w:rPr>
        <w:t>（4）谈判供应商法定代表人姓名或委托代理人姓名：</w:t>
      </w:r>
      <w:r>
        <w:rPr>
          <w:rFonts w:hint="eastAsia" w:ascii="宋体" w:hAnsi="宋体"/>
          <w:color w:val="auto"/>
          <w:szCs w:val="21"/>
          <w:u w:val="single"/>
        </w:rPr>
        <w:t xml:space="preserve">                  </w:t>
      </w:r>
      <w:r>
        <w:rPr>
          <w:rFonts w:hint="eastAsia" w:ascii="宋体" w:hAnsi="宋体"/>
          <w:color w:val="auto"/>
          <w:szCs w:val="21"/>
        </w:rPr>
        <w:t>；</w:t>
      </w:r>
    </w:p>
    <w:p>
      <w:pPr>
        <w:spacing w:line="320" w:lineRule="exact"/>
        <w:ind w:firstLine="482"/>
        <w:rPr>
          <w:rFonts w:ascii="宋体" w:hAnsi="宋体"/>
          <w:color w:val="auto"/>
          <w:szCs w:val="21"/>
        </w:rPr>
      </w:pPr>
      <w:r>
        <w:rPr>
          <w:rFonts w:hint="eastAsia" w:ascii="宋体" w:hAnsi="宋体"/>
          <w:color w:val="auto"/>
          <w:szCs w:val="21"/>
        </w:rPr>
        <w:t>（5）</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日北京时间</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分开标，此时间以前不得开封。</w:t>
      </w:r>
    </w:p>
    <w:p>
      <w:pPr>
        <w:spacing w:line="320" w:lineRule="exact"/>
        <w:ind w:firstLine="420" w:firstLineChars="200"/>
        <w:rPr>
          <w:rFonts w:ascii="宋体" w:hAnsi="宋体"/>
          <w:color w:val="auto"/>
          <w:szCs w:val="21"/>
        </w:rPr>
      </w:pPr>
      <w:r>
        <w:rPr>
          <w:rFonts w:hint="eastAsia" w:ascii="宋体" w:hAnsi="宋体"/>
          <w:color w:val="auto"/>
          <w:szCs w:val="21"/>
        </w:rPr>
        <w:t>19.3谈判响应文件的正本需打印或用不褪色的墨水填写，谈判响应文件正本除本竞争性谈判采购文件中规定的可提供复印件外均须提供原件。副本可以是正本的复印件。</w:t>
      </w:r>
    </w:p>
    <w:p>
      <w:pPr>
        <w:spacing w:line="320" w:lineRule="exact"/>
        <w:ind w:firstLine="420" w:firstLineChars="200"/>
        <w:rPr>
          <w:rFonts w:ascii="宋体" w:hAnsi="宋体"/>
          <w:color w:val="auto"/>
          <w:szCs w:val="21"/>
        </w:rPr>
      </w:pPr>
      <w:r>
        <w:rPr>
          <w:rFonts w:hint="eastAsia" w:ascii="宋体" w:hAnsi="宋体"/>
          <w:color w:val="auto"/>
          <w:szCs w:val="21"/>
        </w:rPr>
        <w:t>19.4谈判响应文件须由谈判供应商在规定位置加盖单位公章并由法定代表人或法定代表人的授权委托人签署，谈判供应商应写单位全称。</w:t>
      </w:r>
    </w:p>
    <w:p>
      <w:pPr>
        <w:spacing w:line="320" w:lineRule="exact"/>
        <w:ind w:firstLine="420" w:firstLineChars="200"/>
        <w:rPr>
          <w:rFonts w:ascii="宋体" w:hAnsi="宋体"/>
          <w:color w:val="auto"/>
          <w:szCs w:val="21"/>
        </w:rPr>
      </w:pPr>
      <w:r>
        <w:rPr>
          <w:rFonts w:hint="eastAsia" w:ascii="宋体" w:hAnsi="宋体"/>
          <w:color w:val="auto"/>
          <w:szCs w:val="21"/>
        </w:rPr>
        <w:t>19.5谈判响应文件不得涂改，若有错漏需修改，须加盖单位公章及由法定代表人（或授权委托人）签字；谈判响应文件因字迹潦草或表达不清所引起的后果由谈判供应商负责。</w:t>
      </w:r>
    </w:p>
    <w:p>
      <w:pPr>
        <w:spacing w:line="320" w:lineRule="exact"/>
        <w:ind w:firstLine="422" w:firstLineChars="200"/>
        <w:rPr>
          <w:rFonts w:ascii="宋体" w:hAnsi="宋体"/>
          <w:b/>
          <w:color w:val="auto"/>
          <w:szCs w:val="21"/>
        </w:rPr>
      </w:pPr>
      <w:r>
        <w:rPr>
          <w:rFonts w:hint="eastAsia" w:ascii="宋体" w:hAnsi="宋体"/>
          <w:b/>
          <w:color w:val="auto"/>
          <w:szCs w:val="21"/>
        </w:rPr>
        <w:t>20.竞争性谈判响应文件的递交</w:t>
      </w:r>
    </w:p>
    <w:p>
      <w:pPr>
        <w:spacing w:line="320" w:lineRule="exact"/>
        <w:ind w:firstLine="420" w:firstLineChars="200"/>
        <w:rPr>
          <w:rFonts w:ascii="宋体" w:hAnsi="宋体"/>
          <w:color w:val="auto"/>
          <w:szCs w:val="21"/>
        </w:rPr>
      </w:pPr>
      <w:r>
        <w:rPr>
          <w:rFonts w:hint="eastAsia" w:ascii="宋体" w:hAnsi="宋体"/>
          <w:color w:val="auto"/>
          <w:szCs w:val="21"/>
        </w:rPr>
        <w:t>所有谈判响应文件须按本须知前附表第7项规定的时间前递交到指定地点，不按要求密封或不在规定时间内提交的谈判响应文件应予以拒收。</w:t>
      </w:r>
    </w:p>
    <w:p>
      <w:pPr>
        <w:spacing w:line="320" w:lineRule="exact"/>
        <w:jc w:val="center"/>
        <w:rPr>
          <w:rFonts w:ascii="宋体" w:hAnsi="宋体"/>
          <w:b/>
          <w:color w:val="auto"/>
          <w:szCs w:val="21"/>
        </w:rPr>
      </w:pPr>
    </w:p>
    <w:p>
      <w:pPr>
        <w:spacing w:line="320" w:lineRule="exact"/>
        <w:jc w:val="center"/>
        <w:rPr>
          <w:rFonts w:ascii="宋体" w:hAnsi="宋体"/>
          <w:b/>
          <w:color w:val="auto"/>
          <w:szCs w:val="21"/>
        </w:rPr>
      </w:pPr>
      <w:r>
        <w:rPr>
          <w:rFonts w:hint="eastAsia" w:ascii="宋体" w:hAnsi="宋体"/>
          <w:b/>
          <w:color w:val="auto"/>
          <w:szCs w:val="21"/>
        </w:rPr>
        <w:t>五、竞争性谈判（简称谈判）与评标</w:t>
      </w:r>
    </w:p>
    <w:p>
      <w:pPr>
        <w:pStyle w:val="4"/>
        <w:spacing w:line="320" w:lineRule="exact"/>
        <w:ind w:firstLine="358" w:firstLineChars="170"/>
        <w:rPr>
          <w:rFonts w:ascii="宋体" w:hAnsi="宋体" w:eastAsia="宋体"/>
          <w:color w:val="auto"/>
          <w:sz w:val="21"/>
          <w:szCs w:val="21"/>
        </w:rPr>
      </w:pPr>
      <w:bookmarkStart w:id="13" w:name="_Toc25484"/>
      <w:bookmarkStart w:id="14" w:name="_Toc304876596"/>
    </w:p>
    <w:p>
      <w:pPr>
        <w:pStyle w:val="4"/>
        <w:spacing w:line="320" w:lineRule="exact"/>
        <w:ind w:firstLine="422" w:firstLineChars="200"/>
        <w:rPr>
          <w:rFonts w:ascii="宋体" w:hAnsi="宋体" w:eastAsia="宋体"/>
          <w:color w:val="auto"/>
          <w:sz w:val="21"/>
          <w:szCs w:val="21"/>
        </w:rPr>
      </w:pPr>
      <w:r>
        <w:rPr>
          <w:rFonts w:hint="eastAsia" w:ascii="宋体" w:hAnsi="宋体" w:eastAsia="宋体"/>
          <w:color w:val="auto"/>
          <w:sz w:val="21"/>
          <w:szCs w:val="21"/>
        </w:rPr>
        <w:t>22</w:t>
      </w:r>
      <w:bookmarkEnd w:id="13"/>
      <w:bookmarkEnd w:id="14"/>
      <w:r>
        <w:rPr>
          <w:rFonts w:hint="eastAsia" w:ascii="宋体" w:hAnsi="宋体" w:eastAsia="宋体"/>
          <w:color w:val="auto"/>
          <w:sz w:val="21"/>
          <w:szCs w:val="21"/>
        </w:rPr>
        <w:t>.截标</w:t>
      </w:r>
    </w:p>
    <w:p>
      <w:pPr>
        <w:spacing w:line="320" w:lineRule="exact"/>
        <w:rPr>
          <w:rFonts w:ascii="宋体" w:hAnsi="宋体"/>
          <w:color w:val="auto"/>
          <w:szCs w:val="21"/>
        </w:rPr>
      </w:pPr>
      <w:r>
        <w:rPr>
          <w:rFonts w:ascii="宋体" w:hAnsi="宋体"/>
          <w:color w:val="auto"/>
          <w:szCs w:val="21"/>
        </w:rPr>
        <w:t xml:space="preserve">    </w:t>
      </w:r>
      <w:r>
        <w:rPr>
          <w:rFonts w:hint="eastAsia" w:ascii="宋体" w:hAnsi="宋体"/>
          <w:color w:val="auto"/>
          <w:szCs w:val="21"/>
        </w:rPr>
        <w:t>22.l</w:t>
      </w:r>
      <w:r>
        <w:rPr>
          <w:rFonts w:ascii="宋体" w:hAnsi="宋体"/>
          <w:color w:val="auto"/>
          <w:szCs w:val="21"/>
        </w:rPr>
        <w:t xml:space="preserve"> </w:t>
      </w:r>
      <w:r>
        <w:rPr>
          <w:rFonts w:hint="eastAsia" w:ascii="宋体" w:hAnsi="宋体"/>
          <w:color w:val="auto"/>
          <w:szCs w:val="21"/>
        </w:rPr>
        <w:t>采购代理机构将于前附表第8项规定的时间和地点举行开标会议。</w:t>
      </w:r>
    </w:p>
    <w:p>
      <w:pPr>
        <w:spacing w:line="320" w:lineRule="exact"/>
        <w:ind w:firstLine="420" w:firstLineChars="200"/>
        <w:rPr>
          <w:rFonts w:ascii="宋体" w:hAnsi="宋体"/>
          <w:color w:val="auto"/>
          <w:szCs w:val="21"/>
        </w:rPr>
      </w:pPr>
      <w:r>
        <w:rPr>
          <w:rFonts w:hint="eastAsia" w:ascii="宋体" w:hAnsi="宋体"/>
          <w:color w:val="auto"/>
          <w:szCs w:val="21"/>
        </w:rPr>
        <w:t>22</w:t>
      </w:r>
      <w:r>
        <w:rPr>
          <w:rFonts w:ascii="宋体" w:hAnsi="宋体"/>
          <w:color w:val="auto"/>
          <w:szCs w:val="21"/>
        </w:rPr>
        <w:t>.</w:t>
      </w:r>
      <w:r>
        <w:rPr>
          <w:rFonts w:hint="eastAsia" w:ascii="宋体" w:hAnsi="宋体"/>
          <w:color w:val="auto"/>
          <w:szCs w:val="21"/>
        </w:rPr>
        <w:t>2</w:t>
      </w:r>
      <w:r>
        <w:rPr>
          <w:rFonts w:ascii="宋体" w:hAnsi="宋体"/>
          <w:color w:val="auto"/>
          <w:szCs w:val="21"/>
        </w:rPr>
        <w:t xml:space="preserve"> </w:t>
      </w:r>
      <w:r>
        <w:rPr>
          <w:rFonts w:hint="eastAsia" w:ascii="宋体" w:hAnsi="宋体"/>
          <w:color w:val="auto"/>
          <w:szCs w:val="21"/>
        </w:rPr>
        <w:t>开标会议在采购单位代表的现场监督下，由采购代理机构组织并主持，对谈判响应文件进行检查，确认它们是否按要求密封。不按要求密封或不在规定时间内提交的谈判响应文件应予以拒收。</w:t>
      </w:r>
    </w:p>
    <w:p>
      <w:pPr>
        <w:spacing w:line="320" w:lineRule="exact"/>
        <w:ind w:firstLine="480"/>
        <w:rPr>
          <w:rFonts w:ascii="宋体" w:hAnsi="宋体"/>
          <w:color w:val="auto"/>
          <w:szCs w:val="21"/>
        </w:rPr>
      </w:pPr>
      <w:r>
        <w:rPr>
          <w:rFonts w:hint="eastAsia" w:ascii="宋体" w:hAnsi="宋体"/>
          <w:color w:val="auto"/>
          <w:szCs w:val="21"/>
        </w:rPr>
        <w:t>22</w:t>
      </w:r>
      <w:r>
        <w:rPr>
          <w:rFonts w:ascii="宋体" w:hAnsi="宋体"/>
          <w:color w:val="auto"/>
          <w:szCs w:val="21"/>
        </w:rPr>
        <w:t xml:space="preserve">.3 </w:t>
      </w:r>
      <w:r>
        <w:rPr>
          <w:rFonts w:hint="eastAsia" w:ascii="宋体" w:hAnsi="宋体"/>
          <w:color w:val="auto"/>
          <w:szCs w:val="21"/>
        </w:rPr>
        <w:t>开标会议程序</w:t>
      </w:r>
    </w:p>
    <w:p>
      <w:pPr>
        <w:spacing w:line="320" w:lineRule="exact"/>
        <w:ind w:left="480"/>
        <w:rPr>
          <w:rFonts w:ascii="宋体" w:hAnsi="宋体"/>
          <w:color w:val="auto"/>
          <w:szCs w:val="21"/>
        </w:rPr>
      </w:pPr>
      <w:r>
        <w:rPr>
          <w:rFonts w:hint="eastAsia" w:ascii="宋体" w:hAnsi="宋体"/>
          <w:color w:val="auto"/>
          <w:szCs w:val="21"/>
        </w:rPr>
        <w:t>（1）采购代理机构</w:t>
      </w:r>
      <w:r>
        <w:rPr>
          <w:rFonts w:ascii="宋体" w:hAnsi="宋体"/>
          <w:color w:val="auto"/>
          <w:szCs w:val="21"/>
        </w:rPr>
        <w:t>主持人宣布开标会议开始；</w:t>
      </w:r>
    </w:p>
    <w:p>
      <w:pPr>
        <w:spacing w:line="320" w:lineRule="exact"/>
        <w:ind w:left="480"/>
        <w:rPr>
          <w:rFonts w:ascii="宋体" w:hAnsi="宋体"/>
          <w:color w:val="auto"/>
          <w:szCs w:val="21"/>
        </w:rPr>
      </w:pPr>
      <w:r>
        <w:rPr>
          <w:rFonts w:hint="eastAsia" w:ascii="宋体" w:hAnsi="宋体"/>
          <w:color w:val="auto"/>
          <w:szCs w:val="21"/>
        </w:rPr>
        <w:t>（2）公布在谈判截止时间前提交谈判响应文件的谈判供应商数量；</w:t>
      </w:r>
    </w:p>
    <w:p>
      <w:pPr>
        <w:spacing w:line="320" w:lineRule="exact"/>
        <w:ind w:left="480"/>
        <w:rPr>
          <w:rFonts w:ascii="宋体" w:hAnsi="宋体"/>
          <w:color w:val="auto"/>
          <w:szCs w:val="21"/>
        </w:rPr>
      </w:pPr>
      <w:r>
        <w:rPr>
          <w:rFonts w:hint="eastAsia" w:ascii="宋体" w:hAnsi="宋体"/>
          <w:color w:val="auto"/>
          <w:szCs w:val="21"/>
        </w:rPr>
        <w:t>（3）介绍参加开标会议的人员名单（包括谈判供应商代表、采购单位代表、采购代理机构工作人员）；</w:t>
      </w:r>
    </w:p>
    <w:p>
      <w:pPr>
        <w:spacing w:line="320" w:lineRule="exact"/>
        <w:ind w:left="480"/>
        <w:rPr>
          <w:rFonts w:ascii="宋体" w:hAnsi="宋体"/>
          <w:color w:val="auto"/>
          <w:szCs w:val="21"/>
        </w:rPr>
      </w:pPr>
      <w:r>
        <w:rPr>
          <w:rFonts w:hint="eastAsia" w:ascii="宋体" w:hAnsi="宋体"/>
          <w:color w:val="auto"/>
          <w:szCs w:val="21"/>
        </w:rPr>
        <w:t>（4）宣布开标纪律；</w:t>
      </w:r>
    </w:p>
    <w:p>
      <w:pPr>
        <w:spacing w:line="320" w:lineRule="exact"/>
        <w:ind w:left="480"/>
        <w:rPr>
          <w:rFonts w:ascii="宋体" w:hAnsi="宋体"/>
          <w:color w:val="auto"/>
          <w:szCs w:val="21"/>
        </w:rPr>
      </w:pPr>
      <w:r>
        <w:rPr>
          <w:rFonts w:hint="eastAsia" w:ascii="宋体" w:hAnsi="宋体"/>
          <w:color w:val="auto"/>
          <w:szCs w:val="21"/>
        </w:rPr>
        <w:t>（5）由各谈判供应商的代表交叉检验各谈判响应文件密封的完整性并签字确认；</w:t>
      </w:r>
    </w:p>
    <w:p>
      <w:pPr>
        <w:spacing w:line="320" w:lineRule="exact"/>
        <w:ind w:left="480"/>
        <w:rPr>
          <w:rFonts w:ascii="宋体" w:hAnsi="宋体"/>
          <w:color w:val="auto"/>
          <w:szCs w:val="21"/>
        </w:rPr>
      </w:pPr>
      <w:r>
        <w:rPr>
          <w:rFonts w:ascii="宋体" w:hAnsi="宋体"/>
          <w:color w:val="auto"/>
          <w:szCs w:val="21"/>
        </w:rPr>
        <w:t xml:space="preserve"> (</w:t>
      </w:r>
      <w:r>
        <w:rPr>
          <w:rFonts w:hint="eastAsia" w:ascii="宋体" w:hAnsi="宋体"/>
          <w:color w:val="auto"/>
          <w:szCs w:val="21"/>
        </w:rPr>
        <w:t>6</w:t>
      </w:r>
      <w:r>
        <w:rPr>
          <w:rFonts w:ascii="宋体" w:hAnsi="宋体"/>
          <w:color w:val="auto"/>
          <w:szCs w:val="21"/>
        </w:rPr>
        <w:t xml:space="preserve">) </w:t>
      </w:r>
      <w:r>
        <w:rPr>
          <w:rFonts w:hint="eastAsia" w:ascii="宋体" w:hAnsi="宋体"/>
          <w:color w:val="auto"/>
          <w:szCs w:val="21"/>
        </w:rPr>
        <w:t>宣读谈判和评标期间的有关事项；</w:t>
      </w:r>
    </w:p>
    <w:p>
      <w:pPr>
        <w:spacing w:line="320" w:lineRule="exact"/>
        <w:ind w:left="481" w:leftChars="229" w:firstLine="105" w:firstLineChars="50"/>
        <w:rPr>
          <w:rFonts w:ascii="宋体" w:hAnsi="宋体"/>
          <w:color w:val="auto"/>
          <w:szCs w:val="21"/>
        </w:rPr>
      </w:pPr>
      <w:r>
        <w:rPr>
          <w:rFonts w:ascii="宋体" w:hAnsi="宋体"/>
          <w:color w:val="auto"/>
          <w:szCs w:val="21"/>
        </w:rPr>
        <w:t>(</w:t>
      </w:r>
      <w:r>
        <w:rPr>
          <w:rFonts w:hint="eastAsia" w:ascii="宋体" w:hAnsi="宋体"/>
          <w:color w:val="auto"/>
          <w:szCs w:val="21"/>
        </w:rPr>
        <w:t>7</w:t>
      </w:r>
      <w:r>
        <w:rPr>
          <w:rFonts w:ascii="宋体" w:hAnsi="宋体"/>
          <w:color w:val="auto"/>
          <w:szCs w:val="21"/>
        </w:rPr>
        <w:t xml:space="preserve">) </w:t>
      </w:r>
      <w:r>
        <w:rPr>
          <w:rFonts w:hint="eastAsia" w:ascii="宋体" w:hAnsi="宋体"/>
          <w:color w:val="auto"/>
          <w:szCs w:val="21"/>
        </w:rPr>
        <w:t>宣布</w:t>
      </w:r>
      <w:r>
        <w:rPr>
          <w:rFonts w:ascii="宋体" w:hAnsi="宋体"/>
          <w:color w:val="auto"/>
          <w:szCs w:val="21"/>
        </w:rPr>
        <w:t>开标会议结束</w:t>
      </w:r>
      <w:r>
        <w:rPr>
          <w:rFonts w:hint="eastAsia" w:ascii="宋体" w:hAnsi="宋体"/>
          <w:color w:val="auto"/>
          <w:szCs w:val="21"/>
        </w:rPr>
        <w:t>。</w:t>
      </w:r>
    </w:p>
    <w:p>
      <w:pPr>
        <w:spacing w:line="320" w:lineRule="exact"/>
        <w:ind w:firstLine="422" w:firstLineChars="200"/>
        <w:rPr>
          <w:rFonts w:ascii="宋体" w:hAnsi="宋体"/>
          <w:color w:val="auto"/>
          <w:szCs w:val="21"/>
        </w:rPr>
      </w:pPr>
      <w:r>
        <w:rPr>
          <w:rFonts w:hint="eastAsia" w:ascii="宋体" w:hAnsi="宋体"/>
          <w:b/>
          <w:color w:val="auto"/>
          <w:szCs w:val="21"/>
        </w:rPr>
        <w:t>23.谈判</w:t>
      </w:r>
    </w:p>
    <w:p>
      <w:pPr>
        <w:pStyle w:val="12"/>
        <w:spacing w:line="320" w:lineRule="exact"/>
        <w:ind w:firstLine="420"/>
        <w:rPr>
          <w:rFonts w:hAnsi="宋体"/>
          <w:color w:val="auto"/>
          <w:sz w:val="21"/>
        </w:rPr>
      </w:pPr>
      <w:r>
        <w:rPr>
          <w:rFonts w:hint="eastAsia" w:hAnsi="宋体"/>
          <w:color w:val="auto"/>
          <w:sz w:val="21"/>
        </w:rPr>
        <w:t>23.1谈判时间及地点：按本须知前附表第8项规定，具体时间由采购代理机构另行通知。</w:t>
      </w:r>
    </w:p>
    <w:p>
      <w:pPr>
        <w:pStyle w:val="12"/>
        <w:spacing w:line="320" w:lineRule="exact"/>
        <w:ind w:firstLine="420"/>
        <w:rPr>
          <w:rFonts w:hAnsi="宋体"/>
          <w:color w:val="auto"/>
          <w:sz w:val="21"/>
        </w:rPr>
      </w:pPr>
      <w:r>
        <w:rPr>
          <w:rFonts w:hint="eastAsia" w:hAnsi="宋体"/>
          <w:color w:val="auto"/>
          <w:sz w:val="21"/>
        </w:rPr>
        <w:t>23.2采购代理机构根据采购项目的特点组建由从政采云评审专家库中随机抽取2名有关专家，和1名采购人代表组成，其中评审专家人数不得少于谈判小组成员总数的三分之二。在整个谈判过程中，谈判小组将负责对全部竞争性谈判响应文件格式进行审查、谈判及评标工作。</w:t>
      </w:r>
    </w:p>
    <w:p>
      <w:pPr>
        <w:pStyle w:val="12"/>
        <w:numPr>
          <w:ilvl w:val="0"/>
          <w:numId w:val="2"/>
        </w:numPr>
        <w:spacing w:line="320" w:lineRule="exact"/>
        <w:ind w:firstLine="420"/>
        <w:rPr>
          <w:rFonts w:hAnsi="宋体"/>
          <w:b/>
          <w:color w:val="auto"/>
          <w:sz w:val="21"/>
        </w:rPr>
      </w:pPr>
      <w:r>
        <w:rPr>
          <w:rFonts w:hint="eastAsia" w:hAnsi="宋体"/>
          <w:b/>
          <w:color w:val="auto"/>
          <w:sz w:val="21"/>
        </w:rPr>
        <w:t>谈判的步骤</w:t>
      </w:r>
    </w:p>
    <w:p>
      <w:pPr>
        <w:pStyle w:val="12"/>
        <w:spacing w:line="320" w:lineRule="exact"/>
        <w:ind w:firstLine="420"/>
        <w:rPr>
          <w:rFonts w:hAnsi="宋体"/>
          <w:color w:val="auto"/>
          <w:sz w:val="21"/>
        </w:rPr>
      </w:pPr>
      <w:r>
        <w:rPr>
          <w:rFonts w:hint="eastAsia" w:hAnsi="宋体"/>
          <w:color w:val="auto"/>
          <w:sz w:val="21"/>
        </w:rPr>
        <w:t>24.1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2"/>
        <w:spacing w:line="320" w:lineRule="exact"/>
        <w:ind w:firstLine="420"/>
        <w:rPr>
          <w:rFonts w:hAnsi="宋体"/>
          <w:color w:val="auto"/>
          <w:sz w:val="21"/>
        </w:rPr>
      </w:pPr>
      <w:r>
        <w:rPr>
          <w:rFonts w:hint="eastAsia" w:hAnsi="宋体"/>
          <w:color w:val="auto"/>
          <w:sz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2"/>
        <w:spacing w:line="320" w:lineRule="exact"/>
        <w:ind w:firstLine="420"/>
        <w:rPr>
          <w:rFonts w:hAnsi="宋体"/>
          <w:color w:val="auto"/>
          <w:sz w:val="21"/>
        </w:rPr>
      </w:pPr>
      <w:r>
        <w:rPr>
          <w:rFonts w:hint="eastAsia" w:hAnsi="宋体"/>
          <w:color w:val="auto"/>
          <w:sz w:val="21"/>
        </w:rPr>
        <w:t>24.2谈判文件能够详细列明采购标的的技术、服务要求的，谈判结束后，谈判小组应当要求所有继续参加谈判的供应商在规定时间内提交最后报价，提交最后报价的供应商不得少于3家。</w:t>
      </w:r>
    </w:p>
    <w:p>
      <w:pPr>
        <w:pStyle w:val="12"/>
        <w:spacing w:line="320" w:lineRule="exact"/>
        <w:ind w:firstLine="420"/>
        <w:rPr>
          <w:rFonts w:hAnsi="宋体"/>
          <w:color w:val="auto"/>
          <w:sz w:val="21"/>
        </w:rPr>
      </w:pPr>
      <w:r>
        <w:rPr>
          <w:rFonts w:hint="eastAsia" w:hAnsi="宋体"/>
          <w:color w:val="auto"/>
          <w:sz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
        <w:spacing w:line="320" w:lineRule="exact"/>
        <w:ind w:firstLine="420"/>
        <w:rPr>
          <w:color w:val="auto"/>
        </w:rPr>
      </w:pPr>
      <w:r>
        <w:rPr>
          <w:rFonts w:hint="eastAsia" w:hAnsi="宋体"/>
          <w:color w:val="auto"/>
          <w:sz w:val="21"/>
        </w:rPr>
        <w:t>最后报价是供应商响应文件的有效组成部分。</w:t>
      </w:r>
    </w:p>
    <w:p>
      <w:pPr>
        <w:widowControl/>
        <w:tabs>
          <w:tab w:val="left" w:pos="540"/>
        </w:tabs>
        <w:spacing w:line="320" w:lineRule="exact"/>
        <w:ind w:firstLine="422" w:firstLineChars="200"/>
        <w:jc w:val="left"/>
        <w:rPr>
          <w:rFonts w:ascii="宋体" w:hAnsi="宋体"/>
          <w:b/>
          <w:color w:val="auto"/>
          <w:szCs w:val="21"/>
        </w:rPr>
      </w:pPr>
      <w:r>
        <w:rPr>
          <w:rFonts w:hint="eastAsia" w:ascii="宋体" w:hAnsi="宋体"/>
          <w:b/>
          <w:color w:val="auto"/>
          <w:szCs w:val="21"/>
        </w:rPr>
        <w:t>25.评标</w:t>
      </w:r>
    </w:p>
    <w:p>
      <w:pPr>
        <w:widowControl/>
        <w:tabs>
          <w:tab w:val="left" w:pos="540"/>
        </w:tabs>
        <w:spacing w:line="320" w:lineRule="exact"/>
        <w:ind w:firstLine="420" w:firstLineChars="200"/>
        <w:jc w:val="left"/>
        <w:rPr>
          <w:rFonts w:ascii="宋体" w:hAnsi="宋体"/>
          <w:color w:val="auto"/>
          <w:szCs w:val="21"/>
        </w:rPr>
      </w:pPr>
      <w:r>
        <w:rPr>
          <w:rFonts w:hint="eastAsia" w:ascii="宋体" w:hAnsi="宋体"/>
          <w:color w:val="auto"/>
          <w:szCs w:val="21"/>
        </w:rPr>
        <w:t>25.1本采购项目是以政府采购预算价为最高限价，超出政府采购预算价的最终谈判报价，采购人不能支付时，谈判小组将不予以评审。</w:t>
      </w:r>
    </w:p>
    <w:p>
      <w:pPr>
        <w:pStyle w:val="12"/>
        <w:spacing w:line="320" w:lineRule="exact"/>
        <w:ind w:firstLine="420"/>
        <w:rPr>
          <w:rFonts w:hAnsi="宋体"/>
          <w:color w:val="auto"/>
          <w:sz w:val="21"/>
        </w:rPr>
      </w:pPr>
      <w:r>
        <w:rPr>
          <w:rFonts w:hAnsi="宋体"/>
          <w:color w:val="auto"/>
          <w:sz w:val="21"/>
        </w:rPr>
        <w:t>2</w:t>
      </w:r>
      <w:r>
        <w:rPr>
          <w:rFonts w:hint="eastAsia" w:hAnsi="宋体"/>
          <w:color w:val="auto"/>
          <w:sz w:val="21"/>
        </w:rPr>
        <w:t>5</w:t>
      </w:r>
      <w:r>
        <w:rPr>
          <w:rFonts w:hAnsi="宋体"/>
          <w:color w:val="auto"/>
          <w:sz w:val="21"/>
        </w:rPr>
        <w:t>.2</w:t>
      </w:r>
      <w:r>
        <w:rPr>
          <w:rFonts w:hint="eastAsia" w:hAnsi="宋体"/>
          <w:color w:val="auto"/>
          <w:sz w:val="21"/>
        </w:rPr>
        <w:t>本采购项目的评标依据为采购文件和响应文件。</w:t>
      </w:r>
    </w:p>
    <w:p>
      <w:pPr>
        <w:pStyle w:val="12"/>
        <w:spacing w:line="320" w:lineRule="exact"/>
        <w:ind w:firstLine="420"/>
        <w:rPr>
          <w:rFonts w:hAnsi="宋体"/>
          <w:color w:val="auto"/>
          <w:sz w:val="21"/>
        </w:rPr>
      </w:pPr>
      <w:r>
        <w:rPr>
          <w:rFonts w:hint="eastAsia" w:hAnsi="宋体"/>
          <w:color w:val="auto"/>
          <w:sz w:val="21"/>
        </w:rPr>
        <w:t>25.3本项目采用的评标方法按本须知前附表第12项规定执行，谈判小组成员、采购人代表、采购代理机构有关工作人员及其他知情人不得透露对谈判文件的评审、比较和成交候选供应商的推荐情况以及与评标有关的其他情况。</w:t>
      </w:r>
    </w:p>
    <w:p>
      <w:pPr>
        <w:pStyle w:val="12"/>
        <w:spacing w:line="320" w:lineRule="exact"/>
        <w:ind w:firstLine="420"/>
        <w:rPr>
          <w:rFonts w:hAnsi="宋体"/>
          <w:color w:val="auto"/>
          <w:sz w:val="21"/>
        </w:rPr>
      </w:pPr>
      <w:r>
        <w:rPr>
          <w:rFonts w:hint="eastAsia" w:hAnsi="宋体"/>
          <w:color w:val="auto"/>
          <w:sz w:val="21"/>
        </w:rPr>
        <w:t>25.4谈判供应商在评标过程中，所进行的力图影响评标结果公正性的活动，将可能导致其成交资格被取消。</w:t>
      </w:r>
    </w:p>
    <w:p>
      <w:pPr>
        <w:widowControl/>
        <w:tabs>
          <w:tab w:val="left" w:pos="540"/>
        </w:tabs>
        <w:spacing w:line="320" w:lineRule="exact"/>
        <w:ind w:firstLine="422" w:firstLineChars="200"/>
        <w:jc w:val="left"/>
        <w:rPr>
          <w:rFonts w:ascii="宋体" w:hAnsi="宋体"/>
          <w:color w:val="auto"/>
          <w:szCs w:val="21"/>
        </w:rPr>
      </w:pPr>
      <w:r>
        <w:rPr>
          <w:rFonts w:hint="eastAsia" w:ascii="宋体" w:hAnsi="宋体"/>
          <w:b/>
          <w:color w:val="auto"/>
          <w:szCs w:val="21"/>
        </w:rPr>
        <w:t>26.无效的竞争性谈判响应文件</w:t>
      </w:r>
    </w:p>
    <w:p>
      <w:pPr>
        <w:widowControl/>
        <w:spacing w:line="320" w:lineRule="exact"/>
        <w:ind w:firstLine="409" w:firstLineChars="195"/>
        <w:jc w:val="left"/>
        <w:rPr>
          <w:rFonts w:ascii="宋体" w:hAnsi="宋体"/>
          <w:color w:val="auto"/>
          <w:szCs w:val="21"/>
        </w:rPr>
      </w:pPr>
      <w:r>
        <w:rPr>
          <w:rFonts w:hint="eastAsia" w:ascii="宋体" w:hAnsi="宋体"/>
          <w:color w:val="auto"/>
          <w:szCs w:val="21"/>
        </w:rPr>
        <w:t>26.1竞争性谈判响应文件或最终谈判报价如有下列情况之一者，将会在谈判过程中按照无效谈判处理：</w:t>
      </w:r>
    </w:p>
    <w:p>
      <w:pPr>
        <w:pStyle w:val="12"/>
        <w:spacing w:line="320" w:lineRule="exact"/>
        <w:ind w:firstLine="210" w:firstLineChars="100"/>
        <w:rPr>
          <w:rFonts w:hAnsi="宋体"/>
          <w:bCs/>
          <w:color w:val="auto"/>
          <w:sz w:val="21"/>
        </w:rPr>
      </w:pPr>
      <w:r>
        <w:rPr>
          <w:rFonts w:hint="eastAsia" w:hAnsi="宋体"/>
          <w:bCs/>
          <w:color w:val="auto"/>
          <w:sz w:val="21"/>
        </w:rPr>
        <w:t>（1）不同供应商的响应文件由同一单位或者个人编制；或者不同供应商报名的IP地址一致的；</w:t>
      </w:r>
    </w:p>
    <w:p>
      <w:pPr>
        <w:pStyle w:val="12"/>
        <w:spacing w:line="320" w:lineRule="exact"/>
        <w:ind w:firstLine="210" w:firstLineChars="100"/>
        <w:rPr>
          <w:rFonts w:hAnsi="宋体"/>
          <w:bCs/>
          <w:color w:val="auto"/>
          <w:sz w:val="21"/>
        </w:rPr>
      </w:pPr>
      <w:r>
        <w:rPr>
          <w:rFonts w:hint="eastAsia" w:hAnsi="宋体"/>
          <w:bCs/>
          <w:color w:val="auto"/>
          <w:sz w:val="21"/>
        </w:rPr>
        <w:t>（2）不同供应商委托同一单位或者个人办理竞标事宜；</w:t>
      </w:r>
    </w:p>
    <w:p>
      <w:pPr>
        <w:pStyle w:val="12"/>
        <w:spacing w:line="320" w:lineRule="exact"/>
        <w:ind w:firstLine="210" w:firstLineChars="100"/>
        <w:rPr>
          <w:rFonts w:hAnsi="宋体"/>
          <w:bCs/>
          <w:color w:val="auto"/>
          <w:sz w:val="21"/>
        </w:rPr>
      </w:pPr>
      <w:r>
        <w:rPr>
          <w:rFonts w:hint="eastAsia" w:hAnsi="宋体"/>
          <w:bCs/>
          <w:color w:val="auto"/>
          <w:sz w:val="21"/>
        </w:rPr>
        <w:t>（3）不同的供应商的响应文件载明的项目管理员为同一个人；</w:t>
      </w:r>
    </w:p>
    <w:p>
      <w:pPr>
        <w:pStyle w:val="12"/>
        <w:spacing w:line="320" w:lineRule="exact"/>
        <w:ind w:firstLine="210" w:firstLineChars="100"/>
        <w:rPr>
          <w:rFonts w:hAnsi="宋体"/>
          <w:bCs/>
          <w:color w:val="auto"/>
          <w:sz w:val="21"/>
        </w:rPr>
      </w:pPr>
      <w:r>
        <w:rPr>
          <w:rFonts w:hint="eastAsia" w:hAnsi="宋体"/>
          <w:bCs/>
          <w:color w:val="auto"/>
          <w:sz w:val="21"/>
        </w:rPr>
        <w:t>（4）不同供应商的响应文件异常一致或者报价呈规律性差异；</w:t>
      </w:r>
    </w:p>
    <w:p>
      <w:pPr>
        <w:pStyle w:val="12"/>
        <w:spacing w:line="320" w:lineRule="exact"/>
        <w:ind w:firstLine="210" w:firstLineChars="100"/>
        <w:rPr>
          <w:rFonts w:hAnsi="宋体"/>
          <w:bCs/>
          <w:color w:val="auto"/>
          <w:sz w:val="21"/>
        </w:rPr>
      </w:pPr>
      <w:r>
        <w:rPr>
          <w:rFonts w:hint="eastAsia" w:hAnsi="宋体"/>
          <w:bCs/>
          <w:color w:val="auto"/>
          <w:sz w:val="21"/>
        </w:rPr>
        <w:t>（5）不同供应商的响应文件相互混装；</w:t>
      </w:r>
    </w:p>
    <w:p>
      <w:pPr>
        <w:pStyle w:val="12"/>
        <w:spacing w:line="320" w:lineRule="exact"/>
        <w:ind w:firstLine="210" w:firstLineChars="100"/>
        <w:rPr>
          <w:rFonts w:hAnsi="宋体"/>
          <w:bCs/>
          <w:color w:val="auto"/>
          <w:sz w:val="21"/>
        </w:rPr>
      </w:pPr>
      <w:r>
        <w:rPr>
          <w:rFonts w:hint="eastAsia" w:hAnsi="宋体"/>
          <w:bCs/>
          <w:color w:val="auto"/>
          <w:sz w:val="21"/>
        </w:rPr>
        <w:t>（6）不同供应商的竞标保证金从同一单位或者个人账户转出。</w:t>
      </w:r>
    </w:p>
    <w:p>
      <w:pPr>
        <w:pStyle w:val="12"/>
        <w:spacing w:line="320" w:lineRule="exact"/>
        <w:ind w:firstLine="420" w:firstLineChars="200"/>
        <w:rPr>
          <w:rFonts w:hAnsi="宋体"/>
          <w:bCs/>
          <w:color w:val="auto"/>
          <w:sz w:val="21"/>
        </w:rPr>
      </w:pPr>
      <w:r>
        <w:rPr>
          <w:rFonts w:hint="eastAsia" w:hAnsi="宋体"/>
          <w:bCs/>
          <w:color w:val="auto"/>
          <w:sz w:val="21"/>
        </w:rPr>
        <w:t>26.2在政府采购活动中，采购人员及相关人员与供应商有下列利害关系之一的，应当回避：</w:t>
      </w:r>
    </w:p>
    <w:p>
      <w:pPr>
        <w:pStyle w:val="12"/>
        <w:spacing w:line="320" w:lineRule="exact"/>
        <w:ind w:firstLine="210" w:firstLineChars="100"/>
        <w:rPr>
          <w:rFonts w:hAnsi="宋体"/>
          <w:bCs/>
          <w:color w:val="auto"/>
          <w:sz w:val="21"/>
        </w:rPr>
      </w:pPr>
      <w:r>
        <w:rPr>
          <w:rFonts w:hint="eastAsia" w:hAnsi="宋体"/>
          <w:bCs/>
          <w:color w:val="auto"/>
          <w:sz w:val="21"/>
        </w:rPr>
        <w:t>（1）参加采购活动前3年内与供应商存在劳动关系；</w:t>
      </w:r>
    </w:p>
    <w:p>
      <w:pPr>
        <w:pStyle w:val="12"/>
        <w:spacing w:line="320" w:lineRule="exact"/>
        <w:ind w:firstLine="210" w:firstLineChars="100"/>
        <w:rPr>
          <w:rFonts w:hAnsi="宋体"/>
          <w:bCs/>
          <w:color w:val="auto"/>
          <w:sz w:val="21"/>
        </w:rPr>
      </w:pPr>
      <w:r>
        <w:rPr>
          <w:rFonts w:hint="eastAsia" w:hAnsi="宋体"/>
          <w:bCs/>
          <w:color w:val="auto"/>
          <w:sz w:val="21"/>
        </w:rPr>
        <w:t>（2）参加采购活动前3年内担任供应商的董事、监事；</w:t>
      </w:r>
    </w:p>
    <w:p>
      <w:pPr>
        <w:pStyle w:val="12"/>
        <w:spacing w:line="320" w:lineRule="exact"/>
        <w:ind w:firstLine="210" w:firstLineChars="100"/>
        <w:rPr>
          <w:rFonts w:hAnsi="宋体"/>
          <w:bCs/>
          <w:color w:val="auto"/>
          <w:sz w:val="21"/>
        </w:rPr>
      </w:pPr>
      <w:r>
        <w:rPr>
          <w:rFonts w:hint="eastAsia" w:hAnsi="宋体"/>
          <w:bCs/>
          <w:color w:val="auto"/>
          <w:sz w:val="21"/>
        </w:rPr>
        <w:t>（3）参加采购活动前3年内是供应商的控股股东或者实际控制人；</w:t>
      </w:r>
    </w:p>
    <w:p>
      <w:pPr>
        <w:pStyle w:val="12"/>
        <w:spacing w:line="320" w:lineRule="exact"/>
        <w:ind w:firstLine="210" w:firstLineChars="100"/>
        <w:rPr>
          <w:rFonts w:hAnsi="宋体"/>
          <w:bCs/>
          <w:color w:val="auto"/>
          <w:sz w:val="21"/>
        </w:rPr>
      </w:pPr>
      <w:r>
        <w:rPr>
          <w:rFonts w:hint="eastAsia" w:hAnsi="宋体"/>
          <w:bCs/>
          <w:color w:val="auto"/>
          <w:sz w:val="21"/>
        </w:rPr>
        <w:t>（4）与供应商的法定代表人或者负责人有夫妻、直系血亲、三代以内旁系血亲或者近姻亲关系；</w:t>
      </w:r>
    </w:p>
    <w:p>
      <w:pPr>
        <w:pStyle w:val="12"/>
        <w:spacing w:line="320" w:lineRule="exact"/>
        <w:ind w:firstLine="210" w:firstLineChars="100"/>
        <w:rPr>
          <w:rFonts w:hAnsi="宋体"/>
          <w:bCs/>
          <w:color w:val="auto"/>
          <w:sz w:val="21"/>
        </w:rPr>
      </w:pPr>
      <w:r>
        <w:rPr>
          <w:rFonts w:hint="eastAsia" w:hAnsi="宋体"/>
          <w:bCs/>
          <w:color w:val="auto"/>
          <w:sz w:val="21"/>
        </w:rPr>
        <w:t>（5）与供应商有其他可能影响政府采购活动公平、公正进行的关系。</w:t>
      </w:r>
    </w:p>
    <w:p>
      <w:pPr>
        <w:pStyle w:val="12"/>
        <w:spacing w:line="320" w:lineRule="exact"/>
        <w:ind w:firstLine="210" w:firstLineChars="100"/>
        <w:rPr>
          <w:rFonts w:hAnsi="宋体"/>
          <w:bCs/>
          <w:color w:val="auto"/>
          <w:sz w:val="21"/>
        </w:rPr>
      </w:pPr>
      <w:r>
        <w:rPr>
          <w:rFonts w:hint="eastAsia" w:hAnsi="宋体"/>
          <w:bCs/>
          <w:color w:val="auto"/>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12"/>
        <w:spacing w:line="320" w:lineRule="exact"/>
        <w:ind w:firstLine="567" w:firstLineChars="270"/>
        <w:rPr>
          <w:rFonts w:hAnsi="宋体"/>
          <w:bCs/>
          <w:color w:val="auto"/>
          <w:sz w:val="21"/>
        </w:rPr>
      </w:pPr>
      <w:r>
        <w:rPr>
          <w:rFonts w:hint="eastAsia" w:hAnsi="宋体"/>
          <w:bCs/>
          <w:color w:val="auto"/>
          <w:sz w:val="21"/>
        </w:rPr>
        <w:t>26.3供应商有下列情形之一的，属于恶意串通行为</w:t>
      </w:r>
      <w:bookmarkStart w:id="15" w:name="_Hlk54682620"/>
      <w:r>
        <w:rPr>
          <w:rFonts w:hint="eastAsia" w:hAnsi="宋体"/>
          <w:bCs/>
          <w:color w:val="auto"/>
          <w:sz w:val="21"/>
        </w:rPr>
        <w:t>，将报同级监督管理部门</w:t>
      </w:r>
      <w:bookmarkEnd w:id="15"/>
      <w:r>
        <w:rPr>
          <w:rFonts w:hint="eastAsia" w:hAnsi="宋体"/>
          <w:bCs/>
          <w:color w:val="auto"/>
          <w:sz w:val="21"/>
        </w:rPr>
        <w:t>：</w:t>
      </w:r>
    </w:p>
    <w:p>
      <w:pPr>
        <w:pStyle w:val="12"/>
        <w:spacing w:line="320" w:lineRule="exact"/>
        <w:ind w:firstLine="357" w:firstLineChars="170"/>
        <w:rPr>
          <w:rFonts w:hAnsi="宋体"/>
          <w:bCs/>
          <w:color w:val="auto"/>
          <w:sz w:val="21"/>
        </w:rPr>
      </w:pPr>
      <w:r>
        <w:rPr>
          <w:rFonts w:hint="eastAsia" w:hAnsi="宋体"/>
          <w:bCs/>
          <w:color w:val="auto"/>
          <w:sz w:val="21"/>
        </w:rPr>
        <w:t>（1）供应商直接或者间接从采购人或者采购代理机构处获得其他供应商的相关信息并修改其响应文件；</w:t>
      </w:r>
    </w:p>
    <w:p>
      <w:pPr>
        <w:pStyle w:val="12"/>
        <w:spacing w:line="320" w:lineRule="exact"/>
        <w:ind w:firstLine="357" w:firstLineChars="170"/>
        <w:rPr>
          <w:rFonts w:hAnsi="宋体"/>
          <w:bCs/>
          <w:color w:val="auto"/>
          <w:sz w:val="21"/>
        </w:rPr>
      </w:pPr>
      <w:r>
        <w:rPr>
          <w:rFonts w:hint="eastAsia" w:hAnsi="宋体"/>
          <w:bCs/>
          <w:color w:val="auto"/>
          <w:sz w:val="21"/>
        </w:rPr>
        <w:t>（2）供应商按照采购人或者采购代理机构的授意撤换、修改响应文件；</w:t>
      </w:r>
    </w:p>
    <w:p>
      <w:pPr>
        <w:pStyle w:val="12"/>
        <w:spacing w:line="320" w:lineRule="exact"/>
        <w:ind w:firstLine="357" w:firstLineChars="170"/>
        <w:rPr>
          <w:rFonts w:hAnsi="宋体"/>
          <w:bCs/>
          <w:color w:val="auto"/>
          <w:sz w:val="21"/>
        </w:rPr>
      </w:pPr>
      <w:r>
        <w:rPr>
          <w:rFonts w:hint="eastAsia" w:hAnsi="宋体"/>
          <w:bCs/>
          <w:color w:val="auto"/>
          <w:sz w:val="21"/>
        </w:rPr>
        <w:t>（3）供应商之间协商报价、技术方案等响应文件或者响应文件的实质性内容；</w:t>
      </w:r>
    </w:p>
    <w:p>
      <w:pPr>
        <w:pStyle w:val="12"/>
        <w:spacing w:line="320" w:lineRule="exact"/>
        <w:ind w:firstLine="357" w:firstLineChars="170"/>
        <w:rPr>
          <w:rFonts w:hAnsi="宋体"/>
          <w:bCs/>
          <w:color w:val="auto"/>
          <w:sz w:val="21"/>
        </w:rPr>
      </w:pPr>
      <w:r>
        <w:rPr>
          <w:rFonts w:hint="eastAsia" w:hAnsi="宋体"/>
          <w:bCs/>
          <w:color w:val="auto"/>
          <w:sz w:val="21"/>
        </w:rPr>
        <w:t>（4）属于同一集团、协会、商会等组织成员的供应商按照该组织要求协同参加政府采购活动；</w:t>
      </w:r>
    </w:p>
    <w:p>
      <w:pPr>
        <w:pStyle w:val="12"/>
        <w:spacing w:line="320" w:lineRule="exact"/>
        <w:ind w:firstLine="357" w:firstLineChars="170"/>
        <w:rPr>
          <w:rFonts w:hAnsi="宋体"/>
          <w:bCs/>
          <w:color w:val="auto"/>
          <w:sz w:val="21"/>
        </w:rPr>
      </w:pPr>
      <w:r>
        <w:rPr>
          <w:rFonts w:hint="eastAsia" w:hAnsi="宋体"/>
          <w:bCs/>
          <w:color w:val="auto"/>
          <w:sz w:val="21"/>
        </w:rPr>
        <w:t>（5）供应商之间事先约定一致抬高或者压低报价,或者在政府采购活动中事先约定轮流以高价位或者低价位成交,或者事先约定由某一特定供应商成交,然后再参加竞标；</w:t>
      </w:r>
    </w:p>
    <w:p>
      <w:pPr>
        <w:pStyle w:val="12"/>
        <w:spacing w:line="320" w:lineRule="exact"/>
        <w:ind w:firstLine="357" w:firstLineChars="170"/>
        <w:rPr>
          <w:rFonts w:hAnsi="宋体"/>
          <w:bCs/>
          <w:color w:val="auto"/>
          <w:sz w:val="21"/>
        </w:rPr>
      </w:pPr>
      <w:r>
        <w:rPr>
          <w:rFonts w:hint="eastAsia" w:hAnsi="宋体"/>
          <w:bCs/>
          <w:color w:val="auto"/>
          <w:sz w:val="21"/>
        </w:rPr>
        <w:t>（6）供应商之间商定部分供应商放弃参加政府采购活动或者放弃成交；</w:t>
      </w:r>
    </w:p>
    <w:p>
      <w:pPr>
        <w:pStyle w:val="12"/>
        <w:spacing w:line="320" w:lineRule="exact"/>
        <w:ind w:firstLine="357" w:firstLineChars="170"/>
        <w:rPr>
          <w:color w:val="auto"/>
        </w:rPr>
      </w:pPr>
      <w:r>
        <w:rPr>
          <w:rFonts w:hint="eastAsia" w:hAnsi="宋体"/>
          <w:bCs/>
          <w:color w:val="auto"/>
          <w:sz w:val="21"/>
        </w:rPr>
        <w:t>（7）供应商与采购人或者采购代理机构之间、供应商相互之间，为谋求特定供应商成交或者排斥其他供应商的其他串通行为。</w:t>
      </w:r>
    </w:p>
    <w:p>
      <w:pPr>
        <w:pStyle w:val="12"/>
        <w:spacing w:line="320" w:lineRule="exact"/>
        <w:ind w:firstLine="358" w:firstLineChars="170"/>
        <w:rPr>
          <w:rFonts w:hAnsi="宋体"/>
          <w:b/>
          <w:color w:val="auto"/>
          <w:sz w:val="21"/>
        </w:rPr>
      </w:pPr>
      <w:r>
        <w:rPr>
          <w:rFonts w:hint="eastAsia" w:hAnsi="宋体"/>
          <w:b/>
          <w:color w:val="auto"/>
          <w:sz w:val="21"/>
        </w:rPr>
        <w:t>27．重新招标</w:t>
      </w:r>
    </w:p>
    <w:p>
      <w:pPr>
        <w:pStyle w:val="12"/>
        <w:spacing w:line="320" w:lineRule="exact"/>
        <w:ind w:firstLine="357" w:firstLineChars="170"/>
        <w:rPr>
          <w:rFonts w:hAnsi="宋体"/>
          <w:bCs/>
          <w:color w:val="auto"/>
          <w:sz w:val="21"/>
        </w:rPr>
      </w:pPr>
      <w:r>
        <w:rPr>
          <w:rFonts w:hint="eastAsia" w:hAnsi="宋体"/>
          <w:bCs/>
          <w:color w:val="auto"/>
          <w:sz w:val="21"/>
        </w:rPr>
        <w:t>27.1出现下列情形之一的，采购人或者采购代理机构应当终止竞争性谈判采购活动，发布项目终止公告并说明原因，重新开展采购活动：</w:t>
      </w:r>
    </w:p>
    <w:p>
      <w:pPr>
        <w:pStyle w:val="12"/>
        <w:spacing w:line="320" w:lineRule="exact"/>
        <w:ind w:firstLine="420" w:firstLineChars="200"/>
        <w:rPr>
          <w:rFonts w:hAnsi="宋体"/>
          <w:bCs/>
          <w:color w:val="auto"/>
          <w:sz w:val="21"/>
        </w:rPr>
      </w:pPr>
      <w:r>
        <w:rPr>
          <w:rFonts w:hint="eastAsia" w:hAnsi="宋体"/>
          <w:bCs/>
          <w:color w:val="auto"/>
          <w:sz w:val="21"/>
        </w:rPr>
        <w:t>（一）因情况变化，不再符合规定的竞争性谈判采购方式适用情形的；</w:t>
      </w:r>
    </w:p>
    <w:p>
      <w:pPr>
        <w:pStyle w:val="12"/>
        <w:spacing w:line="320" w:lineRule="exact"/>
        <w:ind w:firstLine="420" w:firstLineChars="200"/>
        <w:rPr>
          <w:rFonts w:hAnsi="宋体"/>
          <w:bCs/>
          <w:color w:val="auto"/>
          <w:sz w:val="21"/>
        </w:rPr>
      </w:pPr>
      <w:r>
        <w:rPr>
          <w:rFonts w:hint="eastAsia" w:hAnsi="宋体"/>
          <w:bCs/>
          <w:color w:val="auto"/>
          <w:sz w:val="21"/>
        </w:rPr>
        <w:t>（二）出现影响采购公正的违法、违规行为的；</w:t>
      </w:r>
    </w:p>
    <w:p>
      <w:pPr>
        <w:pStyle w:val="12"/>
        <w:spacing w:line="320" w:lineRule="exact"/>
        <w:ind w:firstLine="420" w:firstLineChars="200"/>
        <w:rPr>
          <w:rFonts w:hAnsi="宋体"/>
          <w:bCs/>
          <w:color w:val="auto"/>
          <w:sz w:val="21"/>
        </w:rPr>
      </w:pPr>
      <w:r>
        <w:rPr>
          <w:rFonts w:hint="eastAsia" w:hAnsi="宋体"/>
          <w:bCs/>
          <w:color w:val="auto"/>
          <w:sz w:val="21"/>
        </w:rPr>
        <w:t>（三）在采购过程中符合竞争要求的供应商或者报价未超过采购预算的供应商不足3家的。</w:t>
      </w:r>
    </w:p>
    <w:p>
      <w:pPr>
        <w:pStyle w:val="12"/>
        <w:spacing w:line="320" w:lineRule="exact"/>
        <w:ind w:firstLine="422" w:firstLineChars="200"/>
        <w:rPr>
          <w:rFonts w:hAnsi="宋体"/>
          <w:b/>
          <w:color w:val="auto"/>
          <w:sz w:val="21"/>
        </w:rPr>
      </w:pPr>
      <w:r>
        <w:rPr>
          <w:rFonts w:hint="eastAsia" w:hAnsi="宋体"/>
          <w:b/>
          <w:color w:val="auto"/>
          <w:sz w:val="21"/>
        </w:rPr>
        <w:t>28.确定成交供应商办法</w:t>
      </w:r>
    </w:p>
    <w:p>
      <w:pPr>
        <w:pStyle w:val="12"/>
        <w:spacing w:line="320" w:lineRule="exact"/>
        <w:ind w:firstLine="420" w:firstLineChars="200"/>
        <w:rPr>
          <w:rFonts w:hAnsi="宋体"/>
          <w:color w:val="auto"/>
          <w:sz w:val="21"/>
        </w:rPr>
      </w:pPr>
      <w:r>
        <w:rPr>
          <w:rFonts w:hint="eastAsia" w:hAnsi="宋体"/>
          <w:color w:val="auto"/>
          <w:sz w:val="21"/>
        </w:rPr>
        <w:t>28.1谈判小组要求资格审查和符合性评审合格的谈判供应商在规定的时间内进行报价。</w:t>
      </w:r>
    </w:p>
    <w:p>
      <w:pPr>
        <w:pStyle w:val="12"/>
        <w:spacing w:line="320" w:lineRule="exact"/>
        <w:ind w:firstLine="420" w:firstLineChars="200"/>
        <w:rPr>
          <w:rFonts w:hAnsi="宋体"/>
          <w:color w:val="auto"/>
          <w:sz w:val="21"/>
        </w:rPr>
      </w:pPr>
      <w:r>
        <w:rPr>
          <w:rFonts w:hint="eastAsia" w:hAnsi="宋体"/>
          <w:color w:val="auto"/>
          <w:sz w:val="21"/>
        </w:rPr>
        <w:t>28.2谈判小组将根据需要决定是否要求所有合格的谈判供应商在规定时间内进行最终报价，该最终报价将作为谈判小组评审的最终依据。</w:t>
      </w:r>
    </w:p>
    <w:p>
      <w:pPr>
        <w:pStyle w:val="5"/>
        <w:spacing w:before="240" w:after="240" w:line="320" w:lineRule="exact"/>
        <w:jc w:val="center"/>
        <w:rPr>
          <w:rFonts w:ascii="宋体" w:hAnsi="宋体"/>
          <w:color w:val="auto"/>
          <w:sz w:val="21"/>
          <w:szCs w:val="21"/>
        </w:rPr>
      </w:pPr>
      <w:bookmarkStart w:id="16" w:name="_Toc204135087"/>
      <w:bookmarkStart w:id="17" w:name="_Toc29394"/>
      <w:r>
        <w:rPr>
          <w:rFonts w:hint="eastAsia" w:ascii="宋体" w:hAnsi="宋体"/>
          <w:color w:val="auto"/>
          <w:sz w:val="21"/>
          <w:szCs w:val="21"/>
        </w:rPr>
        <w:t>六、签订合同</w:t>
      </w:r>
      <w:bookmarkEnd w:id="16"/>
      <w:bookmarkEnd w:id="17"/>
    </w:p>
    <w:p>
      <w:pPr>
        <w:pStyle w:val="12"/>
        <w:spacing w:line="320" w:lineRule="exact"/>
        <w:ind w:firstLine="422" w:firstLineChars="200"/>
        <w:rPr>
          <w:rFonts w:hAnsi="宋体"/>
          <w:b/>
          <w:color w:val="auto"/>
          <w:sz w:val="21"/>
        </w:rPr>
      </w:pPr>
      <w:r>
        <w:rPr>
          <w:rFonts w:hint="eastAsia" w:hAnsi="宋体"/>
          <w:b/>
          <w:color w:val="auto"/>
          <w:sz w:val="21"/>
        </w:rPr>
        <w:t>29.成交结果及公告</w:t>
      </w:r>
    </w:p>
    <w:p>
      <w:pPr>
        <w:pStyle w:val="12"/>
        <w:spacing w:line="320" w:lineRule="exact"/>
        <w:ind w:firstLine="420"/>
        <w:rPr>
          <w:rFonts w:hAnsi="宋体"/>
          <w:color w:val="auto"/>
          <w:sz w:val="21"/>
        </w:rPr>
      </w:pPr>
      <w:r>
        <w:rPr>
          <w:rFonts w:hint="eastAsia" w:hAnsi="宋体"/>
          <w:color w:val="auto"/>
          <w:sz w:val="21"/>
        </w:rPr>
        <w:t>29.1采购代理机构在谈判工作完成后2个工作日内将谈判报告送采购人,采购人在收到评标报告之日起5个工作日内确认成交人，采购人或采购代理机构应自成交人确定之日起2个工作日内将成交结果在省级以上财政部门指定的媒体上发布。</w:t>
      </w:r>
    </w:p>
    <w:p>
      <w:pPr>
        <w:pStyle w:val="12"/>
        <w:spacing w:line="320" w:lineRule="exact"/>
        <w:ind w:firstLine="420"/>
        <w:rPr>
          <w:rFonts w:hAnsi="宋体"/>
          <w:color w:val="auto"/>
          <w:sz w:val="21"/>
        </w:rPr>
      </w:pPr>
      <w:r>
        <w:rPr>
          <w:rFonts w:hint="eastAsia" w:hAnsi="宋体"/>
          <w:color w:val="auto"/>
          <w:sz w:val="21"/>
        </w:rPr>
        <w:t>29.2 在发布成交公告的同时,采购代理机构向成交人发出成交通知书。</w:t>
      </w:r>
    </w:p>
    <w:p>
      <w:pPr>
        <w:pStyle w:val="12"/>
        <w:spacing w:line="320" w:lineRule="exact"/>
        <w:ind w:firstLine="420"/>
        <w:rPr>
          <w:rFonts w:hAnsi="宋体"/>
          <w:color w:val="auto"/>
          <w:sz w:val="21"/>
        </w:rPr>
      </w:pPr>
      <w:r>
        <w:rPr>
          <w:rFonts w:hint="eastAsia" w:hAnsi="宋体"/>
          <w:color w:val="auto"/>
          <w:sz w:val="21"/>
        </w:rPr>
        <w:t>29.3 采购代理机构无义务向未成交的谈判供应商解释未成交原因及退回谈判文件。</w:t>
      </w:r>
    </w:p>
    <w:p>
      <w:pPr>
        <w:pStyle w:val="12"/>
        <w:spacing w:line="320" w:lineRule="exact"/>
        <w:ind w:firstLine="420"/>
        <w:rPr>
          <w:rFonts w:hAnsi="宋体"/>
          <w:color w:val="auto"/>
          <w:sz w:val="21"/>
        </w:rPr>
      </w:pPr>
      <w:r>
        <w:rPr>
          <w:rFonts w:hint="eastAsia" w:hAnsi="宋体"/>
          <w:color w:val="auto"/>
          <w:sz w:val="21"/>
        </w:rPr>
        <w:t>29.4谈判供应商如对成交公告有异议，可以在成交公告发布后七个工作日内以书面形式向采购代理机构提出质疑。采购代理机构将在收到谈判供应商的书面质疑后七个工作日内做出答复，但答复的内容不得涉及商业秘密。</w:t>
      </w:r>
    </w:p>
    <w:p>
      <w:pPr>
        <w:pStyle w:val="12"/>
        <w:spacing w:line="320" w:lineRule="exact"/>
        <w:ind w:firstLine="420"/>
        <w:rPr>
          <w:rFonts w:hAnsi="宋体"/>
          <w:color w:val="auto"/>
          <w:sz w:val="21"/>
        </w:rPr>
      </w:pPr>
      <w:r>
        <w:rPr>
          <w:rFonts w:hint="eastAsia" w:hAnsi="宋体"/>
          <w:color w:val="auto"/>
          <w:sz w:val="21"/>
        </w:rPr>
        <w:t>29.5质疑谈判供应商必须首先经过质疑程序，质疑材料必须符合《政府采购质疑和投诉办法》(财政部令第94号)的规定，在对采购代理机构的答复不满意或者采购代理机构未在规定的时间内做出答复的，可以在答复期满后十五个工作日内书面向同级人民政府财政部门投诉。</w:t>
      </w:r>
    </w:p>
    <w:p>
      <w:pPr>
        <w:pStyle w:val="12"/>
        <w:spacing w:line="320" w:lineRule="exact"/>
        <w:ind w:firstLine="420"/>
        <w:rPr>
          <w:rFonts w:hAnsi="宋体"/>
          <w:color w:val="auto"/>
          <w:sz w:val="21"/>
        </w:rPr>
      </w:pPr>
      <w:r>
        <w:rPr>
          <w:rFonts w:hint="eastAsia" w:hAnsi="宋体"/>
          <w:b/>
          <w:color w:val="auto"/>
          <w:sz w:val="21"/>
        </w:rPr>
        <w:t>30.合同授予标准</w:t>
      </w:r>
    </w:p>
    <w:p>
      <w:pPr>
        <w:snapToGrid w:val="0"/>
        <w:spacing w:line="320" w:lineRule="exact"/>
        <w:ind w:firstLine="420" w:firstLineChars="200"/>
        <w:rPr>
          <w:rFonts w:ascii="宋体" w:hAnsi="宋体"/>
          <w:color w:val="auto"/>
          <w:szCs w:val="21"/>
        </w:rPr>
      </w:pPr>
      <w:r>
        <w:rPr>
          <w:rFonts w:hint="eastAsia" w:ascii="宋体" w:hAnsi="宋体" w:cs="Courier New"/>
          <w:color w:val="auto"/>
          <w:szCs w:val="21"/>
        </w:rPr>
        <w:t>合同将授予被确定实质上相应谈判文件要求，具备履行合同能力，最终报价最低的谈判供应商。</w:t>
      </w:r>
    </w:p>
    <w:p>
      <w:pPr>
        <w:pStyle w:val="12"/>
        <w:snapToGrid w:val="0"/>
        <w:spacing w:line="320" w:lineRule="exact"/>
        <w:ind w:firstLine="413" w:firstLineChars="196"/>
        <w:rPr>
          <w:rFonts w:hAnsi="宋体"/>
          <w:b/>
          <w:color w:val="auto"/>
          <w:sz w:val="21"/>
        </w:rPr>
      </w:pPr>
      <w:r>
        <w:rPr>
          <w:rFonts w:hint="eastAsia" w:hAnsi="宋体"/>
          <w:b/>
          <w:color w:val="auto"/>
          <w:sz w:val="21"/>
        </w:rPr>
        <w:t>31.签订合同</w:t>
      </w:r>
    </w:p>
    <w:p>
      <w:pPr>
        <w:pStyle w:val="12"/>
        <w:snapToGrid w:val="0"/>
        <w:spacing w:line="320" w:lineRule="exact"/>
        <w:ind w:firstLine="420" w:firstLineChars="200"/>
        <w:rPr>
          <w:color w:val="auto"/>
        </w:rPr>
      </w:pPr>
      <w:r>
        <w:rPr>
          <w:rFonts w:hint="eastAsia" w:hAnsi="宋体"/>
          <w:color w:val="auto"/>
          <w:sz w:val="21"/>
        </w:rPr>
        <w:t>31.1成交供应商接到成交通知书后，应按成交通知书规定的时间、地点与采购人签订合同。</w:t>
      </w:r>
    </w:p>
    <w:p>
      <w:pPr>
        <w:pStyle w:val="12"/>
        <w:spacing w:line="320" w:lineRule="exact"/>
        <w:ind w:firstLine="420"/>
        <w:rPr>
          <w:rFonts w:hAnsi="宋体"/>
          <w:color w:val="auto"/>
          <w:sz w:val="21"/>
        </w:rPr>
      </w:pPr>
      <w:r>
        <w:rPr>
          <w:rFonts w:hint="eastAsia" w:hAnsi="宋体"/>
          <w:color w:val="auto"/>
          <w:sz w:val="21"/>
        </w:rPr>
        <w:t>31.2合同签订必须按照《中华人民共和国政府采购法》和《中华人民共和国民法典》相关规定执行，且签订的合同必须与本谈判文件中的合同书格式(包括内容和结构)相一致，不能改变主要条款</w:t>
      </w:r>
      <w:r>
        <w:rPr>
          <w:rFonts w:hAnsi="宋体"/>
          <w:color w:val="auto"/>
          <w:sz w:val="21"/>
        </w:rPr>
        <w:t>。采购人和供应商之间的权利和义务，应当按照平等、自愿的原则以合同方式约定。</w:t>
      </w:r>
    </w:p>
    <w:p>
      <w:pPr>
        <w:pStyle w:val="12"/>
        <w:spacing w:line="320" w:lineRule="exact"/>
        <w:ind w:firstLine="420"/>
        <w:rPr>
          <w:rFonts w:hAnsi="宋体"/>
          <w:color w:val="auto"/>
          <w:sz w:val="21"/>
        </w:rPr>
      </w:pPr>
      <w:r>
        <w:rPr>
          <w:rFonts w:hAnsi="宋体"/>
          <w:color w:val="auto"/>
          <w:sz w:val="21"/>
        </w:rPr>
        <w:t>采购人可以委托采购代理机构代表其与供应商签订政府采购合同。由采购代理机构以采购人名义签订合同的，应当提交采购人的授权委托书，作为合同附件。</w:t>
      </w:r>
    </w:p>
    <w:p>
      <w:pPr>
        <w:pStyle w:val="12"/>
        <w:spacing w:line="320" w:lineRule="exact"/>
        <w:ind w:firstLine="420"/>
        <w:rPr>
          <w:rFonts w:hAnsi="宋体"/>
          <w:color w:val="auto"/>
          <w:sz w:val="21"/>
        </w:rPr>
      </w:pPr>
      <w:r>
        <w:rPr>
          <w:rFonts w:hint="eastAsia" w:hAnsi="宋体"/>
          <w:color w:val="auto"/>
          <w:sz w:val="21"/>
        </w:rPr>
        <w:t>31.3</w:t>
      </w:r>
      <w:r>
        <w:rPr>
          <w:rFonts w:hAnsi="宋体"/>
          <w:color w:val="auto"/>
          <w:sz w:val="21"/>
        </w:rPr>
        <w:t>政府采购合同应当采用书面形式。</w:t>
      </w:r>
    </w:p>
    <w:p>
      <w:pPr>
        <w:pStyle w:val="12"/>
        <w:spacing w:line="320" w:lineRule="exact"/>
        <w:ind w:firstLine="420"/>
        <w:rPr>
          <w:rFonts w:hAnsi="宋体"/>
          <w:color w:val="auto"/>
          <w:sz w:val="21"/>
        </w:rPr>
      </w:pPr>
      <w:r>
        <w:rPr>
          <w:rFonts w:hint="eastAsia" w:hAnsi="宋体"/>
          <w:color w:val="auto"/>
          <w:sz w:val="21"/>
        </w:rPr>
        <w:t>31.4</w:t>
      </w:r>
      <w:r>
        <w:rPr>
          <w:rFonts w:hAnsi="宋体"/>
          <w:color w:val="auto"/>
          <w:sz w:val="21"/>
        </w:rPr>
        <w:t>国务院政府采购监督管理部门应当会同国务院有关部门，规定政府采购合同必须具备的条款。</w:t>
      </w:r>
    </w:p>
    <w:p>
      <w:pPr>
        <w:pStyle w:val="12"/>
        <w:spacing w:line="320" w:lineRule="exact"/>
        <w:ind w:firstLine="420"/>
        <w:rPr>
          <w:rFonts w:hAnsi="宋体"/>
          <w:color w:val="auto"/>
          <w:sz w:val="21"/>
        </w:rPr>
      </w:pPr>
      <w:r>
        <w:rPr>
          <w:rFonts w:hint="eastAsia" w:hAnsi="宋体"/>
          <w:color w:val="auto"/>
          <w:sz w:val="21"/>
        </w:rPr>
        <w:t>31.5</w:t>
      </w:r>
      <w:r>
        <w:rPr>
          <w:rFonts w:hAnsi="宋体"/>
          <w:color w:val="auto"/>
          <w:sz w:val="21"/>
        </w:rPr>
        <w:t>采购人与中标、成交供应商应当在中标、成交通知书发出之日起</w:t>
      </w:r>
      <w:r>
        <w:rPr>
          <w:rFonts w:hint="eastAsia" w:hAnsi="宋体"/>
          <w:color w:val="auto"/>
          <w:sz w:val="21"/>
        </w:rPr>
        <w:t>25日</w:t>
      </w:r>
      <w:r>
        <w:rPr>
          <w:rFonts w:hAnsi="宋体"/>
          <w:color w:val="auto"/>
          <w:sz w:val="21"/>
        </w:rPr>
        <w:t>内按照采购文件确定的事项签订政府采购合同。</w:t>
      </w:r>
    </w:p>
    <w:p>
      <w:pPr>
        <w:pStyle w:val="12"/>
        <w:spacing w:line="320" w:lineRule="exact"/>
        <w:ind w:firstLine="420"/>
        <w:rPr>
          <w:rFonts w:hAnsi="宋体"/>
          <w:color w:val="auto"/>
          <w:sz w:val="21"/>
        </w:rPr>
      </w:pPr>
      <w:r>
        <w:rPr>
          <w:rFonts w:hAnsi="宋体"/>
          <w:color w:val="auto"/>
          <w:sz w:val="21"/>
        </w:rPr>
        <w:t>成交通知书对采购人和成交供应商均具有法律效力。成交通知书发出后，采购人改变成交结果的，或者成交供应商放弃成交项目的，应当依法承担法律责任。</w:t>
      </w:r>
    </w:p>
    <w:p>
      <w:pPr>
        <w:pStyle w:val="12"/>
        <w:spacing w:line="320" w:lineRule="exact"/>
        <w:ind w:firstLine="420"/>
        <w:rPr>
          <w:rFonts w:hAnsi="宋体"/>
          <w:color w:val="auto"/>
          <w:sz w:val="21"/>
        </w:rPr>
      </w:pPr>
      <w:r>
        <w:rPr>
          <w:rFonts w:hint="eastAsia" w:hAnsi="宋体"/>
          <w:color w:val="auto"/>
          <w:sz w:val="21"/>
        </w:rPr>
        <w:t>31.6</w:t>
      </w:r>
      <w:r>
        <w:rPr>
          <w:rFonts w:hAnsi="宋体"/>
          <w:color w:val="auto"/>
          <w:sz w:val="21"/>
        </w:rPr>
        <w:t>政府采购项目的采购合同自签订之日起</w:t>
      </w:r>
      <w:r>
        <w:rPr>
          <w:rFonts w:hint="eastAsia" w:hAnsi="宋体"/>
          <w:color w:val="auto"/>
          <w:sz w:val="21"/>
        </w:rPr>
        <w:t>2</w:t>
      </w:r>
      <w:r>
        <w:rPr>
          <w:rFonts w:hAnsi="宋体"/>
          <w:color w:val="auto"/>
          <w:sz w:val="21"/>
        </w:rPr>
        <w:t>个工作日内，采购人应当将合同副本</w:t>
      </w:r>
      <w:r>
        <w:rPr>
          <w:rFonts w:hint="eastAsia" w:hAnsi="宋体"/>
          <w:color w:val="auto"/>
          <w:sz w:val="21"/>
        </w:rPr>
        <w:t>进行</w:t>
      </w:r>
      <w:r>
        <w:rPr>
          <w:rFonts w:hAnsi="宋体"/>
          <w:color w:val="auto"/>
          <w:sz w:val="21"/>
        </w:rPr>
        <w:t>备案。</w:t>
      </w:r>
    </w:p>
    <w:p>
      <w:pPr>
        <w:pStyle w:val="12"/>
        <w:spacing w:line="320" w:lineRule="exact"/>
        <w:ind w:firstLine="420"/>
        <w:rPr>
          <w:rFonts w:hAnsi="宋体"/>
          <w:color w:val="auto"/>
          <w:sz w:val="21"/>
        </w:rPr>
      </w:pPr>
      <w:r>
        <w:rPr>
          <w:rFonts w:hint="eastAsia" w:hAnsi="宋体"/>
          <w:color w:val="auto"/>
          <w:sz w:val="21"/>
        </w:rPr>
        <w:t>31.7</w:t>
      </w:r>
      <w:r>
        <w:rPr>
          <w:rFonts w:hAnsi="宋体"/>
          <w:color w:val="auto"/>
          <w:sz w:val="21"/>
        </w:rPr>
        <w:t>经采购人同意，成交供应商可以依法采取分包方式履行合同。</w:t>
      </w:r>
    </w:p>
    <w:p>
      <w:pPr>
        <w:pStyle w:val="12"/>
        <w:spacing w:line="320" w:lineRule="exact"/>
        <w:ind w:firstLine="420"/>
        <w:rPr>
          <w:rFonts w:hAnsi="宋体"/>
          <w:color w:val="auto"/>
          <w:sz w:val="21"/>
        </w:rPr>
      </w:pPr>
      <w:r>
        <w:rPr>
          <w:rFonts w:hAnsi="宋体"/>
          <w:color w:val="auto"/>
          <w:sz w:val="21"/>
        </w:rPr>
        <w:t>政府采购合同分包履行的，中成交供应商就采购项目和分包项目向采购人负责，分包供应商就分包项目承担责任。</w:t>
      </w:r>
    </w:p>
    <w:p>
      <w:pPr>
        <w:pStyle w:val="12"/>
        <w:spacing w:line="320" w:lineRule="exact"/>
        <w:ind w:firstLine="420"/>
        <w:rPr>
          <w:rFonts w:hAnsi="宋体"/>
          <w:color w:val="auto"/>
          <w:sz w:val="21"/>
        </w:rPr>
      </w:pPr>
      <w:r>
        <w:rPr>
          <w:rFonts w:hint="eastAsia" w:hAnsi="宋体"/>
          <w:color w:val="auto"/>
          <w:sz w:val="21"/>
        </w:rPr>
        <w:t>31.8</w:t>
      </w:r>
      <w:r>
        <w:rPr>
          <w:rFonts w:hAnsi="宋体"/>
          <w:color w:val="auto"/>
          <w:sz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2"/>
        <w:spacing w:line="320" w:lineRule="exact"/>
        <w:ind w:firstLine="420"/>
        <w:rPr>
          <w:rFonts w:hAnsi="宋体"/>
          <w:color w:val="auto"/>
          <w:sz w:val="21"/>
        </w:rPr>
      </w:pPr>
      <w:r>
        <w:rPr>
          <w:rFonts w:hint="eastAsia" w:hAnsi="宋体"/>
          <w:color w:val="auto"/>
          <w:sz w:val="21"/>
        </w:rPr>
        <w:t>31.9</w:t>
      </w:r>
      <w:r>
        <w:rPr>
          <w:rFonts w:hAnsi="宋体"/>
          <w:color w:val="auto"/>
          <w:sz w:val="21"/>
        </w:rPr>
        <w:t xml:space="preserve"> 政府采购合同的双方当事人不得擅自变更、中止或者终止合同。</w:t>
      </w:r>
    </w:p>
    <w:p>
      <w:pPr>
        <w:pStyle w:val="12"/>
        <w:spacing w:line="320" w:lineRule="exact"/>
        <w:ind w:firstLine="420"/>
        <w:rPr>
          <w:color w:val="auto"/>
        </w:rPr>
      </w:pPr>
      <w:r>
        <w:rPr>
          <w:rFonts w:hAnsi="宋体"/>
          <w:color w:val="auto"/>
          <w:sz w:val="21"/>
        </w:rPr>
        <w:t>政府采购合同继续履行将损害国家利益和社会公共利益的，双方当事人应当变更、中止或者终止合同。有过错的一方应当承担赔偿责任，双方都有过错的，各自承担相应的责任。</w:t>
      </w:r>
    </w:p>
    <w:p>
      <w:pPr>
        <w:pStyle w:val="12"/>
        <w:spacing w:line="320" w:lineRule="exact"/>
        <w:ind w:firstLine="420"/>
        <w:rPr>
          <w:rFonts w:hAnsi="宋体"/>
          <w:color w:val="auto"/>
          <w:sz w:val="21"/>
        </w:rPr>
      </w:pPr>
      <w:r>
        <w:rPr>
          <w:rFonts w:hint="eastAsia" w:hAnsi="宋体"/>
          <w:b/>
          <w:color w:val="auto"/>
          <w:sz w:val="21"/>
        </w:rPr>
        <w:t>32.履约保证金：</w:t>
      </w:r>
      <w:r>
        <w:rPr>
          <w:rFonts w:hint="eastAsia" w:hAnsi="宋体"/>
          <w:bCs/>
          <w:color w:val="auto"/>
          <w:sz w:val="21"/>
        </w:rPr>
        <w:t>按谈判供应商须知前附表规定。</w:t>
      </w:r>
    </w:p>
    <w:p>
      <w:pPr>
        <w:pStyle w:val="5"/>
        <w:spacing w:before="240" w:after="240" w:line="320" w:lineRule="exact"/>
        <w:jc w:val="center"/>
        <w:rPr>
          <w:rFonts w:ascii="宋体" w:hAnsi="宋体"/>
          <w:color w:val="auto"/>
          <w:sz w:val="21"/>
          <w:szCs w:val="21"/>
        </w:rPr>
      </w:pPr>
      <w:bookmarkStart w:id="18" w:name="_Toc30591"/>
      <w:r>
        <w:rPr>
          <w:rFonts w:hint="eastAsia" w:ascii="宋体" w:hAnsi="宋体"/>
          <w:color w:val="auto"/>
          <w:sz w:val="21"/>
          <w:szCs w:val="21"/>
        </w:rPr>
        <w:t>七、其他事项</w:t>
      </w:r>
      <w:bookmarkEnd w:id="18"/>
    </w:p>
    <w:p>
      <w:pPr>
        <w:pStyle w:val="12"/>
        <w:spacing w:line="320" w:lineRule="exact"/>
        <w:ind w:firstLine="420" w:firstLineChars="200"/>
        <w:rPr>
          <w:rFonts w:hAnsi="宋体"/>
          <w:b/>
          <w:color w:val="auto"/>
          <w:sz w:val="21"/>
        </w:rPr>
      </w:pPr>
      <w:r>
        <w:rPr>
          <w:rFonts w:hint="eastAsia" w:hAnsi="宋体"/>
          <w:color w:val="auto"/>
          <w:sz w:val="21"/>
        </w:rPr>
        <w:t>33.</w:t>
      </w:r>
      <w:r>
        <w:rPr>
          <w:rFonts w:hint="eastAsia" w:hAnsi="宋体"/>
          <w:b/>
          <w:color w:val="auto"/>
          <w:sz w:val="21"/>
        </w:rPr>
        <w:t>委托代理服务费</w:t>
      </w:r>
    </w:p>
    <w:p>
      <w:pPr>
        <w:pStyle w:val="12"/>
        <w:spacing w:line="320" w:lineRule="exact"/>
        <w:ind w:firstLine="420"/>
        <w:rPr>
          <w:rFonts w:hAnsi="宋体"/>
          <w:color w:val="auto"/>
          <w:sz w:val="21"/>
        </w:rPr>
      </w:pPr>
      <w:r>
        <w:rPr>
          <w:rFonts w:hint="eastAsia" w:hAnsi="宋体"/>
          <w:color w:val="auto"/>
          <w:sz w:val="21"/>
        </w:rPr>
        <w:t>33.1签订合同前，成交供应商向采购代理机构一次性付清委托代理服务费，其金额详见本须知前附表第11项规定。</w:t>
      </w:r>
    </w:p>
    <w:p>
      <w:pPr>
        <w:pStyle w:val="12"/>
        <w:spacing w:line="320" w:lineRule="exact"/>
        <w:ind w:firstLine="420"/>
        <w:rPr>
          <w:rFonts w:hAnsi="宋体"/>
          <w:b/>
          <w:color w:val="auto"/>
          <w:sz w:val="21"/>
        </w:rPr>
      </w:pPr>
      <w:r>
        <w:rPr>
          <w:rFonts w:hint="eastAsia" w:hAnsi="宋体"/>
          <w:b/>
          <w:color w:val="auto"/>
          <w:sz w:val="21"/>
        </w:rPr>
        <w:t>34.适用法律</w:t>
      </w:r>
    </w:p>
    <w:p>
      <w:pPr>
        <w:pStyle w:val="12"/>
        <w:spacing w:line="320" w:lineRule="exact"/>
        <w:ind w:firstLine="420"/>
        <w:rPr>
          <w:rFonts w:hAnsi="宋体"/>
          <w:color w:val="auto"/>
          <w:sz w:val="21"/>
        </w:rPr>
      </w:pPr>
      <w:r>
        <w:rPr>
          <w:rFonts w:hint="eastAsia" w:hAnsi="宋体"/>
          <w:b/>
          <w:color w:val="auto"/>
          <w:sz w:val="21"/>
        </w:rPr>
        <w:t>34.1</w:t>
      </w:r>
      <w:r>
        <w:rPr>
          <w:rFonts w:hint="eastAsia" w:hAnsi="宋体"/>
          <w:color w:val="auto"/>
          <w:sz w:val="21"/>
        </w:rPr>
        <w:t>采购当事人的一切活动均适用于《中华人民共和国政府采购法》、《中华人民共和国政府采购法实施条例》、《政府采购非招标采购方式管理办法》及相关规定。</w:t>
      </w:r>
    </w:p>
    <w:p>
      <w:pPr>
        <w:pStyle w:val="12"/>
        <w:spacing w:line="320" w:lineRule="exact"/>
        <w:ind w:firstLine="420"/>
        <w:rPr>
          <w:rFonts w:hAnsi="宋体"/>
          <w:color w:val="auto"/>
          <w:sz w:val="21"/>
        </w:rPr>
      </w:pPr>
      <w:r>
        <w:rPr>
          <w:rFonts w:hint="eastAsia" w:hAnsi="宋体"/>
          <w:color w:val="auto"/>
          <w:sz w:val="21"/>
        </w:rPr>
        <w:t>34.2最终谈判结束后，谈判小组不得再与供应商进行任何形式的谈判。</w:t>
      </w:r>
    </w:p>
    <w:p>
      <w:pPr>
        <w:pStyle w:val="12"/>
        <w:snapToGrid w:val="0"/>
        <w:spacing w:line="320" w:lineRule="exact"/>
        <w:ind w:firstLine="411" w:firstLineChars="196"/>
        <w:rPr>
          <w:rFonts w:hAnsi="宋体"/>
          <w:b/>
          <w:color w:val="auto"/>
          <w:sz w:val="21"/>
        </w:rPr>
      </w:pPr>
      <w:r>
        <w:rPr>
          <w:rFonts w:hint="eastAsia" w:hAnsi="宋体"/>
          <w:color w:val="auto"/>
          <w:sz w:val="21"/>
        </w:rPr>
        <w:t>35.</w:t>
      </w:r>
      <w:r>
        <w:rPr>
          <w:rFonts w:hint="eastAsia" w:hAnsi="宋体"/>
          <w:b/>
          <w:color w:val="auto"/>
          <w:sz w:val="21"/>
        </w:rPr>
        <w:t xml:space="preserve"> 谈判过程的监控</w:t>
      </w:r>
    </w:p>
    <w:p>
      <w:pPr>
        <w:pStyle w:val="12"/>
        <w:snapToGrid w:val="0"/>
        <w:spacing w:line="320" w:lineRule="exact"/>
        <w:ind w:firstLine="420" w:firstLineChars="200"/>
        <w:rPr>
          <w:rFonts w:hAnsi="宋体"/>
          <w:color w:val="auto"/>
          <w:sz w:val="21"/>
        </w:rPr>
      </w:pPr>
      <w:r>
        <w:rPr>
          <w:rFonts w:hint="eastAsia" w:hAnsi="宋体"/>
          <w:color w:val="auto"/>
          <w:sz w:val="21"/>
        </w:rPr>
        <w:t>本项目谈判过程实行全程录音、录像监控，谈判供应商在谈判过程中所进行的试图影响谈判结果的不公正活动，可能导致其谈判被拒绝。</w:t>
      </w:r>
    </w:p>
    <w:p>
      <w:pPr>
        <w:pStyle w:val="12"/>
        <w:spacing w:line="420" w:lineRule="exact"/>
        <w:ind w:firstLine="420"/>
        <w:rPr>
          <w:rFonts w:hAnsi="宋体"/>
          <w:color w:val="auto"/>
        </w:rPr>
      </w:pPr>
    </w:p>
    <w:p>
      <w:pPr>
        <w:tabs>
          <w:tab w:val="left" w:pos="2835"/>
        </w:tabs>
        <w:spacing w:line="400" w:lineRule="exact"/>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5"/>
        <w:spacing w:line="420" w:lineRule="exact"/>
        <w:jc w:val="center"/>
        <w:rPr>
          <w:color w:val="auto"/>
          <w:sz w:val="28"/>
          <w:szCs w:val="28"/>
        </w:rPr>
      </w:pPr>
      <w:r>
        <w:rPr>
          <w:rFonts w:hint="eastAsia"/>
          <w:color w:val="auto"/>
          <w:sz w:val="28"/>
          <w:szCs w:val="28"/>
        </w:rPr>
        <w:t>第三章 项目采购需求</w:t>
      </w:r>
    </w:p>
    <w:p>
      <w:pPr>
        <w:adjustRightInd w:val="0"/>
        <w:spacing w:line="320" w:lineRule="exact"/>
        <w:rPr>
          <w:rFonts w:ascii="宋体" w:hAnsi="宋体"/>
          <w:bCs/>
          <w:color w:val="auto"/>
          <w:szCs w:val="21"/>
        </w:rPr>
      </w:pPr>
    </w:p>
    <w:p>
      <w:pPr>
        <w:adjustRightInd w:val="0"/>
        <w:snapToGrid w:val="0"/>
        <w:spacing w:line="340" w:lineRule="exact"/>
        <w:ind w:firstLine="420" w:firstLineChars="200"/>
        <w:rPr>
          <w:color w:val="auto"/>
        </w:rPr>
      </w:pPr>
      <w:r>
        <w:rPr>
          <w:rFonts w:hint="eastAsia"/>
          <w:color w:val="auto"/>
        </w:rPr>
        <w:t>说明</w:t>
      </w:r>
    </w:p>
    <w:p>
      <w:pPr>
        <w:adjustRightInd w:val="0"/>
        <w:snapToGrid w:val="0"/>
        <w:spacing w:line="340" w:lineRule="exact"/>
        <w:ind w:firstLine="420" w:firstLineChars="200"/>
        <w:rPr>
          <w:color w:val="auto"/>
        </w:rPr>
      </w:pPr>
      <w:r>
        <w:rPr>
          <w:rFonts w:hint="eastAsia"/>
          <w:color w:val="auto"/>
        </w:rPr>
        <w:t>（一）本一览表中的品牌型号、技术参数及其性能（配置）仅起参考作用，谈判供应商可选用其他品牌型号替代，但这些替代的品牌型号要实质上相当于或优于参考品牌型号及其技术参数性能（配置）要求。“▲”和“★”系指实质性要求的技术指标、主要功能项目条款，必须满足或优于,否则谈判无效。</w:t>
      </w:r>
    </w:p>
    <w:p>
      <w:pPr>
        <w:adjustRightInd w:val="0"/>
        <w:snapToGrid w:val="0"/>
        <w:spacing w:line="340" w:lineRule="exact"/>
        <w:ind w:firstLine="420" w:firstLineChars="200"/>
        <w:rPr>
          <w:color w:val="auto"/>
        </w:rPr>
      </w:pPr>
      <w:r>
        <w:rPr>
          <w:rFonts w:hint="eastAsia"/>
          <w:color w:val="auto"/>
        </w:rPr>
        <w:t>（二）本一览表中参考品牌型号及技术参数性能（配置）不明确或有误的，或谈判供应商选用其他品牌型号替代的，请以详细、正确的品牌型号、技术参数性能（配置）同时填写谈判报价表和技术规格偏离表。</w:t>
      </w:r>
    </w:p>
    <w:p>
      <w:pPr>
        <w:adjustRightInd w:val="0"/>
        <w:snapToGrid w:val="0"/>
        <w:spacing w:line="340" w:lineRule="exact"/>
        <w:ind w:firstLine="420" w:firstLineChars="200"/>
        <w:rPr>
          <w:color w:val="auto"/>
        </w:rPr>
      </w:pPr>
      <w:r>
        <w:rPr>
          <w:rFonts w:hint="eastAsia"/>
          <w:color w:val="auto"/>
        </w:rPr>
        <w:t>（三）谈判供应商必须自行为其谈判产品侵犯其他谈判供应商或专利人的专利成果承担相应法律责任；同时，具有产品专利的谈判供应商应在其谈判文件中提供与其自有产品专利相关的有效证明材料，否则，不能就其产品的专利在本项目谈判过程中被侵权问题提出异议。</w:t>
      </w:r>
    </w:p>
    <w:p>
      <w:pPr>
        <w:adjustRightInd w:val="0"/>
        <w:snapToGrid w:val="0"/>
        <w:spacing w:line="340" w:lineRule="exact"/>
        <w:ind w:firstLine="420" w:firstLineChars="200"/>
        <w:rPr>
          <w:color w:val="auto"/>
        </w:rPr>
      </w:pPr>
      <w:r>
        <w:rPr>
          <w:rFonts w:hint="eastAsia"/>
          <w:color w:val="auto"/>
        </w:rPr>
        <w:t>（四）节能产品认证应依据相关国家标准的最新版本，依据国家标准中二级能效（水效）指标。其他品目为政府优先采购的节能产品。供应商在响应文件中必须提供所投产品属于现行政府强制采购节能产品的证明材料（加盖供应商单位公章），否则相应谈判无效。</w:t>
      </w:r>
    </w:p>
    <w:tbl>
      <w:tblPr>
        <w:tblStyle w:val="21"/>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77"/>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adjustRightInd w:val="0"/>
              <w:snapToGrid w:val="0"/>
              <w:spacing w:line="420" w:lineRule="exact"/>
              <w:jc w:val="center"/>
              <w:rPr>
                <w:color w:val="auto"/>
              </w:rPr>
            </w:pPr>
            <w:r>
              <w:rPr>
                <w:rFonts w:hint="eastAsia"/>
                <w:color w:val="auto"/>
              </w:rPr>
              <w:t>序号</w:t>
            </w:r>
          </w:p>
        </w:tc>
        <w:tc>
          <w:tcPr>
            <w:tcW w:w="1977" w:type="dxa"/>
            <w:vAlign w:val="center"/>
          </w:tcPr>
          <w:p>
            <w:pPr>
              <w:adjustRightInd w:val="0"/>
              <w:snapToGrid w:val="0"/>
              <w:spacing w:line="420" w:lineRule="exact"/>
              <w:jc w:val="center"/>
              <w:rPr>
                <w:color w:val="auto"/>
              </w:rPr>
            </w:pPr>
            <w:r>
              <w:rPr>
                <w:rFonts w:hint="eastAsia"/>
                <w:color w:val="auto"/>
              </w:rPr>
              <w:t>放流品种、数量</w:t>
            </w:r>
          </w:p>
        </w:tc>
        <w:tc>
          <w:tcPr>
            <w:tcW w:w="6627" w:type="dxa"/>
            <w:vAlign w:val="center"/>
          </w:tcPr>
          <w:p>
            <w:pPr>
              <w:adjustRightInd w:val="0"/>
              <w:snapToGrid w:val="0"/>
              <w:spacing w:line="420" w:lineRule="exact"/>
              <w:jc w:val="center"/>
              <w:rPr>
                <w:color w:val="auto"/>
              </w:rPr>
            </w:pPr>
            <w:r>
              <w:rPr>
                <w:rFonts w:hint="eastAsia"/>
                <w:color w:val="auto"/>
              </w:rPr>
              <w:t>放流苗种规格和质量要求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2" w:type="dxa"/>
            <w:vAlign w:val="center"/>
          </w:tcPr>
          <w:p>
            <w:pPr>
              <w:adjustRightInd w:val="0"/>
              <w:snapToGrid w:val="0"/>
              <w:spacing w:line="340" w:lineRule="exact"/>
              <w:jc w:val="center"/>
              <w:rPr>
                <w:color w:val="auto"/>
              </w:rPr>
            </w:pPr>
            <w:r>
              <w:rPr>
                <w:rFonts w:hint="eastAsia"/>
                <w:color w:val="auto"/>
              </w:rPr>
              <w:t>1</w:t>
            </w:r>
          </w:p>
        </w:tc>
        <w:tc>
          <w:tcPr>
            <w:tcW w:w="1977" w:type="dxa"/>
            <w:vAlign w:val="center"/>
          </w:tcPr>
          <w:p>
            <w:pPr>
              <w:adjustRightInd w:val="0"/>
              <w:snapToGrid w:val="0"/>
              <w:spacing w:line="340" w:lineRule="exact"/>
              <w:rPr>
                <w:color w:val="auto"/>
              </w:rPr>
            </w:pPr>
            <w:r>
              <w:rPr>
                <w:rFonts w:hint="eastAsia"/>
                <w:color w:val="auto"/>
              </w:rPr>
              <w:t>①长毛对虾4000万尾。</w:t>
            </w:r>
          </w:p>
          <w:p>
            <w:pPr>
              <w:adjustRightInd w:val="0"/>
              <w:snapToGrid w:val="0"/>
              <w:spacing w:line="340" w:lineRule="exact"/>
              <w:rPr>
                <w:color w:val="auto"/>
              </w:rPr>
            </w:pPr>
            <w:r>
              <w:rPr>
                <w:rFonts w:hint="eastAsia"/>
                <w:color w:val="auto"/>
              </w:rPr>
              <w:t>②黑鲷45万尾。</w:t>
            </w:r>
          </w:p>
          <w:p>
            <w:pPr>
              <w:adjustRightInd w:val="0"/>
              <w:snapToGrid w:val="0"/>
              <w:spacing w:line="340" w:lineRule="exact"/>
              <w:rPr>
                <w:color w:val="auto"/>
              </w:rPr>
            </w:pPr>
            <w:r>
              <w:rPr>
                <w:rFonts w:hint="eastAsia"/>
                <w:color w:val="auto"/>
              </w:rPr>
              <w:t>③青蟹40万尾。</w:t>
            </w:r>
          </w:p>
          <w:p>
            <w:pPr>
              <w:adjustRightInd w:val="0"/>
              <w:snapToGrid w:val="0"/>
              <w:spacing w:line="340" w:lineRule="exact"/>
              <w:ind w:firstLine="420" w:firstLineChars="200"/>
              <w:rPr>
                <w:color w:val="auto"/>
              </w:rPr>
            </w:pPr>
          </w:p>
        </w:tc>
        <w:tc>
          <w:tcPr>
            <w:tcW w:w="6627" w:type="dxa"/>
            <w:vAlign w:val="center"/>
          </w:tcPr>
          <w:p>
            <w:pPr>
              <w:adjustRightInd w:val="0"/>
              <w:snapToGrid w:val="0"/>
              <w:spacing w:line="340" w:lineRule="exact"/>
              <w:rPr>
                <w:color w:val="auto"/>
              </w:rPr>
            </w:pPr>
            <w:r>
              <w:rPr>
                <w:rFonts w:hint="eastAsia"/>
                <w:color w:val="auto"/>
              </w:rPr>
              <w:t>1、放流苗种规格</w:t>
            </w:r>
          </w:p>
          <w:p>
            <w:pPr>
              <w:adjustRightInd w:val="0"/>
              <w:snapToGrid w:val="0"/>
              <w:spacing w:line="340" w:lineRule="exact"/>
              <w:ind w:firstLine="420" w:firstLineChars="200"/>
              <w:rPr>
                <w:color w:val="auto"/>
              </w:rPr>
            </w:pPr>
            <w:r>
              <w:rPr>
                <w:rFonts w:hint="eastAsia"/>
                <w:color w:val="auto"/>
              </w:rPr>
              <w:t>对虾规格为平均体长1cm以上，其中体长小于1cm的苗种数量不得超过10%。</w:t>
            </w:r>
          </w:p>
          <w:p>
            <w:pPr>
              <w:adjustRightInd w:val="0"/>
              <w:snapToGrid w:val="0"/>
              <w:spacing w:line="340" w:lineRule="exact"/>
              <w:ind w:firstLine="420" w:firstLineChars="200"/>
              <w:rPr>
                <w:color w:val="auto"/>
              </w:rPr>
            </w:pPr>
            <w:r>
              <w:rPr>
                <w:rFonts w:hint="eastAsia"/>
                <w:color w:val="auto"/>
              </w:rPr>
              <w:t>黑鲷规格为平均全长5cm以上，其中全长小于5cm的苗种数量不得超过10%，标志苗种数量不少于放流总数的0.1%。</w:t>
            </w:r>
          </w:p>
          <w:p>
            <w:pPr>
              <w:adjustRightInd w:val="0"/>
              <w:snapToGrid w:val="0"/>
              <w:spacing w:line="340" w:lineRule="exact"/>
              <w:ind w:firstLine="420" w:firstLineChars="200"/>
              <w:rPr>
                <w:color w:val="auto"/>
              </w:rPr>
            </w:pPr>
            <w:r>
              <w:rPr>
                <w:rFonts w:hint="eastAsia"/>
                <w:color w:val="auto"/>
              </w:rPr>
              <w:t>青蟹规格为平均头胸甲宽0.6cm以上，其中头胸甲宽小于0.6cm的苗种数量不得超过10%。</w:t>
            </w:r>
          </w:p>
          <w:p>
            <w:pPr>
              <w:adjustRightInd w:val="0"/>
              <w:snapToGrid w:val="0"/>
              <w:spacing w:line="340" w:lineRule="exact"/>
              <w:rPr>
                <w:color w:val="auto"/>
              </w:rPr>
            </w:pPr>
            <w:r>
              <w:rPr>
                <w:rFonts w:hint="eastAsia"/>
                <w:color w:val="auto"/>
              </w:rPr>
              <w:t>2、放流苗种的质量要求</w:t>
            </w:r>
          </w:p>
          <w:p>
            <w:pPr>
              <w:adjustRightInd w:val="0"/>
              <w:snapToGrid w:val="0"/>
              <w:spacing w:line="340" w:lineRule="exact"/>
              <w:ind w:firstLine="420" w:firstLineChars="200"/>
              <w:rPr>
                <w:color w:val="auto"/>
              </w:rPr>
            </w:pPr>
            <w:r>
              <w:rPr>
                <w:rFonts w:hint="eastAsia"/>
                <w:color w:val="auto"/>
              </w:rPr>
              <w:t>放流苗种选择应为符合《水生生物增殖放流管理规定》（农业部令第20号）的本地种或子一代。</w:t>
            </w:r>
          </w:p>
          <w:p>
            <w:pPr>
              <w:adjustRightInd w:val="0"/>
              <w:snapToGrid w:val="0"/>
              <w:spacing w:line="340" w:lineRule="exact"/>
              <w:rPr>
                <w:color w:val="auto"/>
              </w:rPr>
            </w:pPr>
            <w:r>
              <w:rPr>
                <w:rFonts w:hint="eastAsia"/>
                <w:color w:val="auto"/>
              </w:rPr>
              <w:t>苗种质量要求符合：</w:t>
            </w:r>
          </w:p>
          <w:p>
            <w:pPr>
              <w:adjustRightInd w:val="0"/>
              <w:snapToGrid w:val="0"/>
              <w:spacing w:line="340" w:lineRule="exact"/>
              <w:rPr>
                <w:color w:val="auto"/>
              </w:rPr>
            </w:pPr>
            <w:r>
              <w:rPr>
                <w:rFonts w:hint="eastAsia"/>
                <w:color w:val="auto"/>
              </w:rPr>
              <w:t>（1）感观要求：</w:t>
            </w:r>
          </w:p>
          <w:p>
            <w:pPr>
              <w:adjustRightInd w:val="0"/>
              <w:snapToGrid w:val="0"/>
              <w:spacing w:line="340" w:lineRule="exact"/>
              <w:rPr>
                <w:color w:val="auto"/>
              </w:rPr>
            </w:pPr>
            <w:r>
              <w:rPr>
                <w:rFonts w:hint="eastAsia"/>
                <w:color w:val="auto"/>
              </w:rPr>
              <w:t>虾苗：大小均匀，体色正常、甲壳光洁、附肢完整、健康、无畸形、活力强。</w:t>
            </w:r>
          </w:p>
          <w:p>
            <w:pPr>
              <w:adjustRightInd w:val="0"/>
              <w:snapToGrid w:val="0"/>
              <w:spacing w:line="340" w:lineRule="exact"/>
              <w:rPr>
                <w:color w:val="auto"/>
              </w:rPr>
            </w:pPr>
            <w:r>
              <w:rPr>
                <w:rFonts w:hint="eastAsia"/>
                <w:color w:val="auto"/>
              </w:rPr>
              <w:t>鱼苗：体形匀称，体色正常，大小一致，游动活泼，无损伤，无畸形。</w:t>
            </w:r>
          </w:p>
          <w:p>
            <w:pPr>
              <w:adjustRightInd w:val="0"/>
              <w:snapToGrid w:val="0"/>
              <w:spacing w:line="340" w:lineRule="exact"/>
              <w:rPr>
                <w:color w:val="auto"/>
              </w:rPr>
            </w:pPr>
            <w:r>
              <w:rPr>
                <w:rFonts w:hint="eastAsia"/>
                <w:color w:val="auto"/>
              </w:rPr>
              <w:t>蟹苗：大小均匀，体色正常、甲壳光洁、附肢完整、健康、无畸形、活力强。</w:t>
            </w:r>
          </w:p>
          <w:p>
            <w:pPr>
              <w:adjustRightInd w:val="0"/>
              <w:snapToGrid w:val="0"/>
              <w:spacing w:line="340" w:lineRule="exact"/>
              <w:rPr>
                <w:color w:val="auto"/>
              </w:rPr>
            </w:pPr>
            <w:r>
              <w:rPr>
                <w:rFonts w:hint="eastAsia"/>
                <w:color w:val="auto"/>
              </w:rPr>
              <w:t>（2）可数指标：规格合格率≥90%，成活率90%，伤残率和体色异常率之和≤5%。</w:t>
            </w:r>
          </w:p>
          <w:p>
            <w:pPr>
              <w:adjustRightInd w:val="0"/>
              <w:snapToGrid w:val="0"/>
              <w:spacing w:line="340" w:lineRule="exact"/>
              <w:rPr>
                <w:color w:val="auto"/>
              </w:rPr>
            </w:pPr>
            <w:r>
              <w:rPr>
                <w:rFonts w:hint="eastAsia"/>
                <w:color w:val="auto"/>
              </w:rPr>
              <w:t>（3）疫病：农业部公告第1125号规定的水生动物疫病病种不得检出。</w:t>
            </w:r>
          </w:p>
          <w:p>
            <w:pPr>
              <w:adjustRightInd w:val="0"/>
              <w:snapToGrid w:val="0"/>
              <w:spacing w:line="340" w:lineRule="exact"/>
              <w:rPr>
                <w:color w:val="auto"/>
              </w:rPr>
            </w:pPr>
            <w:r>
              <w:rPr>
                <w:rFonts w:hint="eastAsia"/>
                <w:color w:val="auto"/>
              </w:rPr>
              <w:t>（4）药物残留：国家、行业颁布的禁用药物不得检出，其它药物残留符合《无公害食品水产品中鱼药残留限量》（NY5070-2002）的要求。按照《农业部办公厅关于开展增殖放流经济水产苗种质量安全检验的通知》（农办渔[2009]52号）文件执行，苗种检测无硝基呋喃类代谢物、氯霉素、孔雀石绿等违禁药物残留。放流前，苗种必须经当地水产苗种管理部门检疫合格，规格符合放流要求，健康不带病害、病毒。</w:t>
            </w:r>
          </w:p>
          <w:p>
            <w:pPr>
              <w:adjustRightInd w:val="0"/>
              <w:snapToGrid w:val="0"/>
              <w:spacing w:line="340" w:lineRule="exact"/>
              <w:rPr>
                <w:color w:val="auto"/>
              </w:rPr>
            </w:pPr>
            <w:r>
              <w:rPr>
                <w:rFonts w:hint="eastAsia"/>
                <w:color w:val="auto"/>
              </w:rPr>
              <w:t>二、放流地点</w:t>
            </w:r>
          </w:p>
          <w:p>
            <w:pPr>
              <w:adjustRightInd w:val="0"/>
              <w:snapToGrid w:val="0"/>
              <w:spacing w:line="340" w:lineRule="exact"/>
              <w:ind w:firstLine="420" w:firstLineChars="200"/>
              <w:rPr>
                <w:color w:val="auto"/>
              </w:rPr>
            </w:pPr>
            <w:r>
              <w:rPr>
                <w:rFonts w:hint="eastAsia"/>
                <w:color w:val="auto"/>
              </w:rPr>
              <w:t>海洋水生生物苗种：放流地点在防城港市白龙珍珠湾海域。</w:t>
            </w:r>
          </w:p>
          <w:p>
            <w:pPr>
              <w:adjustRightInd w:val="0"/>
              <w:snapToGrid w:val="0"/>
              <w:spacing w:line="340" w:lineRule="exact"/>
              <w:rPr>
                <w:color w:val="auto"/>
              </w:rPr>
            </w:pPr>
            <w:r>
              <w:rPr>
                <w:rFonts w:hint="eastAsia"/>
                <w:color w:val="auto"/>
              </w:rPr>
              <w:t>三、放流时间</w:t>
            </w:r>
          </w:p>
          <w:p>
            <w:pPr>
              <w:adjustRightInd w:val="0"/>
              <w:snapToGrid w:val="0"/>
              <w:spacing w:line="340" w:lineRule="exact"/>
              <w:ind w:firstLine="420" w:firstLineChars="200"/>
              <w:rPr>
                <w:color w:val="auto"/>
              </w:rPr>
            </w:pPr>
            <w:r>
              <w:rPr>
                <w:rFonts w:hint="eastAsia"/>
                <w:color w:val="auto"/>
              </w:rPr>
              <w:t>自签订合同之日起至2022年6月30日止完成。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166" w:type="dxa"/>
            <w:gridSpan w:val="3"/>
            <w:vAlign w:val="center"/>
          </w:tcPr>
          <w:p>
            <w:pPr>
              <w:adjustRightInd w:val="0"/>
              <w:snapToGrid w:val="0"/>
              <w:spacing w:line="340" w:lineRule="exact"/>
              <w:rPr>
                <w:color w:val="auto"/>
              </w:rPr>
            </w:pPr>
            <w:r>
              <w:rPr>
                <w:rFonts w:hint="eastAsia"/>
                <w:color w:val="auto"/>
              </w:rPr>
              <w:t>一、报价要求：</w:t>
            </w:r>
            <w:r>
              <w:rPr>
                <w:color w:val="auto"/>
              </w:rPr>
              <w:t>竞标报价包括苗种生产、采购、运输、检疫、药残检测、税费、标志鱼、放流及其他费用等。</w:t>
            </w:r>
          </w:p>
          <w:p>
            <w:pPr>
              <w:adjustRightInd w:val="0"/>
              <w:snapToGrid w:val="0"/>
              <w:spacing w:line="340" w:lineRule="exact"/>
              <w:rPr>
                <w:color w:val="auto"/>
              </w:rPr>
            </w:pPr>
            <w:r>
              <w:rPr>
                <w:rFonts w:hint="eastAsia"/>
                <w:color w:val="auto"/>
              </w:rPr>
              <w:t xml:space="preserve">二、其它要求: </w:t>
            </w:r>
          </w:p>
          <w:p>
            <w:pPr>
              <w:pStyle w:val="2"/>
              <w:rPr>
                <w:bCs w:val="0"/>
                <w:color w:val="auto"/>
                <w:spacing w:val="0"/>
                <w:kern w:val="2"/>
                <w:sz w:val="21"/>
                <w:szCs w:val="24"/>
              </w:rPr>
            </w:pPr>
            <w:r>
              <w:rPr>
                <w:rFonts w:hint="default"/>
                <w:bCs w:val="0"/>
                <w:color w:val="auto"/>
                <w:spacing w:val="0"/>
                <w:kern w:val="2"/>
                <w:sz w:val="21"/>
                <w:szCs w:val="24"/>
              </w:rPr>
              <w:t>用于放流的亲本、苗种应当是本地种，禁止放流外来种、杂交种、转基因种以及其他不符合生态要求的水生生物物种，且所有放流苗种必须是本单位培育，不得外购转售。优先选择国家级、自治区（省）级水产原良种场。被列入农业部通报的增殖放流违法违规供苗单位名单的，不得承担增殖放流项目苗种供应任务，也不得纳入增殖放流供苗单位招标范围。</w:t>
            </w:r>
          </w:p>
          <w:p>
            <w:pPr>
              <w:adjustRightInd w:val="0"/>
              <w:snapToGrid w:val="0"/>
              <w:spacing w:line="340" w:lineRule="exact"/>
              <w:ind w:firstLine="420" w:firstLineChars="200"/>
              <w:rPr>
                <w:color w:val="auto"/>
              </w:rPr>
            </w:pPr>
            <w:r>
              <w:rPr>
                <w:rFonts w:hint="eastAsia"/>
                <w:color w:val="auto"/>
              </w:rPr>
              <w:t>2.验收标准：</w:t>
            </w:r>
          </w:p>
          <w:p>
            <w:pPr>
              <w:adjustRightInd w:val="0"/>
              <w:snapToGrid w:val="0"/>
              <w:spacing w:line="340" w:lineRule="exact"/>
              <w:ind w:firstLine="420" w:firstLineChars="200"/>
              <w:rPr>
                <w:color w:val="auto"/>
              </w:rPr>
            </w:pPr>
            <w:r>
              <w:rPr>
                <w:rFonts w:hint="eastAsia"/>
                <w:color w:val="auto"/>
              </w:rPr>
              <w:t>（1）数量的验收：采购人和成交供应商双方派出相关技术人员采取可信的方法现场验收供苗商提供的苗种数量。按随机抽样的方法，以每一次放流批次为抽样单位，随机抽取3袋（箱）以上全部计数，计算每袋（箱）苗种的平均数量，以此为基数，计算该批次苗种总数。</w:t>
            </w:r>
          </w:p>
          <w:p>
            <w:pPr>
              <w:adjustRightInd w:val="0"/>
              <w:snapToGrid w:val="0"/>
              <w:spacing w:line="340" w:lineRule="exact"/>
              <w:ind w:firstLine="420" w:firstLineChars="200"/>
              <w:rPr>
                <w:color w:val="auto"/>
              </w:rPr>
            </w:pPr>
            <w:r>
              <w:rPr>
                <w:rFonts w:hint="eastAsia"/>
                <w:color w:val="auto"/>
              </w:rPr>
              <w:t>（2）规格的验收：采取随机抽样的方法，以一个育苗池（箱）为测标单位，随机抽取100尾（只）苗种进行全长测量，计算全部苗种的平均全长。</w:t>
            </w:r>
          </w:p>
          <w:p>
            <w:pPr>
              <w:adjustRightInd w:val="0"/>
              <w:snapToGrid w:val="0"/>
              <w:spacing w:line="340" w:lineRule="exact"/>
              <w:ind w:firstLine="420" w:firstLineChars="200"/>
              <w:rPr>
                <w:color w:val="auto"/>
              </w:rPr>
            </w:pPr>
            <w:r>
              <w:rPr>
                <w:rFonts w:hint="eastAsia"/>
                <w:color w:val="auto"/>
              </w:rPr>
              <w:t>3.运输和投放要求：</w:t>
            </w:r>
          </w:p>
          <w:p>
            <w:pPr>
              <w:adjustRightInd w:val="0"/>
              <w:snapToGrid w:val="0"/>
              <w:spacing w:line="340" w:lineRule="exact"/>
              <w:ind w:firstLine="420" w:firstLineChars="200"/>
              <w:rPr>
                <w:color w:val="auto"/>
              </w:rPr>
            </w:pPr>
            <w:r>
              <w:rPr>
                <w:rFonts w:hint="eastAsia"/>
                <w:color w:val="auto"/>
              </w:rPr>
              <w:t>（1）苗种验收：由渔业主管部门组织验收，对本次增殖放流的水生生物苗种品种、规格、数量、质量进行验收，对放流过程进行全程监督，并出具验收报告。</w:t>
            </w:r>
          </w:p>
          <w:p>
            <w:pPr>
              <w:adjustRightInd w:val="0"/>
              <w:snapToGrid w:val="0"/>
              <w:spacing w:line="340" w:lineRule="exact"/>
              <w:ind w:firstLine="420" w:firstLineChars="200"/>
              <w:rPr>
                <w:color w:val="auto"/>
              </w:rPr>
            </w:pPr>
            <w:r>
              <w:rPr>
                <w:rFonts w:hint="eastAsia"/>
                <w:color w:val="auto"/>
              </w:rPr>
              <w:t>（2）成交供应商负责落实运输车辆（船）和工作人员，将放流的苗种运送到指定地点（海区）放流。</w:t>
            </w:r>
          </w:p>
          <w:p>
            <w:pPr>
              <w:adjustRightInd w:val="0"/>
              <w:snapToGrid w:val="0"/>
              <w:spacing w:line="340" w:lineRule="exact"/>
              <w:ind w:firstLine="420" w:firstLineChars="200"/>
              <w:rPr>
                <w:color w:val="auto"/>
              </w:rPr>
            </w:pPr>
            <w:r>
              <w:rPr>
                <w:rFonts w:hint="eastAsia"/>
                <w:color w:val="auto"/>
              </w:rPr>
              <w:t>（3）放流的苗种运送到指定海区后，须在渔政执法人员的监督下按要求投放。在放流过程中，要采用科学的方法投放苗种，严禁抛洒或高空倾倒。</w:t>
            </w:r>
          </w:p>
          <w:p>
            <w:pPr>
              <w:adjustRightInd w:val="0"/>
              <w:snapToGrid w:val="0"/>
              <w:spacing w:line="340" w:lineRule="exact"/>
              <w:ind w:firstLine="420" w:firstLineChars="200"/>
              <w:rPr>
                <w:color w:val="auto"/>
              </w:rPr>
            </w:pPr>
            <w:r>
              <w:rPr>
                <w:rFonts w:hint="eastAsia"/>
                <w:color w:val="auto"/>
              </w:rPr>
              <w:t>（本项目为渔业资源增殖放流项目，放流的苗种均为采购后一次性流放，所以不存在售后服务。竞标人的竞标文件可不附售后服务承诺书。）</w:t>
            </w:r>
          </w:p>
          <w:p>
            <w:pPr>
              <w:adjustRightInd w:val="0"/>
              <w:snapToGrid w:val="0"/>
              <w:spacing w:line="340" w:lineRule="exact"/>
              <w:ind w:firstLine="420" w:firstLineChars="200"/>
              <w:rPr>
                <w:color w:val="auto"/>
              </w:rPr>
            </w:pPr>
            <w:r>
              <w:rPr>
                <w:rFonts w:hint="eastAsia"/>
                <w:color w:val="auto"/>
              </w:rPr>
              <w:t>4.供应商必须承诺在防城港市辖区内具备与本次采购货物相应的育苗设施用于育苗生产（供应商成交后，该设施用于所供货的苗种在放流前7天内的本地暂养及进行检验检疫工作。该设施购买或租用均可，签订合同前须向采购人提供购买或租赁的相关书面证明材料。竞标人须在响应文件中对此进行承诺）。</w:t>
            </w:r>
          </w:p>
        </w:tc>
      </w:tr>
    </w:tbl>
    <w:p>
      <w:pPr>
        <w:pStyle w:val="12"/>
        <w:spacing w:line="460" w:lineRule="exact"/>
        <w:jc w:val="center"/>
        <w:rPr>
          <w:rFonts w:hAnsi="宋体"/>
          <w:b/>
          <w:color w:val="auto"/>
          <w:sz w:val="32"/>
          <w:szCs w:val="32"/>
        </w:rPr>
      </w:pPr>
    </w:p>
    <w:p>
      <w:pPr>
        <w:pStyle w:val="12"/>
        <w:spacing w:line="460" w:lineRule="exact"/>
        <w:jc w:val="center"/>
        <w:rPr>
          <w:rFonts w:hAnsi="宋体"/>
          <w:b/>
          <w:color w:val="auto"/>
          <w:sz w:val="32"/>
          <w:szCs w:val="32"/>
        </w:rPr>
      </w:pPr>
    </w:p>
    <w:p>
      <w:pPr>
        <w:pStyle w:val="12"/>
        <w:spacing w:line="460" w:lineRule="exact"/>
        <w:jc w:val="center"/>
        <w:rPr>
          <w:rFonts w:hAnsi="宋体"/>
          <w:b/>
          <w:color w:val="auto"/>
          <w:sz w:val="32"/>
          <w:szCs w:val="32"/>
        </w:rPr>
      </w:pPr>
    </w:p>
    <w:p>
      <w:pPr>
        <w:pStyle w:val="13"/>
      </w:pPr>
    </w:p>
    <w:p>
      <w:pPr>
        <w:pStyle w:val="12"/>
        <w:spacing w:line="460" w:lineRule="exact"/>
        <w:jc w:val="center"/>
        <w:rPr>
          <w:b/>
          <w:color w:val="auto"/>
          <w:sz w:val="32"/>
        </w:rPr>
      </w:pPr>
      <w:r>
        <w:rPr>
          <w:rFonts w:hint="eastAsia" w:hAnsi="宋体"/>
          <w:b/>
          <w:color w:val="auto"/>
          <w:sz w:val="32"/>
          <w:szCs w:val="32"/>
        </w:rPr>
        <w:t xml:space="preserve">第四章 </w:t>
      </w:r>
      <w:r>
        <w:rPr>
          <w:rFonts w:hint="eastAsia"/>
          <w:b/>
          <w:color w:val="auto"/>
          <w:sz w:val="32"/>
        </w:rPr>
        <w:t>评标办法</w:t>
      </w:r>
    </w:p>
    <w:p>
      <w:pPr>
        <w:spacing w:line="400" w:lineRule="exact"/>
        <w:rPr>
          <w:rFonts w:ascii="宋体" w:hAnsi="宋体" w:cs="宋体"/>
          <w:b/>
          <w:color w:val="auto"/>
          <w:szCs w:val="21"/>
        </w:rPr>
      </w:pPr>
    </w:p>
    <w:p>
      <w:pPr>
        <w:numPr>
          <w:ilvl w:val="0"/>
          <w:numId w:val="3"/>
        </w:numPr>
        <w:spacing w:line="320" w:lineRule="exact"/>
        <w:rPr>
          <w:rFonts w:ascii="宋体" w:hAnsi="宋体" w:cs="宋体"/>
          <w:bCs/>
          <w:color w:val="auto"/>
          <w:szCs w:val="21"/>
        </w:rPr>
      </w:pPr>
      <w:r>
        <w:rPr>
          <w:rFonts w:hint="eastAsia" w:ascii="宋体" w:hAnsi="宋体" w:cs="宋体"/>
          <w:bCs/>
          <w:color w:val="auto"/>
          <w:szCs w:val="21"/>
        </w:rPr>
        <w:t>评标依据</w:t>
      </w:r>
    </w:p>
    <w:p>
      <w:pPr>
        <w:spacing w:line="320" w:lineRule="exact"/>
        <w:ind w:firstLine="420" w:firstLineChars="200"/>
        <w:rPr>
          <w:rFonts w:ascii="宋体" w:hAnsi="宋体" w:cs="宋体"/>
          <w:bCs/>
          <w:color w:val="auto"/>
          <w:szCs w:val="21"/>
        </w:rPr>
      </w:pPr>
      <w:r>
        <w:rPr>
          <w:rFonts w:hint="eastAsia" w:ascii="宋体" w:hAnsi="宋体" w:cs="宋体"/>
          <w:bCs/>
          <w:color w:val="auto"/>
          <w:szCs w:val="21"/>
        </w:rPr>
        <w:t>1、谈判小组的组成：本项目的谈判小组由1名采购人代表，和从政府云评审专家库中随机抽取的2名评审专家共三人以上（含三人）的单数依法组成。</w:t>
      </w:r>
    </w:p>
    <w:p>
      <w:pPr>
        <w:spacing w:line="320" w:lineRule="exact"/>
        <w:ind w:firstLine="420" w:firstLineChars="200"/>
        <w:rPr>
          <w:rFonts w:ascii="宋体" w:hAnsi="宋体" w:cs="宋体"/>
          <w:bCs/>
          <w:color w:val="auto"/>
          <w:szCs w:val="21"/>
        </w:rPr>
      </w:pPr>
      <w:r>
        <w:rPr>
          <w:rFonts w:hint="eastAsia" w:ascii="宋体" w:hAnsi="宋体" w:cs="宋体"/>
          <w:bCs/>
          <w:color w:val="auto"/>
          <w:szCs w:val="21"/>
        </w:rPr>
        <w:t>2、评标依据：谈判小组以竞争性谈判采购文件和响应文件为评标依据。</w:t>
      </w:r>
    </w:p>
    <w:p>
      <w:pPr>
        <w:spacing w:line="320" w:lineRule="exact"/>
        <w:ind w:firstLine="420" w:firstLineChars="200"/>
        <w:rPr>
          <w:rFonts w:ascii="宋体" w:hAnsi="宋体" w:cs="宋体"/>
          <w:bCs/>
          <w:color w:val="auto"/>
          <w:szCs w:val="21"/>
        </w:rPr>
      </w:pPr>
      <w:r>
        <w:rPr>
          <w:rFonts w:hint="eastAsia" w:ascii="宋体" w:hAnsi="宋体" w:cs="宋体"/>
          <w:bCs/>
          <w:color w:val="auto"/>
          <w:szCs w:val="21"/>
        </w:rPr>
        <w:t>3、评标方式：以封闭方式进行。</w:t>
      </w:r>
    </w:p>
    <w:p>
      <w:pPr>
        <w:spacing w:line="320" w:lineRule="exact"/>
        <w:rPr>
          <w:rFonts w:ascii="宋体" w:hAnsi="宋体" w:cs="宋体"/>
          <w:bCs/>
          <w:color w:val="auto"/>
          <w:szCs w:val="21"/>
        </w:rPr>
      </w:pPr>
      <w:r>
        <w:rPr>
          <w:rFonts w:hint="eastAsia" w:ascii="宋体" w:hAnsi="宋体" w:cs="宋体"/>
          <w:bCs/>
          <w:color w:val="auto"/>
          <w:szCs w:val="21"/>
        </w:rPr>
        <w:t>二、评审办法</w:t>
      </w:r>
    </w:p>
    <w:p>
      <w:pPr>
        <w:spacing w:line="320" w:lineRule="exact"/>
        <w:ind w:firstLine="420" w:firstLineChars="200"/>
        <w:rPr>
          <w:rFonts w:ascii="宋体" w:hAnsi="宋体" w:cs="宋体"/>
          <w:color w:val="auto"/>
          <w:szCs w:val="21"/>
        </w:rPr>
      </w:pPr>
      <w:r>
        <w:rPr>
          <w:rFonts w:hint="eastAsia" w:ascii="宋体" w:hAnsi="宋体" w:cs="宋体"/>
          <w:color w:val="auto"/>
          <w:szCs w:val="21"/>
        </w:rPr>
        <w:t>1、谈判小组将以竞争性谈判采购文件、谈判响应文件为评定依据，标记有</w:t>
      </w:r>
      <w:r>
        <w:rPr>
          <w:rFonts w:hint="eastAsia" w:ascii="宋体" w:hAnsi="宋体"/>
          <w:bCs/>
          <w:color w:val="auto"/>
          <w:sz w:val="22"/>
          <w:szCs w:val="22"/>
        </w:rPr>
        <w:t>“</w:t>
      </w:r>
      <w:r>
        <w:rPr>
          <w:rFonts w:hint="eastAsia" w:ascii="宋体" w:hAnsi="宋体" w:cs="宋体"/>
          <w:color w:val="auto"/>
          <w:kern w:val="0"/>
          <w:sz w:val="22"/>
          <w:szCs w:val="22"/>
        </w:rPr>
        <w:t>▲</w:t>
      </w:r>
      <w:r>
        <w:rPr>
          <w:rFonts w:hint="eastAsia" w:ascii="宋体" w:hAnsi="宋体"/>
          <w:bCs/>
          <w:color w:val="auto"/>
          <w:sz w:val="22"/>
          <w:szCs w:val="22"/>
        </w:rPr>
        <w:t>”和</w:t>
      </w:r>
      <w:r>
        <w:rPr>
          <w:rFonts w:hint="eastAsia" w:ascii="宋体" w:hAnsi="宋体" w:cs="宋体"/>
          <w:color w:val="auto"/>
          <w:kern w:val="0"/>
          <w:sz w:val="22"/>
          <w:szCs w:val="22"/>
        </w:rPr>
        <w:t>“★”</w:t>
      </w:r>
      <w:r>
        <w:rPr>
          <w:rFonts w:hint="eastAsia" w:ascii="宋体" w:hAnsi="宋体" w:cs="宋体"/>
          <w:color w:val="auto"/>
          <w:szCs w:val="21"/>
        </w:rPr>
        <w:t>参数为关键参数和配置，对这些关键参数和配置不符合采购文件要求的将导致谈判无效。非标记有</w:t>
      </w:r>
      <w:r>
        <w:rPr>
          <w:rFonts w:hint="eastAsia" w:ascii="宋体" w:hAnsi="宋体"/>
          <w:bCs/>
          <w:color w:val="auto"/>
          <w:sz w:val="22"/>
          <w:szCs w:val="22"/>
        </w:rPr>
        <w:t>“</w:t>
      </w:r>
      <w:r>
        <w:rPr>
          <w:rFonts w:hint="eastAsia" w:ascii="宋体" w:hAnsi="宋体" w:cs="宋体"/>
          <w:color w:val="auto"/>
          <w:kern w:val="0"/>
          <w:sz w:val="22"/>
          <w:szCs w:val="22"/>
        </w:rPr>
        <w:t>▲</w:t>
      </w:r>
      <w:r>
        <w:rPr>
          <w:rFonts w:hint="eastAsia" w:ascii="宋体" w:hAnsi="宋体"/>
          <w:bCs/>
          <w:color w:val="auto"/>
          <w:sz w:val="22"/>
          <w:szCs w:val="22"/>
        </w:rPr>
        <w:t>”和</w:t>
      </w:r>
      <w:r>
        <w:rPr>
          <w:rFonts w:hint="eastAsia" w:ascii="宋体" w:hAnsi="宋体" w:cs="宋体"/>
          <w:color w:val="auto"/>
          <w:kern w:val="0"/>
          <w:sz w:val="22"/>
          <w:szCs w:val="22"/>
        </w:rPr>
        <w:t>“★”</w:t>
      </w:r>
      <w:r>
        <w:rPr>
          <w:rFonts w:hint="eastAsia" w:ascii="宋体" w:hAnsi="宋体" w:cs="宋体"/>
          <w:color w:val="auto"/>
          <w:szCs w:val="21"/>
        </w:rPr>
        <w:t>号参数为非关键参数和配置，非关键参数和配置未达到谈判采购文件要求，累计负偏离项目超过2项的将导致其谈判无效；</w:t>
      </w:r>
    </w:p>
    <w:p>
      <w:pPr>
        <w:snapToGrid w:val="0"/>
        <w:spacing w:line="320" w:lineRule="exact"/>
        <w:ind w:firstLine="420" w:firstLineChars="200"/>
        <w:rPr>
          <w:rFonts w:ascii="宋体" w:hAnsi="宋体"/>
          <w:bCs/>
          <w:color w:val="auto"/>
          <w:szCs w:val="21"/>
        </w:rPr>
      </w:pPr>
      <w:r>
        <w:rPr>
          <w:rFonts w:hint="eastAsia" w:ascii="宋体" w:hAnsi="宋体" w:cs="宋体"/>
          <w:color w:val="auto"/>
          <w:szCs w:val="21"/>
        </w:rPr>
        <w:t>2、</w:t>
      </w:r>
      <w:r>
        <w:rPr>
          <w:rFonts w:hint="eastAsia" w:ascii="宋体" w:hAnsi="宋体" w:cs="宋体"/>
          <w:bCs/>
          <w:color w:val="auto"/>
          <w:szCs w:val="21"/>
        </w:rPr>
        <w:t>①</w:t>
      </w:r>
      <w:r>
        <w:rPr>
          <w:rFonts w:hint="eastAsia" w:ascii="宋体" w:hAnsi="宋体"/>
          <w:bCs/>
          <w:color w:val="auto"/>
          <w:szCs w:val="21"/>
        </w:rPr>
        <w:t>评标报价为供应商的最终报价进行政策性扣除后的价格，评标报价只是作为评标时使用。最终成交人的成交金额等于最终报价。</w:t>
      </w:r>
    </w:p>
    <w:p>
      <w:pPr>
        <w:snapToGrid w:val="0"/>
        <w:spacing w:line="320" w:lineRule="exact"/>
        <w:ind w:firstLine="420" w:firstLineChars="200"/>
        <w:rPr>
          <w:rFonts w:ascii="宋体" w:hAnsi="宋体"/>
          <w:color w:val="auto"/>
          <w:szCs w:val="21"/>
        </w:rPr>
      </w:pPr>
      <w:r>
        <w:rPr>
          <w:rFonts w:hint="eastAsia" w:ascii="宋体" w:hAnsi="宋体" w:cs="宋体"/>
          <w:bCs/>
          <w:color w:val="auto"/>
          <w:szCs w:val="21"/>
        </w:rPr>
        <w:t>②</w:t>
      </w:r>
      <w:r>
        <w:rPr>
          <w:rFonts w:hint="eastAsia" w:ascii="宋体" w:hAnsi="宋体"/>
          <w:color w:val="auto"/>
          <w:szCs w:val="21"/>
        </w:rPr>
        <w:t>按照《政府采购促进中小企业发展管理办法》（财库﹝2020﹞46 号）的规定，对参加政府采购活动并依法提供《中小企业声明函》的小微企业，对其价格给予10%的扣除，用扣除后的价格参与评审。</w:t>
      </w:r>
    </w:p>
    <w:p>
      <w:pPr>
        <w:spacing w:line="320" w:lineRule="exact"/>
        <w:ind w:firstLine="420" w:firstLineChars="200"/>
        <w:rPr>
          <w:rFonts w:ascii="宋体" w:hAnsi="宋体"/>
          <w:bCs/>
          <w:color w:val="auto"/>
          <w:szCs w:val="21"/>
        </w:rPr>
      </w:pPr>
      <w:r>
        <w:rPr>
          <w:rFonts w:hint="eastAsia" w:ascii="宋体" w:hAnsi="宋体" w:cs="宋体"/>
          <w:bCs/>
          <w:color w:val="auto"/>
          <w:szCs w:val="21"/>
        </w:rPr>
        <w:t>③</w:t>
      </w:r>
      <w:r>
        <w:rPr>
          <w:rFonts w:hint="eastAsia" w:ascii="宋体" w:hAnsi="宋体" w:cs="宋体"/>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r>
        <w:rPr>
          <w:rFonts w:hint="eastAsia" w:ascii="宋体" w:hAnsi="宋体"/>
          <w:color w:val="auto"/>
          <w:szCs w:val="21"/>
        </w:rPr>
        <w:t>。</w:t>
      </w:r>
      <w:r>
        <w:rPr>
          <w:rFonts w:hint="eastAsia" w:ascii="宋体" w:hAnsi="宋体"/>
          <w:bCs/>
          <w:color w:val="auto"/>
          <w:szCs w:val="21"/>
        </w:rPr>
        <w:t>不重复享受政策。</w:t>
      </w:r>
    </w:p>
    <w:p>
      <w:pPr>
        <w:snapToGrid w:val="0"/>
        <w:spacing w:line="320" w:lineRule="exact"/>
        <w:ind w:firstLine="420" w:firstLineChars="200"/>
        <w:rPr>
          <w:rFonts w:ascii="宋体" w:hAnsi="宋体"/>
          <w:bCs/>
          <w:color w:val="auto"/>
          <w:szCs w:val="21"/>
        </w:rPr>
      </w:pPr>
      <w:r>
        <w:rPr>
          <w:rFonts w:hint="eastAsia" w:ascii="宋体" w:hAnsi="宋体" w:cs="宋体"/>
          <w:color w:val="auto"/>
          <w:szCs w:val="21"/>
        </w:rPr>
        <w:t>④</w:t>
      </w:r>
      <w:r>
        <w:rPr>
          <w:rFonts w:hint="eastAsia" w:ascii="宋体" w:hAnsi="宋体"/>
          <w:color w:val="auto"/>
          <w:szCs w:val="21"/>
        </w:rPr>
        <w:t>按照</w:t>
      </w:r>
      <w:r>
        <w:rPr>
          <w:rFonts w:hint="eastAsia" w:ascii="宋体" w:hAnsi="宋体"/>
          <w:bCs/>
          <w:color w:val="auto"/>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rPr>
        <w:t>残疾人福利性单位参加政府采购活动时，应当提供该通知规定的《残疾人福利性单位声明函》，并对声明的真实性负责。</w:t>
      </w:r>
      <w:r>
        <w:rPr>
          <w:rFonts w:hint="eastAsia" w:ascii="宋体" w:hAnsi="宋体"/>
          <w:bCs/>
          <w:color w:val="auto"/>
          <w:szCs w:val="21"/>
        </w:rPr>
        <w:t>不重复享受政策。</w:t>
      </w:r>
    </w:p>
    <w:p>
      <w:pPr>
        <w:snapToGrid w:val="0"/>
        <w:spacing w:line="320" w:lineRule="exact"/>
        <w:ind w:firstLine="420" w:firstLineChars="200"/>
        <w:rPr>
          <w:rFonts w:ascii="宋体" w:hAnsi="宋体"/>
          <w:color w:val="auto"/>
          <w:szCs w:val="21"/>
        </w:rPr>
      </w:pPr>
      <w:r>
        <w:rPr>
          <w:rFonts w:hint="eastAsia" w:ascii="宋体" w:hAnsi="宋体" w:cs="宋体"/>
          <w:color w:val="auto"/>
          <w:szCs w:val="21"/>
        </w:rPr>
        <w:t>⑤</w:t>
      </w:r>
      <w:r>
        <w:rPr>
          <w:rFonts w:hint="eastAsia" w:ascii="宋体" w:hAnsi="宋体"/>
          <w:color w:val="auto"/>
          <w:szCs w:val="21"/>
        </w:rPr>
        <w:t>政策性扣除计算方法。</w:t>
      </w:r>
    </w:p>
    <w:p>
      <w:pPr>
        <w:snapToGrid w:val="0"/>
        <w:spacing w:line="320" w:lineRule="exact"/>
        <w:ind w:firstLine="233" w:firstLineChars="111"/>
        <w:rPr>
          <w:rFonts w:ascii="宋体" w:hAnsi="宋体" w:cs="宋体"/>
          <w:b/>
          <w:bCs/>
          <w:color w:val="auto"/>
          <w:szCs w:val="21"/>
        </w:rPr>
      </w:pPr>
      <w:r>
        <w:rPr>
          <w:rFonts w:hint="eastAsia" w:ascii="宋体" w:hAnsi="宋体"/>
          <w:color w:val="auto"/>
          <w:szCs w:val="21"/>
        </w:rPr>
        <w:t>供应商被评定为监狱企业或残疾人福利性单位或小型和微型企业且其所投标全部产品为小型和微型企业产品的，该供应商的投标报价给予10%的扣除，扣除后的价格为评标报价，即评标报价=投标报价×（1-10%）；除上述情况外，评标报价=投标报价。</w:t>
      </w:r>
    </w:p>
    <w:p>
      <w:pPr>
        <w:spacing w:line="320" w:lineRule="exact"/>
        <w:ind w:firstLine="420" w:firstLineChars="200"/>
        <w:rPr>
          <w:rFonts w:ascii="宋体" w:hAnsi="宋体" w:cs="宋体"/>
          <w:color w:val="auto"/>
          <w:szCs w:val="21"/>
        </w:rPr>
      </w:pPr>
      <w:r>
        <w:rPr>
          <w:rFonts w:hint="eastAsia" w:ascii="宋体" w:hAnsi="宋体" w:cs="宋体"/>
          <w:color w:val="auto"/>
          <w:szCs w:val="21"/>
        </w:rPr>
        <w:t>3、评审时，应当将通过资格性审查和符合性审查各供应商的评审报价，按照由低到高顺序排序；当评审报价相同时，以最后报价低的优先排序；当最后报价相同时，则依次按节能环保产品优先、技术指标高优先、售后服务优先原则排序。</w:t>
      </w:r>
    </w:p>
    <w:p>
      <w:pPr>
        <w:spacing w:line="320" w:lineRule="exact"/>
        <w:ind w:firstLine="422" w:firstLineChars="200"/>
        <w:rPr>
          <w:rFonts w:ascii="宋体" w:hAnsi="宋体" w:cs="宋体"/>
          <w:b/>
          <w:bCs/>
          <w:color w:val="auto"/>
          <w:szCs w:val="21"/>
        </w:rPr>
      </w:pPr>
      <w:r>
        <w:rPr>
          <w:rFonts w:hint="eastAsia" w:ascii="宋体" w:hAnsi="宋体" w:cs="宋体"/>
          <w:b/>
          <w:bCs/>
          <w:color w:val="auto"/>
          <w:szCs w:val="21"/>
        </w:rPr>
        <w:t>注：小型、微型企业提供中型企业制造的货物的，视同为中型企业。</w:t>
      </w:r>
    </w:p>
    <w:p>
      <w:pPr>
        <w:spacing w:line="320" w:lineRule="exact"/>
        <w:ind w:firstLine="843" w:firstLineChars="400"/>
        <w:rPr>
          <w:rFonts w:ascii="宋体" w:hAnsi="宋体" w:cs="宋体"/>
          <w:b/>
          <w:bCs/>
          <w:color w:val="auto"/>
          <w:szCs w:val="21"/>
        </w:rPr>
      </w:pPr>
      <w:r>
        <w:rPr>
          <w:rFonts w:hint="eastAsia" w:ascii="宋体" w:hAnsi="宋体" w:cs="宋体"/>
          <w:b/>
          <w:bCs/>
          <w:color w:val="auto"/>
          <w:szCs w:val="21"/>
        </w:rPr>
        <w:t>小型、微型企业提供大型企业制造的货物的，视同为大型企业。</w:t>
      </w:r>
    </w:p>
    <w:p>
      <w:pPr>
        <w:spacing w:line="320" w:lineRule="exact"/>
        <w:rPr>
          <w:rFonts w:ascii="宋体" w:hAnsi="宋体" w:cs="宋体"/>
          <w:color w:val="auto"/>
          <w:szCs w:val="21"/>
        </w:rPr>
      </w:pPr>
      <w:r>
        <w:rPr>
          <w:rFonts w:hint="eastAsia" w:ascii="宋体" w:hAnsi="宋体" w:cs="宋体"/>
          <w:color w:val="auto"/>
          <w:szCs w:val="21"/>
        </w:rPr>
        <w:t>三、成交候选供应商推荐原则</w:t>
      </w:r>
    </w:p>
    <w:p>
      <w:pPr>
        <w:spacing w:line="320" w:lineRule="exact"/>
        <w:ind w:firstLine="315" w:firstLineChars="150"/>
        <w:rPr>
          <w:rFonts w:ascii="宋体" w:hAnsi="宋体" w:cs="宋体"/>
          <w:color w:val="auto"/>
          <w:szCs w:val="21"/>
        </w:rPr>
      </w:pPr>
      <w:r>
        <w:rPr>
          <w:rFonts w:hint="eastAsia" w:ascii="宋体" w:hAnsi="宋体" w:cs="宋体"/>
          <w:color w:val="auto"/>
          <w:szCs w:val="21"/>
        </w:rPr>
        <w:t>（1）谈判小组应当从质量和服务均能满足采购文件全部实质性响应要求的供应商中，按照评审报价由低到高顺序提出3名以上（含3名）成交候选供应商。（2）采购单位应当确定谈判小组推荐排名第一成交候选人为成交供应商。</w:t>
      </w:r>
    </w:p>
    <w:p>
      <w:pPr>
        <w:spacing w:line="320" w:lineRule="exact"/>
        <w:ind w:firstLine="315" w:firstLineChars="150"/>
        <w:rPr>
          <w:ins w:id="0" w:author="杜子" w:date="2021-08-27T17:26:41Z"/>
          <w:rFonts w:hint="eastAsia" w:ascii="宋体" w:hAnsi="宋体"/>
          <w:b/>
          <w:bCs/>
          <w:color w:val="auto"/>
          <w:sz w:val="32"/>
          <w:szCs w:val="32"/>
        </w:rPr>
      </w:pPr>
      <w:r>
        <w:rPr>
          <w:rFonts w:hint="eastAsia" w:ascii="宋体" w:hAnsi="宋体" w:cs="宋体"/>
          <w:color w:val="auto"/>
          <w:szCs w:val="21"/>
        </w:rPr>
        <w:t>（2）排名第一的成交候选人放弃成交、因不可抗力提出不能履行合同，或者竞争性谈判采购文件规定应当提交履约保证金而在规定的期限内未能提交的，采购单位可以确定排名第二的成交候选供应商为成交供应商。以此类推。</w:t>
      </w:r>
      <w:bookmarkStart w:id="19" w:name="_Toc13395"/>
    </w:p>
    <w:p>
      <w:pPr>
        <w:snapToGrid w:val="0"/>
        <w:spacing w:line="460" w:lineRule="exact"/>
        <w:jc w:val="center"/>
        <w:rPr>
          <w:rFonts w:ascii="宋体" w:hAnsi="宋体"/>
          <w:b/>
          <w:bCs/>
          <w:color w:val="auto"/>
          <w:sz w:val="32"/>
          <w:szCs w:val="32"/>
        </w:rPr>
      </w:pPr>
      <w:r>
        <w:rPr>
          <w:rFonts w:hint="eastAsia" w:ascii="宋体" w:hAnsi="宋体"/>
          <w:b/>
          <w:bCs/>
          <w:color w:val="auto"/>
          <w:sz w:val="32"/>
          <w:szCs w:val="32"/>
        </w:rPr>
        <w:t>第五章  合同主要条款</w:t>
      </w:r>
      <w:bookmarkEnd w:id="19"/>
    </w:p>
    <w:p>
      <w:pPr>
        <w:snapToGrid w:val="0"/>
        <w:spacing w:line="460" w:lineRule="exact"/>
        <w:jc w:val="center"/>
        <w:rPr>
          <w:rFonts w:ascii="宋体" w:hAnsi="宋体"/>
          <w:b/>
          <w:bCs/>
          <w:color w:val="auto"/>
          <w:sz w:val="32"/>
          <w:szCs w:val="32"/>
        </w:rPr>
      </w:pPr>
      <w:r>
        <w:rPr>
          <w:rFonts w:hint="eastAsia" w:ascii="宋体" w:hAnsi="宋体"/>
          <w:b/>
          <w:bCs/>
          <w:color w:val="auto"/>
          <w:sz w:val="32"/>
          <w:szCs w:val="32"/>
        </w:rPr>
        <w:t>《广西壮族自治区政府采购合同》</w:t>
      </w:r>
    </w:p>
    <w:p>
      <w:pPr>
        <w:snapToGrid w:val="0"/>
        <w:spacing w:line="460" w:lineRule="exact"/>
        <w:jc w:val="center"/>
        <w:rPr>
          <w:rFonts w:ascii="宋体" w:hAnsi="宋体"/>
          <w:b/>
          <w:bCs/>
          <w:color w:val="auto"/>
          <w:sz w:val="32"/>
          <w:szCs w:val="32"/>
        </w:rPr>
      </w:pPr>
      <w:r>
        <w:rPr>
          <w:rFonts w:hint="eastAsia" w:ascii="宋体" w:hAnsi="宋体"/>
          <w:b/>
          <w:color w:val="auto"/>
          <w:sz w:val="32"/>
          <w:szCs w:val="32"/>
        </w:rPr>
        <w:t>（试行）文本</w:t>
      </w:r>
    </w:p>
    <w:p>
      <w:pPr>
        <w:snapToGrid w:val="0"/>
        <w:spacing w:line="360" w:lineRule="exact"/>
        <w:rPr>
          <w:ins w:id="1" w:author="杜子" w:date="2021-08-27T17:26:52Z"/>
          <w:rFonts w:hint="eastAsia" w:ascii="宋体" w:hAnsi="宋体"/>
          <w:color w:val="auto"/>
          <w:szCs w:val="21"/>
        </w:rPr>
      </w:pPr>
    </w:p>
    <w:p>
      <w:pPr>
        <w:snapToGrid w:val="0"/>
        <w:spacing w:line="360" w:lineRule="exact"/>
        <w:rPr>
          <w:rFonts w:ascii="宋体" w:hAnsi="宋体"/>
          <w:color w:val="auto"/>
          <w:szCs w:val="21"/>
          <w:u w:val="single"/>
        </w:rPr>
      </w:pPr>
      <w:r>
        <w:rPr>
          <w:rFonts w:hint="eastAsia" w:ascii="宋体" w:hAnsi="宋体"/>
          <w:color w:val="auto"/>
          <w:szCs w:val="21"/>
        </w:rPr>
        <w:t>采购单位（甲方）</w:t>
      </w:r>
      <w:r>
        <w:rPr>
          <w:rFonts w:hint="eastAsia" w:ascii="宋体" w:hAnsi="宋体"/>
          <w:color w:val="auto"/>
          <w:szCs w:val="21"/>
          <w:u w:val="single"/>
        </w:rPr>
        <w:t xml:space="preserve">                          </w:t>
      </w:r>
      <w:r>
        <w:rPr>
          <w:rFonts w:hint="eastAsia" w:ascii="宋体" w:hAnsi="宋体"/>
          <w:color w:val="auto"/>
          <w:szCs w:val="21"/>
        </w:rPr>
        <w:t xml:space="preserve">  采 购 计 划 号</w:t>
      </w:r>
      <w:r>
        <w:rPr>
          <w:rFonts w:hint="eastAsia" w:ascii="宋体" w:hAnsi="宋体"/>
          <w:color w:val="auto"/>
          <w:szCs w:val="21"/>
          <w:u w:val="single"/>
        </w:rPr>
        <w:t xml:space="preserve">                 </w:t>
      </w:r>
    </w:p>
    <w:p>
      <w:pPr>
        <w:snapToGrid w:val="0"/>
        <w:spacing w:line="360" w:lineRule="exact"/>
        <w:jc w:val="left"/>
        <w:rPr>
          <w:rFonts w:ascii="宋体" w:hAnsi="宋体"/>
          <w:color w:val="auto"/>
          <w:szCs w:val="21"/>
          <w:u w:val="single"/>
        </w:rPr>
      </w:pPr>
      <w:r>
        <w:rPr>
          <w:rFonts w:hint="eastAsia" w:ascii="宋体" w:hAnsi="宋体"/>
          <w:color w:val="auto"/>
          <w:szCs w:val="21"/>
        </w:rPr>
        <w:t>供 应 商（乙方）</w:t>
      </w:r>
      <w:r>
        <w:rPr>
          <w:rFonts w:hint="eastAsia" w:ascii="宋体" w:hAnsi="宋体"/>
          <w:color w:val="auto"/>
          <w:szCs w:val="21"/>
          <w:u w:val="single"/>
        </w:rPr>
        <w:t xml:space="preserve">                          </w:t>
      </w:r>
      <w:r>
        <w:rPr>
          <w:rFonts w:hint="eastAsia" w:ascii="宋体" w:hAnsi="宋体"/>
          <w:color w:val="auto"/>
          <w:szCs w:val="21"/>
        </w:rPr>
        <w:t xml:space="preserve">  项目名称和编号 </w:t>
      </w:r>
      <w:r>
        <w:rPr>
          <w:rFonts w:hint="eastAsia" w:ascii="宋体" w:hAnsi="宋体"/>
          <w:color w:val="auto"/>
          <w:szCs w:val="21"/>
          <w:u w:val="single"/>
        </w:rPr>
        <w:t xml:space="preserve">             </w:t>
      </w:r>
    </w:p>
    <w:p>
      <w:pPr>
        <w:snapToGrid w:val="0"/>
        <w:spacing w:line="360" w:lineRule="exact"/>
        <w:rPr>
          <w:rFonts w:ascii="宋体" w:hAnsi="宋体"/>
          <w:color w:val="auto"/>
          <w:szCs w:val="21"/>
          <w:u w:val="single"/>
        </w:rPr>
      </w:pPr>
      <w:r>
        <w:rPr>
          <w:rFonts w:hint="eastAsia" w:ascii="宋体" w:hAnsi="宋体"/>
          <w:color w:val="auto"/>
          <w:szCs w:val="21"/>
        </w:rPr>
        <w:t xml:space="preserve">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snapToGrid w:val="0"/>
        <w:spacing w:line="360" w:lineRule="exact"/>
        <w:ind w:firstLine="420" w:firstLineChars="200"/>
        <w:rPr>
          <w:rFonts w:ascii="宋体" w:hAnsi="宋体"/>
          <w:color w:val="auto"/>
          <w:szCs w:val="21"/>
        </w:rPr>
      </w:pPr>
    </w:p>
    <w:p>
      <w:pPr>
        <w:snapToGrid w:val="0"/>
        <w:spacing w:line="36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根据《中华人民共和国政府采购法》、《中华人民共和国民法典》等法律、法规规定，按照采购文件规定条款和成交供应商承诺，甲乙双方签订本合同。</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第一条　合同标的</w:t>
      </w:r>
    </w:p>
    <w:p>
      <w:pPr>
        <w:snapToGrid w:val="0"/>
        <w:spacing w:line="360" w:lineRule="exact"/>
        <w:ind w:firstLine="420" w:firstLineChars="200"/>
        <w:rPr>
          <w:rFonts w:ascii="宋体" w:hAnsi="宋体"/>
          <w:color w:val="auto"/>
          <w:szCs w:val="21"/>
        </w:rPr>
      </w:pPr>
      <w:r>
        <w:rPr>
          <w:rFonts w:hint="eastAsia" w:ascii="宋体" w:hAnsi="宋体"/>
          <w:color w:val="auto"/>
          <w:szCs w:val="21"/>
        </w:rPr>
        <w:t>1.供货一览表</w:t>
      </w:r>
    </w:p>
    <w:tbl>
      <w:tblPr>
        <w:tblStyle w:val="20"/>
        <w:tblW w:w="85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15"/>
        <w:gridCol w:w="1381"/>
        <w:gridCol w:w="1211"/>
        <w:gridCol w:w="1007"/>
        <w:gridCol w:w="1200"/>
        <w:gridCol w:w="101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序号</w:t>
            </w:r>
          </w:p>
        </w:tc>
        <w:tc>
          <w:tcPr>
            <w:tcW w:w="1115" w:type="dxa"/>
            <w:vAlign w:val="center"/>
          </w:tcPr>
          <w:p>
            <w:pPr>
              <w:snapToGrid w:val="0"/>
              <w:spacing w:line="360" w:lineRule="exact"/>
              <w:jc w:val="center"/>
              <w:rPr>
                <w:rFonts w:ascii="宋体" w:hAnsi="宋体"/>
                <w:color w:val="auto"/>
                <w:szCs w:val="21"/>
              </w:rPr>
            </w:pPr>
            <w:r>
              <w:rPr>
                <w:rFonts w:hint="eastAsia" w:ascii="宋体" w:hAnsi="宋体"/>
                <w:color w:val="auto"/>
                <w:szCs w:val="21"/>
              </w:rPr>
              <w:t>产品名称</w:t>
            </w:r>
          </w:p>
        </w:tc>
        <w:tc>
          <w:tcPr>
            <w:tcW w:w="1381"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品种及规格</w:t>
            </w:r>
          </w:p>
        </w:tc>
        <w:tc>
          <w:tcPr>
            <w:tcW w:w="1211" w:type="dxa"/>
            <w:vAlign w:val="center"/>
          </w:tcPr>
          <w:p>
            <w:pPr>
              <w:snapToGrid w:val="0"/>
              <w:spacing w:line="360" w:lineRule="exact"/>
              <w:jc w:val="center"/>
              <w:rPr>
                <w:rFonts w:ascii="宋体" w:hAnsi="宋体"/>
                <w:color w:val="auto"/>
                <w:szCs w:val="21"/>
              </w:rPr>
            </w:pPr>
            <w:r>
              <w:rPr>
                <w:rFonts w:hint="eastAsia" w:ascii="宋体" w:hAnsi="宋体"/>
                <w:color w:val="auto"/>
                <w:szCs w:val="21"/>
              </w:rPr>
              <w:t>生产厂家</w:t>
            </w:r>
          </w:p>
        </w:tc>
        <w:tc>
          <w:tcPr>
            <w:tcW w:w="1007" w:type="dxa"/>
            <w:vAlign w:val="center"/>
          </w:tcPr>
          <w:p>
            <w:pPr>
              <w:snapToGrid w:val="0"/>
              <w:spacing w:line="360" w:lineRule="exact"/>
              <w:jc w:val="center"/>
              <w:rPr>
                <w:rFonts w:ascii="宋体" w:hAnsi="宋体"/>
                <w:color w:val="auto"/>
                <w:szCs w:val="21"/>
              </w:rPr>
            </w:pPr>
            <w:r>
              <w:rPr>
                <w:rFonts w:hint="eastAsia" w:ascii="宋体" w:hAnsi="宋体"/>
                <w:color w:val="auto"/>
                <w:szCs w:val="21"/>
              </w:rPr>
              <w:t>数  量</w:t>
            </w:r>
          </w:p>
        </w:tc>
        <w:tc>
          <w:tcPr>
            <w:tcW w:w="1200"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单 位</w:t>
            </w:r>
          </w:p>
        </w:tc>
        <w:tc>
          <w:tcPr>
            <w:tcW w:w="1014"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单  价</w:t>
            </w:r>
          </w:p>
          <w:p>
            <w:pPr>
              <w:snapToGrid w:val="0"/>
              <w:spacing w:line="360" w:lineRule="exact"/>
              <w:jc w:val="center"/>
              <w:rPr>
                <w:rFonts w:ascii="宋体" w:hAnsi="宋体"/>
                <w:color w:val="auto"/>
                <w:szCs w:val="21"/>
              </w:rPr>
            </w:pPr>
            <w:r>
              <w:rPr>
                <w:rFonts w:hint="eastAsia" w:ascii="宋体" w:hAnsi="宋体"/>
                <w:color w:val="auto"/>
                <w:szCs w:val="21"/>
              </w:rPr>
              <w:t>（元）</w:t>
            </w:r>
          </w:p>
        </w:tc>
        <w:tc>
          <w:tcPr>
            <w:tcW w:w="1080" w:type="dxa"/>
            <w:vAlign w:val="center"/>
          </w:tcPr>
          <w:p>
            <w:pPr>
              <w:snapToGrid w:val="0"/>
              <w:spacing w:line="360" w:lineRule="exact"/>
              <w:jc w:val="center"/>
              <w:rPr>
                <w:rFonts w:ascii="宋体" w:hAnsi="宋体"/>
                <w:color w:val="auto"/>
                <w:szCs w:val="21"/>
              </w:rPr>
            </w:pPr>
            <w:r>
              <w:rPr>
                <w:rFonts w:hint="eastAsia" w:ascii="宋体" w:hAnsi="宋体"/>
                <w:color w:val="auto"/>
                <w:szCs w:val="21"/>
              </w:rPr>
              <w:t>金  额</w:t>
            </w:r>
          </w:p>
          <w:p>
            <w:pPr>
              <w:snapToGrid w:val="0"/>
              <w:spacing w:line="360" w:lineRule="exact"/>
              <w:jc w:val="center"/>
              <w:rPr>
                <w:rFonts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1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1</w:t>
            </w:r>
          </w:p>
        </w:tc>
        <w:tc>
          <w:tcPr>
            <w:tcW w:w="1115" w:type="dxa"/>
            <w:vAlign w:val="center"/>
          </w:tcPr>
          <w:p>
            <w:pPr>
              <w:snapToGrid w:val="0"/>
              <w:spacing w:line="360" w:lineRule="exact"/>
              <w:jc w:val="center"/>
              <w:rPr>
                <w:rFonts w:ascii="宋体" w:hAnsi="宋体"/>
                <w:color w:val="auto"/>
                <w:szCs w:val="21"/>
              </w:rPr>
            </w:pPr>
          </w:p>
        </w:tc>
        <w:tc>
          <w:tcPr>
            <w:tcW w:w="1381" w:type="dxa"/>
            <w:vAlign w:val="center"/>
          </w:tcPr>
          <w:p>
            <w:pPr>
              <w:snapToGrid w:val="0"/>
              <w:spacing w:line="360" w:lineRule="exact"/>
              <w:jc w:val="center"/>
              <w:rPr>
                <w:rFonts w:ascii="宋体" w:hAnsi="宋体"/>
                <w:color w:val="auto"/>
                <w:szCs w:val="21"/>
              </w:rPr>
            </w:pPr>
          </w:p>
        </w:tc>
        <w:tc>
          <w:tcPr>
            <w:tcW w:w="1211" w:type="dxa"/>
          </w:tcPr>
          <w:p>
            <w:pPr>
              <w:snapToGrid w:val="0"/>
              <w:spacing w:line="360" w:lineRule="exact"/>
              <w:jc w:val="center"/>
              <w:rPr>
                <w:rFonts w:ascii="宋体" w:hAnsi="宋体"/>
                <w:color w:val="auto"/>
                <w:szCs w:val="21"/>
              </w:rPr>
            </w:pPr>
          </w:p>
        </w:tc>
        <w:tc>
          <w:tcPr>
            <w:tcW w:w="1007" w:type="dxa"/>
          </w:tcPr>
          <w:p>
            <w:pPr>
              <w:snapToGrid w:val="0"/>
              <w:spacing w:line="360" w:lineRule="exact"/>
              <w:jc w:val="center"/>
              <w:rPr>
                <w:rFonts w:ascii="宋体" w:hAnsi="宋体"/>
                <w:color w:val="auto"/>
                <w:szCs w:val="21"/>
              </w:rPr>
            </w:pPr>
          </w:p>
        </w:tc>
        <w:tc>
          <w:tcPr>
            <w:tcW w:w="1200" w:type="dxa"/>
          </w:tcPr>
          <w:p>
            <w:pPr>
              <w:snapToGrid w:val="0"/>
              <w:spacing w:line="360" w:lineRule="exact"/>
              <w:jc w:val="center"/>
              <w:rPr>
                <w:rFonts w:ascii="宋体" w:hAnsi="宋体"/>
                <w:color w:val="auto"/>
                <w:szCs w:val="21"/>
              </w:rPr>
            </w:pPr>
          </w:p>
        </w:tc>
        <w:tc>
          <w:tcPr>
            <w:tcW w:w="1014" w:type="dxa"/>
            <w:vAlign w:val="center"/>
          </w:tcPr>
          <w:p>
            <w:pPr>
              <w:snapToGrid w:val="0"/>
              <w:spacing w:line="360" w:lineRule="exact"/>
              <w:jc w:val="center"/>
              <w:rPr>
                <w:rFonts w:ascii="宋体" w:hAnsi="宋体"/>
                <w:color w:val="auto"/>
                <w:szCs w:val="21"/>
              </w:rPr>
            </w:pPr>
          </w:p>
        </w:tc>
        <w:tc>
          <w:tcPr>
            <w:tcW w:w="1080"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1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2</w:t>
            </w:r>
          </w:p>
        </w:tc>
        <w:tc>
          <w:tcPr>
            <w:tcW w:w="1115" w:type="dxa"/>
            <w:vAlign w:val="center"/>
          </w:tcPr>
          <w:p>
            <w:pPr>
              <w:snapToGrid w:val="0"/>
              <w:spacing w:line="360" w:lineRule="exact"/>
              <w:jc w:val="center"/>
              <w:rPr>
                <w:rFonts w:ascii="宋体" w:hAnsi="宋体"/>
                <w:color w:val="auto"/>
                <w:szCs w:val="21"/>
              </w:rPr>
            </w:pPr>
          </w:p>
        </w:tc>
        <w:tc>
          <w:tcPr>
            <w:tcW w:w="1381" w:type="dxa"/>
            <w:vAlign w:val="center"/>
          </w:tcPr>
          <w:p>
            <w:pPr>
              <w:snapToGrid w:val="0"/>
              <w:spacing w:line="360" w:lineRule="exact"/>
              <w:jc w:val="center"/>
              <w:rPr>
                <w:rFonts w:ascii="宋体" w:hAnsi="宋体"/>
                <w:color w:val="auto"/>
                <w:szCs w:val="21"/>
              </w:rPr>
            </w:pPr>
          </w:p>
        </w:tc>
        <w:tc>
          <w:tcPr>
            <w:tcW w:w="1211" w:type="dxa"/>
          </w:tcPr>
          <w:p>
            <w:pPr>
              <w:snapToGrid w:val="0"/>
              <w:spacing w:line="360" w:lineRule="exact"/>
              <w:jc w:val="center"/>
              <w:rPr>
                <w:rFonts w:ascii="宋体" w:hAnsi="宋体"/>
                <w:color w:val="auto"/>
                <w:szCs w:val="21"/>
              </w:rPr>
            </w:pPr>
          </w:p>
        </w:tc>
        <w:tc>
          <w:tcPr>
            <w:tcW w:w="1007" w:type="dxa"/>
          </w:tcPr>
          <w:p>
            <w:pPr>
              <w:snapToGrid w:val="0"/>
              <w:spacing w:line="360" w:lineRule="exact"/>
              <w:jc w:val="center"/>
              <w:rPr>
                <w:rFonts w:ascii="宋体" w:hAnsi="宋体"/>
                <w:color w:val="auto"/>
                <w:szCs w:val="21"/>
              </w:rPr>
            </w:pPr>
          </w:p>
        </w:tc>
        <w:tc>
          <w:tcPr>
            <w:tcW w:w="1200" w:type="dxa"/>
          </w:tcPr>
          <w:p>
            <w:pPr>
              <w:snapToGrid w:val="0"/>
              <w:spacing w:line="360" w:lineRule="exact"/>
              <w:jc w:val="center"/>
              <w:rPr>
                <w:rFonts w:ascii="宋体" w:hAnsi="宋体"/>
                <w:color w:val="auto"/>
                <w:szCs w:val="21"/>
              </w:rPr>
            </w:pPr>
          </w:p>
        </w:tc>
        <w:tc>
          <w:tcPr>
            <w:tcW w:w="1014" w:type="dxa"/>
            <w:vAlign w:val="center"/>
          </w:tcPr>
          <w:p>
            <w:pPr>
              <w:snapToGrid w:val="0"/>
              <w:spacing w:line="360" w:lineRule="exact"/>
              <w:jc w:val="center"/>
              <w:rPr>
                <w:rFonts w:ascii="宋体" w:hAnsi="宋体"/>
                <w:color w:val="auto"/>
                <w:szCs w:val="21"/>
              </w:rPr>
            </w:pPr>
          </w:p>
        </w:tc>
        <w:tc>
          <w:tcPr>
            <w:tcW w:w="1080"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1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3</w:t>
            </w:r>
          </w:p>
        </w:tc>
        <w:tc>
          <w:tcPr>
            <w:tcW w:w="1115" w:type="dxa"/>
            <w:vAlign w:val="center"/>
          </w:tcPr>
          <w:p>
            <w:pPr>
              <w:snapToGrid w:val="0"/>
              <w:spacing w:line="360" w:lineRule="exact"/>
              <w:jc w:val="center"/>
              <w:rPr>
                <w:rFonts w:ascii="宋体" w:hAnsi="宋体"/>
                <w:color w:val="auto"/>
                <w:szCs w:val="21"/>
              </w:rPr>
            </w:pPr>
          </w:p>
        </w:tc>
        <w:tc>
          <w:tcPr>
            <w:tcW w:w="1381" w:type="dxa"/>
            <w:vAlign w:val="center"/>
          </w:tcPr>
          <w:p>
            <w:pPr>
              <w:snapToGrid w:val="0"/>
              <w:spacing w:line="360" w:lineRule="exact"/>
              <w:jc w:val="center"/>
              <w:rPr>
                <w:rFonts w:ascii="宋体" w:hAnsi="宋体"/>
                <w:color w:val="auto"/>
                <w:szCs w:val="21"/>
              </w:rPr>
            </w:pPr>
          </w:p>
        </w:tc>
        <w:tc>
          <w:tcPr>
            <w:tcW w:w="1211" w:type="dxa"/>
          </w:tcPr>
          <w:p>
            <w:pPr>
              <w:snapToGrid w:val="0"/>
              <w:spacing w:line="360" w:lineRule="exact"/>
              <w:jc w:val="center"/>
              <w:rPr>
                <w:rFonts w:ascii="宋体" w:hAnsi="宋体"/>
                <w:color w:val="auto"/>
                <w:szCs w:val="21"/>
              </w:rPr>
            </w:pPr>
          </w:p>
        </w:tc>
        <w:tc>
          <w:tcPr>
            <w:tcW w:w="1007" w:type="dxa"/>
          </w:tcPr>
          <w:p>
            <w:pPr>
              <w:snapToGrid w:val="0"/>
              <w:spacing w:line="360" w:lineRule="exact"/>
              <w:jc w:val="center"/>
              <w:rPr>
                <w:rFonts w:ascii="宋体" w:hAnsi="宋体"/>
                <w:color w:val="auto"/>
                <w:szCs w:val="21"/>
              </w:rPr>
            </w:pPr>
          </w:p>
        </w:tc>
        <w:tc>
          <w:tcPr>
            <w:tcW w:w="1200" w:type="dxa"/>
          </w:tcPr>
          <w:p>
            <w:pPr>
              <w:snapToGrid w:val="0"/>
              <w:spacing w:line="360" w:lineRule="exact"/>
              <w:jc w:val="center"/>
              <w:rPr>
                <w:rFonts w:ascii="宋体" w:hAnsi="宋体"/>
                <w:color w:val="auto"/>
                <w:szCs w:val="21"/>
              </w:rPr>
            </w:pPr>
          </w:p>
        </w:tc>
        <w:tc>
          <w:tcPr>
            <w:tcW w:w="1014" w:type="dxa"/>
            <w:vAlign w:val="center"/>
          </w:tcPr>
          <w:p>
            <w:pPr>
              <w:snapToGrid w:val="0"/>
              <w:spacing w:line="360" w:lineRule="exact"/>
              <w:jc w:val="center"/>
              <w:rPr>
                <w:rFonts w:ascii="宋体" w:hAnsi="宋体"/>
                <w:color w:val="auto"/>
                <w:szCs w:val="21"/>
              </w:rPr>
            </w:pPr>
          </w:p>
        </w:tc>
        <w:tc>
          <w:tcPr>
            <w:tcW w:w="1080" w:type="dxa"/>
            <w:vAlign w:val="center"/>
          </w:tcPr>
          <w:p>
            <w:pPr>
              <w:snapToGrid w:val="0"/>
              <w:spacing w:line="360" w:lineRule="exact"/>
              <w:jc w:val="center"/>
              <w:rPr>
                <w:rFonts w:ascii="宋体" w:hAnsi="宋体"/>
                <w:color w:val="auto"/>
                <w:szCs w:val="21"/>
              </w:rPr>
            </w:pPr>
          </w:p>
        </w:tc>
      </w:tr>
    </w:tbl>
    <w:p>
      <w:pPr>
        <w:snapToGrid w:val="0"/>
        <w:spacing w:line="360" w:lineRule="exact"/>
        <w:ind w:right="71" w:firstLine="420" w:firstLineChars="200"/>
        <w:rPr>
          <w:rFonts w:ascii="宋体" w:hAnsi="宋体"/>
          <w:color w:val="auto"/>
          <w:szCs w:val="21"/>
        </w:rPr>
      </w:pPr>
      <w:r>
        <w:rPr>
          <w:rFonts w:hint="eastAsia" w:ascii="宋体" w:hAnsi="宋体"/>
          <w:color w:val="auto"/>
          <w:szCs w:val="21"/>
        </w:rPr>
        <w:t>2.合同合计金额包括</w:t>
      </w:r>
      <w:r>
        <w:rPr>
          <w:color w:val="auto"/>
        </w:rPr>
        <w:t>包括苗种生产、采购、运输、检疫、药残检测、税费、标志鱼、放流及其他费用等</w:t>
      </w:r>
      <w:r>
        <w:rPr>
          <w:rFonts w:hint="eastAsia" w:ascii="宋体" w:hAnsi="宋体"/>
          <w:color w:val="auto"/>
          <w:szCs w:val="21"/>
        </w:rPr>
        <w:t>。如竞争性谈判采购文件对其另有规定的，从其规定。</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第二条　质量保证</w:t>
      </w:r>
    </w:p>
    <w:p>
      <w:pPr>
        <w:snapToGrid w:val="0"/>
        <w:spacing w:line="360" w:lineRule="exact"/>
        <w:ind w:firstLine="420" w:firstLineChars="200"/>
        <w:rPr>
          <w:rFonts w:ascii="宋体" w:hAnsi="宋体"/>
          <w:color w:val="auto"/>
          <w:szCs w:val="21"/>
        </w:rPr>
      </w:pPr>
      <w:r>
        <w:rPr>
          <w:rFonts w:hint="eastAsia" w:ascii="宋体" w:hAnsi="宋体"/>
          <w:color w:val="auto"/>
          <w:szCs w:val="21"/>
        </w:rPr>
        <w:t>乙方所提供的苗种规格、质量等必须与竞争性谈判采购文件、竞争性谈判响应文件和承诺相一致。</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第三条　包装和运输</w:t>
      </w:r>
    </w:p>
    <w:p>
      <w:pPr>
        <w:snapToGrid w:val="0"/>
        <w:spacing w:line="360" w:lineRule="exact"/>
        <w:ind w:firstLine="420" w:firstLineChars="200"/>
        <w:rPr>
          <w:rFonts w:ascii="宋体" w:hAnsi="宋体"/>
          <w:color w:val="auto"/>
          <w:szCs w:val="21"/>
        </w:rPr>
      </w:pPr>
      <w:r>
        <w:rPr>
          <w:rFonts w:hint="eastAsia" w:ascii="宋体" w:hAnsi="宋体"/>
          <w:color w:val="auto"/>
          <w:szCs w:val="21"/>
        </w:rPr>
        <w:t>1.乙方提供的货物均应按竞争性谈判采购文件要求的包装材料、包装标准、包装方式进行包装，每一包装单元内应附详细的装箱单和质量合格证。</w:t>
      </w:r>
    </w:p>
    <w:p>
      <w:pPr>
        <w:snapToGrid w:val="0"/>
        <w:spacing w:line="360" w:lineRule="exact"/>
        <w:ind w:firstLine="420" w:firstLineChars="200"/>
        <w:rPr>
          <w:rFonts w:ascii="宋体" w:hAnsi="宋体"/>
          <w:color w:val="auto"/>
          <w:szCs w:val="21"/>
        </w:rPr>
      </w:pPr>
      <w:r>
        <w:rPr>
          <w:rFonts w:hint="eastAsia" w:ascii="宋体" w:hAnsi="宋体"/>
          <w:color w:val="auto"/>
          <w:szCs w:val="21"/>
        </w:rPr>
        <w:t>2.货物的运输方式：</w:t>
      </w:r>
      <w:r>
        <w:rPr>
          <w:rFonts w:hint="eastAsia" w:ascii="宋体" w:hAnsi="宋体"/>
          <w:color w:val="auto"/>
          <w:szCs w:val="21"/>
          <w:u w:val="single"/>
        </w:rPr>
        <w:t>物流由乙方负责 ，相应产生的费用也由乙方负责</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3.乙方负责货物运输，货物运输合理损耗及计算方法：</w:t>
      </w:r>
      <w:r>
        <w:rPr>
          <w:rFonts w:hint="eastAsia" w:ascii="宋体" w:hAnsi="宋体"/>
          <w:color w:val="auto"/>
          <w:szCs w:val="21"/>
          <w:u w:val="single"/>
        </w:rPr>
        <w:t xml:space="preserve"> 货物运输合理损耗由乙方负责 </w:t>
      </w:r>
      <w:r>
        <w:rPr>
          <w:rFonts w:hint="eastAsia" w:ascii="宋体" w:hAnsi="宋体"/>
          <w:color w:val="auto"/>
          <w:szCs w:val="21"/>
        </w:rPr>
        <w:t>。</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第四条　交付和验收</w:t>
      </w:r>
    </w:p>
    <w:p>
      <w:pPr>
        <w:snapToGrid w:val="0"/>
        <w:spacing w:line="360" w:lineRule="exact"/>
        <w:ind w:firstLine="420" w:firstLineChars="200"/>
        <w:rPr>
          <w:rFonts w:ascii="宋体" w:hAnsi="宋体"/>
          <w:color w:val="auto"/>
          <w:szCs w:val="21"/>
        </w:rPr>
      </w:pPr>
      <w:r>
        <w:rPr>
          <w:rFonts w:hint="eastAsia" w:ascii="宋体" w:hAnsi="宋体"/>
          <w:color w:val="auto"/>
          <w:szCs w:val="21"/>
        </w:rPr>
        <w:t>1.交货时间：</w:t>
      </w:r>
      <w:r>
        <w:rPr>
          <w:rFonts w:hint="eastAsia" w:ascii="宋体" w:hAnsi="宋体"/>
          <w:color w:val="auto"/>
          <w:szCs w:val="21"/>
          <w:u w:val="single"/>
        </w:rPr>
        <w:t xml:space="preserve"> 签订合同之日起在2022年6月30日前完成苗种的交货及验收 </w:t>
      </w:r>
      <w:r>
        <w:rPr>
          <w:rFonts w:hint="eastAsia" w:ascii="宋体" w:hAnsi="宋体"/>
          <w:color w:val="auto"/>
          <w:szCs w:val="21"/>
        </w:rPr>
        <w:t>、交货地点：</w:t>
      </w:r>
      <w:r>
        <w:rPr>
          <w:rFonts w:hint="eastAsia" w:ascii="宋体" w:hAnsi="宋体"/>
          <w:color w:val="auto"/>
          <w:szCs w:val="21"/>
          <w:u w:val="single"/>
        </w:rPr>
        <w:t xml:space="preserve"> 广西防城港市内，甲方指定地点</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2.乙方提供不符合竞争性谈判采购文件、</w:t>
      </w:r>
      <w:r>
        <w:rPr>
          <w:rFonts w:hint="eastAsia" w:hAnsi="宋体"/>
          <w:bCs/>
          <w:color w:val="auto"/>
          <w:szCs w:val="21"/>
        </w:rPr>
        <w:t>竞争性谈判响应文件</w:t>
      </w:r>
      <w:r>
        <w:rPr>
          <w:rFonts w:hint="eastAsia" w:ascii="宋体" w:hAnsi="宋体"/>
          <w:color w:val="auto"/>
          <w:szCs w:val="21"/>
        </w:rPr>
        <w:t>和本合同规定的货物，甲方有权拒绝接受。</w:t>
      </w:r>
    </w:p>
    <w:p>
      <w:pPr>
        <w:snapToGrid w:val="0"/>
        <w:spacing w:line="360" w:lineRule="exact"/>
        <w:ind w:firstLine="420" w:firstLineChars="200"/>
        <w:rPr>
          <w:rFonts w:ascii="宋体" w:hAnsi="宋体"/>
          <w:color w:val="auto"/>
          <w:szCs w:val="21"/>
        </w:rPr>
      </w:pPr>
      <w:r>
        <w:rPr>
          <w:rFonts w:hint="eastAsia" w:ascii="宋体" w:hAnsi="宋体"/>
          <w:color w:val="auto"/>
          <w:szCs w:val="21"/>
        </w:rPr>
        <w:t>4.甲方应当在到货后七个工作日内进行验收，逾期不验收的，乙方可视同验收合格。验收合格后由甲乙双方签署货物验收单并加盖采购单位公章，甲乙双方各执一份。</w:t>
      </w:r>
    </w:p>
    <w:p>
      <w:pPr>
        <w:snapToGrid w:val="0"/>
        <w:spacing w:line="360" w:lineRule="exact"/>
        <w:ind w:firstLine="420" w:firstLineChars="200"/>
        <w:rPr>
          <w:rFonts w:ascii="宋体" w:hAnsi="宋体"/>
          <w:color w:val="auto"/>
          <w:szCs w:val="21"/>
        </w:rPr>
      </w:pPr>
      <w:r>
        <w:rPr>
          <w:rFonts w:hint="eastAsia" w:ascii="宋体" w:hAnsi="宋体"/>
          <w:color w:val="auto"/>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hAnsi="宋体"/>
          <w:color w:val="auto"/>
          <w:szCs w:val="21"/>
        </w:rPr>
      </w:pPr>
      <w:r>
        <w:rPr>
          <w:rFonts w:hint="eastAsia" w:ascii="宋体" w:hAnsi="宋体"/>
          <w:color w:val="auto"/>
          <w:szCs w:val="21"/>
        </w:rPr>
        <w:t>6.甲方对验收有异议的，在验收后五个工作日内以书面形式向乙方提出，乙方应自收到甲方书面异议后</w:t>
      </w:r>
      <w:r>
        <w:rPr>
          <w:rFonts w:hint="eastAsia" w:ascii="宋体" w:hAnsi="宋体"/>
          <w:color w:val="auto"/>
          <w:szCs w:val="21"/>
          <w:u w:val="single"/>
        </w:rPr>
        <w:t xml:space="preserve">    </w:t>
      </w:r>
      <w:r>
        <w:rPr>
          <w:rFonts w:hint="eastAsia" w:ascii="宋体" w:hAnsi="宋体"/>
          <w:color w:val="auto"/>
          <w:szCs w:val="21"/>
        </w:rPr>
        <w:t>日内及时予以解决。</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第五条　付款方式</w:t>
      </w:r>
    </w:p>
    <w:p>
      <w:pPr>
        <w:pStyle w:val="12"/>
        <w:snapToGrid w:val="0"/>
        <w:spacing w:line="360" w:lineRule="exact"/>
        <w:ind w:firstLine="420" w:firstLineChars="200"/>
        <w:rPr>
          <w:rFonts w:hint="default" w:hAnsi="宋体"/>
          <w:color w:val="auto"/>
          <w:sz w:val="21"/>
          <w:lang w:val="en-US" w:eastAsia="zh-CN"/>
        </w:rPr>
      </w:pPr>
      <w:r>
        <w:rPr>
          <w:rFonts w:hint="eastAsia" w:hAnsi="宋体"/>
          <w:color w:val="auto"/>
          <w:sz w:val="21"/>
          <w:lang w:val="en-US" w:eastAsia="zh-CN"/>
        </w:rPr>
        <w:t>1.当采购数量与实际使用数量不一致时，乙方应根据实际使用量供货，但不能超出合同规定的采购数量。合同的最终结算金额按实际使用量乘以成交单价进行计算。</w:t>
      </w:r>
    </w:p>
    <w:p>
      <w:pPr>
        <w:pStyle w:val="12"/>
        <w:snapToGrid w:val="0"/>
        <w:spacing w:line="360" w:lineRule="exact"/>
        <w:ind w:firstLine="420" w:firstLineChars="200"/>
        <w:rPr>
          <w:rFonts w:hAnsi="宋体"/>
          <w:color w:val="auto"/>
          <w:sz w:val="21"/>
          <w:u w:val="none"/>
        </w:rPr>
      </w:pPr>
      <w:r>
        <w:rPr>
          <w:rFonts w:hint="eastAsia" w:hAnsi="宋体"/>
          <w:color w:val="auto"/>
          <w:sz w:val="21"/>
          <w:u w:val="none"/>
        </w:rPr>
        <w:t>2.资金性质：一般公共预算。</w:t>
      </w:r>
    </w:p>
    <w:p>
      <w:pPr>
        <w:pStyle w:val="12"/>
        <w:snapToGrid w:val="0"/>
        <w:spacing w:line="360" w:lineRule="exact"/>
        <w:ind w:firstLine="420" w:firstLineChars="200"/>
        <w:rPr>
          <w:rFonts w:hAnsi="宋体"/>
          <w:color w:val="auto"/>
          <w:sz w:val="21"/>
        </w:rPr>
      </w:pPr>
      <w:r>
        <w:rPr>
          <w:rFonts w:hint="eastAsia" w:hAnsi="宋体"/>
          <w:color w:val="auto"/>
          <w:sz w:val="21"/>
        </w:rPr>
        <w:t>3.付款方式：无预付款，货款在苗种验收合格并免费送货到指定地点放流后，经采购人核实确认无误和收到成交供应商提供的发票之后，30个工作日内一次性付清合同款，当采购数量与实际使用数量不一致时，按本条第1点约定的最终结算金额一次性支清，不付利息。</w:t>
      </w:r>
    </w:p>
    <w:p>
      <w:pPr>
        <w:snapToGrid w:val="0"/>
        <w:spacing w:line="360" w:lineRule="exact"/>
        <w:ind w:left="-61" w:leftChars="-29" w:firstLine="517" w:firstLineChars="245"/>
        <w:rPr>
          <w:rFonts w:ascii="宋体" w:hAnsi="宋体"/>
          <w:b/>
          <w:color w:val="auto"/>
          <w:szCs w:val="21"/>
        </w:rPr>
      </w:pPr>
      <w:r>
        <w:rPr>
          <w:rFonts w:hint="eastAsia" w:ascii="宋体" w:hAnsi="宋体"/>
          <w:b/>
          <w:color w:val="auto"/>
          <w:szCs w:val="21"/>
        </w:rPr>
        <w:t>第六条 税费</w:t>
      </w:r>
    </w:p>
    <w:p>
      <w:pPr>
        <w:snapToGrid w:val="0"/>
        <w:spacing w:line="360" w:lineRule="exact"/>
        <w:ind w:firstLine="420" w:firstLineChars="200"/>
        <w:rPr>
          <w:rFonts w:ascii="宋体" w:hAnsi="宋体"/>
          <w:color w:val="auto"/>
          <w:szCs w:val="21"/>
        </w:rPr>
      </w:pPr>
      <w:r>
        <w:rPr>
          <w:rFonts w:hint="eastAsia" w:ascii="宋体" w:hAnsi="宋体"/>
          <w:color w:val="auto"/>
          <w:szCs w:val="21"/>
        </w:rPr>
        <w:t>本合同执行中相关的一切税费均由乙方负担。</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第七条 质量保证及售后服务</w:t>
      </w:r>
    </w:p>
    <w:p>
      <w:pPr>
        <w:snapToGrid w:val="0"/>
        <w:spacing w:line="360" w:lineRule="exact"/>
        <w:ind w:firstLine="420" w:firstLineChars="200"/>
        <w:rPr>
          <w:color w:val="auto"/>
        </w:rPr>
      </w:pPr>
      <w:r>
        <w:rPr>
          <w:rFonts w:hint="eastAsia"/>
          <w:color w:val="auto"/>
          <w:lang w:val="en-US" w:eastAsia="zh-CN"/>
        </w:rPr>
        <w:t>1.</w:t>
      </w:r>
      <w:r>
        <w:rPr>
          <w:rFonts w:hint="eastAsia"/>
          <w:color w:val="auto"/>
        </w:rPr>
        <w:t>用于放流的亲本、苗种应当是本地种，禁止放流外来种、杂交种、转基因种以及其他不符合生态要求的水生生物物种，且所有放流苗种必须是本单位培育，不得外购转售。</w:t>
      </w:r>
    </w:p>
    <w:p>
      <w:pPr>
        <w:snapToGrid w:val="0"/>
        <w:spacing w:line="360" w:lineRule="exact"/>
        <w:ind w:firstLine="420" w:firstLineChars="200"/>
        <w:rPr>
          <w:color w:val="auto"/>
        </w:rPr>
      </w:pPr>
      <w:r>
        <w:rPr>
          <w:rFonts w:hint="eastAsia"/>
          <w:color w:val="auto"/>
          <w:lang w:val="en-US" w:eastAsia="zh-CN"/>
        </w:rPr>
        <w:t>2.</w:t>
      </w:r>
      <w:r>
        <w:rPr>
          <w:rFonts w:hint="eastAsia"/>
          <w:color w:val="auto"/>
        </w:rPr>
        <w:t>供应商须严格按照国家、行业颁布的禁用药物不得检出，其它药物残留符合《无公害食品水产品中鱼药残留限量》（NY5070-2002）的要求。按照《农业部办公厅关于开展增殖放流经济水产苗种质量安全检验的通知》（农办渔[2009]52号）文件执行，苗种检测无硝基呋喃类代谢物、氯霉素、孔雀石绿等违禁药物残留。放流前，苗种必须经当地水产苗种管理部门检疫合格，规格符合放流要求，健康不带病害、病毒。</w:t>
      </w:r>
    </w:p>
    <w:p>
      <w:pPr>
        <w:snapToGrid w:val="0"/>
        <w:spacing w:line="36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供应商必须承诺在防城港市辖区内具备与本次采购货物相应的育苗设施用于育苗生产（供应商成交后，该设施用于所供货的苗种在放流前7天内的本地暂养及进行检验检疫工作。该设施购买或租用均可，签订合同前须向采购人提供购买或租赁的相关书面证明材料。竞标人须在响应文件中对此进行承诺）。</w:t>
      </w:r>
    </w:p>
    <w:p>
      <w:pPr>
        <w:pStyle w:val="12"/>
        <w:snapToGrid w:val="0"/>
        <w:spacing w:line="360" w:lineRule="exact"/>
        <w:ind w:firstLine="413" w:firstLineChars="196"/>
        <w:rPr>
          <w:rFonts w:hAnsi="宋体"/>
          <w:b/>
          <w:color w:val="auto"/>
          <w:sz w:val="21"/>
        </w:rPr>
      </w:pPr>
      <w:r>
        <w:rPr>
          <w:rFonts w:hint="eastAsia" w:hAnsi="宋体"/>
          <w:b/>
          <w:color w:val="auto"/>
          <w:sz w:val="21"/>
        </w:rPr>
        <w:t>第八条 货物包装、发运及运输</w:t>
      </w:r>
    </w:p>
    <w:p>
      <w:pPr>
        <w:pStyle w:val="12"/>
        <w:snapToGrid w:val="0"/>
        <w:spacing w:line="360" w:lineRule="exact"/>
        <w:ind w:firstLine="420" w:firstLineChars="200"/>
        <w:rPr>
          <w:rFonts w:hAnsi="宋体"/>
          <w:color w:val="auto"/>
          <w:sz w:val="21"/>
        </w:rPr>
      </w:pPr>
      <w:r>
        <w:rPr>
          <w:rFonts w:hint="eastAsia" w:hAnsi="宋体"/>
          <w:color w:val="auto"/>
          <w:sz w:val="21"/>
        </w:rPr>
        <w:t>1. 乙方应在货物发运前对其进行满足运输距离、防潮、防震、防锈和防破损装卸等要求包装，以保证货物安全运达甲方指定地点。</w:t>
      </w:r>
    </w:p>
    <w:p>
      <w:pPr>
        <w:pStyle w:val="12"/>
        <w:snapToGrid w:val="0"/>
        <w:spacing w:line="360" w:lineRule="exact"/>
        <w:ind w:firstLine="420" w:firstLineChars="200"/>
        <w:rPr>
          <w:rFonts w:hAnsi="宋体"/>
          <w:color w:val="auto"/>
          <w:sz w:val="21"/>
        </w:rPr>
      </w:pPr>
      <w:r>
        <w:rPr>
          <w:rFonts w:hint="eastAsia" w:hAnsi="宋体"/>
          <w:color w:val="auto"/>
          <w:sz w:val="21"/>
        </w:rPr>
        <w:t>2. 乙方在货物发运手续办理完毕后二十四小时内或货到甲方四十八小时前通知甲方，以准备接货。</w:t>
      </w:r>
    </w:p>
    <w:p>
      <w:pPr>
        <w:pStyle w:val="12"/>
        <w:snapToGrid w:val="0"/>
        <w:spacing w:line="360" w:lineRule="exact"/>
        <w:ind w:left="420" w:leftChars="200"/>
        <w:rPr>
          <w:rFonts w:hAnsi="宋体"/>
          <w:color w:val="auto"/>
          <w:sz w:val="21"/>
        </w:rPr>
      </w:pPr>
      <w:r>
        <w:rPr>
          <w:rFonts w:hint="eastAsia" w:hAnsi="宋体"/>
          <w:color w:val="auto"/>
          <w:sz w:val="21"/>
        </w:rPr>
        <w:t>3. 货物在交付甲方前发生的风险均由乙方负责。</w:t>
      </w:r>
    </w:p>
    <w:p>
      <w:pPr>
        <w:pStyle w:val="12"/>
        <w:spacing w:line="360" w:lineRule="exact"/>
        <w:ind w:firstLine="420" w:firstLineChars="200"/>
        <w:rPr>
          <w:color w:val="auto"/>
          <w:sz w:val="21"/>
        </w:rPr>
      </w:pPr>
      <w:r>
        <w:rPr>
          <w:rFonts w:hint="eastAsia"/>
          <w:color w:val="auto"/>
          <w:sz w:val="21"/>
        </w:rPr>
        <w:t>4. 货物在规定的交付期限内由乙方送达甲方指定的地点，且经双方验收合格并签字确认之时视为交付，乙方需及时通知甲方货物已送达。乙方负责落实运输车辆（船）和工作人员，将放流的苗种运送到指定地点（海区）放流，发生此部分运输费用由乙方承担。</w:t>
      </w:r>
    </w:p>
    <w:p>
      <w:pPr>
        <w:pStyle w:val="12"/>
        <w:spacing w:line="360" w:lineRule="exact"/>
        <w:ind w:firstLine="358" w:firstLineChars="170"/>
        <w:rPr>
          <w:b/>
          <w:color w:val="auto"/>
          <w:sz w:val="21"/>
        </w:rPr>
      </w:pPr>
      <w:r>
        <w:rPr>
          <w:rFonts w:hint="eastAsia"/>
          <w:b/>
          <w:color w:val="auto"/>
          <w:sz w:val="21"/>
        </w:rPr>
        <w:t>第九条 违约责任</w:t>
      </w:r>
    </w:p>
    <w:p>
      <w:pPr>
        <w:pStyle w:val="12"/>
        <w:spacing w:line="360" w:lineRule="exact"/>
        <w:ind w:firstLine="359" w:firstLineChars="171"/>
        <w:rPr>
          <w:color w:val="auto"/>
          <w:sz w:val="21"/>
        </w:rPr>
      </w:pPr>
      <w:r>
        <w:rPr>
          <w:rFonts w:hint="eastAsia"/>
          <w:color w:val="auto"/>
          <w:sz w:val="21"/>
        </w:rPr>
        <w:t>1.乙方所提供的货物规格、质量等不合格的，应及时更换，更换不及时的按逾期交货处罚；因质量问题甲方不同意接收的或特殊情况甲方同意接收的，乙方应向甲方支付违约货款额5%违约金并赔偿甲方经济损失。</w:t>
      </w:r>
    </w:p>
    <w:p>
      <w:pPr>
        <w:pStyle w:val="12"/>
        <w:spacing w:line="360" w:lineRule="exact"/>
        <w:ind w:firstLine="359" w:firstLineChars="171"/>
        <w:rPr>
          <w:color w:val="auto"/>
          <w:sz w:val="21"/>
        </w:rPr>
      </w:pPr>
      <w:r>
        <w:rPr>
          <w:rFonts w:hint="eastAsia"/>
          <w:color w:val="auto"/>
          <w:sz w:val="21"/>
        </w:rPr>
        <w:t>2.乙方提供的货物如侵犯了第三方合法权益而引发的任何纠纷或诉讼，均由乙方负责交涉并承担全部责任。</w:t>
      </w:r>
    </w:p>
    <w:p>
      <w:pPr>
        <w:pStyle w:val="12"/>
        <w:spacing w:line="360" w:lineRule="exact"/>
        <w:ind w:firstLine="359" w:firstLineChars="171"/>
        <w:rPr>
          <w:color w:val="auto"/>
          <w:sz w:val="21"/>
        </w:rPr>
      </w:pPr>
      <w:r>
        <w:rPr>
          <w:rFonts w:hint="eastAsia"/>
          <w:color w:val="auto"/>
          <w:sz w:val="21"/>
        </w:rPr>
        <w:t>3.因包装、运输引起的货物损坏、按质量不合格处理。</w:t>
      </w:r>
    </w:p>
    <w:p>
      <w:pPr>
        <w:pStyle w:val="12"/>
        <w:spacing w:line="360" w:lineRule="exact"/>
        <w:ind w:firstLine="359" w:firstLineChars="171"/>
        <w:rPr>
          <w:color w:val="auto"/>
          <w:sz w:val="21"/>
        </w:rPr>
      </w:pPr>
      <w:r>
        <w:rPr>
          <w:rFonts w:hint="eastAsia"/>
          <w:color w:val="auto"/>
          <w:sz w:val="21"/>
        </w:rPr>
        <w:t>4.甲方无故延期接收货物、乙方逾期交货的，每天向对方偿付违约货款额3‰违约金，但违约金累计不得超过违约货款额</w:t>
      </w:r>
      <w:r>
        <w:rPr>
          <w:rFonts w:hint="eastAsia"/>
          <w:color w:val="auto"/>
          <w:sz w:val="21"/>
          <w:u w:val="single"/>
        </w:rPr>
        <w:t>5%</w:t>
      </w:r>
      <w:r>
        <w:rPr>
          <w:rFonts w:hint="eastAsia"/>
          <w:color w:val="auto"/>
          <w:sz w:val="21"/>
        </w:rPr>
        <w:t xml:space="preserve"> ,超过</w:t>
      </w:r>
      <w:r>
        <w:rPr>
          <w:rFonts w:hint="eastAsia"/>
          <w:color w:val="auto"/>
          <w:sz w:val="21"/>
          <w:u w:val="single"/>
        </w:rPr>
        <w:t xml:space="preserve"> 7 </w:t>
      </w:r>
      <w:r>
        <w:rPr>
          <w:rFonts w:hint="eastAsia"/>
          <w:color w:val="auto"/>
          <w:sz w:val="21"/>
        </w:rPr>
        <w:t>天对方有权解除合同，违约方承担因此给对方造成的经济损失；甲方延期付货款的，每天向乙方偿付延期货款额3‰滞纳金，但滞纳金累计不得超过延期货款额</w:t>
      </w:r>
      <w:r>
        <w:rPr>
          <w:rFonts w:hint="eastAsia"/>
          <w:color w:val="auto"/>
          <w:sz w:val="21"/>
          <w:u w:val="single"/>
        </w:rPr>
        <w:t>5%</w:t>
      </w:r>
      <w:r>
        <w:rPr>
          <w:rFonts w:hint="eastAsia"/>
          <w:color w:val="auto"/>
          <w:sz w:val="21"/>
        </w:rPr>
        <w:t xml:space="preserve"> ，但因乙方原因导致甲方延期付款不视甲方违约。</w:t>
      </w:r>
    </w:p>
    <w:p>
      <w:pPr>
        <w:pStyle w:val="12"/>
        <w:spacing w:line="360" w:lineRule="exact"/>
        <w:ind w:firstLine="359" w:firstLineChars="171"/>
        <w:rPr>
          <w:color w:val="auto"/>
          <w:sz w:val="21"/>
        </w:rPr>
      </w:pPr>
      <w:r>
        <w:rPr>
          <w:rFonts w:hint="eastAsia"/>
          <w:color w:val="auto"/>
          <w:sz w:val="21"/>
        </w:rPr>
        <w:t>5.乙方未按本合同和竞争性谈判响应文件中规定的服务承诺提供售后服务的，乙方应按本合同合计金额</w:t>
      </w:r>
      <w:r>
        <w:rPr>
          <w:rFonts w:hint="eastAsia"/>
          <w:color w:val="auto"/>
          <w:sz w:val="21"/>
          <w:u w:val="single"/>
        </w:rPr>
        <w:t>5%</w:t>
      </w:r>
      <w:r>
        <w:rPr>
          <w:rFonts w:hint="eastAsia"/>
          <w:color w:val="auto"/>
          <w:sz w:val="21"/>
        </w:rPr>
        <w:t xml:space="preserve"> 向甲方支付违约金。</w:t>
      </w:r>
    </w:p>
    <w:p>
      <w:pPr>
        <w:pStyle w:val="12"/>
        <w:spacing w:line="360" w:lineRule="exact"/>
        <w:ind w:firstLine="359" w:firstLineChars="171"/>
        <w:rPr>
          <w:color w:val="auto"/>
          <w:sz w:val="21"/>
        </w:rPr>
      </w:pPr>
      <w:r>
        <w:rPr>
          <w:rFonts w:hint="eastAsia"/>
          <w:color w:val="auto"/>
          <w:sz w:val="21"/>
        </w:rPr>
        <w:t>6.其他违约行为按违约货款额</w:t>
      </w:r>
      <w:r>
        <w:rPr>
          <w:rFonts w:hint="eastAsia"/>
          <w:color w:val="auto"/>
          <w:sz w:val="21"/>
          <w:u w:val="single"/>
        </w:rPr>
        <w:t xml:space="preserve">5% </w:t>
      </w:r>
      <w:r>
        <w:rPr>
          <w:rFonts w:hint="eastAsia"/>
          <w:color w:val="auto"/>
          <w:sz w:val="21"/>
        </w:rPr>
        <w:t>收取违约金并赔偿经济损失。</w:t>
      </w:r>
    </w:p>
    <w:p>
      <w:pPr>
        <w:pStyle w:val="12"/>
        <w:snapToGrid w:val="0"/>
        <w:spacing w:line="360" w:lineRule="exact"/>
        <w:ind w:firstLine="413" w:firstLineChars="196"/>
        <w:rPr>
          <w:rFonts w:hAnsi="宋体"/>
          <w:b/>
          <w:color w:val="auto"/>
          <w:sz w:val="21"/>
        </w:rPr>
      </w:pPr>
      <w:r>
        <w:rPr>
          <w:rFonts w:hint="eastAsia" w:hAnsi="宋体"/>
          <w:b/>
          <w:color w:val="auto"/>
          <w:sz w:val="21"/>
        </w:rPr>
        <w:t>第十条 不可抗力事件处理</w:t>
      </w:r>
    </w:p>
    <w:p>
      <w:pPr>
        <w:pStyle w:val="12"/>
        <w:snapToGrid w:val="0"/>
        <w:spacing w:line="360" w:lineRule="exact"/>
        <w:ind w:firstLine="420" w:firstLineChars="200"/>
        <w:rPr>
          <w:rFonts w:hAnsi="宋体"/>
          <w:color w:val="auto"/>
          <w:sz w:val="21"/>
        </w:rPr>
      </w:pPr>
      <w:r>
        <w:rPr>
          <w:rFonts w:hint="eastAsia" w:hAnsi="宋体"/>
          <w:color w:val="auto"/>
          <w:sz w:val="21"/>
        </w:rPr>
        <w:t>1. 在合同有效期内，任何一方因不可抗力事件导致不能履行合同，则合同履行期可延长，其延长期与不可抗力影响期相同。</w:t>
      </w:r>
    </w:p>
    <w:p>
      <w:pPr>
        <w:pStyle w:val="12"/>
        <w:snapToGrid w:val="0"/>
        <w:spacing w:line="360" w:lineRule="exact"/>
        <w:ind w:firstLine="420" w:firstLineChars="200"/>
        <w:rPr>
          <w:rFonts w:hAnsi="宋体"/>
          <w:color w:val="auto"/>
          <w:sz w:val="21"/>
        </w:rPr>
      </w:pPr>
      <w:r>
        <w:rPr>
          <w:rFonts w:hint="eastAsia" w:hAnsi="宋体"/>
          <w:color w:val="auto"/>
          <w:sz w:val="21"/>
        </w:rPr>
        <w:t>2. 不可抗力事件发生后，应立即通知对方，并寄送有关权威机构出具的证明。</w:t>
      </w:r>
    </w:p>
    <w:p>
      <w:pPr>
        <w:pStyle w:val="12"/>
        <w:snapToGrid w:val="0"/>
        <w:spacing w:line="360" w:lineRule="exact"/>
        <w:ind w:firstLine="420" w:firstLineChars="200"/>
        <w:rPr>
          <w:rFonts w:hAnsi="宋体"/>
          <w:color w:val="auto"/>
          <w:sz w:val="21"/>
        </w:rPr>
      </w:pPr>
      <w:r>
        <w:rPr>
          <w:rFonts w:hint="eastAsia" w:hAnsi="宋体"/>
          <w:color w:val="auto"/>
          <w:sz w:val="21"/>
        </w:rPr>
        <w:t>3. 不可抗力事件延续一百二十天以上，双方应通过友好协商，确定是否继续履行合同。</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第十一条  合同争议解决</w:t>
      </w:r>
    </w:p>
    <w:p>
      <w:pPr>
        <w:snapToGrid w:val="0"/>
        <w:spacing w:line="360" w:lineRule="exact"/>
        <w:ind w:firstLine="420" w:firstLineChars="200"/>
        <w:rPr>
          <w:rFonts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2.因履行本合同引起的或与本合同有关的争议，甲乙双方应首先通过友好协商解决，如果协商不能解决，可向甲方机构所在地的人民法院提起诉讼。</w:t>
      </w:r>
    </w:p>
    <w:p>
      <w:pPr>
        <w:snapToGrid w:val="0"/>
        <w:spacing w:line="360" w:lineRule="exact"/>
        <w:ind w:firstLine="420" w:firstLineChars="200"/>
        <w:rPr>
          <w:rFonts w:ascii="宋体" w:hAnsi="宋体"/>
          <w:color w:val="auto"/>
          <w:szCs w:val="21"/>
        </w:rPr>
      </w:pPr>
      <w:r>
        <w:rPr>
          <w:rFonts w:hint="eastAsia" w:ascii="宋体" w:hAnsi="宋体"/>
          <w:color w:val="auto"/>
          <w:szCs w:val="21"/>
        </w:rPr>
        <w:t>3.诉讼期间，本合同继续履行。</w:t>
      </w:r>
    </w:p>
    <w:p>
      <w:pPr>
        <w:pStyle w:val="12"/>
        <w:snapToGrid w:val="0"/>
        <w:spacing w:line="360" w:lineRule="exact"/>
        <w:ind w:firstLine="413" w:firstLineChars="196"/>
        <w:rPr>
          <w:rFonts w:hAnsi="宋体"/>
          <w:b/>
          <w:color w:val="auto"/>
          <w:sz w:val="21"/>
        </w:rPr>
      </w:pPr>
      <w:r>
        <w:rPr>
          <w:rFonts w:hint="eastAsia" w:hAnsi="宋体"/>
          <w:b/>
          <w:color w:val="auto"/>
          <w:sz w:val="21"/>
        </w:rPr>
        <w:t>第十二条 合同生效及其它</w:t>
      </w:r>
    </w:p>
    <w:p>
      <w:pPr>
        <w:pStyle w:val="12"/>
        <w:snapToGrid w:val="0"/>
        <w:spacing w:line="360" w:lineRule="exact"/>
        <w:ind w:firstLine="420" w:firstLineChars="200"/>
        <w:rPr>
          <w:rFonts w:hAnsi="宋体"/>
          <w:bCs/>
          <w:color w:val="auto"/>
          <w:sz w:val="21"/>
        </w:rPr>
      </w:pPr>
      <w:r>
        <w:rPr>
          <w:rFonts w:hint="eastAsia" w:hAnsi="宋体"/>
          <w:bCs/>
          <w:color w:val="auto"/>
          <w:sz w:val="21"/>
        </w:rPr>
        <w:t>1. 合同经双方法定代表人或委托代理人签字并加盖单位公章后生效。</w:t>
      </w:r>
    </w:p>
    <w:p>
      <w:pPr>
        <w:pStyle w:val="12"/>
        <w:snapToGrid w:val="0"/>
        <w:spacing w:line="360" w:lineRule="exact"/>
        <w:ind w:firstLine="420" w:firstLineChars="200"/>
        <w:rPr>
          <w:rFonts w:hAnsi="宋体"/>
          <w:bCs/>
          <w:color w:val="auto"/>
          <w:sz w:val="21"/>
        </w:rPr>
      </w:pPr>
      <w:r>
        <w:rPr>
          <w:rFonts w:hint="eastAsia" w:hAnsi="宋体"/>
          <w:bCs/>
          <w:color w:val="auto"/>
          <w:sz w:val="21"/>
        </w:rPr>
        <w:t>2.合同执行中涉及采购资金和采购内容修改或补充的，须经财政部门审批，并签书面补充协议报财政部门备案，方可作为主合同不可分割的一部分。</w:t>
      </w:r>
    </w:p>
    <w:p>
      <w:pPr>
        <w:pStyle w:val="12"/>
        <w:snapToGrid w:val="0"/>
        <w:spacing w:line="360" w:lineRule="exact"/>
        <w:ind w:left="420" w:leftChars="200"/>
        <w:rPr>
          <w:rFonts w:hAnsi="宋体"/>
          <w:bCs/>
          <w:color w:val="auto"/>
          <w:sz w:val="21"/>
        </w:rPr>
      </w:pPr>
      <w:r>
        <w:rPr>
          <w:rFonts w:hint="eastAsia" w:hAnsi="宋体"/>
          <w:bCs/>
          <w:color w:val="auto"/>
          <w:sz w:val="21"/>
        </w:rPr>
        <w:t>3.本合同未尽事宜，遵照《中华人民共和国民法典》有关条文执行。</w:t>
      </w:r>
    </w:p>
    <w:p>
      <w:pPr>
        <w:pStyle w:val="12"/>
        <w:snapToGrid w:val="0"/>
        <w:spacing w:line="360" w:lineRule="exact"/>
        <w:ind w:left="420" w:leftChars="200"/>
        <w:rPr>
          <w:rFonts w:hAnsi="宋体"/>
          <w:b/>
          <w:color w:val="auto"/>
          <w:sz w:val="21"/>
        </w:rPr>
      </w:pPr>
      <w:r>
        <w:rPr>
          <w:rFonts w:hint="eastAsia" w:hAnsi="宋体"/>
          <w:b/>
          <w:color w:val="auto"/>
          <w:sz w:val="21"/>
        </w:rPr>
        <w:t>第十三条 合同的变更、终止与转让</w:t>
      </w:r>
    </w:p>
    <w:p>
      <w:pPr>
        <w:pStyle w:val="12"/>
        <w:snapToGrid w:val="0"/>
        <w:spacing w:line="360" w:lineRule="exact"/>
        <w:ind w:firstLine="420" w:firstLineChars="200"/>
        <w:rPr>
          <w:rFonts w:hAnsi="宋体"/>
          <w:color w:val="auto"/>
          <w:sz w:val="21"/>
        </w:rPr>
      </w:pPr>
      <w:r>
        <w:rPr>
          <w:rFonts w:hint="eastAsia" w:hAnsi="宋体"/>
          <w:color w:val="auto"/>
          <w:sz w:val="21"/>
        </w:rPr>
        <w:t>1.除《中华人民共和国政府采购法》第五十条规定的情形外，本合同一经签订，甲乙双方不得擅自变更、中止或终止。</w:t>
      </w:r>
    </w:p>
    <w:p>
      <w:pPr>
        <w:pStyle w:val="12"/>
        <w:snapToGrid w:val="0"/>
        <w:spacing w:line="360" w:lineRule="exact"/>
        <w:ind w:firstLine="420"/>
        <w:rPr>
          <w:rFonts w:hAnsi="宋体"/>
          <w:color w:val="auto"/>
          <w:sz w:val="21"/>
        </w:rPr>
      </w:pPr>
      <w:r>
        <w:rPr>
          <w:rFonts w:hint="eastAsia" w:hAnsi="宋体"/>
          <w:color w:val="auto"/>
          <w:sz w:val="21"/>
        </w:rPr>
        <w:t>2.乙方不得擅自转让（无进口资格的供应商委托进口货物除外）其应履行的合同义务。</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第十四条　签订本合同依据</w:t>
      </w:r>
    </w:p>
    <w:p>
      <w:pPr>
        <w:snapToGrid w:val="0"/>
        <w:spacing w:line="360" w:lineRule="exact"/>
        <w:ind w:firstLine="420" w:firstLineChars="200"/>
        <w:rPr>
          <w:rFonts w:ascii="宋体" w:hAnsi="宋体"/>
          <w:color w:val="auto"/>
          <w:szCs w:val="21"/>
        </w:rPr>
      </w:pPr>
      <w:r>
        <w:rPr>
          <w:rFonts w:hint="eastAsia" w:ascii="宋体" w:hAnsi="宋体"/>
          <w:color w:val="auto"/>
          <w:szCs w:val="21"/>
        </w:rPr>
        <w:t>1.竞争性谈判采购文件；</w:t>
      </w:r>
    </w:p>
    <w:p>
      <w:pPr>
        <w:snapToGrid w:val="0"/>
        <w:spacing w:line="360" w:lineRule="exact"/>
        <w:ind w:firstLine="420" w:firstLineChars="200"/>
        <w:rPr>
          <w:rFonts w:ascii="宋体" w:hAnsi="宋体"/>
          <w:color w:val="auto"/>
          <w:szCs w:val="21"/>
        </w:rPr>
      </w:pPr>
      <w:r>
        <w:rPr>
          <w:rFonts w:hint="eastAsia" w:ascii="宋体" w:hAnsi="宋体"/>
          <w:color w:val="auto"/>
          <w:szCs w:val="21"/>
        </w:rPr>
        <w:t>2.乙方提供的响应文件；</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3.成交通知书。</w:t>
      </w:r>
    </w:p>
    <w:p>
      <w:pPr>
        <w:pStyle w:val="12"/>
        <w:snapToGrid w:val="0"/>
        <w:spacing w:line="360" w:lineRule="exact"/>
        <w:ind w:firstLine="402" w:firstLineChars="200"/>
        <w:rPr>
          <w:rFonts w:hAnsi="宋体"/>
          <w:color w:val="auto"/>
          <w:sz w:val="21"/>
        </w:rPr>
      </w:pPr>
      <w:r>
        <w:rPr>
          <w:rFonts w:hint="eastAsia" w:hAnsi="宋体"/>
          <w:b/>
          <w:color w:val="auto"/>
        </w:rPr>
        <w:t>第十五条　</w:t>
      </w:r>
      <w:r>
        <w:rPr>
          <w:rFonts w:hint="eastAsia" w:hAnsi="宋体"/>
          <w:color w:val="auto"/>
          <w:sz w:val="21"/>
        </w:rPr>
        <w:t>本合同一式伍份，具有同等法律效力，甲、乙双方两份，采购代理机构一份。本合同甲乙双方签字盖章后生效。</w:t>
      </w:r>
    </w:p>
    <w:tbl>
      <w:tblPr>
        <w:tblStyle w:val="20"/>
        <w:tblW w:w="8679"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4430" w:type="dxa"/>
            <w:vAlign w:val="center"/>
          </w:tcPr>
          <w:p>
            <w:pPr>
              <w:snapToGrid w:val="0"/>
              <w:rPr>
                <w:rFonts w:ascii="宋体" w:hAnsi="宋体"/>
                <w:color w:val="auto"/>
                <w:szCs w:val="21"/>
              </w:rPr>
            </w:pPr>
            <w:r>
              <w:rPr>
                <w:rFonts w:hint="eastAsia" w:ascii="宋体" w:hAnsi="宋体"/>
                <w:color w:val="auto"/>
                <w:szCs w:val="21"/>
              </w:rPr>
              <w:t xml:space="preserve">甲方（章）           </w:t>
            </w:r>
          </w:p>
          <w:p>
            <w:pPr>
              <w:snapToGrid w:val="0"/>
              <w:rPr>
                <w:rFonts w:ascii="宋体" w:hAnsi="宋体"/>
                <w:color w:val="auto"/>
                <w:szCs w:val="21"/>
              </w:rPr>
            </w:pPr>
          </w:p>
          <w:p>
            <w:pPr>
              <w:snapToGrid w:val="0"/>
              <w:ind w:firstLine="945" w:firstLineChars="450"/>
              <w:jc w:val="right"/>
              <w:rPr>
                <w:rFonts w:ascii="宋体" w:hAnsi="宋体"/>
                <w:color w:val="auto"/>
                <w:szCs w:val="21"/>
              </w:rPr>
            </w:pPr>
            <w:r>
              <w:rPr>
                <w:rFonts w:hint="eastAsia" w:ascii="宋体" w:hAnsi="宋体"/>
                <w:color w:val="auto"/>
                <w:szCs w:val="21"/>
              </w:rPr>
              <w:t>年   月   日</w:t>
            </w:r>
          </w:p>
        </w:tc>
        <w:tc>
          <w:tcPr>
            <w:tcW w:w="4249" w:type="dxa"/>
            <w:vAlign w:val="center"/>
          </w:tcPr>
          <w:p>
            <w:pPr>
              <w:snapToGrid w:val="0"/>
              <w:rPr>
                <w:rFonts w:ascii="宋体" w:hAnsi="宋体"/>
                <w:color w:val="auto"/>
                <w:szCs w:val="21"/>
              </w:rPr>
            </w:pPr>
            <w:r>
              <w:rPr>
                <w:rFonts w:hint="eastAsia" w:ascii="宋体" w:hAnsi="宋体"/>
                <w:color w:val="auto"/>
                <w:szCs w:val="21"/>
              </w:rPr>
              <w:t xml:space="preserve">乙方（章）              </w:t>
            </w:r>
          </w:p>
          <w:p>
            <w:pPr>
              <w:snapToGrid w:val="0"/>
              <w:rPr>
                <w:rFonts w:ascii="宋体" w:hAnsi="宋体"/>
                <w:color w:val="auto"/>
                <w:szCs w:val="21"/>
              </w:rPr>
            </w:pPr>
          </w:p>
          <w:p>
            <w:pPr>
              <w:snapToGrid w:val="0"/>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430" w:type="dxa"/>
            <w:vAlign w:val="center"/>
          </w:tcPr>
          <w:p>
            <w:pPr>
              <w:snapToGrid w:val="0"/>
              <w:rPr>
                <w:rFonts w:ascii="宋体" w:hAnsi="宋体"/>
                <w:color w:val="auto"/>
                <w:szCs w:val="21"/>
              </w:rPr>
            </w:pPr>
            <w:r>
              <w:rPr>
                <w:rFonts w:hint="eastAsia" w:ascii="宋体" w:hAnsi="宋体"/>
                <w:color w:val="auto"/>
                <w:szCs w:val="21"/>
              </w:rPr>
              <w:t>单位地址：</w:t>
            </w:r>
          </w:p>
        </w:tc>
        <w:tc>
          <w:tcPr>
            <w:tcW w:w="4249" w:type="dxa"/>
            <w:vAlign w:val="center"/>
          </w:tcPr>
          <w:p>
            <w:pPr>
              <w:snapToGrid w:val="0"/>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430" w:type="dxa"/>
            <w:vAlign w:val="center"/>
          </w:tcPr>
          <w:p>
            <w:pPr>
              <w:snapToGrid w:val="0"/>
              <w:rPr>
                <w:rFonts w:ascii="宋体" w:hAnsi="宋体"/>
                <w:color w:val="auto"/>
                <w:szCs w:val="21"/>
              </w:rPr>
            </w:pPr>
            <w:r>
              <w:rPr>
                <w:rFonts w:hint="eastAsia" w:ascii="宋体" w:hAnsi="宋体"/>
                <w:color w:val="auto"/>
                <w:szCs w:val="21"/>
              </w:rPr>
              <w:t>法定代表人：</w:t>
            </w:r>
          </w:p>
        </w:tc>
        <w:tc>
          <w:tcPr>
            <w:tcW w:w="4249" w:type="dxa"/>
            <w:vAlign w:val="center"/>
          </w:tcPr>
          <w:p>
            <w:pPr>
              <w:snapToGrid w:val="0"/>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4430" w:type="dxa"/>
            <w:vAlign w:val="center"/>
          </w:tcPr>
          <w:p>
            <w:pPr>
              <w:snapToGrid w:val="0"/>
              <w:rPr>
                <w:rFonts w:ascii="宋体" w:hAnsi="宋体"/>
                <w:color w:val="auto"/>
                <w:szCs w:val="21"/>
              </w:rPr>
            </w:pPr>
            <w:r>
              <w:rPr>
                <w:rFonts w:hint="eastAsia" w:ascii="宋体" w:hAnsi="宋体"/>
                <w:color w:val="auto"/>
                <w:szCs w:val="21"/>
              </w:rPr>
              <w:t>委托代理人：</w:t>
            </w:r>
          </w:p>
        </w:tc>
        <w:tc>
          <w:tcPr>
            <w:tcW w:w="4249" w:type="dxa"/>
            <w:vAlign w:val="center"/>
          </w:tcPr>
          <w:p>
            <w:pPr>
              <w:snapToGrid w:val="0"/>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430" w:type="dxa"/>
            <w:vAlign w:val="center"/>
          </w:tcPr>
          <w:p>
            <w:pPr>
              <w:snapToGrid w:val="0"/>
              <w:rPr>
                <w:rFonts w:ascii="宋体" w:hAnsi="宋体"/>
                <w:color w:val="auto"/>
                <w:szCs w:val="21"/>
              </w:rPr>
            </w:pPr>
            <w:r>
              <w:rPr>
                <w:rFonts w:hint="eastAsia" w:ascii="宋体" w:hAnsi="宋体"/>
                <w:color w:val="auto"/>
                <w:szCs w:val="21"/>
              </w:rPr>
              <w:t>电话：</w:t>
            </w:r>
          </w:p>
        </w:tc>
        <w:tc>
          <w:tcPr>
            <w:tcW w:w="4249" w:type="dxa"/>
            <w:vAlign w:val="center"/>
          </w:tcPr>
          <w:p>
            <w:pPr>
              <w:snapToGrid w:val="0"/>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4430" w:type="dxa"/>
            <w:vAlign w:val="center"/>
          </w:tcPr>
          <w:p>
            <w:pPr>
              <w:snapToGrid w:val="0"/>
              <w:rPr>
                <w:rFonts w:ascii="宋体" w:hAnsi="宋体"/>
                <w:color w:val="auto"/>
                <w:szCs w:val="21"/>
              </w:rPr>
            </w:pPr>
            <w:r>
              <w:rPr>
                <w:rFonts w:hint="eastAsia" w:ascii="宋体" w:hAnsi="宋体"/>
                <w:color w:val="auto"/>
                <w:szCs w:val="21"/>
              </w:rPr>
              <w:t>电子邮箱：</w:t>
            </w:r>
          </w:p>
        </w:tc>
        <w:tc>
          <w:tcPr>
            <w:tcW w:w="4249" w:type="dxa"/>
            <w:vAlign w:val="center"/>
          </w:tcPr>
          <w:p>
            <w:pPr>
              <w:snapToGrid w:val="0"/>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4430" w:type="dxa"/>
            <w:vAlign w:val="center"/>
          </w:tcPr>
          <w:p>
            <w:pPr>
              <w:snapToGrid w:val="0"/>
              <w:rPr>
                <w:rFonts w:ascii="宋体" w:hAnsi="宋体"/>
                <w:color w:val="auto"/>
                <w:szCs w:val="21"/>
              </w:rPr>
            </w:pPr>
            <w:r>
              <w:rPr>
                <w:rFonts w:hint="eastAsia" w:ascii="宋体" w:hAnsi="宋体"/>
                <w:color w:val="auto"/>
                <w:szCs w:val="21"/>
              </w:rPr>
              <w:t>开户银行：</w:t>
            </w:r>
          </w:p>
        </w:tc>
        <w:tc>
          <w:tcPr>
            <w:tcW w:w="4249" w:type="dxa"/>
            <w:vAlign w:val="center"/>
          </w:tcPr>
          <w:p>
            <w:pPr>
              <w:snapToGrid w:val="0"/>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430" w:type="dxa"/>
            <w:vAlign w:val="center"/>
          </w:tcPr>
          <w:p>
            <w:pPr>
              <w:snapToGrid w:val="0"/>
              <w:rPr>
                <w:rFonts w:ascii="宋体" w:hAnsi="宋体"/>
                <w:color w:val="auto"/>
                <w:szCs w:val="21"/>
              </w:rPr>
            </w:pPr>
            <w:r>
              <w:rPr>
                <w:rFonts w:hint="eastAsia" w:ascii="宋体" w:hAnsi="宋体"/>
                <w:color w:val="auto"/>
                <w:szCs w:val="21"/>
              </w:rPr>
              <w:t>账号：</w:t>
            </w:r>
          </w:p>
        </w:tc>
        <w:tc>
          <w:tcPr>
            <w:tcW w:w="4249" w:type="dxa"/>
            <w:vAlign w:val="center"/>
          </w:tcPr>
          <w:p>
            <w:pPr>
              <w:snapToGrid w:val="0"/>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430" w:type="dxa"/>
            <w:vAlign w:val="center"/>
          </w:tcPr>
          <w:p>
            <w:pPr>
              <w:snapToGrid w:val="0"/>
              <w:rPr>
                <w:rFonts w:ascii="宋体" w:hAnsi="宋体"/>
                <w:color w:val="auto"/>
                <w:szCs w:val="21"/>
              </w:rPr>
            </w:pPr>
            <w:r>
              <w:rPr>
                <w:rFonts w:hint="eastAsia" w:ascii="宋体" w:hAnsi="宋体"/>
                <w:color w:val="auto"/>
                <w:szCs w:val="21"/>
              </w:rPr>
              <w:t>邮政编码：</w:t>
            </w:r>
          </w:p>
        </w:tc>
        <w:tc>
          <w:tcPr>
            <w:tcW w:w="4249" w:type="dxa"/>
            <w:vAlign w:val="center"/>
          </w:tcPr>
          <w:p>
            <w:pPr>
              <w:snapToGrid w:val="0"/>
              <w:rPr>
                <w:rFonts w:ascii="宋体" w:hAnsi="宋体"/>
                <w:color w:val="auto"/>
                <w:szCs w:val="21"/>
              </w:rPr>
            </w:pPr>
            <w:r>
              <w:rPr>
                <w:rFonts w:hint="eastAsia" w:ascii="宋体" w:hAnsi="宋体"/>
                <w:color w:val="auto"/>
                <w:szCs w:val="21"/>
              </w:rPr>
              <w:t>邮政编码：</w:t>
            </w:r>
          </w:p>
        </w:tc>
      </w:tr>
    </w:tbl>
    <w:p>
      <w:pPr>
        <w:snapToGrid w:val="0"/>
        <w:spacing w:line="360" w:lineRule="auto"/>
        <w:rPr>
          <w:rFonts w:ascii="宋体" w:hAnsi="宋体"/>
          <w:b/>
          <w:color w:val="auto"/>
          <w:sz w:val="28"/>
          <w:szCs w:val="28"/>
        </w:rPr>
      </w:pPr>
    </w:p>
    <w:p>
      <w:pPr>
        <w:snapToGrid w:val="0"/>
        <w:spacing w:line="360" w:lineRule="auto"/>
        <w:jc w:val="center"/>
        <w:rPr>
          <w:rFonts w:ascii="宋体" w:hAnsi="宋体"/>
          <w:b/>
          <w:color w:val="auto"/>
          <w:sz w:val="28"/>
          <w:szCs w:val="28"/>
        </w:rPr>
      </w:pPr>
    </w:p>
    <w:p>
      <w:pPr>
        <w:snapToGrid w:val="0"/>
        <w:spacing w:line="360" w:lineRule="auto"/>
        <w:jc w:val="center"/>
        <w:rPr>
          <w:rFonts w:ascii="宋体" w:hAnsi="宋体"/>
          <w:b/>
          <w:color w:val="auto"/>
          <w:sz w:val="28"/>
          <w:szCs w:val="28"/>
        </w:rPr>
      </w:pPr>
    </w:p>
    <w:p>
      <w:pPr>
        <w:snapToGrid w:val="0"/>
        <w:spacing w:line="360" w:lineRule="auto"/>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rFonts w:ascii="宋体" w:hAnsi="宋体"/>
          <w:b/>
          <w:color w:val="auto"/>
          <w:sz w:val="28"/>
          <w:szCs w:val="28"/>
        </w:rPr>
      </w:pPr>
    </w:p>
    <w:p>
      <w:pPr>
        <w:pStyle w:val="2"/>
        <w:rPr>
          <w:color w:val="auto"/>
        </w:rPr>
      </w:pPr>
      <w:bookmarkStart w:id="20" w:name="_Toc24456"/>
    </w:p>
    <w:p>
      <w:pPr>
        <w:pStyle w:val="5"/>
        <w:spacing w:before="240" w:after="240" w:line="420" w:lineRule="exact"/>
        <w:jc w:val="center"/>
        <w:rPr>
          <w:color w:val="auto"/>
          <w:sz w:val="28"/>
          <w:szCs w:val="28"/>
        </w:rPr>
      </w:pPr>
      <w:r>
        <w:rPr>
          <w:rFonts w:hint="eastAsia"/>
          <w:color w:val="auto"/>
          <w:sz w:val="28"/>
          <w:szCs w:val="28"/>
        </w:rPr>
        <w:t>第六章 竞争性谈判响应文件（格式）</w:t>
      </w:r>
      <w:bookmarkEnd w:id="20"/>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jc w:val="center"/>
        <w:rPr>
          <w:rFonts w:ascii="宋体" w:hAnsi="宋体"/>
          <w:b/>
          <w:color w:val="auto"/>
          <w:sz w:val="32"/>
          <w:szCs w:val="32"/>
        </w:rPr>
      </w:pPr>
      <w:r>
        <w:rPr>
          <w:rFonts w:hint="eastAsia" w:ascii="宋体" w:hAnsi="宋体"/>
          <w:b/>
          <w:color w:val="auto"/>
          <w:sz w:val="32"/>
          <w:szCs w:val="32"/>
        </w:rPr>
        <w:t xml:space="preserve">竞 争 性 谈 判 响 应 文 件 </w:t>
      </w:r>
      <w:r>
        <w:rPr>
          <w:rFonts w:hint="eastAsia" w:ascii="宋体" w:hAnsi="宋体"/>
          <w:color w:val="auto"/>
          <w:szCs w:val="21"/>
        </w:rPr>
        <w:t>(封面)</w:t>
      </w: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left"/>
        <w:rPr>
          <w:rFonts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p>
    <w:p>
      <w:pPr>
        <w:tabs>
          <w:tab w:val="left" w:pos="3240"/>
        </w:tabs>
        <w:spacing w:line="360" w:lineRule="auto"/>
        <w:jc w:val="left"/>
        <w:rPr>
          <w:rFonts w:ascii="宋体" w:hAnsi="宋体"/>
          <w:color w:val="auto"/>
          <w:szCs w:val="21"/>
          <w:u w:val="single"/>
        </w:rPr>
      </w:pPr>
      <w:r>
        <w:rPr>
          <w:rFonts w:hint="eastAsia" w:ascii="宋体" w:hAnsi="宋体"/>
          <w:color w:val="auto"/>
          <w:szCs w:val="21"/>
        </w:rPr>
        <w:t>采购项目名称：</w:t>
      </w:r>
      <w:r>
        <w:rPr>
          <w:rFonts w:hint="eastAsia" w:ascii="宋体" w:hAnsi="宋体"/>
          <w:color w:val="auto"/>
          <w:szCs w:val="21"/>
          <w:u w:val="single"/>
        </w:rPr>
        <w:t xml:space="preserve">                       </w:t>
      </w:r>
    </w:p>
    <w:p>
      <w:pPr>
        <w:spacing w:line="360" w:lineRule="auto"/>
        <w:jc w:val="left"/>
        <w:rPr>
          <w:rFonts w:ascii="宋体" w:hAnsi="宋体"/>
          <w:color w:val="auto"/>
          <w:szCs w:val="21"/>
          <w:u w:val="single"/>
        </w:rPr>
      </w:pPr>
      <w:r>
        <w:rPr>
          <w:rFonts w:hint="eastAsia" w:ascii="宋体" w:hAnsi="宋体"/>
          <w:color w:val="auto"/>
          <w:szCs w:val="21"/>
        </w:rPr>
        <w:t>谈判内容：</w:t>
      </w:r>
      <w:r>
        <w:rPr>
          <w:rFonts w:hint="eastAsia" w:ascii="宋体" w:hAnsi="宋体"/>
          <w:color w:val="auto"/>
          <w:szCs w:val="21"/>
          <w:u w:val="single"/>
        </w:rPr>
        <w:t xml:space="preserve">                           </w:t>
      </w:r>
    </w:p>
    <w:p>
      <w:pPr>
        <w:tabs>
          <w:tab w:val="left" w:pos="2625"/>
        </w:tabs>
        <w:spacing w:line="360" w:lineRule="auto"/>
        <w:jc w:val="center"/>
        <w:rPr>
          <w:rFonts w:ascii="宋体" w:hAnsi="宋体"/>
          <w:color w:val="auto"/>
          <w:szCs w:val="21"/>
        </w:rPr>
      </w:pPr>
    </w:p>
    <w:p>
      <w:pPr>
        <w:tabs>
          <w:tab w:val="left" w:pos="2625"/>
        </w:tabs>
        <w:spacing w:line="360" w:lineRule="auto"/>
        <w:jc w:val="center"/>
        <w:rPr>
          <w:rFonts w:ascii="宋体" w:hAnsi="宋体"/>
          <w:color w:val="auto"/>
          <w:szCs w:val="21"/>
        </w:rPr>
      </w:pPr>
    </w:p>
    <w:p>
      <w:pPr>
        <w:spacing w:line="360" w:lineRule="auto"/>
        <w:jc w:val="center"/>
        <w:rPr>
          <w:rFonts w:ascii="宋体" w:hAnsi="宋体"/>
          <w:color w:val="auto"/>
          <w:szCs w:val="21"/>
        </w:rPr>
      </w:pPr>
      <w:r>
        <w:rPr>
          <w:rFonts w:hint="eastAsia" w:ascii="宋体" w:hAnsi="宋体"/>
          <w:color w:val="auto"/>
          <w:szCs w:val="21"/>
        </w:rPr>
        <w:t xml:space="preserve">                                        （谈判供应商名称）</w:t>
      </w:r>
    </w:p>
    <w:p>
      <w:pPr>
        <w:spacing w:line="360" w:lineRule="auto"/>
        <w:ind w:firstLine="6111" w:firstLineChars="2910"/>
        <w:rPr>
          <w:rFonts w:ascii="宋体" w:hAnsi="宋体"/>
          <w:color w:val="auto"/>
          <w:szCs w:val="21"/>
        </w:rPr>
      </w:pPr>
      <w:r>
        <w:rPr>
          <w:rFonts w:hint="eastAsia" w:ascii="宋体" w:hAnsi="宋体"/>
          <w:color w:val="auto"/>
          <w:szCs w:val="21"/>
        </w:rPr>
        <w:t>年</w:t>
      </w:r>
      <w:r>
        <w:rPr>
          <w:rFonts w:hint="eastAsia" w:ascii="宋体" w:hAnsi="宋体" w:cs="宋体"/>
          <w:color w:val="auto"/>
          <w:szCs w:val="21"/>
        </w:rPr>
        <w:t xml:space="preserve">    </w:t>
      </w:r>
      <w:r>
        <w:rPr>
          <w:rFonts w:hint="eastAsia" w:ascii="宋体" w:hAnsi="宋体"/>
          <w:color w:val="auto"/>
          <w:szCs w:val="21"/>
        </w:rPr>
        <w:t>月    日</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spacing w:line="300" w:lineRule="auto"/>
        <w:rPr>
          <w:rFonts w:ascii="宋体" w:hAnsi="宋体"/>
          <w:color w:val="auto"/>
          <w:szCs w:val="21"/>
        </w:rPr>
      </w:pPr>
    </w:p>
    <w:p>
      <w:pPr>
        <w:spacing w:line="300" w:lineRule="auto"/>
        <w:jc w:val="center"/>
        <w:rPr>
          <w:rFonts w:ascii="宋体" w:hAnsi="宋体"/>
          <w:b/>
          <w:color w:val="auto"/>
          <w:sz w:val="32"/>
          <w:szCs w:val="32"/>
        </w:rPr>
      </w:pPr>
      <w:r>
        <w:rPr>
          <w:rFonts w:hint="eastAsia" w:ascii="宋体" w:hAnsi="宋体"/>
          <w:b/>
          <w:color w:val="auto"/>
          <w:sz w:val="32"/>
          <w:szCs w:val="32"/>
        </w:rPr>
        <w:t>目录</w:t>
      </w:r>
    </w:p>
    <w:p>
      <w:pPr>
        <w:spacing w:line="400" w:lineRule="exact"/>
        <w:ind w:firstLine="420"/>
        <w:rPr>
          <w:rFonts w:ascii="宋体" w:hAnsi="宋体"/>
          <w:color w:val="auto"/>
          <w:szCs w:val="21"/>
        </w:rPr>
      </w:pPr>
    </w:p>
    <w:p>
      <w:pPr>
        <w:spacing w:line="400" w:lineRule="exact"/>
        <w:ind w:firstLine="420"/>
        <w:rPr>
          <w:rFonts w:ascii="宋体" w:hAnsi="宋体"/>
          <w:color w:val="auto"/>
          <w:szCs w:val="21"/>
        </w:rPr>
      </w:pPr>
      <w:r>
        <w:rPr>
          <w:rFonts w:hint="eastAsia" w:ascii="宋体" w:hAnsi="宋体"/>
          <w:color w:val="auto"/>
          <w:szCs w:val="21"/>
        </w:rPr>
        <w:t>1.竞标函</w:t>
      </w:r>
    </w:p>
    <w:p>
      <w:pPr>
        <w:spacing w:line="400" w:lineRule="exact"/>
        <w:ind w:firstLine="420"/>
        <w:rPr>
          <w:rFonts w:ascii="宋体" w:hAnsi="宋体"/>
          <w:color w:val="auto"/>
          <w:szCs w:val="21"/>
        </w:rPr>
      </w:pPr>
      <w:r>
        <w:rPr>
          <w:rFonts w:hint="eastAsia" w:ascii="宋体" w:hAnsi="宋体"/>
          <w:color w:val="auto"/>
          <w:szCs w:val="21"/>
        </w:rPr>
        <w:t>2.谈判报价表</w:t>
      </w:r>
    </w:p>
    <w:p>
      <w:pPr>
        <w:spacing w:line="400" w:lineRule="exact"/>
        <w:ind w:firstLine="420" w:firstLineChars="200"/>
        <w:rPr>
          <w:rFonts w:ascii="宋体" w:hAnsi="宋体"/>
          <w:color w:val="auto"/>
          <w:szCs w:val="21"/>
        </w:rPr>
      </w:pPr>
      <w:r>
        <w:rPr>
          <w:rFonts w:hint="eastAsia" w:ascii="宋体" w:hAnsi="宋体"/>
          <w:color w:val="auto"/>
          <w:szCs w:val="21"/>
        </w:rPr>
        <w:t>3.谈判书</w:t>
      </w:r>
    </w:p>
    <w:p>
      <w:pPr>
        <w:spacing w:line="400" w:lineRule="exact"/>
        <w:ind w:firstLine="420" w:firstLineChars="200"/>
        <w:rPr>
          <w:rFonts w:ascii="宋体" w:hAnsi="宋体"/>
          <w:color w:val="auto"/>
          <w:szCs w:val="21"/>
        </w:rPr>
      </w:pPr>
      <w:r>
        <w:rPr>
          <w:rFonts w:hint="eastAsia" w:ascii="宋体" w:hAnsi="宋体"/>
          <w:color w:val="auto"/>
          <w:szCs w:val="21"/>
        </w:rPr>
        <w:t>4.供货清单</w:t>
      </w:r>
    </w:p>
    <w:p>
      <w:pPr>
        <w:spacing w:line="400" w:lineRule="exact"/>
        <w:ind w:firstLine="420" w:firstLineChars="200"/>
        <w:rPr>
          <w:rFonts w:ascii="宋体" w:hAnsi="宋体"/>
          <w:color w:val="auto"/>
          <w:szCs w:val="21"/>
        </w:rPr>
      </w:pPr>
      <w:r>
        <w:rPr>
          <w:rFonts w:hint="eastAsia" w:ascii="宋体" w:hAnsi="宋体"/>
          <w:color w:val="auto"/>
          <w:szCs w:val="21"/>
        </w:rPr>
        <w:t>5.技术响应、偏离情况说明表</w:t>
      </w:r>
    </w:p>
    <w:p>
      <w:pPr>
        <w:spacing w:line="400" w:lineRule="exact"/>
        <w:ind w:firstLine="420" w:firstLineChars="200"/>
        <w:rPr>
          <w:rFonts w:ascii="宋体" w:hAnsi="宋体"/>
          <w:color w:val="auto"/>
          <w:szCs w:val="21"/>
        </w:rPr>
      </w:pPr>
      <w:r>
        <w:rPr>
          <w:rFonts w:hint="eastAsia" w:ascii="宋体" w:hAnsi="宋体"/>
          <w:color w:val="auto"/>
          <w:szCs w:val="21"/>
        </w:rPr>
        <w:t>6.售后服务承诺书（如有）</w:t>
      </w:r>
    </w:p>
    <w:p>
      <w:pPr>
        <w:spacing w:line="400" w:lineRule="exact"/>
        <w:ind w:firstLine="420" w:firstLineChars="200"/>
        <w:rPr>
          <w:rFonts w:ascii="宋体" w:hAnsi="宋体"/>
          <w:color w:val="auto"/>
          <w:szCs w:val="21"/>
        </w:rPr>
      </w:pPr>
      <w:r>
        <w:rPr>
          <w:rFonts w:hint="eastAsia" w:ascii="宋体" w:hAnsi="宋体"/>
          <w:color w:val="auto"/>
          <w:szCs w:val="21"/>
        </w:rPr>
        <w:t>7.谈判供应商资格证明文件</w:t>
      </w:r>
    </w:p>
    <w:p>
      <w:pPr>
        <w:spacing w:line="400" w:lineRule="exact"/>
        <w:ind w:firstLine="420" w:firstLineChars="200"/>
        <w:rPr>
          <w:rFonts w:ascii="宋体" w:hAnsi="宋体"/>
          <w:color w:val="auto"/>
          <w:szCs w:val="21"/>
        </w:rPr>
      </w:pPr>
      <w:r>
        <w:rPr>
          <w:rFonts w:hint="eastAsia" w:ascii="宋体" w:hAnsi="宋体"/>
          <w:color w:val="auto"/>
          <w:szCs w:val="21"/>
        </w:rPr>
        <w:t>8.谈判供应商货物合格证明文件</w:t>
      </w:r>
    </w:p>
    <w:p>
      <w:pPr>
        <w:spacing w:line="400" w:lineRule="exact"/>
        <w:ind w:firstLine="420" w:firstLineChars="200"/>
        <w:rPr>
          <w:rFonts w:ascii="宋体" w:hAnsi="宋体"/>
          <w:color w:val="auto"/>
          <w:szCs w:val="21"/>
        </w:rPr>
      </w:pPr>
      <w:r>
        <w:rPr>
          <w:rFonts w:hint="eastAsia" w:ascii="宋体" w:hAnsi="宋体"/>
          <w:color w:val="auto"/>
          <w:szCs w:val="21"/>
        </w:rPr>
        <w:t>9.谈判供应商必须提供的其他材料</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一、竞标函（格式）</w:t>
      </w:r>
    </w:p>
    <w:p>
      <w:pPr>
        <w:pStyle w:val="12"/>
        <w:spacing w:line="500" w:lineRule="exact"/>
        <w:rPr>
          <w:rFonts w:ascii="Times New Roman" w:hAnsi="Times New Roman"/>
          <w:color w:val="auto"/>
          <w:sz w:val="32"/>
        </w:rPr>
      </w:pPr>
    </w:p>
    <w:p>
      <w:pPr>
        <w:pStyle w:val="12"/>
        <w:spacing w:line="440" w:lineRule="exact"/>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pPr>
        <w:pStyle w:val="12"/>
        <w:spacing w:line="440" w:lineRule="exact"/>
        <w:ind w:firstLine="400" w:firstLineChars="200"/>
        <w:rPr>
          <w:rFonts w:ascii="Times New Roman" w:hAnsi="Times New Roman"/>
          <w:color w:val="auto"/>
        </w:rPr>
      </w:pPr>
      <w:r>
        <w:rPr>
          <w:rFonts w:hint="eastAsia"/>
          <w:color w:val="auto"/>
        </w:rPr>
        <w:t>我方已仔细阅读了贵方组织的</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 xml:space="preserve">）的竞争性谈判采购文件的全部内容，现正式递交响应文件参加贵方组织的本次政府采购活动： </w:t>
      </w:r>
    </w:p>
    <w:p>
      <w:pPr>
        <w:pStyle w:val="12"/>
        <w:spacing w:line="440" w:lineRule="exact"/>
        <w:ind w:firstLine="482"/>
        <w:rPr>
          <w:rFonts w:ascii="Times New Roman" w:hAnsi="Times New Roman"/>
          <w:color w:val="auto"/>
        </w:rPr>
      </w:pPr>
      <w:r>
        <w:rPr>
          <w:rFonts w:hint="eastAsia"/>
          <w:color w:val="auto"/>
        </w:rPr>
        <w:t>1、我方愿意以（大写）人民币</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元)的谈判总报价，交货期：</w:t>
      </w:r>
      <w:r>
        <w:rPr>
          <w:rFonts w:hint="eastAsia"/>
          <w:color w:val="auto"/>
          <w:u w:val="single"/>
        </w:rPr>
        <w:t xml:space="preserve">           ，</w:t>
      </w:r>
      <w:r>
        <w:rPr>
          <w:rFonts w:hint="eastAsia"/>
          <w:color w:val="auto"/>
        </w:rPr>
        <w:t>提供本项目竞争性谈判采购文件第三章“采购项目需求”中相应的采购内容。</w:t>
      </w:r>
    </w:p>
    <w:p>
      <w:pPr>
        <w:pStyle w:val="12"/>
        <w:spacing w:line="440" w:lineRule="exact"/>
        <w:ind w:firstLine="482"/>
        <w:rPr>
          <w:color w:val="auto"/>
        </w:rPr>
      </w:pPr>
      <w:r>
        <w:rPr>
          <w:rFonts w:hint="eastAsia"/>
          <w:color w:val="auto"/>
        </w:rPr>
        <w:t>2、我方同意自本项目竞争性谈判采购文件“谈判供应商须知”条款号22.1项规定的递交谈判文件截止时间起遵循</w:t>
      </w:r>
      <w:r>
        <w:rPr>
          <w:rFonts w:hint="eastAsia" w:hAnsi="宋体"/>
          <w:color w:val="auto"/>
        </w:rPr>
        <w:t>本竞标函</w:t>
      </w:r>
      <w:r>
        <w:rPr>
          <w:rFonts w:hint="eastAsia"/>
          <w:color w:val="auto"/>
        </w:rPr>
        <w:t>，并承诺在“谈判供应商须知”条款号17.1项规定的谈判有效期内不修改、撤销谈判文件。</w:t>
      </w:r>
    </w:p>
    <w:p>
      <w:pPr>
        <w:pStyle w:val="12"/>
        <w:spacing w:line="440" w:lineRule="exact"/>
        <w:ind w:firstLine="482"/>
        <w:rPr>
          <w:color w:val="auto"/>
        </w:rPr>
      </w:pPr>
      <w:r>
        <w:rPr>
          <w:rFonts w:hint="eastAsia"/>
          <w:color w:val="auto"/>
        </w:rPr>
        <w:t>3、我方在此声明，所递交的谈判文件及有关资料内容完整、真实和准确。</w:t>
      </w:r>
    </w:p>
    <w:p>
      <w:pPr>
        <w:pStyle w:val="12"/>
        <w:spacing w:line="440" w:lineRule="exact"/>
        <w:ind w:firstLine="482"/>
        <w:rPr>
          <w:color w:val="auto"/>
        </w:rPr>
      </w:pPr>
      <w:r>
        <w:rPr>
          <w:rFonts w:hint="eastAsia"/>
          <w:color w:val="auto"/>
        </w:rPr>
        <w:t>4、如本项目采购内容涉及须符合国家强制规定的，我方承诺我方本次谈判均符合国家有关强制规定。</w:t>
      </w:r>
    </w:p>
    <w:p>
      <w:pPr>
        <w:pStyle w:val="12"/>
        <w:spacing w:line="440" w:lineRule="exact"/>
        <w:ind w:firstLine="482"/>
        <w:rPr>
          <w:color w:val="auto"/>
        </w:rPr>
      </w:pPr>
      <w:r>
        <w:rPr>
          <w:rFonts w:hint="eastAsia"/>
          <w:color w:val="auto"/>
        </w:rPr>
        <w:t>5、我方承诺已经具备《中华人民共和国政府采购法》中规定的参加政府采购活动的供应商应当具备的条件：</w:t>
      </w:r>
    </w:p>
    <w:p>
      <w:pPr>
        <w:pStyle w:val="12"/>
        <w:numPr>
          <w:ilvl w:val="0"/>
          <w:numId w:val="4"/>
        </w:numPr>
        <w:tabs>
          <w:tab w:val="left" w:pos="945"/>
        </w:tabs>
        <w:spacing w:line="440" w:lineRule="exact"/>
        <w:rPr>
          <w:color w:val="auto"/>
        </w:rPr>
      </w:pPr>
      <w:r>
        <w:rPr>
          <w:rFonts w:hint="eastAsia"/>
          <w:color w:val="auto"/>
        </w:rPr>
        <w:t>具有独立承担民事责任的能力；</w:t>
      </w:r>
    </w:p>
    <w:p>
      <w:pPr>
        <w:pStyle w:val="12"/>
        <w:numPr>
          <w:ilvl w:val="0"/>
          <w:numId w:val="4"/>
        </w:numPr>
        <w:tabs>
          <w:tab w:val="left" w:pos="945"/>
        </w:tabs>
        <w:spacing w:line="440" w:lineRule="exact"/>
        <w:rPr>
          <w:color w:val="auto"/>
        </w:rPr>
      </w:pPr>
      <w:r>
        <w:rPr>
          <w:rFonts w:hint="eastAsia"/>
          <w:color w:val="auto"/>
        </w:rPr>
        <w:t>具有良好的商业信誉和健全的财务会计制度；</w:t>
      </w:r>
    </w:p>
    <w:p>
      <w:pPr>
        <w:pStyle w:val="12"/>
        <w:numPr>
          <w:ilvl w:val="0"/>
          <w:numId w:val="4"/>
        </w:numPr>
        <w:tabs>
          <w:tab w:val="left" w:pos="945"/>
        </w:tabs>
        <w:spacing w:line="440" w:lineRule="exact"/>
        <w:rPr>
          <w:color w:val="auto"/>
        </w:rPr>
      </w:pPr>
      <w:r>
        <w:rPr>
          <w:rFonts w:hint="eastAsia"/>
          <w:color w:val="auto"/>
        </w:rPr>
        <w:t>具有履行合同所必需的设备和专业技术能力；</w:t>
      </w:r>
    </w:p>
    <w:p>
      <w:pPr>
        <w:pStyle w:val="12"/>
        <w:numPr>
          <w:ilvl w:val="0"/>
          <w:numId w:val="4"/>
        </w:numPr>
        <w:tabs>
          <w:tab w:val="left" w:pos="945"/>
        </w:tabs>
        <w:spacing w:line="440" w:lineRule="exact"/>
        <w:rPr>
          <w:color w:val="auto"/>
        </w:rPr>
      </w:pPr>
      <w:r>
        <w:rPr>
          <w:rFonts w:hint="eastAsia"/>
          <w:color w:val="auto"/>
        </w:rPr>
        <w:t>有依法缴纳税收和社会保障资金的良好记录；</w:t>
      </w:r>
    </w:p>
    <w:p>
      <w:pPr>
        <w:pStyle w:val="12"/>
        <w:numPr>
          <w:ilvl w:val="0"/>
          <w:numId w:val="4"/>
        </w:numPr>
        <w:tabs>
          <w:tab w:val="left" w:pos="945"/>
        </w:tabs>
        <w:spacing w:line="440" w:lineRule="exact"/>
        <w:rPr>
          <w:color w:val="auto"/>
        </w:rPr>
      </w:pPr>
      <w:r>
        <w:rPr>
          <w:rFonts w:hint="eastAsia"/>
          <w:color w:val="auto"/>
        </w:rPr>
        <w:t>参加政府采购活动前三年内，在经营活动中没有重大违法记录；</w:t>
      </w:r>
    </w:p>
    <w:p>
      <w:pPr>
        <w:pStyle w:val="12"/>
        <w:numPr>
          <w:ilvl w:val="0"/>
          <w:numId w:val="4"/>
        </w:numPr>
        <w:tabs>
          <w:tab w:val="left" w:pos="945"/>
        </w:tabs>
        <w:spacing w:line="440" w:lineRule="exact"/>
        <w:rPr>
          <w:color w:val="auto"/>
        </w:rPr>
      </w:pPr>
      <w:r>
        <w:rPr>
          <w:rFonts w:hint="eastAsia"/>
          <w:color w:val="auto"/>
        </w:rPr>
        <w:t>法律、行政法规规定的其他条件。</w:t>
      </w:r>
    </w:p>
    <w:p>
      <w:pPr>
        <w:pStyle w:val="12"/>
        <w:spacing w:line="440" w:lineRule="exact"/>
        <w:ind w:firstLine="482"/>
        <w:rPr>
          <w:color w:val="auto"/>
        </w:rPr>
      </w:pPr>
      <w:r>
        <w:rPr>
          <w:rFonts w:hint="eastAsia"/>
          <w:color w:val="auto"/>
        </w:rPr>
        <w:t>6、如我方成交，我方承诺在收到成交通知书后，在成交通知书规定的期限内，</w:t>
      </w:r>
      <w:r>
        <w:rPr>
          <w:rFonts w:hint="eastAsia" w:hAnsi="宋体"/>
          <w:color w:val="auto"/>
        </w:rPr>
        <w:t>根据竞争性谈判采购文件、我方的响应文件及有关澄清承诺书的要求按第五章“合同主要条款”与采购人订立书面合同，并按照合同约定</w:t>
      </w:r>
      <w:r>
        <w:rPr>
          <w:rFonts w:hint="eastAsia"/>
          <w:color w:val="auto"/>
        </w:rPr>
        <w:t>承担完成合同的责任和义务。</w:t>
      </w:r>
    </w:p>
    <w:p>
      <w:pPr>
        <w:pStyle w:val="12"/>
        <w:spacing w:line="440" w:lineRule="exact"/>
        <w:ind w:firstLine="482"/>
        <w:rPr>
          <w:color w:val="auto"/>
        </w:rPr>
      </w:pPr>
      <w:r>
        <w:rPr>
          <w:rFonts w:hint="eastAsia"/>
          <w:color w:val="auto"/>
        </w:rPr>
        <w:t>7、我方已详细审核竞争性谈判采购文件，我方知道必须放弃提出含糊不清或误解问题的权利。</w:t>
      </w:r>
    </w:p>
    <w:p>
      <w:pPr>
        <w:pStyle w:val="12"/>
        <w:spacing w:line="440" w:lineRule="exact"/>
        <w:ind w:firstLine="482"/>
        <w:rPr>
          <w:color w:val="auto"/>
        </w:rPr>
      </w:pPr>
      <w:r>
        <w:rPr>
          <w:rFonts w:hint="eastAsia"/>
          <w:color w:val="auto"/>
        </w:rPr>
        <w:t>8、我方承诺满足竞争性谈判采购文件第五章“</w:t>
      </w:r>
      <w:r>
        <w:rPr>
          <w:rFonts w:hint="eastAsia" w:hAnsi="宋体"/>
          <w:color w:val="auto"/>
        </w:rPr>
        <w:t>合同主要条款”</w:t>
      </w:r>
      <w:r>
        <w:rPr>
          <w:rFonts w:hint="eastAsia"/>
          <w:color w:val="auto"/>
        </w:rPr>
        <w:t>《</w:t>
      </w:r>
      <w:r>
        <w:rPr>
          <w:rFonts w:hint="eastAsia" w:hAnsi="宋体"/>
          <w:color w:val="auto"/>
          <w:sz w:val="21"/>
        </w:rPr>
        <w:t>广西壮族自治区政府采购合同</w:t>
      </w:r>
      <w:r>
        <w:rPr>
          <w:rFonts w:hint="eastAsia"/>
          <w:color w:val="auto"/>
        </w:rPr>
        <w:t>》中的条款，承担完成合同的责任和义务。</w:t>
      </w:r>
    </w:p>
    <w:p>
      <w:pPr>
        <w:pStyle w:val="12"/>
        <w:spacing w:line="440" w:lineRule="exact"/>
        <w:ind w:firstLine="482"/>
        <w:rPr>
          <w:color w:val="auto"/>
        </w:rPr>
      </w:pPr>
      <w:r>
        <w:rPr>
          <w:rFonts w:hint="eastAsia"/>
          <w:color w:val="auto"/>
        </w:rPr>
        <w:t>9、我方同意应贵方要求提供与本谈判有关的任何数据或资料。若贵方需要，我方愿意提供我方作出的一切承诺的证明材料。</w:t>
      </w:r>
    </w:p>
    <w:p>
      <w:pPr>
        <w:pStyle w:val="12"/>
        <w:spacing w:line="440" w:lineRule="exact"/>
        <w:ind w:firstLine="482"/>
        <w:rPr>
          <w:color w:val="auto"/>
        </w:rPr>
      </w:pPr>
      <w:r>
        <w:rPr>
          <w:rFonts w:hint="eastAsia"/>
          <w:color w:val="auto"/>
        </w:rPr>
        <w:t>10、我方将严格遵守《中华人民共和国政府采购法》第七十七条的规定，即供应商有下列情形之一的，处以采购金额千分之五以上千分之十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5"/>
        </w:numPr>
        <w:tabs>
          <w:tab w:val="left" w:pos="945"/>
        </w:tabs>
        <w:spacing w:line="440" w:lineRule="exact"/>
        <w:rPr>
          <w:rFonts w:hAnsi="宋体"/>
          <w:color w:val="auto"/>
        </w:rPr>
      </w:pPr>
      <w:r>
        <w:rPr>
          <w:rFonts w:hint="eastAsia" w:hAnsi="宋体"/>
          <w:color w:val="auto"/>
        </w:rPr>
        <w:t>提供虚假材料谋取成交、成交的；</w:t>
      </w:r>
    </w:p>
    <w:p>
      <w:pPr>
        <w:pStyle w:val="12"/>
        <w:numPr>
          <w:ilvl w:val="0"/>
          <w:numId w:val="5"/>
        </w:numPr>
        <w:tabs>
          <w:tab w:val="left" w:pos="945"/>
        </w:tabs>
        <w:spacing w:line="440" w:lineRule="exact"/>
        <w:rPr>
          <w:rFonts w:hAnsi="宋体"/>
          <w:color w:val="auto"/>
        </w:rPr>
      </w:pPr>
      <w:r>
        <w:rPr>
          <w:rFonts w:hint="eastAsia" w:hAnsi="宋体"/>
          <w:color w:val="auto"/>
        </w:rPr>
        <w:t>采取不正当手段诋毁、排挤其他供应商的；</w:t>
      </w:r>
    </w:p>
    <w:p>
      <w:pPr>
        <w:pStyle w:val="12"/>
        <w:numPr>
          <w:ilvl w:val="0"/>
          <w:numId w:val="5"/>
        </w:numPr>
        <w:tabs>
          <w:tab w:val="left" w:pos="945"/>
        </w:tabs>
        <w:spacing w:line="440" w:lineRule="exact"/>
        <w:rPr>
          <w:color w:val="auto"/>
        </w:rPr>
      </w:pPr>
      <w:r>
        <w:rPr>
          <w:rFonts w:hint="eastAsia" w:hAnsi="宋体"/>
          <w:color w:val="auto"/>
        </w:rPr>
        <w:t>与采购人、其他供应商或者采购代理机构恶意串通的；</w:t>
      </w:r>
    </w:p>
    <w:p>
      <w:pPr>
        <w:pStyle w:val="12"/>
        <w:numPr>
          <w:ilvl w:val="0"/>
          <w:numId w:val="5"/>
        </w:numPr>
        <w:tabs>
          <w:tab w:val="left" w:pos="945"/>
        </w:tabs>
        <w:spacing w:line="440" w:lineRule="exact"/>
        <w:rPr>
          <w:color w:val="auto"/>
        </w:rPr>
      </w:pPr>
      <w:r>
        <w:rPr>
          <w:rFonts w:hint="eastAsia" w:hAnsi="宋体"/>
          <w:color w:val="auto"/>
        </w:rPr>
        <w:t>向采购人、采购代理机构行贿或者提供其他不正当利益的；</w:t>
      </w:r>
    </w:p>
    <w:p>
      <w:pPr>
        <w:pStyle w:val="12"/>
        <w:numPr>
          <w:ilvl w:val="0"/>
          <w:numId w:val="5"/>
        </w:numPr>
        <w:tabs>
          <w:tab w:val="left" w:pos="945"/>
        </w:tabs>
        <w:spacing w:line="440" w:lineRule="exact"/>
        <w:rPr>
          <w:color w:val="auto"/>
        </w:rPr>
      </w:pPr>
      <w:r>
        <w:rPr>
          <w:rFonts w:hint="eastAsia" w:hAnsi="宋体"/>
          <w:color w:val="auto"/>
        </w:rPr>
        <w:t>在采购过程中与采购人进行协商谈判的；</w:t>
      </w:r>
    </w:p>
    <w:p>
      <w:pPr>
        <w:pStyle w:val="12"/>
        <w:numPr>
          <w:ilvl w:val="0"/>
          <w:numId w:val="5"/>
        </w:numPr>
        <w:tabs>
          <w:tab w:val="left" w:pos="945"/>
        </w:tabs>
        <w:spacing w:line="440" w:lineRule="exact"/>
        <w:rPr>
          <w:color w:val="auto"/>
        </w:rPr>
      </w:pPr>
      <w:r>
        <w:rPr>
          <w:rFonts w:hint="eastAsia" w:hAnsi="宋体"/>
          <w:color w:val="auto"/>
        </w:rPr>
        <w:t>拒绝有关部门监督检查或提供虚假情况的。</w:t>
      </w:r>
    </w:p>
    <w:p>
      <w:pPr>
        <w:pStyle w:val="12"/>
        <w:spacing w:line="360" w:lineRule="auto"/>
        <w:ind w:firstLine="420"/>
        <w:rPr>
          <w:color w:val="auto"/>
        </w:rPr>
      </w:pPr>
    </w:p>
    <w:p>
      <w:pPr>
        <w:pStyle w:val="12"/>
        <w:spacing w:line="360" w:lineRule="auto"/>
        <w:ind w:firstLine="420"/>
        <w:rPr>
          <w:color w:val="auto"/>
          <w:u w:val="single"/>
        </w:rPr>
      </w:pPr>
      <w:r>
        <w:rPr>
          <w:rFonts w:hint="eastAsia"/>
          <w:color w:val="auto"/>
        </w:rPr>
        <w:t>谈判供应商：</w:t>
      </w:r>
      <w:r>
        <w:rPr>
          <w:rFonts w:hint="eastAsia"/>
          <w:color w:val="auto"/>
          <w:u w:val="single"/>
        </w:rPr>
        <w:t xml:space="preserve">                                         </w:t>
      </w:r>
      <w:r>
        <w:rPr>
          <w:rFonts w:hint="eastAsia"/>
          <w:color w:val="auto"/>
        </w:rPr>
        <w:t>（盖单位公章）</w:t>
      </w:r>
    </w:p>
    <w:p>
      <w:pPr>
        <w:pStyle w:val="12"/>
        <w:spacing w:line="360" w:lineRule="auto"/>
        <w:ind w:firstLine="420"/>
        <w:rPr>
          <w:color w:val="auto"/>
        </w:rPr>
      </w:pPr>
      <w:r>
        <w:rPr>
          <w:rFonts w:hint="eastAsia" w:ascii="Times New Roman" w:hAnsi="Times New Roman"/>
          <w:color w:val="auto"/>
        </w:rPr>
        <w:t>法定代表人或其委托代理人：</w:t>
      </w:r>
      <w:r>
        <w:rPr>
          <w:rFonts w:ascii="Times New Roman" w:hAnsi="Times New Roman"/>
          <w:color w:val="auto"/>
          <w:u w:val="single"/>
        </w:rPr>
        <w:t xml:space="preserve">                       </w:t>
      </w:r>
      <w:r>
        <w:rPr>
          <w:rFonts w:hint="eastAsia" w:ascii="Times New Roman" w:hAnsi="Times New Roman"/>
          <w:color w:val="auto"/>
        </w:rPr>
        <w:t>（签字或盖章）</w:t>
      </w:r>
    </w:p>
    <w:p>
      <w:pPr>
        <w:pStyle w:val="12"/>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pPr>
        <w:pStyle w:val="12"/>
        <w:spacing w:line="360" w:lineRule="auto"/>
        <w:ind w:firstLine="420"/>
        <w:rPr>
          <w:color w:val="auto"/>
          <w:u w:val="single"/>
        </w:rPr>
      </w:pPr>
      <w:r>
        <w:rPr>
          <w:rFonts w:hint="eastAsia"/>
          <w:color w:val="auto"/>
        </w:rPr>
        <w:t>电话：</w:t>
      </w:r>
      <w:r>
        <w:rPr>
          <w:rFonts w:hint="eastAsia"/>
          <w:color w:val="auto"/>
          <w:u w:val="single"/>
        </w:rPr>
        <w:t xml:space="preserve">                                      　　　　　　　　　</w:t>
      </w:r>
    </w:p>
    <w:p>
      <w:pPr>
        <w:pStyle w:val="12"/>
        <w:spacing w:line="360" w:lineRule="auto"/>
        <w:ind w:firstLine="420"/>
        <w:rPr>
          <w:color w:val="auto"/>
        </w:rPr>
      </w:pPr>
      <w:r>
        <w:rPr>
          <w:rFonts w:hint="eastAsia"/>
          <w:color w:val="auto"/>
        </w:rPr>
        <w:t>传真：</w:t>
      </w:r>
      <w:r>
        <w:rPr>
          <w:rFonts w:hint="eastAsia"/>
          <w:color w:val="auto"/>
          <w:u w:val="single"/>
        </w:rPr>
        <w:t>　　　　　　　　　　　　　　　　　　　　　　　　　　　　</w:t>
      </w:r>
    </w:p>
    <w:p>
      <w:pPr>
        <w:pStyle w:val="12"/>
        <w:spacing w:line="360" w:lineRule="auto"/>
        <w:ind w:firstLine="420"/>
        <w:rPr>
          <w:color w:val="auto"/>
          <w:u w:val="single"/>
        </w:rPr>
      </w:pPr>
      <w:r>
        <w:rPr>
          <w:rFonts w:hint="eastAsia"/>
          <w:color w:val="auto"/>
        </w:rPr>
        <w:t>邮政编码：</w:t>
      </w:r>
      <w:r>
        <w:rPr>
          <w:rFonts w:hint="eastAsia"/>
          <w:color w:val="auto"/>
          <w:u w:val="single"/>
        </w:rPr>
        <w:t xml:space="preserve">                                                    </w:t>
      </w:r>
    </w:p>
    <w:p>
      <w:pPr>
        <w:pStyle w:val="12"/>
        <w:spacing w:line="360" w:lineRule="auto"/>
        <w:ind w:firstLine="420"/>
        <w:rPr>
          <w:color w:val="auto"/>
          <w:u w:val="single"/>
        </w:rPr>
      </w:pPr>
      <w:r>
        <w:rPr>
          <w:rFonts w:hint="eastAsia"/>
          <w:color w:val="auto"/>
        </w:rPr>
        <w:t>开户名称：</w:t>
      </w:r>
      <w:r>
        <w:rPr>
          <w:rFonts w:hint="eastAsia"/>
          <w:color w:val="auto"/>
          <w:u w:val="single"/>
        </w:rPr>
        <w:t xml:space="preserve">                                                    </w:t>
      </w:r>
    </w:p>
    <w:p>
      <w:pPr>
        <w:pStyle w:val="12"/>
        <w:spacing w:line="360" w:lineRule="auto"/>
        <w:ind w:firstLine="420"/>
        <w:rPr>
          <w:color w:val="auto"/>
          <w:u w:val="single"/>
        </w:rPr>
      </w:pPr>
      <w:r>
        <w:rPr>
          <w:rFonts w:hint="eastAsia"/>
          <w:color w:val="auto"/>
        </w:rPr>
        <w:t>开户银行：</w:t>
      </w:r>
      <w:r>
        <w:rPr>
          <w:rFonts w:hint="eastAsia"/>
          <w:color w:val="auto"/>
          <w:u w:val="single"/>
        </w:rPr>
        <w:t xml:space="preserve">                                                    </w:t>
      </w:r>
    </w:p>
    <w:p>
      <w:pPr>
        <w:pStyle w:val="12"/>
        <w:spacing w:line="360" w:lineRule="auto"/>
        <w:ind w:firstLine="420"/>
        <w:rPr>
          <w:color w:val="auto"/>
          <w:u w:val="single"/>
        </w:rPr>
      </w:pPr>
      <w:r>
        <w:rPr>
          <w:rFonts w:hint="eastAsia"/>
          <w:color w:val="auto"/>
        </w:rPr>
        <w:t>银行账号：</w:t>
      </w:r>
      <w:r>
        <w:rPr>
          <w:rFonts w:hint="eastAsia"/>
          <w:color w:val="auto"/>
          <w:u w:val="single"/>
        </w:rPr>
        <w:t xml:space="preserve">                                                    </w:t>
      </w:r>
    </w:p>
    <w:p>
      <w:pPr>
        <w:pStyle w:val="12"/>
        <w:spacing w:line="360" w:lineRule="auto"/>
        <w:ind w:firstLine="420"/>
        <w:rPr>
          <w:color w:val="auto"/>
          <w:u w:val="single"/>
        </w:rPr>
      </w:pPr>
    </w:p>
    <w:p>
      <w:pPr>
        <w:pStyle w:val="12"/>
        <w:spacing w:line="360" w:lineRule="auto"/>
        <w:ind w:firstLine="420"/>
        <w:jc w:val="right"/>
        <w:rPr>
          <w:color w:val="auto"/>
          <w:u w:val="single"/>
        </w:rPr>
      </w:pPr>
      <w:r>
        <w:rPr>
          <w:rFonts w:hint="eastAsia"/>
          <w:bCs/>
          <w:color w:val="auto"/>
          <w:u w:val="single"/>
        </w:rPr>
        <w:t xml:space="preserve">    </w:t>
      </w:r>
      <w:r>
        <w:rPr>
          <w:rFonts w:hint="eastAsia"/>
          <w:bCs/>
          <w:color w:val="auto"/>
        </w:rPr>
        <w:t>年</w:t>
      </w:r>
      <w:r>
        <w:rPr>
          <w:rFonts w:hint="eastAsia"/>
          <w:bCs/>
          <w:color w:val="auto"/>
          <w:u w:val="single"/>
        </w:rPr>
        <w:t xml:space="preserve">    </w:t>
      </w:r>
      <w:r>
        <w:rPr>
          <w:rFonts w:hint="eastAsia"/>
          <w:bCs/>
          <w:color w:val="auto"/>
        </w:rPr>
        <w:t>月</w:t>
      </w:r>
      <w:r>
        <w:rPr>
          <w:rFonts w:hint="eastAsia"/>
          <w:bCs/>
          <w:color w:val="auto"/>
          <w:u w:val="single"/>
        </w:rPr>
        <w:t xml:space="preserve">    </w:t>
      </w:r>
      <w:r>
        <w:rPr>
          <w:rFonts w:hint="eastAsia"/>
          <w:bCs/>
          <w:color w:val="auto"/>
        </w:rPr>
        <w:t>日</w:t>
      </w:r>
    </w:p>
    <w:p>
      <w:pPr>
        <w:pStyle w:val="12"/>
        <w:spacing w:line="360" w:lineRule="auto"/>
        <w:ind w:firstLine="420"/>
        <w:rPr>
          <w:rFonts w:ascii="Times New Roman" w:hAnsi="Times New Roman"/>
          <w:b/>
          <w:bCs/>
          <w:color w:val="auto"/>
          <w:sz w:val="30"/>
          <w:szCs w:val="30"/>
        </w:rPr>
      </w:pPr>
      <w:r>
        <w:rPr>
          <w:rFonts w:ascii="黑体" w:eastAsia="黑体"/>
          <w:b/>
          <w:bCs/>
          <w:color w:val="auto"/>
        </w:rPr>
        <w:br w:type="page"/>
      </w:r>
    </w:p>
    <w:p>
      <w:pPr>
        <w:pStyle w:val="12"/>
        <w:spacing w:line="500" w:lineRule="exact"/>
        <w:jc w:val="center"/>
        <w:rPr>
          <w:rFonts w:ascii="Times New Roman" w:hAnsi="Times New Roman"/>
          <w:b/>
          <w:bCs/>
          <w:color w:val="auto"/>
          <w:sz w:val="30"/>
          <w:szCs w:val="30"/>
        </w:rPr>
      </w:pPr>
    </w:p>
    <w:p>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二、谈判报价表（格式）</w:t>
      </w:r>
    </w:p>
    <w:p>
      <w:pPr>
        <w:pStyle w:val="12"/>
        <w:rPr>
          <w:rFonts w:ascii="Times New Roman" w:hAnsi="Times New Roman"/>
          <w:b/>
          <w:color w:val="auto"/>
          <w:sz w:val="24"/>
          <w:szCs w:val="24"/>
        </w:rPr>
      </w:pPr>
    </w:p>
    <w:tbl>
      <w:tblPr>
        <w:tblStyle w:val="20"/>
        <w:tblW w:w="9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370"/>
        <w:gridCol w:w="1053"/>
        <w:gridCol w:w="1298"/>
        <w:gridCol w:w="1242"/>
        <w:gridCol w:w="810"/>
        <w:gridCol w:w="796"/>
        <w:gridCol w:w="1062"/>
        <w:gridCol w:w="1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项号</w:t>
            </w:r>
          </w:p>
        </w:tc>
        <w:tc>
          <w:tcPr>
            <w:tcW w:w="13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货物名称</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产地</w:t>
            </w:r>
          </w:p>
        </w:tc>
        <w:tc>
          <w:tcPr>
            <w:tcW w:w="12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品牌及厂家</w:t>
            </w: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规格型号</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数量</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单位</w:t>
            </w: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单价（元）</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投标报价</w:t>
            </w:r>
          </w:p>
          <w:p>
            <w:pPr>
              <w:snapToGrid w:val="0"/>
              <w:spacing w:before="50" w:after="50"/>
              <w:jc w:val="center"/>
              <w:rPr>
                <w:rFonts w:ascii="宋体" w:hAnsi="宋体" w:cs="宋体"/>
                <w:b/>
                <w:color w:val="auto"/>
                <w:szCs w:val="21"/>
              </w:rPr>
            </w:pPr>
            <w:r>
              <w:rPr>
                <w:rFonts w:hint="eastAsia" w:ascii="宋体" w:hAnsi="宋体" w:cs="宋体"/>
                <w:b/>
                <w:color w:val="auto"/>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1</w:t>
            </w:r>
          </w:p>
        </w:tc>
        <w:tc>
          <w:tcPr>
            <w:tcW w:w="13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2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2</w:t>
            </w:r>
          </w:p>
        </w:tc>
        <w:tc>
          <w:tcPr>
            <w:tcW w:w="13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2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w:t>
            </w:r>
          </w:p>
        </w:tc>
        <w:tc>
          <w:tcPr>
            <w:tcW w:w="13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2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3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12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732"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rPr>
                <w:rFonts w:ascii="宋体" w:hAnsi="宋体" w:cs="宋体"/>
                <w:color w:val="auto"/>
                <w:szCs w:val="21"/>
              </w:rPr>
            </w:pPr>
            <w:r>
              <w:rPr>
                <w:rFonts w:hint="eastAsia" w:ascii="宋体" w:hAnsi="宋体" w:cs="仿宋_GB2312"/>
                <w:color w:val="auto"/>
                <w:szCs w:val="21"/>
              </w:rPr>
              <w:t>合计金额大写：人民币</w:t>
            </w:r>
            <w:r>
              <w:rPr>
                <w:rFonts w:hint="eastAsia" w:ascii="宋体" w:hAnsi="宋体" w:cs="仿宋_GB2312"/>
                <w:color w:val="auto"/>
                <w:szCs w:val="21"/>
                <w:u w:val="single"/>
              </w:rPr>
              <w:t xml:space="preserve">           </w:t>
            </w:r>
            <w:r>
              <w:rPr>
                <w:rFonts w:hint="eastAsia" w:ascii="宋体" w:hAnsi="宋体" w:cs="仿宋_GB2312"/>
                <w:color w:val="auto"/>
                <w:szCs w:val="21"/>
              </w:rPr>
              <w:t>（￥</w:t>
            </w:r>
            <w:r>
              <w:rPr>
                <w:rFonts w:hint="eastAsia" w:ascii="宋体" w:hAnsi="宋体" w:cs="仿宋_GB2312"/>
                <w:color w:val="auto"/>
                <w:szCs w:val="21"/>
                <w:u w:val="single"/>
              </w:rPr>
              <w:t xml:space="preserve">           </w:t>
            </w:r>
            <w:r>
              <w:rPr>
                <w:rFonts w:hint="eastAsia" w:ascii="宋体" w:hAnsi="宋体" w:cs="仿宋_GB2312"/>
                <w:color w:val="auto"/>
                <w:szCs w:val="21"/>
              </w:rPr>
              <w:t>）</w:t>
            </w:r>
          </w:p>
        </w:tc>
      </w:tr>
    </w:tbl>
    <w:p>
      <w:pPr>
        <w:pStyle w:val="12"/>
        <w:rPr>
          <w:color w:val="auto"/>
        </w:rPr>
      </w:pPr>
      <w:r>
        <w:rPr>
          <w:rFonts w:hint="eastAsia"/>
          <w:color w:val="auto"/>
        </w:rPr>
        <w:t xml:space="preserve">注: </w:t>
      </w:r>
    </w:p>
    <w:p>
      <w:pPr>
        <w:pStyle w:val="12"/>
        <w:rPr>
          <w:color w:val="auto"/>
        </w:rPr>
      </w:pPr>
      <w:r>
        <w:rPr>
          <w:rFonts w:hint="eastAsia"/>
          <w:color w:val="auto"/>
        </w:rPr>
        <w:t>1.供应商的谈判报价表必须加盖供应商公章并由</w:t>
      </w:r>
      <w:r>
        <w:rPr>
          <w:color w:val="auto"/>
        </w:rPr>
        <w:t>法定代表人或委托代理人</w:t>
      </w:r>
      <w:r>
        <w:rPr>
          <w:rFonts w:hint="eastAsia"/>
          <w:color w:val="auto"/>
        </w:rPr>
        <w:t>签字，否则其谈判作无效标处理。</w:t>
      </w:r>
    </w:p>
    <w:p>
      <w:pPr>
        <w:pStyle w:val="12"/>
        <w:rPr>
          <w:color w:val="auto"/>
        </w:rPr>
      </w:pPr>
      <w:r>
        <w:rPr>
          <w:rFonts w:hint="eastAsia"/>
          <w:color w:val="auto"/>
        </w:rPr>
        <w:t>2.报价一经涂改，应在涂改处加盖供应商公章或者由法定代表人或授权委托人签字或盖章，否则其谈判作无效处理。</w:t>
      </w:r>
    </w:p>
    <w:p>
      <w:pPr>
        <w:pStyle w:val="12"/>
        <w:rPr>
          <w:color w:val="auto"/>
        </w:rPr>
      </w:pPr>
      <w:r>
        <w:rPr>
          <w:rFonts w:hint="eastAsia"/>
          <w:color w:val="auto"/>
        </w:rPr>
        <w:t>3.采购文件中列明采购专用耗材的，应按采购文件规定的耗材量或按耗材的常规试用量提供报价。</w:t>
      </w: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spacing w:line="600" w:lineRule="exact"/>
        <w:rPr>
          <w:rFonts w:ascii="Times New Roman" w:hAnsi="Times New Roman"/>
          <w:color w:val="auto"/>
          <w:u w:val="single"/>
        </w:rPr>
      </w:pPr>
      <w:r>
        <w:rPr>
          <w:rFonts w:hint="eastAsia" w:ascii="Times New Roman" w:hAnsi="Times New Roman"/>
          <w:color w:val="auto"/>
        </w:rPr>
        <w:t>谈判供应商（盖单位公章）：</w:t>
      </w:r>
      <w:r>
        <w:rPr>
          <w:rFonts w:ascii="Times New Roman" w:hAnsi="Times New Roman"/>
          <w:color w:val="auto"/>
          <w:u w:val="single"/>
        </w:rPr>
        <w:t xml:space="preserve">                                    </w:t>
      </w:r>
    </w:p>
    <w:p>
      <w:pPr>
        <w:pStyle w:val="12"/>
        <w:spacing w:line="500" w:lineRule="exact"/>
        <w:rPr>
          <w:rFonts w:ascii="Times New Roman" w:hAnsi="Times New Roman"/>
          <w:color w:val="auto"/>
          <w:u w:val="single"/>
        </w:rPr>
      </w:pPr>
      <w:r>
        <w:rPr>
          <w:rFonts w:hint="eastAsia" w:ascii="Times New Roman" w:hAnsi="Times New Roman"/>
          <w:color w:val="auto"/>
        </w:rPr>
        <w:t>法定代表人或其委托代理人（签字或盖章）：</w:t>
      </w:r>
      <w:r>
        <w:rPr>
          <w:rFonts w:ascii="Times New Roman" w:hAnsi="Times New Roman"/>
          <w:color w:val="auto"/>
          <w:u w:val="single"/>
        </w:rPr>
        <w:t xml:space="preserve">                  </w:t>
      </w:r>
    </w:p>
    <w:p>
      <w:pPr>
        <w:adjustRightInd w:val="0"/>
        <w:snapToGrid w:val="0"/>
        <w:spacing w:line="300" w:lineRule="auto"/>
        <w:jc w:val="right"/>
        <w:rPr>
          <w:rFonts w:ascii="宋体" w:hAnsi="宋体"/>
          <w:color w:val="auto"/>
          <w:szCs w:val="21"/>
          <w:u w:val="single"/>
        </w:rPr>
      </w:pPr>
      <w:r>
        <w:rPr>
          <w:rFonts w:hint="eastAsia" w:ascii="宋体" w:hAnsi="宋体"/>
          <w:color w:val="auto"/>
          <w:szCs w:val="21"/>
        </w:rPr>
        <w:t xml:space="preserve">  </w:t>
      </w:r>
    </w:p>
    <w:p>
      <w:pPr>
        <w:spacing w:line="320" w:lineRule="exact"/>
        <w:rPr>
          <w:rFonts w:ascii="宋体" w:hAnsi="宋体"/>
          <w:b/>
          <w:color w:val="auto"/>
          <w:szCs w:val="21"/>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240" w:lineRule="atLeast"/>
        <w:jc w:val="center"/>
        <w:rPr>
          <w:rFonts w:ascii="宋体" w:hAnsi="宋体"/>
          <w:b/>
          <w:color w:val="auto"/>
          <w:sz w:val="32"/>
          <w:szCs w:val="32"/>
        </w:rPr>
      </w:pPr>
    </w:p>
    <w:p>
      <w:pPr>
        <w:pStyle w:val="2"/>
        <w:rPr>
          <w:color w:val="auto"/>
        </w:rPr>
      </w:pPr>
    </w:p>
    <w:p>
      <w:pPr>
        <w:pStyle w:val="19"/>
        <w:ind w:firstLine="0" w:firstLineChars="0"/>
        <w:rPr>
          <w:rFonts w:ascii="宋体" w:hAnsi="宋体"/>
          <w:b/>
          <w:color w:val="auto"/>
          <w:sz w:val="32"/>
          <w:szCs w:val="32"/>
        </w:rPr>
      </w:pPr>
    </w:p>
    <w:p>
      <w:pPr>
        <w:spacing w:line="320" w:lineRule="exact"/>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r>
        <w:rPr>
          <w:rFonts w:hint="eastAsia" w:ascii="宋体" w:hAnsi="宋体"/>
          <w:b/>
          <w:color w:val="auto"/>
          <w:sz w:val="32"/>
          <w:szCs w:val="32"/>
        </w:rPr>
        <w:t>三、谈  判  书（格式）</w:t>
      </w:r>
    </w:p>
    <w:p>
      <w:pPr>
        <w:spacing w:line="320" w:lineRule="exact"/>
        <w:jc w:val="center"/>
        <w:rPr>
          <w:rFonts w:ascii="宋体" w:hAnsi="宋体"/>
          <w:b/>
          <w:color w:val="auto"/>
          <w:sz w:val="32"/>
          <w:szCs w:val="32"/>
        </w:rPr>
      </w:pPr>
    </w:p>
    <w:p>
      <w:pPr>
        <w:pStyle w:val="12"/>
        <w:spacing w:line="320" w:lineRule="exact"/>
        <w:rPr>
          <w:rFonts w:hAnsi="宋体"/>
          <w:color w:val="auto"/>
          <w:sz w:val="21"/>
          <w:u w:val="single"/>
        </w:rPr>
      </w:pPr>
    </w:p>
    <w:p>
      <w:pPr>
        <w:pStyle w:val="12"/>
        <w:spacing w:line="320" w:lineRule="exact"/>
        <w:rPr>
          <w:rFonts w:hAnsi="宋体"/>
          <w:color w:val="auto"/>
          <w:sz w:val="21"/>
        </w:rPr>
      </w:pPr>
      <w:r>
        <w:rPr>
          <w:rFonts w:hint="eastAsia" w:hAnsi="宋体"/>
          <w:color w:val="auto"/>
          <w:sz w:val="21"/>
          <w:u w:val="single"/>
        </w:rPr>
        <w:t>采购代理机构</w:t>
      </w:r>
      <w:r>
        <w:rPr>
          <w:rFonts w:hint="eastAsia" w:hAnsi="宋体"/>
          <w:color w:val="auto"/>
          <w:sz w:val="21"/>
        </w:rPr>
        <w:t>：</w:t>
      </w:r>
    </w:p>
    <w:p>
      <w:pPr>
        <w:pStyle w:val="12"/>
        <w:spacing w:line="320" w:lineRule="exact"/>
        <w:ind w:firstLine="480"/>
        <w:rPr>
          <w:rFonts w:hAnsi="宋体"/>
          <w:color w:val="auto"/>
          <w:sz w:val="21"/>
        </w:rPr>
      </w:pPr>
      <w:r>
        <w:rPr>
          <w:rFonts w:hint="eastAsia" w:hAnsi="宋体"/>
          <w:color w:val="auto"/>
          <w:sz w:val="21"/>
        </w:rPr>
        <w:t>依据贵方</w:t>
      </w:r>
      <w:r>
        <w:rPr>
          <w:rFonts w:hint="eastAsia" w:hAnsi="宋体"/>
          <w:color w:val="auto"/>
          <w:sz w:val="21"/>
          <w:u w:val="single"/>
        </w:rPr>
        <w:t>（项目名称/文件编号）</w:t>
      </w:r>
      <w:r>
        <w:rPr>
          <w:rFonts w:hint="eastAsia" w:hAnsi="宋体"/>
          <w:color w:val="auto"/>
          <w:sz w:val="21"/>
        </w:rPr>
        <w:t>项目政府采购的谈判邀请，我方</w:t>
      </w:r>
      <w:r>
        <w:rPr>
          <w:rFonts w:hint="eastAsia" w:hAnsi="宋体"/>
          <w:color w:val="auto"/>
          <w:sz w:val="21"/>
          <w:u w:val="single"/>
        </w:rPr>
        <w:t>（姓名和职务）</w:t>
      </w:r>
      <w:r>
        <w:rPr>
          <w:rFonts w:hint="eastAsia" w:hAnsi="宋体"/>
          <w:color w:val="auto"/>
          <w:sz w:val="21"/>
        </w:rPr>
        <w:t>经正式授权并代表谈判供应商</w:t>
      </w:r>
      <w:r>
        <w:rPr>
          <w:rFonts w:hint="eastAsia" w:hAnsi="宋体"/>
          <w:color w:val="auto"/>
          <w:sz w:val="21"/>
          <w:u w:val="single"/>
        </w:rPr>
        <w:t>（谈判供应商名称、地址）</w:t>
      </w:r>
      <w:r>
        <w:rPr>
          <w:rFonts w:hint="eastAsia" w:hAnsi="宋体"/>
          <w:color w:val="auto"/>
          <w:sz w:val="21"/>
        </w:rPr>
        <w:t>提交下述竞争性谈判响应文件正本各一份，副本各四份。</w:t>
      </w:r>
    </w:p>
    <w:p>
      <w:pPr>
        <w:spacing w:line="400" w:lineRule="exact"/>
        <w:ind w:firstLine="420" w:firstLineChars="200"/>
        <w:rPr>
          <w:rFonts w:ascii="宋体" w:hAnsi="宋体"/>
          <w:color w:val="auto"/>
          <w:szCs w:val="21"/>
        </w:rPr>
      </w:pPr>
      <w:r>
        <w:rPr>
          <w:rFonts w:hint="eastAsia" w:ascii="宋体" w:hAnsi="宋体"/>
          <w:color w:val="auto"/>
          <w:szCs w:val="21"/>
        </w:rPr>
        <w:t>1.谈判书</w:t>
      </w:r>
    </w:p>
    <w:p>
      <w:pPr>
        <w:spacing w:line="400" w:lineRule="exact"/>
        <w:ind w:firstLine="420" w:firstLineChars="200"/>
        <w:rPr>
          <w:rFonts w:ascii="宋体" w:hAnsi="宋体"/>
          <w:color w:val="auto"/>
          <w:szCs w:val="21"/>
        </w:rPr>
      </w:pPr>
      <w:r>
        <w:rPr>
          <w:rFonts w:hint="eastAsia" w:ascii="宋体" w:hAnsi="宋体"/>
          <w:color w:val="auto"/>
          <w:szCs w:val="21"/>
        </w:rPr>
        <w:t>2.供货清单</w:t>
      </w:r>
    </w:p>
    <w:p>
      <w:pPr>
        <w:spacing w:line="400" w:lineRule="exact"/>
        <w:ind w:firstLine="420" w:firstLineChars="200"/>
        <w:rPr>
          <w:rFonts w:ascii="宋体" w:hAnsi="宋体"/>
          <w:color w:val="auto"/>
          <w:szCs w:val="21"/>
        </w:rPr>
      </w:pPr>
      <w:r>
        <w:rPr>
          <w:rFonts w:hint="eastAsia" w:ascii="宋体" w:hAnsi="宋体"/>
          <w:color w:val="auto"/>
          <w:szCs w:val="21"/>
        </w:rPr>
        <w:t>3.技术响应、偏离情况说明表</w:t>
      </w:r>
    </w:p>
    <w:p>
      <w:pPr>
        <w:spacing w:line="400" w:lineRule="exact"/>
        <w:ind w:firstLine="420" w:firstLineChars="200"/>
        <w:rPr>
          <w:rFonts w:ascii="宋体" w:hAnsi="宋体"/>
          <w:color w:val="auto"/>
          <w:szCs w:val="21"/>
        </w:rPr>
      </w:pPr>
      <w:r>
        <w:rPr>
          <w:rFonts w:hint="eastAsia" w:ascii="宋体" w:hAnsi="宋体"/>
          <w:color w:val="auto"/>
          <w:szCs w:val="21"/>
        </w:rPr>
        <w:t>4.售后服务承诺书</w:t>
      </w:r>
    </w:p>
    <w:p>
      <w:pPr>
        <w:spacing w:line="400" w:lineRule="exact"/>
        <w:ind w:firstLine="420" w:firstLineChars="200"/>
        <w:rPr>
          <w:rFonts w:ascii="宋体" w:hAnsi="宋体"/>
          <w:color w:val="auto"/>
          <w:szCs w:val="21"/>
        </w:rPr>
      </w:pPr>
      <w:r>
        <w:rPr>
          <w:rFonts w:hint="eastAsia" w:ascii="宋体" w:hAnsi="宋体"/>
          <w:color w:val="auto"/>
          <w:szCs w:val="21"/>
        </w:rPr>
        <w:t>5.谈判供应商资格证明文件</w:t>
      </w:r>
    </w:p>
    <w:p>
      <w:pPr>
        <w:spacing w:line="400" w:lineRule="exact"/>
        <w:ind w:firstLine="420" w:firstLineChars="200"/>
        <w:rPr>
          <w:rFonts w:ascii="宋体" w:hAnsi="宋体"/>
          <w:color w:val="auto"/>
          <w:szCs w:val="21"/>
        </w:rPr>
      </w:pPr>
      <w:r>
        <w:rPr>
          <w:rFonts w:hint="eastAsia" w:ascii="宋体" w:hAnsi="宋体"/>
          <w:color w:val="auto"/>
          <w:szCs w:val="21"/>
        </w:rPr>
        <w:t>6.谈判供应商货物合格证明文件</w:t>
      </w:r>
    </w:p>
    <w:p>
      <w:pPr>
        <w:spacing w:line="400" w:lineRule="exact"/>
        <w:ind w:firstLine="420" w:firstLineChars="200"/>
        <w:rPr>
          <w:rFonts w:ascii="宋体" w:hAnsi="宋体"/>
          <w:color w:val="auto"/>
          <w:szCs w:val="21"/>
        </w:rPr>
      </w:pPr>
      <w:r>
        <w:rPr>
          <w:rFonts w:hint="eastAsia" w:ascii="宋体" w:hAnsi="宋体"/>
          <w:color w:val="auto"/>
          <w:szCs w:val="21"/>
        </w:rPr>
        <w:t>7.谈判供应商必须提供的其他材料</w:t>
      </w:r>
    </w:p>
    <w:p>
      <w:pPr>
        <w:pStyle w:val="12"/>
        <w:spacing w:line="320" w:lineRule="exact"/>
        <w:rPr>
          <w:rFonts w:hAnsi="宋体"/>
          <w:color w:val="auto"/>
          <w:sz w:val="21"/>
        </w:rPr>
      </w:pPr>
      <w:r>
        <w:rPr>
          <w:rFonts w:hint="eastAsia" w:hAnsi="宋体"/>
          <w:color w:val="auto"/>
          <w:sz w:val="21"/>
        </w:rPr>
        <w:t>在此，委托代理人宣布同意如下：</w:t>
      </w:r>
    </w:p>
    <w:p>
      <w:pPr>
        <w:pStyle w:val="12"/>
        <w:spacing w:line="320" w:lineRule="exact"/>
        <w:ind w:firstLine="480"/>
        <w:rPr>
          <w:rFonts w:hAnsi="宋体"/>
          <w:color w:val="auto"/>
          <w:sz w:val="21"/>
        </w:rPr>
      </w:pPr>
      <w:r>
        <w:rPr>
          <w:rFonts w:hint="eastAsia" w:hAnsi="宋体"/>
          <w:color w:val="auto"/>
          <w:sz w:val="21"/>
        </w:rPr>
        <w:t>1.将按竞争性谈判采购文件的约定履行合同责任和义务；</w:t>
      </w:r>
    </w:p>
    <w:p>
      <w:pPr>
        <w:pStyle w:val="12"/>
        <w:spacing w:line="320" w:lineRule="exact"/>
        <w:ind w:firstLine="480"/>
        <w:rPr>
          <w:rFonts w:hAnsi="宋体"/>
          <w:color w:val="auto"/>
          <w:sz w:val="21"/>
        </w:rPr>
      </w:pPr>
      <w:r>
        <w:rPr>
          <w:rFonts w:hint="eastAsia" w:hAnsi="宋体"/>
          <w:color w:val="auto"/>
          <w:sz w:val="21"/>
        </w:rPr>
        <w:t>2.已详细审查全部竞争性谈判采购文件，包括</w:t>
      </w:r>
      <w:r>
        <w:rPr>
          <w:rFonts w:hint="eastAsia" w:hAnsi="宋体"/>
          <w:color w:val="auto"/>
          <w:sz w:val="21"/>
          <w:u w:val="single"/>
        </w:rPr>
        <w:t>（</w:t>
      </w:r>
      <w:r>
        <w:rPr>
          <w:rFonts w:hint="eastAsia" w:hAnsi="宋体"/>
          <w:color w:val="auto"/>
          <w:sz w:val="21"/>
          <w:u w:val="single"/>
          <w:lang w:val="en-US" w:eastAsia="zh-CN"/>
        </w:rPr>
        <w:t>更正内容</w:t>
      </w:r>
      <w:r>
        <w:rPr>
          <w:rFonts w:hint="eastAsia" w:hAnsi="宋体"/>
          <w:color w:val="auto"/>
          <w:sz w:val="21"/>
          <w:u w:val="single"/>
        </w:rPr>
        <w:t>）（如果有的话）</w:t>
      </w:r>
      <w:r>
        <w:rPr>
          <w:rFonts w:hint="eastAsia" w:hAnsi="宋体"/>
          <w:color w:val="auto"/>
          <w:sz w:val="21"/>
        </w:rPr>
        <w:t>；我们完全理解并同意放弃对这方面有不明及误解的权力；</w:t>
      </w:r>
    </w:p>
    <w:p>
      <w:pPr>
        <w:pStyle w:val="12"/>
        <w:spacing w:line="320" w:lineRule="exact"/>
        <w:ind w:left="840" w:hanging="360"/>
        <w:rPr>
          <w:rFonts w:hAnsi="宋体"/>
          <w:color w:val="auto"/>
          <w:sz w:val="21"/>
        </w:rPr>
      </w:pPr>
      <w:r>
        <w:rPr>
          <w:rFonts w:hint="eastAsia" w:hAnsi="宋体"/>
          <w:color w:val="auto"/>
          <w:sz w:val="21"/>
        </w:rPr>
        <w:t>3.同意提供按照贵方可能要求的与其谈判有关的一切数据或资料；</w:t>
      </w:r>
    </w:p>
    <w:p>
      <w:pPr>
        <w:pStyle w:val="12"/>
        <w:spacing w:line="320" w:lineRule="exact"/>
        <w:ind w:firstLine="480"/>
        <w:rPr>
          <w:rFonts w:hAnsi="宋体"/>
          <w:color w:val="auto"/>
          <w:sz w:val="21"/>
          <w:u w:val="single"/>
        </w:rPr>
      </w:pPr>
      <w:r>
        <w:rPr>
          <w:rFonts w:hint="eastAsia" w:hAnsi="宋体"/>
          <w:color w:val="auto"/>
          <w:sz w:val="21"/>
        </w:rPr>
        <w:t>4.与本谈判有关的一切正式往来信函请寄：</w:t>
      </w:r>
      <w:r>
        <w:rPr>
          <w:rFonts w:hint="eastAsia" w:hAnsi="宋体"/>
          <w:color w:val="auto"/>
          <w:sz w:val="21"/>
          <w:u w:val="single"/>
        </w:rPr>
        <w:t xml:space="preserve">                       </w:t>
      </w:r>
    </w:p>
    <w:p>
      <w:pPr>
        <w:pStyle w:val="12"/>
        <w:spacing w:line="320" w:lineRule="exact"/>
        <w:ind w:firstLine="718" w:firstLineChars="342"/>
        <w:rPr>
          <w:rFonts w:hAnsi="宋体"/>
          <w:color w:val="auto"/>
          <w:sz w:val="21"/>
        </w:rPr>
      </w:pPr>
      <w:r>
        <w:rPr>
          <w:rFonts w:hint="eastAsia" w:hAnsi="宋体"/>
          <w:color w:val="auto"/>
          <w:sz w:val="21"/>
        </w:rPr>
        <w:t>电话/传真：</w:t>
      </w:r>
      <w:r>
        <w:rPr>
          <w:rFonts w:hint="eastAsia" w:hAnsi="宋体"/>
          <w:color w:val="auto"/>
          <w:sz w:val="21"/>
          <w:u w:val="single"/>
        </w:rPr>
        <w:t xml:space="preserve">                        </w:t>
      </w:r>
      <w:r>
        <w:rPr>
          <w:rFonts w:hint="eastAsia" w:hAnsi="宋体"/>
          <w:color w:val="auto"/>
          <w:sz w:val="21"/>
        </w:rPr>
        <w:t xml:space="preserve"> 电子函件：</w:t>
      </w:r>
      <w:r>
        <w:rPr>
          <w:rFonts w:hint="eastAsia" w:hAnsi="宋体"/>
          <w:color w:val="auto"/>
          <w:sz w:val="21"/>
          <w:u w:val="single"/>
        </w:rPr>
        <w:t xml:space="preserve">             </w:t>
      </w:r>
      <w:r>
        <w:rPr>
          <w:rFonts w:hint="eastAsia" w:hAnsi="宋体"/>
          <w:color w:val="auto"/>
          <w:sz w:val="21"/>
        </w:rPr>
        <w:t xml:space="preserve">              </w:t>
      </w:r>
    </w:p>
    <w:p>
      <w:pPr>
        <w:pStyle w:val="12"/>
        <w:spacing w:line="320" w:lineRule="exact"/>
        <w:ind w:firstLine="718" w:firstLineChars="342"/>
        <w:rPr>
          <w:rFonts w:hAnsi="宋体"/>
          <w:color w:val="auto"/>
          <w:sz w:val="21"/>
          <w:u w:val="single"/>
        </w:rPr>
      </w:pPr>
      <w:r>
        <w:rPr>
          <w:rFonts w:hint="eastAsia" w:hAnsi="宋体"/>
          <w:color w:val="auto"/>
          <w:sz w:val="21"/>
        </w:rPr>
        <w:t>日期：</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月</w:t>
      </w:r>
      <w:r>
        <w:rPr>
          <w:rFonts w:hint="eastAsia" w:hAnsi="宋体"/>
          <w:color w:val="auto"/>
          <w:sz w:val="21"/>
          <w:u w:val="single"/>
        </w:rPr>
        <w:t xml:space="preserve">    </w:t>
      </w:r>
      <w:r>
        <w:rPr>
          <w:rFonts w:hint="eastAsia" w:hAnsi="宋体"/>
          <w:color w:val="auto"/>
          <w:sz w:val="21"/>
        </w:rPr>
        <w:t>日</w:t>
      </w:r>
    </w:p>
    <w:p>
      <w:pPr>
        <w:pStyle w:val="12"/>
        <w:spacing w:line="320" w:lineRule="exact"/>
        <w:ind w:firstLine="718" w:firstLineChars="342"/>
        <w:rPr>
          <w:rFonts w:hAnsi="宋体"/>
          <w:color w:val="auto"/>
          <w:sz w:val="21"/>
          <w:u w:val="single"/>
        </w:rPr>
      </w:pPr>
      <w:r>
        <w:rPr>
          <w:rFonts w:hint="eastAsia" w:hAnsi="宋体"/>
          <w:color w:val="auto"/>
          <w:sz w:val="21"/>
        </w:rPr>
        <w:t>谈判供应商或法定代表人委托代理人签字：</w:t>
      </w:r>
      <w:r>
        <w:rPr>
          <w:rFonts w:hint="eastAsia" w:hAnsi="宋体"/>
          <w:color w:val="auto"/>
          <w:sz w:val="21"/>
          <w:u w:val="single"/>
        </w:rPr>
        <w:t xml:space="preserve">                       </w:t>
      </w:r>
    </w:p>
    <w:p>
      <w:pPr>
        <w:pStyle w:val="12"/>
        <w:spacing w:line="320" w:lineRule="exact"/>
        <w:ind w:firstLine="720"/>
        <w:rPr>
          <w:rFonts w:hAnsi="宋体"/>
          <w:color w:val="auto"/>
          <w:sz w:val="21"/>
        </w:rPr>
      </w:pPr>
      <w:r>
        <w:rPr>
          <w:rFonts w:hint="eastAsia" w:hAnsi="宋体"/>
          <w:color w:val="auto"/>
          <w:sz w:val="21"/>
        </w:rPr>
        <w:t>谈判供应商名称（签章）：</w:t>
      </w:r>
      <w:r>
        <w:rPr>
          <w:rFonts w:hint="eastAsia" w:hAnsi="宋体"/>
          <w:color w:val="auto"/>
          <w:sz w:val="21"/>
          <w:u w:val="single"/>
        </w:rPr>
        <w:t xml:space="preserve">                                    </w:t>
      </w:r>
      <w:r>
        <w:rPr>
          <w:rFonts w:hint="eastAsia" w:hAnsi="宋体"/>
          <w:color w:val="auto"/>
          <w:sz w:val="21"/>
        </w:rPr>
        <w:t xml:space="preserve">                           </w:t>
      </w:r>
    </w:p>
    <w:p>
      <w:pPr>
        <w:pStyle w:val="12"/>
        <w:spacing w:line="320" w:lineRule="exact"/>
        <w:ind w:firstLine="720"/>
        <w:rPr>
          <w:rFonts w:hAnsi="宋体"/>
          <w:color w:val="auto"/>
        </w:rPr>
      </w:pPr>
      <w:r>
        <w:rPr>
          <w:rFonts w:hint="eastAsia" w:hAnsi="宋体"/>
          <w:color w:val="auto"/>
          <w:sz w:val="21"/>
        </w:rPr>
        <w:t>开户银行：</w:t>
      </w:r>
      <w:r>
        <w:rPr>
          <w:rFonts w:hint="eastAsia" w:hAnsi="宋体"/>
          <w:color w:val="auto"/>
          <w:sz w:val="21"/>
          <w:u w:val="single"/>
        </w:rPr>
        <w:t xml:space="preserve">                         </w:t>
      </w:r>
      <w:r>
        <w:rPr>
          <w:rFonts w:hint="eastAsia" w:hAnsi="宋体"/>
          <w:color w:val="auto"/>
          <w:sz w:val="21"/>
        </w:rPr>
        <w:t xml:space="preserve">  帐号/行号：</w:t>
      </w:r>
      <w:r>
        <w:rPr>
          <w:rFonts w:hint="eastAsia" w:hAnsi="宋体"/>
          <w:color w:val="auto"/>
          <w:sz w:val="21"/>
          <w:u w:val="single"/>
        </w:rPr>
        <w:t xml:space="preserve">           </w:t>
      </w:r>
      <w:r>
        <w:rPr>
          <w:rFonts w:hint="eastAsia" w:hAnsi="宋体"/>
          <w:color w:val="auto"/>
        </w:rPr>
        <w:t xml:space="preserve">                     </w:t>
      </w: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00" w:lineRule="auto"/>
        <w:rPr>
          <w:rFonts w:ascii="宋体" w:hAnsi="宋体"/>
          <w:b/>
          <w:color w:val="auto"/>
          <w:sz w:val="32"/>
          <w:szCs w:val="32"/>
        </w:rPr>
      </w:pPr>
    </w:p>
    <w:p>
      <w:pPr>
        <w:spacing w:line="300" w:lineRule="auto"/>
        <w:jc w:val="center"/>
        <w:rPr>
          <w:rFonts w:ascii="宋体" w:hAnsi="宋体"/>
          <w:b/>
          <w:color w:val="auto"/>
          <w:sz w:val="32"/>
          <w:szCs w:val="32"/>
        </w:rPr>
      </w:pPr>
    </w:p>
    <w:p>
      <w:pPr>
        <w:spacing w:line="300" w:lineRule="auto"/>
        <w:jc w:val="center"/>
        <w:rPr>
          <w:rFonts w:ascii="宋体" w:hAnsi="宋体"/>
          <w:b/>
          <w:color w:val="auto"/>
          <w:sz w:val="32"/>
          <w:szCs w:val="32"/>
        </w:rPr>
      </w:pPr>
      <w:r>
        <w:rPr>
          <w:rFonts w:hint="eastAsia" w:ascii="宋体" w:hAnsi="宋体"/>
          <w:b/>
          <w:color w:val="auto"/>
          <w:sz w:val="32"/>
          <w:szCs w:val="32"/>
        </w:rPr>
        <w:t>四、供  货  清  单（格式）</w:t>
      </w:r>
    </w:p>
    <w:p>
      <w:pPr>
        <w:spacing w:line="300" w:lineRule="auto"/>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 xml:space="preserve"> </w:t>
      </w:r>
    </w:p>
    <w:p>
      <w:pPr>
        <w:spacing w:line="30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20"/>
        <w:tblW w:w="97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6"/>
        <w:gridCol w:w="2402"/>
        <w:gridCol w:w="1846"/>
        <w:gridCol w:w="2159"/>
        <w:gridCol w:w="2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r>
              <w:rPr>
                <w:rFonts w:hint="eastAsia" w:ascii="宋体" w:hAnsi="宋体"/>
                <w:color w:val="auto"/>
                <w:szCs w:val="21"/>
              </w:rPr>
              <w:t>序号</w:t>
            </w: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r>
              <w:rPr>
                <w:rFonts w:hint="eastAsia" w:ascii="宋体" w:hAnsi="宋体"/>
                <w:color w:val="auto"/>
                <w:szCs w:val="21"/>
              </w:rPr>
              <w:t>货物名称</w:t>
            </w: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r>
              <w:rPr>
                <w:rFonts w:hint="eastAsia" w:ascii="宋体" w:hAnsi="宋体"/>
                <w:color w:val="auto"/>
                <w:szCs w:val="21"/>
              </w:rPr>
              <w:t>品牌</w:t>
            </w:r>
          </w:p>
        </w:tc>
        <w:tc>
          <w:tcPr>
            <w:tcW w:w="21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r>
              <w:rPr>
                <w:rFonts w:hint="eastAsia" w:ascii="宋体" w:hAnsi="宋体"/>
                <w:color w:val="auto"/>
                <w:szCs w:val="21"/>
              </w:rPr>
              <w:t>规格型号</w:t>
            </w:r>
          </w:p>
        </w:tc>
        <w:tc>
          <w:tcPr>
            <w:tcW w:w="23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r>
              <w:rPr>
                <w:rFonts w:hint="eastAsia" w:ascii="宋体" w:hAnsi="宋体"/>
                <w:color w:val="auto"/>
                <w:szCs w:val="21"/>
              </w:rPr>
              <w:t>数量及单位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1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3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1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3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1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23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r>
    </w:tbl>
    <w:p>
      <w:pPr>
        <w:pStyle w:val="12"/>
        <w:rPr>
          <w:color w:val="auto"/>
          <w:sz w:val="21"/>
        </w:rPr>
      </w:pPr>
    </w:p>
    <w:p>
      <w:pPr>
        <w:tabs>
          <w:tab w:val="left" w:pos="1065"/>
        </w:tabs>
        <w:adjustRightInd w:val="0"/>
        <w:snapToGrid w:val="0"/>
        <w:spacing w:line="300" w:lineRule="auto"/>
        <w:rPr>
          <w:rFonts w:ascii="宋体" w:hAnsi="宋体"/>
          <w:color w:val="auto"/>
          <w:szCs w:val="21"/>
        </w:rPr>
      </w:pPr>
      <w:r>
        <w:rPr>
          <w:rFonts w:hint="eastAsia" w:ascii="宋体" w:hAnsi="宋体"/>
          <w:color w:val="auto"/>
          <w:szCs w:val="21"/>
        </w:rPr>
        <w:tab/>
      </w:r>
    </w:p>
    <w:p>
      <w:pPr>
        <w:adjustRightInd w:val="0"/>
        <w:snapToGrid w:val="0"/>
        <w:spacing w:line="300" w:lineRule="auto"/>
        <w:rPr>
          <w:rFonts w:ascii="宋体" w:hAnsi="宋体"/>
          <w:color w:val="auto"/>
          <w:szCs w:val="21"/>
        </w:rPr>
      </w:pPr>
      <w:r>
        <w:rPr>
          <w:rFonts w:hint="eastAsia" w:ascii="宋体" w:hAnsi="宋体"/>
          <w:color w:val="auto"/>
          <w:szCs w:val="21"/>
        </w:rPr>
        <w:t>说明：1.提供所投设备详细的供货范围，包括主产品、主要配件及生产厂家、备品备件等。</w:t>
      </w:r>
    </w:p>
    <w:p>
      <w:pPr>
        <w:spacing w:line="300" w:lineRule="auto"/>
        <w:ind w:firstLine="630" w:firstLineChars="300"/>
        <w:rPr>
          <w:rFonts w:ascii="宋体" w:hAnsi="宋体"/>
          <w:color w:val="auto"/>
          <w:szCs w:val="21"/>
        </w:rPr>
      </w:pPr>
      <w:r>
        <w:rPr>
          <w:rFonts w:hint="eastAsia" w:ascii="宋体" w:hAnsi="宋体"/>
          <w:color w:val="auto"/>
          <w:szCs w:val="21"/>
        </w:rPr>
        <w:t>2.各项货物详细技术性能应另页描述。</w:t>
      </w:r>
    </w:p>
    <w:p>
      <w:pPr>
        <w:spacing w:line="300" w:lineRule="auto"/>
        <w:ind w:firstLine="630" w:firstLineChars="300"/>
        <w:rPr>
          <w:rFonts w:ascii="宋体" w:hAnsi="宋体"/>
          <w:color w:val="auto"/>
          <w:szCs w:val="21"/>
        </w:rPr>
      </w:pPr>
      <w:r>
        <w:rPr>
          <w:rFonts w:hint="eastAsia" w:ascii="宋体" w:hAnsi="宋体"/>
          <w:color w:val="auto"/>
          <w:szCs w:val="21"/>
        </w:rPr>
        <w:t>3.此清单由多页构成的，应逐页加盖谈判供应商法人公章或由法定代表人（或委托代理人）签字。</w:t>
      </w:r>
    </w:p>
    <w:p>
      <w:pPr>
        <w:adjustRightInd w:val="0"/>
        <w:snapToGrid w:val="0"/>
        <w:spacing w:line="300" w:lineRule="auto"/>
        <w:rPr>
          <w:rFonts w:ascii="宋体" w:hAnsi="宋体"/>
          <w:color w:val="auto"/>
          <w:szCs w:val="21"/>
        </w:rPr>
      </w:pPr>
    </w:p>
    <w:p>
      <w:pPr>
        <w:pStyle w:val="12"/>
        <w:ind w:firstLine="1470" w:firstLineChars="700"/>
        <w:rPr>
          <w:color w:val="auto"/>
        </w:rPr>
      </w:pPr>
      <w:r>
        <w:rPr>
          <w:rFonts w:hint="eastAsia" w:hAnsi="宋体"/>
          <w:color w:val="auto"/>
          <w:kern w:val="2"/>
          <w:sz w:val="21"/>
        </w:rPr>
        <w:t xml:space="preserve">谈判供应商(公章) </w:t>
      </w:r>
      <w:r>
        <w:rPr>
          <w:rFonts w:hint="eastAsia"/>
          <w:color w:val="auto"/>
        </w:rPr>
        <w:t xml:space="preserve"> </w:t>
      </w:r>
      <w:r>
        <w:rPr>
          <w:rFonts w:hint="eastAsia"/>
          <w:color w:val="auto"/>
          <w:u w:val="single"/>
        </w:rPr>
        <w:t xml:space="preserve">                              </w:t>
      </w:r>
    </w:p>
    <w:p>
      <w:pPr>
        <w:adjustRightInd w:val="0"/>
        <w:snapToGrid w:val="0"/>
        <w:spacing w:line="300" w:lineRule="auto"/>
        <w:rPr>
          <w:rFonts w:ascii="宋体" w:hAnsi="宋体"/>
          <w:color w:val="auto"/>
          <w:szCs w:val="21"/>
        </w:rPr>
      </w:pPr>
    </w:p>
    <w:p>
      <w:pPr>
        <w:adjustRightInd w:val="0"/>
        <w:snapToGrid w:val="0"/>
        <w:spacing w:line="300" w:lineRule="auto"/>
        <w:ind w:firstLine="1470" w:firstLineChars="700"/>
        <w:rPr>
          <w:rFonts w:ascii="宋体" w:hAnsi="宋体"/>
          <w:color w:val="auto"/>
          <w:szCs w:val="21"/>
          <w:u w:val="single"/>
        </w:rPr>
      </w:pPr>
      <w:r>
        <w:rPr>
          <w:rFonts w:hint="eastAsia" w:ascii="宋体" w:hAnsi="宋体"/>
          <w:color w:val="auto"/>
          <w:szCs w:val="21"/>
        </w:rPr>
        <w:t>法定代表人或委托代理人签字：</w:t>
      </w:r>
      <w:r>
        <w:rPr>
          <w:rFonts w:hint="eastAsia" w:ascii="宋体" w:hAnsi="宋体"/>
          <w:color w:val="auto"/>
          <w:szCs w:val="21"/>
          <w:u w:val="single"/>
        </w:rPr>
        <w:t xml:space="preserve">              </w:t>
      </w:r>
    </w:p>
    <w:p>
      <w:pPr>
        <w:pStyle w:val="12"/>
        <w:spacing w:line="300" w:lineRule="auto"/>
        <w:ind w:firstLine="4700" w:firstLineChars="2350"/>
        <w:rPr>
          <w:rFonts w:hAnsi="宋体"/>
          <w:color w:val="auto"/>
          <w:u w:val="single"/>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adjustRightInd w:val="0"/>
        <w:snapToGrid w:val="0"/>
        <w:spacing w:line="300" w:lineRule="auto"/>
        <w:rPr>
          <w:rFonts w:ascii="宋体" w:hAnsi="宋体"/>
          <w:color w:val="auto"/>
          <w:szCs w:val="21"/>
          <w:u w:val="single"/>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jc w:val="center"/>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pStyle w:val="19"/>
        <w:ind w:firstLine="321"/>
        <w:rPr>
          <w:rFonts w:ascii="宋体" w:hAnsi="宋体"/>
          <w:b/>
          <w:color w:val="auto"/>
          <w:sz w:val="32"/>
          <w:szCs w:val="32"/>
        </w:rPr>
      </w:pPr>
    </w:p>
    <w:p>
      <w:pPr>
        <w:spacing w:line="300" w:lineRule="auto"/>
        <w:jc w:val="center"/>
        <w:rPr>
          <w:rFonts w:ascii="宋体" w:hAnsi="宋体"/>
          <w:b/>
          <w:color w:val="auto"/>
          <w:sz w:val="32"/>
          <w:szCs w:val="32"/>
        </w:rPr>
      </w:pPr>
      <w:r>
        <w:rPr>
          <w:rFonts w:hint="eastAsia" w:ascii="宋体" w:hAnsi="宋体"/>
          <w:b/>
          <w:color w:val="auto"/>
          <w:sz w:val="32"/>
          <w:szCs w:val="32"/>
        </w:rPr>
        <w:t>五、技术响应、偏离情况说明表（格式）</w:t>
      </w:r>
    </w:p>
    <w:p>
      <w:pPr>
        <w:spacing w:line="300" w:lineRule="auto"/>
        <w:rPr>
          <w:rFonts w:ascii="宋体" w:hAnsi="宋体"/>
          <w:color w:val="auto"/>
          <w:szCs w:val="21"/>
        </w:rPr>
      </w:pPr>
    </w:p>
    <w:p>
      <w:pPr>
        <w:spacing w:line="300" w:lineRule="auto"/>
        <w:rPr>
          <w:rFonts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p>
    <w:p>
      <w:pPr>
        <w:spacing w:line="300" w:lineRule="auto"/>
        <w:rPr>
          <w:rFonts w:ascii="宋体" w:hAnsi="宋体"/>
          <w:color w:val="auto"/>
          <w:szCs w:val="21"/>
        </w:rPr>
      </w:pPr>
      <w:r>
        <w:rPr>
          <w:rFonts w:hint="eastAsia" w:ascii="宋体" w:hAnsi="宋体"/>
          <w:color w:val="auto"/>
          <w:szCs w:val="21"/>
        </w:rPr>
        <w:t>采购项目名称:</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3"/>
        <w:gridCol w:w="2840"/>
        <w:gridCol w:w="2786"/>
        <w:gridCol w:w="1672"/>
        <w:gridCol w:w="13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vAlign w:val="center"/>
          </w:tcPr>
          <w:p>
            <w:pPr>
              <w:adjustRightInd w:val="0"/>
              <w:snapToGrid w:val="0"/>
              <w:spacing w:line="300" w:lineRule="auto"/>
              <w:jc w:val="center"/>
              <w:outlineLvl w:val="0"/>
              <w:rPr>
                <w:rFonts w:ascii="宋体" w:hAnsi="宋体"/>
                <w:color w:val="auto"/>
                <w:szCs w:val="21"/>
              </w:rPr>
            </w:pPr>
            <w:r>
              <w:rPr>
                <w:rFonts w:hint="eastAsia" w:ascii="宋体" w:hAnsi="宋体"/>
                <w:color w:val="auto"/>
                <w:szCs w:val="21"/>
              </w:rPr>
              <w:t xml:space="preserve">                     </w:t>
            </w:r>
            <w:bookmarkStart w:id="21" w:name="_Toc254970588"/>
            <w:bookmarkStart w:id="22" w:name="_Toc173066401"/>
            <w:bookmarkStart w:id="23" w:name="_Toc16750"/>
            <w:bookmarkStart w:id="24" w:name="_Toc254970729"/>
            <w:bookmarkStart w:id="25" w:name="_Toc173211900"/>
            <w:r>
              <w:rPr>
                <w:rFonts w:hint="eastAsia" w:ascii="宋体" w:hAnsi="宋体"/>
                <w:color w:val="auto"/>
                <w:szCs w:val="21"/>
              </w:rPr>
              <w:t>序号</w:t>
            </w:r>
            <w:bookmarkEnd w:id="21"/>
            <w:bookmarkEnd w:id="22"/>
            <w:bookmarkEnd w:id="23"/>
            <w:bookmarkEnd w:id="24"/>
            <w:bookmarkEnd w:id="25"/>
          </w:p>
        </w:tc>
        <w:tc>
          <w:tcPr>
            <w:tcW w:w="2840" w:type="dxa"/>
            <w:vAlign w:val="center"/>
          </w:tcPr>
          <w:p>
            <w:pPr>
              <w:adjustRightInd w:val="0"/>
              <w:snapToGrid w:val="0"/>
              <w:spacing w:line="300" w:lineRule="auto"/>
              <w:jc w:val="center"/>
              <w:outlineLvl w:val="0"/>
              <w:rPr>
                <w:rFonts w:ascii="宋体" w:hAnsi="宋体"/>
                <w:color w:val="auto"/>
                <w:szCs w:val="21"/>
              </w:rPr>
            </w:pPr>
            <w:bookmarkStart w:id="26" w:name="_Toc173211901"/>
            <w:bookmarkStart w:id="27" w:name="_Toc347"/>
            <w:bookmarkStart w:id="28" w:name="_Toc254970589"/>
            <w:bookmarkStart w:id="29" w:name="_Toc254970730"/>
            <w:bookmarkStart w:id="30" w:name="_Toc173066402"/>
            <w:r>
              <w:rPr>
                <w:rFonts w:hint="eastAsia" w:ascii="宋体" w:hAnsi="宋体"/>
                <w:color w:val="auto"/>
                <w:szCs w:val="21"/>
              </w:rPr>
              <w:t>竞争性谈判采购文件要求</w:t>
            </w:r>
            <w:bookmarkEnd w:id="26"/>
            <w:bookmarkEnd w:id="27"/>
            <w:bookmarkEnd w:id="28"/>
            <w:bookmarkEnd w:id="29"/>
            <w:bookmarkEnd w:id="30"/>
          </w:p>
        </w:tc>
        <w:tc>
          <w:tcPr>
            <w:tcW w:w="2786" w:type="dxa"/>
            <w:vAlign w:val="center"/>
          </w:tcPr>
          <w:p>
            <w:pPr>
              <w:adjustRightInd w:val="0"/>
              <w:snapToGrid w:val="0"/>
              <w:spacing w:line="300" w:lineRule="auto"/>
              <w:jc w:val="center"/>
              <w:outlineLvl w:val="0"/>
              <w:rPr>
                <w:rFonts w:ascii="宋体" w:hAnsi="宋体"/>
                <w:color w:val="auto"/>
                <w:szCs w:val="21"/>
              </w:rPr>
            </w:pPr>
            <w:bookmarkStart w:id="31" w:name="_Toc8235"/>
            <w:bookmarkStart w:id="32" w:name="_Toc254970731"/>
            <w:bookmarkStart w:id="33" w:name="_Toc173211902"/>
            <w:bookmarkStart w:id="34" w:name="_Toc173066403"/>
            <w:bookmarkStart w:id="35" w:name="_Toc254970590"/>
            <w:r>
              <w:rPr>
                <w:rFonts w:hint="eastAsia" w:ascii="宋体" w:hAnsi="宋体"/>
                <w:color w:val="auto"/>
                <w:szCs w:val="21"/>
              </w:rPr>
              <w:t>谈判响应文件具体响应</w:t>
            </w:r>
            <w:bookmarkEnd w:id="31"/>
            <w:bookmarkEnd w:id="32"/>
            <w:bookmarkEnd w:id="33"/>
            <w:bookmarkEnd w:id="34"/>
            <w:bookmarkEnd w:id="35"/>
          </w:p>
        </w:tc>
        <w:tc>
          <w:tcPr>
            <w:tcW w:w="1672" w:type="dxa"/>
            <w:vAlign w:val="center"/>
          </w:tcPr>
          <w:p>
            <w:pPr>
              <w:adjustRightInd w:val="0"/>
              <w:snapToGrid w:val="0"/>
              <w:spacing w:line="300" w:lineRule="auto"/>
              <w:jc w:val="center"/>
              <w:outlineLvl w:val="0"/>
              <w:rPr>
                <w:rFonts w:ascii="宋体" w:hAnsi="宋体"/>
                <w:color w:val="auto"/>
                <w:szCs w:val="21"/>
              </w:rPr>
            </w:pPr>
            <w:bookmarkStart w:id="36" w:name="_Toc254970591"/>
            <w:bookmarkStart w:id="37" w:name="_Toc173211903"/>
            <w:bookmarkStart w:id="38" w:name="_Toc173066404"/>
            <w:bookmarkStart w:id="39" w:name="_Toc14753"/>
            <w:bookmarkStart w:id="40" w:name="_Toc254970732"/>
            <w:r>
              <w:rPr>
                <w:rFonts w:hint="eastAsia" w:ascii="宋体" w:hAnsi="宋体"/>
                <w:color w:val="auto"/>
                <w:szCs w:val="21"/>
              </w:rPr>
              <w:t>响应/偏离</w:t>
            </w:r>
            <w:bookmarkEnd w:id="36"/>
            <w:bookmarkEnd w:id="37"/>
            <w:bookmarkEnd w:id="38"/>
            <w:bookmarkEnd w:id="39"/>
            <w:bookmarkEnd w:id="40"/>
          </w:p>
        </w:tc>
        <w:tc>
          <w:tcPr>
            <w:tcW w:w="1376" w:type="dxa"/>
            <w:vAlign w:val="center"/>
          </w:tcPr>
          <w:p>
            <w:pPr>
              <w:adjustRightInd w:val="0"/>
              <w:snapToGrid w:val="0"/>
              <w:spacing w:line="300" w:lineRule="auto"/>
              <w:jc w:val="center"/>
              <w:outlineLvl w:val="0"/>
              <w:rPr>
                <w:rFonts w:ascii="宋体" w:hAnsi="宋体"/>
                <w:color w:val="auto"/>
                <w:szCs w:val="21"/>
              </w:rPr>
            </w:pPr>
            <w:bookmarkStart w:id="41" w:name="_Toc254970592"/>
            <w:bookmarkStart w:id="42" w:name="_Toc254970733"/>
            <w:bookmarkStart w:id="43" w:name="_Toc5757"/>
            <w:bookmarkStart w:id="44" w:name="_Toc173066405"/>
            <w:bookmarkStart w:id="45" w:name="_Toc173211904"/>
            <w:r>
              <w:rPr>
                <w:rFonts w:hint="eastAsia" w:ascii="宋体" w:hAnsi="宋体"/>
                <w:color w:val="auto"/>
                <w:szCs w:val="21"/>
              </w:rPr>
              <w:t>说明</w:t>
            </w:r>
            <w:bookmarkEnd w:id="41"/>
            <w:bookmarkEnd w:id="42"/>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vAlign w:val="center"/>
          </w:tcPr>
          <w:p>
            <w:pPr>
              <w:adjustRightInd w:val="0"/>
              <w:snapToGrid w:val="0"/>
              <w:spacing w:line="300" w:lineRule="auto"/>
              <w:jc w:val="center"/>
              <w:outlineLvl w:val="0"/>
              <w:rPr>
                <w:rFonts w:ascii="宋体" w:hAnsi="宋体"/>
                <w:color w:val="auto"/>
                <w:szCs w:val="21"/>
              </w:rPr>
            </w:pPr>
            <w:bookmarkStart w:id="46" w:name="_Toc173211905"/>
            <w:bookmarkStart w:id="47" w:name="_Toc9057"/>
            <w:bookmarkStart w:id="48" w:name="_Toc254970734"/>
            <w:bookmarkStart w:id="49" w:name="_Toc254970593"/>
            <w:bookmarkStart w:id="50" w:name="_Toc173066406"/>
            <w:r>
              <w:rPr>
                <w:rFonts w:hint="eastAsia" w:ascii="宋体" w:hAnsi="宋体"/>
                <w:color w:val="auto"/>
                <w:szCs w:val="21"/>
              </w:rPr>
              <w:t>1</w:t>
            </w:r>
            <w:bookmarkEnd w:id="46"/>
            <w:bookmarkEnd w:id="47"/>
            <w:bookmarkEnd w:id="48"/>
            <w:bookmarkEnd w:id="49"/>
            <w:bookmarkEnd w:id="50"/>
          </w:p>
        </w:tc>
        <w:tc>
          <w:tcPr>
            <w:tcW w:w="2840" w:type="dxa"/>
            <w:vAlign w:val="center"/>
          </w:tcPr>
          <w:p>
            <w:pPr>
              <w:adjustRightInd w:val="0"/>
              <w:snapToGrid w:val="0"/>
              <w:spacing w:line="300" w:lineRule="auto"/>
              <w:jc w:val="center"/>
              <w:outlineLvl w:val="0"/>
              <w:rPr>
                <w:rFonts w:ascii="宋体" w:hAnsi="宋体"/>
                <w:color w:val="auto"/>
                <w:szCs w:val="21"/>
              </w:rPr>
            </w:pPr>
          </w:p>
        </w:tc>
        <w:tc>
          <w:tcPr>
            <w:tcW w:w="2786" w:type="dxa"/>
            <w:vAlign w:val="center"/>
          </w:tcPr>
          <w:p>
            <w:pPr>
              <w:adjustRightInd w:val="0"/>
              <w:snapToGrid w:val="0"/>
              <w:spacing w:line="300" w:lineRule="auto"/>
              <w:jc w:val="center"/>
              <w:outlineLvl w:val="0"/>
              <w:rPr>
                <w:rFonts w:ascii="宋体" w:hAnsi="宋体"/>
                <w:color w:val="auto"/>
                <w:szCs w:val="21"/>
              </w:rPr>
            </w:pPr>
          </w:p>
        </w:tc>
        <w:tc>
          <w:tcPr>
            <w:tcW w:w="1672" w:type="dxa"/>
            <w:vAlign w:val="center"/>
          </w:tcPr>
          <w:p>
            <w:pPr>
              <w:adjustRightInd w:val="0"/>
              <w:snapToGrid w:val="0"/>
              <w:spacing w:line="300" w:lineRule="auto"/>
              <w:jc w:val="center"/>
              <w:outlineLvl w:val="0"/>
              <w:rPr>
                <w:rFonts w:ascii="宋体" w:hAnsi="宋体"/>
                <w:color w:val="auto"/>
                <w:szCs w:val="21"/>
              </w:rPr>
            </w:pPr>
          </w:p>
        </w:tc>
        <w:tc>
          <w:tcPr>
            <w:tcW w:w="1376"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vAlign w:val="center"/>
          </w:tcPr>
          <w:p>
            <w:pPr>
              <w:adjustRightInd w:val="0"/>
              <w:snapToGrid w:val="0"/>
              <w:spacing w:line="300" w:lineRule="auto"/>
              <w:jc w:val="center"/>
              <w:outlineLvl w:val="0"/>
              <w:rPr>
                <w:rFonts w:ascii="宋体" w:hAnsi="宋体"/>
                <w:color w:val="auto"/>
                <w:szCs w:val="21"/>
              </w:rPr>
            </w:pPr>
            <w:bookmarkStart w:id="51" w:name="_Toc173211906"/>
            <w:bookmarkStart w:id="52" w:name="_Toc254970594"/>
            <w:bookmarkStart w:id="53" w:name="_Toc173066407"/>
            <w:bookmarkStart w:id="54" w:name="_Toc254970735"/>
            <w:bookmarkStart w:id="55" w:name="_Toc29891"/>
            <w:r>
              <w:rPr>
                <w:rFonts w:hint="eastAsia" w:ascii="宋体" w:hAnsi="宋体"/>
                <w:color w:val="auto"/>
                <w:szCs w:val="21"/>
              </w:rPr>
              <w:t>2</w:t>
            </w:r>
            <w:bookmarkEnd w:id="51"/>
            <w:bookmarkEnd w:id="52"/>
            <w:bookmarkEnd w:id="53"/>
            <w:bookmarkEnd w:id="54"/>
            <w:bookmarkEnd w:id="55"/>
          </w:p>
        </w:tc>
        <w:tc>
          <w:tcPr>
            <w:tcW w:w="2840" w:type="dxa"/>
            <w:vAlign w:val="center"/>
          </w:tcPr>
          <w:p>
            <w:pPr>
              <w:adjustRightInd w:val="0"/>
              <w:snapToGrid w:val="0"/>
              <w:spacing w:line="300" w:lineRule="auto"/>
              <w:jc w:val="center"/>
              <w:outlineLvl w:val="0"/>
              <w:rPr>
                <w:rFonts w:ascii="宋体" w:hAnsi="宋体"/>
                <w:color w:val="auto"/>
                <w:szCs w:val="21"/>
              </w:rPr>
            </w:pPr>
          </w:p>
        </w:tc>
        <w:tc>
          <w:tcPr>
            <w:tcW w:w="2786" w:type="dxa"/>
            <w:vAlign w:val="center"/>
          </w:tcPr>
          <w:p>
            <w:pPr>
              <w:adjustRightInd w:val="0"/>
              <w:snapToGrid w:val="0"/>
              <w:spacing w:line="300" w:lineRule="auto"/>
              <w:jc w:val="center"/>
              <w:outlineLvl w:val="0"/>
              <w:rPr>
                <w:rFonts w:ascii="宋体" w:hAnsi="宋体"/>
                <w:color w:val="auto"/>
                <w:szCs w:val="21"/>
              </w:rPr>
            </w:pPr>
          </w:p>
        </w:tc>
        <w:tc>
          <w:tcPr>
            <w:tcW w:w="1672" w:type="dxa"/>
            <w:vAlign w:val="center"/>
          </w:tcPr>
          <w:p>
            <w:pPr>
              <w:adjustRightInd w:val="0"/>
              <w:snapToGrid w:val="0"/>
              <w:spacing w:line="300" w:lineRule="auto"/>
              <w:jc w:val="center"/>
              <w:outlineLvl w:val="0"/>
              <w:rPr>
                <w:rFonts w:ascii="宋体" w:hAnsi="宋体"/>
                <w:color w:val="auto"/>
                <w:szCs w:val="21"/>
              </w:rPr>
            </w:pPr>
          </w:p>
        </w:tc>
        <w:tc>
          <w:tcPr>
            <w:tcW w:w="1376"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vAlign w:val="center"/>
          </w:tcPr>
          <w:p>
            <w:pPr>
              <w:adjustRightInd w:val="0"/>
              <w:snapToGrid w:val="0"/>
              <w:spacing w:line="300" w:lineRule="auto"/>
              <w:jc w:val="center"/>
              <w:outlineLvl w:val="0"/>
              <w:rPr>
                <w:rFonts w:ascii="宋体" w:hAnsi="宋体"/>
                <w:color w:val="auto"/>
                <w:szCs w:val="21"/>
              </w:rPr>
            </w:pPr>
            <w:bookmarkStart w:id="56" w:name="_Toc173211907"/>
            <w:bookmarkStart w:id="57" w:name="_Toc12576"/>
            <w:bookmarkStart w:id="58" w:name="_Toc254970595"/>
            <w:bookmarkStart w:id="59" w:name="_Toc173066408"/>
            <w:bookmarkStart w:id="60" w:name="_Toc254970736"/>
            <w:r>
              <w:rPr>
                <w:rFonts w:hint="eastAsia" w:ascii="宋体" w:hAnsi="宋体"/>
                <w:color w:val="auto"/>
                <w:szCs w:val="21"/>
              </w:rPr>
              <w:t>3</w:t>
            </w:r>
            <w:bookmarkEnd w:id="56"/>
            <w:bookmarkEnd w:id="57"/>
            <w:bookmarkEnd w:id="58"/>
            <w:bookmarkEnd w:id="59"/>
            <w:bookmarkEnd w:id="60"/>
          </w:p>
        </w:tc>
        <w:tc>
          <w:tcPr>
            <w:tcW w:w="2840" w:type="dxa"/>
            <w:vAlign w:val="center"/>
          </w:tcPr>
          <w:p>
            <w:pPr>
              <w:adjustRightInd w:val="0"/>
              <w:snapToGrid w:val="0"/>
              <w:spacing w:line="300" w:lineRule="auto"/>
              <w:jc w:val="center"/>
              <w:outlineLvl w:val="0"/>
              <w:rPr>
                <w:rFonts w:ascii="宋体" w:hAnsi="宋体"/>
                <w:color w:val="auto"/>
                <w:szCs w:val="21"/>
              </w:rPr>
            </w:pPr>
          </w:p>
        </w:tc>
        <w:tc>
          <w:tcPr>
            <w:tcW w:w="2786" w:type="dxa"/>
            <w:vAlign w:val="center"/>
          </w:tcPr>
          <w:p>
            <w:pPr>
              <w:adjustRightInd w:val="0"/>
              <w:snapToGrid w:val="0"/>
              <w:spacing w:line="300" w:lineRule="auto"/>
              <w:jc w:val="center"/>
              <w:outlineLvl w:val="0"/>
              <w:rPr>
                <w:rFonts w:ascii="宋体" w:hAnsi="宋体"/>
                <w:color w:val="auto"/>
                <w:szCs w:val="21"/>
              </w:rPr>
            </w:pPr>
          </w:p>
        </w:tc>
        <w:tc>
          <w:tcPr>
            <w:tcW w:w="1672" w:type="dxa"/>
            <w:vAlign w:val="center"/>
          </w:tcPr>
          <w:p>
            <w:pPr>
              <w:adjustRightInd w:val="0"/>
              <w:snapToGrid w:val="0"/>
              <w:spacing w:line="300" w:lineRule="auto"/>
              <w:jc w:val="center"/>
              <w:outlineLvl w:val="0"/>
              <w:rPr>
                <w:rFonts w:ascii="宋体" w:hAnsi="宋体"/>
                <w:color w:val="auto"/>
                <w:szCs w:val="21"/>
              </w:rPr>
            </w:pPr>
          </w:p>
        </w:tc>
        <w:tc>
          <w:tcPr>
            <w:tcW w:w="1376"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vAlign w:val="center"/>
          </w:tcPr>
          <w:p>
            <w:pPr>
              <w:adjustRightInd w:val="0"/>
              <w:snapToGrid w:val="0"/>
              <w:spacing w:line="300" w:lineRule="auto"/>
              <w:jc w:val="center"/>
              <w:outlineLvl w:val="0"/>
              <w:rPr>
                <w:rFonts w:ascii="宋体" w:hAnsi="宋体"/>
                <w:color w:val="auto"/>
                <w:szCs w:val="21"/>
              </w:rPr>
            </w:pPr>
            <w:bookmarkStart w:id="61" w:name="_Toc24682"/>
            <w:bookmarkStart w:id="62" w:name="_Toc254970596"/>
            <w:bookmarkStart w:id="63" w:name="_Toc254970737"/>
            <w:bookmarkStart w:id="64" w:name="_Toc173211908"/>
            <w:bookmarkStart w:id="65" w:name="_Toc173066409"/>
            <w:r>
              <w:rPr>
                <w:rFonts w:hint="eastAsia" w:ascii="宋体" w:hAnsi="宋体"/>
                <w:color w:val="auto"/>
                <w:szCs w:val="21"/>
              </w:rPr>
              <w:t>4</w:t>
            </w:r>
            <w:bookmarkEnd w:id="61"/>
            <w:bookmarkEnd w:id="62"/>
            <w:bookmarkEnd w:id="63"/>
            <w:bookmarkEnd w:id="64"/>
            <w:bookmarkEnd w:id="65"/>
          </w:p>
        </w:tc>
        <w:tc>
          <w:tcPr>
            <w:tcW w:w="2840" w:type="dxa"/>
            <w:vAlign w:val="center"/>
          </w:tcPr>
          <w:p>
            <w:pPr>
              <w:adjustRightInd w:val="0"/>
              <w:snapToGrid w:val="0"/>
              <w:spacing w:line="300" w:lineRule="auto"/>
              <w:jc w:val="center"/>
              <w:outlineLvl w:val="0"/>
              <w:rPr>
                <w:rFonts w:ascii="宋体" w:hAnsi="宋体"/>
                <w:color w:val="auto"/>
                <w:szCs w:val="21"/>
              </w:rPr>
            </w:pPr>
          </w:p>
        </w:tc>
        <w:tc>
          <w:tcPr>
            <w:tcW w:w="2786" w:type="dxa"/>
            <w:vAlign w:val="center"/>
          </w:tcPr>
          <w:p>
            <w:pPr>
              <w:adjustRightInd w:val="0"/>
              <w:snapToGrid w:val="0"/>
              <w:spacing w:line="300" w:lineRule="auto"/>
              <w:jc w:val="center"/>
              <w:outlineLvl w:val="0"/>
              <w:rPr>
                <w:rFonts w:ascii="宋体" w:hAnsi="宋体"/>
                <w:color w:val="auto"/>
                <w:szCs w:val="21"/>
              </w:rPr>
            </w:pPr>
          </w:p>
        </w:tc>
        <w:tc>
          <w:tcPr>
            <w:tcW w:w="1672" w:type="dxa"/>
            <w:vAlign w:val="center"/>
          </w:tcPr>
          <w:p>
            <w:pPr>
              <w:adjustRightInd w:val="0"/>
              <w:snapToGrid w:val="0"/>
              <w:spacing w:line="300" w:lineRule="auto"/>
              <w:jc w:val="center"/>
              <w:outlineLvl w:val="0"/>
              <w:rPr>
                <w:rFonts w:ascii="宋体" w:hAnsi="宋体"/>
                <w:color w:val="auto"/>
                <w:szCs w:val="21"/>
              </w:rPr>
            </w:pPr>
          </w:p>
        </w:tc>
        <w:tc>
          <w:tcPr>
            <w:tcW w:w="1376"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vAlign w:val="center"/>
          </w:tcPr>
          <w:p>
            <w:pPr>
              <w:adjustRightInd w:val="0"/>
              <w:snapToGrid w:val="0"/>
              <w:spacing w:line="300" w:lineRule="auto"/>
              <w:jc w:val="center"/>
              <w:outlineLvl w:val="0"/>
              <w:rPr>
                <w:rFonts w:ascii="宋体" w:hAnsi="宋体"/>
                <w:color w:val="auto"/>
                <w:szCs w:val="21"/>
              </w:rPr>
            </w:pPr>
            <w:bookmarkStart w:id="66" w:name="_Toc254970738"/>
            <w:bookmarkStart w:id="67" w:name="_Toc919"/>
            <w:bookmarkStart w:id="68" w:name="_Toc254970597"/>
            <w:bookmarkStart w:id="69" w:name="_Toc173211909"/>
            <w:bookmarkStart w:id="70" w:name="_Toc173066410"/>
            <w:r>
              <w:rPr>
                <w:rFonts w:hint="eastAsia" w:ascii="宋体" w:hAnsi="宋体"/>
                <w:color w:val="auto"/>
                <w:szCs w:val="21"/>
              </w:rPr>
              <w:t>5</w:t>
            </w:r>
            <w:bookmarkEnd w:id="66"/>
            <w:bookmarkEnd w:id="67"/>
            <w:bookmarkEnd w:id="68"/>
            <w:bookmarkEnd w:id="69"/>
            <w:bookmarkEnd w:id="70"/>
          </w:p>
        </w:tc>
        <w:tc>
          <w:tcPr>
            <w:tcW w:w="2840" w:type="dxa"/>
            <w:vAlign w:val="center"/>
          </w:tcPr>
          <w:p>
            <w:pPr>
              <w:adjustRightInd w:val="0"/>
              <w:snapToGrid w:val="0"/>
              <w:spacing w:line="300" w:lineRule="auto"/>
              <w:jc w:val="center"/>
              <w:outlineLvl w:val="0"/>
              <w:rPr>
                <w:rFonts w:ascii="宋体" w:hAnsi="宋体"/>
                <w:color w:val="auto"/>
                <w:szCs w:val="21"/>
              </w:rPr>
            </w:pPr>
          </w:p>
        </w:tc>
        <w:tc>
          <w:tcPr>
            <w:tcW w:w="2786" w:type="dxa"/>
            <w:vAlign w:val="center"/>
          </w:tcPr>
          <w:p>
            <w:pPr>
              <w:adjustRightInd w:val="0"/>
              <w:snapToGrid w:val="0"/>
              <w:spacing w:line="300" w:lineRule="auto"/>
              <w:jc w:val="center"/>
              <w:outlineLvl w:val="0"/>
              <w:rPr>
                <w:rFonts w:ascii="宋体" w:hAnsi="宋体"/>
                <w:color w:val="auto"/>
                <w:szCs w:val="21"/>
              </w:rPr>
            </w:pPr>
          </w:p>
        </w:tc>
        <w:tc>
          <w:tcPr>
            <w:tcW w:w="1672" w:type="dxa"/>
            <w:vAlign w:val="center"/>
          </w:tcPr>
          <w:p>
            <w:pPr>
              <w:adjustRightInd w:val="0"/>
              <w:snapToGrid w:val="0"/>
              <w:spacing w:line="300" w:lineRule="auto"/>
              <w:jc w:val="center"/>
              <w:outlineLvl w:val="0"/>
              <w:rPr>
                <w:rFonts w:ascii="宋体" w:hAnsi="宋体"/>
                <w:color w:val="auto"/>
                <w:szCs w:val="21"/>
              </w:rPr>
            </w:pPr>
          </w:p>
        </w:tc>
        <w:tc>
          <w:tcPr>
            <w:tcW w:w="1376"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13" w:type="dxa"/>
            <w:vAlign w:val="center"/>
          </w:tcPr>
          <w:p>
            <w:pPr>
              <w:adjustRightInd w:val="0"/>
              <w:snapToGrid w:val="0"/>
              <w:spacing w:line="300" w:lineRule="auto"/>
              <w:jc w:val="center"/>
              <w:outlineLvl w:val="0"/>
              <w:rPr>
                <w:rFonts w:ascii="宋体" w:hAnsi="宋体"/>
                <w:color w:val="auto"/>
                <w:szCs w:val="21"/>
              </w:rPr>
            </w:pPr>
            <w:bookmarkStart w:id="71" w:name="_Toc173211914"/>
            <w:bookmarkStart w:id="72" w:name="_Toc254970743"/>
            <w:bookmarkStart w:id="73" w:name="_Toc173066415"/>
            <w:bookmarkStart w:id="74" w:name="_Toc254970602"/>
            <w:bookmarkStart w:id="75" w:name="_Toc11362"/>
            <w:r>
              <w:rPr>
                <w:rFonts w:hint="eastAsia" w:ascii="宋体" w:hAnsi="宋体"/>
                <w:color w:val="auto"/>
                <w:szCs w:val="21"/>
              </w:rPr>
              <w:t>…</w:t>
            </w:r>
            <w:bookmarkEnd w:id="71"/>
            <w:bookmarkEnd w:id="72"/>
            <w:bookmarkEnd w:id="73"/>
            <w:bookmarkEnd w:id="74"/>
            <w:bookmarkEnd w:id="75"/>
          </w:p>
        </w:tc>
        <w:tc>
          <w:tcPr>
            <w:tcW w:w="2840" w:type="dxa"/>
            <w:vAlign w:val="center"/>
          </w:tcPr>
          <w:p>
            <w:pPr>
              <w:adjustRightInd w:val="0"/>
              <w:snapToGrid w:val="0"/>
              <w:spacing w:line="300" w:lineRule="auto"/>
              <w:jc w:val="center"/>
              <w:outlineLvl w:val="0"/>
              <w:rPr>
                <w:rFonts w:ascii="宋体" w:hAnsi="宋体"/>
                <w:color w:val="auto"/>
                <w:szCs w:val="21"/>
              </w:rPr>
            </w:pPr>
          </w:p>
        </w:tc>
        <w:tc>
          <w:tcPr>
            <w:tcW w:w="2786" w:type="dxa"/>
            <w:vAlign w:val="center"/>
          </w:tcPr>
          <w:p>
            <w:pPr>
              <w:adjustRightInd w:val="0"/>
              <w:snapToGrid w:val="0"/>
              <w:spacing w:line="300" w:lineRule="auto"/>
              <w:jc w:val="center"/>
              <w:outlineLvl w:val="0"/>
              <w:rPr>
                <w:rFonts w:ascii="宋体" w:hAnsi="宋体"/>
                <w:color w:val="auto"/>
                <w:szCs w:val="21"/>
              </w:rPr>
            </w:pPr>
          </w:p>
        </w:tc>
        <w:tc>
          <w:tcPr>
            <w:tcW w:w="1672"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rPr>
            </w:pPr>
          </w:p>
        </w:tc>
        <w:tc>
          <w:tcPr>
            <w:tcW w:w="1376"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rPr>
            </w:pPr>
          </w:p>
        </w:tc>
      </w:tr>
    </w:tbl>
    <w:p>
      <w:pPr>
        <w:adjustRightInd w:val="0"/>
        <w:snapToGrid w:val="0"/>
        <w:spacing w:line="300" w:lineRule="auto"/>
        <w:rPr>
          <w:rFonts w:ascii="宋体" w:hAnsi="宋体"/>
          <w:color w:val="auto"/>
          <w:szCs w:val="21"/>
        </w:rPr>
      </w:pPr>
    </w:p>
    <w:p>
      <w:pPr>
        <w:pStyle w:val="10"/>
        <w:spacing w:line="300" w:lineRule="auto"/>
        <w:ind w:firstLine="0" w:firstLineChars="0"/>
        <w:rPr>
          <w:rFonts w:ascii="宋体" w:hAnsi="宋体" w:eastAsia="宋体"/>
          <w:color w:val="auto"/>
          <w:sz w:val="21"/>
          <w:szCs w:val="21"/>
        </w:rPr>
      </w:pPr>
      <w:r>
        <w:rPr>
          <w:rFonts w:hint="eastAsia" w:ascii="宋体" w:hAnsi="宋体" w:eastAsia="宋体"/>
          <w:color w:val="auto"/>
          <w:sz w:val="21"/>
          <w:szCs w:val="21"/>
        </w:rPr>
        <w:t>说明：应对照竞争性谈判采购文件“第三章 项目采购需求”，逐条说明所提供货物和服务已对竞争性谈判采购文件的技术规格做出了实质性的响应，并申明与技术规格条文的响应和偏离。特别对有具体参数要求的指标，谈判供应商必须提供所供设备的具体参数值。如果仅注明“符合”、“满足”或简单复制竞争性谈判采购文件要求，将导致谈判被拒绝。</w:t>
      </w:r>
    </w:p>
    <w:p>
      <w:pPr>
        <w:pStyle w:val="12"/>
        <w:spacing w:line="300" w:lineRule="auto"/>
        <w:rPr>
          <w:rFonts w:hAnsi="宋体"/>
          <w:color w:val="auto"/>
        </w:rPr>
      </w:pPr>
    </w:p>
    <w:p>
      <w:pPr>
        <w:pStyle w:val="12"/>
        <w:ind w:firstLine="1400" w:firstLineChars="700"/>
        <w:rPr>
          <w:color w:val="auto"/>
        </w:rPr>
      </w:pPr>
      <w:r>
        <w:rPr>
          <w:rFonts w:hint="eastAsia"/>
          <w:color w:val="auto"/>
        </w:rPr>
        <w:t xml:space="preserve">谈判供应商(公章)  </w:t>
      </w:r>
      <w:r>
        <w:rPr>
          <w:rFonts w:hint="eastAsia"/>
          <w:color w:val="auto"/>
          <w:u w:val="single"/>
        </w:rPr>
        <w:t xml:space="preserve">                              </w:t>
      </w:r>
    </w:p>
    <w:p>
      <w:pPr>
        <w:adjustRightInd w:val="0"/>
        <w:snapToGrid w:val="0"/>
        <w:spacing w:line="300" w:lineRule="auto"/>
        <w:rPr>
          <w:rFonts w:ascii="宋体" w:hAnsi="宋体"/>
          <w:color w:val="auto"/>
          <w:szCs w:val="21"/>
        </w:rPr>
      </w:pPr>
    </w:p>
    <w:p>
      <w:pPr>
        <w:adjustRightInd w:val="0"/>
        <w:snapToGrid w:val="0"/>
        <w:spacing w:line="300" w:lineRule="auto"/>
        <w:ind w:firstLine="1470" w:firstLineChars="700"/>
        <w:rPr>
          <w:rFonts w:ascii="宋体" w:hAnsi="宋体"/>
          <w:color w:val="auto"/>
          <w:szCs w:val="21"/>
          <w:u w:val="single"/>
        </w:rPr>
      </w:pPr>
      <w:r>
        <w:rPr>
          <w:rFonts w:hint="eastAsia" w:ascii="宋体" w:hAnsi="宋体"/>
          <w:color w:val="auto"/>
          <w:szCs w:val="21"/>
        </w:rPr>
        <w:t>法定代表人或委托代理人签字：</w:t>
      </w:r>
      <w:r>
        <w:rPr>
          <w:rFonts w:hint="eastAsia" w:ascii="宋体" w:hAnsi="宋体"/>
          <w:color w:val="auto"/>
          <w:szCs w:val="21"/>
          <w:u w:val="single"/>
        </w:rPr>
        <w:t xml:space="preserve">              </w:t>
      </w:r>
    </w:p>
    <w:p>
      <w:pPr>
        <w:pStyle w:val="12"/>
        <w:spacing w:line="300" w:lineRule="auto"/>
        <w:ind w:firstLine="4700" w:firstLineChars="2350"/>
        <w:rPr>
          <w:rFonts w:hAnsi="宋体"/>
          <w:color w:val="auto"/>
          <w:u w:val="single"/>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rPr>
        <w:t>说明：</w:t>
      </w:r>
      <w:r>
        <w:rPr>
          <w:rFonts w:hint="eastAsia"/>
          <w:color w:val="auto"/>
        </w:rPr>
        <w:t>若此表由多页构成的，应逐页加盖谈判供应商法人公章或由法定代表人（或委托代理人）签字。</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400" w:lineRule="exact"/>
        <w:jc w:val="center"/>
        <w:rPr>
          <w:rFonts w:hint="eastAsia" w:ascii="宋体" w:hAnsi="宋体" w:eastAsia="宋体"/>
          <w:b/>
          <w:color w:val="auto"/>
          <w:sz w:val="32"/>
          <w:szCs w:val="32"/>
          <w:lang w:eastAsia="zh-CN"/>
        </w:rPr>
      </w:pPr>
      <w:r>
        <w:rPr>
          <w:rFonts w:hint="eastAsia" w:ascii="宋体" w:hAnsi="宋体"/>
          <w:b/>
          <w:color w:val="auto"/>
          <w:sz w:val="32"/>
          <w:szCs w:val="32"/>
        </w:rPr>
        <w:t>六、售后服务承诺书</w:t>
      </w:r>
      <w:r>
        <w:rPr>
          <w:rFonts w:hint="eastAsia" w:ascii="宋体" w:hAnsi="宋体"/>
          <w:b/>
          <w:color w:val="auto"/>
          <w:sz w:val="32"/>
          <w:szCs w:val="32"/>
          <w:lang w:eastAsia="zh-CN"/>
        </w:rPr>
        <w:t>（</w:t>
      </w:r>
      <w:r>
        <w:rPr>
          <w:rFonts w:hint="eastAsia" w:ascii="宋体" w:hAnsi="宋体"/>
          <w:b/>
          <w:color w:val="auto"/>
          <w:sz w:val="32"/>
          <w:szCs w:val="32"/>
          <w:lang w:val="en-US" w:eastAsia="zh-CN"/>
        </w:rPr>
        <w:t>如有</w:t>
      </w:r>
      <w:r>
        <w:rPr>
          <w:rFonts w:hint="eastAsia" w:ascii="宋体" w:hAnsi="宋体"/>
          <w:b/>
          <w:color w:val="auto"/>
          <w:sz w:val="32"/>
          <w:szCs w:val="32"/>
          <w:lang w:eastAsia="zh-CN"/>
        </w:rPr>
        <w:t>）</w:t>
      </w:r>
    </w:p>
    <w:p>
      <w:pPr>
        <w:spacing w:line="400" w:lineRule="exact"/>
        <w:jc w:val="center"/>
        <w:rPr>
          <w:rFonts w:ascii="宋体" w:hAnsi="宋体"/>
          <w:b/>
          <w:color w:val="auto"/>
          <w:sz w:val="32"/>
          <w:szCs w:val="32"/>
        </w:rPr>
      </w:pPr>
    </w:p>
    <w:p>
      <w:pPr>
        <w:pStyle w:val="12"/>
        <w:jc w:val="center"/>
        <w:rPr>
          <w:color w:val="auto"/>
          <w:sz w:val="21"/>
        </w:rPr>
      </w:pPr>
      <w:r>
        <w:rPr>
          <w:rFonts w:hint="eastAsia"/>
          <w:color w:val="auto"/>
          <w:sz w:val="21"/>
        </w:rPr>
        <w:t>（由谈判供应商按《项目需求》中所谈判货物的基本要求和售后服务及要求自行填写）</w:t>
      </w: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adjustRightInd w:val="0"/>
        <w:snapToGrid w:val="0"/>
        <w:spacing w:line="300" w:lineRule="auto"/>
        <w:rPr>
          <w:rFonts w:ascii="宋体" w:hAnsi="宋体"/>
          <w:color w:val="auto"/>
          <w:szCs w:val="21"/>
        </w:rPr>
      </w:pPr>
    </w:p>
    <w:p>
      <w:pPr>
        <w:pStyle w:val="12"/>
        <w:ind w:firstLine="1470" w:firstLineChars="700"/>
        <w:rPr>
          <w:color w:val="auto"/>
        </w:rPr>
      </w:pPr>
      <w:r>
        <w:rPr>
          <w:rFonts w:hint="eastAsia" w:hAnsi="宋体"/>
          <w:color w:val="auto"/>
          <w:kern w:val="2"/>
          <w:sz w:val="21"/>
        </w:rPr>
        <w:t xml:space="preserve">谈判供应商(公章) </w:t>
      </w:r>
      <w:r>
        <w:rPr>
          <w:rFonts w:hint="eastAsia"/>
          <w:color w:val="auto"/>
        </w:rPr>
        <w:t xml:space="preserve"> </w:t>
      </w:r>
      <w:r>
        <w:rPr>
          <w:rFonts w:hint="eastAsia"/>
          <w:color w:val="auto"/>
          <w:u w:val="single"/>
        </w:rPr>
        <w:t xml:space="preserve">                              </w:t>
      </w:r>
    </w:p>
    <w:p>
      <w:pPr>
        <w:adjustRightInd w:val="0"/>
        <w:snapToGrid w:val="0"/>
        <w:spacing w:line="300" w:lineRule="auto"/>
        <w:rPr>
          <w:rFonts w:ascii="宋体" w:hAnsi="宋体"/>
          <w:color w:val="auto"/>
          <w:szCs w:val="21"/>
        </w:rPr>
      </w:pPr>
    </w:p>
    <w:p>
      <w:pPr>
        <w:adjustRightInd w:val="0"/>
        <w:snapToGrid w:val="0"/>
        <w:spacing w:line="300" w:lineRule="auto"/>
        <w:ind w:firstLine="1470" w:firstLineChars="700"/>
        <w:rPr>
          <w:rFonts w:ascii="宋体" w:hAnsi="宋体"/>
          <w:color w:val="auto"/>
          <w:szCs w:val="21"/>
          <w:u w:val="single"/>
        </w:rPr>
      </w:pPr>
      <w:r>
        <w:rPr>
          <w:rFonts w:hint="eastAsia" w:ascii="宋体" w:hAnsi="宋体"/>
          <w:color w:val="auto"/>
          <w:szCs w:val="21"/>
        </w:rPr>
        <w:t>法定代表人或法定代表人委托代理人签字：</w:t>
      </w:r>
      <w:r>
        <w:rPr>
          <w:rFonts w:hint="eastAsia" w:ascii="宋体" w:hAnsi="宋体"/>
          <w:color w:val="auto"/>
          <w:szCs w:val="21"/>
          <w:u w:val="single"/>
        </w:rPr>
        <w:t xml:space="preserve">              </w:t>
      </w:r>
    </w:p>
    <w:p>
      <w:pPr>
        <w:pStyle w:val="12"/>
        <w:spacing w:line="300" w:lineRule="auto"/>
        <w:ind w:firstLine="4700" w:firstLineChars="2350"/>
        <w:rPr>
          <w:rFonts w:hAnsi="宋体"/>
          <w:color w:val="auto"/>
          <w:u w:val="single"/>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pStyle w:val="12"/>
        <w:rPr>
          <w:color w:val="auto"/>
        </w:rPr>
      </w:pPr>
    </w:p>
    <w:p>
      <w:pPr>
        <w:pStyle w:val="12"/>
        <w:rPr>
          <w:color w:val="auto"/>
        </w:rPr>
      </w:pPr>
    </w:p>
    <w:p>
      <w:pPr>
        <w:pStyle w:val="12"/>
        <w:rPr>
          <w:color w:val="auto"/>
        </w:rPr>
      </w:pPr>
    </w:p>
    <w:p>
      <w:pPr>
        <w:pStyle w:val="12"/>
        <w:rPr>
          <w:color w:val="auto"/>
          <w:sz w:val="21"/>
        </w:rPr>
      </w:pPr>
      <w:r>
        <w:rPr>
          <w:rFonts w:hint="eastAsia"/>
          <w:bCs/>
          <w:color w:val="auto"/>
          <w:sz w:val="21"/>
        </w:rPr>
        <w:t>说明：若承诺书由多页构成的，应逐页加盖谈判供应商法人公章或由法定代表人（或委托代理人）签字。</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七、谈判供应商资格证明文件</w:t>
      </w:r>
    </w:p>
    <w:p>
      <w:pPr>
        <w:spacing w:line="400" w:lineRule="exact"/>
        <w:jc w:val="center"/>
        <w:rPr>
          <w:rFonts w:ascii="宋体" w:hAnsi="宋体"/>
          <w:color w:val="auto"/>
          <w:sz w:val="24"/>
        </w:rPr>
      </w:pPr>
      <w:r>
        <w:rPr>
          <w:rFonts w:hint="eastAsia" w:ascii="宋体" w:hAnsi="宋体"/>
          <w:color w:val="auto"/>
          <w:sz w:val="24"/>
        </w:rPr>
        <w:t>（按第二章“谈判供应商须知”第12条要求提供）</w:t>
      </w:r>
    </w:p>
    <w:p>
      <w:pPr>
        <w:spacing w:line="400" w:lineRule="exact"/>
        <w:jc w:val="center"/>
        <w:rPr>
          <w:rFonts w:ascii="宋体" w:hAnsi="宋体"/>
          <w:color w:val="auto"/>
          <w:sz w:val="24"/>
        </w:rPr>
      </w:pPr>
    </w:p>
    <w:p>
      <w:pPr>
        <w:adjustRightInd w:val="0"/>
        <w:snapToGrid w:val="0"/>
        <w:spacing w:line="300" w:lineRule="auto"/>
        <w:jc w:val="center"/>
        <w:rPr>
          <w:rFonts w:ascii="宋体" w:hAnsi="宋体"/>
          <w:b/>
          <w:color w:val="auto"/>
          <w:sz w:val="32"/>
          <w:szCs w:val="32"/>
        </w:rPr>
      </w:pPr>
    </w:p>
    <w:p>
      <w:pPr>
        <w:adjustRightInd w:val="0"/>
        <w:snapToGrid w:val="0"/>
        <w:spacing w:line="300" w:lineRule="auto"/>
        <w:jc w:val="center"/>
        <w:rPr>
          <w:rFonts w:ascii="宋体" w:hAnsi="宋体"/>
          <w:b/>
          <w:color w:val="auto"/>
          <w:sz w:val="32"/>
          <w:szCs w:val="32"/>
        </w:rPr>
      </w:pPr>
    </w:p>
    <w:p>
      <w:pPr>
        <w:adjustRightInd w:val="0"/>
        <w:snapToGrid w:val="0"/>
        <w:spacing w:line="300" w:lineRule="auto"/>
        <w:jc w:val="center"/>
        <w:rPr>
          <w:rFonts w:ascii="宋体" w:hAnsi="宋体"/>
          <w:b/>
          <w:color w:val="auto"/>
          <w:sz w:val="32"/>
          <w:szCs w:val="32"/>
        </w:rPr>
      </w:pPr>
      <w:r>
        <w:rPr>
          <w:rFonts w:hint="eastAsia" w:ascii="宋体" w:hAnsi="宋体"/>
          <w:b/>
          <w:color w:val="auto"/>
          <w:sz w:val="32"/>
          <w:szCs w:val="32"/>
        </w:rPr>
        <w:t>法 定 代 表 人 授 权 书（格式）</w:t>
      </w:r>
    </w:p>
    <w:p>
      <w:pPr>
        <w:adjustRightInd w:val="0"/>
        <w:snapToGrid w:val="0"/>
        <w:spacing w:line="300" w:lineRule="auto"/>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u w:val="single"/>
        </w:rPr>
        <w:t>（采购代理机构）</w:t>
      </w:r>
      <w:r>
        <w:rPr>
          <w:rFonts w:hint="eastAsia" w:ascii="宋体" w:hAnsi="宋体"/>
          <w:color w:val="auto"/>
          <w:szCs w:val="21"/>
        </w:rPr>
        <w:t>：</w:t>
      </w:r>
    </w:p>
    <w:p>
      <w:pPr>
        <w:spacing w:line="300" w:lineRule="auto"/>
        <w:ind w:firstLine="420" w:firstLineChars="200"/>
        <w:rPr>
          <w:rFonts w:ascii="宋体" w:hAnsi="宋体"/>
          <w:color w:val="auto"/>
          <w:szCs w:val="21"/>
        </w:rPr>
      </w:pPr>
      <w:r>
        <w:rPr>
          <w:rFonts w:hint="eastAsia" w:ascii="宋体" w:hAnsi="宋体"/>
          <w:color w:val="auto"/>
          <w:szCs w:val="21"/>
        </w:rPr>
        <w:t>兹授权</w:t>
      </w:r>
      <w:r>
        <w:rPr>
          <w:rFonts w:hint="eastAsia" w:ascii="宋体" w:hAnsi="宋体"/>
          <w:color w:val="auto"/>
          <w:szCs w:val="21"/>
          <w:u w:val="single"/>
        </w:rPr>
        <w:t xml:space="preserve">      </w:t>
      </w:r>
      <w:r>
        <w:rPr>
          <w:rFonts w:hint="eastAsia" w:ascii="宋体" w:hAnsi="宋体"/>
          <w:color w:val="auto"/>
          <w:szCs w:val="21"/>
        </w:rPr>
        <w:t>同志为我公司参加贵单位组织的</w:t>
      </w:r>
      <w:r>
        <w:rPr>
          <w:rFonts w:hint="eastAsia" w:ascii="宋体" w:hAnsi="宋体"/>
          <w:color w:val="auto"/>
          <w:szCs w:val="21"/>
          <w:u w:val="single"/>
        </w:rPr>
        <w:t>（项    目    名   称）</w:t>
      </w:r>
      <w:r>
        <w:rPr>
          <w:rFonts w:hint="eastAsia" w:ascii="宋体" w:hAnsi="宋体"/>
          <w:color w:val="auto"/>
          <w:szCs w:val="21"/>
        </w:rPr>
        <w:t>招标活动的谈判代表人，全权代表我公司处理在该项目活动中的一切事宜。代理期限从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日止。 </w:t>
      </w:r>
    </w:p>
    <w:p>
      <w:pPr>
        <w:spacing w:line="300" w:lineRule="auto"/>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rPr>
        <w:t>授权单位（签章）：</w:t>
      </w:r>
      <w:r>
        <w:rPr>
          <w:rFonts w:hint="eastAsia" w:ascii="宋体" w:hAnsi="宋体"/>
          <w:color w:val="auto"/>
          <w:szCs w:val="21"/>
          <w:u w:val="single"/>
        </w:rPr>
        <w:t xml:space="preserve">               </w:t>
      </w:r>
    </w:p>
    <w:p>
      <w:pPr>
        <w:spacing w:line="300" w:lineRule="auto"/>
        <w:rPr>
          <w:rFonts w:ascii="宋体" w:hAnsi="宋体"/>
          <w:color w:val="auto"/>
          <w:szCs w:val="21"/>
        </w:rPr>
      </w:pPr>
      <w:r>
        <w:rPr>
          <w:rFonts w:hint="eastAsia" w:ascii="宋体" w:hAnsi="宋体"/>
          <w:color w:val="auto"/>
          <w:szCs w:val="21"/>
        </w:rPr>
        <w:t>法定代表人（签字或盖章）：</w:t>
      </w:r>
      <w:r>
        <w:rPr>
          <w:rFonts w:hint="eastAsia" w:ascii="宋体" w:hAnsi="宋体"/>
          <w:color w:val="auto"/>
          <w:szCs w:val="21"/>
          <w:u w:val="single"/>
        </w:rPr>
        <w:t xml:space="preserve">       </w:t>
      </w:r>
    </w:p>
    <w:p>
      <w:pPr>
        <w:spacing w:line="300" w:lineRule="auto"/>
        <w:rPr>
          <w:rFonts w:ascii="宋体" w:hAnsi="宋体"/>
          <w:color w:val="auto"/>
          <w:szCs w:val="21"/>
        </w:rPr>
      </w:pPr>
      <w:r>
        <w:rPr>
          <w:rFonts w:hint="eastAsia" w:ascii="宋体" w:hAnsi="宋体"/>
          <w:color w:val="auto"/>
          <w:szCs w:val="21"/>
        </w:rPr>
        <w:t>签发日期：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00" w:lineRule="auto"/>
        <w:rPr>
          <w:rFonts w:ascii="宋体" w:hAnsi="宋体"/>
          <w:color w:val="auto"/>
          <w:szCs w:val="21"/>
        </w:rPr>
      </w:pPr>
    </w:p>
    <w:p>
      <w:pPr>
        <w:spacing w:line="300" w:lineRule="auto"/>
        <w:ind w:firstLine="420" w:firstLineChars="200"/>
        <w:rPr>
          <w:rFonts w:ascii="宋体" w:hAnsi="宋体"/>
          <w:color w:val="auto"/>
          <w:szCs w:val="21"/>
        </w:rPr>
      </w:pPr>
      <w:r>
        <w:rPr>
          <w:rFonts w:hint="eastAsia" w:ascii="宋体" w:hAnsi="宋体"/>
          <w:color w:val="auto"/>
          <w:szCs w:val="21"/>
        </w:rPr>
        <w:t>附：代理人工作单位：</w:t>
      </w:r>
      <w:r>
        <w:rPr>
          <w:rFonts w:hint="eastAsia" w:ascii="宋体" w:hAnsi="宋体"/>
          <w:color w:val="auto"/>
          <w:szCs w:val="21"/>
          <w:u w:val="single"/>
        </w:rPr>
        <w:t xml:space="preserve">                     </w:t>
      </w:r>
    </w:p>
    <w:p>
      <w:pPr>
        <w:spacing w:line="300" w:lineRule="auto"/>
        <w:ind w:firstLine="420" w:firstLineChars="200"/>
        <w:rPr>
          <w:rFonts w:ascii="宋体" w:hAnsi="宋体"/>
          <w:color w:val="auto"/>
          <w:szCs w:val="21"/>
        </w:rPr>
      </w:pP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 xml:space="preserve">      性别：</w:t>
      </w:r>
      <w:r>
        <w:rPr>
          <w:rFonts w:hint="eastAsia" w:ascii="宋体" w:hAnsi="宋体"/>
          <w:color w:val="auto"/>
          <w:szCs w:val="21"/>
          <w:u w:val="single"/>
        </w:rPr>
        <w:t xml:space="preserve">    </w:t>
      </w:r>
    </w:p>
    <w:p>
      <w:pPr>
        <w:adjustRightInd w:val="0"/>
        <w:snapToGrid w:val="0"/>
        <w:spacing w:line="300" w:lineRule="auto"/>
        <w:ind w:left="-88" w:leftChars="-42" w:firstLine="525" w:firstLineChars="25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tbl>
      <w:tblPr>
        <w:tblStyle w:val="20"/>
        <w:tblW w:w="835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8351" w:type="dxa"/>
          </w:tcPr>
          <w:p>
            <w:pPr>
              <w:spacing w:line="300" w:lineRule="auto"/>
              <w:rPr>
                <w:rFonts w:ascii="宋体" w:hAnsi="宋体"/>
                <w:color w:val="auto"/>
                <w:szCs w:val="21"/>
              </w:rPr>
            </w:pPr>
            <w:r>
              <w:rPr>
                <w:rFonts w:hint="eastAsia" w:ascii="宋体" w:hAnsi="宋体"/>
                <w:color w:val="auto"/>
                <w:szCs w:val="21"/>
              </w:rPr>
              <w:t>粘贴被授权人身份证（正反面复印件）</w:t>
            </w:r>
          </w:p>
        </w:tc>
      </w:tr>
    </w:tbl>
    <w:p>
      <w:pPr>
        <w:spacing w:line="300" w:lineRule="auto"/>
        <w:rPr>
          <w:rFonts w:ascii="宋体" w:hAnsi="宋体"/>
          <w:color w:val="auto"/>
          <w:szCs w:val="21"/>
        </w:rPr>
      </w:pPr>
    </w:p>
    <w:p>
      <w:pPr>
        <w:spacing w:line="300" w:lineRule="auto"/>
        <w:rPr>
          <w:rFonts w:ascii="宋体" w:hAnsi="宋体"/>
          <w:color w:val="auto"/>
          <w:szCs w:val="21"/>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ind w:firstLine="643" w:firstLineChars="200"/>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八、货物合格证明文件</w:t>
      </w:r>
    </w:p>
    <w:p>
      <w:pPr>
        <w:spacing w:line="400" w:lineRule="exact"/>
        <w:jc w:val="center"/>
        <w:rPr>
          <w:rFonts w:ascii="宋体" w:hAnsi="宋体"/>
          <w:color w:val="auto"/>
          <w:sz w:val="24"/>
        </w:rPr>
      </w:pPr>
      <w:r>
        <w:rPr>
          <w:rFonts w:hint="eastAsia" w:ascii="宋体" w:hAnsi="宋体"/>
          <w:color w:val="auto"/>
          <w:sz w:val="24"/>
        </w:rPr>
        <w:t>（按第二章“谈判供应商须知”第13条要求提供）</w:t>
      </w:r>
    </w:p>
    <w:p>
      <w:pPr>
        <w:spacing w:line="400" w:lineRule="exact"/>
        <w:jc w:val="center"/>
        <w:rPr>
          <w:rFonts w:ascii="宋体" w:hAnsi="宋体"/>
          <w:color w:val="auto"/>
          <w:sz w:val="24"/>
        </w:rPr>
      </w:pPr>
    </w:p>
    <w:p>
      <w:pPr>
        <w:spacing w:line="400" w:lineRule="exact"/>
        <w:jc w:val="center"/>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九、谈判供应商必须提供的其他材料</w:t>
      </w:r>
    </w:p>
    <w:p>
      <w:pPr>
        <w:spacing w:line="300" w:lineRule="auto"/>
        <w:jc w:val="center"/>
        <w:rPr>
          <w:rFonts w:ascii="宋体" w:hAnsi="宋体"/>
          <w:b/>
          <w:color w:val="auto"/>
          <w:sz w:val="32"/>
          <w:szCs w:val="32"/>
        </w:rPr>
      </w:pPr>
    </w:p>
    <w:p>
      <w:pPr>
        <w:spacing w:line="300" w:lineRule="auto"/>
        <w:jc w:val="center"/>
        <w:rPr>
          <w:rFonts w:ascii="宋体" w:hAnsi="宋体"/>
          <w:b/>
          <w:color w:val="auto"/>
          <w:sz w:val="32"/>
          <w:szCs w:val="32"/>
        </w:rPr>
      </w:pPr>
    </w:p>
    <w:p>
      <w:pPr>
        <w:spacing w:line="300" w:lineRule="auto"/>
        <w:jc w:val="center"/>
        <w:rPr>
          <w:rFonts w:ascii="宋体" w:hAnsi="宋体"/>
          <w:b/>
          <w:color w:val="auto"/>
          <w:sz w:val="32"/>
          <w:szCs w:val="32"/>
        </w:rPr>
      </w:pPr>
    </w:p>
    <w:p>
      <w:pPr>
        <w:spacing w:line="400" w:lineRule="exact"/>
        <w:ind w:left="479" w:leftChars="228"/>
        <w:jc w:val="center"/>
        <w:rPr>
          <w:rFonts w:ascii="宋体" w:hAnsi="宋体"/>
          <w:b/>
          <w:color w:val="auto"/>
          <w:sz w:val="32"/>
          <w:szCs w:val="32"/>
        </w:rPr>
      </w:pPr>
    </w:p>
    <w:p>
      <w:pPr>
        <w:spacing w:line="400" w:lineRule="exact"/>
        <w:ind w:left="479" w:leftChars="228"/>
        <w:jc w:val="center"/>
        <w:rPr>
          <w:rFonts w:ascii="宋体" w:hAnsi="宋体"/>
          <w:b/>
          <w:color w:val="auto"/>
          <w:sz w:val="32"/>
          <w:szCs w:val="32"/>
        </w:rPr>
      </w:pPr>
    </w:p>
    <w:p>
      <w:pPr>
        <w:spacing w:line="440" w:lineRule="exact"/>
        <w:ind w:firstLine="643" w:firstLineChars="200"/>
        <w:rPr>
          <w:rFonts w:ascii="宋体" w:hAnsi="宋体"/>
          <w:b/>
          <w:color w:val="auto"/>
          <w:sz w:val="32"/>
          <w:szCs w:val="32"/>
        </w:rPr>
      </w:pPr>
    </w:p>
    <w:p>
      <w:pPr>
        <w:spacing w:line="440" w:lineRule="exact"/>
        <w:ind w:firstLine="643" w:firstLineChars="200"/>
        <w:rPr>
          <w:rFonts w:ascii="宋体" w:hAnsi="宋体"/>
          <w:b/>
          <w:color w:val="auto"/>
          <w:sz w:val="32"/>
          <w:szCs w:val="32"/>
        </w:rPr>
      </w:pPr>
    </w:p>
    <w:p>
      <w:pPr>
        <w:spacing w:line="440" w:lineRule="exact"/>
        <w:ind w:firstLine="643" w:firstLineChars="200"/>
        <w:rPr>
          <w:rFonts w:ascii="宋体" w:hAnsi="宋体"/>
          <w:b/>
          <w:color w:val="auto"/>
          <w:sz w:val="32"/>
          <w:szCs w:val="32"/>
        </w:rPr>
      </w:pPr>
    </w:p>
    <w:p>
      <w:pPr>
        <w:spacing w:line="440" w:lineRule="exact"/>
        <w:rPr>
          <w:rFonts w:ascii="宋体" w:hAnsi="宋体"/>
          <w:b/>
          <w:color w:val="auto"/>
          <w:sz w:val="32"/>
          <w:szCs w:val="32"/>
        </w:rPr>
      </w:pPr>
    </w:p>
    <w:p>
      <w:pPr>
        <w:pStyle w:val="6"/>
        <w:rPr>
          <w:rFonts w:ascii="宋体" w:hAnsi="宋体"/>
          <w:color w:val="auto"/>
          <w:sz w:val="32"/>
          <w:szCs w:val="32"/>
        </w:rPr>
      </w:pPr>
    </w:p>
    <w:p>
      <w:pPr>
        <w:rPr>
          <w:rFonts w:ascii="宋体" w:hAnsi="宋体"/>
          <w:b/>
          <w:color w:val="auto"/>
          <w:sz w:val="32"/>
          <w:szCs w:val="32"/>
        </w:rPr>
      </w:pPr>
    </w:p>
    <w:p>
      <w:pPr>
        <w:pStyle w:val="6"/>
        <w:rPr>
          <w:rFonts w:ascii="宋体" w:hAnsi="宋体"/>
          <w:color w:val="auto"/>
          <w:sz w:val="32"/>
          <w:szCs w:val="32"/>
        </w:rPr>
      </w:pPr>
    </w:p>
    <w:p>
      <w:pPr>
        <w:spacing w:line="460" w:lineRule="exact"/>
        <w:rPr>
          <w:rFonts w:ascii="宋体" w:hAnsi="宋体" w:cs="宋体"/>
          <w:color w:val="auto"/>
          <w:sz w:val="28"/>
          <w:szCs w:val="28"/>
        </w:rPr>
        <w:sectPr>
          <w:footerReference r:id="rId5" w:type="default"/>
          <w:pgSz w:w="11910" w:h="16840"/>
          <w:pgMar w:top="1500" w:right="1380" w:bottom="1780" w:left="1580" w:header="0" w:footer="1595" w:gutter="0"/>
          <w:pgNumType w:start="1"/>
          <w:cols w:space="720" w:num="1"/>
        </w:sectPr>
      </w:pPr>
    </w:p>
    <w:p>
      <w:pPr>
        <w:pStyle w:val="3"/>
        <w:spacing w:before="162"/>
        <w:rPr>
          <w:color w:val="auto"/>
        </w:rPr>
      </w:pPr>
    </w:p>
    <w:p>
      <w:pPr>
        <w:pStyle w:val="3"/>
        <w:spacing w:before="162"/>
        <w:rPr>
          <w:color w:val="auto"/>
        </w:rPr>
      </w:pPr>
      <w:r>
        <w:rPr>
          <w:color w:val="auto"/>
        </w:rPr>
        <w:t>中小企业声明函（货物）</w:t>
      </w:r>
    </w:p>
    <w:p>
      <w:pPr>
        <w:pStyle w:val="9"/>
        <w:rPr>
          <w:rFonts w:ascii="宋体"/>
          <w:b/>
          <w:color w:val="auto"/>
          <w:sz w:val="20"/>
        </w:rPr>
      </w:pPr>
    </w:p>
    <w:p>
      <w:pPr>
        <w:pStyle w:val="9"/>
        <w:spacing w:before="2"/>
        <w:rPr>
          <w:rFonts w:ascii="宋体"/>
          <w:b/>
          <w:color w:val="auto"/>
        </w:rPr>
      </w:pPr>
    </w:p>
    <w:p>
      <w:pPr>
        <w:pStyle w:val="9"/>
        <w:spacing w:before="55" w:line="400" w:lineRule="exact"/>
        <w:ind w:right="415" w:firstLine="640"/>
        <w:rPr>
          <w:rFonts w:ascii="宋体" w:hAnsi="宋体" w:cs="宋体"/>
          <w:color w:val="auto"/>
          <w:sz w:val="21"/>
          <w:szCs w:val="21"/>
        </w:rPr>
      </w:pPr>
      <w:r>
        <w:rPr>
          <w:rFonts w:hint="eastAsia" w:ascii="宋体" w:hAnsi="宋体" w:cs="宋体"/>
          <w:color w:val="auto"/>
          <w:sz w:val="21"/>
          <w:szCs w:val="21"/>
        </w:rPr>
        <w:t xml:space="preserve">本公司（联合体）郑重声明，根据《政府采购促进中小企业发展管理办法》（财库﹝2020﹞46 号）的规定，本公司（联合体）参加 </w:t>
      </w:r>
      <w:r>
        <w:rPr>
          <w:rFonts w:hint="eastAsia" w:ascii="宋体" w:hAnsi="宋体" w:cs="宋体"/>
          <w:color w:val="auto"/>
          <w:sz w:val="21"/>
          <w:szCs w:val="21"/>
          <w:u w:val="single"/>
        </w:rPr>
        <w:t>（单位名称）</w:t>
      </w:r>
      <w:r>
        <w:rPr>
          <w:rFonts w:hint="eastAsia" w:ascii="宋体" w:hAnsi="宋体" w:cs="宋体"/>
          <w:color w:val="auto"/>
          <w:sz w:val="21"/>
          <w:szCs w:val="21"/>
        </w:rPr>
        <w:t>的</w:t>
      </w:r>
      <w:r>
        <w:rPr>
          <w:rFonts w:hint="eastAsia" w:ascii="宋体" w:hAnsi="宋体" w:cs="宋体"/>
          <w:color w:val="auto"/>
          <w:sz w:val="21"/>
          <w:szCs w:val="21"/>
          <w:u w:val="single"/>
        </w:rPr>
        <w:t>（项目名称）</w:t>
      </w:r>
      <w:r>
        <w:rPr>
          <w:rFonts w:hint="eastAsia" w:ascii="宋体" w:hAnsi="宋体" w:cs="宋体"/>
          <w:color w:val="auto"/>
          <w:sz w:val="21"/>
          <w:szCs w:val="21"/>
        </w:rPr>
        <w:t>采购活动，提供的货物全部由符合政策要求的中小企业制造。相关企业（含联合体中的中小企业、签订分包意向协议的中小企业） 的具体情况如下：</w:t>
      </w:r>
    </w:p>
    <w:p>
      <w:pPr>
        <w:pStyle w:val="32"/>
        <w:numPr>
          <w:ilvl w:val="0"/>
          <w:numId w:val="6"/>
        </w:numPr>
        <w:tabs>
          <w:tab w:val="left" w:pos="1183"/>
          <w:tab w:val="left" w:pos="1484"/>
          <w:tab w:val="left" w:pos="4662"/>
          <w:tab w:val="left" w:pos="6903"/>
        </w:tabs>
        <w:spacing w:line="400" w:lineRule="exact"/>
        <w:ind w:right="169" w:firstLine="420"/>
        <w:rPr>
          <w:rFonts w:ascii="宋体" w:hAnsi="宋体" w:cs="宋体"/>
          <w:color w:val="auto"/>
          <w:szCs w:val="21"/>
        </w:rPr>
      </w:pPr>
      <w:r>
        <w:rPr>
          <w:rFonts w:hint="eastAsia" w:ascii="宋体" w:hAnsi="宋体" w:cs="宋体"/>
          <w:i/>
          <w:color w:val="auto"/>
          <w:szCs w:val="21"/>
          <w:u w:val="single"/>
        </w:rPr>
        <w:t xml:space="preserve">  （</w:t>
      </w:r>
      <w:r>
        <w:rPr>
          <w:rFonts w:hint="eastAsia" w:ascii="宋体" w:hAnsi="宋体" w:cs="宋体"/>
          <w:color w:val="auto"/>
          <w:szCs w:val="21"/>
          <w:u w:val="single"/>
        </w:rPr>
        <w:t>标的名称）</w:t>
      </w:r>
      <w:r>
        <w:rPr>
          <w:rFonts w:hint="eastAsia" w:ascii="宋体" w:hAnsi="宋体" w:cs="宋体"/>
          <w:i/>
          <w:color w:val="auto"/>
          <w:szCs w:val="21"/>
          <w:u w:val="single"/>
        </w:rPr>
        <w:t xml:space="preserve"> </w:t>
      </w:r>
      <w:r>
        <w:rPr>
          <w:rFonts w:hint="eastAsia" w:ascii="宋体" w:hAnsi="宋体" w:cs="宋体"/>
          <w:color w:val="auto"/>
          <w:szCs w:val="21"/>
        </w:rPr>
        <w:t xml:space="preserve">  属 于  </w:t>
      </w:r>
      <w:r>
        <w:rPr>
          <w:rFonts w:hint="eastAsia" w:ascii="宋体" w:hAnsi="宋体" w:cs="宋体"/>
          <w:color w:val="auto"/>
          <w:szCs w:val="21"/>
          <w:u w:val="single"/>
        </w:rPr>
        <w:t xml:space="preserve">    （采购文件中明确的所属行业）行业   ，</w:t>
      </w:r>
      <w:r>
        <w:rPr>
          <w:rFonts w:hint="eastAsia" w:ascii="宋体" w:hAnsi="宋体" w:cs="宋体"/>
          <w:color w:val="auto"/>
          <w:szCs w:val="21"/>
        </w:rPr>
        <w:t>制造商</w:t>
      </w:r>
      <w:r>
        <w:rPr>
          <w:rFonts w:hint="eastAsia" w:ascii="宋体" w:hAnsi="宋体" w:cs="宋体"/>
          <w:color w:val="auto"/>
          <w:szCs w:val="21"/>
          <w:u w:val="single"/>
        </w:rPr>
        <w:t xml:space="preserve"> （企业名称），</w:t>
      </w:r>
      <w:r>
        <w:rPr>
          <w:rFonts w:hint="eastAsia" w:ascii="宋体" w:hAnsi="宋体" w:cs="宋体"/>
          <w:color w:val="auto"/>
          <w:szCs w:val="21"/>
        </w:rPr>
        <w:t>从业人员</w:t>
      </w:r>
      <w:r>
        <w:rPr>
          <w:rFonts w:hint="eastAsia" w:ascii="宋体" w:hAnsi="宋体" w:cs="宋体"/>
          <w:color w:val="auto"/>
          <w:szCs w:val="21"/>
          <w:u w:val="single"/>
        </w:rPr>
        <w:t xml:space="preserve">       人，</w:t>
      </w:r>
      <w:r>
        <w:rPr>
          <w:rFonts w:hint="eastAsia" w:ascii="宋体" w:hAnsi="宋体" w:cs="宋体"/>
          <w:color w:val="auto"/>
          <w:szCs w:val="21"/>
        </w:rPr>
        <w:t>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w:t>
      </w:r>
      <w:r>
        <w:rPr>
          <w:color w:val="auto"/>
        </w:rPr>
        <w:fldChar w:fldCharType="begin"/>
      </w:r>
      <w:r>
        <w:rPr>
          <w:color w:val="auto"/>
        </w:rPr>
        <w:instrText xml:space="preserve"> HYPERLINK \l "_bookmark0" </w:instrText>
      </w:r>
      <w:r>
        <w:rPr>
          <w:color w:val="auto"/>
        </w:rPr>
        <w:fldChar w:fldCharType="separate"/>
      </w:r>
      <w:r>
        <w:rPr>
          <w:rFonts w:hint="eastAsia" w:ascii="宋体" w:hAnsi="宋体" w:cs="宋体"/>
          <w:color w:val="auto"/>
          <w:szCs w:val="21"/>
        </w:rPr>
        <w:t>1</w:t>
      </w:r>
      <w:r>
        <w:rPr>
          <w:rFonts w:hint="eastAsia" w:ascii="宋体" w:hAnsi="宋体" w:cs="宋体"/>
          <w:color w:val="auto"/>
          <w:szCs w:val="21"/>
        </w:rPr>
        <w:fldChar w:fldCharType="end"/>
      </w:r>
      <w:r>
        <w:rPr>
          <w:rFonts w:hint="eastAsia" w:ascii="宋体" w:hAnsi="宋体" w:cs="宋体"/>
          <w:color w:val="auto"/>
          <w:szCs w:val="21"/>
        </w:rPr>
        <w:t>，属于</w:t>
      </w:r>
      <w:r>
        <w:rPr>
          <w:rFonts w:hint="eastAsia" w:ascii="宋体" w:hAnsi="宋体" w:cs="宋体"/>
          <w:color w:val="auto"/>
          <w:szCs w:val="21"/>
          <w:u w:val="single"/>
        </w:rPr>
        <w:t xml:space="preserve">  （中型企业，小型企业，微型企业）  </w:t>
      </w:r>
      <w:r>
        <w:rPr>
          <w:rFonts w:hint="eastAsia" w:ascii="宋体" w:hAnsi="宋体" w:cs="宋体"/>
          <w:color w:val="auto"/>
          <w:szCs w:val="21"/>
        </w:rPr>
        <w:t xml:space="preserve">   </w:t>
      </w:r>
    </w:p>
    <w:p>
      <w:pPr>
        <w:pStyle w:val="32"/>
        <w:numPr>
          <w:ilvl w:val="0"/>
          <w:numId w:val="6"/>
        </w:numPr>
        <w:tabs>
          <w:tab w:val="left" w:pos="1183"/>
          <w:tab w:val="left" w:pos="1484"/>
          <w:tab w:val="left" w:pos="4662"/>
          <w:tab w:val="left" w:pos="6903"/>
        </w:tabs>
        <w:spacing w:line="400" w:lineRule="exact"/>
        <w:ind w:right="169" w:firstLine="420"/>
        <w:rPr>
          <w:rFonts w:ascii="宋体" w:hAnsi="宋体" w:cs="宋体"/>
          <w:color w:val="auto"/>
          <w:szCs w:val="21"/>
        </w:rPr>
      </w:pPr>
      <w:r>
        <w:rPr>
          <w:rFonts w:hint="eastAsia" w:ascii="宋体" w:hAnsi="宋体" w:cs="宋体"/>
          <w:i/>
          <w:color w:val="auto"/>
          <w:szCs w:val="21"/>
          <w:u w:val="single"/>
        </w:rPr>
        <w:t xml:space="preserve">   （</w:t>
      </w:r>
      <w:r>
        <w:rPr>
          <w:rFonts w:hint="eastAsia" w:ascii="宋体" w:hAnsi="宋体" w:cs="宋体"/>
          <w:color w:val="auto"/>
          <w:szCs w:val="21"/>
          <w:u w:val="single"/>
        </w:rPr>
        <w:t>标的名称）</w:t>
      </w:r>
      <w:r>
        <w:rPr>
          <w:rFonts w:hint="eastAsia" w:ascii="宋体" w:hAnsi="宋体" w:cs="宋体"/>
          <w:i/>
          <w:color w:val="auto"/>
          <w:szCs w:val="21"/>
          <w:u w:val="single"/>
        </w:rPr>
        <w:t xml:space="preserve"> </w:t>
      </w:r>
      <w:r>
        <w:rPr>
          <w:rFonts w:hint="eastAsia" w:ascii="宋体" w:hAnsi="宋体" w:cs="宋体"/>
          <w:color w:val="auto"/>
          <w:szCs w:val="21"/>
        </w:rPr>
        <w:t xml:space="preserve">  属 于  </w:t>
      </w:r>
      <w:r>
        <w:rPr>
          <w:rFonts w:hint="eastAsia" w:ascii="宋体" w:hAnsi="宋体" w:cs="宋体"/>
          <w:color w:val="auto"/>
          <w:szCs w:val="21"/>
          <w:u w:val="single"/>
        </w:rPr>
        <w:t xml:space="preserve">    （采购文件中明确的所属行业）行业   ，</w:t>
      </w:r>
      <w:r>
        <w:rPr>
          <w:rFonts w:hint="eastAsia" w:ascii="宋体" w:hAnsi="宋体" w:cs="宋体"/>
          <w:color w:val="auto"/>
          <w:szCs w:val="21"/>
        </w:rPr>
        <w:t>制造商</w:t>
      </w:r>
      <w:r>
        <w:rPr>
          <w:rFonts w:hint="eastAsia" w:ascii="宋体" w:hAnsi="宋体" w:cs="宋体"/>
          <w:color w:val="auto"/>
          <w:szCs w:val="21"/>
          <w:u w:val="single"/>
        </w:rPr>
        <w:t xml:space="preserve"> （企业名称），</w:t>
      </w:r>
      <w:r>
        <w:rPr>
          <w:rFonts w:hint="eastAsia" w:ascii="宋体" w:hAnsi="宋体" w:cs="宋体"/>
          <w:color w:val="auto"/>
          <w:szCs w:val="21"/>
        </w:rPr>
        <w:t>从业人员</w:t>
      </w:r>
      <w:r>
        <w:rPr>
          <w:rFonts w:hint="eastAsia" w:ascii="宋体" w:hAnsi="宋体" w:cs="宋体"/>
          <w:color w:val="auto"/>
          <w:szCs w:val="21"/>
          <w:u w:val="single"/>
        </w:rPr>
        <w:t xml:space="preserve">       人，</w:t>
      </w:r>
      <w:r>
        <w:rPr>
          <w:rFonts w:hint="eastAsia" w:ascii="宋体" w:hAnsi="宋体" w:cs="宋体"/>
          <w:color w:val="auto"/>
          <w:szCs w:val="21"/>
        </w:rPr>
        <w:t>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w:t>
      </w:r>
      <w:r>
        <w:rPr>
          <w:color w:val="auto"/>
        </w:rPr>
        <w:fldChar w:fldCharType="begin"/>
      </w:r>
      <w:r>
        <w:rPr>
          <w:color w:val="auto"/>
        </w:rPr>
        <w:instrText xml:space="preserve"> HYPERLINK \l "_bookmark0" </w:instrText>
      </w:r>
      <w:r>
        <w:rPr>
          <w:color w:val="auto"/>
        </w:rPr>
        <w:fldChar w:fldCharType="separate"/>
      </w:r>
      <w:r>
        <w:rPr>
          <w:rFonts w:hint="eastAsia" w:ascii="宋体" w:hAnsi="宋体" w:cs="宋体"/>
          <w:color w:val="auto"/>
          <w:szCs w:val="21"/>
        </w:rPr>
        <w:t>1</w:t>
      </w:r>
      <w:r>
        <w:rPr>
          <w:rFonts w:hint="eastAsia" w:ascii="宋体" w:hAnsi="宋体" w:cs="宋体"/>
          <w:color w:val="auto"/>
          <w:szCs w:val="21"/>
        </w:rPr>
        <w:fldChar w:fldCharType="end"/>
      </w:r>
      <w:r>
        <w:rPr>
          <w:rFonts w:hint="eastAsia" w:ascii="宋体" w:hAnsi="宋体" w:cs="宋体"/>
          <w:color w:val="auto"/>
          <w:szCs w:val="21"/>
        </w:rPr>
        <w:t>，属于</w:t>
      </w:r>
      <w:r>
        <w:rPr>
          <w:rFonts w:hint="eastAsia" w:ascii="宋体" w:hAnsi="宋体" w:cs="宋体"/>
          <w:color w:val="auto"/>
          <w:szCs w:val="21"/>
          <w:u w:val="single"/>
        </w:rPr>
        <w:t xml:space="preserve">  （中型企业，小型企业，微型企业） </w:t>
      </w:r>
    </w:p>
    <w:p>
      <w:pPr>
        <w:pStyle w:val="9"/>
        <w:spacing w:line="400" w:lineRule="exact"/>
        <w:ind w:left="860"/>
        <w:rPr>
          <w:rFonts w:ascii="宋体" w:hAnsi="宋体" w:cs="宋体"/>
          <w:color w:val="auto"/>
          <w:sz w:val="21"/>
          <w:szCs w:val="21"/>
        </w:rPr>
      </w:pPr>
      <w:r>
        <w:rPr>
          <w:rFonts w:hint="eastAsia" w:ascii="宋体" w:hAnsi="宋体" w:cs="宋体"/>
          <w:color w:val="auto"/>
          <w:sz w:val="21"/>
          <w:szCs w:val="21"/>
        </w:rPr>
        <w:t>……</w:t>
      </w:r>
    </w:p>
    <w:p>
      <w:pPr>
        <w:pStyle w:val="9"/>
        <w:spacing w:before="105" w:line="400" w:lineRule="exact"/>
        <w:ind w:right="417" w:firstLine="645"/>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pStyle w:val="9"/>
        <w:spacing w:line="400" w:lineRule="exact"/>
        <w:ind w:right="372" w:firstLine="645"/>
        <w:rPr>
          <w:rFonts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pPr>
        <w:pStyle w:val="9"/>
        <w:spacing w:before="35" w:line="316" w:lineRule="auto"/>
        <w:ind w:left="4060" w:right="2166"/>
        <w:rPr>
          <w:rFonts w:ascii="宋体" w:hAnsi="宋体" w:cs="宋体"/>
          <w:color w:val="auto"/>
          <w:sz w:val="21"/>
          <w:szCs w:val="21"/>
        </w:rPr>
      </w:pPr>
    </w:p>
    <w:p>
      <w:pPr>
        <w:pStyle w:val="9"/>
        <w:spacing w:before="35" w:line="316" w:lineRule="auto"/>
        <w:ind w:left="4060" w:right="2166"/>
        <w:rPr>
          <w:rFonts w:ascii="宋体" w:hAnsi="宋体" w:cs="宋体"/>
          <w:color w:val="auto"/>
          <w:sz w:val="21"/>
          <w:szCs w:val="21"/>
        </w:rPr>
      </w:pPr>
      <w:r>
        <w:rPr>
          <w:rFonts w:hint="eastAsia" w:ascii="宋体" w:hAnsi="宋体" w:cs="宋体"/>
          <w:color w:val="auto"/>
          <w:sz w:val="21"/>
          <w:szCs w:val="21"/>
        </w:rPr>
        <w:t>企业名称（盖章）：</w:t>
      </w:r>
    </w:p>
    <w:p>
      <w:pPr>
        <w:pStyle w:val="9"/>
        <w:spacing w:before="35" w:line="316" w:lineRule="auto"/>
        <w:ind w:left="4060" w:right="2166"/>
        <w:rPr>
          <w:rFonts w:ascii="宋体" w:hAnsi="宋体" w:cs="宋体"/>
          <w:color w:val="auto"/>
          <w:sz w:val="21"/>
          <w:szCs w:val="21"/>
        </w:rPr>
      </w:pPr>
      <w:r>
        <w:rPr>
          <w:rFonts w:hint="eastAsia" w:ascii="宋体" w:hAnsi="宋体" w:cs="宋体"/>
          <w:color w:val="auto"/>
          <w:sz w:val="21"/>
          <w:szCs w:val="21"/>
        </w:rPr>
        <w:t>日期：</w:t>
      </w:r>
    </w:p>
    <w:p>
      <w:pPr>
        <w:tabs>
          <w:tab w:val="left" w:pos="1187"/>
        </w:tabs>
        <w:jc w:val="left"/>
        <w:rPr>
          <w:color w:val="auto"/>
        </w:rPr>
      </w:pPr>
    </w:p>
    <w:sectPr>
      <w:footerReference r:id="rId6" w:type="default"/>
      <w:pgSz w:w="11906" w:h="16838"/>
      <w:pgMar w:top="1440" w:right="1080" w:bottom="1440" w:left="131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w:pict>
        <v:shape id="文本框 1"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&#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&#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69F4"/>
    <w:multiLevelType w:val="singleLevel"/>
    <w:tmpl w:val="85B569F4"/>
    <w:lvl w:ilvl="0" w:tentative="0">
      <w:start w:val="24"/>
      <w:numFmt w:val="decimal"/>
      <w:lvlText w:val="%1."/>
      <w:lvlJc w:val="left"/>
      <w:pPr>
        <w:tabs>
          <w:tab w:val="left" w:pos="312"/>
        </w:tabs>
      </w:pPr>
    </w:lvl>
  </w:abstractNum>
  <w:abstractNum w:abstractNumId="1">
    <w:nsid w:val="E3B35B7D"/>
    <w:multiLevelType w:val="singleLevel"/>
    <w:tmpl w:val="E3B35B7D"/>
    <w:lvl w:ilvl="0" w:tentative="0">
      <w:start w:val="1"/>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394354FD"/>
    <w:multiLevelType w:val="singleLevel"/>
    <w:tmpl w:val="394354FD"/>
    <w:lvl w:ilvl="0" w:tentative="0">
      <w:start w:val="7"/>
      <w:numFmt w:val="chineseCounting"/>
      <w:suff w:val="nothing"/>
      <w:lvlText w:val="%1、"/>
      <w:lvlJc w:val="left"/>
      <w:rPr>
        <w:rFonts w:hint="eastAsia"/>
      </w:rPr>
    </w:lvl>
  </w:abstractNum>
  <w:abstractNum w:abstractNumId="4">
    <w:nsid w:val="5FF58D15"/>
    <w:multiLevelType w:val="multilevel"/>
    <w:tmpl w:val="5FF58D15"/>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FF58D2B"/>
    <w:multiLevelType w:val="multilevel"/>
    <w:tmpl w:val="5FF58D2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子">
    <w15:presenceInfo w15:providerId="WPS Office" w15:userId="2556373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22893"/>
    <w:rsid w:val="00085B2D"/>
    <w:rsid w:val="000A5A04"/>
    <w:rsid w:val="001157D5"/>
    <w:rsid w:val="00122893"/>
    <w:rsid w:val="001F1730"/>
    <w:rsid w:val="0025239A"/>
    <w:rsid w:val="00304EA9"/>
    <w:rsid w:val="00341436"/>
    <w:rsid w:val="00362CFD"/>
    <w:rsid w:val="003C1FE7"/>
    <w:rsid w:val="004B65C2"/>
    <w:rsid w:val="00512390"/>
    <w:rsid w:val="005B76A7"/>
    <w:rsid w:val="00761080"/>
    <w:rsid w:val="00773768"/>
    <w:rsid w:val="008E07A7"/>
    <w:rsid w:val="00933E9B"/>
    <w:rsid w:val="009656E7"/>
    <w:rsid w:val="009B089B"/>
    <w:rsid w:val="009B6DCF"/>
    <w:rsid w:val="009C1C72"/>
    <w:rsid w:val="00A34A04"/>
    <w:rsid w:val="00AB0A8A"/>
    <w:rsid w:val="00AE66F7"/>
    <w:rsid w:val="00B16F3E"/>
    <w:rsid w:val="00B57D7C"/>
    <w:rsid w:val="00B92A17"/>
    <w:rsid w:val="00BF3538"/>
    <w:rsid w:val="00DB7B1A"/>
    <w:rsid w:val="00F41375"/>
    <w:rsid w:val="00FE74AD"/>
    <w:rsid w:val="092B0838"/>
    <w:rsid w:val="09A91F43"/>
    <w:rsid w:val="0AA71F50"/>
    <w:rsid w:val="0DE44355"/>
    <w:rsid w:val="0EF12187"/>
    <w:rsid w:val="10576C07"/>
    <w:rsid w:val="11607680"/>
    <w:rsid w:val="11A609AD"/>
    <w:rsid w:val="123503BE"/>
    <w:rsid w:val="152707FC"/>
    <w:rsid w:val="1B991E7C"/>
    <w:rsid w:val="1CCA277C"/>
    <w:rsid w:val="1DC30AD7"/>
    <w:rsid w:val="1F115431"/>
    <w:rsid w:val="20BC1C41"/>
    <w:rsid w:val="218D36D4"/>
    <w:rsid w:val="23F64CC9"/>
    <w:rsid w:val="24845C9C"/>
    <w:rsid w:val="255F4982"/>
    <w:rsid w:val="25C91290"/>
    <w:rsid w:val="2BD773FA"/>
    <w:rsid w:val="2CFA1606"/>
    <w:rsid w:val="2EF514F5"/>
    <w:rsid w:val="31390F9A"/>
    <w:rsid w:val="313D792D"/>
    <w:rsid w:val="317646ED"/>
    <w:rsid w:val="318F76AF"/>
    <w:rsid w:val="32B51ABA"/>
    <w:rsid w:val="3533406E"/>
    <w:rsid w:val="3D070F1B"/>
    <w:rsid w:val="3E6736FA"/>
    <w:rsid w:val="442A70F5"/>
    <w:rsid w:val="47CC1A40"/>
    <w:rsid w:val="48ED76F0"/>
    <w:rsid w:val="49E93C45"/>
    <w:rsid w:val="4A22104C"/>
    <w:rsid w:val="4A261CF3"/>
    <w:rsid w:val="4AF34AB8"/>
    <w:rsid w:val="4D0D1D64"/>
    <w:rsid w:val="4E1B61C0"/>
    <w:rsid w:val="4E5D0724"/>
    <w:rsid w:val="4E8B1AF6"/>
    <w:rsid w:val="4F810B31"/>
    <w:rsid w:val="4FF8478B"/>
    <w:rsid w:val="52437392"/>
    <w:rsid w:val="52CC43D4"/>
    <w:rsid w:val="579A3B03"/>
    <w:rsid w:val="58B3050C"/>
    <w:rsid w:val="58BB17CA"/>
    <w:rsid w:val="5980133A"/>
    <w:rsid w:val="59CA4ECC"/>
    <w:rsid w:val="5AC21150"/>
    <w:rsid w:val="5D4F74E3"/>
    <w:rsid w:val="5E1C6A06"/>
    <w:rsid w:val="632A7C21"/>
    <w:rsid w:val="64820231"/>
    <w:rsid w:val="65424386"/>
    <w:rsid w:val="68182801"/>
    <w:rsid w:val="6A4C19FD"/>
    <w:rsid w:val="6A690604"/>
    <w:rsid w:val="6B070FBB"/>
    <w:rsid w:val="6B4A1548"/>
    <w:rsid w:val="6C1836C1"/>
    <w:rsid w:val="6D027865"/>
    <w:rsid w:val="6DC5562E"/>
    <w:rsid w:val="707B31BC"/>
    <w:rsid w:val="71367A0F"/>
    <w:rsid w:val="71443591"/>
    <w:rsid w:val="75007D15"/>
    <w:rsid w:val="750D5A0B"/>
    <w:rsid w:val="7556104B"/>
    <w:rsid w:val="75B64C90"/>
    <w:rsid w:val="75DE1669"/>
    <w:rsid w:val="77DD30E7"/>
    <w:rsid w:val="78B5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38"/>
      <w:ind w:left="1482" w:right="1677"/>
      <w:jc w:val="center"/>
      <w:outlineLvl w:val="0"/>
    </w:pPr>
    <w:rPr>
      <w:rFonts w:ascii="宋体" w:hAnsi="宋体" w:cs="宋体"/>
      <w:b/>
      <w:bCs/>
      <w:sz w:val="36"/>
      <w:szCs w:val="36"/>
      <w:lang w:val="zh-CN" w:bidi="zh-CN"/>
    </w:rPr>
  </w:style>
  <w:style w:type="paragraph" w:styleId="4">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5"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7">
    <w:name w:val="Normal Indent"/>
    <w:basedOn w:val="1"/>
    <w:qFormat/>
    <w:uiPriority w:val="99"/>
    <w:pPr>
      <w:ind w:firstLine="420"/>
    </w:pPr>
    <w:rPr>
      <w:szCs w:val="20"/>
    </w:rPr>
  </w:style>
  <w:style w:type="paragraph" w:styleId="8">
    <w:name w:val="annotation text"/>
    <w:basedOn w:val="1"/>
    <w:link w:val="36"/>
    <w:qFormat/>
    <w:uiPriority w:val="0"/>
    <w:pPr>
      <w:jc w:val="left"/>
    </w:pPr>
  </w:style>
  <w:style w:type="paragraph" w:styleId="9">
    <w:name w:val="Body Text"/>
    <w:basedOn w:val="1"/>
    <w:qFormat/>
    <w:uiPriority w:val="99"/>
    <w:pPr>
      <w:spacing w:line="380" w:lineRule="exact"/>
    </w:pPr>
    <w:rPr>
      <w:kern w:val="0"/>
      <w:sz w:val="24"/>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toc 3"/>
    <w:basedOn w:val="1"/>
    <w:next w:val="1"/>
    <w:qFormat/>
    <w:uiPriority w:val="0"/>
    <w:pPr>
      <w:ind w:left="840" w:leftChars="400"/>
    </w:pPr>
  </w:style>
  <w:style w:type="paragraph" w:styleId="12">
    <w:name w:val="Plain Text"/>
    <w:basedOn w:val="1"/>
    <w:next w:val="13"/>
    <w:qFormat/>
    <w:uiPriority w:val="0"/>
    <w:rPr>
      <w:rFonts w:ascii="宋体" w:hAnsi="Courier New"/>
      <w:kern w:val="0"/>
      <w:sz w:val="20"/>
      <w:szCs w:val="21"/>
    </w:rPr>
  </w:style>
  <w:style w:type="paragraph" w:styleId="13">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14">
    <w:name w:val="Balloon Text"/>
    <w:basedOn w:val="1"/>
    <w:link w:val="38"/>
    <w:qFormat/>
    <w:uiPriority w:val="0"/>
    <w:rPr>
      <w:rFonts w:ascii="宋体"/>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Normal (Web)"/>
    <w:basedOn w:val="1"/>
    <w:qFormat/>
    <w:uiPriority w:val="0"/>
    <w:pPr>
      <w:widowControl/>
      <w:spacing w:beforeAutospacing="1" w:afterAutospacing="1"/>
      <w:jc w:val="left"/>
    </w:pPr>
    <w:rPr>
      <w:rFonts w:hint="eastAsia" w:ascii="宋体" w:hAnsi="宋体"/>
      <w:kern w:val="0"/>
      <w:sz w:val="24"/>
    </w:rPr>
  </w:style>
  <w:style w:type="paragraph" w:styleId="18">
    <w:name w:val="annotation subject"/>
    <w:basedOn w:val="8"/>
    <w:next w:val="8"/>
    <w:link w:val="37"/>
    <w:qFormat/>
    <w:uiPriority w:val="0"/>
    <w:rPr>
      <w:b/>
      <w:bCs/>
    </w:rPr>
  </w:style>
  <w:style w:type="paragraph" w:styleId="19">
    <w:name w:val="Body Text First Indent"/>
    <w:basedOn w:val="9"/>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color w:val="000000"/>
      <w:u w:val="none"/>
    </w:rPr>
  </w:style>
  <w:style w:type="character" w:styleId="25">
    <w:name w:val="Hyperlink"/>
    <w:basedOn w:val="22"/>
    <w:qFormat/>
    <w:uiPriority w:val="0"/>
    <w:rPr>
      <w:color w:val="000000"/>
      <w:u w:val="none"/>
    </w:rPr>
  </w:style>
  <w:style w:type="character" w:styleId="26">
    <w:name w:val="annotation reference"/>
    <w:basedOn w:val="22"/>
    <w:qFormat/>
    <w:uiPriority w:val="0"/>
    <w:rPr>
      <w:sz w:val="21"/>
      <w:szCs w:val="21"/>
    </w:rPr>
  </w:style>
  <w:style w:type="paragraph" w:customStyle="1" w:styleId="27">
    <w:name w:val="bb"/>
    <w:basedOn w:val="1"/>
    <w:qFormat/>
    <w:uiPriority w:val="0"/>
    <w:pPr>
      <w:widowControl/>
      <w:spacing w:beforeAutospacing="1" w:afterAutospacing="1"/>
      <w:jc w:val="left"/>
    </w:pPr>
    <w:rPr>
      <w:rFonts w:hint="eastAsia" w:ascii="宋体" w:hAnsi="宋体"/>
      <w:kern w:val="0"/>
      <w:sz w:val="24"/>
    </w:rPr>
  </w:style>
  <w:style w:type="character" w:customStyle="1" w:styleId="28">
    <w:name w:val="font21"/>
    <w:basedOn w:val="22"/>
    <w:qFormat/>
    <w:uiPriority w:val="0"/>
    <w:rPr>
      <w:rFonts w:hint="eastAsia" w:ascii="宋体" w:hAnsi="宋体" w:eastAsia="宋体" w:cs="宋体"/>
      <w:color w:val="000000"/>
      <w:sz w:val="20"/>
      <w:szCs w:val="20"/>
      <w:u w:val="none"/>
    </w:rPr>
  </w:style>
  <w:style w:type="character" w:customStyle="1" w:styleId="29">
    <w:name w:val="font71"/>
    <w:basedOn w:val="22"/>
    <w:qFormat/>
    <w:uiPriority w:val="0"/>
    <w:rPr>
      <w:rFonts w:hint="eastAsia" w:ascii="宋体" w:hAnsi="宋体" w:eastAsia="宋体" w:cs="宋体"/>
      <w:color w:val="000000"/>
      <w:sz w:val="21"/>
      <w:szCs w:val="21"/>
      <w:u w:val="none"/>
    </w:rPr>
  </w:style>
  <w:style w:type="character" w:customStyle="1" w:styleId="30">
    <w:name w:val="font181"/>
    <w:basedOn w:val="22"/>
    <w:qFormat/>
    <w:uiPriority w:val="0"/>
    <w:rPr>
      <w:rFonts w:ascii="Arial" w:hAnsi="Arial" w:cs="Arial"/>
      <w:color w:val="000000"/>
      <w:sz w:val="21"/>
      <w:szCs w:val="21"/>
      <w:u w:val="none"/>
    </w:rPr>
  </w:style>
  <w:style w:type="character" w:customStyle="1" w:styleId="31">
    <w:name w:val="font201"/>
    <w:basedOn w:val="22"/>
    <w:qFormat/>
    <w:uiPriority w:val="0"/>
    <w:rPr>
      <w:rFonts w:ascii="Calibri" w:hAnsi="Calibri" w:cs="Calibri"/>
      <w:color w:val="000000"/>
      <w:sz w:val="21"/>
      <w:szCs w:val="21"/>
      <w:u w:val="none"/>
    </w:rPr>
  </w:style>
  <w:style w:type="paragraph" w:customStyle="1" w:styleId="32">
    <w:name w:val="列表段落1"/>
    <w:basedOn w:val="1"/>
    <w:qFormat/>
    <w:uiPriority w:val="34"/>
    <w:pPr>
      <w:ind w:firstLine="420" w:firstLineChars="200"/>
    </w:pPr>
  </w:style>
  <w:style w:type="paragraph" w:customStyle="1" w:styleId="33">
    <w:name w:val="正文段"/>
    <w:basedOn w:val="1"/>
    <w:qFormat/>
    <w:uiPriority w:val="0"/>
    <w:pPr>
      <w:widowControl/>
      <w:snapToGrid w:val="0"/>
      <w:spacing w:afterLines="50"/>
      <w:ind w:firstLine="200" w:firstLineChars="200"/>
    </w:pPr>
    <w:rPr>
      <w:kern w:val="0"/>
      <w:sz w:val="24"/>
      <w:szCs w:val="20"/>
    </w:rPr>
  </w:style>
  <w:style w:type="character" w:customStyle="1" w:styleId="34">
    <w:name w:val="font11"/>
    <w:basedOn w:val="22"/>
    <w:qFormat/>
    <w:uiPriority w:val="0"/>
    <w:rPr>
      <w:rFonts w:hint="eastAsia" w:ascii="宋体" w:hAnsi="宋体" w:eastAsia="宋体" w:cs="宋体"/>
      <w:color w:val="000000"/>
      <w:sz w:val="22"/>
      <w:szCs w:val="22"/>
      <w:u w:val="none"/>
    </w:rPr>
  </w:style>
  <w:style w:type="character" w:customStyle="1" w:styleId="35">
    <w:name w:val="font01"/>
    <w:basedOn w:val="22"/>
    <w:qFormat/>
    <w:uiPriority w:val="0"/>
    <w:rPr>
      <w:rFonts w:hint="eastAsia" w:ascii="宋体" w:hAnsi="宋体" w:eastAsia="宋体" w:cs="宋体"/>
      <w:b/>
      <w:color w:val="000000"/>
      <w:sz w:val="22"/>
      <w:szCs w:val="22"/>
      <w:u w:val="none"/>
    </w:rPr>
  </w:style>
  <w:style w:type="character" w:customStyle="1" w:styleId="36">
    <w:name w:val="批注文字 Char"/>
    <w:basedOn w:val="22"/>
    <w:link w:val="8"/>
    <w:qFormat/>
    <w:uiPriority w:val="0"/>
    <w:rPr>
      <w:kern w:val="2"/>
      <w:sz w:val="21"/>
      <w:szCs w:val="24"/>
    </w:rPr>
  </w:style>
  <w:style w:type="character" w:customStyle="1" w:styleId="37">
    <w:name w:val="批注主题 Char"/>
    <w:basedOn w:val="36"/>
    <w:link w:val="18"/>
    <w:qFormat/>
    <w:uiPriority w:val="0"/>
    <w:rPr>
      <w:b/>
      <w:bCs/>
      <w:kern w:val="2"/>
      <w:sz w:val="21"/>
      <w:szCs w:val="24"/>
    </w:rPr>
  </w:style>
  <w:style w:type="character" w:customStyle="1" w:styleId="38">
    <w:name w:val="批注框文本 Char"/>
    <w:basedOn w:val="22"/>
    <w:link w:val="14"/>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3621</Words>
  <Characters>20643</Characters>
  <Lines>172</Lines>
  <Paragraphs>48</Paragraphs>
  <TotalTime>0</TotalTime>
  <ScaleCrop>false</ScaleCrop>
  <LinksUpToDate>false</LinksUpToDate>
  <CharactersWithSpaces>24216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2021-08-27T07:17:00Z</dcterms:created>
  <dc:creator>LS</dc:creator>
  <cp:lastModifiedBy>Lenovo</cp:lastModifiedBy>
  <cp:lastPrinted>2021-04-20T07:34:00Z</cp:lastPrinted>
  <dcterms:modified xsi:type="dcterms:W3CDTF">2021-10-08T07:56:31Z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3C4F802FFF6C4170B52E1E334161E817</vt:lpwstr>
  </property>
</Properties>
</file>