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76"/>
          <w:szCs w:val="76"/>
        </w:rPr>
      </w:pPr>
      <w:bookmarkStart w:id="0" w:name="_Toc12403_WPSOffice_Level1"/>
      <w:r>
        <w:rPr>
          <w:rFonts w:hint="eastAsia" w:ascii="宋体" w:hAnsi="宋体" w:cs="宋体"/>
          <w:b/>
          <w:sz w:val="76"/>
          <w:szCs w:val="76"/>
        </w:rPr>
        <w:t>广西睿升项目管理有限公司</w:t>
      </w:r>
    </w:p>
    <w:p>
      <w:pPr>
        <w:pStyle w:val="19"/>
        <w:rPr>
          <w:rFonts w:hAnsi="宋体" w:cs="宋体"/>
          <w:b/>
          <w:spacing w:val="-18"/>
          <w:sz w:val="96"/>
        </w:rPr>
      </w:pPr>
      <w:r>
        <w:rPr>
          <w:b/>
          <w:sz w:val="28"/>
          <w:szCs w:val="28"/>
        </w:rPr>
        <w:pict>
          <v:rect id="_x0000_i1025" o:spt="1" style="height:2pt;width:481.9pt;" fillcolor="#000000" filled="t" stroked="f" coordsize="21600,21600" o:hr="t" o:hrstd="t" o:hrnoshade="t" o:hralign="center">
            <v:path/>
            <v:fill on="t" focussize="0,0"/>
            <v:stroke on="f"/>
            <v:imagedata o:title=""/>
            <o:lock v:ext="edit"/>
            <w10:wrap type="none"/>
            <w10:anchorlock/>
          </v:rect>
        </w:pict>
      </w:r>
    </w:p>
    <w:p>
      <w:pPr>
        <w:pStyle w:val="19"/>
        <w:jc w:val="center"/>
        <w:rPr>
          <w:rFonts w:hAnsi="宋体" w:cs="宋体"/>
          <w:b/>
          <w:sz w:val="84"/>
          <w:szCs w:val="84"/>
        </w:rPr>
      </w:pPr>
      <w:r>
        <w:rPr>
          <w:rFonts w:hint="eastAsia" w:hAnsi="宋体" w:cs="宋体"/>
          <w:b/>
          <w:sz w:val="84"/>
          <w:szCs w:val="84"/>
        </w:rPr>
        <w:t xml:space="preserve">    </w:t>
      </w:r>
    </w:p>
    <w:p>
      <w:pPr>
        <w:pStyle w:val="2"/>
      </w:pPr>
    </w:p>
    <w:p>
      <w:pPr>
        <w:pStyle w:val="19"/>
        <w:jc w:val="center"/>
        <w:rPr>
          <w:rFonts w:ascii="仿宋" w:hAnsi="仿宋" w:eastAsia="仿宋" w:cs="仿宋"/>
          <w:b/>
          <w:spacing w:val="-18"/>
          <w:sz w:val="84"/>
          <w:szCs w:val="84"/>
        </w:rPr>
      </w:pPr>
      <w:r>
        <w:rPr>
          <w:rFonts w:hint="eastAsia" w:ascii="仿宋" w:hAnsi="仿宋" w:eastAsia="仿宋" w:cs="仿宋"/>
          <w:b/>
          <w:sz w:val="84"/>
          <w:szCs w:val="84"/>
        </w:rPr>
        <w:t>竞争性磋商采购文件</w:t>
      </w:r>
    </w:p>
    <w:p>
      <w:pPr>
        <w:pStyle w:val="19"/>
        <w:rPr>
          <w:rFonts w:hAnsi="宋体" w:cs="宋体"/>
          <w:b/>
        </w:rPr>
      </w:pPr>
    </w:p>
    <w:p>
      <w:pPr>
        <w:pStyle w:val="19"/>
        <w:rPr>
          <w:rFonts w:hAnsi="宋体" w:cs="宋体"/>
          <w:b/>
        </w:rPr>
      </w:pPr>
    </w:p>
    <w:p>
      <w:pPr>
        <w:pStyle w:val="19"/>
        <w:rPr>
          <w:rFonts w:hAnsi="宋体" w:cs="宋体"/>
          <w:b/>
        </w:rPr>
      </w:pPr>
    </w:p>
    <w:p>
      <w:pPr>
        <w:pStyle w:val="19"/>
        <w:rPr>
          <w:rFonts w:hAnsi="宋体" w:cs="宋体"/>
          <w:b/>
        </w:rPr>
      </w:pPr>
    </w:p>
    <w:p>
      <w:pPr>
        <w:pStyle w:val="19"/>
        <w:rPr>
          <w:rFonts w:ascii="仿宋" w:hAnsi="仿宋" w:eastAsia="仿宋" w:cs="仿宋"/>
          <w:b/>
        </w:rPr>
      </w:pPr>
    </w:p>
    <w:p>
      <w:pPr>
        <w:pStyle w:val="19"/>
        <w:ind w:left="2564" w:leftChars="456" w:hanging="1606" w:hangingChars="500"/>
        <w:rPr>
          <w:rFonts w:ascii="仿宋" w:hAnsi="仿宋" w:eastAsia="仿宋" w:cs="仿宋"/>
          <w:b/>
          <w:sz w:val="32"/>
          <w:szCs w:val="32"/>
        </w:rPr>
      </w:pPr>
      <w:r>
        <w:rPr>
          <w:rFonts w:hint="eastAsia" w:ascii="仿宋" w:hAnsi="仿宋" w:eastAsia="仿宋" w:cs="仿宋"/>
          <w:b/>
          <w:sz w:val="32"/>
          <w:szCs w:val="32"/>
        </w:rPr>
        <w:t>项目名称：防城港市白龙珍珠湾海域国家级海洋牧场示范区2021年度监测项目</w:t>
      </w:r>
    </w:p>
    <w:p>
      <w:pPr>
        <w:pStyle w:val="19"/>
        <w:ind w:firstLine="964" w:firstLineChars="300"/>
        <w:rPr>
          <w:rFonts w:ascii="仿宋" w:hAnsi="仿宋" w:eastAsia="仿宋" w:cs="仿宋"/>
          <w:b/>
          <w:sz w:val="32"/>
          <w:szCs w:val="32"/>
        </w:rPr>
      </w:pPr>
      <w:r>
        <w:rPr>
          <w:rFonts w:hint="eastAsia" w:ascii="仿宋" w:hAnsi="仿宋" w:eastAsia="仿宋" w:cs="仿宋"/>
          <w:b/>
          <w:sz w:val="32"/>
          <w:szCs w:val="32"/>
        </w:rPr>
        <w:t>项目编号：FCZC2021-C3-10007-GXRS</w:t>
      </w:r>
    </w:p>
    <w:p>
      <w:pPr>
        <w:pStyle w:val="19"/>
        <w:ind w:firstLine="964" w:firstLineChars="300"/>
        <w:rPr>
          <w:rFonts w:ascii="仿宋" w:hAnsi="仿宋" w:eastAsia="仿宋" w:cs="仿宋"/>
          <w:b/>
          <w:sz w:val="32"/>
          <w:szCs w:val="32"/>
        </w:rPr>
      </w:pPr>
      <w:r>
        <w:rPr>
          <w:rFonts w:hint="eastAsia" w:ascii="仿宋" w:hAnsi="仿宋" w:eastAsia="仿宋" w:cs="仿宋"/>
          <w:b/>
          <w:sz w:val="32"/>
          <w:szCs w:val="32"/>
        </w:rPr>
        <w:t>采 购 人：防城港市农业农村局</w:t>
      </w:r>
    </w:p>
    <w:p>
      <w:pPr>
        <w:pStyle w:val="19"/>
        <w:ind w:firstLine="964" w:firstLineChars="300"/>
        <w:rPr>
          <w:rFonts w:ascii="仿宋" w:hAnsi="仿宋" w:eastAsia="仿宋" w:cs="仿宋"/>
          <w:b/>
          <w:sz w:val="32"/>
          <w:szCs w:val="32"/>
        </w:rPr>
      </w:pPr>
      <w:r>
        <w:rPr>
          <w:rFonts w:hint="eastAsia" w:ascii="仿宋" w:hAnsi="仿宋" w:eastAsia="仿宋" w:cs="仿宋"/>
          <w:b/>
          <w:sz w:val="32"/>
          <w:szCs w:val="32"/>
        </w:rPr>
        <w:t>采购代理机构：广西睿升项目管理有限公司</w:t>
      </w:r>
    </w:p>
    <w:p>
      <w:pPr>
        <w:pStyle w:val="19"/>
        <w:rPr>
          <w:rFonts w:ascii="仿宋" w:hAnsi="仿宋" w:eastAsia="仿宋" w:cs="仿宋"/>
          <w:b/>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pStyle w:val="2"/>
        <w:rPr>
          <w:rFonts w:ascii="仿宋" w:hAnsi="仿宋" w:eastAsia="仿宋" w:cs="仿宋"/>
          <w:b/>
          <w:sz w:val="32"/>
          <w:szCs w:val="32"/>
        </w:rPr>
      </w:pPr>
    </w:p>
    <w:p>
      <w:pPr>
        <w:pStyle w:val="2"/>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rPr>
          <w:rFonts w:ascii="仿宋" w:hAnsi="仿宋" w:eastAsia="仿宋" w:cs="仿宋"/>
          <w:b/>
          <w:sz w:val="32"/>
          <w:szCs w:val="32"/>
        </w:rPr>
      </w:pPr>
    </w:p>
    <w:p>
      <w:pPr>
        <w:spacing w:line="400" w:lineRule="exact"/>
        <w:jc w:val="center"/>
        <w:rPr>
          <w:rFonts w:ascii="宋体" w:hAnsi="宋体"/>
          <w:b/>
          <w:sz w:val="32"/>
          <w:szCs w:val="32"/>
        </w:rPr>
      </w:pPr>
      <w:r>
        <w:rPr>
          <w:rFonts w:hint="eastAsia" w:ascii="仿宋" w:hAnsi="仿宋" w:eastAsia="仿宋" w:cs="仿宋"/>
          <w:b/>
          <w:sz w:val="32"/>
          <w:szCs w:val="32"/>
        </w:rPr>
        <w:t>二○二一年</w:t>
      </w:r>
      <w:r>
        <w:rPr>
          <w:rFonts w:hint="eastAsia" w:ascii="仿宋" w:hAnsi="仿宋" w:eastAsia="仿宋" w:cs="仿宋"/>
          <w:b/>
          <w:sz w:val="32"/>
          <w:szCs w:val="32"/>
          <w:lang w:eastAsia="zh-CN"/>
        </w:rPr>
        <w:t>十</w:t>
      </w:r>
      <w:r>
        <w:rPr>
          <w:rFonts w:hint="eastAsia" w:ascii="仿宋" w:hAnsi="仿宋" w:eastAsia="仿宋" w:cs="仿宋"/>
          <w:b/>
          <w:sz w:val="32"/>
          <w:szCs w:val="32"/>
        </w:rPr>
        <w:t>月</w:t>
      </w: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sectPr>
          <w:headerReference r:id="rId3" w:type="default"/>
          <w:pgSz w:w="11906" w:h="16838"/>
          <w:pgMar w:top="1247" w:right="1247" w:bottom="1247" w:left="1247" w:header="851" w:footer="992" w:gutter="0"/>
          <w:cols w:space="720" w:num="1"/>
          <w:docGrid w:type="lines" w:linePitch="312" w:charSpace="0"/>
        </w:sectPr>
      </w:pPr>
    </w:p>
    <w:p>
      <w:pPr>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pStyle w:val="22"/>
      </w:pPr>
    </w:p>
    <w:p>
      <w:pPr>
        <w:pStyle w:val="166"/>
        <w:tabs>
          <w:tab w:val="right" w:leader="dot" w:pos="9412"/>
        </w:tabs>
        <w:spacing w:line="480" w:lineRule="auto"/>
        <w:rPr>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r>
        <w:fldChar w:fldCharType="begin"/>
      </w:r>
      <w:r>
        <w:instrText xml:space="preserve"> HYPERLINK \l "_Toc19131" </w:instrText>
      </w:r>
      <w:r>
        <w:fldChar w:fldCharType="separate"/>
      </w:r>
      <w:r>
        <w:rPr>
          <w:rFonts w:hint="eastAsia" w:ascii="宋体" w:hAnsi="宋体" w:cs="宋体"/>
          <w:sz w:val="28"/>
          <w:szCs w:val="28"/>
        </w:rPr>
        <w:t>第一章 竞争性磋商公告</w:t>
      </w:r>
      <w:r>
        <w:rPr>
          <w:sz w:val="28"/>
          <w:szCs w:val="28"/>
        </w:rPr>
        <w:tab/>
      </w:r>
      <w:r>
        <w:rPr>
          <w:sz w:val="28"/>
          <w:szCs w:val="28"/>
        </w:rPr>
        <w:fldChar w:fldCharType="begin"/>
      </w:r>
      <w:r>
        <w:rPr>
          <w:sz w:val="28"/>
          <w:szCs w:val="28"/>
        </w:rPr>
        <w:instrText xml:space="preserve"> PAGEREF _Toc19131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6"/>
        <w:tabs>
          <w:tab w:val="right" w:leader="dot" w:pos="9412"/>
        </w:tabs>
        <w:spacing w:line="480" w:lineRule="auto"/>
        <w:rPr>
          <w:sz w:val="28"/>
          <w:szCs w:val="28"/>
        </w:rPr>
      </w:pPr>
      <w:r>
        <w:fldChar w:fldCharType="begin"/>
      </w:r>
      <w:r>
        <w:instrText xml:space="preserve"> HYPERLINK \l "_Toc15715" </w:instrText>
      </w:r>
      <w:r>
        <w:fldChar w:fldCharType="separate"/>
      </w:r>
      <w:r>
        <w:rPr>
          <w:rFonts w:hint="eastAsia" w:ascii="宋体" w:hAnsi="宋体" w:cs="宋体"/>
          <w:sz w:val="28"/>
          <w:szCs w:val="28"/>
        </w:rPr>
        <w:t>第二章 磋商供应商须知前附表</w:t>
      </w:r>
      <w:r>
        <w:rPr>
          <w:sz w:val="28"/>
          <w:szCs w:val="28"/>
        </w:rPr>
        <w:tab/>
      </w:r>
      <w:r>
        <w:rPr>
          <w:sz w:val="28"/>
          <w:szCs w:val="28"/>
        </w:rPr>
        <w:fldChar w:fldCharType="begin"/>
      </w:r>
      <w:r>
        <w:rPr>
          <w:sz w:val="28"/>
          <w:szCs w:val="28"/>
        </w:rPr>
        <w:instrText xml:space="preserve"> PAGEREF _Toc15715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6"/>
        <w:tabs>
          <w:tab w:val="right" w:leader="dot" w:pos="9412"/>
        </w:tabs>
        <w:spacing w:line="480" w:lineRule="auto"/>
        <w:rPr>
          <w:sz w:val="28"/>
          <w:szCs w:val="28"/>
        </w:rPr>
      </w:pPr>
      <w:r>
        <w:fldChar w:fldCharType="begin"/>
      </w:r>
      <w:r>
        <w:instrText xml:space="preserve"> HYPERLINK \l "_Toc10653" </w:instrText>
      </w:r>
      <w:r>
        <w:fldChar w:fldCharType="separate"/>
      </w:r>
      <w:r>
        <w:rPr>
          <w:rFonts w:hint="eastAsia" w:hAnsi="宋体" w:cs="宋体"/>
          <w:sz w:val="28"/>
          <w:szCs w:val="28"/>
        </w:rPr>
        <w:t>第三章 项目采购需求</w:t>
      </w:r>
      <w:r>
        <w:rPr>
          <w:sz w:val="28"/>
          <w:szCs w:val="28"/>
        </w:rPr>
        <w:tab/>
      </w:r>
      <w:r>
        <w:rPr>
          <w:sz w:val="28"/>
          <w:szCs w:val="28"/>
        </w:rPr>
        <w:fldChar w:fldCharType="begin"/>
      </w:r>
      <w:r>
        <w:rPr>
          <w:sz w:val="28"/>
          <w:szCs w:val="28"/>
        </w:rPr>
        <w:instrText xml:space="preserve"> PAGEREF _Toc10653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66"/>
        <w:tabs>
          <w:tab w:val="right" w:leader="dot" w:pos="9412"/>
        </w:tabs>
        <w:spacing w:line="480" w:lineRule="auto"/>
        <w:rPr>
          <w:sz w:val="28"/>
          <w:szCs w:val="28"/>
        </w:rPr>
      </w:pPr>
      <w:r>
        <w:fldChar w:fldCharType="begin"/>
      </w:r>
      <w:r>
        <w:instrText xml:space="preserve"> HYPERLINK \l "_Toc5260" </w:instrText>
      </w:r>
      <w:r>
        <w:fldChar w:fldCharType="separate"/>
      </w:r>
      <w:r>
        <w:rPr>
          <w:rFonts w:hint="eastAsia" w:ascii="宋体" w:hAnsi="宋体" w:cs="宋体"/>
          <w:sz w:val="28"/>
          <w:szCs w:val="28"/>
        </w:rPr>
        <w:t>第四章 评审方法</w:t>
      </w:r>
      <w:r>
        <w:rPr>
          <w:sz w:val="28"/>
          <w:szCs w:val="28"/>
        </w:rPr>
        <w:tab/>
      </w:r>
      <w:r>
        <w:rPr>
          <w:rFonts w:hint="eastAsia"/>
          <w:sz w:val="28"/>
          <w:szCs w:val="28"/>
        </w:rPr>
        <w:t>1</w:t>
      </w:r>
      <w:r>
        <w:rPr>
          <w:rFonts w:hint="eastAsia"/>
          <w:sz w:val="28"/>
          <w:szCs w:val="28"/>
        </w:rPr>
        <w:fldChar w:fldCharType="end"/>
      </w:r>
      <w:r>
        <w:rPr>
          <w:rFonts w:hint="eastAsia"/>
          <w:sz w:val="28"/>
          <w:szCs w:val="28"/>
        </w:rPr>
        <w:t>4</w:t>
      </w:r>
    </w:p>
    <w:p>
      <w:pPr>
        <w:pStyle w:val="166"/>
        <w:tabs>
          <w:tab w:val="right" w:leader="dot" w:pos="9412"/>
        </w:tabs>
        <w:spacing w:line="480" w:lineRule="auto"/>
        <w:rPr>
          <w:sz w:val="28"/>
          <w:szCs w:val="28"/>
        </w:rPr>
      </w:pPr>
      <w:r>
        <w:fldChar w:fldCharType="begin"/>
      </w:r>
      <w:r>
        <w:instrText xml:space="preserve"> HYPERLINK \l "_Toc4186" </w:instrText>
      </w:r>
      <w:r>
        <w:fldChar w:fldCharType="separate"/>
      </w:r>
      <w:r>
        <w:rPr>
          <w:rFonts w:hint="eastAsia" w:hAnsi="宋体" w:cs="宋体"/>
          <w:sz w:val="28"/>
          <w:szCs w:val="28"/>
        </w:rPr>
        <w:t>第五章 磋商响应文件格式</w:t>
      </w:r>
      <w:r>
        <w:rPr>
          <w:sz w:val="28"/>
          <w:szCs w:val="28"/>
        </w:rPr>
        <w:tab/>
      </w:r>
      <w:r>
        <w:rPr>
          <w:sz w:val="28"/>
          <w:szCs w:val="28"/>
        </w:rPr>
        <w:fldChar w:fldCharType="begin"/>
      </w:r>
      <w:r>
        <w:rPr>
          <w:sz w:val="28"/>
          <w:szCs w:val="28"/>
        </w:rPr>
        <w:instrText xml:space="preserve"> PAGEREF _Toc4186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66"/>
        <w:tabs>
          <w:tab w:val="right" w:leader="dot" w:pos="9412"/>
        </w:tabs>
        <w:spacing w:line="480" w:lineRule="auto"/>
        <w:rPr>
          <w:sz w:val="28"/>
          <w:szCs w:val="28"/>
        </w:rPr>
      </w:pPr>
      <w:r>
        <w:fldChar w:fldCharType="begin"/>
      </w:r>
      <w:r>
        <w:instrText xml:space="preserve"> HYPERLINK \l "_Toc17613" </w:instrText>
      </w:r>
      <w:r>
        <w:fldChar w:fldCharType="separate"/>
      </w:r>
      <w:r>
        <w:rPr>
          <w:rFonts w:hint="eastAsia" w:ascii="宋体" w:hAnsi="宋体" w:cs="宋体"/>
          <w:sz w:val="28"/>
          <w:szCs w:val="28"/>
        </w:rPr>
        <w:t>第六章 政府采购合同格式</w:t>
      </w:r>
      <w:r>
        <w:rPr>
          <w:sz w:val="28"/>
          <w:szCs w:val="28"/>
        </w:rPr>
        <w:tab/>
      </w:r>
      <w:r>
        <w:rPr>
          <w:sz w:val="28"/>
          <w:szCs w:val="28"/>
        </w:rPr>
        <w:fldChar w:fldCharType="begin"/>
      </w:r>
      <w:r>
        <w:rPr>
          <w:sz w:val="28"/>
          <w:szCs w:val="28"/>
        </w:rPr>
        <w:instrText xml:space="preserve"> PAGEREF _Toc17613 </w:instrText>
      </w:r>
      <w:r>
        <w:rPr>
          <w:sz w:val="28"/>
          <w:szCs w:val="28"/>
        </w:rPr>
        <w:fldChar w:fldCharType="separate"/>
      </w:r>
      <w:r>
        <w:rPr>
          <w:sz w:val="28"/>
          <w:szCs w:val="28"/>
        </w:rPr>
        <w:t>25</w:t>
      </w:r>
      <w:r>
        <w:rPr>
          <w:sz w:val="28"/>
          <w:szCs w:val="28"/>
        </w:rPr>
        <w:fldChar w:fldCharType="end"/>
      </w:r>
      <w:r>
        <w:rPr>
          <w:sz w:val="28"/>
          <w:szCs w:val="28"/>
        </w:rPr>
        <w:fldChar w:fldCharType="end"/>
      </w:r>
    </w:p>
    <w:p>
      <w:pPr>
        <w:spacing w:line="360" w:lineRule="auto"/>
        <w:jc w:val="center"/>
        <w:rPr>
          <w:rFonts w:ascii="宋体" w:hAnsi="宋体" w:cs="宋体"/>
          <w:b/>
          <w:sz w:val="28"/>
          <w:szCs w:val="28"/>
        </w:rPr>
      </w:pPr>
      <w:r>
        <w:rPr>
          <w:rFonts w:hint="eastAsia" w:ascii="宋体" w:hAnsi="宋体" w:cs="宋体"/>
          <w:sz w:val="28"/>
          <w:szCs w:val="28"/>
        </w:rPr>
        <w:fldChar w:fldCharType="end"/>
      </w: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pStyle w:val="17"/>
        <w:rPr>
          <w:rFonts w:hAnsi="宋体" w:cs="宋体"/>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bookmarkEnd w:id="0"/>
    <w:p>
      <w:pPr>
        <w:spacing w:line="400" w:lineRule="exact"/>
        <w:rPr>
          <w:rFonts w:ascii="宋体" w:hAnsi="宋体" w:cs="宋体"/>
          <w:b/>
          <w:sz w:val="32"/>
          <w:szCs w:val="32"/>
        </w:rPr>
        <w:sectPr>
          <w:footerReference r:id="rId4" w:type="default"/>
          <w:pgSz w:w="11906" w:h="16838"/>
          <w:pgMar w:top="1247" w:right="1247" w:bottom="1247" w:left="1247" w:header="851" w:footer="992" w:gutter="0"/>
          <w:pgNumType w:start="1"/>
          <w:cols w:space="720" w:num="1"/>
          <w:docGrid w:type="lines" w:linePitch="312" w:charSpace="0"/>
        </w:sectPr>
      </w:pPr>
    </w:p>
    <w:p>
      <w:pPr>
        <w:numPr>
          <w:ilvl w:val="0"/>
          <w:numId w:val="3"/>
        </w:numPr>
        <w:snapToGrid w:val="0"/>
        <w:spacing w:line="380" w:lineRule="exact"/>
        <w:jc w:val="center"/>
        <w:outlineLvl w:val="0"/>
        <w:rPr>
          <w:rFonts w:ascii="宋体" w:hAnsi="宋体" w:cs="宋体"/>
          <w:b/>
          <w:sz w:val="32"/>
          <w:szCs w:val="32"/>
        </w:rPr>
      </w:pPr>
      <w:bookmarkStart w:id="1" w:name="_Toc19131"/>
      <w:r>
        <w:rPr>
          <w:rFonts w:hint="eastAsia" w:ascii="宋体" w:hAnsi="宋体" w:cs="宋体"/>
          <w:b/>
          <w:sz w:val="32"/>
          <w:szCs w:val="32"/>
        </w:rPr>
        <w:t>竞争性磋商公告</w:t>
      </w:r>
      <w:bookmarkEnd w:id="1"/>
    </w:p>
    <w:p>
      <w:pPr>
        <w:pStyle w:val="2"/>
      </w:pPr>
    </w:p>
    <w:p>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szCs w:val="21"/>
        </w:rPr>
      </w:pPr>
      <w:r>
        <w:rPr>
          <w:rFonts w:hint="eastAsia" w:ascii="宋体" w:hAnsi="宋体"/>
          <w:szCs w:val="21"/>
        </w:rPr>
        <w:t>防城港市白龙珍珠湾海域国家级海洋牧场示范区2021年度监测项目的潜在供应商登录政采云平台获取竞争性磋商文件，并于</w:t>
      </w:r>
      <w:r>
        <w:rPr>
          <w:rFonts w:hint="eastAsia" w:ascii="宋体" w:hAnsi="宋体"/>
          <w:szCs w:val="21"/>
          <w:lang w:val="en-US" w:eastAsia="zh-CN"/>
        </w:rPr>
        <w:t>2021年10月20日9时30分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spacing w:line="340" w:lineRule="exact"/>
        <w:jc w:val="left"/>
        <w:rPr>
          <w:rFonts w:ascii="宋体" w:hAnsi="宋体"/>
          <w:b/>
          <w:szCs w:val="21"/>
        </w:rPr>
      </w:pPr>
      <w:bookmarkStart w:id="2" w:name="_Toc28359012"/>
      <w:bookmarkStart w:id="3" w:name="_Toc43892205"/>
      <w:bookmarkStart w:id="4" w:name="_Toc28359089"/>
      <w:bookmarkStart w:id="5" w:name="_Toc35393629"/>
      <w:bookmarkStart w:id="6" w:name="_Toc35393798"/>
      <w:r>
        <w:rPr>
          <w:rFonts w:hint="eastAsia" w:ascii="宋体" w:hAnsi="宋体"/>
          <w:b/>
          <w:szCs w:val="21"/>
        </w:rPr>
        <w:t>一、项目基本情况</w:t>
      </w:r>
      <w:bookmarkEnd w:id="2"/>
      <w:bookmarkEnd w:id="3"/>
      <w:bookmarkEnd w:id="4"/>
      <w:bookmarkEnd w:id="5"/>
      <w:bookmarkEnd w:id="6"/>
    </w:p>
    <w:p>
      <w:pPr>
        <w:spacing w:line="340" w:lineRule="exact"/>
        <w:ind w:firstLine="420" w:firstLineChars="200"/>
        <w:rPr>
          <w:rFonts w:ascii="宋体" w:hAnsi="宋体"/>
          <w:szCs w:val="21"/>
        </w:rPr>
      </w:pPr>
      <w:r>
        <w:rPr>
          <w:rFonts w:hint="eastAsia" w:ascii="宋体" w:hAnsi="宋体"/>
          <w:szCs w:val="21"/>
        </w:rPr>
        <w:t>项目编号：FCZC2021-C3-10007-GXRS</w:t>
      </w:r>
    </w:p>
    <w:p>
      <w:pPr>
        <w:spacing w:line="340" w:lineRule="exact"/>
        <w:ind w:firstLine="420" w:firstLineChars="200"/>
        <w:rPr>
          <w:rFonts w:ascii="宋体" w:hAnsi="宋体"/>
          <w:szCs w:val="21"/>
        </w:rPr>
      </w:pPr>
      <w:r>
        <w:rPr>
          <w:rFonts w:hint="eastAsia" w:ascii="宋体" w:hAnsi="宋体"/>
          <w:szCs w:val="21"/>
        </w:rPr>
        <w:t>项目名称：防城港市白龙珍珠湾海域国家级海洋牧场示范区2021年度监测项目</w:t>
      </w:r>
    </w:p>
    <w:p>
      <w:pPr>
        <w:spacing w:line="340" w:lineRule="exact"/>
        <w:ind w:firstLine="420" w:firstLineChars="200"/>
        <w:rPr>
          <w:rFonts w:ascii="宋体" w:hAnsi="宋体"/>
          <w:szCs w:val="21"/>
        </w:rPr>
      </w:pPr>
      <w:r>
        <w:rPr>
          <w:rFonts w:hint="eastAsia" w:ascii="宋体" w:hAnsi="宋体"/>
          <w:szCs w:val="21"/>
        </w:rPr>
        <w:t xml:space="preserve">采购方式：□竞争性磋商 </w:t>
      </w:r>
      <w:r>
        <w:rPr>
          <w:rFonts w:hint="eastAsia" w:ascii="MS Mincho" w:hAnsi="MS Mincho" w:eastAsia="MS Mincho" w:cs="MS Mincho"/>
          <w:szCs w:val="21"/>
        </w:rPr>
        <w:t>☑</w:t>
      </w:r>
      <w:r>
        <w:rPr>
          <w:rFonts w:hint="eastAsia" w:ascii="宋体" w:hAnsi="宋体"/>
          <w:szCs w:val="21"/>
        </w:rPr>
        <w:t>竞争性磋商 □询价</w:t>
      </w:r>
    </w:p>
    <w:p>
      <w:pPr>
        <w:spacing w:line="340" w:lineRule="exact"/>
        <w:ind w:firstLine="420" w:firstLineChars="200"/>
        <w:rPr>
          <w:rFonts w:ascii="宋体" w:hAnsi="宋体"/>
          <w:szCs w:val="21"/>
        </w:rPr>
      </w:pPr>
      <w:r>
        <w:rPr>
          <w:rFonts w:hint="eastAsia" w:ascii="宋体" w:hAnsi="宋体"/>
          <w:szCs w:val="21"/>
        </w:rPr>
        <w:t>预算金额：人民币陆拾万元整（¥600,000.00）</w:t>
      </w:r>
    </w:p>
    <w:p>
      <w:pPr>
        <w:spacing w:line="340" w:lineRule="exact"/>
        <w:ind w:firstLine="420" w:firstLineChars="200"/>
        <w:rPr>
          <w:rFonts w:ascii="宋体" w:hAnsi="宋体"/>
          <w:szCs w:val="21"/>
        </w:rPr>
      </w:pPr>
      <w:r>
        <w:rPr>
          <w:rFonts w:hint="eastAsia" w:ascii="宋体" w:hAnsi="宋体"/>
          <w:szCs w:val="21"/>
        </w:rPr>
        <w:t>最高限价：人民币陆拾万元整（¥600,000.00）</w:t>
      </w:r>
    </w:p>
    <w:p>
      <w:pPr>
        <w:spacing w:line="340" w:lineRule="exact"/>
        <w:ind w:firstLine="420" w:firstLineChars="200"/>
        <w:rPr>
          <w:rFonts w:ascii="宋体" w:hAnsi="宋体"/>
          <w:szCs w:val="21"/>
        </w:rPr>
      </w:pPr>
      <w:r>
        <w:rPr>
          <w:rFonts w:hint="eastAsia" w:ascii="宋体" w:hAnsi="宋体"/>
          <w:szCs w:val="21"/>
        </w:rPr>
        <w:t>采购需求：</w:t>
      </w:r>
      <w:r>
        <w:rPr>
          <w:rFonts w:hint="eastAsia" w:asciiTheme="minorEastAsia" w:hAnsiTheme="minorEastAsia" w:eastAsiaTheme="minorEastAsia" w:cstheme="minorEastAsia"/>
          <w:szCs w:val="21"/>
        </w:rPr>
        <w:t>对国家级海洋牧场示范区和对比区的环境要素和生物要素进行监测评估。</w:t>
      </w:r>
    </w:p>
    <w:p>
      <w:pPr>
        <w:spacing w:line="340" w:lineRule="exact"/>
        <w:ind w:firstLine="420" w:firstLineChars="200"/>
        <w:rPr>
          <w:rFonts w:ascii="宋体" w:hAnsi="宋体"/>
          <w:szCs w:val="21"/>
        </w:rPr>
      </w:pPr>
      <w:r>
        <w:rPr>
          <w:rFonts w:hint="eastAsia" w:ascii="宋体" w:hAnsi="宋体"/>
          <w:szCs w:val="21"/>
        </w:rPr>
        <w:t>合同履行期限：对防城港市白龙珍珠湾海域国家级海洋牧场示范区监测评估时间为4个月。</w:t>
      </w:r>
    </w:p>
    <w:p>
      <w:pPr>
        <w:spacing w:line="340" w:lineRule="exact"/>
        <w:ind w:firstLine="420" w:firstLineChars="200"/>
        <w:rPr>
          <w:rFonts w:ascii="宋体" w:hAnsi="宋体"/>
          <w:szCs w:val="21"/>
        </w:rPr>
      </w:pPr>
      <w:r>
        <w:rPr>
          <w:rFonts w:hint="eastAsia" w:ascii="宋体" w:hAnsi="宋体"/>
          <w:szCs w:val="21"/>
        </w:rPr>
        <w:t>本项目不接受联合体。</w:t>
      </w:r>
    </w:p>
    <w:p>
      <w:pPr>
        <w:spacing w:line="340" w:lineRule="exact"/>
        <w:rPr>
          <w:rFonts w:ascii="宋体" w:hAnsi="宋体"/>
          <w:b/>
          <w:szCs w:val="21"/>
        </w:rPr>
      </w:pPr>
      <w:bookmarkStart w:id="7" w:name="_Toc28359090"/>
      <w:bookmarkStart w:id="8" w:name="_Toc35393630"/>
      <w:bookmarkStart w:id="9" w:name="_Toc43892206"/>
      <w:bookmarkStart w:id="10" w:name="_Toc28359013"/>
      <w:bookmarkStart w:id="11" w:name="_Toc35393799"/>
      <w:r>
        <w:rPr>
          <w:rFonts w:hint="eastAsia" w:ascii="宋体" w:hAnsi="宋体"/>
          <w:b/>
          <w:szCs w:val="21"/>
        </w:rPr>
        <w:t>二、申请人的资格要求：</w:t>
      </w:r>
      <w:bookmarkEnd w:id="7"/>
      <w:bookmarkEnd w:id="8"/>
      <w:bookmarkEnd w:id="9"/>
      <w:bookmarkEnd w:id="10"/>
      <w:bookmarkEnd w:id="11"/>
    </w:p>
    <w:p>
      <w:pPr>
        <w:spacing w:line="340" w:lineRule="exact"/>
        <w:ind w:firstLine="420" w:firstLineChars="200"/>
        <w:rPr>
          <w:rFonts w:ascii="宋体" w:hAnsi="宋体"/>
          <w:szCs w:val="21"/>
        </w:rPr>
      </w:pPr>
      <w:r>
        <w:rPr>
          <w:rFonts w:hint="eastAsia" w:ascii="宋体" w:hAnsi="宋体"/>
          <w:szCs w:val="21"/>
        </w:rPr>
        <w:t>1.满足《中华人民共和国政府采购法》第二十二条规定。</w:t>
      </w:r>
    </w:p>
    <w:p>
      <w:pPr>
        <w:spacing w:line="340" w:lineRule="exact"/>
        <w:ind w:firstLine="420" w:firstLineChars="200"/>
        <w:rPr>
          <w:rFonts w:ascii="宋体" w:hAnsi="宋体"/>
          <w:szCs w:val="21"/>
        </w:rPr>
      </w:pPr>
      <w:bookmarkStart w:id="12" w:name="_Toc28359091"/>
      <w:bookmarkStart w:id="13" w:name="_Toc28359014"/>
      <w:r>
        <w:rPr>
          <w:rFonts w:ascii="宋体" w:hAnsi="宋体"/>
          <w:szCs w:val="21"/>
        </w:rPr>
        <w:t>2</w:t>
      </w:r>
      <w:r>
        <w:rPr>
          <w:rFonts w:hint="eastAsia" w:ascii="宋体" w:hAnsi="宋体"/>
          <w:szCs w:val="21"/>
        </w:rPr>
        <w:t>.落实政府采购政策需满足的资格要求：无。</w:t>
      </w:r>
    </w:p>
    <w:p>
      <w:pPr>
        <w:spacing w:line="340" w:lineRule="exact"/>
        <w:ind w:firstLine="420" w:firstLineChars="200"/>
        <w:rPr>
          <w:rFonts w:ascii="宋体" w:hAnsi="宋体"/>
          <w:szCs w:val="21"/>
        </w:rPr>
      </w:pPr>
      <w:r>
        <w:rPr>
          <w:rFonts w:hint="eastAsia" w:ascii="宋体" w:hAnsi="宋体"/>
          <w:szCs w:val="21"/>
        </w:rPr>
        <w:t>3.本项目的特定资格要求：</w:t>
      </w:r>
      <w:r>
        <w:rPr>
          <w:rFonts w:hint="eastAsia" w:ascii="宋体" w:hAnsi="宋体" w:cs="宋体"/>
          <w:bCs/>
          <w:kern w:val="0"/>
          <w:szCs w:val="21"/>
        </w:rPr>
        <w:t>无</w:t>
      </w:r>
      <w:r>
        <w:rPr>
          <w:rFonts w:hint="eastAsia" w:ascii="宋体" w:hAnsi="宋体"/>
          <w:szCs w:val="21"/>
        </w:rPr>
        <w:t>。</w:t>
      </w:r>
    </w:p>
    <w:p>
      <w:pPr>
        <w:spacing w:line="340" w:lineRule="exact"/>
        <w:rPr>
          <w:rFonts w:ascii="宋体" w:hAnsi="宋体"/>
          <w:b/>
          <w:szCs w:val="21"/>
        </w:rPr>
      </w:pPr>
      <w:bookmarkStart w:id="14" w:name="_Toc35393800"/>
      <w:bookmarkStart w:id="15" w:name="_Toc35393631"/>
      <w:bookmarkStart w:id="16" w:name="_Toc43892207"/>
      <w:r>
        <w:rPr>
          <w:rFonts w:hint="eastAsia" w:ascii="宋体" w:hAnsi="宋体"/>
          <w:b/>
          <w:szCs w:val="21"/>
        </w:rPr>
        <w:t>三、</w:t>
      </w:r>
      <w:bookmarkEnd w:id="12"/>
      <w:bookmarkEnd w:id="13"/>
      <w:bookmarkEnd w:id="14"/>
      <w:bookmarkEnd w:id="15"/>
      <w:bookmarkEnd w:id="16"/>
      <w:r>
        <w:rPr>
          <w:rFonts w:hint="eastAsia" w:ascii="宋体" w:hAnsi="宋体"/>
          <w:b/>
          <w:szCs w:val="21"/>
        </w:rPr>
        <w:t>获取采购文件</w:t>
      </w:r>
    </w:p>
    <w:p>
      <w:pPr>
        <w:spacing w:line="340" w:lineRule="exact"/>
        <w:ind w:firstLine="420" w:firstLineChars="200"/>
        <w:rPr>
          <w:rFonts w:ascii="宋体" w:hAnsi="宋体"/>
          <w:bCs/>
          <w:szCs w:val="21"/>
        </w:rPr>
      </w:pPr>
      <w:bookmarkStart w:id="17" w:name="_Toc28359015"/>
      <w:bookmarkStart w:id="18" w:name="_Toc35393801"/>
      <w:bookmarkStart w:id="19" w:name="_Toc28359092"/>
      <w:bookmarkStart w:id="20" w:name="_Toc43892208"/>
      <w:bookmarkStart w:id="21" w:name="_Toc35393632"/>
      <w:r>
        <w:rPr>
          <w:rFonts w:hint="eastAsia" w:ascii="宋体" w:hAnsi="宋体"/>
          <w:bCs/>
          <w:szCs w:val="21"/>
        </w:rPr>
        <w:t>时间：</w:t>
      </w:r>
      <w:r>
        <w:rPr>
          <w:rFonts w:hint="eastAsia" w:ascii="宋体" w:hAnsi="宋体"/>
          <w:szCs w:val="21"/>
          <w:lang w:val="en-US" w:eastAsia="zh-CN"/>
        </w:rPr>
        <w:t>2021年10月9日</w:t>
      </w:r>
      <w:r>
        <w:rPr>
          <w:rFonts w:hint="eastAsia" w:ascii="宋体" w:hAnsi="宋体"/>
          <w:bCs/>
          <w:szCs w:val="21"/>
        </w:rPr>
        <w:t>至</w:t>
      </w:r>
      <w:r>
        <w:rPr>
          <w:rFonts w:hint="eastAsia" w:ascii="宋体" w:hAnsi="宋体"/>
          <w:szCs w:val="21"/>
          <w:lang w:val="en-US" w:eastAsia="zh-CN"/>
        </w:rPr>
        <w:t>2021年10月15日</w:t>
      </w:r>
      <w:r>
        <w:rPr>
          <w:rFonts w:hint="eastAsia" w:ascii="宋体" w:hAnsi="宋体"/>
          <w:bCs/>
          <w:szCs w:val="21"/>
        </w:rPr>
        <w:t>，每天上午8时00分至12时00分，下午15时00分至18时00分（北京时间，法定节假日除外</w:t>
      </w:r>
      <w:r>
        <w:rPr>
          <w:rFonts w:ascii="宋体" w:hAnsi="宋体"/>
          <w:bCs/>
          <w:szCs w:val="21"/>
        </w:rPr>
        <w:t xml:space="preserve"> </w:t>
      </w:r>
      <w:r>
        <w:rPr>
          <w:rFonts w:hint="eastAsia" w:ascii="宋体" w:hAnsi="宋体"/>
          <w:bCs/>
          <w:szCs w:val="21"/>
        </w:rPr>
        <w:t>）。</w:t>
      </w:r>
    </w:p>
    <w:p>
      <w:pPr>
        <w:spacing w:line="340" w:lineRule="exact"/>
        <w:ind w:firstLine="420" w:firstLineChars="200"/>
        <w:rPr>
          <w:rFonts w:ascii="宋体" w:hAnsi="宋体"/>
          <w:bCs/>
          <w:szCs w:val="21"/>
        </w:rPr>
      </w:pPr>
      <w:r>
        <w:rPr>
          <w:rFonts w:hint="eastAsia" w:ascii="宋体" w:hAnsi="宋体"/>
          <w:bCs/>
          <w:szCs w:val="21"/>
        </w:rPr>
        <w:t>地点：政采云平台</w:t>
      </w:r>
    </w:p>
    <w:p>
      <w:pPr>
        <w:snapToGrid w:val="0"/>
        <w:spacing w:line="340" w:lineRule="exact"/>
        <w:ind w:firstLine="420" w:firstLineChars="200"/>
        <w:rPr>
          <w:rFonts w:ascii="宋体" w:hAnsi="宋体"/>
          <w:bCs/>
          <w:szCs w:val="21"/>
        </w:rPr>
      </w:pPr>
      <w:r>
        <w:rPr>
          <w:rFonts w:hint="eastAsia" w:ascii="宋体" w:hAnsi="宋体"/>
          <w:bCs/>
          <w:szCs w:val="21"/>
        </w:rPr>
        <w:t>方式：</w:t>
      </w:r>
      <w:r>
        <w:rPr>
          <w:rFonts w:hint="eastAsia" w:asciiTheme="minorEastAsia" w:hAnsiTheme="minorEastAsia" w:eastAsiaTheme="minorEastAsia" w:cstheme="minorEastAsia"/>
          <w:szCs w:val="21"/>
        </w:rPr>
        <w:t>潜在供应商自行登录政采云平台进行报名登记并下载采购文件电子版，如在操作过程中遇到问题或者需要技术支持，请致电政采云客服热线：400-881-7190。</w:t>
      </w:r>
    </w:p>
    <w:p>
      <w:pPr>
        <w:spacing w:line="340" w:lineRule="exact"/>
        <w:ind w:firstLine="420" w:firstLineChars="200"/>
        <w:rPr>
          <w:rFonts w:ascii="宋体" w:hAnsi="宋体"/>
          <w:bCs/>
          <w:szCs w:val="21"/>
        </w:rPr>
      </w:pPr>
      <w:r>
        <w:rPr>
          <w:rFonts w:hint="eastAsia" w:ascii="宋体" w:hAnsi="宋体"/>
          <w:bCs/>
          <w:szCs w:val="21"/>
        </w:rPr>
        <w:t>售价：0元</w:t>
      </w:r>
    </w:p>
    <w:p>
      <w:pPr>
        <w:spacing w:line="340" w:lineRule="exact"/>
        <w:rPr>
          <w:rFonts w:ascii="宋体" w:hAnsi="宋体"/>
          <w:b/>
          <w:szCs w:val="21"/>
        </w:rPr>
      </w:pPr>
      <w:r>
        <w:rPr>
          <w:rFonts w:hint="eastAsia" w:ascii="宋体" w:hAnsi="宋体"/>
          <w:b/>
          <w:szCs w:val="21"/>
        </w:rPr>
        <w:t>四、响应文件提交</w:t>
      </w:r>
      <w:bookmarkEnd w:id="17"/>
      <w:bookmarkEnd w:id="18"/>
      <w:bookmarkEnd w:id="19"/>
      <w:bookmarkEnd w:id="20"/>
      <w:bookmarkEnd w:id="21"/>
    </w:p>
    <w:p>
      <w:pPr>
        <w:spacing w:line="340" w:lineRule="exact"/>
        <w:ind w:firstLine="420" w:firstLineChars="200"/>
        <w:rPr>
          <w:rFonts w:ascii="宋体" w:hAnsi="宋体"/>
          <w:bCs/>
          <w:szCs w:val="21"/>
        </w:rPr>
      </w:pPr>
      <w:bookmarkStart w:id="22" w:name="_Toc35393802"/>
      <w:bookmarkStart w:id="23" w:name="_Toc43892209"/>
      <w:bookmarkStart w:id="24" w:name="_Toc28359093"/>
      <w:bookmarkStart w:id="25" w:name="_Toc28359016"/>
      <w:bookmarkStart w:id="26" w:name="_Toc35393633"/>
      <w:r>
        <w:rPr>
          <w:rFonts w:hint="eastAsia" w:ascii="宋体" w:hAnsi="宋体"/>
          <w:szCs w:val="21"/>
        </w:rPr>
        <w:t>截止时间：</w:t>
      </w:r>
      <w:r>
        <w:rPr>
          <w:rFonts w:hint="eastAsia" w:ascii="宋体" w:hAnsi="宋体"/>
          <w:szCs w:val="21"/>
          <w:lang w:val="en-US" w:eastAsia="zh-CN"/>
        </w:rPr>
        <w:t>2021年10月20日9时30分</w:t>
      </w:r>
      <w:r>
        <w:rPr>
          <w:rFonts w:hint="eastAsia" w:ascii="宋体" w:hAnsi="宋体"/>
          <w:bCs/>
          <w:szCs w:val="21"/>
        </w:rPr>
        <w:t>（北京时间）</w:t>
      </w:r>
      <w:r>
        <w:rPr>
          <w:rFonts w:hint="eastAsia" w:ascii="宋体" w:hAnsi="宋体"/>
          <w:bCs/>
          <w:szCs w:val="21"/>
        </w:rPr>
        <w:tab/>
      </w:r>
    </w:p>
    <w:p>
      <w:pPr>
        <w:snapToGrid w:val="0"/>
        <w:spacing w:line="340" w:lineRule="exact"/>
        <w:ind w:firstLine="420" w:firstLineChars="200"/>
        <w:rPr>
          <w:rFonts w:ascii="宋体" w:hAnsi="宋体"/>
          <w:szCs w:val="21"/>
        </w:rPr>
      </w:pPr>
      <w:r>
        <w:rPr>
          <w:rFonts w:hint="eastAsia" w:ascii="宋体" w:hAnsi="宋体"/>
          <w:szCs w:val="21"/>
        </w:rPr>
        <w:t>地点：防城港市公共资源交易中心（防城港市迎宾路红树林大厦东塔，具体开标厅详见六楼电子屏）</w:t>
      </w:r>
      <w:r>
        <w:rPr>
          <w:rFonts w:ascii="宋体" w:hAnsi="宋体"/>
          <w:szCs w:val="21"/>
        </w:rPr>
        <w:t xml:space="preserve">     </w:t>
      </w:r>
    </w:p>
    <w:p>
      <w:pPr>
        <w:spacing w:line="340" w:lineRule="exact"/>
        <w:rPr>
          <w:rFonts w:ascii="宋体" w:hAnsi="宋体"/>
          <w:b/>
          <w:szCs w:val="21"/>
        </w:rPr>
      </w:pPr>
      <w:r>
        <w:rPr>
          <w:rFonts w:hint="eastAsia" w:ascii="宋体" w:hAnsi="宋体"/>
          <w:b/>
          <w:szCs w:val="21"/>
        </w:rPr>
        <w:t>五、开启</w:t>
      </w:r>
      <w:bookmarkEnd w:id="22"/>
      <w:bookmarkEnd w:id="23"/>
      <w:bookmarkEnd w:id="24"/>
      <w:bookmarkEnd w:id="25"/>
      <w:bookmarkEnd w:id="26"/>
    </w:p>
    <w:p>
      <w:pPr>
        <w:spacing w:line="340" w:lineRule="exact"/>
        <w:ind w:firstLine="420" w:firstLineChars="200"/>
        <w:rPr>
          <w:rFonts w:ascii="宋体" w:hAnsi="宋体"/>
          <w:bCs/>
          <w:szCs w:val="21"/>
        </w:rPr>
      </w:pPr>
      <w:bookmarkStart w:id="27" w:name="_Toc35393803"/>
      <w:bookmarkStart w:id="28" w:name="_Toc43892210"/>
      <w:bookmarkStart w:id="29" w:name="_Toc28359017"/>
      <w:bookmarkStart w:id="30" w:name="_Toc28359094"/>
      <w:bookmarkStart w:id="31" w:name="_Toc35393634"/>
      <w:r>
        <w:rPr>
          <w:rFonts w:hint="eastAsia" w:ascii="宋体" w:hAnsi="宋体"/>
          <w:szCs w:val="21"/>
        </w:rPr>
        <w:t>时间：</w:t>
      </w:r>
      <w:r>
        <w:rPr>
          <w:rFonts w:hint="eastAsia" w:ascii="宋体" w:hAnsi="宋体"/>
          <w:szCs w:val="21"/>
          <w:lang w:val="en-US" w:eastAsia="zh-CN"/>
        </w:rPr>
        <w:t>2021年10月20日9时30分</w:t>
      </w:r>
      <w:r>
        <w:rPr>
          <w:rFonts w:hint="eastAsia" w:ascii="宋体" w:hAnsi="宋体"/>
          <w:bCs/>
          <w:szCs w:val="21"/>
        </w:rPr>
        <w:t>（北京时间）</w:t>
      </w:r>
    </w:p>
    <w:p>
      <w:pPr>
        <w:spacing w:line="340" w:lineRule="exact"/>
        <w:ind w:firstLine="420" w:firstLineChars="200"/>
        <w:rPr>
          <w:rFonts w:ascii="宋体" w:hAnsi="宋体"/>
          <w:bCs/>
          <w:szCs w:val="21"/>
        </w:rPr>
      </w:pPr>
      <w:r>
        <w:rPr>
          <w:rFonts w:hint="eastAsia" w:ascii="宋体" w:hAnsi="宋体"/>
          <w:szCs w:val="21"/>
        </w:rPr>
        <w:t>地点：防城港市公共资源交易中心（防城港市迎宾路红树林大厦东塔）</w:t>
      </w:r>
    </w:p>
    <w:p>
      <w:pPr>
        <w:spacing w:line="340" w:lineRule="exact"/>
        <w:rPr>
          <w:rFonts w:ascii="宋体" w:hAnsi="宋体"/>
          <w:b/>
          <w:szCs w:val="21"/>
        </w:rPr>
      </w:pPr>
      <w:r>
        <w:rPr>
          <w:rFonts w:hint="eastAsia" w:ascii="宋体" w:hAnsi="宋体"/>
          <w:b/>
          <w:szCs w:val="21"/>
        </w:rPr>
        <w:t>六、公告期限</w:t>
      </w:r>
      <w:bookmarkEnd w:id="27"/>
      <w:bookmarkEnd w:id="28"/>
      <w:bookmarkEnd w:id="29"/>
      <w:bookmarkEnd w:id="30"/>
      <w:bookmarkEnd w:id="31"/>
    </w:p>
    <w:p>
      <w:pPr>
        <w:spacing w:line="34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pPr>
        <w:spacing w:line="340" w:lineRule="exact"/>
        <w:rPr>
          <w:rFonts w:ascii="宋体" w:hAnsi="宋体"/>
          <w:b/>
          <w:szCs w:val="21"/>
        </w:rPr>
      </w:pPr>
      <w:bookmarkStart w:id="32" w:name="_Toc35393635"/>
      <w:bookmarkStart w:id="33" w:name="_Toc43892211"/>
      <w:bookmarkStart w:id="34" w:name="_Toc35393804"/>
      <w:r>
        <w:rPr>
          <w:rFonts w:hint="eastAsia" w:ascii="宋体" w:hAnsi="宋体"/>
          <w:b/>
          <w:szCs w:val="21"/>
        </w:rPr>
        <w:t>七、其他补充事宜</w:t>
      </w:r>
      <w:bookmarkEnd w:id="32"/>
      <w:bookmarkEnd w:id="33"/>
      <w:bookmarkEnd w:id="34"/>
    </w:p>
    <w:p>
      <w:pPr>
        <w:snapToGrid w:val="0"/>
        <w:spacing w:line="340" w:lineRule="exact"/>
        <w:ind w:firstLine="420" w:firstLineChars="200"/>
        <w:rPr>
          <w:rFonts w:asciiTheme="minorEastAsia" w:hAnsiTheme="minorEastAsia" w:eastAsiaTheme="minorEastAsia" w:cstheme="minorEastAsia"/>
          <w:szCs w:val="21"/>
        </w:rPr>
      </w:pPr>
      <w:bookmarkStart w:id="35" w:name="_Hlk37428740"/>
      <w:bookmarkStart w:id="36" w:name="_Toc35393805"/>
      <w:bookmarkStart w:id="37" w:name="_Toc43892212"/>
      <w:bookmarkStart w:id="38" w:name="_Toc35393636"/>
      <w:bookmarkStart w:id="39" w:name="_Toc28359095"/>
      <w:bookmarkStart w:id="40" w:name="_Toc28359018"/>
      <w:r>
        <w:rPr>
          <w:rFonts w:hint="eastAsia" w:asciiTheme="minorEastAsia" w:hAnsiTheme="minorEastAsia" w:eastAsiaTheme="minorEastAsia" w:cstheme="minorEastAsia"/>
          <w:szCs w:val="21"/>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40" w:lineRule="exact"/>
        <w:ind w:firstLine="420" w:firstLineChars="200"/>
      </w:pPr>
      <w:r>
        <w:rPr>
          <w:rFonts w:hint="eastAsia" w:asciiTheme="minorEastAsia" w:hAnsiTheme="minorEastAsia" w:eastAsiaTheme="minorEastAsia" w:cstheme="minorEastAsia"/>
          <w:szCs w:val="21"/>
        </w:rPr>
        <w:t>2.对在“信用中国”网站、中国政府采购网被列入失信被执行人、重大税收违法案件当事人名单、政府采购严重违法失信行为记录名单及其他不符合《中华人民共和国政府采购法》第二十二条规定条件的供应商，不得参与政府采购活动。</w:t>
      </w:r>
      <w:bookmarkEnd w:id="35"/>
    </w:p>
    <w:p>
      <w:pPr>
        <w:snapToGrid w:val="0"/>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3.本项目需要落实的政府采购政策：</w:t>
      </w:r>
      <w:r>
        <w:rPr>
          <w:rFonts w:hint="eastAsia" w:ascii="宋体" w:hAnsi="宋体" w:cs="宋体"/>
          <w:szCs w:val="21"/>
        </w:rPr>
        <w:t>①</w:t>
      </w:r>
      <w:r>
        <w:rPr>
          <w:rFonts w:hint="eastAsia" w:asciiTheme="minorEastAsia" w:hAnsiTheme="minorEastAsia" w:eastAsiaTheme="minorEastAsia" w:cstheme="minorEastAsia"/>
          <w:szCs w:val="21"/>
        </w:rPr>
        <w:t>政府采购促进中小企业发展；</w:t>
      </w:r>
      <w:r>
        <w:rPr>
          <w:rFonts w:hint="eastAsia" w:ascii="宋体" w:hAnsi="宋体" w:cs="宋体"/>
          <w:szCs w:val="21"/>
        </w:rPr>
        <w:t>②</w:t>
      </w:r>
      <w:r>
        <w:rPr>
          <w:rFonts w:hint="eastAsia" w:asciiTheme="minorEastAsia" w:hAnsiTheme="minorEastAsia" w:eastAsiaTheme="minorEastAsia" w:cstheme="minorEastAsia"/>
          <w:szCs w:val="21"/>
        </w:rPr>
        <w:t>政府采购支持采用本国产品的政策；</w:t>
      </w:r>
      <w:r>
        <w:rPr>
          <w:rFonts w:hint="eastAsia" w:ascii="宋体" w:hAnsi="宋体" w:cs="宋体"/>
          <w:szCs w:val="21"/>
        </w:rPr>
        <w:t>③</w:t>
      </w:r>
      <w:r>
        <w:rPr>
          <w:rFonts w:hint="eastAsia" w:asciiTheme="minorEastAsia" w:hAnsiTheme="minorEastAsia" w:eastAsiaTheme="minorEastAsia" w:cstheme="minorEastAsia"/>
          <w:szCs w:val="21"/>
        </w:rPr>
        <w:t>强制采购节能产品、优先采购节能产品、环境标志产品；</w:t>
      </w:r>
      <w:r>
        <w:rPr>
          <w:rFonts w:hint="eastAsia" w:ascii="宋体" w:hAnsi="宋体" w:cs="宋体"/>
          <w:szCs w:val="21"/>
        </w:rPr>
        <w:t>④</w:t>
      </w:r>
      <w:r>
        <w:rPr>
          <w:rFonts w:hint="eastAsia" w:asciiTheme="minorEastAsia" w:hAnsiTheme="minorEastAsia" w:eastAsiaTheme="minorEastAsia" w:cstheme="minorEastAsia"/>
          <w:szCs w:val="21"/>
        </w:rPr>
        <w:t>政府采购促进残疾人就业政策；</w:t>
      </w:r>
      <w:r>
        <w:rPr>
          <w:rFonts w:hint="eastAsia" w:ascii="宋体" w:hAnsi="宋体" w:cs="宋体"/>
          <w:szCs w:val="21"/>
        </w:rPr>
        <w:t>⑤</w:t>
      </w:r>
      <w:r>
        <w:rPr>
          <w:rFonts w:hint="eastAsia" w:asciiTheme="minorEastAsia" w:hAnsiTheme="minorEastAsia" w:eastAsiaTheme="minorEastAsia" w:cstheme="minorEastAsia"/>
          <w:szCs w:val="21"/>
        </w:rPr>
        <w:t>政府采购支持监狱企业发展。</w:t>
      </w:r>
    </w:p>
    <w:p>
      <w:pPr>
        <w:snapToGrid w:val="0"/>
        <w:spacing w:line="3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4.网上查询地址：中国政府采购网、广西壮族自治区政府采购网、广西防城港政府采购网站、防城港市公共资源交易中心网。</w:t>
      </w:r>
    </w:p>
    <w:p>
      <w:pPr>
        <w:snapToGrid w:val="0"/>
        <w:spacing w:line="340" w:lineRule="exact"/>
        <w:ind w:firstLine="420" w:firstLineChars="200"/>
      </w:pPr>
      <w:r>
        <w:rPr>
          <w:rFonts w:hint="eastAsia" w:ascii="宋体" w:hAnsi="宋体"/>
          <w:szCs w:val="21"/>
        </w:rPr>
        <w:t>5.本项目不收取磋商保证金。</w:t>
      </w:r>
    </w:p>
    <w:p>
      <w:pPr>
        <w:spacing w:line="340" w:lineRule="exact"/>
        <w:rPr>
          <w:rFonts w:ascii="宋体" w:hAnsi="宋体"/>
          <w:b/>
          <w:szCs w:val="21"/>
        </w:rPr>
      </w:pPr>
      <w:r>
        <w:rPr>
          <w:rFonts w:hint="eastAsia" w:ascii="宋体" w:hAnsi="宋体"/>
          <w:b/>
          <w:szCs w:val="21"/>
        </w:rPr>
        <w:t>八、凡对本次采购提出询问，请按</w:t>
      </w:r>
      <w:r>
        <w:rPr>
          <w:rFonts w:ascii="宋体" w:hAnsi="宋体"/>
          <w:b/>
          <w:szCs w:val="21"/>
        </w:rPr>
        <w:t>以下方式</w:t>
      </w:r>
      <w:r>
        <w:rPr>
          <w:rFonts w:hint="eastAsia" w:ascii="宋体" w:hAnsi="宋体"/>
          <w:b/>
          <w:szCs w:val="21"/>
        </w:rPr>
        <w:t>联系。</w:t>
      </w:r>
      <w:bookmarkEnd w:id="36"/>
      <w:bookmarkEnd w:id="37"/>
      <w:bookmarkEnd w:id="38"/>
      <w:bookmarkEnd w:id="39"/>
      <w:bookmarkEnd w:id="40"/>
    </w:p>
    <w:p>
      <w:pPr>
        <w:spacing w:line="340" w:lineRule="exact"/>
        <w:ind w:firstLine="630" w:firstLineChars="300"/>
        <w:rPr>
          <w:rFonts w:ascii="宋体" w:hAnsi="宋体" w:cs="宋体"/>
          <w:kern w:val="0"/>
          <w:szCs w:val="21"/>
        </w:rPr>
      </w:pPr>
      <w:bookmarkStart w:id="41" w:name="_Toc35393806"/>
      <w:bookmarkStart w:id="42" w:name="_Toc35393637"/>
      <w:bookmarkStart w:id="43" w:name="_Toc28359019"/>
      <w:bookmarkStart w:id="44" w:name="_Toc28359096"/>
      <w:r>
        <w:rPr>
          <w:rFonts w:hint="eastAsia" w:ascii="宋体" w:hAnsi="宋体" w:cs="宋体"/>
          <w:kern w:val="0"/>
          <w:szCs w:val="21"/>
        </w:rPr>
        <w:t>1.采购人信息</w:t>
      </w:r>
      <w:bookmarkEnd w:id="41"/>
      <w:bookmarkEnd w:id="42"/>
      <w:bookmarkEnd w:id="43"/>
      <w:bookmarkEnd w:id="44"/>
    </w:p>
    <w:p>
      <w:pPr>
        <w:spacing w:line="340" w:lineRule="exact"/>
        <w:ind w:firstLine="630" w:firstLineChars="300"/>
        <w:jc w:val="left"/>
        <w:rPr>
          <w:rFonts w:ascii="宋体" w:hAnsi="宋体"/>
          <w:szCs w:val="21"/>
        </w:rPr>
      </w:pPr>
      <w:r>
        <w:rPr>
          <w:rFonts w:hint="eastAsia" w:ascii="宋体" w:hAnsi="宋体"/>
          <w:szCs w:val="21"/>
        </w:rPr>
        <w:t>名    称：</w:t>
      </w:r>
      <w:r>
        <w:rPr>
          <w:rFonts w:hint="eastAsia" w:ascii="宋体" w:hAnsi="宋体"/>
          <w:bCs/>
        </w:rPr>
        <w:t>防城港市农业农村局</w:t>
      </w:r>
      <w:r>
        <w:rPr>
          <w:rFonts w:hint="eastAsia" w:ascii="宋体" w:hAnsi="宋体"/>
        </w:rPr>
        <w:t xml:space="preserve">  </w:t>
      </w:r>
    </w:p>
    <w:p>
      <w:pPr>
        <w:snapToGrid w:val="0"/>
        <w:spacing w:line="340" w:lineRule="exact"/>
        <w:ind w:firstLine="630" w:firstLineChars="300"/>
        <w:rPr>
          <w:rFonts w:ascii="宋体" w:hAnsi="宋体" w:cs="宋体"/>
          <w:kern w:val="0"/>
          <w:szCs w:val="21"/>
        </w:rPr>
      </w:pPr>
      <w:r>
        <w:rPr>
          <w:rFonts w:hint="eastAsia" w:ascii="宋体" w:hAnsi="宋体"/>
          <w:szCs w:val="21"/>
        </w:rPr>
        <w:t>地    址：</w:t>
      </w:r>
      <w:r>
        <w:rPr>
          <w:rFonts w:hint="eastAsia" w:ascii="宋体" w:hAnsi="宋体"/>
          <w:bCs/>
        </w:rPr>
        <w:t>防城港市港口区北部湾大道98号</w:t>
      </w:r>
    </w:p>
    <w:p>
      <w:pPr>
        <w:spacing w:line="340" w:lineRule="exact"/>
        <w:ind w:firstLine="630" w:firstLineChars="300"/>
        <w:jc w:val="left"/>
        <w:rPr>
          <w:rFonts w:hint="eastAsia" w:ascii="宋体" w:hAnsi="宋体" w:eastAsia="宋体"/>
          <w:szCs w:val="21"/>
          <w:lang w:eastAsia="zh-CN"/>
        </w:rPr>
      </w:pPr>
      <w:r>
        <w:rPr>
          <w:rFonts w:hint="eastAsia" w:ascii="宋体" w:hAnsi="宋体"/>
          <w:szCs w:val="21"/>
        </w:rPr>
        <w:t>联系方式：</w:t>
      </w:r>
      <w:r>
        <w:rPr>
          <w:rFonts w:hint="eastAsia" w:ascii="宋体" w:hAnsi="宋体"/>
          <w:szCs w:val="21"/>
          <w:lang w:eastAsia="zh-CN"/>
        </w:rPr>
        <w:t>王静，</w:t>
      </w:r>
      <w:r>
        <w:rPr>
          <w:rFonts w:hint="eastAsia" w:ascii="宋体" w:hAnsi="宋体"/>
          <w:szCs w:val="21"/>
          <w:lang w:val="en-US" w:eastAsia="zh-CN"/>
        </w:rPr>
        <w:t xml:space="preserve">18977003395 </w:t>
      </w:r>
    </w:p>
    <w:p>
      <w:pPr>
        <w:spacing w:line="340" w:lineRule="exact"/>
        <w:ind w:firstLine="630" w:firstLineChars="300"/>
        <w:rPr>
          <w:rFonts w:ascii="宋体" w:hAnsi="宋体" w:cs="宋体"/>
          <w:kern w:val="0"/>
          <w:szCs w:val="21"/>
        </w:rPr>
      </w:pPr>
      <w:bookmarkStart w:id="45" w:name="_Toc35393638"/>
      <w:bookmarkStart w:id="46" w:name="_Toc35393807"/>
      <w:bookmarkStart w:id="47" w:name="_Toc28359020"/>
      <w:bookmarkStart w:id="48" w:name="_Toc28359097"/>
      <w:r>
        <w:rPr>
          <w:rFonts w:hint="eastAsia" w:ascii="宋体" w:hAnsi="宋体" w:cs="宋体"/>
          <w:kern w:val="0"/>
          <w:szCs w:val="21"/>
        </w:rPr>
        <w:t>2.采购代理机构信息</w:t>
      </w:r>
      <w:bookmarkEnd w:id="45"/>
      <w:bookmarkEnd w:id="46"/>
      <w:bookmarkEnd w:id="47"/>
      <w:bookmarkEnd w:id="48"/>
    </w:p>
    <w:p>
      <w:pPr>
        <w:spacing w:line="340" w:lineRule="exact"/>
        <w:ind w:firstLine="630" w:firstLineChars="300"/>
        <w:rPr>
          <w:rFonts w:ascii="宋体" w:hAnsi="宋体"/>
          <w:szCs w:val="21"/>
        </w:rPr>
      </w:pPr>
      <w:r>
        <w:rPr>
          <w:rFonts w:hint="eastAsia" w:ascii="宋体" w:hAnsi="宋体"/>
          <w:szCs w:val="21"/>
        </w:rPr>
        <w:t>名    称：广西睿升项目管理有限公司</w:t>
      </w:r>
    </w:p>
    <w:p>
      <w:pPr>
        <w:spacing w:line="340" w:lineRule="exact"/>
        <w:ind w:firstLine="630" w:firstLineChars="300"/>
        <w:rPr>
          <w:rFonts w:ascii="宋体" w:hAnsi="宋体"/>
          <w:szCs w:val="21"/>
        </w:rPr>
      </w:pPr>
      <w:r>
        <w:rPr>
          <w:rFonts w:hint="eastAsia" w:ascii="宋体" w:hAnsi="宋体"/>
          <w:szCs w:val="21"/>
        </w:rPr>
        <w:t>地    址：防城港市港口区紫荆小区D2栋</w:t>
      </w:r>
    </w:p>
    <w:p>
      <w:pPr>
        <w:spacing w:line="340" w:lineRule="exact"/>
        <w:ind w:firstLine="630" w:firstLineChars="300"/>
        <w:rPr>
          <w:rFonts w:ascii="宋体" w:hAnsi="宋体"/>
          <w:szCs w:val="21"/>
        </w:rPr>
      </w:pPr>
      <w:r>
        <w:rPr>
          <w:rFonts w:hint="eastAsia" w:ascii="宋体" w:hAnsi="宋体"/>
          <w:szCs w:val="21"/>
        </w:rPr>
        <w:t>联系方式：黄厚彰，</w:t>
      </w:r>
      <w:r>
        <w:rPr>
          <w:rFonts w:hint="eastAsia" w:ascii="宋体" w:hAnsi="宋体" w:cs="Arial"/>
          <w:szCs w:val="21"/>
        </w:rPr>
        <w:t>0770-2811698</w:t>
      </w:r>
    </w:p>
    <w:p>
      <w:pPr>
        <w:spacing w:line="340" w:lineRule="exact"/>
        <w:ind w:firstLine="630" w:firstLineChars="300"/>
        <w:rPr>
          <w:rFonts w:ascii="宋体" w:hAnsi="宋体" w:cs="宋体"/>
          <w:kern w:val="0"/>
          <w:szCs w:val="21"/>
        </w:rPr>
      </w:pPr>
      <w:bookmarkStart w:id="49" w:name="_Toc28359021"/>
      <w:bookmarkStart w:id="50" w:name="_Toc28359098"/>
      <w:bookmarkStart w:id="51" w:name="_Toc35393639"/>
      <w:bookmarkStart w:id="52" w:name="_Toc35393808"/>
      <w:r>
        <w:rPr>
          <w:rFonts w:hint="eastAsia" w:ascii="宋体" w:hAnsi="宋体" w:cs="宋体"/>
          <w:kern w:val="0"/>
          <w:szCs w:val="21"/>
        </w:rPr>
        <w:t>3.项目联系</w:t>
      </w:r>
      <w:r>
        <w:rPr>
          <w:rFonts w:ascii="宋体" w:hAnsi="宋体" w:cs="宋体"/>
          <w:kern w:val="0"/>
          <w:szCs w:val="21"/>
        </w:rPr>
        <w:t>方式</w:t>
      </w:r>
      <w:bookmarkEnd w:id="49"/>
      <w:bookmarkEnd w:id="50"/>
      <w:bookmarkEnd w:id="51"/>
      <w:bookmarkEnd w:id="52"/>
    </w:p>
    <w:p>
      <w:pPr>
        <w:pStyle w:val="19"/>
        <w:spacing w:line="340" w:lineRule="exact"/>
        <w:ind w:firstLine="630" w:firstLineChars="300"/>
        <w:rPr>
          <w:rFonts w:hAnsi="宋体"/>
        </w:rPr>
      </w:pPr>
      <w:r>
        <w:rPr>
          <w:rFonts w:hint="eastAsia" w:hAnsi="宋体"/>
        </w:rPr>
        <w:t>项目联系人：</w:t>
      </w:r>
      <w:r>
        <w:rPr>
          <w:rFonts w:hint="eastAsia" w:hAnsi="宋体"/>
          <w:szCs w:val="21"/>
        </w:rPr>
        <w:t>黄厚彰</w:t>
      </w:r>
    </w:p>
    <w:p>
      <w:pPr>
        <w:spacing w:line="340" w:lineRule="exact"/>
        <w:ind w:firstLine="630" w:firstLineChars="300"/>
        <w:rPr>
          <w:rFonts w:ascii="宋体" w:hAnsi="宋体"/>
          <w:szCs w:val="21"/>
        </w:rPr>
      </w:pPr>
      <w:r>
        <w:rPr>
          <w:rFonts w:hint="eastAsia" w:ascii="宋体" w:hAnsi="宋体"/>
          <w:szCs w:val="21"/>
        </w:rPr>
        <w:t>电    话：</w:t>
      </w:r>
      <w:r>
        <w:rPr>
          <w:rFonts w:hint="eastAsia" w:ascii="宋体" w:hAnsi="宋体" w:cs="Arial"/>
          <w:szCs w:val="21"/>
        </w:rPr>
        <w:t>0770-2811698</w:t>
      </w:r>
    </w:p>
    <w:p>
      <w:pPr>
        <w:spacing w:line="340" w:lineRule="exact"/>
        <w:ind w:firstLine="630" w:firstLineChars="3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监督部门</w:t>
      </w:r>
    </w:p>
    <w:p>
      <w:pPr>
        <w:spacing w:line="340" w:lineRule="exact"/>
        <w:ind w:firstLine="630" w:firstLineChars="300"/>
        <w:rPr>
          <w:rFonts w:ascii="宋体" w:hAnsi="宋体"/>
          <w:szCs w:val="21"/>
        </w:rPr>
      </w:pPr>
      <w:r>
        <w:rPr>
          <w:rFonts w:hint="eastAsia" w:ascii="宋体" w:hAnsi="宋体"/>
          <w:szCs w:val="21"/>
        </w:rPr>
        <w:t>名    称：防城港市政府采购管理中心</w:t>
      </w:r>
    </w:p>
    <w:p>
      <w:pPr>
        <w:spacing w:line="340" w:lineRule="exact"/>
        <w:ind w:firstLine="630" w:firstLineChars="300"/>
        <w:rPr>
          <w:rFonts w:ascii="宋体" w:hAnsi="宋体"/>
          <w:szCs w:val="21"/>
        </w:rPr>
      </w:pPr>
      <w:r>
        <w:rPr>
          <w:rFonts w:hint="eastAsia" w:ascii="宋体" w:hAnsi="宋体"/>
          <w:szCs w:val="21"/>
        </w:rPr>
        <w:t>电    话：</w:t>
      </w:r>
      <w:r>
        <w:rPr>
          <w:rFonts w:hint="eastAsia" w:ascii="宋体" w:hAnsi="宋体" w:cs="Arial"/>
          <w:szCs w:val="21"/>
        </w:rPr>
        <w:t>0770-6102319</w:t>
      </w:r>
    </w:p>
    <w:p>
      <w:pPr>
        <w:tabs>
          <w:tab w:val="left" w:pos="3686"/>
          <w:tab w:val="left" w:pos="4395"/>
          <w:tab w:val="left" w:pos="5245"/>
        </w:tabs>
        <w:spacing w:line="340" w:lineRule="exact"/>
        <w:ind w:right="3776" w:rightChars="1798"/>
        <w:jc w:val="right"/>
        <w:rPr>
          <w:rFonts w:ascii="宋体" w:hAnsi="宋体"/>
          <w:szCs w:val="21"/>
        </w:rPr>
      </w:pPr>
      <w:r>
        <w:rPr>
          <w:rFonts w:hint="eastAsia" w:ascii="宋体" w:hAnsi="宋体"/>
          <w:szCs w:val="21"/>
        </w:rPr>
        <w:t xml:space="preserve">    </w:t>
      </w:r>
    </w:p>
    <w:p>
      <w:pPr>
        <w:spacing w:line="340" w:lineRule="exact"/>
        <w:ind w:firstLine="420" w:firstLineChars="200"/>
        <w:jc w:val="right"/>
        <w:rPr>
          <w:rFonts w:ascii="宋体" w:hAnsi="宋体"/>
          <w:szCs w:val="21"/>
        </w:rPr>
      </w:pPr>
      <w:r>
        <w:rPr>
          <w:rFonts w:hint="eastAsia" w:ascii="宋体" w:hAnsi="宋体"/>
          <w:szCs w:val="21"/>
        </w:rPr>
        <w:t xml:space="preserve">                                   </w:t>
      </w:r>
    </w:p>
    <w:p>
      <w:pPr>
        <w:spacing w:line="340" w:lineRule="exact"/>
        <w:ind w:firstLine="420" w:firstLineChars="200"/>
        <w:jc w:val="right"/>
        <w:rPr>
          <w:rFonts w:ascii="宋体" w:hAnsi="宋体"/>
          <w:szCs w:val="21"/>
        </w:rPr>
      </w:pPr>
      <w:r>
        <w:rPr>
          <w:rFonts w:hint="eastAsia" w:ascii="宋体" w:hAnsi="宋体"/>
          <w:szCs w:val="21"/>
        </w:rPr>
        <w:t xml:space="preserve">          采购人：</w:t>
      </w:r>
      <w:r>
        <w:rPr>
          <w:rFonts w:hint="eastAsia" w:ascii="宋体" w:hAnsi="宋体"/>
          <w:bCs/>
          <w:szCs w:val="21"/>
        </w:rPr>
        <w:t>防城港市农业农村局</w:t>
      </w:r>
    </w:p>
    <w:p>
      <w:pPr>
        <w:spacing w:line="340" w:lineRule="exact"/>
        <w:ind w:firstLine="420" w:firstLineChars="200"/>
        <w:jc w:val="right"/>
        <w:rPr>
          <w:rFonts w:ascii="宋体" w:hAnsi="宋体"/>
          <w:szCs w:val="21"/>
        </w:rPr>
      </w:pPr>
      <w:r>
        <w:rPr>
          <w:rFonts w:hint="eastAsia" w:ascii="宋体" w:hAnsi="宋体"/>
          <w:szCs w:val="21"/>
        </w:rPr>
        <w:t xml:space="preserve">                                           采购代理机构：广西睿升项目管理有限公司</w:t>
      </w:r>
    </w:p>
    <w:p>
      <w:pPr>
        <w:spacing w:line="340" w:lineRule="exact"/>
        <w:ind w:firstLine="420" w:firstLineChars="200"/>
        <w:jc w:val="right"/>
        <w:rPr>
          <w:rFonts w:ascii="宋体" w:hAnsi="宋体"/>
          <w:szCs w:val="21"/>
        </w:rPr>
      </w:pPr>
      <w:r>
        <w:rPr>
          <w:rFonts w:hint="eastAsia" w:ascii="宋体" w:hAnsi="宋体"/>
          <w:szCs w:val="21"/>
        </w:rPr>
        <w:t xml:space="preserve">                                             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pPr>
        <w:spacing w:after="312" w:afterLines="100"/>
        <w:jc w:val="center"/>
        <w:outlineLvl w:val="0"/>
        <w:rPr>
          <w:rFonts w:ascii="宋体" w:hAnsi="宋体" w:cs="宋体"/>
          <w:b/>
          <w:sz w:val="32"/>
        </w:rPr>
      </w:pPr>
      <w:r>
        <w:rPr>
          <w:rFonts w:hint="eastAsia" w:ascii="宋体" w:hAnsi="宋体" w:cs="宋体"/>
          <w:b/>
          <w:sz w:val="32"/>
        </w:rPr>
        <w:br w:type="page"/>
      </w:r>
      <w:bookmarkStart w:id="53" w:name="_Toc15715"/>
      <w:r>
        <w:rPr>
          <w:rFonts w:hint="eastAsia" w:ascii="宋体" w:hAnsi="宋体" w:cs="宋体"/>
          <w:b/>
          <w:sz w:val="32"/>
        </w:rPr>
        <w:t>第二章 磋商供应商须知前附表</w:t>
      </w:r>
      <w:bookmarkEnd w:id="53"/>
    </w:p>
    <w:tbl>
      <w:tblPr>
        <w:tblStyle w:val="3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8" w:type="pct"/>
            <w:vAlign w:val="center"/>
          </w:tcPr>
          <w:p>
            <w:pPr>
              <w:jc w:val="center"/>
              <w:rPr>
                <w:rFonts w:ascii="宋体" w:hAnsi="宋体" w:cs="宋体"/>
                <w:szCs w:val="21"/>
              </w:rPr>
            </w:pPr>
            <w:r>
              <w:rPr>
                <w:rFonts w:hint="eastAsia" w:ascii="宋体" w:hAnsi="宋体" w:cs="宋体"/>
                <w:szCs w:val="21"/>
              </w:rPr>
              <w:t>序号</w:t>
            </w:r>
          </w:p>
        </w:tc>
        <w:tc>
          <w:tcPr>
            <w:tcW w:w="4601" w:type="pct"/>
            <w:vAlign w:val="center"/>
          </w:tcPr>
          <w:p>
            <w:pPr>
              <w:jc w:val="center"/>
              <w:rPr>
                <w:rFonts w:ascii="宋体" w:hAnsi="宋体" w:cs="宋体"/>
                <w:szCs w:val="21"/>
              </w:rPr>
            </w:pPr>
            <w:r>
              <w:rPr>
                <w:rFonts w:hint="eastAsia"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1</w:t>
            </w:r>
          </w:p>
        </w:tc>
        <w:tc>
          <w:tcPr>
            <w:tcW w:w="4601" w:type="pct"/>
            <w:vAlign w:val="center"/>
          </w:tcPr>
          <w:p>
            <w:pPr>
              <w:spacing w:line="360" w:lineRule="exact"/>
              <w:rPr>
                <w:rFonts w:ascii="宋体" w:hAnsi="宋体" w:cs="宋体"/>
                <w:szCs w:val="21"/>
              </w:rPr>
            </w:pPr>
            <w:r>
              <w:rPr>
                <w:rFonts w:hint="eastAsia" w:ascii="宋体" w:hAnsi="宋体" w:cs="宋体"/>
                <w:szCs w:val="21"/>
              </w:rPr>
              <w:t xml:space="preserve">项目名称：建设中国（防城港）知识产权保护中心论证工作   </w:t>
            </w:r>
          </w:p>
          <w:p>
            <w:pPr>
              <w:spacing w:line="360" w:lineRule="exact"/>
              <w:rPr>
                <w:rFonts w:ascii="宋体" w:hAnsi="宋体" w:cs="宋体"/>
                <w:szCs w:val="21"/>
                <w:u w:val="single"/>
              </w:rPr>
            </w:pPr>
            <w:r>
              <w:rPr>
                <w:rFonts w:hint="eastAsia" w:ascii="宋体" w:hAnsi="宋体" w:cs="宋体"/>
                <w:szCs w:val="21"/>
              </w:rPr>
              <w:t>项目编号：FCZC2021-C3-10006-GXRS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2</w:t>
            </w:r>
          </w:p>
        </w:tc>
        <w:tc>
          <w:tcPr>
            <w:tcW w:w="4601" w:type="pct"/>
            <w:vAlign w:val="center"/>
          </w:tcPr>
          <w:p>
            <w:pPr>
              <w:spacing w:line="360" w:lineRule="exact"/>
              <w:rPr>
                <w:rFonts w:ascii="宋体" w:hAnsi="宋体" w:cs="宋体"/>
                <w:b/>
                <w:bCs/>
                <w:szCs w:val="21"/>
              </w:rPr>
            </w:pPr>
            <w:r>
              <w:rPr>
                <w:rFonts w:hint="eastAsia" w:ascii="宋体" w:hAnsi="宋体" w:cs="宋体"/>
                <w:b/>
                <w:szCs w:val="21"/>
              </w:rPr>
              <w:t>磋商供应商资格</w:t>
            </w:r>
            <w:r>
              <w:rPr>
                <w:rFonts w:hint="eastAsia" w:ascii="宋体" w:hAnsi="宋体" w:cs="宋体"/>
                <w:b/>
                <w:bCs/>
                <w:szCs w:val="21"/>
              </w:rPr>
              <w:t>：</w:t>
            </w:r>
          </w:p>
          <w:p>
            <w:pPr>
              <w:spacing w:line="400" w:lineRule="exact"/>
              <w:rPr>
                <w:rFonts w:ascii="宋体" w:hAnsi="宋体" w:cs="宋体"/>
                <w:bCs/>
                <w:szCs w:val="21"/>
              </w:rPr>
            </w:pPr>
            <w:r>
              <w:rPr>
                <w:rFonts w:hint="eastAsia" w:ascii="宋体" w:hAnsi="宋体" w:cs="宋体"/>
                <w:bCs/>
                <w:szCs w:val="21"/>
              </w:rPr>
              <w:t>1.满足《中华人民共和国政府采购法》第二十二条规定。</w:t>
            </w:r>
          </w:p>
          <w:p>
            <w:pPr>
              <w:spacing w:line="400" w:lineRule="exact"/>
              <w:rPr>
                <w:rFonts w:ascii="宋体" w:hAnsi="宋体" w:cs="宋体"/>
                <w:bCs/>
                <w:szCs w:val="21"/>
              </w:rPr>
            </w:pPr>
            <w:r>
              <w:rPr>
                <w:rFonts w:hint="eastAsia" w:ascii="宋体" w:hAnsi="宋体" w:cs="宋体"/>
                <w:bCs/>
                <w:szCs w:val="21"/>
              </w:rPr>
              <w:t>2.落实政府采购政策需满足的资格要求：无。</w:t>
            </w:r>
          </w:p>
          <w:p>
            <w:pPr>
              <w:snapToGrid w:val="0"/>
              <w:spacing w:line="360" w:lineRule="exact"/>
              <w:rPr>
                <w:rFonts w:ascii="宋体" w:hAnsi="宋体" w:cs="宋体"/>
                <w:bCs/>
                <w:szCs w:val="21"/>
              </w:rPr>
            </w:pPr>
            <w:r>
              <w:rPr>
                <w:rFonts w:hint="eastAsia" w:ascii="宋体" w:hAnsi="宋体" w:cs="宋体"/>
                <w:bCs/>
                <w:szCs w:val="21"/>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3</w:t>
            </w:r>
          </w:p>
        </w:tc>
        <w:tc>
          <w:tcPr>
            <w:tcW w:w="4601" w:type="pct"/>
            <w:vAlign w:val="center"/>
          </w:tcPr>
          <w:p>
            <w:pPr>
              <w:pStyle w:val="19"/>
              <w:spacing w:line="360" w:lineRule="exact"/>
              <w:rPr>
                <w:rFonts w:hAnsi="宋体" w:cs="宋体"/>
                <w:szCs w:val="21"/>
              </w:rPr>
            </w:pPr>
            <w:r>
              <w:rPr>
                <w:rFonts w:hint="eastAsia" w:hAnsi="宋体" w:cs="宋体"/>
                <w:b/>
                <w:bCs/>
                <w:szCs w:val="21"/>
              </w:rPr>
              <w:t>磋商报价：</w:t>
            </w:r>
            <w:r>
              <w:rPr>
                <w:rFonts w:hint="eastAsia" w:hAnsi="宋体" w:cs="宋体"/>
                <w:szCs w:val="21"/>
              </w:rPr>
              <w:t>磋商供应商必须就“项目采购需求”一览表中所有服务内容作完整有效唯一报价，否则磋商无效。</w:t>
            </w:r>
          </w:p>
          <w:p>
            <w:pPr>
              <w:pStyle w:val="19"/>
              <w:spacing w:line="360" w:lineRule="exact"/>
              <w:rPr>
                <w:rFonts w:hAnsi="宋体" w:cs="宋体"/>
                <w:szCs w:val="21"/>
              </w:rPr>
            </w:pPr>
            <w:r>
              <w:rPr>
                <w:rFonts w:hint="eastAsia" w:hAnsi="宋体"/>
                <w:b/>
                <w:bCs/>
                <w:szCs w:val="21"/>
              </w:rPr>
              <w:t>参加磋商的供应商法定代表人或授权委托代理人必须持证件：法定代表人持资格证明书原件和本人身份证原件，委托代理人持授权委托书原件（如委托）和本人身份证原件。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4</w:t>
            </w:r>
          </w:p>
        </w:tc>
        <w:tc>
          <w:tcPr>
            <w:tcW w:w="4601" w:type="pct"/>
            <w:vAlign w:val="center"/>
          </w:tcPr>
          <w:p>
            <w:pPr>
              <w:spacing w:line="360" w:lineRule="exact"/>
              <w:rPr>
                <w:rFonts w:ascii="宋体" w:hAnsi="宋体" w:cs="宋体"/>
                <w:szCs w:val="21"/>
              </w:rPr>
            </w:pPr>
            <w:r>
              <w:rPr>
                <w:rFonts w:hint="eastAsia" w:ascii="宋体" w:hAnsi="宋体" w:cs="宋体"/>
                <w:b/>
                <w:bCs/>
                <w:szCs w:val="21"/>
              </w:rPr>
              <w:t>磋商响应文件份数：</w:t>
            </w:r>
            <w:r>
              <w:rPr>
                <w:rFonts w:hint="eastAsia" w:ascii="宋体" w:hAnsi="宋体" w:cs="宋体"/>
                <w:szCs w:val="21"/>
              </w:rPr>
              <w:t>正本一份，副本三份。可编辑的响应文件电子版（U盘）一份。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5</w:t>
            </w:r>
          </w:p>
        </w:tc>
        <w:tc>
          <w:tcPr>
            <w:tcW w:w="4601" w:type="pct"/>
            <w:vAlign w:val="center"/>
          </w:tcPr>
          <w:p>
            <w:pPr>
              <w:spacing w:line="360" w:lineRule="exact"/>
              <w:rPr>
                <w:rFonts w:ascii="宋体" w:hAnsi="宋体" w:cs="宋体"/>
                <w:szCs w:val="21"/>
              </w:rPr>
            </w:pPr>
            <w:r>
              <w:rPr>
                <w:rFonts w:hint="eastAsia" w:ascii="宋体" w:hAnsi="宋体" w:cs="宋体"/>
                <w:szCs w:val="21"/>
              </w:rPr>
              <w:t>磋商有效期：60天，自供应商提交响应文件之日起计算。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6</w:t>
            </w:r>
          </w:p>
        </w:tc>
        <w:tc>
          <w:tcPr>
            <w:tcW w:w="4601" w:type="pct"/>
            <w:vAlign w:val="center"/>
          </w:tcPr>
          <w:p>
            <w:pPr>
              <w:spacing w:line="360" w:lineRule="exact"/>
              <w:rPr>
                <w:rFonts w:ascii="宋体" w:hAnsi="宋体" w:cs="宋体"/>
                <w:szCs w:val="21"/>
              </w:rPr>
            </w:pPr>
            <w:r>
              <w:rPr>
                <w:rFonts w:hint="eastAsia" w:ascii="宋体" w:hAnsi="宋体" w:cs="宋体"/>
                <w:szCs w:val="21"/>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7</w:t>
            </w:r>
          </w:p>
        </w:tc>
        <w:tc>
          <w:tcPr>
            <w:tcW w:w="4601" w:type="pct"/>
            <w:vAlign w:val="center"/>
          </w:tcPr>
          <w:p>
            <w:pPr>
              <w:pStyle w:val="19"/>
              <w:spacing w:line="360" w:lineRule="exact"/>
              <w:rPr>
                <w:rFonts w:hAnsi="宋体" w:cs="宋体"/>
                <w:szCs w:val="21"/>
              </w:rPr>
            </w:pPr>
            <w:r>
              <w:rPr>
                <w:rFonts w:hint="eastAsia" w:hAnsi="宋体" w:cs="宋体"/>
                <w:szCs w:val="21"/>
              </w:rPr>
              <w:t>磋商响应文件递交截止时间及地点：详见竞争性磋商公告。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8</w:t>
            </w:r>
          </w:p>
        </w:tc>
        <w:tc>
          <w:tcPr>
            <w:tcW w:w="4601" w:type="pct"/>
            <w:vAlign w:val="center"/>
          </w:tcPr>
          <w:p>
            <w:pPr>
              <w:spacing w:line="360" w:lineRule="exact"/>
              <w:rPr>
                <w:rFonts w:ascii="宋体" w:hAnsi="宋体" w:cs="宋体"/>
                <w:szCs w:val="21"/>
              </w:rPr>
            </w:pPr>
            <w:r>
              <w:rPr>
                <w:rFonts w:hint="eastAsia" w:ascii="宋体" w:hAnsi="宋体" w:cs="宋体"/>
                <w:szCs w:val="21"/>
              </w:rPr>
              <w:t>磋商时间及地点：</w:t>
            </w:r>
            <w:r>
              <w:rPr>
                <w:rFonts w:hint="eastAsia" w:hAnsi="宋体" w:cs="宋体"/>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9</w:t>
            </w:r>
          </w:p>
        </w:tc>
        <w:tc>
          <w:tcPr>
            <w:tcW w:w="4601" w:type="pct"/>
            <w:vAlign w:val="center"/>
          </w:tcPr>
          <w:p>
            <w:pPr>
              <w:spacing w:line="360" w:lineRule="exact"/>
              <w:rPr>
                <w:rFonts w:ascii="宋体" w:hAnsi="宋体" w:cs="宋体"/>
                <w:szCs w:val="21"/>
              </w:rPr>
            </w:pPr>
            <w:r>
              <w:rPr>
                <w:rFonts w:hint="eastAsia" w:ascii="宋体" w:hAnsi="宋体" w:cs="宋体"/>
                <w:szCs w:val="21"/>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10</w:t>
            </w:r>
          </w:p>
        </w:tc>
        <w:tc>
          <w:tcPr>
            <w:tcW w:w="4601" w:type="pct"/>
            <w:vAlign w:val="center"/>
          </w:tcPr>
          <w:p>
            <w:pPr>
              <w:autoSpaceDE w:val="0"/>
              <w:autoSpaceDN w:val="0"/>
              <w:snapToGrid w:val="0"/>
              <w:spacing w:line="320" w:lineRule="exact"/>
              <w:textAlignment w:val="bottom"/>
            </w:pPr>
            <w:r>
              <w:rPr>
                <w:rFonts w:hint="eastAsia"/>
              </w:rPr>
              <w:t>签订合同日期：采购人须在成交通知书发出之日起25日内和成交人签订政府采购合同，并在</w:t>
            </w:r>
          </w:p>
          <w:p>
            <w:pPr>
              <w:spacing w:line="360" w:lineRule="exact"/>
              <w:rPr>
                <w:rFonts w:ascii="宋体" w:hAnsi="宋体" w:cs="宋体"/>
                <w:szCs w:val="21"/>
              </w:rPr>
            </w:pPr>
            <w:r>
              <w:rPr>
                <w:rFonts w:hint="eastAsia"/>
              </w:rPr>
              <w:t>签订采购合同后2个工作日内进行合同备案。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11</w:t>
            </w:r>
          </w:p>
        </w:tc>
        <w:tc>
          <w:tcPr>
            <w:tcW w:w="4601" w:type="pct"/>
            <w:vAlign w:val="center"/>
          </w:tcPr>
          <w:p>
            <w:pPr>
              <w:spacing w:line="360" w:lineRule="exact"/>
            </w:pPr>
            <w:r>
              <w:rPr>
                <w:rFonts w:hint="eastAsia"/>
                <w:b/>
                <w:bCs/>
              </w:rPr>
              <w:t>代理服务费：</w:t>
            </w:r>
            <w:r>
              <w:rPr>
                <w:rFonts w:hint="eastAsia"/>
              </w:rPr>
              <w:t>参照国家发展计划委员会计价格[2002]1980号《招标代理服务费管理暂行办法》及发改价格[2011]534号文的规定的收费标准收取，由成交人向采购代理机构支付。</w:t>
            </w:r>
          </w:p>
          <w:p>
            <w:pPr>
              <w:spacing w:line="360" w:lineRule="exact"/>
              <w:rPr>
                <w:b/>
                <w:bCs/>
              </w:rPr>
            </w:pPr>
            <w:r>
              <w:rPr>
                <w:rFonts w:hint="eastAsia"/>
                <w:b/>
                <w:bCs/>
              </w:rPr>
              <w:t>采购代理机构账号如下：</w:t>
            </w:r>
          </w:p>
          <w:p>
            <w:pPr>
              <w:autoSpaceDE w:val="0"/>
              <w:autoSpaceDN w:val="0"/>
              <w:snapToGrid w:val="0"/>
              <w:spacing w:line="320" w:lineRule="exact"/>
              <w:textAlignment w:val="bottom"/>
              <w:rPr>
                <w:rFonts w:hAnsi="宋体" w:cs="宋体"/>
                <w:bCs/>
              </w:rPr>
            </w:pPr>
            <w:r>
              <w:rPr>
                <w:rFonts w:hint="eastAsia" w:hAnsi="宋体" w:cs="宋体"/>
                <w:bCs/>
              </w:rPr>
              <w:t>账户名称：广西睿升项目管理有限公司</w:t>
            </w:r>
          </w:p>
          <w:p>
            <w:pPr>
              <w:autoSpaceDE w:val="0"/>
              <w:autoSpaceDN w:val="0"/>
              <w:snapToGrid w:val="0"/>
              <w:spacing w:line="320" w:lineRule="exact"/>
              <w:textAlignment w:val="bottom"/>
              <w:rPr>
                <w:rFonts w:hAnsi="宋体" w:cs="宋体"/>
                <w:bCs/>
              </w:rPr>
            </w:pPr>
            <w:r>
              <w:rPr>
                <w:rFonts w:hint="eastAsia" w:hAnsi="宋体" w:cs="宋体"/>
                <w:bCs/>
              </w:rPr>
              <w:t>银行账号：660600128704500010</w:t>
            </w:r>
          </w:p>
          <w:p>
            <w:pPr>
              <w:autoSpaceDE w:val="0"/>
              <w:autoSpaceDN w:val="0"/>
              <w:snapToGrid w:val="0"/>
              <w:spacing w:line="320" w:lineRule="exact"/>
              <w:textAlignment w:val="bottom"/>
            </w:pPr>
            <w:r>
              <w:rPr>
                <w:rFonts w:hint="eastAsia" w:hAnsi="宋体" w:cs="宋体"/>
                <w:bCs/>
              </w:rPr>
              <w:t>开户银行：桂林银行股份有限公司防城港分行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12</w:t>
            </w:r>
          </w:p>
        </w:tc>
        <w:tc>
          <w:tcPr>
            <w:tcW w:w="4601" w:type="pct"/>
            <w:vAlign w:val="center"/>
          </w:tcPr>
          <w:p>
            <w:pPr>
              <w:spacing w:line="360" w:lineRule="exact"/>
              <w:rPr>
                <w:rFonts w:ascii="宋体" w:hAnsi="宋体" w:cs="宋体"/>
                <w:b/>
                <w:bCs/>
                <w:szCs w:val="21"/>
              </w:rPr>
            </w:pPr>
            <w:r>
              <w:rPr>
                <w:rFonts w:hint="eastAsia" w:ascii="宋体" w:hAnsi="宋体" w:cs="宋体"/>
                <w:b/>
              </w:rPr>
              <w:t>评标方法</w:t>
            </w:r>
            <w:r>
              <w:rPr>
                <w:rFonts w:hint="eastAsia" w:ascii="宋体" w:hAnsi="宋体" w:cs="宋体"/>
              </w:rPr>
              <w:t>：</w:t>
            </w:r>
            <w:r>
              <w:rPr>
                <w:rFonts w:hint="eastAsia" w:hAnsi="宋体"/>
              </w:rPr>
              <w:t>综合评分法</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98" w:type="pct"/>
            <w:vAlign w:val="center"/>
          </w:tcPr>
          <w:p>
            <w:pPr>
              <w:spacing w:line="400" w:lineRule="exact"/>
              <w:jc w:val="center"/>
              <w:rPr>
                <w:rFonts w:ascii="宋体" w:hAnsi="宋体" w:cs="宋体"/>
                <w:szCs w:val="21"/>
              </w:rPr>
            </w:pPr>
            <w:r>
              <w:rPr>
                <w:rFonts w:hint="eastAsia" w:ascii="宋体" w:hAnsi="宋体" w:cs="宋体"/>
                <w:szCs w:val="21"/>
              </w:rPr>
              <w:t>13</w:t>
            </w:r>
          </w:p>
        </w:tc>
        <w:tc>
          <w:tcPr>
            <w:tcW w:w="4601" w:type="pct"/>
            <w:vAlign w:val="center"/>
          </w:tcPr>
          <w:p>
            <w:pPr>
              <w:spacing w:line="400" w:lineRule="exact"/>
              <w:rPr>
                <w:rFonts w:ascii="宋体" w:hAnsi="宋体" w:cs="宋体"/>
                <w:szCs w:val="21"/>
              </w:rPr>
            </w:pPr>
            <w:r>
              <w:rPr>
                <w:rFonts w:hint="eastAsia" w:ascii="宋体" w:hAnsi="宋体" w:cs="宋体"/>
                <w:szCs w:val="21"/>
              </w:rPr>
              <w:t>本项目采购文件解释权属于采购代理机构。</w:t>
            </w:r>
          </w:p>
        </w:tc>
      </w:tr>
    </w:tbl>
    <w:p>
      <w:pPr>
        <w:spacing w:line="400" w:lineRule="exact"/>
        <w:jc w:val="center"/>
        <w:rPr>
          <w:rFonts w:ascii="宋体" w:hAnsi="宋体" w:cs="宋体"/>
          <w:b/>
          <w:sz w:val="24"/>
        </w:rPr>
      </w:pPr>
      <w:r>
        <w:rPr>
          <w:rFonts w:hint="eastAsia" w:ascii="宋体" w:hAnsi="宋体" w:cs="宋体"/>
          <w:b/>
          <w:sz w:val="32"/>
          <w:szCs w:val="32"/>
        </w:rPr>
        <w:br w:type="page"/>
      </w:r>
      <w:r>
        <w:rPr>
          <w:rFonts w:hint="eastAsia" w:ascii="宋体" w:hAnsi="宋体" w:cs="宋体"/>
          <w:b/>
          <w:sz w:val="32"/>
          <w:szCs w:val="32"/>
        </w:rPr>
        <w:t>磋商供应商须知</w:t>
      </w:r>
    </w:p>
    <w:p>
      <w:pPr>
        <w:spacing w:line="420" w:lineRule="exact"/>
        <w:jc w:val="center"/>
        <w:rPr>
          <w:rFonts w:ascii="宋体" w:hAnsi="宋体" w:cs="宋体"/>
          <w:b/>
          <w:sz w:val="24"/>
        </w:rPr>
      </w:pPr>
    </w:p>
    <w:p>
      <w:pPr>
        <w:spacing w:line="420" w:lineRule="exact"/>
        <w:jc w:val="center"/>
        <w:rPr>
          <w:rFonts w:ascii="宋体" w:hAnsi="宋体" w:cs="宋体"/>
          <w:b/>
          <w:sz w:val="24"/>
        </w:rPr>
      </w:pPr>
      <w:r>
        <w:rPr>
          <w:rFonts w:hint="eastAsia" w:ascii="宋体" w:hAnsi="宋体" w:cs="宋体"/>
          <w:b/>
          <w:sz w:val="24"/>
        </w:rPr>
        <w:t>一、总　则</w:t>
      </w:r>
    </w:p>
    <w:p>
      <w:pPr>
        <w:spacing w:line="420" w:lineRule="exact"/>
        <w:ind w:firstLine="480" w:firstLineChars="200"/>
        <w:rPr>
          <w:rFonts w:ascii="宋体" w:hAnsi="宋体" w:cs="宋体"/>
          <w:sz w:val="24"/>
        </w:rPr>
      </w:pPr>
    </w:p>
    <w:p>
      <w:pPr>
        <w:spacing w:line="320" w:lineRule="exact"/>
        <w:ind w:firstLine="420" w:firstLineChars="200"/>
        <w:rPr>
          <w:rFonts w:ascii="宋体" w:hAnsi="宋体" w:cs="宋体"/>
          <w:b/>
          <w:szCs w:val="21"/>
        </w:rPr>
      </w:pPr>
      <w:r>
        <w:rPr>
          <w:rFonts w:hint="eastAsia" w:ascii="宋体" w:hAnsi="宋体" w:cs="宋体"/>
          <w:szCs w:val="21"/>
        </w:rPr>
        <w:t>1.适用范围</w:t>
      </w:r>
    </w:p>
    <w:p>
      <w:pPr>
        <w:spacing w:line="320" w:lineRule="exact"/>
        <w:ind w:firstLine="420" w:firstLineChars="200"/>
        <w:rPr>
          <w:rFonts w:ascii="宋体" w:hAnsi="宋体" w:cs="宋体"/>
          <w:szCs w:val="21"/>
        </w:rPr>
      </w:pPr>
      <w:r>
        <w:rPr>
          <w:rFonts w:hint="eastAsia" w:ascii="宋体" w:hAnsi="宋体" w:cs="宋体"/>
          <w:szCs w:val="21"/>
        </w:rPr>
        <w:t>本文件仅适用于本文件中所叙述的服务类政府采购项目。</w:t>
      </w:r>
    </w:p>
    <w:p>
      <w:pPr>
        <w:spacing w:line="320" w:lineRule="exact"/>
        <w:ind w:firstLine="420" w:firstLineChars="200"/>
        <w:rPr>
          <w:rFonts w:ascii="宋体" w:hAnsi="宋体" w:cs="宋体"/>
          <w:szCs w:val="21"/>
        </w:rPr>
      </w:pPr>
      <w:r>
        <w:rPr>
          <w:rFonts w:hint="eastAsia" w:ascii="宋体" w:hAnsi="宋体" w:cs="宋体"/>
          <w:szCs w:val="21"/>
        </w:rPr>
        <w:t>2. 定义</w:t>
      </w:r>
    </w:p>
    <w:p>
      <w:pPr>
        <w:spacing w:line="320" w:lineRule="exact"/>
        <w:ind w:firstLine="420" w:firstLineChars="200"/>
        <w:rPr>
          <w:rFonts w:ascii="宋体" w:hAnsi="宋体" w:cs="宋体"/>
          <w:szCs w:val="21"/>
        </w:rPr>
      </w:pPr>
      <w:r>
        <w:rPr>
          <w:rFonts w:hint="eastAsia" w:ascii="宋体" w:hAnsi="宋体" w:cs="宋体"/>
          <w:szCs w:val="21"/>
        </w:rPr>
        <w:t>2.1“采购人”是指：防城港市市场监督管理局。</w:t>
      </w:r>
    </w:p>
    <w:p>
      <w:pPr>
        <w:spacing w:line="320" w:lineRule="exact"/>
        <w:ind w:firstLine="420" w:firstLineChars="200"/>
        <w:rPr>
          <w:rFonts w:ascii="宋体" w:hAnsi="宋体" w:cs="宋体"/>
          <w:szCs w:val="21"/>
        </w:rPr>
      </w:pPr>
      <w:r>
        <w:rPr>
          <w:rFonts w:hint="eastAsia" w:ascii="宋体" w:hAnsi="宋体" w:cs="宋体"/>
          <w:szCs w:val="21"/>
        </w:rPr>
        <w:t>2.2“采购代理机构”是指： 广西睿升项目管理有限公司。</w:t>
      </w:r>
    </w:p>
    <w:p>
      <w:pPr>
        <w:spacing w:line="320" w:lineRule="exact"/>
        <w:ind w:firstLine="420" w:firstLineChars="200"/>
        <w:rPr>
          <w:rFonts w:ascii="宋体" w:hAnsi="宋体" w:cs="宋体"/>
          <w:szCs w:val="21"/>
        </w:rPr>
      </w:pPr>
      <w:r>
        <w:rPr>
          <w:rFonts w:hint="eastAsia" w:ascii="宋体" w:hAnsi="宋体" w:cs="宋体"/>
          <w:szCs w:val="21"/>
        </w:rPr>
        <w:t>2.3“磋商供应商”是指响应本文件要求，参加磋商的法人或者其他组织。如果该供应商在本次磋商中成交,即成为“成交供应商”。</w:t>
      </w:r>
    </w:p>
    <w:p>
      <w:pPr>
        <w:spacing w:line="320" w:lineRule="exact"/>
        <w:ind w:firstLine="420" w:firstLineChars="200"/>
        <w:rPr>
          <w:rFonts w:ascii="宋体" w:hAnsi="宋体" w:cs="宋体"/>
          <w:snapToGrid w:val="0"/>
          <w:kern w:val="0"/>
          <w:szCs w:val="21"/>
        </w:rPr>
      </w:pPr>
      <w:r>
        <w:rPr>
          <w:rFonts w:hint="eastAsia" w:ascii="宋体" w:hAnsi="宋体" w:cs="宋体"/>
          <w:snapToGrid w:val="0"/>
          <w:kern w:val="0"/>
          <w:szCs w:val="21"/>
        </w:rPr>
        <w:t>2.4“货物”是指各种形态和种类的物品，包括原材料、燃料、设备、产品等。</w:t>
      </w:r>
    </w:p>
    <w:p>
      <w:pPr>
        <w:spacing w:line="320" w:lineRule="exact"/>
        <w:ind w:firstLine="420" w:firstLineChars="200"/>
        <w:rPr>
          <w:rFonts w:ascii="宋体" w:hAnsi="宋体" w:cs="宋体"/>
          <w:snapToGrid w:val="0"/>
          <w:kern w:val="0"/>
          <w:szCs w:val="21"/>
        </w:rPr>
      </w:pPr>
      <w:r>
        <w:rPr>
          <w:rFonts w:hint="eastAsia" w:ascii="宋体" w:hAnsi="宋体" w:cs="宋体"/>
          <w:snapToGrid w:val="0"/>
          <w:kern w:val="0"/>
          <w:szCs w:val="21"/>
        </w:rPr>
        <w:t>2.5“服务”是指除货物和工程以外的其他政府采购对象。</w:t>
      </w:r>
    </w:p>
    <w:p>
      <w:pPr>
        <w:spacing w:line="320" w:lineRule="exact"/>
        <w:ind w:firstLine="420" w:firstLineChars="200"/>
        <w:rPr>
          <w:rFonts w:ascii="宋体" w:hAnsi="宋体" w:cs="宋体"/>
          <w:snapToGrid w:val="0"/>
          <w:kern w:val="0"/>
          <w:szCs w:val="21"/>
        </w:rPr>
      </w:pPr>
      <w:r>
        <w:rPr>
          <w:rFonts w:hint="eastAsia" w:ascii="宋体" w:hAnsi="宋体" w:cs="宋体"/>
          <w:snapToGrid w:val="0"/>
          <w:kern w:val="0"/>
          <w:szCs w:val="21"/>
        </w:rPr>
        <w:t>2.6“竞争性磋商响应文件”是指：供应商根据本采购文件要求，编制包含报价、技术和服务等所有内容的文件，也称磋商响应文件。</w:t>
      </w:r>
    </w:p>
    <w:p>
      <w:pPr>
        <w:snapToGrid w:val="0"/>
        <w:spacing w:line="3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2.7“ 磋商供应商公章”系指磋商供应商用自己法定主体名称制作的签名印章，不包含专用章。</w:t>
      </w:r>
    </w:p>
    <w:p>
      <w:pPr>
        <w:spacing w:line="320" w:lineRule="exact"/>
        <w:ind w:firstLine="420" w:firstLineChars="200"/>
        <w:jc w:val="left"/>
        <w:rPr>
          <w:rFonts w:ascii="宋体" w:hAnsi="宋体" w:cs="宋体"/>
          <w:b/>
          <w:szCs w:val="21"/>
        </w:rPr>
      </w:pPr>
      <w:r>
        <w:rPr>
          <w:rFonts w:hint="eastAsia" w:ascii="宋体" w:hAnsi="宋体" w:cs="宋体"/>
          <w:snapToGrid w:val="0"/>
          <w:kern w:val="0"/>
          <w:szCs w:val="21"/>
        </w:rPr>
        <w:t>2.8 “财政部门指定的政府采购信息发布媒体”系指</w:t>
      </w:r>
      <w:r>
        <w:rPr>
          <w:rFonts w:hint="eastAsia" w:ascii="宋体" w:hAnsi="宋体" w:cs="宋体"/>
          <w:szCs w:val="21"/>
        </w:rPr>
        <w:t>中国政府采购网、广西壮族自治区政府采购网、广西防城港政府采购网、防城港市公共资源交易中心网</w:t>
      </w:r>
      <w:r>
        <w:rPr>
          <w:rFonts w:hint="eastAsia" w:ascii="宋体" w:hAnsi="宋体" w:cs="宋体"/>
          <w:bCs/>
          <w:szCs w:val="21"/>
        </w:rPr>
        <w:t>。</w:t>
      </w:r>
    </w:p>
    <w:p>
      <w:pPr>
        <w:spacing w:line="32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3磋商供应商资格及要求：详见竞争性磋商公告。</w:t>
      </w:r>
    </w:p>
    <w:p>
      <w:pPr>
        <w:spacing w:line="320" w:lineRule="exact"/>
        <w:ind w:firstLine="420" w:firstLineChars="200"/>
        <w:rPr>
          <w:rFonts w:ascii="宋体" w:hAnsi="宋体" w:cs="宋体"/>
          <w:szCs w:val="21"/>
        </w:rPr>
      </w:pPr>
      <w:r>
        <w:rPr>
          <w:rFonts w:hint="eastAsia" w:ascii="宋体" w:hAnsi="宋体" w:cs="宋体"/>
          <w:szCs w:val="21"/>
        </w:rPr>
        <w:t>4.磋商费用</w:t>
      </w:r>
    </w:p>
    <w:p>
      <w:pPr>
        <w:spacing w:line="320" w:lineRule="exact"/>
        <w:ind w:firstLine="420" w:firstLineChars="200"/>
        <w:rPr>
          <w:rFonts w:ascii="宋体" w:hAnsi="宋体" w:cs="宋体"/>
          <w:szCs w:val="21"/>
        </w:rPr>
      </w:pPr>
      <w:r>
        <w:rPr>
          <w:rFonts w:hint="eastAsia" w:ascii="宋体" w:hAnsi="宋体" w:cs="宋体"/>
          <w:szCs w:val="21"/>
        </w:rPr>
        <w:t>磋商供应商应自行承担所有与编写和提交竞争性磋商响应文件有关的费用，不论磋商结果如何，采购人和采购代理机构在任何情况下无义务和责任承担此类费用。</w:t>
      </w:r>
    </w:p>
    <w:p>
      <w:pPr>
        <w:spacing w:line="320" w:lineRule="exact"/>
        <w:ind w:firstLine="420" w:firstLineChars="200"/>
        <w:rPr>
          <w:rFonts w:ascii="宋体" w:hAnsi="宋体" w:cs="宋体"/>
          <w:szCs w:val="21"/>
        </w:rPr>
      </w:pPr>
      <w:r>
        <w:rPr>
          <w:rFonts w:hint="eastAsia" w:ascii="宋体" w:hAnsi="宋体" w:cs="宋体"/>
          <w:szCs w:val="21"/>
        </w:rPr>
        <w:t>5.联合体磋商</w:t>
      </w:r>
    </w:p>
    <w:p>
      <w:pPr>
        <w:spacing w:line="320" w:lineRule="exact"/>
        <w:ind w:firstLine="420" w:firstLineChars="200"/>
        <w:rPr>
          <w:rFonts w:ascii="宋体" w:hAnsi="宋体" w:cs="宋体"/>
          <w:szCs w:val="21"/>
        </w:rPr>
      </w:pPr>
      <w:r>
        <w:rPr>
          <w:rFonts w:hint="eastAsia" w:ascii="宋体" w:hAnsi="宋体" w:cs="宋体"/>
          <w:szCs w:val="21"/>
        </w:rPr>
        <w:t>5.1本项目不接受联合体磋商。</w:t>
      </w:r>
    </w:p>
    <w:p>
      <w:pPr>
        <w:spacing w:line="320" w:lineRule="exact"/>
        <w:ind w:firstLine="420" w:firstLineChars="200"/>
        <w:rPr>
          <w:rFonts w:ascii="宋体" w:hAnsi="宋体" w:cs="宋体"/>
          <w:szCs w:val="21"/>
        </w:rPr>
      </w:pPr>
      <w:r>
        <w:rPr>
          <w:rFonts w:hint="eastAsia" w:ascii="宋体" w:hAnsi="宋体" w:cs="宋体"/>
          <w:szCs w:val="21"/>
        </w:rPr>
        <w:t xml:space="preserve">6.转包与分包             </w:t>
      </w:r>
    </w:p>
    <w:p>
      <w:pPr>
        <w:spacing w:line="320" w:lineRule="exact"/>
        <w:ind w:firstLine="420" w:firstLineChars="200"/>
        <w:rPr>
          <w:rFonts w:ascii="宋体" w:hAnsi="宋体" w:cs="宋体"/>
          <w:szCs w:val="21"/>
        </w:rPr>
      </w:pPr>
      <w:r>
        <w:rPr>
          <w:rFonts w:hint="eastAsia" w:ascii="宋体" w:hAnsi="宋体" w:cs="宋体"/>
          <w:szCs w:val="21"/>
        </w:rPr>
        <w:t>6.1本项目不允许转包。</w:t>
      </w:r>
    </w:p>
    <w:p>
      <w:pPr>
        <w:spacing w:line="320" w:lineRule="exact"/>
        <w:ind w:firstLine="420" w:firstLineChars="200"/>
        <w:rPr>
          <w:rFonts w:ascii="宋体" w:hAnsi="宋体" w:cs="宋体"/>
          <w:szCs w:val="21"/>
        </w:rPr>
      </w:pPr>
      <w:r>
        <w:rPr>
          <w:rFonts w:hint="eastAsia" w:ascii="宋体" w:hAnsi="宋体" w:cs="宋体"/>
          <w:szCs w:val="21"/>
        </w:rPr>
        <w:t>6.2本项目不可以分包。</w:t>
      </w:r>
    </w:p>
    <w:p>
      <w:pPr>
        <w:pStyle w:val="19"/>
        <w:snapToGrid w:val="0"/>
        <w:spacing w:line="320" w:lineRule="exact"/>
        <w:ind w:firstLine="413" w:firstLineChars="196"/>
        <w:outlineLvl w:val="1"/>
        <w:rPr>
          <w:rFonts w:hAnsi="宋体" w:cs="宋体"/>
          <w:b/>
          <w:bCs/>
          <w:szCs w:val="21"/>
        </w:rPr>
      </w:pPr>
      <w:bookmarkStart w:id="54" w:name="_Toc254970533"/>
      <w:bookmarkStart w:id="55" w:name="_Toc4380"/>
      <w:bookmarkStart w:id="56" w:name="_Toc254970674"/>
      <w:r>
        <w:rPr>
          <w:rFonts w:hint="eastAsia" w:hAnsi="宋体" w:cs="宋体"/>
          <w:b/>
          <w:bCs/>
          <w:szCs w:val="21"/>
        </w:rPr>
        <w:t>7.质疑和投诉</w:t>
      </w:r>
      <w:bookmarkEnd w:id="54"/>
      <w:bookmarkEnd w:id="55"/>
      <w:bookmarkEnd w:id="56"/>
    </w:p>
    <w:p>
      <w:pPr>
        <w:pStyle w:val="19"/>
        <w:snapToGrid w:val="0"/>
        <w:spacing w:line="320" w:lineRule="exact"/>
        <w:ind w:firstLine="420" w:firstLineChars="200"/>
        <w:rPr>
          <w:rFonts w:hAnsi="宋体" w:cs="宋体"/>
          <w:bCs/>
          <w:szCs w:val="21"/>
        </w:rPr>
      </w:pPr>
      <w:r>
        <w:rPr>
          <w:rFonts w:hint="eastAsia" w:hAnsi="宋体" w:cs="宋体"/>
          <w:bCs/>
          <w:szCs w:val="21"/>
        </w:rPr>
        <w:t>7.1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hAnsi="宋体" w:cs="宋体"/>
          <w:szCs w:val="21"/>
        </w:rPr>
        <w:t>磋商供应商对</w:t>
      </w:r>
      <w:r>
        <w:rPr>
          <w:rFonts w:hint="eastAsia" w:hAnsi="宋体" w:cs="宋体"/>
          <w:bCs/>
          <w:szCs w:val="21"/>
        </w:rPr>
        <w:t>采购代理机构</w:t>
      </w:r>
      <w:r>
        <w:rPr>
          <w:rFonts w:hint="eastAsia" w:hAnsi="宋体" w:cs="宋体"/>
          <w:szCs w:val="21"/>
        </w:rPr>
        <w:t>的质疑答复不满意或者</w:t>
      </w:r>
      <w:r>
        <w:rPr>
          <w:rFonts w:hint="eastAsia" w:hAnsi="宋体" w:cs="宋体"/>
          <w:bCs/>
          <w:szCs w:val="21"/>
        </w:rPr>
        <w:t>采购代理机构</w:t>
      </w:r>
      <w:r>
        <w:rPr>
          <w:rFonts w:hint="eastAsia" w:hAnsi="宋体" w:cs="宋体"/>
          <w:szCs w:val="21"/>
        </w:rPr>
        <w:t>未在规定时间内作出答复的，可以在答复期满后十五个工作日内向同级政府采购监督管理部门投诉。</w:t>
      </w:r>
    </w:p>
    <w:p>
      <w:pPr>
        <w:pStyle w:val="19"/>
        <w:snapToGrid w:val="0"/>
        <w:spacing w:line="320" w:lineRule="exact"/>
        <w:ind w:firstLine="420" w:firstLineChars="200"/>
        <w:rPr>
          <w:rFonts w:hAnsi="宋体" w:cs="宋体"/>
          <w:szCs w:val="21"/>
        </w:rPr>
      </w:pPr>
      <w:r>
        <w:rPr>
          <w:rFonts w:hint="eastAsia" w:hAnsi="宋体" w:cs="宋体"/>
          <w:szCs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19"/>
        <w:snapToGrid w:val="0"/>
        <w:spacing w:line="320" w:lineRule="exact"/>
        <w:ind w:firstLine="420" w:firstLineChars="200"/>
        <w:rPr>
          <w:rFonts w:hAnsi="宋体" w:cs="宋体"/>
          <w:bCs/>
          <w:szCs w:val="21"/>
        </w:rPr>
      </w:pPr>
      <w:r>
        <w:rPr>
          <w:rFonts w:hint="eastAsia" w:hAnsi="宋体" w:cs="宋体"/>
          <w:bCs/>
          <w:szCs w:val="21"/>
        </w:rPr>
        <w:t>7.3</w:t>
      </w:r>
      <w:r>
        <w:rPr>
          <w:rFonts w:hint="eastAsia" w:hAnsi="宋体" w:cs="宋体"/>
          <w:b/>
          <w:bCs/>
          <w:szCs w:val="21"/>
        </w:rPr>
        <w:t xml:space="preserve"> 磋商供应商认为竞争性磋商采购文件使自己的合法权益受到损害的，按“10.1条款” 执行。</w:t>
      </w:r>
    </w:p>
    <w:p>
      <w:pPr>
        <w:snapToGrid w:val="0"/>
        <w:spacing w:before="156" w:beforeLines="50" w:line="320" w:lineRule="exact"/>
        <w:ind w:firstLine="411" w:firstLineChars="196"/>
        <w:jc w:val="left"/>
        <w:outlineLvl w:val="1"/>
        <w:rPr>
          <w:rFonts w:ascii="宋体" w:hAnsi="宋体" w:cs="宋体"/>
          <w:bCs/>
          <w:szCs w:val="21"/>
        </w:rPr>
      </w:pPr>
      <w:bookmarkStart w:id="57" w:name="_Toc9459"/>
      <w:bookmarkStart w:id="58" w:name="_Toc254970532"/>
      <w:bookmarkStart w:id="59" w:name="_Toc254970673"/>
      <w:r>
        <w:rPr>
          <w:rFonts w:hint="eastAsia" w:ascii="宋体" w:hAnsi="宋体" w:cs="宋体"/>
          <w:bCs/>
          <w:szCs w:val="21"/>
        </w:rPr>
        <w:t>8.特别说明：</w:t>
      </w:r>
      <w:bookmarkEnd w:id="57"/>
      <w:bookmarkEnd w:id="58"/>
      <w:bookmarkEnd w:id="59"/>
    </w:p>
    <w:p>
      <w:pPr>
        <w:pStyle w:val="19"/>
        <w:snapToGrid w:val="0"/>
        <w:spacing w:line="320" w:lineRule="exact"/>
        <w:ind w:left="2" w:leftChars="1" w:firstLine="420" w:firstLineChars="200"/>
        <w:rPr>
          <w:rFonts w:hAnsi="宋体" w:cs="宋体"/>
          <w:szCs w:val="21"/>
        </w:rPr>
      </w:pPr>
      <w:r>
        <w:rPr>
          <w:rFonts w:hint="eastAsia" w:hAnsi="宋体" w:cs="宋体"/>
          <w:szCs w:val="21"/>
        </w:rPr>
        <w:t>8.1磋商供应商磋商所使用的资格、信誉、荣誉、业绩与企业认证必须为本法人所拥有。磋商供应商投标所使用的采购项目实施人员必须为本法人员工（或必须为本法人或控股公司正式员工）。</w:t>
      </w:r>
    </w:p>
    <w:p>
      <w:pPr>
        <w:pStyle w:val="19"/>
        <w:snapToGrid w:val="0"/>
        <w:spacing w:line="320" w:lineRule="exact"/>
        <w:ind w:left="2" w:leftChars="1" w:firstLine="420" w:firstLineChars="200"/>
        <w:rPr>
          <w:rFonts w:hAnsi="宋体" w:cs="宋体"/>
          <w:szCs w:val="21"/>
        </w:rPr>
      </w:pPr>
      <w:r>
        <w:rPr>
          <w:rFonts w:hint="eastAsia" w:hAnsi="宋体" w:cs="宋体"/>
          <w:szCs w:val="21"/>
        </w:rPr>
        <w:t>8.2磋商供应商应仔细阅读采购文件的所有内容，按照采购文件的要求提交响应文件，并对所提供的全部资料的真实性承担法律责任。</w:t>
      </w:r>
    </w:p>
    <w:p>
      <w:pPr>
        <w:pStyle w:val="19"/>
        <w:snapToGrid w:val="0"/>
        <w:spacing w:line="320" w:lineRule="exact"/>
        <w:ind w:left="2" w:leftChars="1" w:firstLine="420" w:firstLineChars="200"/>
        <w:rPr>
          <w:rFonts w:hAnsi="宋体" w:cs="宋体"/>
          <w:szCs w:val="21"/>
        </w:rPr>
      </w:pPr>
      <w:r>
        <w:rPr>
          <w:rFonts w:hint="eastAsia" w:hAnsi="宋体" w:cs="宋体"/>
          <w:szCs w:val="21"/>
        </w:rPr>
        <w:t>8.3磋商供应商在参加磋商过程活动中提供任何虚假材料，其响应无效，并报监管部门处理；成交后发现的，采购人或采购代理机构有权终止竞争性磋商采购活动，重新开展采购活动，并要求该成交供应商向采购人赔偿损失，且民事赔偿并不免除违法磋商供应商的行政与刑事责任。</w:t>
      </w:r>
    </w:p>
    <w:p>
      <w:pPr>
        <w:pStyle w:val="19"/>
        <w:snapToGrid w:val="0"/>
        <w:spacing w:line="320" w:lineRule="exact"/>
        <w:ind w:firstLine="422" w:firstLineChars="200"/>
        <w:jc w:val="center"/>
        <w:rPr>
          <w:rFonts w:hAnsi="宋体" w:cs="宋体"/>
          <w:b/>
          <w:szCs w:val="21"/>
        </w:rPr>
      </w:pPr>
    </w:p>
    <w:p>
      <w:pPr>
        <w:pStyle w:val="19"/>
        <w:snapToGrid w:val="0"/>
        <w:spacing w:line="320" w:lineRule="exact"/>
        <w:ind w:firstLine="422" w:firstLineChars="200"/>
        <w:jc w:val="center"/>
        <w:rPr>
          <w:rFonts w:hAnsi="宋体" w:cs="宋体"/>
          <w:b/>
          <w:szCs w:val="21"/>
        </w:rPr>
      </w:pPr>
      <w:r>
        <w:rPr>
          <w:rFonts w:hint="eastAsia" w:hAnsi="宋体" w:cs="宋体"/>
          <w:b/>
          <w:szCs w:val="21"/>
        </w:rPr>
        <w:t>二、竞争性磋商采购文件</w:t>
      </w:r>
    </w:p>
    <w:p>
      <w:pPr>
        <w:pStyle w:val="19"/>
        <w:snapToGrid w:val="0"/>
        <w:spacing w:line="320" w:lineRule="exact"/>
        <w:ind w:firstLine="422" w:firstLineChars="200"/>
        <w:jc w:val="center"/>
        <w:rPr>
          <w:rFonts w:hAnsi="宋体" w:cs="宋体"/>
          <w:b/>
          <w:szCs w:val="21"/>
        </w:rPr>
      </w:pPr>
    </w:p>
    <w:p>
      <w:pPr>
        <w:pStyle w:val="19"/>
        <w:snapToGrid w:val="0"/>
        <w:spacing w:line="320" w:lineRule="exact"/>
        <w:ind w:firstLine="422" w:firstLineChars="200"/>
        <w:rPr>
          <w:rFonts w:hAnsi="宋体" w:cs="宋体"/>
          <w:b/>
          <w:szCs w:val="21"/>
        </w:rPr>
      </w:pPr>
      <w:r>
        <w:rPr>
          <w:rFonts w:hint="eastAsia" w:hAnsi="宋体" w:cs="宋体"/>
          <w:b/>
          <w:szCs w:val="21"/>
        </w:rPr>
        <w:t>9.竞争性磋商采购文件构成</w:t>
      </w:r>
    </w:p>
    <w:p>
      <w:pPr>
        <w:pStyle w:val="19"/>
        <w:snapToGrid w:val="0"/>
        <w:spacing w:line="320" w:lineRule="exact"/>
        <w:ind w:firstLine="420" w:firstLineChars="200"/>
        <w:rPr>
          <w:rFonts w:hAnsi="宋体" w:cs="宋体"/>
          <w:bCs/>
          <w:szCs w:val="21"/>
        </w:rPr>
      </w:pPr>
      <w:r>
        <w:rPr>
          <w:rFonts w:hint="eastAsia" w:hAnsi="宋体" w:cs="宋体"/>
          <w:bCs/>
          <w:szCs w:val="21"/>
        </w:rPr>
        <w:t>9.1竞争性磋商公告；</w:t>
      </w:r>
    </w:p>
    <w:p>
      <w:pPr>
        <w:pStyle w:val="19"/>
        <w:snapToGrid w:val="0"/>
        <w:spacing w:line="320" w:lineRule="exact"/>
        <w:ind w:firstLine="420" w:firstLineChars="200"/>
        <w:rPr>
          <w:rFonts w:hAnsi="宋体" w:cs="宋体"/>
          <w:bCs/>
          <w:szCs w:val="21"/>
        </w:rPr>
      </w:pPr>
      <w:r>
        <w:rPr>
          <w:rFonts w:hint="eastAsia" w:hAnsi="宋体" w:cs="宋体"/>
          <w:bCs/>
          <w:szCs w:val="21"/>
        </w:rPr>
        <w:t>9.2磋商须知；</w:t>
      </w:r>
    </w:p>
    <w:p>
      <w:pPr>
        <w:pStyle w:val="19"/>
        <w:snapToGrid w:val="0"/>
        <w:spacing w:line="320" w:lineRule="exact"/>
        <w:ind w:firstLine="420" w:firstLineChars="200"/>
        <w:rPr>
          <w:rFonts w:hAnsi="宋体" w:cs="宋体"/>
          <w:bCs/>
          <w:szCs w:val="21"/>
        </w:rPr>
      </w:pPr>
      <w:r>
        <w:rPr>
          <w:rFonts w:hint="eastAsia" w:hAnsi="宋体" w:cs="宋体"/>
          <w:bCs/>
          <w:szCs w:val="21"/>
        </w:rPr>
        <w:t>9.3项目需求；</w:t>
      </w:r>
    </w:p>
    <w:p>
      <w:pPr>
        <w:pStyle w:val="19"/>
        <w:snapToGrid w:val="0"/>
        <w:spacing w:line="320" w:lineRule="exact"/>
        <w:ind w:firstLine="420" w:firstLineChars="200"/>
        <w:rPr>
          <w:rFonts w:hAnsi="宋体" w:cs="宋体"/>
          <w:bCs/>
          <w:szCs w:val="21"/>
        </w:rPr>
      </w:pPr>
      <w:r>
        <w:rPr>
          <w:rFonts w:hint="eastAsia" w:hAnsi="宋体" w:cs="宋体"/>
          <w:bCs/>
          <w:szCs w:val="21"/>
        </w:rPr>
        <w:t>9.4评审办法；</w:t>
      </w:r>
    </w:p>
    <w:p>
      <w:pPr>
        <w:pStyle w:val="19"/>
        <w:snapToGrid w:val="0"/>
        <w:spacing w:line="320" w:lineRule="exact"/>
        <w:ind w:firstLine="420" w:firstLineChars="200"/>
        <w:rPr>
          <w:rFonts w:hAnsi="宋体" w:cs="宋体"/>
          <w:bCs/>
          <w:szCs w:val="21"/>
        </w:rPr>
      </w:pPr>
      <w:r>
        <w:rPr>
          <w:rFonts w:hint="eastAsia" w:hAnsi="宋体" w:cs="宋体"/>
          <w:bCs/>
          <w:szCs w:val="21"/>
        </w:rPr>
        <w:t>9.5 竞争性磋商响应文件格式；</w:t>
      </w:r>
    </w:p>
    <w:p>
      <w:pPr>
        <w:pStyle w:val="19"/>
        <w:snapToGrid w:val="0"/>
        <w:spacing w:line="320" w:lineRule="exact"/>
        <w:ind w:firstLine="420" w:firstLineChars="200"/>
        <w:rPr>
          <w:rFonts w:hAnsi="宋体" w:cs="宋体"/>
          <w:bCs/>
          <w:szCs w:val="21"/>
        </w:rPr>
      </w:pPr>
      <w:r>
        <w:rPr>
          <w:rFonts w:hint="eastAsia" w:hAnsi="宋体" w:cs="宋体"/>
          <w:bCs/>
          <w:szCs w:val="21"/>
        </w:rPr>
        <w:t>9.6合同主要条款。</w:t>
      </w:r>
    </w:p>
    <w:p>
      <w:pPr>
        <w:pStyle w:val="19"/>
        <w:spacing w:line="320" w:lineRule="exact"/>
        <w:ind w:firstLine="411" w:firstLineChars="196"/>
        <w:rPr>
          <w:rFonts w:hAnsi="宋体" w:cs="宋体"/>
          <w:szCs w:val="21"/>
        </w:rPr>
      </w:pPr>
      <w:r>
        <w:rPr>
          <w:rFonts w:hint="eastAsia" w:hAnsi="宋体" w:cs="宋体"/>
          <w:szCs w:val="21"/>
        </w:rPr>
        <w:t>10.竞争性磋商采购文件的澄清和修改</w:t>
      </w:r>
    </w:p>
    <w:p>
      <w:pPr>
        <w:pStyle w:val="19"/>
        <w:snapToGrid w:val="0"/>
        <w:spacing w:line="320" w:lineRule="exact"/>
        <w:ind w:firstLine="420" w:firstLineChars="200"/>
        <w:rPr>
          <w:rFonts w:hAnsi="宋体" w:cs="宋体"/>
          <w:szCs w:val="21"/>
        </w:rPr>
      </w:pPr>
      <w:r>
        <w:rPr>
          <w:rFonts w:hint="eastAsia" w:hAnsi="宋体" w:cs="宋体"/>
          <w:szCs w:val="21"/>
        </w:rPr>
        <w:t>10.1磋商供应商要认真审核竞争性磋商采购文件中的所有内容，如发现其中有错误或要求不合理的，磋商供应商必须在规定的时间前要求澄清。如供应商未在规定时间内提出质疑或疑问的，视同供应商理解并接受本竞争性磋商采购文件所有内容，并自己承担由此引起的磋商损失。同时，不得在磋商结束后针对本竞争性磋商采购文件所有内容提出质疑事项。</w:t>
      </w:r>
    </w:p>
    <w:p>
      <w:pPr>
        <w:pStyle w:val="19"/>
        <w:spacing w:line="320" w:lineRule="exact"/>
        <w:ind w:firstLine="422"/>
        <w:rPr>
          <w:rFonts w:hAnsi="宋体" w:cs="宋体"/>
          <w:szCs w:val="21"/>
        </w:rPr>
      </w:pPr>
      <w:r>
        <w:rPr>
          <w:rFonts w:hint="eastAsia" w:hAnsi="宋体" w:cs="宋体"/>
          <w:szCs w:val="21"/>
        </w:rPr>
        <w:t>10.2任何磋商供应商对本竞争性磋商采购文件的澄清要求，均应在磋商截止时间7天前的正常工作时间以传真或电报等书面形式通知采购代理机构，同时认定其他形式为无效。采购代理机构将以书面形式予以答复，但该答复不指明答复问题的来源，并以书面形式通知所有购买了竞争性磋商采购文件的磋商供应商，答复将同时在财政部门指定的政府采购信息发布媒体上发布。为确保采购项目的如期完成，采购代理机构将可能对磋商供应商在规定时间之后提出的澄清问题不予答复。</w:t>
      </w:r>
    </w:p>
    <w:p>
      <w:pPr>
        <w:pStyle w:val="19"/>
        <w:spacing w:line="320" w:lineRule="exact"/>
        <w:ind w:firstLine="420"/>
        <w:rPr>
          <w:rFonts w:hAnsi="宋体" w:cs="宋体"/>
          <w:szCs w:val="21"/>
        </w:rPr>
      </w:pPr>
      <w:r>
        <w:rPr>
          <w:rFonts w:hint="eastAsia"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20" w:lineRule="exact"/>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三、竞争性磋商响应文件的编制</w:t>
      </w:r>
    </w:p>
    <w:p>
      <w:pPr>
        <w:spacing w:line="320" w:lineRule="exact"/>
        <w:jc w:val="center"/>
        <w:rPr>
          <w:rFonts w:ascii="宋体" w:hAnsi="宋体" w:cs="宋体"/>
          <w:b/>
          <w:szCs w:val="21"/>
        </w:rPr>
      </w:pPr>
    </w:p>
    <w:p>
      <w:pPr>
        <w:spacing w:line="320" w:lineRule="exact"/>
        <w:ind w:firstLine="422" w:firstLineChars="200"/>
        <w:rPr>
          <w:rFonts w:ascii="宋体" w:hAnsi="宋体" w:cs="宋体"/>
          <w:b/>
          <w:bCs/>
          <w:szCs w:val="21"/>
        </w:rPr>
      </w:pPr>
      <w:r>
        <w:rPr>
          <w:rFonts w:hint="eastAsia" w:ascii="宋体" w:hAnsi="宋体" w:cs="宋体"/>
          <w:b/>
          <w:bCs/>
          <w:szCs w:val="21"/>
        </w:rPr>
        <w:t>11.竞争性磋商响应文件的组成</w:t>
      </w:r>
    </w:p>
    <w:p>
      <w:pPr>
        <w:spacing w:line="320" w:lineRule="exact"/>
        <w:ind w:firstLine="420" w:firstLineChars="200"/>
        <w:rPr>
          <w:rFonts w:ascii="宋体" w:hAnsi="宋体" w:cs="宋体"/>
          <w:szCs w:val="21"/>
        </w:rPr>
      </w:pPr>
      <w:r>
        <w:rPr>
          <w:rFonts w:hint="eastAsia" w:ascii="宋体" w:hAnsi="宋体" w:cs="宋体"/>
          <w:szCs w:val="21"/>
        </w:rPr>
        <w:t>（1）报价函</w:t>
      </w:r>
    </w:p>
    <w:p>
      <w:pPr>
        <w:spacing w:line="320" w:lineRule="exact"/>
        <w:ind w:firstLine="420" w:firstLineChars="200"/>
        <w:rPr>
          <w:rFonts w:ascii="宋体" w:hAnsi="宋体" w:cs="宋体"/>
          <w:szCs w:val="21"/>
        </w:rPr>
      </w:pPr>
      <w:r>
        <w:rPr>
          <w:rFonts w:hint="eastAsia" w:ascii="宋体" w:hAnsi="宋体" w:cs="宋体"/>
          <w:szCs w:val="21"/>
        </w:rPr>
        <w:t>（2）报价表</w:t>
      </w:r>
    </w:p>
    <w:p>
      <w:pPr>
        <w:pStyle w:val="19"/>
        <w:spacing w:line="320" w:lineRule="exact"/>
        <w:ind w:firstLine="420"/>
        <w:rPr>
          <w:rFonts w:hAnsi="宋体" w:cs="宋体"/>
          <w:szCs w:val="21"/>
        </w:rPr>
      </w:pPr>
      <w:r>
        <w:rPr>
          <w:rFonts w:hint="eastAsia" w:hAnsi="宋体" w:cs="宋体"/>
          <w:szCs w:val="21"/>
        </w:rPr>
        <w:t>（3）磋商供应商资格证明文件</w:t>
      </w:r>
    </w:p>
    <w:p>
      <w:pPr>
        <w:pStyle w:val="19"/>
        <w:spacing w:line="320" w:lineRule="exact"/>
        <w:ind w:firstLine="420"/>
        <w:rPr>
          <w:rFonts w:hAnsi="宋体" w:cs="宋体"/>
          <w:szCs w:val="21"/>
        </w:rPr>
      </w:pPr>
      <w:r>
        <w:rPr>
          <w:rFonts w:hint="eastAsia" w:hAnsi="宋体" w:cs="宋体"/>
          <w:szCs w:val="21"/>
        </w:rPr>
        <w:t>（4）服务响应、偏离情况说明表</w:t>
      </w:r>
    </w:p>
    <w:p>
      <w:pPr>
        <w:pStyle w:val="19"/>
        <w:spacing w:line="320" w:lineRule="exact"/>
        <w:ind w:firstLine="420"/>
        <w:rPr>
          <w:rFonts w:hAnsi="宋体" w:cs="宋体"/>
          <w:szCs w:val="21"/>
        </w:rPr>
      </w:pPr>
      <w:r>
        <w:rPr>
          <w:rFonts w:hint="eastAsia" w:hAnsi="宋体" w:cs="宋体"/>
          <w:szCs w:val="21"/>
        </w:rPr>
        <w:t>（5）技术方案</w:t>
      </w:r>
    </w:p>
    <w:p>
      <w:pPr>
        <w:pStyle w:val="19"/>
        <w:spacing w:line="320" w:lineRule="exact"/>
        <w:ind w:firstLine="420"/>
        <w:rPr>
          <w:rFonts w:hAnsi="宋体" w:cs="宋体"/>
          <w:szCs w:val="21"/>
        </w:rPr>
      </w:pPr>
      <w:r>
        <w:rPr>
          <w:rFonts w:hint="eastAsia" w:hAnsi="宋体" w:cs="宋体"/>
          <w:szCs w:val="21"/>
        </w:rPr>
        <w:t>（6）服务承诺</w:t>
      </w:r>
    </w:p>
    <w:p>
      <w:pPr>
        <w:pStyle w:val="19"/>
        <w:spacing w:line="320" w:lineRule="exact"/>
        <w:ind w:firstLine="420"/>
        <w:rPr>
          <w:rFonts w:hAnsi="宋体" w:cs="宋体"/>
          <w:szCs w:val="21"/>
        </w:rPr>
      </w:pPr>
      <w:r>
        <w:rPr>
          <w:rFonts w:hint="eastAsia" w:hAnsi="宋体" w:cs="宋体"/>
          <w:szCs w:val="21"/>
        </w:rPr>
        <w:t>（7）拟投入本项目人员</w:t>
      </w:r>
    </w:p>
    <w:p>
      <w:pPr>
        <w:pStyle w:val="19"/>
        <w:spacing w:line="320" w:lineRule="exact"/>
        <w:ind w:firstLine="420"/>
        <w:rPr>
          <w:rFonts w:hAnsi="宋体" w:cs="宋体"/>
          <w:szCs w:val="21"/>
        </w:rPr>
      </w:pPr>
      <w:r>
        <w:rPr>
          <w:rFonts w:hint="eastAsia" w:hAnsi="宋体" w:cs="宋体"/>
          <w:szCs w:val="21"/>
        </w:rPr>
        <w:t>（8）类似业绩一览表（如有）</w:t>
      </w:r>
    </w:p>
    <w:p>
      <w:pPr>
        <w:pStyle w:val="19"/>
        <w:spacing w:line="320" w:lineRule="exact"/>
        <w:ind w:firstLine="420" w:firstLineChars="200"/>
        <w:rPr>
          <w:rFonts w:hAnsi="宋体" w:cs="宋体"/>
          <w:szCs w:val="21"/>
        </w:rPr>
      </w:pPr>
      <w:r>
        <w:rPr>
          <w:rFonts w:hint="eastAsia" w:hAnsi="宋体" w:cs="宋体"/>
          <w:szCs w:val="21"/>
        </w:rPr>
        <w:t>（9）获奖荣誉一览表（如有）</w:t>
      </w:r>
    </w:p>
    <w:p>
      <w:pPr>
        <w:pStyle w:val="19"/>
        <w:spacing w:line="320" w:lineRule="exact"/>
        <w:ind w:firstLine="420"/>
        <w:rPr>
          <w:rFonts w:hAnsi="宋体" w:cs="宋体"/>
          <w:szCs w:val="21"/>
        </w:rPr>
      </w:pPr>
      <w:r>
        <w:rPr>
          <w:rFonts w:hint="eastAsia" w:hAnsi="宋体" w:cs="宋体"/>
          <w:szCs w:val="21"/>
        </w:rPr>
        <w:t>（10）磋商供应商认为需要提供的有关资料（如有）</w:t>
      </w:r>
    </w:p>
    <w:p>
      <w:pPr>
        <w:pStyle w:val="19"/>
        <w:spacing w:line="320" w:lineRule="exact"/>
        <w:ind w:firstLine="420"/>
        <w:rPr>
          <w:rFonts w:hAnsi="宋体" w:cs="宋体"/>
          <w:b/>
          <w:bCs/>
          <w:szCs w:val="21"/>
        </w:rPr>
      </w:pPr>
      <w:r>
        <w:rPr>
          <w:rFonts w:hint="eastAsia" w:hAnsi="宋体" w:cs="宋体"/>
          <w:b/>
          <w:bCs/>
          <w:szCs w:val="21"/>
        </w:rPr>
        <w:t>12. 磋商供应商资格证明文件</w:t>
      </w:r>
    </w:p>
    <w:p>
      <w:pPr>
        <w:pStyle w:val="19"/>
        <w:spacing w:line="320" w:lineRule="exact"/>
        <w:ind w:firstLine="420"/>
        <w:rPr>
          <w:rFonts w:hAnsi="宋体" w:cs="宋体"/>
          <w:szCs w:val="21"/>
        </w:rPr>
      </w:pPr>
      <w:r>
        <w:rPr>
          <w:rFonts w:hint="eastAsia" w:hAnsi="宋体" w:cs="宋体"/>
          <w:szCs w:val="21"/>
        </w:rPr>
        <w:t>（1）有效的主体资格证明（如营业执照或事业单位法人证书等）副本复印件(必须提供)；</w:t>
      </w:r>
    </w:p>
    <w:p>
      <w:pPr>
        <w:pStyle w:val="19"/>
        <w:spacing w:line="320" w:lineRule="exact"/>
        <w:ind w:firstLine="420"/>
        <w:rPr>
          <w:rFonts w:hAnsi="宋体" w:cs="宋体"/>
          <w:szCs w:val="21"/>
        </w:rPr>
      </w:pPr>
      <w:r>
        <w:rPr>
          <w:rFonts w:hint="eastAsia" w:hAnsi="宋体" w:cs="宋体"/>
          <w:szCs w:val="21"/>
        </w:rPr>
        <w:t>（2）法定代表人完整有效的正反面身份证复印件（必须提供）；</w:t>
      </w:r>
    </w:p>
    <w:p>
      <w:pPr>
        <w:pStyle w:val="19"/>
        <w:spacing w:line="320" w:lineRule="exact"/>
        <w:ind w:firstLine="420"/>
        <w:rPr>
          <w:rFonts w:hAnsi="宋体" w:cs="宋体"/>
          <w:szCs w:val="21"/>
        </w:rPr>
      </w:pPr>
      <w:r>
        <w:rPr>
          <w:rFonts w:hint="eastAsia" w:hAnsi="宋体" w:cs="宋体"/>
          <w:szCs w:val="21"/>
        </w:rPr>
        <w:t>（3）法定代表人授权委托书原件和委托代理人完整有效的正反面身份证复印件（委托代理时必须提供)；</w:t>
      </w:r>
    </w:p>
    <w:p>
      <w:pPr>
        <w:pStyle w:val="19"/>
        <w:spacing w:line="320" w:lineRule="exact"/>
        <w:ind w:firstLine="420"/>
        <w:rPr>
          <w:rFonts w:hAnsi="宋体"/>
        </w:rPr>
      </w:pPr>
      <w:r>
        <w:rPr>
          <w:rFonts w:hint="eastAsia" w:hAnsi="宋体"/>
        </w:rPr>
        <w:t>（4）供应商依法缴纳税收的相关材料（磋商时间截止前半年内连续3个月的依法缴纳税收的凭据复印件；依法免税的供应商，必须提供相应文件证明其依法免税。从取得营业执照时间起到响应文件提交截止时间为止不足要求月数的，只需提供从取得营业执照起的依法缴纳税收相应证明文件）；（必须提供）</w:t>
      </w:r>
    </w:p>
    <w:p>
      <w:pPr>
        <w:pStyle w:val="19"/>
        <w:spacing w:line="320" w:lineRule="exact"/>
        <w:ind w:firstLine="420"/>
        <w:rPr>
          <w:rFonts w:hAnsi="宋体"/>
        </w:rPr>
      </w:pPr>
      <w:r>
        <w:rPr>
          <w:rFonts w:hint="eastAsia" w:hAnsi="宋体"/>
        </w:rPr>
        <w:t>（5）供应商依法缴纳社会保障资金的相关材料（磋商时间截止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必须提供）</w:t>
      </w:r>
    </w:p>
    <w:p>
      <w:pPr>
        <w:pStyle w:val="19"/>
        <w:spacing w:line="320" w:lineRule="exact"/>
        <w:ind w:firstLine="420"/>
      </w:pPr>
      <w:r>
        <w:rPr>
          <w:rFonts w:hint="eastAsia" w:hAnsi="宋体"/>
        </w:rPr>
        <w:t>（6）供应商2020年度财务报表复印件（或第三方审计报告复印件）或供应商基本开户银行出具的资信证明复印件（新成立的公司应提供公司成立日之后次月起到响应文件递交时间截止前一个月的财务报表或供应商基本开户银行出具的资信证明复印）；（必须提供）</w:t>
      </w:r>
    </w:p>
    <w:p>
      <w:pPr>
        <w:pStyle w:val="19"/>
        <w:spacing w:line="320" w:lineRule="exact"/>
        <w:ind w:firstLine="420"/>
        <w:rPr>
          <w:rFonts w:hAnsi="宋体" w:cs="宋体"/>
          <w:szCs w:val="21"/>
        </w:rPr>
      </w:pPr>
      <w:r>
        <w:rPr>
          <w:rFonts w:hint="eastAsia" w:hAnsi="宋体"/>
        </w:rPr>
        <w:t>（7）供应商认为必要提供的声明或文件资料（如中小企业声明函等，如有请提供）。</w:t>
      </w:r>
    </w:p>
    <w:p>
      <w:pPr>
        <w:spacing w:line="320" w:lineRule="exact"/>
        <w:ind w:firstLine="422" w:firstLineChars="200"/>
        <w:rPr>
          <w:rFonts w:ascii="宋体" w:hAnsi="宋体" w:cs="宋体"/>
          <w:b/>
          <w:szCs w:val="21"/>
        </w:rPr>
      </w:pPr>
      <w:r>
        <w:rPr>
          <w:rFonts w:hint="eastAsia" w:ascii="宋体" w:hAnsi="宋体" w:cs="宋体"/>
          <w:b/>
          <w:szCs w:val="21"/>
        </w:rPr>
        <w:t>13.竞争性磋商响应文件编制基本要求</w:t>
      </w:r>
    </w:p>
    <w:p>
      <w:pPr>
        <w:spacing w:line="320" w:lineRule="exact"/>
        <w:ind w:firstLine="420" w:firstLineChars="200"/>
        <w:rPr>
          <w:rFonts w:ascii="宋体" w:hAnsi="宋体" w:cs="宋体"/>
          <w:szCs w:val="21"/>
        </w:rPr>
      </w:pPr>
      <w:r>
        <w:rPr>
          <w:rFonts w:hint="eastAsia" w:ascii="宋体" w:hAnsi="宋体" w:cs="宋体"/>
          <w:szCs w:val="21"/>
        </w:rPr>
        <w:t>13.1磋商供应商对竞争性磋商响应文件的编制应按要求装订和封装。</w:t>
      </w:r>
    </w:p>
    <w:p>
      <w:pPr>
        <w:spacing w:line="320" w:lineRule="exact"/>
        <w:ind w:firstLine="420" w:firstLineChars="200"/>
        <w:rPr>
          <w:rFonts w:ascii="宋体" w:hAnsi="宋体" w:cs="宋体"/>
          <w:szCs w:val="21"/>
        </w:rPr>
      </w:pPr>
      <w:r>
        <w:rPr>
          <w:rFonts w:hint="eastAsia" w:ascii="宋体" w:hAnsi="宋体" w:cs="宋体"/>
          <w:szCs w:val="21"/>
        </w:rPr>
        <w:t>13.2磋商供应商提交的竞争性磋商响应文件以及磋商供应商与采购代理机构和采购人就有关磋商的所有来往函电均应使用中文。磋商供应商提交的支持文件和印刷的文献可以使用别的语言，但其相应内容必须附有中文翻译文本，在解释竞争性磋商响应文件时以中文翻译文本为主。</w:t>
      </w:r>
    </w:p>
    <w:p>
      <w:pPr>
        <w:spacing w:line="320" w:lineRule="exact"/>
        <w:ind w:firstLine="420" w:firstLineChars="200"/>
        <w:rPr>
          <w:rFonts w:ascii="宋体" w:hAnsi="宋体" w:cs="宋体"/>
          <w:szCs w:val="21"/>
        </w:rPr>
      </w:pPr>
      <w:r>
        <w:rPr>
          <w:rFonts w:hint="eastAsia" w:ascii="宋体" w:hAnsi="宋体" w:cs="宋体"/>
          <w:szCs w:val="21"/>
        </w:rPr>
        <w:t>13.3磋商供应商应认真阅读并充分理解本文件的全部内容（包括所有的补充通知和修改内容），承诺并履行本文件中各项条款的规定及要求。</w:t>
      </w:r>
    </w:p>
    <w:p>
      <w:pPr>
        <w:spacing w:line="320" w:lineRule="exact"/>
        <w:ind w:firstLine="420" w:firstLineChars="200"/>
        <w:rPr>
          <w:rFonts w:ascii="宋体" w:hAnsi="宋体" w:cs="宋体"/>
          <w:szCs w:val="21"/>
        </w:rPr>
      </w:pPr>
      <w:r>
        <w:rPr>
          <w:rFonts w:hint="eastAsia" w:ascii="宋体" w:hAnsi="宋体" w:cs="宋体"/>
          <w:szCs w:val="21"/>
        </w:rPr>
        <w:t>13.4竞争性磋商响应文件必须按本文件的全部内容，包括所有的补充通知、修改内容及附件进行编制。</w:t>
      </w:r>
    </w:p>
    <w:p>
      <w:pPr>
        <w:spacing w:line="320" w:lineRule="exact"/>
        <w:ind w:firstLine="420" w:firstLineChars="200"/>
        <w:rPr>
          <w:rFonts w:ascii="宋体" w:hAnsi="宋体" w:cs="宋体"/>
          <w:szCs w:val="21"/>
        </w:rPr>
      </w:pPr>
      <w:r>
        <w:rPr>
          <w:rFonts w:hint="eastAsia" w:ascii="宋体" w:hAnsi="宋体" w:cs="宋体"/>
          <w:szCs w:val="21"/>
        </w:rPr>
        <w:t>13.5如因磋商供应商只填写和提供了本文件要求的部分内容和附件，而给评审造成困难，其可能导致的结果和责任由磋商供应商自行承担。</w:t>
      </w:r>
    </w:p>
    <w:p>
      <w:pPr>
        <w:spacing w:line="320" w:lineRule="exact"/>
        <w:ind w:firstLine="422" w:firstLineChars="200"/>
        <w:rPr>
          <w:rFonts w:ascii="宋体" w:hAnsi="宋体" w:cs="宋体"/>
          <w:b/>
          <w:szCs w:val="21"/>
        </w:rPr>
      </w:pPr>
      <w:r>
        <w:rPr>
          <w:rFonts w:hint="eastAsia" w:ascii="宋体" w:hAnsi="宋体" w:cs="宋体"/>
          <w:b/>
          <w:szCs w:val="21"/>
        </w:rPr>
        <w:t>14.竞争性磋商响应文件的语言及计量单位</w:t>
      </w:r>
    </w:p>
    <w:p>
      <w:pPr>
        <w:spacing w:line="320" w:lineRule="exact"/>
        <w:ind w:firstLine="420" w:firstLineChars="200"/>
        <w:rPr>
          <w:rFonts w:ascii="宋体" w:hAnsi="宋体" w:cs="宋体"/>
          <w:szCs w:val="21"/>
        </w:rPr>
      </w:pPr>
      <w:r>
        <w:rPr>
          <w:rFonts w:hint="eastAsia" w:ascii="宋体" w:hAnsi="宋体" w:cs="宋体"/>
          <w:szCs w:val="21"/>
        </w:rPr>
        <w:t>14.1竞争性磋商响应文件以及磋商供应商与采购代理机构和采购人就有关磋商事宜的所有往来函电，均应以中文书写。除签名、盖章、专用名称等特殊情形外，以中文以外的文字表述的竞争性磋商响应文件视同未提供。</w:t>
      </w:r>
    </w:p>
    <w:p>
      <w:pPr>
        <w:spacing w:line="320" w:lineRule="exact"/>
        <w:ind w:firstLine="420" w:firstLineChars="200"/>
        <w:rPr>
          <w:rFonts w:ascii="宋体" w:hAnsi="宋体" w:cs="宋体"/>
          <w:szCs w:val="21"/>
        </w:rPr>
      </w:pPr>
      <w:r>
        <w:rPr>
          <w:rFonts w:hint="eastAsia" w:ascii="宋体" w:hAnsi="宋体" w:cs="宋体"/>
          <w:szCs w:val="21"/>
        </w:rPr>
        <w:t>14.2除技术要求中另有规定外，本文件所要求使用的计量单位均应采用国家法定计量单位。</w:t>
      </w:r>
    </w:p>
    <w:p>
      <w:pPr>
        <w:spacing w:line="320" w:lineRule="exact"/>
        <w:ind w:firstLine="422" w:firstLineChars="200"/>
        <w:rPr>
          <w:rFonts w:ascii="宋体" w:hAnsi="宋体" w:cs="宋体"/>
          <w:szCs w:val="21"/>
        </w:rPr>
      </w:pPr>
      <w:r>
        <w:rPr>
          <w:rFonts w:hint="eastAsia" w:ascii="宋体" w:hAnsi="宋体" w:cs="宋体"/>
          <w:b/>
          <w:szCs w:val="21"/>
        </w:rPr>
        <w:t>15.磋商报价</w:t>
      </w:r>
    </w:p>
    <w:p>
      <w:pPr>
        <w:spacing w:line="320" w:lineRule="exact"/>
        <w:ind w:firstLine="420" w:firstLineChars="200"/>
        <w:rPr>
          <w:rFonts w:ascii="宋体" w:hAnsi="宋体" w:cs="宋体"/>
          <w:szCs w:val="21"/>
        </w:rPr>
      </w:pPr>
      <w:r>
        <w:rPr>
          <w:rFonts w:hint="eastAsia" w:ascii="宋体" w:hAnsi="宋体" w:cs="宋体"/>
          <w:szCs w:val="21"/>
        </w:rPr>
        <w:t>15.1磋商供应商必须就“项目需求”中的服务内容作完整唯一报价，否则，其磋商将被拒绝。</w:t>
      </w:r>
    </w:p>
    <w:p>
      <w:pPr>
        <w:spacing w:line="320" w:lineRule="exact"/>
        <w:ind w:firstLine="420" w:firstLineChars="200"/>
        <w:rPr>
          <w:rFonts w:ascii="宋体" w:hAnsi="宋体" w:cs="宋体"/>
          <w:szCs w:val="21"/>
        </w:rPr>
      </w:pPr>
      <w:r>
        <w:rPr>
          <w:rFonts w:hint="eastAsia" w:ascii="宋体" w:hAnsi="宋体" w:cs="宋体"/>
          <w:szCs w:val="21"/>
        </w:rPr>
        <w:t>15.2对于本文件中未列明，而磋商供应商认为必需的费用也需列入总报价。在合同实施时，采购人将不予支付成交供应商没有列入的项目费用，并认为此项目的费用已包括在总报价中。</w:t>
      </w:r>
    </w:p>
    <w:p>
      <w:pPr>
        <w:spacing w:line="320" w:lineRule="exact"/>
        <w:ind w:firstLine="420" w:firstLineChars="200"/>
        <w:rPr>
          <w:rFonts w:ascii="宋体" w:hAnsi="宋体" w:cs="宋体"/>
          <w:szCs w:val="21"/>
        </w:rPr>
      </w:pPr>
      <w:r>
        <w:rPr>
          <w:rFonts w:hint="eastAsia" w:ascii="宋体" w:hAnsi="宋体" w:cs="宋体"/>
          <w:szCs w:val="21"/>
        </w:rPr>
        <w:t>15.3磋商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如果因磋商供应商原因引起的报价失误，并在磋商时被接受，其后果由磋商供应商自负。</w:t>
      </w:r>
    </w:p>
    <w:p>
      <w:pPr>
        <w:spacing w:line="320" w:lineRule="exact"/>
        <w:ind w:firstLine="420" w:firstLineChars="200"/>
        <w:rPr>
          <w:rFonts w:ascii="宋体" w:hAnsi="宋体" w:cs="宋体"/>
          <w:szCs w:val="21"/>
        </w:rPr>
      </w:pPr>
      <w:r>
        <w:rPr>
          <w:rFonts w:hint="eastAsia" w:ascii="宋体" w:hAnsi="宋体" w:cs="宋体"/>
          <w:szCs w:val="21"/>
        </w:rPr>
        <w:t>15.4磋商供应商报价应包含货物、随配附件、备品备件、工具、货物运抵指定交货地点的各种费用和售后服务、税金及其它所有成本费用的总和。</w:t>
      </w:r>
    </w:p>
    <w:p>
      <w:pPr>
        <w:spacing w:line="320" w:lineRule="exact"/>
        <w:ind w:firstLine="422" w:firstLineChars="200"/>
        <w:rPr>
          <w:rFonts w:ascii="宋体" w:hAnsi="宋体" w:cs="宋体"/>
          <w:szCs w:val="21"/>
        </w:rPr>
      </w:pPr>
      <w:r>
        <w:rPr>
          <w:rFonts w:hint="eastAsia" w:ascii="宋体" w:hAnsi="宋体" w:cs="宋体"/>
          <w:b/>
          <w:szCs w:val="21"/>
        </w:rPr>
        <w:t>16.磋商有效期</w:t>
      </w:r>
    </w:p>
    <w:p>
      <w:pPr>
        <w:pStyle w:val="19"/>
        <w:spacing w:line="320" w:lineRule="exact"/>
        <w:ind w:firstLine="420"/>
        <w:rPr>
          <w:rFonts w:hAnsi="宋体" w:cs="宋体"/>
          <w:szCs w:val="21"/>
        </w:rPr>
      </w:pPr>
      <w:r>
        <w:rPr>
          <w:rFonts w:hint="eastAsia" w:hAnsi="宋体" w:cs="宋体"/>
          <w:szCs w:val="21"/>
        </w:rPr>
        <w:t>16.1竞争性磋商响应文件有效期详见本须知前附表第5项规定。</w:t>
      </w:r>
    </w:p>
    <w:p>
      <w:pPr>
        <w:pStyle w:val="19"/>
        <w:spacing w:line="320" w:lineRule="exact"/>
        <w:ind w:firstLine="420"/>
        <w:rPr>
          <w:rFonts w:hAnsi="宋体" w:cs="宋体"/>
          <w:szCs w:val="21"/>
        </w:rPr>
      </w:pPr>
      <w:r>
        <w:rPr>
          <w:rFonts w:hint="eastAsia" w:hAnsi="宋体" w:cs="宋体"/>
          <w:szCs w:val="21"/>
        </w:rPr>
        <w:t xml:space="preserve">16.2在原定磋商有效期满之前，如果出现特殊情况，采购人或采购代理机构可以书面形式向磋商供应商提出延长磋商有效期的要求。磋商供应商须以书面形式予以答复，磋商供应商可以拒绝这种要求。  </w:t>
      </w:r>
    </w:p>
    <w:p>
      <w:pPr>
        <w:pStyle w:val="19"/>
        <w:spacing w:line="320" w:lineRule="exact"/>
        <w:ind w:firstLine="420"/>
        <w:rPr>
          <w:rFonts w:hAnsi="宋体" w:cs="宋体"/>
          <w:szCs w:val="21"/>
        </w:rPr>
      </w:pPr>
      <w:r>
        <w:rPr>
          <w:rFonts w:hint="eastAsia" w:hAnsi="宋体" w:cs="宋体"/>
          <w:b/>
          <w:szCs w:val="21"/>
        </w:rPr>
        <w:t>17.磋商保证金：</w:t>
      </w:r>
      <w:r>
        <w:rPr>
          <w:rFonts w:hint="eastAsia" w:hAnsi="宋体" w:cs="宋体"/>
          <w:bCs/>
          <w:szCs w:val="21"/>
        </w:rPr>
        <w:t>无。</w:t>
      </w:r>
    </w:p>
    <w:p>
      <w:pPr>
        <w:snapToGrid w:val="0"/>
        <w:spacing w:line="320" w:lineRule="exact"/>
        <w:ind w:firstLine="413" w:firstLineChars="196"/>
        <w:jc w:val="left"/>
        <w:rPr>
          <w:rFonts w:ascii="宋体" w:hAnsi="宋体" w:cs="宋体"/>
          <w:b/>
          <w:szCs w:val="21"/>
        </w:rPr>
      </w:pPr>
      <w:r>
        <w:rPr>
          <w:rFonts w:hint="eastAsia" w:ascii="宋体" w:hAnsi="宋体" w:cs="宋体"/>
          <w:b/>
          <w:szCs w:val="21"/>
        </w:rPr>
        <w:t>17.1磋商供应商有下列情形之一的，将取消其成交决定：</w:t>
      </w:r>
    </w:p>
    <w:p>
      <w:pPr>
        <w:snapToGrid w:val="0"/>
        <w:spacing w:line="320" w:lineRule="exact"/>
        <w:ind w:firstLine="411" w:firstLineChars="196"/>
        <w:jc w:val="left"/>
        <w:rPr>
          <w:rFonts w:ascii="宋体" w:hAnsi="宋体" w:cs="宋体"/>
          <w:szCs w:val="21"/>
        </w:rPr>
      </w:pPr>
      <w:r>
        <w:rPr>
          <w:rFonts w:hint="eastAsia" w:ascii="宋体" w:hAnsi="宋体" w:cs="宋体"/>
          <w:szCs w:val="21"/>
        </w:rPr>
        <w:t>（1）磋商供应商在磋商有效期内撤回竞争性磋商响应文件的；</w:t>
      </w:r>
    </w:p>
    <w:p>
      <w:pPr>
        <w:snapToGrid w:val="0"/>
        <w:spacing w:line="320" w:lineRule="exact"/>
        <w:ind w:firstLine="411" w:firstLineChars="196"/>
        <w:jc w:val="left"/>
        <w:rPr>
          <w:rFonts w:ascii="宋体" w:hAnsi="宋体" w:cs="宋体"/>
          <w:szCs w:val="21"/>
        </w:rPr>
      </w:pPr>
      <w:r>
        <w:rPr>
          <w:rFonts w:hint="eastAsia" w:ascii="宋体" w:hAnsi="宋体" w:cs="宋体"/>
          <w:szCs w:val="21"/>
        </w:rPr>
        <w:t>（2）磋商供应商在磋商过程中弄虚作假，提供虚假材料的；</w:t>
      </w:r>
    </w:p>
    <w:p>
      <w:pPr>
        <w:snapToGrid w:val="0"/>
        <w:spacing w:line="320" w:lineRule="exact"/>
        <w:ind w:firstLine="411" w:firstLineChars="196"/>
        <w:rPr>
          <w:rFonts w:ascii="宋体" w:hAnsi="宋体" w:cs="宋体"/>
          <w:szCs w:val="21"/>
        </w:rPr>
      </w:pPr>
      <w:r>
        <w:rPr>
          <w:rFonts w:hint="eastAsia" w:ascii="宋体" w:hAnsi="宋体" w:cs="宋体"/>
          <w:szCs w:val="21"/>
        </w:rPr>
        <w:t>（3）成交供应商无正当理由不与采购人签订合同的；</w:t>
      </w:r>
    </w:p>
    <w:p>
      <w:pPr>
        <w:snapToGrid w:val="0"/>
        <w:spacing w:line="320" w:lineRule="exact"/>
        <w:ind w:firstLine="411" w:firstLineChars="196"/>
        <w:rPr>
          <w:rFonts w:ascii="宋体" w:hAnsi="宋体" w:cs="宋体"/>
          <w:b/>
          <w:szCs w:val="21"/>
        </w:rPr>
      </w:pPr>
      <w:r>
        <w:rPr>
          <w:rFonts w:hint="eastAsia" w:ascii="宋体" w:hAnsi="宋体" w:cs="宋体"/>
          <w:szCs w:val="21"/>
        </w:rPr>
        <w:t>（4）磋商供应商</w:t>
      </w:r>
      <w:r>
        <w:rPr>
          <w:rFonts w:hint="eastAsia" w:ascii="宋体" w:hAnsi="宋体" w:cs="宋体"/>
          <w:bCs/>
          <w:szCs w:val="21"/>
        </w:rPr>
        <w:t>将成交项目转让给他人或者在</w:t>
      </w:r>
      <w:r>
        <w:rPr>
          <w:rFonts w:hint="eastAsia" w:ascii="宋体" w:hAnsi="宋体" w:cs="宋体"/>
          <w:szCs w:val="21"/>
        </w:rPr>
        <w:t>竞争性磋商响应文件</w:t>
      </w:r>
      <w:r>
        <w:rPr>
          <w:rFonts w:hint="eastAsia" w:ascii="宋体" w:hAnsi="宋体" w:cs="宋体"/>
          <w:bCs/>
          <w:szCs w:val="21"/>
        </w:rPr>
        <w:t>中未说明且未经采购人同意，将成交项目分包给他人的；</w:t>
      </w:r>
    </w:p>
    <w:p>
      <w:pPr>
        <w:snapToGrid w:val="0"/>
        <w:spacing w:line="320" w:lineRule="exact"/>
        <w:ind w:firstLine="420" w:firstLineChars="200"/>
        <w:rPr>
          <w:rFonts w:ascii="宋体" w:hAnsi="宋体" w:cs="宋体"/>
          <w:szCs w:val="21"/>
        </w:rPr>
      </w:pPr>
      <w:r>
        <w:rPr>
          <w:rFonts w:hint="eastAsia" w:ascii="宋体" w:hAnsi="宋体" w:cs="宋体"/>
          <w:szCs w:val="21"/>
        </w:rPr>
        <w:t>（5）磋商供应商拒绝履行合同义务的；</w:t>
      </w:r>
    </w:p>
    <w:p>
      <w:pPr>
        <w:snapToGrid w:val="0"/>
        <w:spacing w:line="320" w:lineRule="exact"/>
        <w:ind w:firstLine="420" w:firstLineChars="200"/>
        <w:rPr>
          <w:rFonts w:ascii="宋体" w:hAnsi="宋体" w:cs="宋体"/>
          <w:b/>
          <w:szCs w:val="21"/>
        </w:rPr>
      </w:pPr>
      <w:r>
        <w:rPr>
          <w:rFonts w:hint="eastAsia" w:ascii="宋体" w:hAnsi="宋体" w:cs="宋体"/>
          <w:szCs w:val="21"/>
        </w:rPr>
        <w:t>（6）磋商供应商有其他严重扰乱磋商程序的。</w:t>
      </w:r>
    </w:p>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四、竞争性磋商响应文件的份数、封装和递交</w:t>
      </w:r>
    </w:p>
    <w:p>
      <w:pPr>
        <w:spacing w:line="320" w:lineRule="exact"/>
        <w:ind w:firstLine="422" w:firstLineChars="200"/>
        <w:rPr>
          <w:rFonts w:ascii="宋体" w:hAnsi="宋体" w:cs="宋体"/>
          <w:b/>
          <w:szCs w:val="21"/>
        </w:rPr>
      </w:pPr>
    </w:p>
    <w:p>
      <w:pPr>
        <w:spacing w:line="320" w:lineRule="exact"/>
        <w:ind w:firstLine="422" w:firstLineChars="200"/>
        <w:rPr>
          <w:rFonts w:ascii="宋体" w:hAnsi="宋体" w:cs="宋体"/>
          <w:b/>
          <w:szCs w:val="21"/>
        </w:rPr>
      </w:pPr>
      <w:r>
        <w:rPr>
          <w:rFonts w:hint="eastAsia" w:ascii="宋体" w:hAnsi="宋体" w:cs="宋体"/>
          <w:b/>
          <w:szCs w:val="21"/>
        </w:rPr>
        <w:t>18.磋商响应文件的份数和封装</w:t>
      </w:r>
    </w:p>
    <w:p>
      <w:pPr>
        <w:spacing w:line="320" w:lineRule="exact"/>
        <w:ind w:firstLine="420" w:firstLineChars="200"/>
        <w:rPr>
          <w:rFonts w:ascii="宋体" w:hAnsi="宋体" w:cs="宋体"/>
          <w:szCs w:val="21"/>
        </w:rPr>
      </w:pPr>
      <w:r>
        <w:rPr>
          <w:rFonts w:hint="eastAsia" w:ascii="宋体" w:hAnsi="宋体" w:cs="宋体"/>
          <w:szCs w:val="21"/>
        </w:rPr>
        <w:t>18.1</w:t>
      </w:r>
      <w:r>
        <w:rPr>
          <w:rFonts w:hint="eastAsia" w:ascii="宋体" w:hAnsi="宋体"/>
          <w:szCs w:val="21"/>
        </w:rPr>
        <w:t>磋商供应商应提供竞争性磋商响应文件正本一份，副本各三份。将响应文件密封在同一个外层信封袋中，外层密封处应加盖磋商供应商单位公章或由法定代表人或委托代理人签字。</w:t>
      </w:r>
    </w:p>
    <w:p>
      <w:pPr>
        <w:spacing w:line="320" w:lineRule="exact"/>
        <w:ind w:firstLine="420" w:firstLineChars="200"/>
        <w:rPr>
          <w:rFonts w:ascii="宋体" w:hAnsi="宋体" w:cs="宋体"/>
          <w:szCs w:val="21"/>
        </w:rPr>
      </w:pPr>
      <w:r>
        <w:rPr>
          <w:rFonts w:hint="eastAsia" w:ascii="宋体" w:hAnsi="宋体" w:cs="宋体"/>
          <w:szCs w:val="21"/>
        </w:rPr>
        <w:t>18.2竞争性磋商响应文件的信封上应写明：</w:t>
      </w:r>
    </w:p>
    <w:p>
      <w:pPr>
        <w:spacing w:line="320" w:lineRule="exact"/>
        <w:ind w:left="420"/>
        <w:rPr>
          <w:rFonts w:ascii="宋体" w:hAnsi="宋体" w:cs="宋体"/>
          <w:szCs w:val="21"/>
        </w:rPr>
      </w:pPr>
      <w:r>
        <w:rPr>
          <w:rFonts w:hint="eastAsia" w:ascii="宋体" w:hAnsi="宋体" w:cs="宋体"/>
          <w:szCs w:val="21"/>
        </w:rPr>
        <w:t>（1）竞争性磋商项目编号：</w:t>
      </w:r>
      <w:r>
        <w:rPr>
          <w:rFonts w:hint="eastAsia" w:ascii="宋体" w:hAnsi="宋体" w:cs="宋体"/>
          <w:szCs w:val="21"/>
          <w:u w:val="single"/>
        </w:rPr>
        <w:t xml:space="preserve">                 </w:t>
      </w:r>
      <w:r>
        <w:rPr>
          <w:rFonts w:hint="eastAsia" w:ascii="宋体" w:hAnsi="宋体" w:cs="宋体"/>
          <w:szCs w:val="21"/>
        </w:rPr>
        <w:t>；</w:t>
      </w:r>
    </w:p>
    <w:p>
      <w:pPr>
        <w:spacing w:line="320" w:lineRule="exact"/>
        <w:ind w:left="420"/>
        <w:rPr>
          <w:rFonts w:ascii="宋体" w:hAnsi="宋体" w:cs="宋体"/>
          <w:szCs w:val="21"/>
        </w:rPr>
      </w:pPr>
      <w:r>
        <w:rPr>
          <w:rFonts w:hint="eastAsia" w:ascii="宋体" w:hAnsi="宋体" w:cs="宋体"/>
          <w:szCs w:val="21"/>
        </w:rPr>
        <w:t>（2）竞争性磋商项目名称：</w:t>
      </w:r>
      <w:r>
        <w:rPr>
          <w:rFonts w:hint="eastAsia" w:ascii="宋体" w:hAnsi="宋体" w:cs="宋体"/>
          <w:szCs w:val="21"/>
          <w:u w:val="single"/>
        </w:rPr>
        <w:t xml:space="preserve">                 </w:t>
      </w:r>
      <w:r>
        <w:rPr>
          <w:rFonts w:hint="eastAsia" w:ascii="宋体" w:hAnsi="宋体" w:cs="宋体"/>
          <w:szCs w:val="21"/>
        </w:rPr>
        <w:t>；</w:t>
      </w:r>
    </w:p>
    <w:p>
      <w:pPr>
        <w:spacing w:line="320" w:lineRule="exact"/>
        <w:ind w:left="420"/>
        <w:rPr>
          <w:rFonts w:ascii="宋体" w:hAnsi="宋体" w:cs="宋体"/>
          <w:szCs w:val="21"/>
        </w:rPr>
      </w:pPr>
      <w:r>
        <w:rPr>
          <w:rFonts w:hint="eastAsia" w:ascii="宋体" w:hAnsi="宋体" w:cs="宋体"/>
          <w:szCs w:val="21"/>
        </w:rPr>
        <w:t>（3）磋商供应商名称：</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82"/>
        <w:rPr>
          <w:rFonts w:ascii="宋体" w:hAnsi="宋体" w:cs="宋体"/>
          <w:szCs w:val="21"/>
        </w:rPr>
      </w:pPr>
      <w:r>
        <w:rPr>
          <w:rFonts w:hint="eastAsia" w:ascii="宋体" w:hAnsi="宋体" w:cs="宋体"/>
          <w:szCs w:val="21"/>
        </w:rPr>
        <w:t>（4）磋商供应商法定代表人姓名或委托代理人姓名：</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82"/>
        <w:rPr>
          <w:rFonts w:ascii="宋体" w:hAnsi="宋体" w:cs="宋体"/>
          <w:szCs w:val="21"/>
        </w:rPr>
      </w:pPr>
      <w:r>
        <w:rPr>
          <w:rFonts w:hint="eastAsia" w:ascii="宋体" w:hAnsi="宋体" w:cs="宋体"/>
          <w:szCs w:val="21"/>
        </w:rPr>
        <w:t>（5）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日北京时间</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分开标，此时间以前不得开封。</w:t>
      </w:r>
    </w:p>
    <w:p>
      <w:pPr>
        <w:spacing w:line="320" w:lineRule="exact"/>
        <w:ind w:firstLine="420" w:firstLineChars="200"/>
        <w:rPr>
          <w:rFonts w:ascii="宋体" w:hAnsi="宋体" w:cs="宋体"/>
          <w:szCs w:val="21"/>
        </w:rPr>
      </w:pPr>
      <w:r>
        <w:rPr>
          <w:rFonts w:hint="eastAsia" w:ascii="宋体" w:hAnsi="宋体" w:cs="宋体"/>
          <w:szCs w:val="21"/>
        </w:rPr>
        <w:t>18.3磋商文件的正本需打印或用不褪色的墨水填写，磋商文件正本除本竞争性磋商采购文件中规定的可提供复印件外均须提供原件。副本可以是正本的复印件。</w:t>
      </w:r>
    </w:p>
    <w:p>
      <w:pPr>
        <w:spacing w:line="320" w:lineRule="exact"/>
        <w:ind w:firstLine="420" w:firstLineChars="200"/>
        <w:rPr>
          <w:rFonts w:ascii="宋体" w:hAnsi="宋体" w:cs="宋体"/>
          <w:szCs w:val="21"/>
        </w:rPr>
      </w:pPr>
      <w:r>
        <w:rPr>
          <w:rFonts w:hint="eastAsia" w:ascii="宋体" w:hAnsi="宋体" w:cs="宋体"/>
          <w:szCs w:val="21"/>
        </w:rPr>
        <w:t>18.4磋商文件须由磋商供应商在规定位置加盖单位公章并由法定代表人或法定代表人的授权委托人签署，磋商供应商应写单位全称。</w:t>
      </w:r>
    </w:p>
    <w:p>
      <w:pPr>
        <w:spacing w:line="320" w:lineRule="exact"/>
        <w:ind w:firstLine="420" w:firstLineChars="200"/>
        <w:rPr>
          <w:rFonts w:ascii="宋体" w:hAnsi="宋体" w:cs="宋体"/>
          <w:szCs w:val="21"/>
        </w:rPr>
      </w:pPr>
      <w:r>
        <w:rPr>
          <w:rFonts w:hint="eastAsia" w:ascii="宋体" w:hAnsi="宋体" w:cs="宋体"/>
          <w:szCs w:val="21"/>
        </w:rPr>
        <w:t>18.5磋商文件不得涂改，若有错漏需修改，须加盖单位公章及由法定代表人（或授权委托人）签字；磋商文件因字迹潦草或表达不清所引起的后果由磋商供应商负责。</w:t>
      </w:r>
    </w:p>
    <w:p>
      <w:pPr>
        <w:spacing w:line="320" w:lineRule="exact"/>
        <w:ind w:firstLine="422" w:firstLineChars="200"/>
        <w:rPr>
          <w:rFonts w:ascii="宋体" w:hAnsi="宋体" w:cs="宋体"/>
          <w:b/>
          <w:szCs w:val="21"/>
        </w:rPr>
      </w:pPr>
      <w:r>
        <w:rPr>
          <w:rFonts w:hint="eastAsia" w:ascii="宋体" w:hAnsi="宋体" w:cs="宋体"/>
          <w:b/>
          <w:szCs w:val="21"/>
        </w:rPr>
        <w:t>19.竞争性磋商响应文件的递交</w:t>
      </w:r>
    </w:p>
    <w:p>
      <w:pPr>
        <w:spacing w:line="320" w:lineRule="exact"/>
        <w:ind w:firstLine="420" w:firstLineChars="200"/>
        <w:rPr>
          <w:rFonts w:ascii="宋体" w:hAnsi="宋体" w:cs="宋体"/>
          <w:szCs w:val="21"/>
        </w:rPr>
      </w:pPr>
      <w:r>
        <w:rPr>
          <w:rFonts w:hint="eastAsia" w:ascii="宋体" w:hAnsi="宋体" w:cs="宋体"/>
          <w:szCs w:val="21"/>
        </w:rPr>
        <w:t>19.1所有竞争性磋商响应文件须按本须知前附表第7项规定的时间前递交到指定地点。</w:t>
      </w:r>
    </w:p>
    <w:p>
      <w:pPr>
        <w:spacing w:line="320" w:lineRule="exact"/>
        <w:ind w:firstLine="420" w:firstLineChars="200"/>
        <w:rPr>
          <w:rFonts w:ascii="宋体" w:hAnsi="宋体" w:cs="宋体"/>
          <w:b/>
          <w:szCs w:val="21"/>
        </w:rPr>
      </w:pPr>
      <w:r>
        <w:rPr>
          <w:rFonts w:hint="eastAsia" w:ascii="宋体" w:hAnsi="宋体" w:cs="宋体"/>
          <w:szCs w:val="21"/>
        </w:rPr>
        <w:t>20.供应商应当在磋商文件要求的截止时间前，将响应文件密封送达指定地点。在截止时间后送达的响应文件为无效文件，采购人、采购代理机构或者磋商小组应当拒收。</w:t>
      </w:r>
    </w:p>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五、竞争性磋商与评审</w:t>
      </w:r>
    </w:p>
    <w:p>
      <w:pPr>
        <w:spacing w:line="320" w:lineRule="exact"/>
        <w:ind w:firstLine="422" w:firstLineChars="200"/>
        <w:rPr>
          <w:rFonts w:ascii="宋体" w:hAnsi="宋体" w:cs="宋体"/>
          <w:b/>
          <w:bCs/>
          <w:szCs w:val="21"/>
        </w:rPr>
      </w:pPr>
      <w:bookmarkStart w:id="60" w:name="_Toc25484"/>
      <w:bookmarkStart w:id="61" w:name="_Toc304876596"/>
    </w:p>
    <w:p>
      <w:pPr>
        <w:spacing w:line="320" w:lineRule="exact"/>
        <w:ind w:firstLine="422" w:firstLineChars="200"/>
        <w:rPr>
          <w:rFonts w:ascii="宋体" w:hAnsi="宋体" w:cs="宋体"/>
          <w:b/>
          <w:bCs/>
          <w:szCs w:val="21"/>
        </w:rPr>
      </w:pPr>
      <w:r>
        <w:rPr>
          <w:rFonts w:hint="eastAsia" w:ascii="宋体" w:hAnsi="宋体" w:cs="宋体"/>
          <w:b/>
          <w:bCs/>
          <w:szCs w:val="21"/>
        </w:rPr>
        <w:t>2</w:t>
      </w:r>
      <w:bookmarkEnd w:id="60"/>
      <w:bookmarkEnd w:id="61"/>
      <w:r>
        <w:rPr>
          <w:rFonts w:hint="eastAsia" w:ascii="宋体" w:hAnsi="宋体" w:cs="宋体"/>
          <w:b/>
          <w:bCs/>
          <w:szCs w:val="21"/>
        </w:rPr>
        <w:t>1.截标</w:t>
      </w:r>
    </w:p>
    <w:p>
      <w:pPr>
        <w:spacing w:line="320" w:lineRule="exact"/>
        <w:ind w:firstLine="420" w:firstLineChars="200"/>
        <w:rPr>
          <w:rFonts w:ascii="宋体" w:hAnsi="宋体" w:cs="宋体"/>
          <w:szCs w:val="21"/>
        </w:rPr>
      </w:pPr>
      <w:r>
        <w:rPr>
          <w:rFonts w:hint="eastAsia" w:ascii="宋体" w:hAnsi="宋体" w:cs="宋体"/>
          <w:szCs w:val="21"/>
        </w:rPr>
        <w:t>21.l 采购代理机构将于前附表第7项规定的时间和地点举行开标会议，在截止时间后送达的响应文件为无效文件，采购人、采购代理机构或者磋商小组应当拒收。</w:t>
      </w:r>
    </w:p>
    <w:p>
      <w:pPr>
        <w:spacing w:line="320" w:lineRule="exact"/>
        <w:ind w:firstLine="420" w:firstLineChars="200"/>
        <w:rPr>
          <w:rFonts w:ascii="宋体" w:hAnsi="宋体" w:cs="宋体"/>
          <w:szCs w:val="21"/>
        </w:rPr>
      </w:pPr>
      <w:r>
        <w:rPr>
          <w:rFonts w:hint="eastAsia" w:ascii="宋体" w:hAnsi="宋体" w:cs="宋体"/>
          <w:szCs w:val="21"/>
        </w:rPr>
        <w:t>21.2 磋商活动在采购人代表的现场监督下，由采购代理机构组织并主持，对磋商响应文件进行检查，确认它们是否按要求密封。但按规定提交了合格撤回通知的磋商文件不予启封。</w:t>
      </w:r>
    </w:p>
    <w:p>
      <w:pPr>
        <w:spacing w:line="320" w:lineRule="exact"/>
        <w:ind w:firstLine="480"/>
        <w:rPr>
          <w:rFonts w:ascii="宋体" w:hAnsi="宋体" w:cs="宋体"/>
          <w:szCs w:val="21"/>
        </w:rPr>
      </w:pPr>
      <w:r>
        <w:rPr>
          <w:rFonts w:hint="eastAsia" w:ascii="宋体" w:hAnsi="宋体" w:cs="宋体"/>
          <w:szCs w:val="21"/>
        </w:rPr>
        <w:t>21.3 截标程序</w:t>
      </w:r>
    </w:p>
    <w:p>
      <w:pPr>
        <w:spacing w:line="320" w:lineRule="exact"/>
        <w:ind w:left="480"/>
        <w:rPr>
          <w:rFonts w:ascii="宋体" w:hAnsi="宋体" w:cs="宋体"/>
          <w:szCs w:val="21"/>
        </w:rPr>
      </w:pPr>
      <w:r>
        <w:rPr>
          <w:rFonts w:hint="eastAsia" w:ascii="宋体" w:hAnsi="宋体" w:cs="宋体"/>
          <w:szCs w:val="21"/>
        </w:rPr>
        <w:t>（1）采购代理机构主持人宣布开标会议开始；</w:t>
      </w:r>
    </w:p>
    <w:p>
      <w:pPr>
        <w:spacing w:line="320" w:lineRule="exact"/>
        <w:ind w:left="480"/>
        <w:rPr>
          <w:rFonts w:ascii="宋体" w:hAnsi="宋体" w:cs="宋体"/>
          <w:szCs w:val="21"/>
        </w:rPr>
      </w:pPr>
      <w:r>
        <w:rPr>
          <w:rFonts w:hint="eastAsia" w:ascii="宋体" w:hAnsi="宋体" w:cs="宋体"/>
          <w:szCs w:val="21"/>
        </w:rPr>
        <w:t>（2）公布在响应文件递交截止时间前递交磋商文件的磋商供应商数量；</w:t>
      </w:r>
    </w:p>
    <w:p>
      <w:pPr>
        <w:spacing w:line="320" w:lineRule="exact"/>
        <w:ind w:left="480"/>
        <w:rPr>
          <w:rFonts w:ascii="宋体" w:hAnsi="宋体" w:cs="宋体"/>
          <w:szCs w:val="21"/>
        </w:rPr>
      </w:pPr>
      <w:r>
        <w:rPr>
          <w:rFonts w:hint="eastAsia" w:ascii="宋体" w:hAnsi="宋体" w:cs="宋体"/>
          <w:szCs w:val="21"/>
        </w:rPr>
        <w:t>（3）介绍参加磋商活动的人员名单（包括磋商供应商代表、采购人代表、采购代理机构工作人员）；</w:t>
      </w:r>
    </w:p>
    <w:p>
      <w:pPr>
        <w:spacing w:line="320" w:lineRule="exact"/>
        <w:ind w:left="480"/>
        <w:rPr>
          <w:rFonts w:ascii="宋体" w:hAnsi="宋体" w:cs="宋体"/>
          <w:szCs w:val="21"/>
        </w:rPr>
      </w:pPr>
      <w:r>
        <w:rPr>
          <w:rFonts w:hint="eastAsia" w:ascii="宋体" w:hAnsi="宋体" w:cs="宋体"/>
          <w:szCs w:val="21"/>
        </w:rPr>
        <w:t>（4）宣布评审纪律；</w:t>
      </w:r>
    </w:p>
    <w:p>
      <w:pPr>
        <w:spacing w:line="320" w:lineRule="exact"/>
        <w:ind w:left="480"/>
        <w:rPr>
          <w:rFonts w:ascii="宋体" w:hAnsi="宋体" w:cs="宋体"/>
          <w:szCs w:val="21"/>
        </w:rPr>
      </w:pPr>
      <w:r>
        <w:rPr>
          <w:rFonts w:hint="eastAsia" w:ascii="宋体" w:hAnsi="宋体" w:cs="宋体"/>
          <w:szCs w:val="21"/>
        </w:rPr>
        <w:t>（5）由各磋商供应商的代表交叉检验各磋商文件密封的完整性并签字确认；</w:t>
      </w:r>
    </w:p>
    <w:p>
      <w:pPr>
        <w:spacing w:line="320" w:lineRule="exact"/>
        <w:ind w:left="480"/>
        <w:rPr>
          <w:rFonts w:ascii="宋体" w:hAnsi="宋体" w:cs="宋体"/>
          <w:szCs w:val="21"/>
        </w:rPr>
      </w:pPr>
      <w:r>
        <w:rPr>
          <w:rFonts w:hint="eastAsia" w:ascii="宋体" w:hAnsi="宋体" w:cs="宋体"/>
          <w:szCs w:val="21"/>
        </w:rPr>
        <w:t xml:space="preserve"> (6) 宣读磋商和评审期间的有关事项；</w:t>
      </w:r>
    </w:p>
    <w:p>
      <w:pPr>
        <w:spacing w:line="320" w:lineRule="exact"/>
        <w:ind w:left="481" w:leftChars="229" w:firstLine="105" w:firstLineChars="50"/>
        <w:rPr>
          <w:rFonts w:ascii="宋体" w:hAnsi="宋体" w:cs="宋体"/>
          <w:szCs w:val="21"/>
        </w:rPr>
      </w:pPr>
      <w:r>
        <w:rPr>
          <w:rFonts w:hint="eastAsia" w:ascii="宋体" w:hAnsi="宋体" w:cs="宋体"/>
          <w:szCs w:val="21"/>
        </w:rPr>
        <w:t>(7) 宣布截标会议结束。</w:t>
      </w:r>
    </w:p>
    <w:p>
      <w:pPr>
        <w:spacing w:line="320" w:lineRule="exact"/>
        <w:ind w:firstLine="422" w:firstLineChars="200"/>
        <w:rPr>
          <w:rFonts w:ascii="宋体" w:hAnsi="宋体" w:cs="宋体"/>
          <w:szCs w:val="21"/>
        </w:rPr>
      </w:pPr>
      <w:r>
        <w:rPr>
          <w:rFonts w:hint="eastAsia" w:ascii="宋体" w:hAnsi="宋体" w:cs="宋体"/>
          <w:b/>
          <w:szCs w:val="21"/>
        </w:rPr>
        <w:t>22.磋商</w:t>
      </w:r>
    </w:p>
    <w:p>
      <w:pPr>
        <w:pStyle w:val="19"/>
        <w:spacing w:line="320" w:lineRule="exact"/>
        <w:ind w:firstLine="420"/>
        <w:rPr>
          <w:rFonts w:hAnsi="宋体" w:cs="宋体"/>
          <w:szCs w:val="21"/>
        </w:rPr>
      </w:pPr>
      <w:r>
        <w:rPr>
          <w:rFonts w:hint="eastAsia" w:hAnsi="宋体" w:cs="宋体"/>
          <w:szCs w:val="21"/>
        </w:rPr>
        <w:t>22.1磋商时间及地点：按本须知前附表第8项规定，具体时间由采购代理机构另行通知。</w:t>
      </w:r>
    </w:p>
    <w:p>
      <w:pPr>
        <w:pStyle w:val="19"/>
        <w:spacing w:line="320" w:lineRule="exact"/>
        <w:ind w:firstLine="420"/>
        <w:rPr>
          <w:rFonts w:hAnsi="宋体" w:cs="宋体"/>
          <w:szCs w:val="21"/>
        </w:rPr>
      </w:pPr>
      <w:r>
        <w:rPr>
          <w:rFonts w:hint="eastAsia" w:hAnsi="宋体" w:cs="宋体"/>
          <w:szCs w:val="21"/>
        </w:rPr>
        <w:t>22.2磋商小组由采购人代表和评审专家共3人以上单数组成，其中评审专家人数不得少于磋商小组成员总数的2/3。在整个磋商过程中，磋商小组将负责对全部竞争性磋商响应文件格式进行审查及评标工作。</w:t>
      </w:r>
    </w:p>
    <w:p>
      <w:pPr>
        <w:pStyle w:val="19"/>
        <w:spacing w:line="320" w:lineRule="exact"/>
        <w:ind w:firstLine="420"/>
        <w:rPr>
          <w:rFonts w:hAnsi="宋体" w:cs="宋体"/>
          <w:b/>
          <w:szCs w:val="21"/>
        </w:rPr>
      </w:pPr>
      <w:r>
        <w:rPr>
          <w:rFonts w:hint="eastAsia" w:hAnsi="宋体" w:cs="宋体"/>
          <w:b/>
          <w:szCs w:val="21"/>
        </w:rPr>
        <w:t>23.磋商的步骤</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23.3磋商小组所有成员应当集中与单一供应商分别进行磋商，并给予所有参加磋商的供应商平等的磋商机会。</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23.4在磋商过程中，磋商小组可以根据磋商文件和磋商情况实质性变动采购需求中的技术、服务要求以及合同草案条款，但不得变动磋商文件中的其他内容。实质性变动的内容，须经采购人代表确认。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对磋商文件作出的实质性变动是磋商文件的有效组成部分，磋商小组应当及时以书面形式同时通知所有参加磋商的供应商。</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23.5最后报价</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磋商文件能够详细列明采购标的的技术、服务要求的，磋商结束后，磋商小组应当要求所有实质性响应的供应商在规定时间内提交最后报价，提交最后报价的供应商不得少于3家。</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tabs>
          <w:tab w:val="left" w:pos="540"/>
        </w:tabs>
        <w:spacing w:line="320" w:lineRule="exact"/>
        <w:ind w:firstLine="422" w:firstLineChars="200"/>
        <w:jc w:val="left"/>
        <w:rPr>
          <w:rFonts w:ascii="宋体" w:hAnsi="宋体" w:cs="宋体"/>
          <w:b/>
          <w:szCs w:val="21"/>
        </w:rPr>
      </w:pPr>
      <w:r>
        <w:rPr>
          <w:rFonts w:hint="eastAsia" w:ascii="宋体" w:hAnsi="宋体" w:cs="宋体"/>
          <w:b/>
          <w:szCs w:val="21"/>
        </w:rPr>
        <w:t>24.评审</w:t>
      </w:r>
    </w:p>
    <w:p>
      <w:pPr>
        <w:widowControl/>
        <w:tabs>
          <w:tab w:val="left" w:pos="540"/>
        </w:tabs>
        <w:spacing w:line="320" w:lineRule="exact"/>
        <w:ind w:firstLine="420" w:firstLineChars="200"/>
        <w:jc w:val="left"/>
        <w:rPr>
          <w:rFonts w:ascii="宋体" w:hAnsi="宋体" w:cs="宋体"/>
          <w:szCs w:val="21"/>
        </w:rPr>
      </w:pPr>
      <w:r>
        <w:rPr>
          <w:rFonts w:hint="eastAsia" w:ascii="宋体" w:hAnsi="宋体" w:cs="宋体"/>
          <w:szCs w:val="21"/>
        </w:rPr>
        <w:t>24.1本采购项目是以政府采购预算价为最高限价，超出政府采购预算价的最终磋商报价，采购人不能支付时，磋商小组将不予以评审。</w:t>
      </w:r>
    </w:p>
    <w:p>
      <w:pPr>
        <w:pStyle w:val="19"/>
        <w:spacing w:line="320" w:lineRule="exact"/>
        <w:ind w:firstLine="420"/>
        <w:rPr>
          <w:rFonts w:hAnsi="宋体" w:cs="宋体"/>
          <w:szCs w:val="21"/>
        </w:rPr>
      </w:pPr>
      <w:r>
        <w:rPr>
          <w:rFonts w:hint="eastAsia" w:hAnsi="宋体" w:cs="宋体"/>
          <w:szCs w:val="21"/>
        </w:rPr>
        <w:t>24.2本采购项目的评标依据为采购文件和磋商响应文件。</w:t>
      </w:r>
    </w:p>
    <w:p>
      <w:pPr>
        <w:pStyle w:val="19"/>
        <w:spacing w:line="320" w:lineRule="exact"/>
        <w:ind w:firstLine="420"/>
        <w:rPr>
          <w:rFonts w:hAnsi="宋体" w:cs="宋体"/>
          <w:szCs w:val="21"/>
        </w:rPr>
      </w:pPr>
      <w:r>
        <w:rPr>
          <w:rFonts w:hint="eastAsia" w:hAnsi="宋体" w:cs="宋体"/>
          <w:szCs w:val="21"/>
        </w:rPr>
        <w:t>24.3本项目采用的评标方法按本须知前附表第12项规定执行，磋商小组、采购人代表、采购代理机构有关工作人员及其他知情人不得透露对磋商文件的评审、比较和成交候选供应商的推荐情况以及与评标有关的其他情况。</w:t>
      </w:r>
    </w:p>
    <w:p>
      <w:pPr>
        <w:pStyle w:val="19"/>
        <w:spacing w:line="320" w:lineRule="exact"/>
        <w:ind w:firstLine="420"/>
        <w:rPr>
          <w:rFonts w:hAnsi="宋体" w:cs="宋体"/>
          <w:szCs w:val="21"/>
        </w:rPr>
      </w:pPr>
      <w:r>
        <w:rPr>
          <w:rFonts w:hint="eastAsia" w:hAnsi="宋体" w:cs="宋体"/>
          <w:szCs w:val="21"/>
        </w:rPr>
        <w:t>24.4磋商供应商在评标过程中，所进行的力图影响评标结果公正性的活动，将可能导致其成交资格被取消。</w:t>
      </w:r>
    </w:p>
    <w:p>
      <w:pPr>
        <w:widowControl/>
        <w:tabs>
          <w:tab w:val="left" w:pos="540"/>
        </w:tabs>
        <w:spacing w:line="320" w:lineRule="exact"/>
        <w:ind w:firstLine="422" w:firstLineChars="200"/>
        <w:jc w:val="left"/>
        <w:rPr>
          <w:rFonts w:ascii="宋体" w:hAnsi="宋体" w:cs="宋体"/>
          <w:szCs w:val="21"/>
        </w:rPr>
      </w:pPr>
      <w:r>
        <w:rPr>
          <w:rFonts w:hint="eastAsia" w:ascii="宋体" w:hAnsi="宋体" w:cs="宋体"/>
          <w:b/>
          <w:szCs w:val="21"/>
        </w:rPr>
        <w:t>25.无效的竞争性磋商响应文件</w:t>
      </w:r>
    </w:p>
    <w:p>
      <w:pPr>
        <w:widowControl/>
        <w:spacing w:line="320" w:lineRule="exact"/>
        <w:ind w:firstLine="409" w:firstLineChars="195"/>
        <w:jc w:val="left"/>
        <w:rPr>
          <w:rFonts w:ascii="宋体" w:hAnsi="宋体" w:cs="宋体"/>
          <w:szCs w:val="21"/>
        </w:rPr>
      </w:pPr>
      <w:r>
        <w:rPr>
          <w:rFonts w:hint="eastAsia" w:ascii="宋体" w:hAnsi="宋体" w:cs="宋体"/>
          <w:szCs w:val="21"/>
        </w:rPr>
        <w:t>25.1竞争性磋商响应文件或最终磋商报价如有下列情况之一者，将会在磋商过程中按照无效磋商处理：</w:t>
      </w:r>
    </w:p>
    <w:p>
      <w:pPr>
        <w:pStyle w:val="19"/>
        <w:spacing w:line="320" w:lineRule="exact"/>
        <w:ind w:firstLine="409" w:firstLineChars="195"/>
        <w:rPr>
          <w:rFonts w:hAnsi="宋体" w:cs="宋体"/>
          <w:bCs/>
          <w:szCs w:val="21"/>
        </w:rPr>
      </w:pPr>
      <w:r>
        <w:rPr>
          <w:rFonts w:hint="eastAsia" w:hAnsi="宋体" w:cs="宋体"/>
          <w:bCs/>
          <w:szCs w:val="21"/>
        </w:rPr>
        <w:t>（1）磋商供应商所提供的材料不足以证明其具备本项目要求资格的；</w:t>
      </w:r>
    </w:p>
    <w:p>
      <w:pPr>
        <w:pStyle w:val="19"/>
        <w:spacing w:line="320" w:lineRule="exact"/>
        <w:ind w:firstLine="409" w:firstLineChars="195"/>
        <w:rPr>
          <w:rFonts w:hAnsi="宋体" w:cs="宋体"/>
          <w:bCs/>
          <w:szCs w:val="21"/>
        </w:rPr>
      </w:pPr>
      <w:r>
        <w:rPr>
          <w:rFonts w:hint="eastAsia" w:hAnsi="宋体" w:cs="宋体"/>
          <w:bCs/>
          <w:szCs w:val="21"/>
        </w:rPr>
        <w:t>（2）磋商供应商未就所磋商的的所有货物和服务内容作完整唯一报价的；</w:t>
      </w:r>
    </w:p>
    <w:p>
      <w:pPr>
        <w:pStyle w:val="19"/>
        <w:spacing w:line="320" w:lineRule="exact"/>
        <w:ind w:firstLine="409" w:firstLineChars="195"/>
        <w:rPr>
          <w:rFonts w:hAnsi="宋体" w:cs="宋体"/>
          <w:bCs/>
          <w:szCs w:val="21"/>
        </w:rPr>
      </w:pPr>
      <w:r>
        <w:rPr>
          <w:rFonts w:hint="eastAsia" w:hAnsi="宋体" w:cs="宋体"/>
          <w:bCs/>
          <w:szCs w:val="21"/>
        </w:rPr>
        <w:t>（3）磋商供应商未按竞争性磋商采购文件的要求密封、签署、盖章的；</w:t>
      </w:r>
    </w:p>
    <w:p>
      <w:pPr>
        <w:pStyle w:val="19"/>
        <w:spacing w:line="320" w:lineRule="exact"/>
        <w:ind w:firstLine="409" w:firstLineChars="195"/>
        <w:rPr>
          <w:rFonts w:hAnsi="宋体" w:cs="宋体"/>
          <w:bCs/>
          <w:szCs w:val="21"/>
        </w:rPr>
      </w:pPr>
      <w:r>
        <w:rPr>
          <w:rFonts w:hint="eastAsia" w:hAnsi="宋体" w:cs="宋体"/>
          <w:bCs/>
          <w:szCs w:val="21"/>
        </w:rPr>
        <w:t>（4）磋商供应商最终磋商报价超出政府采购预算价的，采购人不能支付的；</w:t>
      </w:r>
    </w:p>
    <w:p>
      <w:pPr>
        <w:pStyle w:val="19"/>
        <w:spacing w:line="320" w:lineRule="exact"/>
        <w:ind w:firstLine="409" w:firstLineChars="195"/>
        <w:rPr>
          <w:rFonts w:hAnsi="宋体" w:cs="宋体"/>
          <w:bCs/>
          <w:szCs w:val="21"/>
        </w:rPr>
      </w:pPr>
      <w:r>
        <w:rPr>
          <w:rFonts w:hint="eastAsia" w:hAnsi="宋体" w:cs="宋体"/>
          <w:bCs/>
          <w:szCs w:val="21"/>
        </w:rPr>
        <w:t>（5）磋商供应商不符合本须知第12、13条中规定的实质性要求并且在磋商规定的时间内无法说明和补充的；</w:t>
      </w:r>
    </w:p>
    <w:p>
      <w:pPr>
        <w:pStyle w:val="19"/>
        <w:spacing w:line="320" w:lineRule="exact"/>
        <w:ind w:firstLine="409" w:firstLineChars="195"/>
        <w:rPr>
          <w:rFonts w:hAnsi="宋体" w:cs="宋体"/>
          <w:bCs/>
          <w:szCs w:val="21"/>
        </w:rPr>
      </w:pPr>
      <w:r>
        <w:rPr>
          <w:rFonts w:hint="eastAsia" w:hAnsi="宋体" w:cs="宋体"/>
          <w:bCs/>
          <w:szCs w:val="21"/>
        </w:rPr>
        <w:t>（6）磋商供应商无法在规定时间内提供资格证明材料进行核对的，或应磋商小组要求提供的有关材料原件与其在竞争性磋商响应文件中所提供的材料复印件不一致的；</w:t>
      </w:r>
    </w:p>
    <w:p>
      <w:pPr>
        <w:pStyle w:val="19"/>
        <w:spacing w:line="320" w:lineRule="exact"/>
        <w:ind w:firstLine="409" w:firstLineChars="195"/>
        <w:rPr>
          <w:rFonts w:hAnsi="宋体" w:cs="宋体"/>
          <w:bCs/>
          <w:szCs w:val="21"/>
        </w:rPr>
      </w:pPr>
      <w:r>
        <w:rPr>
          <w:rFonts w:hint="eastAsia" w:hAnsi="宋体" w:cs="宋体"/>
          <w:bCs/>
          <w:szCs w:val="21"/>
        </w:rPr>
        <w:t>（7）磋商供应商递交两份或多份内容不同的竞争性磋商响应文件，或在一份竞争性磋商响应文件中对同一采购货物有两个或多个报价，且未声明哪一个为最终报价的，按竞争性磋商采购文件规定提交备选磋商方案的除外；</w:t>
      </w:r>
    </w:p>
    <w:p>
      <w:pPr>
        <w:pStyle w:val="19"/>
        <w:spacing w:line="320" w:lineRule="exact"/>
        <w:ind w:firstLine="409" w:firstLineChars="195"/>
        <w:rPr>
          <w:rFonts w:hAnsi="宋体" w:cs="宋体"/>
          <w:bCs/>
          <w:szCs w:val="21"/>
        </w:rPr>
      </w:pPr>
      <w:r>
        <w:rPr>
          <w:rFonts w:hint="eastAsia" w:hAnsi="宋体" w:cs="宋体"/>
          <w:bCs/>
          <w:szCs w:val="21"/>
        </w:rPr>
        <w:t>（8）最终磋商报价高于磋商文件的磋商初始报价（即首次报价）的；</w:t>
      </w:r>
    </w:p>
    <w:p>
      <w:pPr>
        <w:widowControl/>
        <w:spacing w:line="320" w:lineRule="exact"/>
        <w:ind w:firstLine="409" w:firstLineChars="195"/>
        <w:jc w:val="left"/>
        <w:rPr>
          <w:rFonts w:ascii="宋体" w:hAnsi="宋体" w:cs="宋体"/>
          <w:bCs/>
          <w:szCs w:val="21"/>
        </w:rPr>
      </w:pPr>
      <w:r>
        <w:rPr>
          <w:rFonts w:hint="eastAsia" w:ascii="宋体" w:hAnsi="宋体" w:cs="宋体"/>
          <w:bCs/>
          <w:szCs w:val="21"/>
        </w:rPr>
        <w:t>（9）磋商供应商不符合法律、法规和竞争性磋商采购文件规定的其他实质性要求和条件的。</w:t>
      </w:r>
    </w:p>
    <w:p>
      <w:pPr>
        <w:pStyle w:val="19"/>
        <w:spacing w:line="320" w:lineRule="exact"/>
        <w:ind w:firstLine="422" w:firstLineChars="200"/>
        <w:rPr>
          <w:rFonts w:hAnsi="宋体" w:cs="宋体"/>
          <w:b/>
          <w:szCs w:val="21"/>
        </w:rPr>
      </w:pPr>
      <w:r>
        <w:rPr>
          <w:rFonts w:hint="eastAsia" w:hAnsi="宋体" w:cs="宋体"/>
          <w:b/>
          <w:szCs w:val="21"/>
        </w:rPr>
        <w:t>26．废标</w:t>
      </w:r>
    </w:p>
    <w:p>
      <w:pPr>
        <w:pStyle w:val="19"/>
        <w:spacing w:line="320" w:lineRule="exact"/>
        <w:ind w:firstLine="422" w:firstLineChars="200"/>
        <w:rPr>
          <w:rFonts w:hAnsi="宋体" w:cs="宋体"/>
          <w:b/>
          <w:bCs/>
          <w:szCs w:val="21"/>
        </w:rPr>
      </w:pPr>
      <w:r>
        <w:rPr>
          <w:rFonts w:hint="eastAsia" w:hAnsi="宋体" w:cs="宋体"/>
          <w:b/>
          <w:bCs/>
          <w:szCs w:val="21"/>
        </w:rPr>
        <w:t>26.1</w:t>
      </w:r>
      <w:r>
        <w:rPr>
          <w:rFonts w:hint="eastAsia" w:hAnsi="宋体" w:cs="宋体"/>
          <w:b/>
          <w:szCs w:val="21"/>
        </w:rPr>
        <w:t>磋商采购过程中出现下列情形之一的，将予以废标：</w:t>
      </w:r>
    </w:p>
    <w:p>
      <w:pPr>
        <w:pStyle w:val="19"/>
        <w:spacing w:line="320" w:lineRule="exact"/>
        <w:ind w:firstLine="420" w:firstLineChars="200"/>
        <w:rPr>
          <w:rFonts w:hAnsi="宋体" w:cs="宋体"/>
          <w:bCs/>
          <w:szCs w:val="21"/>
        </w:rPr>
      </w:pPr>
      <w:r>
        <w:rPr>
          <w:rFonts w:hint="eastAsia" w:hAnsi="宋体" w:cs="宋体"/>
          <w:bCs/>
          <w:szCs w:val="21"/>
        </w:rPr>
        <w:t xml:space="preserve">⑴参与磋商的供应商或者符合专业条件的供应商或者对竞争性磋商采购文件作实质响应的供应商不足三家的； </w:t>
      </w:r>
    </w:p>
    <w:p>
      <w:pPr>
        <w:pStyle w:val="19"/>
        <w:spacing w:line="320" w:lineRule="exact"/>
        <w:ind w:firstLine="308" w:firstLineChars="147"/>
        <w:rPr>
          <w:rFonts w:hAnsi="宋体" w:cs="宋体"/>
          <w:bCs/>
          <w:szCs w:val="21"/>
        </w:rPr>
      </w:pPr>
      <w:r>
        <w:rPr>
          <w:rFonts w:hint="eastAsia" w:hAnsi="宋体" w:cs="宋体"/>
          <w:bCs/>
          <w:szCs w:val="21"/>
        </w:rPr>
        <w:t xml:space="preserve"> ⑵ 出现影响采购公正的违法、违规行为的；</w:t>
      </w:r>
    </w:p>
    <w:p>
      <w:pPr>
        <w:pStyle w:val="19"/>
        <w:spacing w:line="320" w:lineRule="exact"/>
        <w:ind w:firstLine="420" w:firstLineChars="200"/>
        <w:rPr>
          <w:rFonts w:hAnsi="宋体" w:cs="宋体"/>
          <w:bCs/>
          <w:szCs w:val="21"/>
        </w:rPr>
      </w:pPr>
      <w:r>
        <w:rPr>
          <w:rFonts w:hint="eastAsia" w:hAnsi="宋体" w:cs="宋体"/>
          <w:bCs/>
          <w:szCs w:val="21"/>
        </w:rPr>
        <w:t>⑶ 磋商供应商的最终报价均超过了采购预算，采购人不能支付的；</w:t>
      </w:r>
    </w:p>
    <w:p>
      <w:pPr>
        <w:pStyle w:val="19"/>
        <w:spacing w:line="320" w:lineRule="exact"/>
        <w:ind w:firstLine="420" w:firstLineChars="200"/>
        <w:rPr>
          <w:rFonts w:hAnsi="宋体" w:cs="宋体"/>
          <w:szCs w:val="21"/>
        </w:rPr>
      </w:pPr>
      <w:r>
        <w:rPr>
          <w:rFonts w:hint="eastAsia" w:hAnsi="宋体" w:cs="宋体"/>
          <w:bCs/>
          <w:szCs w:val="21"/>
        </w:rPr>
        <w:t>⑷ 因重大变故，采购任务取消的。</w:t>
      </w:r>
      <w:r>
        <w:rPr>
          <w:rFonts w:hint="eastAsia" w:hAnsi="宋体" w:cs="宋体"/>
          <w:b/>
          <w:szCs w:val="21"/>
        </w:rPr>
        <w:br w:type="textWrapping"/>
      </w:r>
      <w:r>
        <w:rPr>
          <w:rFonts w:hint="eastAsia" w:hAnsi="宋体" w:cs="宋体"/>
          <w:szCs w:val="21"/>
        </w:rPr>
        <w:t xml:space="preserve">    27.2废标后，采购代理机构将废标理由通知所有磋商供应商。</w:t>
      </w:r>
    </w:p>
    <w:p>
      <w:pPr>
        <w:numPr>
          <w:ilvl w:val="0"/>
          <w:numId w:val="4"/>
        </w:numPr>
        <w:shd w:val="clear" w:color="auto" w:fill="FFFFFF"/>
        <w:spacing w:line="320" w:lineRule="exact"/>
        <w:ind w:firstLine="422" w:firstLineChars="200"/>
        <w:jc w:val="left"/>
        <w:rPr>
          <w:rFonts w:hAnsi="宋体" w:cs="宋体"/>
          <w:b/>
          <w:szCs w:val="21"/>
        </w:rPr>
      </w:pPr>
      <w:r>
        <w:rPr>
          <w:rFonts w:hint="eastAsia" w:hAnsi="宋体" w:cs="宋体"/>
          <w:b/>
          <w:szCs w:val="21"/>
        </w:rPr>
        <w:t>确定成交供应商办法</w:t>
      </w:r>
    </w:p>
    <w:p>
      <w:pPr>
        <w:shd w:val="clear" w:color="auto" w:fill="FFFFFF"/>
        <w:spacing w:line="320" w:lineRule="exact"/>
        <w:ind w:firstLine="420" w:firstLineChars="200"/>
        <w:jc w:val="left"/>
        <w:rPr>
          <w:rFonts w:hAnsi="宋体" w:cs="宋体"/>
          <w:szCs w:val="21"/>
        </w:rPr>
      </w:pPr>
      <w:r>
        <w:rPr>
          <w:rFonts w:hint="eastAsia" w:ascii="宋体" w:hAnsi="宋体" w:cs="宋体"/>
          <w:szCs w:val="21"/>
        </w:rPr>
        <w:t>磋商小组将根据综合得分由高到低排列次序（得分相同时，以投标报价由低到高顺序排列；得分相同且投标报价相同的，按技术、商务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5"/>
        <w:spacing w:before="240" w:after="240" w:line="320" w:lineRule="exact"/>
        <w:jc w:val="center"/>
        <w:rPr>
          <w:rFonts w:ascii="宋体" w:hAnsi="宋体" w:cs="宋体"/>
          <w:sz w:val="21"/>
          <w:szCs w:val="21"/>
        </w:rPr>
      </w:pPr>
      <w:bookmarkStart w:id="62" w:name="_Toc29394"/>
      <w:bookmarkStart w:id="63" w:name="_Toc204135087"/>
      <w:r>
        <w:rPr>
          <w:rFonts w:hint="eastAsia" w:ascii="宋体" w:hAnsi="宋体" w:cs="宋体"/>
          <w:sz w:val="21"/>
          <w:szCs w:val="21"/>
        </w:rPr>
        <w:t>六、签订合同</w:t>
      </w:r>
      <w:bookmarkEnd w:id="62"/>
      <w:bookmarkEnd w:id="63"/>
    </w:p>
    <w:p>
      <w:pPr>
        <w:pStyle w:val="19"/>
        <w:spacing w:line="320" w:lineRule="exact"/>
        <w:ind w:firstLine="422" w:firstLineChars="200"/>
        <w:rPr>
          <w:rFonts w:hAnsi="宋体" w:cs="宋体"/>
          <w:b/>
          <w:szCs w:val="21"/>
        </w:rPr>
      </w:pPr>
      <w:r>
        <w:rPr>
          <w:rFonts w:hint="eastAsia" w:hAnsi="宋体" w:cs="宋体"/>
          <w:b/>
          <w:szCs w:val="21"/>
        </w:rPr>
        <w:t>28.成交结果及公告</w:t>
      </w:r>
    </w:p>
    <w:p>
      <w:pPr>
        <w:pStyle w:val="19"/>
        <w:spacing w:line="320" w:lineRule="exact"/>
        <w:ind w:firstLine="420"/>
        <w:rPr>
          <w:rFonts w:hAnsi="宋体" w:cs="宋体"/>
          <w:szCs w:val="21"/>
        </w:rPr>
      </w:pPr>
      <w:r>
        <w:rPr>
          <w:rFonts w:hint="eastAsia" w:hAnsi="宋体" w:cs="宋体"/>
          <w:szCs w:val="21"/>
        </w:rPr>
        <w:t>28.1</w:t>
      </w:r>
      <w:r>
        <w:rPr>
          <w:rFonts w:hint="eastAsia" w:hAnsi="宋体"/>
        </w:rPr>
        <w:t>采购代理机构在磋商工作完成后2个工作日内将磋商报告送采购人,采购人在收到评标报告之日起5个工作日内确认成交人，采购人或采购代理机构应自成交人确定之日起2个工作日内将成交结果在省级以上财政部门指定的媒体上发布</w:t>
      </w:r>
      <w:r>
        <w:rPr>
          <w:rFonts w:hint="eastAsia" w:hAnsi="宋体" w:cs="宋体"/>
          <w:szCs w:val="21"/>
        </w:rPr>
        <w:t>。</w:t>
      </w:r>
    </w:p>
    <w:p>
      <w:pPr>
        <w:pStyle w:val="19"/>
        <w:spacing w:line="320" w:lineRule="exact"/>
        <w:ind w:firstLine="420"/>
        <w:rPr>
          <w:rFonts w:hAnsi="宋体" w:cs="宋体"/>
          <w:szCs w:val="21"/>
        </w:rPr>
      </w:pPr>
      <w:r>
        <w:rPr>
          <w:rFonts w:hint="eastAsia" w:hAnsi="宋体" w:cs="宋体"/>
          <w:szCs w:val="21"/>
        </w:rPr>
        <w:t>28.2 在发布成交公告的同时,采购代理机构向成交人发出成交通知书。</w:t>
      </w:r>
    </w:p>
    <w:p>
      <w:pPr>
        <w:pStyle w:val="19"/>
        <w:spacing w:line="320" w:lineRule="exact"/>
        <w:ind w:firstLine="420"/>
        <w:rPr>
          <w:rFonts w:hAnsi="宋体" w:cs="宋体"/>
          <w:szCs w:val="21"/>
        </w:rPr>
      </w:pPr>
      <w:r>
        <w:rPr>
          <w:rFonts w:hint="eastAsia" w:hAnsi="宋体" w:cs="宋体"/>
          <w:szCs w:val="21"/>
        </w:rPr>
        <w:t>28.3 采购代理机构无义务向未成交的磋商供应商解释未成交原因及退回磋商文件。</w:t>
      </w:r>
    </w:p>
    <w:p>
      <w:pPr>
        <w:pStyle w:val="19"/>
        <w:spacing w:line="320" w:lineRule="exact"/>
        <w:ind w:firstLine="420"/>
        <w:rPr>
          <w:rFonts w:hAnsi="宋体" w:cs="宋体"/>
          <w:szCs w:val="21"/>
        </w:rPr>
      </w:pPr>
      <w:r>
        <w:rPr>
          <w:rFonts w:hint="eastAsia" w:hAnsi="宋体" w:cs="宋体"/>
          <w:b/>
          <w:szCs w:val="21"/>
        </w:rPr>
        <w:t>29.合同授予标准</w:t>
      </w:r>
    </w:p>
    <w:p>
      <w:pPr>
        <w:snapToGrid w:val="0"/>
        <w:spacing w:line="320" w:lineRule="exact"/>
        <w:ind w:firstLine="420" w:firstLineChars="200"/>
        <w:rPr>
          <w:rFonts w:ascii="宋体" w:hAnsi="宋体" w:cs="宋体"/>
          <w:szCs w:val="21"/>
        </w:rPr>
      </w:pPr>
      <w:r>
        <w:rPr>
          <w:rFonts w:hint="eastAsia" w:ascii="宋体" w:hAnsi="宋体" w:cs="宋体"/>
          <w:szCs w:val="21"/>
        </w:rPr>
        <w:t>合同将授予被确定实质上相应磋商文件要求，具备履行合同能力，综合评审得分最高的磋商供应商。</w:t>
      </w:r>
    </w:p>
    <w:p>
      <w:pPr>
        <w:pStyle w:val="19"/>
        <w:snapToGrid w:val="0"/>
        <w:spacing w:line="320" w:lineRule="exact"/>
        <w:ind w:firstLine="413" w:firstLineChars="196"/>
        <w:rPr>
          <w:rFonts w:hAnsi="宋体" w:cs="宋体"/>
          <w:b/>
          <w:szCs w:val="21"/>
        </w:rPr>
      </w:pPr>
      <w:r>
        <w:rPr>
          <w:rFonts w:hint="eastAsia" w:hAnsi="宋体" w:cs="宋体"/>
          <w:b/>
          <w:szCs w:val="21"/>
        </w:rPr>
        <w:t>30.签订合同</w:t>
      </w:r>
    </w:p>
    <w:p>
      <w:pPr>
        <w:pStyle w:val="19"/>
        <w:snapToGrid w:val="0"/>
        <w:spacing w:line="320" w:lineRule="exact"/>
        <w:ind w:firstLine="420" w:firstLineChars="200"/>
        <w:rPr>
          <w:rFonts w:hAnsi="宋体" w:cs="宋体"/>
          <w:szCs w:val="21"/>
        </w:rPr>
      </w:pPr>
      <w:r>
        <w:rPr>
          <w:rFonts w:hint="eastAsia" w:hAnsi="宋体" w:cs="宋体"/>
          <w:szCs w:val="21"/>
        </w:rPr>
        <w:t>30.1成交供应商接到成交通知书后，应按成交通知书规定的时间、地点与采购人签订合同。</w:t>
      </w:r>
    </w:p>
    <w:p>
      <w:pPr>
        <w:pStyle w:val="19"/>
        <w:spacing w:line="320" w:lineRule="exact"/>
        <w:ind w:firstLine="420"/>
        <w:rPr>
          <w:rFonts w:hAnsi="宋体" w:cs="宋体"/>
          <w:szCs w:val="21"/>
        </w:rPr>
      </w:pPr>
      <w:r>
        <w:rPr>
          <w:rFonts w:hint="eastAsia" w:hAnsi="宋体" w:cs="宋体"/>
          <w:szCs w:val="21"/>
        </w:rPr>
        <w:t>30.2如成交供应商不按成交通知书的规定签订合同（因不可抗力导致的情况除外），则按成交供应商违约处理，该违约将记入防城港市政府采购供应商诚信评价库。</w:t>
      </w:r>
    </w:p>
    <w:p>
      <w:pPr>
        <w:pStyle w:val="19"/>
        <w:spacing w:line="320" w:lineRule="exact"/>
        <w:ind w:firstLine="420"/>
        <w:rPr>
          <w:rFonts w:hAnsi="宋体" w:cs="宋体"/>
          <w:szCs w:val="21"/>
        </w:rPr>
      </w:pPr>
      <w:r>
        <w:rPr>
          <w:rFonts w:hint="eastAsia" w:hAnsi="宋体" w:cs="宋体"/>
          <w:szCs w:val="21"/>
        </w:rPr>
        <w:t>30.3成交供应商因不可抗力或者自身原因不能履行采购合同的，采购人可以与成交供应商之后排名第一的成交候选供应商签订采购合同，以此类推，或重新组织采购。</w:t>
      </w:r>
    </w:p>
    <w:p>
      <w:pPr>
        <w:pStyle w:val="19"/>
        <w:spacing w:line="320" w:lineRule="exact"/>
        <w:ind w:firstLine="420"/>
        <w:rPr>
          <w:rFonts w:hAnsi="宋体" w:cs="宋体"/>
          <w:szCs w:val="21"/>
        </w:rPr>
      </w:pPr>
      <w:r>
        <w:rPr>
          <w:rFonts w:hint="eastAsia" w:hAnsi="宋体" w:cs="宋体"/>
          <w:szCs w:val="21"/>
        </w:rPr>
        <w:t>30.4由于成交供应商放弃成交或未按规定签订合同（因不可抗力导致的情况除外），造成本项目的合同成交价提高（指采购人选择第二成交候选供应商或重新采购导致成交金额高于违约供应商的成交价），所超出违约供应商的成交价部分由违约供应商承担赔偿责任，并将赔偿金额上缴同级财政国库。若成交人拒绝交纳赔偿金，除按相关法规追收赔偿金外，列入不良行为记录名单，在一至三年内禁止其参加政府采购活动。</w:t>
      </w:r>
    </w:p>
    <w:p>
      <w:pPr>
        <w:pStyle w:val="19"/>
        <w:spacing w:line="320" w:lineRule="exact"/>
        <w:ind w:firstLine="420"/>
        <w:rPr>
          <w:rFonts w:hAnsi="宋体" w:cs="宋体"/>
          <w:szCs w:val="21"/>
        </w:rPr>
      </w:pPr>
      <w:r>
        <w:rPr>
          <w:rFonts w:hint="eastAsia" w:hAnsi="宋体" w:cs="宋体"/>
          <w:szCs w:val="21"/>
        </w:rPr>
        <w:t>30.5合同签订必须按照《中华人民共和国政府采购法》和《中华人民共和国合同法》《政府采购竞争性磋商采购方式管理暂行办法</w:t>
      </w:r>
      <w:r>
        <w:rPr>
          <w:rFonts w:hint="eastAsia" w:hAnsi="宋体" w:cs="宋体"/>
        </w:rPr>
        <w:t>》</w:t>
      </w:r>
      <w:r>
        <w:rPr>
          <w:rFonts w:hint="eastAsia" w:hAnsi="宋体" w:cs="宋体"/>
          <w:szCs w:val="21"/>
        </w:rPr>
        <w:t>相关规定执行，且签订的合同必须与本项目磋商采购文件中的合同书格式(包括内容和结构)相一致，不能改变主要条款，否则由此造成的后果由采购人负责。</w:t>
      </w:r>
    </w:p>
    <w:p>
      <w:pPr>
        <w:pStyle w:val="19"/>
        <w:spacing w:line="320" w:lineRule="exact"/>
        <w:ind w:firstLine="420"/>
        <w:rPr>
          <w:rFonts w:hAnsi="宋体" w:cs="宋体"/>
          <w:bCs/>
          <w:szCs w:val="21"/>
        </w:rPr>
      </w:pPr>
      <w:r>
        <w:rPr>
          <w:rFonts w:hint="eastAsia" w:hAnsi="宋体" w:cs="宋体"/>
          <w:b/>
          <w:szCs w:val="21"/>
        </w:rPr>
        <w:t>31.履约保证金：</w:t>
      </w:r>
      <w:r>
        <w:rPr>
          <w:rFonts w:hint="eastAsia" w:hAnsi="宋体" w:cs="宋体"/>
          <w:bCs/>
          <w:szCs w:val="21"/>
        </w:rPr>
        <w:t>详见供应商须知前附表。</w:t>
      </w:r>
    </w:p>
    <w:p>
      <w:pPr>
        <w:pStyle w:val="5"/>
        <w:spacing w:before="240" w:after="240" w:line="320" w:lineRule="exact"/>
        <w:jc w:val="center"/>
        <w:rPr>
          <w:rFonts w:ascii="宋体" w:hAnsi="宋体" w:cs="宋体"/>
          <w:sz w:val="21"/>
          <w:szCs w:val="21"/>
        </w:rPr>
      </w:pPr>
      <w:bookmarkStart w:id="64" w:name="_Toc30591"/>
      <w:r>
        <w:rPr>
          <w:rFonts w:hint="eastAsia" w:ascii="宋体" w:hAnsi="宋体" w:cs="宋体"/>
          <w:sz w:val="21"/>
          <w:szCs w:val="21"/>
        </w:rPr>
        <w:t>七、其他事项</w:t>
      </w:r>
      <w:bookmarkEnd w:id="64"/>
    </w:p>
    <w:p>
      <w:pPr>
        <w:pStyle w:val="19"/>
        <w:spacing w:line="320" w:lineRule="exact"/>
        <w:ind w:firstLine="420" w:firstLineChars="200"/>
        <w:rPr>
          <w:rFonts w:hAnsi="宋体" w:cs="宋体"/>
          <w:szCs w:val="21"/>
        </w:rPr>
      </w:pPr>
    </w:p>
    <w:p>
      <w:pPr>
        <w:pStyle w:val="19"/>
        <w:spacing w:line="320" w:lineRule="exact"/>
        <w:ind w:firstLine="420" w:firstLineChars="200"/>
        <w:rPr>
          <w:rFonts w:hAnsi="宋体" w:cs="宋体"/>
          <w:b/>
          <w:szCs w:val="21"/>
        </w:rPr>
      </w:pPr>
      <w:r>
        <w:rPr>
          <w:rFonts w:hint="eastAsia" w:hAnsi="宋体" w:cs="宋体"/>
          <w:szCs w:val="21"/>
        </w:rPr>
        <w:t>32.</w:t>
      </w:r>
      <w:r>
        <w:rPr>
          <w:rFonts w:hint="eastAsia" w:hAnsi="宋体" w:cs="宋体"/>
          <w:b/>
          <w:szCs w:val="21"/>
        </w:rPr>
        <w:t>委托代理服务费</w:t>
      </w:r>
    </w:p>
    <w:p>
      <w:pPr>
        <w:pStyle w:val="19"/>
        <w:spacing w:line="320" w:lineRule="exact"/>
        <w:ind w:firstLine="420"/>
        <w:rPr>
          <w:rFonts w:hAnsi="宋体" w:cs="宋体"/>
          <w:szCs w:val="21"/>
        </w:rPr>
      </w:pPr>
      <w:r>
        <w:rPr>
          <w:rFonts w:hint="eastAsia" w:hAnsi="宋体" w:cs="宋体"/>
          <w:szCs w:val="21"/>
        </w:rPr>
        <w:t>32.1签订合同前，成交供应商向采购代理机构一次性付清委托代理服务费，其金额详见本须知前附表第11项规定。</w:t>
      </w:r>
    </w:p>
    <w:p>
      <w:pPr>
        <w:pStyle w:val="19"/>
        <w:spacing w:line="320" w:lineRule="exact"/>
        <w:ind w:firstLine="420"/>
        <w:rPr>
          <w:rFonts w:hAnsi="宋体" w:cs="宋体"/>
          <w:b/>
          <w:szCs w:val="21"/>
        </w:rPr>
      </w:pPr>
      <w:r>
        <w:rPr>
          <w:rFonts w:hint="eastAsia" w:hAnsi="宋体" w:cs="宋体"/>
          <w:b/>
          <w:szCs w:val="21"/>
        </w:rPr>
        <w:t>33.适用法律</w:t>
      </w:r>
    </w:p>
    <w:p>
      <w:pPr>
        <w:pStyle w:val="19"/>
        <w:spacing w:line="320" w:lineRule="exact"/>
        <w:ind w:firstLine="420"/>
        <w:rPr>
          <w:rFonts w:hAnsi="宋体" w:cs="宋体"/>
          <w:szCs w:val="21"/>
        </w:rPr>
      </w:pPr>
      <w:r>
        <w:rPr>
          <w:rFonts w:hint="eastAsia" w:hAnsi="宋体" w:cs="宋体"/>
          <w:b/>
          <w:szCs w:val="21"/>
        </w:rPr>
        <w:t>33.1</w:t>
      </w:r>
      <w:r>
        <w:rPr>
          <w:rFonts w:hint="eastAsia" w:hAnsi="宋体" w:cs="宋体"/>
          <w:szCs w:val="21"/>
        </w:rPr>
        <w:t>采购当事人的一切活动均适用于《中华人民共和国政府采购法》、《中华人民共和国政府采购法实施条例》、《政府采购竞争性磋商采购方式管理暂行办法》及相关规定。</w:t>
      </w:r>
    </w:p>
    <w:p>
      <w:pPr>
        <w:pStyle w:val="19"/>
        <w:spacing w:line="320" w:lineRule="exact"/>
        <w:ind w:firstLine="420"/>
        <w:rPr>
          <w:rFonts w:hAnsi="宋体" w:cs="宋体"/>
          <w:szCs w:val="21"/>
        </w:rPr>
      </w:pPr>
      <w:r>
        <w:rPr>
          <w:rFonts w:hint="eastAsia" w:hAnsi="宋体" w:cs="宋体"/>
          <w:szCs w:val="21"/>
        </w:rPr>
        <w:t>33.2最终磋商结束后，磋商小组不得再与磋商供应商进行任何形式的商谈。</w:t>
      </w:r>
    </w:p>
    <w:p>
      <w:pPr>
        <w:pStyle w:val="19"/>
        <w:snapToGrid w:val="0"/>
        <w:spacing w:line="320" w:lineRule="exact"/>
        <w:ind w:firstLine="411" w:firstLineChars="196"/>
        <w:rPr>
          <w:rFonts w:hAnsi="宋体" w:cs="宋体"/>
          <w:b/>
          <w:szCs w:val="21"/>
        </w:rPr>
      </w:pPr>
      <w:r>
        <w:rPr>
          <w:rFonts w:hint="eastAsia" w:hAnsi="宋体" w:cs="宋体"/>
          <w:szCs w:val="21"/>
        </w:rPr>
        <w:t>34.</w:t>
      </w:r>
      <w:r>
        <w:rPr>
          <w:rFonts w:hint="eastAsia" w:hAnsi="宋体" w:cs="宋体"/>
          <w:b/>
          <w:szCs w:val="21"/>
        </w:rPr>
        <w:t xml:space="preserve"> 磋商过程的监控</w:t>
      </w:r>
    </w:p>
    <w:p>
      <w:pPr>
        <w:pStyle w:val="19"/>
        <w:snapToGrid w:val="0"/>
        <w:spacing w:line="320" w:lineRule="exact"/>
        <w:ind w:firstLine="420" w:firstLineChars="200"/>
        <w:rPr>
          <w:rFonts w:hAnsi="宋体" w:cs="宋体"/>
          <w:szCs w:val="21"/>
        </w:rPr>
      </w:pPr>
      <w:r>
        <w:rPr>
          <w:rFonts w:hint="eastAsia" w:hAnsi="宋体" w:cs="宋体"/>
          <w:szCs w:val="21"/>
        </w:rPr>
        <w:t>本项目磋商过程实行全程录音、录像监控，磋商供应商在磋商过程中所进行的试图影响磋商结果的不公正活动，可能导致其磋商被拒绝。</w:t>
      </w:r>
    </w:p>
    <w:p>
      <w:pPr>
        <w:pStyle w:val="19"/>
        <w:numPr>
          <w:ilvl w:val="0"/>
          <w:numId w:val="5"/>
        </w:numPr>
        <w:spacing w:line="340" w:lineRule="exact"/>
        <w:jc w:val="center"/>
        <w:outlineLvl w:val="0"/>
        <w:rPr>
          <w:rFonts w:hAnsi="宋体" w:cs="宋体"/>
          <w:b/>
          <w:sz w:val="32"/>
          <w:szCs w:val="32"/>
        </w:rPr>
      </w:pPr>
      <w:r>
        <w:rPr>
          <w:rFonts w:hint="eastAsia" w:hAnsi="宋体" w:cs="宋体"/>
          <w:b/>
          <w:sz w:val="32"/>
          <w:szCs w:val="32"/>
        </w:rPr>
        <w:br w:type="page"/>
      </w:r>
      <w:r>
        <w:rPr>
          <w:rFonts w:hint="eastAsia" w:hAnsi="宋体" w:cs="宋体"/>
          <w:b/>
          <w:sz w:val="32"/>
          <w:szCs w:val="32"/>
        </w:rPr>
        <w:t xml:space="preserve"> </w:t>
      </w:r>
      <w:bookmarkStart w:id="65" w:name="_Toc10653"/>
      <w:r>
        <w:rPr>
          <w:rFonts w:hint="eastAsia" w:hAnsi="宋体" w:cs="宋体"/>
          <w:b/>
          <w:sz w:val="32"/>
          <w:szCs w:val="32"/>
        </w:rPr>
        <w:t>项目采购需求</w:t>
      </w:r>
      <w:bookmarkEnd w:id="65"/>
    </w:p>
    <w:p>
      <w:pPr>
        <w:pStyle w:val="2"/>
        <w:rPr>
          <w:lang w:val="zh-CN"/>
        </w:rPr>
      </w:pPr>
      <w:bookmarkStart w:id="66" w:name="_Toc5260"/>
    </w:p>
    <w:p>
      <w:pPr>
        <w:adjustRightInd w:val="0"/>
        <w:snapToGrid w:val="0"/>
        <w:spacing w:line="340" w:lineRule="exact"/>
        <w:ind w:firstLine="422" w:firstLineChars="200"/>
      </w:pPr>
      <w:r>
        <w:rPr>
          <w:rFonts w:hint="eastAsia"/>
          <w:b/>
          <w:bCs/>
        </w:rPr>
        <w:t>一、监测评估依据</w:t>
      </w:r>
    </w:p>
    <w:p>
      <w:pPr>
        <w:adjustRightInd w:val="0"/>
        <w:snapToGrid w:val="0"/>
        <w:spacing w:line="340" w:lineRule="exact"/>
        <w:ind w:firstLine="420" w:firstLineChars="200"/>
      </w:pPr>
      <w:r>
        <w:rPr>
          <w:rFonts w:hint="eastAsia"/>
        </w:rPr>
        <w:t>《农业农村部办公厅关于印发《国家级海洋牧场示范区年度评价及复查办法（试行）》的通知（（农办渔〔2018〕68号）》、《SC/T 9417-2015 人工鱼礁资源养护效果评价技术规范》和《海洋渔业生物资源调查》（SC/T 9403-2012）。</w:t>
      </w:r>
    </w:p>
    <w:p>
      <w:pPr>
        <w:adjustRightInd w:val="0"/>
        <w:snapToGrid w:val="0"/>
        <w:spacing w:line="340" w:lineRule="exact"/>
        <w:ind w:firstLine="422" w:firstLineChars="200"/>
        <w:rPr>
          <w:b/>
          <w:bCs/>
        </w:rPr>
      </w:pPr>
      <w:r>
        <w:rPr>
          <w:rFonts w:hint="eastAsia"/>
          <w:b/>
          <w:bCs/>
        </w:rPr>
        <w:t>二、监测评估内容</w:t>
      </w:r>
    </w:p>
    <w:p>
      <w:pPr>
        <w:adjustRightInd w:val="0"/>
        <w:snapToGrid w:val="0"/>
        <w:spacing w:line="340" w:lineRule="exact"/>
        <w:ind w:firstLine="420" w:firstLineChars="200"/>
      </w:pPr>
      <w:r>
        <w:rPr>
          <w:rFonts w:hint="eastAsia"/>
        </w:rPr>
        <w:t>1.海洋牧场环境要素调查评估</w:t>
      </w:r>
    </w:p>
    <w:p>
      <w:pPr>
        <w:adjustRightInd w:val="0"/>
        <w:snapToGrid w:val="0"/>
        <w:spacing w:line="340" w:lineRule="exact"/>
        <w:ind w:firstLine="420" w:firstLineChars="200"/>
      </w:pPr>
      <w:r>
        <w:rPr>
          <w:rFonts w:hint="eastAsia"/>
        </w:rPr>
        <w:t>(1)水文要素</w:t>
      </w:r>
    </w:p>
    <w:p>
      <w:pPr>
        <w:adjustRightInd w:val="0"/>
        <w:snapToGrid w:val="0"/>
        <w:spacing w:line="340" w:lineRule="exact"/>
        <w:ind w:firstLine="420" w:firstLineChars="200"/>
      </w:pPr>
      <w:r>
        <w:rPr>
          <w:rFonts w:hint="eastAsia"/>
        </w:rPr>
        <w:t>主要对水深、水温、盐度和透明度等指标进行监测和评价。</w:t>
      </w:r>
    </w:p>
    <w:p>
      <w:pPr>
        <w:adjustRightInd w:val="0"/>
        <w:snapToGrid w:val="0"/>
        <w:spacing w:line="340" w:lineRule="exact"/>
        <w:ind w:firstLine="420" w:firstLineChars="200"/>
      </w:pPr>
      <w:r>
        <w:rPr>
          <w:rFonts w:hint="eastAsia"/>
        </w:rPr>
        <w:t>(2)水体化学</w:t>
      </w:r>
    </w:p>
    <w:p>
      <w:pPr>
        <w:adjustRightInd w:val="0"/>
        <w:snapToGrid w:val="0"/>
        <w:spacing w:line="340" w:lineRule="exact"/>
        <w:ind w:firstLine="420" w:firstLineChars="200"/>
      </w:pPr>
      <w:r>
        <w:rPr>
          <w:rFonts w:hint="eastAsia"/>
        </w:rPr>
        <w:t>主要对溶解氧、pH、活性磷酸盐、亚硝酸盐、硝酸盐、铵盐、TN、TP等指标进行监测和评价。</w:t>
      </w:r>
    </w:p>
    <w:p>
      <w:pPr>
        <w:adjustRightInd w:val="0"/>
        <w:snapToGrid w:val="0"/>
        <w:spacing w:line="340" w:lineRule="exact"/>
        <w:ind w:firstLine="420" w:firstLineChars="200"/>
      </w:pPr>
      <w:r>
        <w:rPr>
          <w:rFonts w:hint="eastAsia"/>
        </w:rPr>
        <w:t>(3)化学耗氧量</w:t>
      </w:r>
    </w:p>
    <w:p>
      <w:pPr>
        <w:adjustRightInd w:val="0"/>
        <w:snapToGrid w:val="0"/>
        <w:spacing w:line="340" w:lineRule="exact"/>
        <w:ind w:firstLine="420" w:firstLineChars="200"/>
      </w:pPr>
      <w:r>
        <w:rPr>
          <w:rFonts w:hint="eastAsia"/>
        </w:rPr>
        <w:t>主要对化学耗氧量等指标进行监测和评价。</w:t>
      </w:r>
    </w:p>
    <w:p>
      <w:pPr>
        <w:adjustRightInd w:val="0"/>
        <w:snapToGrid w:val="0"/>
        <w:spacing w:line="340" w:lineRule="exact"/>
        <w:ind w:firstLine="420" w:firstLineChars="200"/>
      </w:pPr>
      <w:r>
        <w:rPr>
          <w:rFonts w:hint="eastAsia"/>
        </w:rPr>
        <w:t>(4)海底沉积物</w:t>
      </w:r>
    </w:p>
    <w:p>
      <w:pPr>
        <w:adjustRightInd w:val="0"/>
        <w:snapToGrid w:val="0"/>
        <w:spacing w:line="340" w:lineRule="exact"/>
        <w:ind w:firstLine="420" w:firstLineChars="200"/>
      </w:pPr>
      <w:r>
        <w:rPr>
          <w:rFonts w:hint="eastAsia"/>
        </w:rPr>
        <w:t>主要对底质粒径、TN、TP等指标进行监测和评价。</w:t>
      </w:r>
    </w:p>
    <w:p>
      <w:pPr>
        <w:adjustRightInd w:val="0"/>
        <w:snapToGrid w:val="0"/>
        <w:spacing w:line="340" w:lineRule="exact"/>
        <w:ind w:firstLine="420" w:firstLineChars="200"/>
      </w:pPr>
      <w:r>
        <w:rPr>
          <w:rFonts w:hint="eastAsia"/>
        </w:rPr>
        <w:t>2.生物要素监测评估</w:t>
      </w:r>
    </w:p>
    <w:p>
      <w:pPr>
        <w:adjustRightInd w:val="0"/>
        <w:snapToGrid w:val="0"/>
        <w:spacing w:line="340" w:lineRule="exact"/>
        <w:ind w:firstLine="420" w:firstLineChars="200"/>
      </w:pPr>
      <w:r>
        <w:rPr>
          <w:rFonts w:hint="eastAsia"/>
        </w:rPr>
        <w:t>(1)叶绿素a、浮游生物生态和底栖生物</w:t>
      </w:r>
    </w:p>
    <w:p>
      <w:pPr>
        <w:adjustRightInd w:val="0"/>
        <w:snapToGrid w:val="0"/>
        <w:spacing w:line="340" w:lineRule="exact"/>
        <w:ind w:firstLine="420" w:firstLineChars="200"/>
      </w:pPr>
      <w:r>
        <w:rPr>
          <w:rFonts w:hint="eastAsia"/>
        </w:rPr>
        <w:t>主要对国家级海洋牧场示范区及其邻近区域和对照区的叶绿素a、浮游植物、浮游动物、鱼卵仔稚鱼、底栖生物等进行监测和评价。</w:t>
      </w:r>
    </w:p>
    <w:p>
      <w:pPr>
        <w:adjustRightInd w:val="0"/>
        <w:snapToGrid w:val="0"/>
        <w:spacing w:line="340" w:lineRule="exact"/>
        <w:ind w:firstLine="420" w:firstLineChars="200"/>
      </w:pPr>
      <w:r>
        <w:rPr>
          <w:rFonts w:hint="eastAsia"/>
        </w:rPr>
        <w:t>(2)游泳动物</w:t>
      </w:r>
    </w:p>
    <w:p>
      <w:pPr>
        <w:adjustRightInd w:val="0"/>
        <w:snapToGrid w:val="0"/>
        <w:spacing w:line="340" w:lineRule="exact"/>
        <w:ind w:firstLine="420" w:firstLineChars="200"/>
      </w:pPr>
      <w:r>
        <w:rPr>
          <w:rFonts w:hint="eastAsia"/>
        </w:rPr>
        <w:t>根据防城港国家级海洋牧场示范区特点对国家级海洋牧场示范区及其邻近区域和对照区的游泳动物的多样性、目标生物资源量等进行监测和评价。</w:t>
      </w:r>
    </w:p>
    <w:p>
      <w:pPr>
        <w:adjustRightInd w:val="0"/>
        <w:snapToGrid w:val="0"/>
        <w:spacing w:line="340" w:lineRule="exact"/>
        <w:ind w:firstLine="420" w:firstLineChars="200"/>
      </w:pPr>
      <w:r>
        <w:rPr>
          <w:rFonts w:hint="eastAsia"/>
        </w:rPr>
        <w:t>(3)海藻场</w:t>
      </w:r>
    </w:p>
    <w:p>
      <w:pPr>
        <w:adjustRightInd w:val="0"/>
        <w:snapToGrid w:val="0"/>
        <w:spacing w:line="340" w:lineRule="exact"/>
        <w:ind w:firstLine="420" w:firstLineChars="200"/>
      </w:pPr>
      <w:r>
        <w:rPr>
          <w:rFonts w:hint="eastAsia"/>
        </w:rPr>
        <w:t>主要对国家级海洋牧场示范区内人工鱼礁进行潜水调查分析人工鱼礁海藻资源等生物资源情况。</w:t>
      </w:r>
    </w:p>
    <w:p>
      <w:pPr>
        <w:adjustRightInd w:val="0"/>
        <w:snapToGrid w:val="0"/>
        <w:spacing w:line="340" w:lineRule="exact"/>
        <w:ind w:firstLine="420" w:firstLineChars="200"/>
      </w:pPr>
      <w:r>
        <w:rPr>
          <w:rFonts w:hint="eastAsia"/>
        </w:rPr>
        <w:t>3.调查监测站位设置</w:t>
      </w:r>
    </w:p>
    <w:p>
      <w:pPr>
        <w:adjustRightInd w:val="0"/>
        <w:snapToGrid w:val="0"/>
        <w:spacing w:line="340" w:lineRule="exact"/>
        <w:ind w:firstLine="420" w:firstLineChars="200"/>
      </w:pPr>
      <w:r>
        <w:rPr>
          <w:rFonts w:hint="eastAsia"/>
        </w:rPr>
        <w:t>根据示范区评估实施的数据需求，针对防城港市白龙珍珠湾海域国家级海洋牧场示范区及其邻近海域，设置19个调查站位，其中：在国家级海洋牧场示范区核心区域设置站位3个(刺网、潜水)，辐射区设置站位4个，对照区设置站位12个。</w:t>
      </w:r>
    </w:p>
    <w:tbl>
      <w:tblPr>
        <w:tblStyle w:val="35"/>
        <w:tblW w:w="0" w:type="auto"/>
        <w:tblInd w:w="113" w:type="dxa"/>
        <w:tblLayout w:type="fixed"/>
        <w:tblCellMar>
          <w:top w:w="0" w:type="dxa"/>
          <w:left w:w="108" w:type="dxa"/>
          <w:bottom w:w="0" w:type="dxa"/>
          <w:right w:w="108" w:type="dxa"/>
        </w:tblCellMar>
      </w:tblPr>
      <w:tblGrid>
        <w:gridCol w:w="785"/>
        <w:gridCol w:w="1125"/>
        <w:gridCol w:w="1693"/>
        <w:gridCol w:w="5464"/>
      </w:tblGrid>
      <w:tr>
        <w:tblPrEx>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pPr>
            <w:r>
              <w:rPr>
                <w:rFonts w:hint="eastAsia"/>
              </w:rPr>
              <w:t>序号</w:t>
            </w:r>
          </w:p>
        </w:tc>
        <w:tc>
          <w:tcPr>
            <w:tcW w:w="2818" w:type="dxa"/>
            <w:gridSpan w:val="2"/>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调查内容</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相关指标</w:t>
            </w:r>
          </w:p>
        </w:tc>
      </w:tr>
      <w:tr>
        <w:tblPrEx>
          <w:tblCellMar>
            <w:top w:w="0" w:type="dxa"/>
            <w:left w:w="108" w:type="dxa"/>
            <w:bottom w:w="0" w:type="dxa"/>
            <w:right w:w="108" w:type="dxa"/>
          </w:tblCellMar>
        </w:tblPrEx>
        <w:tc>
          <w:tcPr>
            <w:tcW w:w="785" w:type="dxa"/>
            <w:vMerge w:val="restart"/>
            <w:tcBorders>
              <w:top w:val="nil"/>
              <w:left w:val="single" w:color="auto" w:sz="4" w:space="0"/>
              <w:bottom w:val="single" w:color="auto" w:sz="4" w:space="0"/>
              <w:right w:val="single" w:color="auto" w:sz="4" w:space="0"/>
            </w:tcBorders>
          </w:tcPr>
          <w:p>
            <w:pPr>
              <w:adjustRightInd w:val="0"/>
              <w:snapToGrid w:val="0"/>
              <w:spacing w:line="340" w:lineRule="exact"/>
              <w:ind w:firstLine="420" w:firstLineChars="200"/>
              <w:jc w:val="center"/>
            </w:pPr>
          </w:p>
          <w:p>
            <w:pPr>
              <w:adjustRightInd w:val="0"/>
              <w:snapToGrid w:val="0"/>
              <w:spacing w:line="340" w:lineRule="exact"/>
              <w:jc w:val="center"/>
            </w:pPr>
            <w:r>
              <w:rPr>
                <w:rFonts w:hint="eastAsia"/>
              </w:rPr>
              <w:t>1</w:t>
            </w:r>
          </w:p>
        </w:tc>
        <w:tc>
          <w:tcPr>
            <w:tcW w:w="1125" w:type="dxa"/>
            <w:vMerge w:val="restart"/>
            <w:tcBorders>
              <w:top w:val="nil"/>
              <w:left w:val="nil"/>
              <w:bottom w:val="single" w:color="auto" w:sz="4" w:space="0"/>
              <w:right w:val="single" w:color="auto" w:sz="4" w:space="0"/>
            </w:tcBorders>
          </w:tcPr>
          <w:p>
            <w:pPr>
              <w:adjustRightInd w:val="0"/>
              <w:snapToGrid w:val="0"/>
              <w:spacing w:line="340" w:lineRule="exact"/>
            </w:pPr>
          </w:p>
          <w:p>
            <w:pPr>
              <w:adjustRightInd w:val="0"/>
              <w:snapToGrid w:val="0"/>
              <w:spacing w:line="340" w:lineRule="exact"/>
            </w:pPr>
          </w:p>
          <w:p>
            <w:pPr>
              <w:adjustRightInd w:val="0"/>
              <w:snapToGrid w:val="0"/>
              <w:spacing w:line="340" w:lineRule="exact"/>
            </w:pPr>
            <w:r>
              <w:rPr>
                <w:rFonts w:hint="eastAsia"/>
              </w:rPr>
              <w:t>环境要素</w:t>
            </w: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水质</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pPr>
            <w:r>
              <w:rPr>
                <w:rFonts w:hint="eastAsia"/>
              </w:rPr>
              <w:t>悬浮物、氨氮、硝酸盐、亚硝酸盐、活性磷酸盐，16站</w:t>
            </w:r>
          </w:p>
        </w:tc>
      </w:tr>
      <w:tr>
        <w:tblPrEx>
          <w:tblCellMar>
            <w:top w:w="0" w:type="dxa"/>
            <w:left w:w="108" w:type="dxa"/>
            <w:bottom w:w="0" w:type="dxa"/>
            <w:right w:w="108" w:type="dxa"/>
          </w:tblCellMar>
        </w:tblPrEx>
        <w:trPr>
          <w:trHeight w:val="421"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水文动力</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水温、盐度、透明度，16站</w:t>
            </w:r>
          </w:p>
        </w:tc>
      </w:tr>
      <w:tr>
        <w:tblPrEx>
          <w:tblCellMar>
            <w:top w:w="0" w:type="dxa"/>
            <w:left w:w="108" w:type="dxa"/>
            <w:bottom w:w="0" w:type="dxa"/>
            <w:right w:w="108" w:type="dxa"/>
          </w:tblCellMar>
        </w:tblPrEx>
        <w:trPr>
          <w:trHeight w:val="398"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底质</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粒径组成、TN、TP，13站</w:t>
            </w:r>
          </w:p>
        </w:tc>
      </w:tr>
      <w:tr>
        <w:tblPrEx>
          <w:tblCellMar>
            <w:top w:w="0" w:type="dxa"/>
            <w:left w:w="108" w:type="dxa"/>
            <w:bottom w:w="0" w:type="dxa"/>
            <w:right w:w="108" w:type="dxa"/>
          </w:tblCellMar>
        </w:tblPrEx>
        <w:trPr>
          <w:trHeight w:val="377" w:hRule="atLeast"/>
        </w:trPr>
        <w:tc>
          <w:tcPr>
            <w:tcW w:w="785" w:type="dxa"/>
            <w:vMerge w:val="restart"/>
            <w:tcBorders>
              <w:top w:val="nil"/>
              <w:left w:val="single" w:color="auto" w:sz="4" w:space="0"/>
              <w:bottom w:val="single" w:color="auto" w:sz="4" w:space="0"/>
              <w:right w:val="single" w:color="auto" w:sz="4" w:space="0"/>
            </w:tcBorders>
          </w:tcPr>
          <w:p>
            <w:pPr>
              <w:adjustRightInd w:val="0"/>
              <w:snapToGrid w:val="0"/>
              <w:spacing w:line="340" w:lineRule="exact"/>
              <w:ind w:firstLine="420" w:firstLineChars="200"/>
              <w:jc w:val="center"/>
            </w:pPr>
          </w:p>
          <w:p>
            <w:pPr>
              <w:adjustRightInd w:val="0"/>
              <w:snapToGrid w:val="0"/>
              <w:spacing w:line="340" w:lineRule="exact"/>
              <w:ind w:firstLine="420" w:firstLineChars="200"/>
              <w:jc w:val="center"/>
            </w:pPr>
          </w:p>
          <w:p>
            <w:pPr>
              <w:adjustRightInd w:val="0"/>
              <w:snapToGrid w:val="0"/>
              <w:spacing w:line="340" w:lineRule="exact"/>
              <w:jc w:val="center"/>
            </w:pPr>
            <w:r>
              <w:rPr>
                <w:rFonts w:hint="eastAsia"/>
              </w:rPr>
              <w:t>2</w:t>
            </w:r>
          </w:p>
        </w:tc>
        <w:tc>
          <w:tcPr>
            <w:tcW w:w="1125" w:type="dxa"/>
            <w:vMerge w:val="restart"/>
            <w:tcBorders>
              <w:top w:val="nil"/>
              <w:left w:val="nil"/>
              <w:bottom w:val="single" w:color="auto" w:sz="4" w:space="0"/>
              <w:right w:val="single" w:color="auto" w:sz="4" w:space="0"/>
            </w:tcBorders>
          </w:tcPr>
          <w:p>
            <w:pPr>
              <w:adjustRightInd w:val="0"/>
              <w:snapToGrid w:val="0"/>
              <w:spacing w:line="340" w:lineRule="exact"/>
              <w:ind w:firstLine="420" w:firstLineChars="200"/>
              <w:jc w:val="center"/>
            </w:pPr>
          </w:p>
          <w:p>
            <w:pPr>
              <w:adjustRightInd w:val="0"/>
              <w:snapToGrid w:val="0"/>
              <w:spacing w:line="340" w:lineRule="exact"/>
              <w:ind w:firstLine="420" w:firstLineChars="200"/>
              <w:jc w:val="center"/>
            </w:pPr>
          </w:p>
          <w:p>
            <w:pPr>
              <w:adjustRightInd w:val="0"/>
              <w:snapToGrid w:val="0"/>
              <w:spacing w:line="340" w:lineRule="exact"/>
            </w:pPr>
            <w:r>
              <w:rPr>
                <w:rFonts w:hint="eastAsia"/>
              </w:rPr>
              <w:t>生物要素</w:t>
            </w: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浮游植物</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垂直拖网，16站</w:t>
            </w:r>
          </w:p>
        </w:tc>
      </w:tr>
      <w:tr>
        <w:tblPrEx>
          <w:tblCellMar>
            <w:top w:w="0" w:type="dxa"/>
            <w:left w:w="108" w:type="dxa"/>
            <w:bottom w:w="0" w:type="dxa"/>
            <w:right w:w="108" w:type="dxa"/>
          </w:tblCellMar>
        </w:tblPrEx>
        <w:trPr>
          <w:trHeight w:val="413"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浮游动物</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垂直拖网，16站</w:t>
            </w:r>
          </w:p>
        </w:tc>
      </w:tr>
      <w:tr>
        <w:tblPrEx>
          <w:tblCellMar>
            <w:top w:w="0" w:type="dxa"/>
            <w:left w:w="108" w:type="dxa"/>
            <w:bottom w:w="0" w:type="dxa"/>
            <w:right w:w="108" w:type="dxa"/>
          </w:tblCellMar>
        </w:tblPrEx>
        <w:trPr>
          <w:trHeight w:val="417"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底栖生物</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采泥器，16站</w:t>
            </w:r>
          </w:p>
        </w:tc>
      </w:tr>
      <w:tr>
        <w:tblPrEx>
          <w:tblCellMar>
            <w:top w:w="0" w:type="dxa"/>
            <w:left w:w="108" w:type="dxa"/>
            <w:bottom w:w="0" w:type="dxa"/>
            <w:right w:w="108" w:type="dxa"/>
          </w:tblCellMar>
        </w:tblPrEx>
        <w:trPr>
          <w:trHeight w:val="410"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鱼卵仔鱼</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拖网、刺网，16站(含3个刺网站位)</w:t>
            </w:r>
          </w:p>
        </w:tc>
      </w:tr>
      <w:tr>
        <w:tblPrEx>
          <w:tblCellMar>
            <w:top w:w="0" w:type="dxa"/>
            <w:left w:w="108" w:type="dxa"/>
            <w:bottom w:w="0" w:type="dxa"/>
            <w:right w:w="108" w:type="dxa"/>
          </w:tblCellMar>
        </w:tblPrEx>
        <w:trPr>
          <w:trHeight w:val="417" w:hRule="atLeast"/>
        </w:trPr>
        <w:tc>
          <w:tcPr>
            <w:tcW w:w="78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125" w:type="dxa"/>
            <w:vMerge w:val="continue"/>
            <w:tcBorders>
              <w:top w:val="nil"/>
              <w:left w:val="nil"/>
              <w:bottom w:val="single" w:color="auto" w:sz="4" w:space="0"/>
              <w:right w:val="single" w:color="auto" w:sz="4" w:space="0"/>
            </w:tcBorders>
            <w:vAlign w:val="center"/>
          </w:tcPr>
          <w:p>
            <w:pPr>
              <w:adjustRightInd w:val="0"/>
              <w:snapToGrid w:val="0"/>
              <w:spacing w:line="340" w:lineRule="exact"/>
              <w:ind w:firstLine="420" w:firstLineChars="200"/>
              <w:jc w:val="center"/>
            </w:pP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游泳生物</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拖网、刺网，12站(含3个刺网站位)</w:t>
            </w:r>
          </w:p>
        </w:tc>
      </w:tr>
      <w:tr>
        <w:tblPrEx>
          <w:tblCellMar>
            <w:top w:w="0" w:type="dxa"/>
            <w:left w:w="108" w:type="dxa"/>
            <w:bottom w:w="0" w:type="dxa"/>
            <w:right w:w="108" w:type="dxa"/>
          </w:tblCellMar>
        </w:tblPrEx>
        <w:trPr>
          <w:trHeight w:val="423" w:hRule="atLeast"/>
        </w:trPr>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pPr>
            <w:r>
              <w:rPr>
                <w:rFonts w:hint="eastAsia"/>
              </w:rPr>
              <w:t>3</w:t>
            </w:r>
          </w:p>
        </w:tc>
        <w:tc>
          <w:tcPr>
            <w:tcW w:w="1125" w:type="dxa"/>
            <w:tcBorders>
              <w:top w:val="single" w:color="auto" w:sz="4" w:space="0"/>
              <w:left w:val="nil"/>
              <w:bottom w:val="single" w:color="auto" w:sz="4" w:space="0"/>
              <w:right w:val="single" w:color="auto" w:sz="4" w:space="0"/>
            </w:tcBorders>
            <w:vAlign w:val="center"/>
          </w:tcPr>
          <w:p>
            <w:pPr>
              <w:adjustRightInd w:val="0"/>
              <w:snapToGrid w:val="0"/>
              <w:spacing w:line="340" w:lineRule="exact"/>
            </w:pPr>
            <w:r>
              <w:rPr>
                <w:rFonts w:hint="eastAsia"/>
              </w:rPr>
              <w:t>人工鱼礁</w:t>
            </w:r>
          </w:p>
        </w:tc>
        <w:tc>
          <w:tcPr>
            <w:tcW w:w="1693" w:type="dxa"/>
            <w:tcBorders>
              <w:top w:val="single" w:color="auto" w:sz="4" w:space="0"/>
              <w:left w:val="nil"/>
              <w:bottom w:val="single" w:color="auto" w:sz="4" w:space="0"/>
              <w:right w:val="single" w:color="auto" w:sz="4" w:space="0"/>
            </w:tcBorders>
          </w:tcPr>
          <w:p>
            <w:pPr>
              <w:adjustRightInd w:val="0"/>
              <w:snapToGrid w:val="0"/>
              <w:spacing w:line="340" w:lineRule="exact"/>
              <w:jc w:val="center"/>
            </w:pPr>
            <w:r>
              <w:rPr>
                <w:rFonts w:hint="eastAsia"/>
              </w:rPr>
              <w:t>海藻/附着生物</w:t>
            </w:r>
          </w:p>
        </w:tc>
        <w:tc>
          <w:tcPr>
            <w:tcW w:w="5464" w:type="dxa"/>
            <w:tcBorders>
              <w:top w:val="single" w:color="auto" w:sz="4" w:space="0"/>
              <w:left w:val="nil"/>
              <w:bottom w:val="single" w:color="auto" w:sz="4" w:space="0"/>
              <w:right w:val="single" w:color="auto" w:sz="4" w:space="0"/>
            </w:tcBorders>
          </w:tcPr>
          <w:p>
            <w:pPr>
              <w:adjustRightInd w:val="0"/>
              <w:snapToGrid w:val="0"/>
              <w:spacing w:line="340" w:lineRule="exact"/>
              <w:ind w:firstLine="420" w:firstLineChars="200"/>
              <w:jc w:val="center"/>
            </w:pPr>
            <w:r>
              <w:rPr>
                <w:rFonts w:hint="eastAsia"/>
              </w:rPr>
              <w:t>潜水取样3站</w:t>
            </w:r>
          </w:p>
        </w:tc>
      </w:tr>
    </w:tbl>
    <w:p>
      <w:pPr>
        <w:adjustRightInd w:val="0"/>
        <w:snapToGrid w:val="0"/>
        <w:spacing w:line="340" w:lineRule="exact"/>
        <w:ind w:firstLine="420" w:firstLineChars="200"/>
      </w:pPr>
    </w:p>
    <w:p>
      <w:pPr>
        <w:adjustRightInd w:val="0"/>
        <w:snapToGrid w:val="0"/>
        <w:spacing w:line="340" w:lineRule="exact"/>
        <w:ind w:firstLine="422" w:firstLineChars="200"/>
        <w:rPr>
          <w:b/>
          <w:bCs/>
        </w:rPr>
      </w:pPr>
      <w:r>
        <w:rPr>
          <w:rFonts w:hint="eastAsia"/>
          <w:b/>
          <w:bCs/>
        </w:rPr>
        <w:t>三、监测评估时间</w:t>
      </w:r>
    </w:p>
    <w:p>
      <w:pPr>
        <w:adjustRightInd w:val="0"/>
        <w:snapToGrid w:val="0"/>
        <w:spacing w:line="340" w:lineRule="exact"/>
        <w:ind w:firstLine="420" w:firstLineChars="200"/>
      </w:pPr>
      <w:r>
        <w:rPr>
          <w:rFonts w:hint="eastAsia"/>
        </w:rPr>
        <w:t>对防城港市白龙珍珠湾海域国家级海洋牧场示范区监测评估时间为4个月。</w:t>
      </w:r>
    </w:p>
    <w:p>
      <w:pPr>
        <w:adjustRightInd w:val="0"/>
        <w:snapToGrid w:val="0"/>
        <w:spacing w:line="340" w:lineRule="exact"/>
        <w:ind w:firstLine="422" w:firstLineChars="200"/>
        <w:rPr>
          <w:b/>
          <w:bCs/>
        </w:rPr>
      </w:pPr>
      <w:r>
        <w:rPr>
          <w:rFonts w:hint="eastAsia"/>
          <w:b/>
          <w:bCs/>
        </w:rPr>
        <w:t>四、监测评估成果指标</w:t>
      </w:r>
    </w:p>
    <w:p>
      <w:pPr>
        <w:adjustRightInd w:val="0"/>
        <w:snapToGrid w:val="0"/>
        <w:spacing w:line="340" w:lineRule="exact"/>
        <w:ind w:firstLine="420" w:firstLineChars="200"/>
      </w:pPr>
      <w:r>
        <w:rPr>
          <w:rFonts w:hint="eastAsia"/>
        </w:rPr>
        <w:t>编制并提交防城港市白龙珍珠湾海域国家级海洋牧场示范区2021年度监测技术报告</w:t>
      </w:r>
      <w:r>
        <w:rPr>
          <w:rFonts w:hint="eastAsia"/>
          <w:lang w:eastAsia="zh-CN"/>
        </w:rPr>
        <w:t>（</w:t>
      </w:r>
      <w:r>
        <w:rPr>
          <w:rFonts w:hint="eastAsia"/>
          <w:lang w:val="en-US" w:eastAsia="zh-CN"/>
        </w:rPr>
        <w:t>一式3份</w:t>
      </w:r>
      <w:r>
        <w:rPr>
          <w:rFonts w:hint="eastAsia"/>
          <w:lang w:eastAsia="zh-CN"/>
        </w:rPr>
        <w:t>）</w:t>
      </w:r>
      <w:r>
        <w:rPr>
          <w:rFonts w:hint="eastAsia"/>
          <w:lang w:val="en-US" w:eastAsia="zh-CN"/>
        </w:rPr>
        <w:t>和相关图、表，制作数据电子文档（1份）</w:t>
      </w:r>
      <w:r>
        <w:rPr>
          <w:rFonts w:hint="eastAsia"/>
        </w:rPr>
        <w:t>。报告质量要求：符合《SC/T 9417-2015 人工鱼礁资源养护效果评价技术规范》、《海洋渔业生物资源调查》（SC/T 9403-2012）、《国家级海洋牧场示范区年度评价及复查办法(试行)》（农办渔[2018]68号）等要求，并出具有专家评审意见。</w:t>
      </w: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spacing w:line="500" w:lineRule="exact"/>
        <w:jc w:val="center"/>
        <w:outlineLvl w:val="0"/>
        <w:rPr>
          <w:rFonts w:ascii="宋体" w:hAnsi="宋体" w:cs="宋体"/>
          <w:b/>
          <w:sz w:val="32"/>
          <w:szCs w:val="32"/>
        </w:rPr>
      </w:pPr>
    </w:p>
    <w:p>
      <w:pPr>
        <w:pStyle w:val="2"/>
      </w:pPr>
    </w:p>
    <w:p>
      <w:pPr>
        <w:pStyle w:val="2"/>
      </w:pPr>
    </w:p>
    <w:p>
      <w:pPr>
        <w:spacing w:line="500" w:lineRule="exact"/>
        <w:jc w:val="center"/>
        <w:outlineLvl w:val="0"/>
        <w:rPr>
          <w:rFonts w:ascii="宋体" w:hAnsi="宋体" w:cs="宋体"/>
          <w:b/>
          <w:sz w:val="32"/>
          <w:szCs w:val="32"/>
        </w:rPr>
      </w:pPr>
      <w:r>
        <w:rPr>
          <w:rFonts w:hint="eastAsia" w:ascii="宋体" w:hAnsi="宋体" w:cs="宋体"/>
          <w:b/>
          <w:sz w:val="32"/>
          <w:szCs w:val="32"/>
        </w:rPr>
        <w:t>第四章 评审方法</w:t>
      </w:r>
      <w:bookmarkEnd w:id="66"/>
    </w:p>
    <w:p>
      <w:pPr>
        <w:pStyle w:val="19"/>
        <w:spacing w:line="310" w:lineRule="atLeast"/>
        <w:rPr>
          <w:rFonts w:hAnsi="宋体" w:cs="宋体"/>
          <w:b/>
          <w:bCs/>
          <w:sz w:val="24"/>
          <w:szCs w:val="24"/>
        </w:rPr>
      </w:pPr>
    </w:p>
    <w:p>
      <w:pPr>
        <w:pStyle w:val="19"/>
        <w:shd w:val="clear" w:color="auto" w:fill="FFFFFF"/>
        <w:spacing w:line="360" w:lineRule="exact"/>
        <w:rPr>
          <w:rFonts w:hAnsi="宋体" w:cs="宋体"/>
          <w:b/>
          <w:sz w:val="24"/>
        </w:rPr>
      </w:pPr>
      <w:bookmarkStart w:id="67" w:name="_Toc322094434"/>
      <w:r>
        <w:rPr>
          <w:rFonts w:hint="eastAsia" w:hAnsi="宋体" w:cs="宋体"/>
          <w:b/>
          <w:sz w:val="24"/>
        </w:rPr>
        <w:t>一、评标原则</w:t>
      </w:r>
    </w:p>
    <w:p>
      <w:pPr>
        <w:shd w:val="clear" w:color="auto" w:fill="FFFFFF"/>
        <w:spacing w:line="360" w:lineRule="exact"/>
        <w:ind w:firstLine="420" w:firstLineChars="200"/>
        <w:rPr>
          <w:rFonts w:hAnsi="宋体" w:cs="宋体"/>
          <w:szCs w:val="21"/>
        </w:rPr>
      </w:pPr>
      <w:r>
        <w:rPr>
          <w:rFonts w:hint="eastAsia" w:ascii="宋体" w:hAnsi="宋体" w:cs="宋体"/>
          <w:szCs w:val="21"/>
        </w:rPr>
        <w:t>（一）磋商小组成：</w:t>
      </w:r>
      <w:r>
        <w:rPr>
          <w:rFonts w:hint="eastAsia" w:hAnsi="宋体" w:cs="宋体"/>
          <w:szCs w:val="21"/>
        </w:rPr>
        <w:t>磋商小组由采购人代表和评审专家共3人以上单数组成，其中评审专家人数不得少于磋商小组成员总数的2/3。</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（二）评审依据：磋商小组将以磋商文件、响应文件为评标依据，对供应商的投标报价、技术和商务三方面内容按百分制打分。</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（三）评标方式：以封闭方式进行。</w:t>
      </w:r>
    </w:p>
    <w:p>
      <w:pPr>
        <w:snapToGrid w:val="0"/>
        <w:spacing w:line="360" w:lineRule="exact"/>
        <w:ind w:firstLine="420" w:firstLineChars="200"/>
        <w:rPr>
          <w:rFonts w:ascii="宋体" w:hAnsi="宋体"/>
          <w:bCs/>
          <w:szCs w:val="21"/>
        </w:rPr>
      </w:pPr>
      <w:r>
        <w:rPr>
          <w:rFonts w:hint="eastAsia" w:hAnsi="宋体" w:cs="宋体"/>
        </w:rPr>
        <w:t>（四）</w:t>
      </w:r>
      <w:r>
        <w:rPr>
          <w:rFonts w:hint="eastAsia" w:ascii="宋体" w:hAnsi="宋体" w:cs="宋体"/>
          <w:bCs/>
          <w:szCs w:val="21"/>
        </w:rPr>
        <w:t>①</w:t>
      </w:r>
      <w:r>
        <w:rPr>
          <w:rFonts w:hint="eastAsia" w:ascii="宋体" w:hAnsi="宋体"/>
          <w:bCs/>
          <w:szCs w:val="21"/>
        </w:rPr>
        <w:t>评标报价为供应商的最终报价进行政策性扣除后的价格，评标报价只是作为评标时使用。最终成交人的成交金额等于最终报价。</w:t>
      </w:r>
    </w:p>
    <w:p>
      <w:pPr>
        <w:snapToGrid w:val="0"/>
        <w:spacing w:line="360" w:lineRule="exact"/>
        <w:ind w:firstLine="420" w:firstLineChars="200"/>
        <w:rPr>
          <w:rFonts w:ascii="宋体" w:hAnsi="宋体"/>
          <w:szCs w:val="21"/>
        </w:rPr>
      </w:pPr>
      <w:r>
        <w:rPr>
          <w:rFonts w:hint="eastAsia" w:ascii="宋体" w:hAnsi="宋体" w:cs="宋体"/>
          <w:bCs/>
          <w:szCs w:val="21"/>
        </w:rPr>
        <w:t>②</w:t>
      </w:r>
      <w:r>
        <w:rPr>
          <w:rFonts w:hint="eastAsia" w:ascii="宋体" w:hAnsi="宋体"/>
          <w:szCs w:val="21"/>
        </w:rPr>
        <w:t>按照《政府采购促进中小企业发展管理办法》（财库﹝2020﹞46 号）的规定，对参加政府采购活动并依法提供《中小企业声明函》的小微企业，对其最终价格给予10%的扣除，用扣除后的价格参与评审。</w:t>
      </w:r>
    </w:p>
    <w:p>
      <w:pPr>
        <w:spacing w:line="360" w:lineRule="exact"/>
        <w:ind w:firstLine="420" w:firstLineChars="200"/>
        <w:rPr>
          <w:rFonts w:ascii="宋体" w:hAnsi="宋体"/>
          <w:bCs/>
          <w:szCs w:val="21"/>
        </w:rPr>
      </w:pPr>
      <w:r>
        <w:rPr>
          <w:rFonts w:hint="eastAsia" w:ascii="宋体" w:hAnsi="宋体" w:cs="宋体"/>
          <w:bCs/>
          <w:szCs w:val="21"/>
        </w:rPr>
        <w:t>③</w:t>
      </w:r>
      <w:r>
        <w:rPr>
          <w:rFonts w:hint="eastAsia" w:ascii="宋体" w:hAnsi="宋体" w:cs="宋体"/>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r>
        <w:rPr>
          <w:rFonts w:hint="eastAsia" w:ascii="宋体" w:hAnsi="宋体"/>
          <w:szCs w:val="21"/>
        </w:rPr>
        <w:t>。</w:t>
      </w:r>
      <w:r>
        <w:rPr>
          <w:rFonts w:hint="eastAsia" w:ascii="宋体" w:hAnsi="宋体"/>
          <w:bCs/>
          <w:szCs w:val="21"/>
        </w:rPr>
        <w:t>不重复享受政策。</w:t>
      </w:r>
    </w:p>
    <w:p>
      <w:pPr>
        <w:snapToGrid w:val="0"/>
        <w:spacing w:line="360" w:lineRule="exact"/>
        <w:ind w:firstLine="420" w:firstLineChars="200"/>
        <w:rPr>
          <w:rFonts w:ascii="宋体" w:hAnsi="宋体"/>
          <w:bCs/>
          <w:szCs w:val="21"/>
        </w:rPr>
      </w:pPr>
      <w:r>
        <w:rPr>
          <w:rFonts w:hint="eastAsia" w:ascii="宋体" w:hAnsi="宋体" w:cs="宋体"/>
          <w:szCs w:val="21"/>
        </w:rPr>
        <w:t>④</w:t>
      </w:r>
      <w:r>
        <w:rPr>
          <w:rFonts w:hint="eastAsia" w:ascii="宋体" w:hAnsi="宋体"/>
          <w:szCs w:val="21"/>
        </w:rPr>
        <w:t>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不重复享受政策。</w:t>
      </w:r>
    </w:p>
    <w:p>
      <w:pPr>
        <w:snapToGrid w:val="0"/>
        <w:spacing w:line="360" w:lineRule="exact"/>
        <w:ind w:firstLine="420" w:firstLineChars="200"/>
        <w:rPr>
          <w:rFonts w:ascii="宋体" w:hAnsi="宋体"/>
          <w:szCs w:val="21"/>
        </w:rPr>
      </w:pPr>
      <w:r>
        <w:rPr>
          <w:rFonts w:hint="eastAsia" w:ascii="宋体" w:hAnsi="宋体" w:cs="宋体"/>
          <w:szCs w:val="21"/>
        </w:rPr>
        <w:t>⑤</w:t>
      </w:r>
      <w:r>
        <w:rPr>
          <w:rFonts w:hint="eastAsia" w:ascii="宋体" w:hAnsi="宋体"/>
          <w:szCs w:val="21"/>
        </w:rPr>
        <w:t>政策性扣除计算方法。</w:t>
      </w:r>
    </w:p>
    <w:p>
      <w:pPr>
        <w:snapToGrid w:val="0"/>
        <w:spacing w:line="360" w:lineRule="exact"/>
        <w:ind w:firstLine="233" w:firstLineChars="111"/>
        <w:rPr>
          <w:rFonts w:ascii="宋体" w:hAnsi="宋体"/>
          <w:szCs w:val="21"/>
        </w:rPr>
      </w:pPr>
      <w:r>
        <w:rPr>
          <w:rFonts w:hint="eastAsia" w:ascii="宋体" w:hAnsi="宋体"/>
          <w:szCs w:val="21"/>
        </w:rPr>
        <w:t>供应商被评定为监狱企业或残疾人福利性单位或小型和微型企业且其所投标全部产品为小型和微型企业产品的，该供应商的最终报价给予10%的扣除，扣除后的价格为评标报价，即评标报价=最终报价×（1-10%）；除上述情况外，评标报价=投标报价。</w:t>
      </w:r>
    </w:p>
    <w:p>
      <w:pPr>
        <w:pStyle w:val="19"/>
        <w:shd w:val="clear" w:color="auto" w:fill="FFFFFF"/>
        <w:spacing w:line="360" w:lineRule="exact"/>
        <w:rPr>
          <w:rFonts w:hAnsi="宋体" w:cs="宋体"/>
          <w:b/>
          <w:sz w:val="24"/>
        </w:rPr>
      </w:pPr>
      <w:r>
        <w:rPr>
          <w:rFonts w:hint="eastAsia" w:hAnsi="宋体" w:cs="宋体"/>
          <w:b/>
          <w:sz w:val="24"/>
        </w:rPr>
        <w:t>二、评审程序</w:t>
      </w:r>
    </w:p>
    <w:p>
      <w:pPr>
        <w:pStyle w:val="19"/>
        <w:spacing w:line="360" w:lineRule="exact"/>
        <w:ind w:firstLine="420" w:firstLineChars="200"/>
        <w:rPr>
          <w:rFonts w:hAnsi="宋体" w:cs="宋体"/>
        </w:rPr>
      </w:pPr>
      <w:r>
        <w:rPr>
          <w:rFonts w:hint="eastAsia" w:hAnsi="宋体" w:cs="宋体"/>
        </w:rPr>
        <w:t>1.符合性审查</w:t>
      </w:r>
    </w:p>
    <w:p>
      <w:pPr>
        <w:pStyle w:val="19"/>
        <w:spacing w:line="360" w:lineRule="exact"/>
        <w:ind w:firstLine="420" w:firstLineChars="200"/>
        <w:rPr>
          <w:rFonts w:hAnsi="宋体" w:cs="宋体"/>
        </w:rPr>
      </w:pPr>
      <w:r>
        <w:rPr>
          <w:rFonts w:hint="eastAsia" w:hAnsi="宋体" w:cs="宋体"/>
        </w:rPr>
        <w:t>评审小组应当对资格审查合格的供应商的响应文件进行投标报价、商务、技术等实质性要求进行符合性审查，以确定其是否满足采购文件的实质性要求。</w:t>
      </w:r>
    </w:p>
    <w:p>
      <w:pPr>
        <w:pStyle w:val="19"/>
        <w:spacing w:line="360" w:lineRule="exact"/>
        <w:ind w:firstLine="420" w:firstLineChars="200"/>
        <w:rPr>
          <w:rFonts w:hAnsi="宋体" w:cs="宋体"/>
        </w:rPr>
      </w:pPr>
      <w:r>
        <w:rPr>
          <w:rFonts w:hint="eastAsia" w:hAnsi="宋体" w:cs="宋体"/>
        </w:rPr>
        <w:t>2.符合性审查不通过而导致投标无效的情形</w:t>
      </w:r>
    </w:p>
    <w:p>
      <w:pPr>
        <w:pStyle w:val="19"/>
        <w:spacing w:line="360" w:lineRule="exact"/>
        <w:ind w:firstLine="420" w:firstLineChars="200"/>
        <w:rPr>
          <w:rFonts w:hAnsi="宋体" w:cs="宋体"/>
        </w:rPr>
      </w:pPr>
      <w:r>
        <w:rPr>
          <w:rFonts w:hint="eastAsia" w:hAnsi="宋体" w:cs="宋体"/>
        </w:rPr>
        <w:t>供应商的响应文件中存在对采购文件的任何实质性要求和条件的负偏离，其投标将被视为投标无效。</w:t>
      </w:r>
    </w:p>
    <w:p>
      <w:pPr>
        <w:pStyle w:val="19"/>
        <w:spacing w:line="360" w:lineRule="exact"/>
        <w:ind w:firstLine="420" w:firstLineChars="200"/>
        <w:rPr>
          <w:rFonts w:hAnsi="宋体" w:cs="宋体"/>
        </w:rPr>
      </w:pPr>
      <w:r>
        <w:rPr>
          <w:rFonts w:hint="eastAsia" w:hAnsi="宋体" w:cs="宋体"/>
        </w:rPr>
        <w:t>2.1在报价评审时，如发现下列情形之一的，将被视为投标无效：</w:t>
      </w:r>
    </w:p>
    <w:p>
      <w:pPr>
        <w:pStyle w:val="19"/>
        <w:spacing w:line="360" w:lineRule="exact"/>
        <w:ind w:firstLine="420" w:firstLineChars="200"/>
        <w:rPr>
          <w:rFonts w:hAnsi="宋体" w:cs="宋体"/>
        </w:rPr>
      </w:pPr>
      <w:r>
        <w:rPr>
          <w:rFonts w:hint="eastAsia" w:hAnsi="宋体" w:cs="宋体"/>
        </w:rPr>
        <w:t>（1）响应文件未提供“资格审查文件、商务技术文件、投标报价”规定必须提供的文件资料；</w:t>
      </w:r>
    </w:p>
    <w:p>
      <w:pPr>
        <w:pStyle w:val="19"/>
        <w:spacing w:line="360" w:lineRule="exact"/>
        <w:ind w:firstLine="420" w:firstLineChars="200"/>
        <w:rPr>
          <w:rFonts w:hAnsi="宋体" w:cs="宋体"/>
        </w:rPr>
      </w:pPr>
      <w:r>
        <w:rPr>
          <w:rFonts w:hint="eastAsia" w:hAnsi="宋体" w:cs="宋体"/>
        </w:rPr>
        <w:t>（2）未采用人民币报价或者未按照采购文件标明的币种报价的；</w:t>
      </w:r>
    </w:p>
    <w:p>
      <w:pPr>
        <w:pStyle w:val="19"/>
        <w:spacing w:line="360" w:lineRule="exact"/>
        <w:ind w:firstLine="420" w:firstLineChars="200"/>
        <w:rPr>
          <w:rFonts w:hAnsi="宋体" w:cs="宋体"/>
        </w:rPr>
      </w:pPr>
      <w:r>
        <w:rPr>
          <w:rFonts w:hint="eastAsia" w:hAnsi="宋体" w:cs="宋体"/>
        </w:rPr>
        <w:t>（3）报价超出采购文件规定最高限价，或者超出采购预算金额的；</w:t>
      </w:r>
    </w:p>
    <w:p>
      <w:pPr>
        <w:pStyle w:val="19"/>
        <w:spacing w:line="360" w:lineRule="exact"/>
        <w:ind w:firstLine="420" w:firstLineChars="200"/>
        <w:rPr>
          <w:rFonts w:hAnsi="宋体" w:cs="宋体"/>
        </w:rPr>
      </w:pPr>
      <w:r>
        <w:rPr>
          <w:rFonts w:hint="eastAsia" w:hAnsi="宋体" w:cs="宋体"/>
        </w:rPr>
        <w:t>（4）供应商未就所投分标进行报价或存在漏项报价；供应商未就所投分标的单项内容作唯一报价；供应商未就所投分标的全部内容作唯一总价报价；存在有选择、有条件报价的（采购文件允许有备选方案或其他约定的除外）；</w:t>
      </w:r>
    </w:p>
    <w:p>
      <w:pPr>
        <w:pStyle w:val="19"/>
        <w:spacing w:line="360" w:lineRule="exact"/>
        <w:ind w:firstLine="420" w:firstLineChars="200"/>
        <w:rPr>
          <w:rFonts w:hAnsi="宋体" w:cs="宋体"/>
        </w:rPr>
      </w:pPr>
      <w:r>
        <w:rPr>
          <w:rFonts w:hint="eastAsia" w:hAnsi="宋体" w:cs="宋体"/>
        </w:rPr>
        <w:t>（5）修正后的报价，供应商不确认的。</w:t>
      </w:r>
    </w:p>
    <w:p>
      <w:pPr>
        <w:pStyle w:val="19"/>
        <w:spacing w:line="360" w:lineRule="exact"/>
        <w:ind w:firstLine="420" w:firstLineChars="200"/>
        <w:rPr>
          <w:rFonts w:hAnsi="宋体" w:cs="宋体"/>
        </w:rPr>
      </w:pPr>
      <w:r>
        <w:rPr>
          <w:rFonts w:hint="eastAsia" w:hAnsi="宋体" w:cs="宋体"/>
        </w:rPr>
        <w:t>2.2在商务评审时，如发现下列情形之一的，将被视为投标无效：</w:t>
      </w:r>
    </w:p>
    <w:p>
      <w:pPr>
        <w:pStyle w:val="19"/>
        <w:spacing w:line="360" w:lineRule="exact"/>
        <w:ind w:firstLine="420" w:firstLineChars="200"/>
        <w:rPr>
          <w:rFonts w:hAnsi="宋体" w:cs="宋体"/>
        </w:rPr>
      </w:pPr>
      <w:r>
        <w:rPr>
          <w:rFonts w:hint="eastAsia" w:hAnsi="宋体" w:cs="宋体"/>
        </w:rPr>
        <w:t>（1）响应文件未按采购文件要求密封、签署、盖章的；</w:t>
      </w:r>
    </w:p>
    <w:p>
      <w:pPr>
        <w:pStyle w:val="19"/>
        <w:spacing w:line="360" w:lineRule="exact"/>
        <w:ind w:firstLine="420" w:firstLineChars="200"/>
        <w:rPr>
          <w:rFonts w:hAnsi="宋体" w:cs="宋体"/>
        </w:rPr>
      </w:pPr>
      <w:r>
        <w:rPr>
          <w:rFonts w:hint="eastAsia" w:hAnsi="宋体" w:cs="宋体"/>
        </w:rPr>
        <w:t>（2）投标有效期、项目完成时间、售后服务等商务条款发生负偏离的；</w:t>
      </w:r>
    </w:p>
    <w:p>
      <w:pPr>
        <w:pStyle w:val="19"/>
        <w:spacing w:line="360" w:lineRule="exact"/>
        <w:ind w:firstLine="420" w:firstLineChars="200"/>
        <w:rPr>
          <w:rFonts w:hAnsi="宋体" w:cs="宋体"/>
        </w:rPr>
      </w:pPr>
      <w:r>
        <w:rPr>
          <w:rFonts w:hint="eastAsia" w:hAnsi="宋体" w:cs="宋体"/>
        </w:rPr>
        <w:t>（3）响应文件的实质性内容未使用中文表述、使用计量单位不符合采购文件要求的；</w:t>
      </w:r>
    </w:p>
    <w:p>
      <w:pPr>
        <w:pStyle w:val="19"/>
        <w:spacing w:line="360" w:lineRule="exact"/>
        <w:ind w:firstLine="420" w:firstLineChars="200"/>
        <w:rPr>
          <w:rFonts w:hAnsi="宋体" w:cs="宋体"/>
        </w:rPr>
      </w:pPr>
      <w:r>
        <w:rPr>
          <w:rFonts w:hint="eastAsia" w:hAnsi="宋体" w:cs="宋体"/>
        </w:rPr>
        <w:t>（4）响应文件中的文件资料因填写不齐全或者内容虚假或者出现其他情形而导致被评审小组认定无效的；</w:t>
      </w:r>
    </w:p>
    <w:p>
      <w:pPr>
        <w:pStyle w:val="19"/>
        <w:spacing w:line="360" w:lineRule="exact"/>
        <w:ind w:firstLine="420" w:firstLineChars="200"/>
        <w:rPr>
          <w:rFonts w:hAnsi="宋体" w:cs="宋体"/>
        </w:rPr>
      </w:pPr>
      <w:r>
        <w:rPr>
          <w:rFonts w:hint="eastAsia" w:hAnsi="宋体" w:cs="宋体"/>
        </w:rPr>
        <w:t>（5）投标方案不明确，采购文件未允许但存在一个或一个以上备选（替代）投标方案的。</w:t>
      </w:r>
    </w:p>
    <w:p>
      <w:pPr>
        <w:pStyle w:val="19"/>
        <w:spacing w:line="360" w:lineRule="exact"/>
        <w:ind w:firstLine="420" w:firstLineChars="200"/>
        <w:rPr>
          <w:rFonts w:hAnsi="宋体" w:cs="宋体"/>
        </w:rPr>
      </w:pPr>
      <w:r>
        <w:rPr>
          <w:rFonts w:hint="eastAsia" w:hAnsi="宋体" w:cs="宋体"/>
        </w:rPr>
        <w:t>（6）响应文件含有采购人不能接受的附加条件的；</w:t>
      </w:r>
    </w:p>
    <w:p>
      <w:pPr>
        <w:pStyle w:val="19"/>
        <w:spacing w:line="360" w:lineRule="exact"/>
        <w:ind w:firstLine="420" w:firstLineChars="200"/>
        <w:rPr>
          <w:rFonts w:hAnsi="宋体" w:cs="宋体"/>
        </w:rPr>
      </w:pPr>
      <w:r>
        <w:rPr>
          <w:rFonts w:hint="eastAsia" w:hAnsi="宋体" w:cs="宋体"/>
        </w:rPr>
        <w:t>（7）未响应采购文件实质性要求的；</w:t>
      </w:r>
    </w:p>
    <w:p>
      <w:pPr>
        <w:pStyle w:val="19"/>
        <w:spacing w:line="360" w:lineRule="exact"/>
        <w:ind w:firstLine="420" w:firstLineChars="200"/>
        <w:rPr>
          <w:rFonts w:hAnsi="宋体" w:cs="宋体"/>
        </w:rPr>
      </w:pPr>
      <w:r>
        <w:rPr>
          <w:rFonts w:hint="eastAsia" w:hAnsi="宋体" w:cs="宋体"/>
        </w:rPr>
        <w:t>（8）法律、法规和采购文件规定的其他无效情形。</w:t>
      </w:r>
    </w:p>
    <w:p>
      <w:pPr>
        <w:pStyle w:val="19"/>
        <w:shd w:val="clear" w:color="auto" w:fill="FFFFFF"/>
        <w:spacing w:line="360" w:lineRule="exact"/>
        <w:rPr>
          <w:rFonts w:hAnsi="宋体" w:cs="宋体"/>
          <w:b/>
          <w:sz w:val="24"/>
        </w:rPr>
      </w:pPr>
      <w:r>
        <w:rPr>
          <w:rFonts w:hint="eastAsia" w:hAnsi="宋体" w:cs="宋体"/>
          <w:b/>
          <w:sz w:val="24"/>
        </w:rPr>
        <w:t>二、评定方法</w:t>
      </w:r>
      <w:bookmarkEnd w:id="67"/>
    </w:p>
    <w:p>
      <w:pPr>
        <w:spacing w:line="360" w:lineRule="exact"/>
        <w:ind w:firstLine="420" w:firstLineChars="200"/>
        <w:rPr>
          <w:rFonts w:ascii="宋体" w:hAnsi="宋体" w:cs="宋体"/>
          <w:szCs w:val="21"/>
        </w:rPr>
      </w:pPr>
      <w:bookmarkStart w:id="68" w:name="_Toc322094435"/>
      <w:r>
        <w:rPr>
          <w:rFonts w:hint="eastAsia" w:ascii="宋体" w:hAnsi="宋体" w:cs="宋体"/>
          <w:szCs w:val="21"/>
        </w:rPr>
        <w:t>（一）对进入详评的，采用百分制综合评分法。</w:t>
      </w:r>
      <w:bookmarkEnd w:id="68"/>
    </w:p>
    <w:p>
      <w:pPr>
        <w:spacing w:line="360" w:lineRule="exact"/>
        <w:ind w:firstLine="420" w:firstLineChars="200"/>
        <w:rPr>
          <w:rFonts w:ascii="宋体" w:hAnsi="宋体" w:cs="宋体"/>
          <w:szCs w:val="21"/>
        </w:rPr>
      </w:pPr>
      <w:bookmarkStart w:id="69" w:name="_Toc322094436"/>
      <w:r>
        <w:rPr>
          <w:rFonts w:hint="eastAsia" w:ascii="宋体" w:hAnsi="宋体" w:cs="宋体"/>
          <w:szCs w:val="21"/>
        </w:rPr>
        <w:t>（二）计分办法（按四舍五入取至百分位）。</w:t>
      </w:r>
      <w:bookmarkEnd w:id="69"/>
    </w:p>
    <w:p>
      <w:pPr>
        <w:shd w:val="clear" w:color="auto" w:fill="FFFFFF"/>
        <w:spacing w:line="360" w:lineRule="exact"/>
        <w:ind w:firstLine="422" w:firstLineChars="200"/>
        <w:rPr>
          <w:rFonts w:ascii="宋体" w:hAnsi="宋体" w:cs="宋体"/>
          <w:b/>
          <w:kern w:val="0"/>
          <w:szCs w:val="21"/>
        </w:rPr>
      </w:pPr>
      <w:bookmarkStart w:id="70" w:name="_Toc472928261"/>
      <w:r>
        <w:rPr>
          <w:rFonts w:hint="eastAsia" w:ascii="宋体" w:hAnsi="宋体" w:cs="宋体"/>
          <w:b/>
          <w:kern w:val="0"/>
          <w:szCs w:val="21"/>
        </w:rPr>
        <w:t>1.价格分（满分10分</w:t>
      </w:r>
      <w:bookmarkEnd w:id="70"/>
      <w:r>
        <w:rPr>
          <w:rFonts w:hint="eastAsia" w:ascii="宋体" w:hAnsi="宋体" w:cs="宋体"/>
          <w:b/>
          <w:kern w:val="0"/>
          <w:szCs w:val="21"/>
        </w:rPr>
        <w:t>）</w:t>
      </w:r>
    </w:p>
    <w:p>
      <w:pPr>
        <w:shd w:val="clear" w:color="auto" w:fill="FFFFFF"/>
        <w:spacing w:line="360" w:lineRule="exact"/>
        <w:ind w:firstLine="420" w:firstLineChars="200"/>
        <w:rPr>
          <w:rFonts w:ascii="宋体" w:hAnsi="宋体" w:cs="宋体"/>
          <w:bCs/>
          <w:kern w:val="0"/>
          <w:szCs w:val="21"/>
        </w:rPr>
      </w:pPr>
      <w:bookmarkStart w:id="71" w:name="_Toc322094438"/>
      <w:r>
        <w:rPr>
          <w:rFonts w:hint="eastAsia" w:ascii="宋体" w:hAnsi="宋体" w:cs="宋体"/>
          <w:bCs/>
          <w:kern w:val="0"/>
          <w:szCs w:val="21"/>
        </w:rPr>
        <w:t>（1）价格分统一采用低价优先法计算，即满足磋商文件要求且评审报价最低的供应商的评审报价为磋商基准价，其价格分为满分。</w:t>
      </w:r>
    </w:p>
    <w:p>
      <w:pPr>
        <w:shd w:val="clear" w:color="auto" w:fill="FFFFFF"/>
        <w:spacing w:line="360" w:lineRule="exact"/>
        <w:ind w:firstLine="420" w:firstLineChars="200"/>
        <w:rPr>
          <w:rFonts w:ascii="宋体" w:hAnsi="宋体" w:cs="宋体"/>
          <w:bCs/>
          <w:kern w:val="0"/>
          <w:szCs w:val="21"/>
        </w:rPr>
      </w:pPr>
      <w:r>
        <w:rPr>
          <w:rFonts w:hint="eastAsia" w:ascii="宋体" w:hAnsi="宋体" w:cs="宋体"/>
          <w:bCs/>
          <w:kern w:val="0"/>
          <w:szCs w:val="21"/>
        </w:rPr>
        <w:t>（2）其他供应商的价格分统一按照下列公式计算：</w:t>
      </w:r>
    </w:p>
    <w:bookmarkEnd w:id="71"/>
    <w:p>
      <w:pPr>
        <w:shd w:val="clear" w:color="auto" w:fill="FFFFFF"/>
        <w:spacing w:line="360" w:lineRule="exact"/>
        <w:ind w:firstLine="420" w:firstLineChars="200"/>
        <w:rPr>
          <w:rFonts w:ascii="宋体" w:hAnsi="宋体" w:cs="宋体"/>
          <w:bCs/>
          <w:kern w:val="0"/>
          <w:szCs w:val="21"/>
        </w:rPr>
      </w:pPr>
      <w:r>
        <w:rPr>
          <w:rFonts w:hint="eastAsia" w:ascii="宋体" w:hAnsi="宋体" w:cs="宋体"/>
          <w:bCs/>
          <w:kern w:val="0"/>
          <w:szCs w:val="21"/>
        </w:rPr>
        <w:t xml:space="preserve">                              磋商基准价</w:t>
      </w:r>
    </w:p>
    <w:p>
      <w:pPr>
        <w:shd w:val="clear" w:color="auto" w:fill="FFFFFF"/>
        <w:spacing w:line="360" w:lineRule="exact"/>
        <w:ind w:firstLine="420" w:firstLineChars="200"/>
        <w:rPr>
          <w:rFonts w:ascii="宋体" w:hAnsi="宋体" w:cs="宋体"/>
          <w:bCs/>
          <w:kern w:val="0"/>
          <w:szCs w:val="21"/>
        </w:rPr>
      </w:pPr>
      <w:r>
        <w:rPr>
          <w:rFonts w:hint="eastAsia" w:ascii="宋体" w:hAnsi="宋体" w:cs="宋体"/>
          <w:bCs/>
          <w:kern w:val="0"/>
          <w:szCs w:val="21"/>
        </w:rPr>
        <w:t>某有效供应商价格分 =   --------------------- ×10分</w:t>
      </w:r>
    </w:p>
    <w:p>
      <w:pPr>
        <w:shd w:val="clear" w:color="auto" w:fill="FFFFFF"/>
        <w:spacing w:line="360" w:lineRule="exact"/>
        <w:ind w:firstLine="420" w:firstLineChars="200"/>
        <w:rPr>
          <w:rFonts w:ascii="宋体" w:hAnsi="宋体" w:cs="宋体"/>
          <w:bCs/>
          <w:kern w:val="0"/>
          <w:szCs w:val="21"/>
        </w:rPr>
      </w:pPr>
      <w:r>
        <w:rPr>
          <w:rFonts w:hint="eastAsia" w:ascii="宋体" w:hAnsi="宋体" w:cs="宋体"/>
          <w:bCs/>
          <w:kern w:val="0"/>
          <w:szCs w:val="21"/>
        </w:rPr>
        <w:t xml:space="preserve">                         某有效供应商评审报价</w:t>
      </w:r>
    </w:p>
    <w:p>
      <w:pPr>
        <w:ind w:firstLine="562"/>
        <w:rPr>
          <w:rFonts w:ascii="仿宋" w:hAnsi="仿宋"/>
          <w:b/>
        </w:rPr>
      </w:pPr>
      <w:r>
        <w:rPr>
          <w:rFonts w:hint="eastAsia" w:ascii="仿宋" w:hAnsi="仿宋"/>
          <w:b/>
        </w:rPr>
        <w:t xml:space="preserve">2.技术分（满分60分） </w:t>
      </w:r>
    </w:p>
    <w:p>
      <w:pPr>
        <w:ind w:firstLine="560"/>
        <w:rPr>
          <w:rFonts w:ascii="仿宋" w:hAnsi="仿宋"/>
        </w:rPr>
      </w:pPr>
      <w:r>
        <w:rPr>
          <w:rFonts w:hint="eastAsia" w:ascii="仿宋" w:hAnsi="仿宋"/>
        </w:rPr>
        <w:t>（1）</w:t>
      </w:r>
      <w:r>
        <w:rPr>
          <w:rFonts w:hint="eastAsia" w:ascii="宋体" w:hAnsi="宋体"/>
          <w:bCs/>
          <w:kern w:val="0"/>
          <w:szCs w:val="21"/>
        </w:rPr>
        <w:t>工作方法及技术方案</w:t>
      </w:r>
      <w:r>
        <w:rPr>
          <w:rFonts w:hint="eastAsia" w:ascii="宋体" w:hAnsi="宋体"/>
          <w:bCs/>
          <w:szCs w:val="21"/>
        </w:rPr>
        <w:t>分</w:t>
      </w:r>
      <w:r>
        <w:rPr>
          <w:rFonts w:hint="eastAsia" w:ascii="仿宋" w:hAnsi="仿宋"/>
        </w:rPr>
        <w:t>（满分15分）</w:t>
      </w:r>
    </w:p>
    <w:p>
      <w:pPr>
        <w:ind w:firstLine="560"/>
        <w:rPr>
          <w:rFonts w:ascii="仿宋" w:hAnsi="仿宋"/>
        </w:rPr>
      </w:pPr>
      <w:r>
        <w:rPr>
          <w:rFonts w:hint="eastAsia" w:ascii="仿宋" w:hAnsi="仿宋"/>
        </w:rPr>
        <w:t>一档（5分）：</w:t>
      </w:r>
      <w:r>
        <w:rPr>
          <w:rFonts w:hint="eastAsia" w:ascii="宋体" w:hAnsi="宋体"/>
          <w:bCs/>
          <w:kern w:val="0"/>
          <w:szCs w:val="21"/>
        </w:rPr>
        <w:t>工作方法及</w:t>
      </w:r>
      <w:r>
        <w:rPr>
          <w:rFonts w:hint="eastAsia" w:ascii="仿宋" w:hAnsi="仿宋"/>
        </w:rPr>
        <w:t>技术方案简单，</w:t>
      </w:r>
      <w:r>
        <w:rPr>
          <w:rFonts w:hint="eastAsia" w:hAnsi="宋体"/>
          <w:bCs/>
        </w:rPr>
        <w:t>技术基本符合规范规定</w:t>
      </w:r>
      <w:r>
        <w:rPr>
          <w:rFonts w:hint="eastAsia" w:ascii="仿宋" w:hAnsi="仿宋"/>
        </w:rPr>
        <w:t xml:space="preserve">；  </w:t>
      </w:r>
    </w:p>
    <w:p>
      <w:pPr>
        <w:ind w:firstLine="560"/>
        <w:rPr>
          <w:rFonts w:ascii="仿宋" w:hAnsi="仿宋"/>
        </w:rPr>
      </w:pPr>
      <w:r>
        <w:rPr>
          <w:rFonts w:hint="eastAsia" w:ascii="仿宋" w:hAnsi="仿宋"/>
        </w:rPr>
        <w:t>二档（10分）：</w:t>
      </w:r>
      <w:r>
        <w:rPr>
          <w:rFonts w:hint="eastAsia" w:ascii="宋体" w:hAnsi="宋体"/>
          <w:bCs/>
          <w:kern w:val="0"/>
          <w:szCs w:val="21"/>
        </w:rPr>
        <w:t>工作方法及</w:t>
      </w:r>
      <w:r>
        <w:rPr>
          <w:rFonts w:hint="eastAsia" w:ascii="仿宋" w:hAnsi="仿宋"/>
        </w:rPr>
        <w:t>技术方案可行，有一定的可操作性；</w:t>
      </w:r>
    </w:p>
    <w:p>
      <w:pPr>
        <w:ind w:firstLine="560"/>
        <w:rPr>
          <w:rFonts w:ascii="仿宋" w:hAnsi="仿宋"/>
        </w:rPr>
      </w:pPr>
      <w:r>
        <w:rPr>
          <w:rFonts w:hint="eastAsia" w:ascii="仿宋" w:hAnsi="仿宋"/>
        </w:rPr>
        <w:t>三档（15分）：</w:t>
      </w:r>
      <w:r>
        <w:rPr>
          <w:rFonts w:hint="eastAsia" w:ascii="宋体" w:hAnsi="宋体"/>
          <w:bCs/>
          <w:kern w:val="0"/>
          <w:szCs w:val="21"/>
        </w:rPr>
        <w:t>工作方法及</w:t>
      </w:r>
      <w:r>
        <w:rPr>
          <w:rFonts w:hint="eastAsia" w:ascii="仿宋" w:hAnsi="仿宋"/>
        </w:rPr>
        <w:t>技术方案先进，重点突出，措施得力，操作性强。</w:t>
      </w:r>
    </w:p>
    <w:p>
      <w:pPr>
        <w:ind w:firstLine="560"/>
        <w:rPr>
          <w:rFonts w:ascii="仿宋" w:hAnsi="仿宋"/>
        </w:rPr>
      </w:pPr>
      <w:r>
        <w:rPr>
          <w:rFonts w:hint="eastAsia" w:ascii="仿宋" w:hAnsi="仿宋"/>
        </w:rPr>
        <w:t>（2）实施方案（满分15分）</w:t>
      </w:r>
    </w:p>
    <w:p>
      <w:pPr>
        <w:ind w:firstLine="560"/>
        <w:rPr>
          <w:rFonts w:ascii="仿宋" w:hAnsi="仿宋"/>
        </w:rPr>
      </w:pPr>
      <w:r>
        <w:rPr>
          <w:rFonts w:hint="eastAsia" w:ascii="仿宋" w:hAnsi="仿宋"/>
        </w:rPr>
        <w:t>一档（5分）：实施方案一般，工作思路简单，人员配备、进度安排及推进措施简单。</w:t>
      </w:r>
    </w:p>
    <w:p>
      <w:pPr>
        <w:ind w:firstLine="560"/>
        <w:rPr>
          <w:rFonts w:ascii="仿宋" w:hAnsi="仿宋"/>
        </w:rPr>
      </w:pPr>
      <w:r>
        <w:rPr>
          <w:rFonts w:hint="eastAsia" w:ascii="仿宋" w:hAnsi="仿宋"/>
        </w:rPr>
        <w:t>二档（10分）：实施方案可行，工作思路清晰，人员配备、进度安排及推进措施比较详细。</w:t>
      </w:r>
    </w:p>
    <w:p>
      <w:pPr>
        <w:ind w:firstLine="560"/>
        <w:rPr>
          <w:rFonts w:ascii="仿宋" w:hAnsi="仿宋"/>
        </w:rPr>
      </w:pPr>
      <w:r>
        <w:rPr>
          <w:rFonts w:hint="eastAsia" w:ascii="仿宋" w:hAnsi="仿宋"/>
        </w:rPr>
        <w:t>三档（</w:t>
      </w:r>
      <w:r>
        <w:rPr>
          <w:rFonts w:ascii="仿宋" w:hAnsi="仿宋"/>
        </w:rPr>
        <w:t>1</w:t>
      </w:r>
      <w:r>
        <w:rPr>
          <w:rFonts w:hint="eastAsia" w:ascii="仿宋" w:hAnsi="仿宋"/>
        </w:rPr>
        <w:t>5分）：实施方案先进，工作思路准确、完整，人员配备、进度安排及推进措施考虑周全，项目实施有良好保证。</w:t>
      </w:r>
    </w:p>
    <w:p>
      <w:pPr>
        <w:ind w:firstLine="560"/>
        <w:rPr>
          <w:rFonts w:ascii="仿宋" w:hAnsi="仿宋"/>
        </w:rPr>
      </w:pPr>
      <w:r>
        <w:rPr>
          <w:rFonts w:hint="eastAsia" w:ascii="仿宋" w:hAnsi="仿宋"/>
        </w:rPr>
        <w:t>（3）服务承诺分（满分9分）</w:t>
      </w:r>
    </w:p>
    <w:p>
      <w:pPr>
        <w:ind w:firstLine="630" w:firstLineChars="300"/>
        <w:rPr>
          <w:rFonts w:ascii="仿宋" w:hAnsi="仿宋"/>
        </w:rPr>
      </w:pPr>
      <w:r>
        <w:rPr>
          <w:rFonts w:hint="eastAsia" w:ascii="仿宋" w:hAnsi="仿宋"/>
        </w:rPr>
        <w:t>一档(3分)：描述简单，措施不够明确，服务仅满足要求，有可行的承诺，综合评定为一般；</w:t>
      </w:r>
    </w:p>
    <w:p>
      <w:pPr>
        <w:ind w:firstLine="630" w:firstLineChars="300"/>
        <w:rPr>
          <w:rFonts w:ascii="仿宋" w:hAnsi="仿宋"/>
        </w:rPr>
      </w:pPr>
      <w:r>
        <w:rPr>
          <w:rFonts w:hint="eastAsia" w:ascii="仿宋" w:hAnsi="仿宋"/>
        </w:rPr>
        <w:t>二档(6分)：描述详细，措施明确，服务较优，有保障，为采购人提供的服务承诺有合理的保障，综合评定为良好。</w:t>
      </w:r>
    </w:p>
    <w:p>
      <w:pPr>
        <w:ind w:firstLine="630" w:firstLineChars="300"/>
        <w:rPr>
          <w:rFonts w:ascii="仿宋" w:hAnsi="仿宋"/>
        </w:rPr>
      </w:pPr>
      <w:r>
        <w:rPr>
          <w:rFonts w:hint="eastAsia" w:ascii="仿宋" w:hAnsi="仿宋"/>
        </w:rPr>
        <w:t>三档(9分)：描述详细，措施明确，服务较优，有保障，为采购人提供的服务承诺有合理的保障，综合评定为优秀。</w:t>
      </w:r>
    </w:p>
    <w:p>
      <w:pPr>
        <w:ind w:firstLine="420" w:firstLineChars="200"/>
      </w:pPr>
      <w:r>
        <w:rPr>
          <w:rFonts w:hint="eastAsia" w:ascii="仿宋" w:hAnsi="仿宋"/>
        </w:rPr>
        <w:t>（4）拟投入</w:t>
      </w:r>
      <w:r>
        <w:rPr>
          <w:rFonts w:hint="eastAsia" w:ascii="宋体" w:hAnsi="宋体"/>
          <w:bCs/>
          <w:color w:val="000000"/>
          <w:szCs w:val="21"/>
        </w:rPr>
        <w:t>技术人员配置分</w:t>
      </w:r>
      <w:r>
        <w:rPr>
          <w:rFonts w:hint="eastAsia" w:ascii="仿宋" w:hAnsi="仿宋"/>
        </w:rPr>
        <w:t>（</w:t>
      </w:r>
      <w:bookmarkStart w:id="111" w:name="_GoBack"/>
      <w:bookmarkEnd w:id="111"/>
      <w:r>
        <w:rPr>
          <w:rFonts w:hint="eastAsia" w:ascii="仿宋" w:hAnsi="仿宋"/>
        </w:rPr>
        <w:t>满分21分）</w:t>
      </w:r>
    </w:p>
    <w:p>
      <w:pPr>
        <w:ind w:firstLine="562"/>
        <w:rPr>
          <w:rFonts w:ascii="仿宋" w:hAnsi="仿宋"/>
          <w:bCs/>
        </w:rPr>
      </w:pPr>
      <w:r>
        <w:rPr>
          <w:rFonts w:hint="eastAsia" w:ascii="宋体" w:hAnsi="宋体" w:cs="宋体"/>
          <w:bCs/>
        </w:rPr>
        <w:t>①</w:t>
      </w:r>
      <w:r>
        <w:rPr>
          <w:rFonts w:hint="eastAsia" w:ascii="仿宋" w:hAnsi="仿宋"/>
          <w:bCs/>
        </w:rPr>
        <w:t>拟投入本项目的技术人员具有海洋渔业相关专业中级职称的，每人得2分，满分6分。</w:t>
      </w:r>
    </w:p>
    <w:p>
      <w:pPr>
        <w:ind w:firstLine="562"/>
        <w:rPr>
          <w:rFonts w:ascii="仿宋" w:hAnsi="仿宋"/>
          <w:bCs/>
        </w:rPr>
      </w:pPr>
      <w:r>
        <w:rPr>
          <w:rFonts w:hint="eastAsia" w:ascii="宋体" w:hAnsi="宋体" w:cs="宋体"/>
          <w:bCs/>
        </w:rPr>
        <w:t>②</w:t>
      </w:r>
      <w:r>
        <w:rPr>
          <w:rFonts w:hint="eastAsia" w:ascii="仿宋" w:hAnsi="仿宋"/>
          <w:bCs/>
        </w:rPr>
        <w:t>拟投入本项目的技术人员具有海洋渔业相关专业副高级职称的，每人得4分，满分12分。</w:t>
      </w:r>
    </w:p>
    <w:p>
      <w:pPr>
        <w:ind w:firstLine="562"/>
        <w:rPr>
          <w:rFonts w:ascii="仿宋" w:hAnsi="仿宋"/>
          <w:bCs/>
        </w:rPr>
      </w:pPr>
      <w:r>
        <w:rPr>
          <w:rFonts w:hint="eastAsia" w:ascii="宋体" w:hAnsi="宋体" w:cs="宋体"/>
          <w:bCs/>
        </w:rPr>
        <w:t>③</w:t>
      </w:r>
      <w:r>
        <w:rPr>
          <w:rFonts w:hint="eastAsia" w:ascii="仿宋" w:hAnsi="仿宋"/>
          <w:bCs/>
        </w:rPr>
        <w:t>拟投入本项目的技术人员具有海洋渔业相关专业副高级以上职称且具有农业部办公厅颁发海洋牧场建设咨询专家聘书的，每人得7分，满分21分。</w:t>
      </w:r>
    </w:p>
    <w:p>
      <w:pPr>
        <w:ind w:firstLine="562"/>
        <w:rPr>
          <w:rFonts w:ascii="仿宋" w:hAnsi="仿宋"/>
          <w:bCs/>
        </w:rPr>
      </w:pPr>
      <w:r>
        <w:rPr>
          <w:rFonts w:hint="eastAsia" w:ascii="仿宋" w:hAnsi="仿宋"/>
          <w:bCs/>
        </w:rPr>
        <w:t>以上同一人按最高职称计，不累计得分，需</w:t>
      </w:r>
      <w:r>
        <w:rPr>
          <w:rFonts w:hint="eastAsia" w:ascii="仿宋" w:hAnsi="仿宋"/>
          <w:bCs/>
          <w:lang w:eastAsia="zh-CN"/>
        </w:rPr>
        <w:t>提供技术人员在</w:t>
      </w:r>
      <w:r>
        <w:rPr>
          <w:rFonts w:hint="eastAsia" w:hAnsi="宋体"/>
        </w:rPr>
        <w:t>磋商时间截止前半年内连续3个月的依法缴纳社会保障资金的缴费凭证</w:t>
      </w:r>
      <w:r>
        <w:rPr>
          <w:rFonts w:hint="eastAsia" w:ascii="仿宋" w:hAnsi="仿宋"/>
          <w:bCs/>
        </w:rPr>
        <w:t>。</w:t>
      </w:r>
    </w:p>
    <w:p>
      <w:pPr>
        <w:ind w:firstLine="562"/>
        <w:rPr>
          <w:rFonts w:ascii="仿宋" w:hAnsi="仿宋"/>
          <w:b/>
        </w:rPr>
      </w:pPr>
      <w:r>
        <w:rPr>
          <w:rFonts w:hint="eastAsia" w:ascii="仿宋" w:hAnsi="仿宋"/>
          <w:b/>
        </w:rPr>
        <w:t>3、信誉业绩分（满分30分）</w:t>
      </w:r>
    </w:p>
    <w:p>
      <w:pPr>
        <w:pStyle w:val="19"/>
        <w:ind w:firstLine="420" w:firstLineChars="200"/>
        <w:rPr>
          <w:color w:val="000000"/>
          <w:u w:val="none"/>
        </w:rPr>
      </w:pPr>
      <w:r>
        <w:rPr>
          <w:rFonts w:hint="eastAsia"/>
          <w:color w:val="000000"/>
          <w:u w:val="none"/>
        </w:rPr>
        <w:t>（</w:t>
      </w:r>
      <w:r>
        <w:rPr>
          <w:rFonts w:hint="eastAsia"/>
          <w:color w:val="000000"/>
          <w:u w:val="none"/>
          <w:lang w:val="en-US" w:eastAsia="zh-CN"/>
        </w:rPr>
        <w:t>1</w:t>
      </w:r>
      <w:r>
        <w:rPr>
          <w:rFonts w:hint="eastAsia"/>
          <w:color w:val="000000"/>
          <w:u w:val="none"/>
        </w:rPr>
        <w:t>）供应商建立有效的渔业资源</w:t>
      </w:r>
      <w:r>
        <w:rPr>
          <w:rFonts w:hint="eastAsia"/>
          <w:color w:val="000000"/>
          <w:u w:val="none"/>
          <w:lang w:eastAsia="zh-CN"/>
        </w:rPr>
        <w:t>环境</w:t>
      </w:r>
      <w:r>
        <w:rPr>
          <w:rFonts w:hint="eastAsia"/>
          <w:color w:val="000000"/>
          <w:u w:val="none"/>
        </w:rPr>
        <w:t>调查评估质量管理体系，得</w:t>
      </w:r>
      <w:r>
        <w:rPr>
          <w:rFonts w:hint="eastAsia"/>
          <w:color w:val="000000"/>
          <w:u w:val="none"/>
          <w:lang w:val="en-US" w:eastAsia="zh-CN"/>
        </w:rPr>
        <w:t>3</w:t>
      </w:r>
      <w:r>
        <w:rPr>
          <w:rFonts w:hint="eastAsia"/>
          <w:color w:val="000000"/>
          <w:u w:val="none"/>
        </w:rPr>
        <w:t>分。（需提供有效证书复印件加盖单位公章）</w:t>
      </w:r>
    </w:p>
    <w:p>
      <w:pPr>
        <w:pStyle w:val="19"/>
        <w:ind w:firstLine="420" w:firstLineChars="200"/>
        <w:rPr>
          <w:color w:val="000000"/>
          <w:u w:val="none"/>
        </w:rPr>
      </w:pPr>
      <w:r>
        <w:rPr>
          <w:rFonts w:hint="eastAsia"/>
          <w:color w:val="000000"/>
          <w:u w:val="none"/>
        </w:rPr>
        <w:t>（</w:t>
      </w:r>
      <w:r>
        <w:rPr>
          <w:rFonts w:hint="eastAsia"/>
          <w:color w:val="000000"/>
          <w:u w:val="none"/>
          <w:lang w:val="en-US" w:eastAsia="zh-CN"/>
        </w:rPr>
        <w:t>2</w:t>
      </w:r>
      <w:r>
        <w:rPr>
          <w:rFonts w:hint="eastAsia"/>
          <w:color w:val="000000"/>
          <w:u w:val="none"/>
        </w:rPr>
        <w:t>）供应商具有检验检测机构计量认证资质认定证书（CMA）的，得</w:t>
      </w:r>
      <w:r>
        <w:rPr>
          <w:rFonts w:hint="eastAsia"/>
          <w:color w:val="000000"/>
          <w:u w:val="none"/>
          <w:lang w:val="en-US" w:eastAsia="zh-CN"/>
        </w:rPr>
        <w:t>3</w:t>
      </w:r>
      <w:r>
        <w:rPr>
          <w:rFonts w:hint="eastAsia"/>
          <w:color w:val="000000"/>
          <w:u w:val="none"/>
        </w:rPr>
        <w:t>分。（需提供有效证书复印件加盖单位公章）</w:t>
      </w:r>
    </w:p>
    <w:p>
      <w:pPr>
        <w:shd w:val="clear" w:color="auto" w:fill="FFFFFF"/>
        <w:spacing w:line="360" w:lineRule="exact"/>
        <w:ind w:firstLine="420" w:firstLineChars="200"/>
        <w:rPr>
          <w:color w:val="000000"/>
          <w:u w:val="none"/>
        </w:rPr>
      </w:pPr>
      <w:r>
        <w:rPr>
          <w:rFonts w:hint="eastAsia"/>
          <w:color w:val="000000"/>
          <w:u w:val="none"/>
        </w:rPr>
        <w:t>（</w:t>
      </w:r>
      <w:r>
        <w:rPr>
          <w:rFonts w:hint="eastAsia"/>
          <w:color w:val="000000"/>
          <w:u w:val="none"/>
          <w:lang w:val="en-US" w:eastAsia="zh-CN"/>
        </w:rPr>
        <w:t>3</w:t>
      </w:r>
      <w:r>
        <w:rPr>
          <w:rFonts w:hint="eastAsia"/>
          <w:color w:val="000000"/>
          <w:u w:val="none"/>
        </w:rPr>
        <w:t>）供应商自2018年以来承担过类似项目的，每项得4分，满分24分。（需提供合同或中标通知书复印件加盖单位公章）</w:t>
      </w:r>
    </w:p>
    <w:p>
      <w:pPr>
        <w:shd w:val="clear" w:color="auto" w:fill="FFFFFF"/>
        <w:spacing w:line="360" w:lineRule="exact"/>
        <w:ind w:firstLine="422" w:firstLineChars="200"/>
        <w:rPr>
          <w:rFonts w:ascii="宋体" w:hAnsi="宋体" w:cs="宋体"/>
          <w:b/>
          <w:kern w:val="0"/>
          <w:szCs w:val="21"/>
        </w:rPr>
      </w:pPr>
      <w:r>
        <w:rPr>
          <w:rFonts w:hint="eastAsia" w:ascii="宋体" w:hAnsi="宋体" w:cs="宋体"/>
          <w:b/>
          <w:kern w:val="0"/>
          <w:szCs w:val="21"/>
        </w:rPr>
        <w:t>4.总得分=1+2+3</w:t>
      </w:r>
    </w:p>
    <w:p>
      <w:pPr>
        <w:shd w:val="clear" w:color="auto" w:fill="FFFFFF"/>
        <w:spacing w:line="360" w:lineRule="exact"/>
        <w:jc w:val="left"/>
        <w:rPr>
          <w:rFonts w:ascii="宋体" w:hAnsi="宋体" w:cs="宋体"/>
          <w:b/>
          <w:kern w:val="0"/>
          <w:szCs w:val="21"/>
        </w:rPr>
      </w:pPr>
      <w:r>
        <w:rPr>
          <w:rFonts w:hint="eastAsia" w:ascii="宋体" w:hAnsi="宋体" w:cs="宋体"/>
          <w:b/>
          <w:kern w:val="0"/>
          <w:szCs w:val="21"/>
        </w:rPr>
        <w:t>三、成交候选供应商推荐原则</w:t>
      </w:r>
    </w:p>
    <w:p>
      <w:pPr>
        <w:shd w:val="clear" w:color="auto" w:fill="FFFFFF"/>
        <w:spacing w:line="360" w:lineRule="exact"/>
        <w:ind w:firstLine="420" w:firstLineChars="200"/>
        <w:jc w:val="left"/>
        <w:rPr>
          <w:rFonts w:ascii="宋体" w:hAnsi="宋体" w:cs="宋体"/>
          <w:szCs w:val="21"/>
        </w:rPr>
      </w:pPr>
      <w:r>
        <w:rPr>
          <w:rFonts w:hint="eastAsia" w:ascii="宋体" w:hAnsi="宋体" w:cs="宋体"/>
          <w:szCs w:val="21"/>
        </w:rPr>
        <w:t>磋商小组将根据综合得分由高到低排列次序（得分相同时，以投标报价由低到高顺序排列；得分相同且投标报价相同的，按项目实施方案分、服务承诺分、拟投入本项目人员及设备分、业绩分优劣顺序排列）并推荐排位前三名为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pStyle w:val="19"/>
        <w:spacing w:line="360" w:lineRule="exact"/>
        <w:ind w:firstLine="420" w:firstLineChars="200"/>
        <w:rPr>
          <w:rFonts w:hAnsi="宋体" w:cs="宋体"/>
        </w:rPr>
      </w:pPr>
      <w:r>
        <w:rPr>
          <w:rFonts w:hint="eastAsia" w:hAnsi="宋体" w:cs="宋体"/>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pStyle w:val="19"/>
        <w:spacing w:line="360" w:lineRule="exact"/>
        <w:rPr>
          <w:rFonts w:hAnsi="宋体" w:cs="宋体"/>
          <w:szCs w:val="21"/>
        </w:rPr>
      </w:pPr>
    </w:p>
    <w:p>
      <w:pPr>
        <w:pStyle w:val="17"/>
        <w:spacing w:line="360" w:lineRule="auto"/>
        <w:jc w:val="center"/>
        <w:outlineLvl w:val="0"/>
        <w:rPr>
          <w:rFonts w:hAnsi="宋体" w:cs="宋体"/>
          <w:b/>
          <w:sz w:val="32"/>
          <w:szCs w:val="32"/>
        </w:rPr>
      </w:pPr>
      <w:r>
        <w:rPr>
          <w:rFonts w:hint="eastAsia" w:hAnsi="宋体" w:cs="宋体"/>
          <w:b/>
          <w:sz w:val="32"/>
          <w:szCs w:val="32"/>
        </w:rPr>
        <w:br w:type="page"/>
      </w:r>
      <w:bookmarkStart w:id="72" w:name="_Toc4186"/>
      <w:r>
        <w:rPr>
          <w:rFonts w:hint="eastAsia" w:hAnsi="宋体" w:cs="宋体"/>
          <w:b/>
          <w:sz w:val="32"/>
          <w:szCs w:val="32"/>
        </w:rPr>
        <w:t>第五章  磋商响应文件格式</w:t>
      </w:r>
      <w:bookmarkEnd w:id="72"/>
    </w:p>
    <w:p>
      <w:pPr>
        <w:spacing w:line="500" w:lineRule="exact"/>
        <w:rPr>
          <w:rFonts w:ascii="宋体" w:hAnsi="宋体" w:cs="宋体"/>
          <w:b/>
          <w:sz w:val="32"/>
          <w:szCs w:val="32"/>
        </w:rPr>
      </w:pPr>
    </w:p>
    <w:p>
      <w:pPr>
        <w:spacing w:line="500" w:lineRule="exact"/>
        <w:jc w:val="center"/>
        <w:rPr>
          <w:rFonts w:ascii="宋体" w:hAnsi="宋体" w:cs="宋体"/>
          <w:sz w:val="28"/>
          <w:szCs w:val="28"/>
        </w:rPr>
      </w:pPr>
      <w:bookmarkStart w:id="73" w:name="_Toc28818_WPSOffice_Level1"/>
      <w:r>
        <w:rPr>
          <w:rFonts w:hint="eastAsia" w:ascii="宋体" w:hAnsi="宋体" w:cs="宋体"/>
          <w:b/>
          <w:sz w:val="32"/>
          <w:szCs w:val="32"/>
        </w:rPr>
        <w:t>竞争性磋商响应文件</w:t>
      </w:r>
      <w:bookmarkEnd w:id="73"/>
      <w:r>
        <w:rPr>
          <w:rFonts w:hint="eastAsia" w:ascii="宋体" w:hAnsi="宋体" w:cs="宋体"/>
          <w:b/>
          <w:sz w:val="32"/>
          <w:szCs w:val="32"/>
        </w:rPr>
        <w:t>（封面）</w:t>
      </w:r>
    </w:p>
    <w:p>
      <w:pPr>
        <w:spacing w:line="500" w:lineRule="exact"/>
        <w:jc w:val="center"/>
        <w:rPr>
          <w:rFonts w:ascii="宋体" w:hAnsi="宋体" w:cs="宋体"/>
          <w:sz w:val="28"/>
          <w:szCs w:val="28"/>
        </w:rPr>
      </w:pPr>
      <w:bookmarkStart w:id="74" w:name="_Toc30621_WPSOffice_Level1"/>
      <w:r>
        <w:rPr>
          <w:rFonts w:hint="eastAsia" w:ascii="宋体" w:hAnsi="宋体" w:cs="宋体"/>
          <w:sz w:val="28"/>
          <w:szCs w:val="28"/>
        </w:rPr>
        <w:t>（正本/副本）</w:t>
      </w:r>
      <w:bookmarkEnd w:id="74"/>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rPr>
          <w:rFonts w:ascii="宋体" w:hAnsi="宋体" w:cs="宋体"/>
          <w:sz w:val="28"/>
          <w:szCs w:val="28"/>
        </w:rPr>
      </w:pPr>
    </w:p>
    <w:p>
      <w:pPr>
        <w:spacing w:line="500" w:lineRule="exact"/>
        <w:jc w:val="center"/>
        <w:rPr>
          <w:rFonts w:ascii="宋体" w:hAnsi="宋体" w:cs="宋体"/>
          <w:sz w:val="28"/>
          <w:szCs w:val="28"/>
        </w:rPr>
      </w:pPr>
    </w:p>
    <w:p>
      <w:pPr>
        <w:spacing w:line="500" w:lineRule="exact"/>
        <w:rPr>
          <w:rFonts w:ascii="宋体" w:hAnsi="宋体" w:cs="宋体"/>
          <w:sz w:val="28"/>
          <w:szCs w:val="28"/>
          <w:u w:val="single"/>
        </w:rPr>
      </w:pPr>
      <w:r>
        <w:rPr>
          <w:rFonts w:hint="eastAsia" w:ascii="宋体" w:hAnsi="宋体" w:cs="宋体"/>
          <w:sz w:val="28"/>
          <w:szCs w:val="28"/>
        </w:rPr>
        <w:t xml:space="preserve">          项目名称：</w:t>
      </w:r>
      <w:r>
        <w:rPr>
          <w:rFonts w:hint="eastAsia" w:ascii="宋体" w:hAnsi="宋体" w:cs="宋体"/>
          <w:sz w:val="28"/>
          <w:szCs w:val="28"/>
          <w:u w:val="single"/>
        </w:rPr>
        <w:t xml:space="preserve">                                  </w:t>
      </w:r>
    </w:p>
    <w:p>
      <w:pPr>
        <w:tabs>
          <w:tab w:val="left" w:pos="3240"/>
        </w:tabs>
        <w:spacing w:line="500" w:lineRule="exact"/>
        <w:ind w:firstLine="1400" w:firstLineChars="500"/>
        <w:rPr>
          <w:rFonts w:ascii="宋体" w:hAnsi="宋体" w:cs="宋体"/>
          <w:sz w:val="28"/>
          <w:szCs w:val="28"/>
          <w:u w:val="single"/>
        </w:rPr>
      </w:pPr>
      <w:r>
        <w:rPr>
          <w:rFonts w:hint="eastAsia" w:ascii="宋体" w:hAnsi="宋体" w:cs="宋体"/>
          <w:sz w:val="28"/>
          <w:szCs w:val="28"/>
        </w:rPr>
        <w:t>项目编号：</w:t>
      </w:r>
      <w:r>
        <w:rPr>
          <w:rFonts w:hint="eastAsia" w:ascii="宋体" w:hAnsi="宋体" w:cs="宋体"/>
          <w:sz w:val="28"/>
          <w:szCs w:val="28"/>
          <w:u w:val="single"/>
        </w:rPr>
        <w:t xml:space="preserve">                                  </w:t>
      </w:r>
    </w:p>
    <w:p>
      <w:pPr>
        <w:spacing w:line="500" w:lineRule="exact"/>
        <w:ind w:firstLine="1400" w:firstLineChars="500"/>
        <w:rPr>
          <w:rFonts w:ascii="宋体" w:hAnsi="宋体" w:cs="宋体"/>
          <w:sz w:val="28"/>
          <w:szCs w:val="28"/>
          <w:u w:val="single"/>
        </w:rPr>
      </w:pPr>
      <w:r>
        <w:rPr>
          <w:rFonts w:hint="eastAsia" w:ascii="宋体" w:hAnsi="宋体" w:cs="宋体"/>
          <w:sz w:val="28"/>
          <w:szCs w:val="28"/>
        </w:rPr>
        <w:t>磋商内容：</w:t>
      </w:r>
      <w:r>
        <w:rPr>
          <w:rFonts w:hint="eastAsia" w:ascii="宋体" w:hAnsi="宋体" w:cs="宋体"/>
          <w:sz w:val="28"/>
          <w:szCs w:val="28"/>
          <w:u w:val="single"/>
        </w:rPr>
        <w:t xml:space="preserve">     价格文件/</w:t>
      </w:r>
      <w:bookmarkStart w:id="75" w:name="_Toc18938_WPSOffice_Level1"/>
      <w:r>
        <w:rPr>
          <w:rFonts w:hint="eastAsia" w:ascii="宋体" w:hAnsi="宋体" w:cs="宋体"/>
          <w:sz w:val="28"/>
          <w:szCs w:val="28"/>
          <w:u w:val="single"/>
        </w:rPr>
        <w:t>商务技术文件</w:t>
      </w:r>
      <w:bookmarkEnd w:id="75"/>
      <w:r>
        <w:rPr>
          <w:rFonts w:hint="eastAsia" w:ascii="宋体" w:hAnsi="宋体" w:cs="宋体"/>
          <w:sz w:val="28"/>
          <w:szCs w:val="28"/>
          <w:u w:val="single"/>
        </w:rPr>
        <w:t xml:space="preserve">        </w:t>
      </w:r>
    </w:p>
    <w:p>
      <w:pPr>
        <w:spacing w:line="500" w:lineRule="exact"/>
        <w:rPr>
          <w:rFonts w:ascii="宋体" w:hAnsi="宋体" w:cs="宋体"/>
          <w:sz w:val="28"/>
          <w:szCs w:val="28"/>
          <w:u w:val="single"/>
        </w:rPr>
      </w:pPr>
      <w:r>
        <w:rPr>
          <w:rFonts w:hint="eastAsia" w:ascii="宋体" w:hAnsi="宋体" w:cs="宋体"/>
          <w:sz w:val="28"/>
          <w:szCs w:val="28"/>
        </w:rPr>
        <w:t xml:space="preserve">          磋商供应商名称：</w:t>
      </w:r>
      <w:r>
        <w:rPr>
          <w:rFonts w:hint="eastAsia" w:ascii="宋体" w:hAnsi="宋体" w:cs="宋体"/>
          <w:sz w:val="28"/>
          <w:szCs w:val="28"/>
          <w:u w:val="single"/>
        </w:rPr>
        <w:t xml:space="preserve">              （盖单位公章）</w:t>
      </w:r>
    </w:p>
    <w:p>
      <w:pPr>
        <w:spacing w:line="500" w:lineRule="exact"/>
        <w:ind w:firstLine="1400" w:firstLineChars="500"/>
        <w:rPr>
          <w:rFonts w:ascii="宋体" w:hAnsi="宋体" w:cs="宋体"/>
          <w:sz w:val="28"/>
          <w:szCs w:val="28"/>
          <w:u w:val="single"/>
        </w:rPr>
      </w:pPr>
      <w:r>
        <w:rPr>
          <w:rFonts w:hint="eastAsia" w:ascii="宋体" w:hAnsi="宋体" w:cs="宋体"/>
          <w:sz w:val="28"/>
          <w:szCs w:val="28"/>
        </w:rPr>
        <w:t>磋商供应商地址：</w:t>
      </w:r>
      <w:r>
        <w:rPr>
          <w:rFonts w:hint="eastAsia" w:ascii="宋体" w:hAnsi="宋体" w:cs="宋体"/>
          <w:sz w:val="28"/>
          <w:szCs w:val="28"/>
          <w:u w:val="single"/>
        </w:rPr>
        <w:t xml:space="preserve">                            </w:t>
      </w:r>
    </w:p>
    <w:p>
      <w:pPr>
        <w:spacing w:line="500" w:lineRule="exact"/>
        <w:rPr>
          <w:rFonts w:ascii="宋体" w:hAnsi="宋体" w:cs="宋体"/>
          <w:sz w:val="28"/>
          <w:szCs w:val="28"/>
        </w:rPr>
      </w:pPr>
    </w:p>
    <w:p>
      <w:pPr>
        <w:spacing w:line="500" w:lineRule="exact"/>
        <w:ind w:firstLine="6440" w:firstLineChars="2300"/>
        <w:rPr>
          <w:rFonts w:ascii="宋体" w:hAnsi="宋体" w:cs="宋体"/>
          <w:sz w:val="28"/>
          <w:szCs w:val="28"/>
        </w:rPr>
      </w:pPr>
    </w:p>
    <w:p>
      <w:pPr>
        <w:spacing w:line="500" w:lineRule="exact"/>
        <w:ind w:firstLine="6440" w:firstLineChars="2300"/>
        <w:rPr>
          <w:rFonts w:ascii="宋体" w:hAnsi="宋体" w:cs="宋体"/>
          <w:sz w:val="28"/>
          <w:szCs w:val="28"/>
        </w:rPr>
      </w:pPr>
    </w:p>
    <w:p>
      <w:pPr>
        <w:spacing w:line="500" w:lineRule="exact"/>
        <w:jc w:val="center"/>
        <w:rPr>
          <w:rFonts w:ascii="宋体" w:hAnsi="宋体" w:cs="宋体"/>
          <w:sz w:val="28"/>
          <w:szCs w:val="28"/>
        </w:rPr>
      </w:pPr>
      <w:bookmarkStart w:id="76" w:name="_Toc4344_WPSOffice_Level1"/>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p>
    <w:p>
      <w:pPr>
        <w:spacing w:line="500" w:lineRule="exact"/>
        <w:jc w:val="center"/>
        <w:rPr>
          <w:rFonts w:ascii="宋体" w:hAnsi="宋体" w:cs="宋体"/>
          <w:sz w:val="28"/>
          <w:szCs w:val="28"/>
        </w:rPr>
      </w:pPr>
      <w:r>
        <w:rPr>
          <w:rFonts w:hint="eastAsia" w:ascii="宋体" w:hAnsi="宋体" w:cs="宋体"/>
          <w:sz w:val="28"/>
          <w:szCs w:val="28"/>
        </w:rPr>
        <w:t>年    月    日</w:t>
      </w:r>
      <w:bookmarkEnd w:id="76"/>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6"/>
        <w:rPr>
          <w:rFonts w:hAnsi="宋体" w:eastAsia="宋体" w:cs="宋体"/>
        </w:rPr>
      </w:pPr>
    </w:p>
    <w:p>
      <w:pPr>
        <w:spacing w:line="320" w:lineRule="exact"/>
        <w:rPr>
          <w:rFonts w:ascii="宋体" w:hAnsi="宋体" w:cs="宋体"/>
          <w:szCs w:val="21"/>
        </w:rPr>
      </w:pPr>
    </w:p>
    <w:p>
      <w:pPr>
        <w:spacing w:line="360" w:lineRule="exact"/>
        <w:jc w:val="center"/>
        <w:rPr>
          <w:rFonts w:ascii="宋体" w:hAnsi="宋体" w:cs="宋体"/>
          <w:b/>
          <w:sz w:val="32"/>
          <w:szCs w:val="32"/>
        </w:rPr>
      </w:pPr>
    </w:p>
    <w:p>
      <w:pPr>
        <w:spacing w:line="360" w:lineRule="exact"/>
        <w:jc w:val="center"/>
        <w:rPr>
          <w:rFonts w:ascii="宋体" w:hAnsi="宋体" w:cs="宋体"/>
          <w:b/>
          <w:sz w:val="32"/>
          <w:szCs w:val="32"/>
        </w:rPr>
      </w:pPr>
    </w:p>
    <w:p>
      <w:pPr>
        <w:spacing w:line="360" w:lineRule="exact"/>
        <w:jc w:val="center"/>
        <w:rPr>
          <w:rFonts w:ascii="宋体" w:hAnsi="宋体" w:cs="宋体"/>
          <w:b/>
          <w:sz w:val="32"/>
          <w:szCs w:val="32"/>
        </w:rPr>
      </w:pPr>
      <w:r>
        <w:rPr>
          <w:rFonts w:hint="eastAsia" w:ascii="宋体" w:hAnsi="宋体" w:cs="宋体"/>
          <w:b/>
          <w:sz w:val="32"/>
          <w:szCs w:val="32"/>
        </w:rPr>
        <w:t>目录</w:t>
      </w:r>
    </w:p>
    <w:p>
      <w:pPr>
        <w:spacing w:line="520" w:lineRule="exact"/>
        <w:jc w:val="center"/>
        <w:rPr>
          <w:rFonts w:ascii="宋体" w:hAnsi="宋体" w:cs="宋体"/>
          <w:sz w:val="24"/>
        </w:rPr>
      </w:pPr>
      <w:r>
        <w:rPr>
          <w:rFonts w:hint="eastAsia" w:ascii="宋体" w:hAnsi="宋体" w:cs="宋体"/>
          <w:sz w:val="24"/>
        </w:rPr>
        <w:t>（必须附对应的页码）</w:t>
      </w:r>
    </w:p>
    <w:p>
      <w:pPr>
        <w:spacing w:line="520" w:lineRule="exact"/>
        <w:rPr>
          <w:rFonts w:ascii="宋体" w:hAnsi="宋体" w:cs="宋体"/>
          <w:b/>
          <w:sz w:val="24"/>
        </w:rPr>
      </w:pPr>
    </w:p>
    <w:p>
      <w:pPr>
        <w:spacing w:line="340" w:lineRule="exact"/>
        <w:ind w:firstLine="420" w:firstLineChars="200"/>
        <w:rPr>
          <w:rFonts w:ascii="宋体" w:hAnsi="宋体" w:cs="宋体"/>
          <w:szCs w:val="21"/>
        </w:rPr>
      </w:pPr>
      <w:r>
        <w:rPr>
          <w:rFonts w:hint="eastAsia" w:ascii="宋体" w:hAnsi="宋体" w:cs="宋体"/>
          <w:szCs w:val="21"/>
        </w:rPr>
        <w:t>一、报价函</w:t>
      </w:r>
    </w:p>
    <w:p>
      <w:pPr>
        <w:spacing w:line="340" w:lineRule="exact"/>
        <w:ind w:firstLine="420" w:firstLineChars="200"/>
        <w:rPr>
          <w:rFonts w:ascii="宋体" w:hAnsi="宋体" w:cs="宋体"/>
          <w:szCs w:val="21"/>
        </w:rPr>
      </w:pPr>
      <w:r>
        <w:rPr>
          <w:rFonts w:hint="eastAsia" w:ascii="宋体" w:hAnsi="宋体" w:cs="宋体"/>
          <w:szCs w:val="21"/>
        </w:rPr>
        <w:t>二、报价表</w:t>
      </w:r>
    </w:p>
    <w:p>
      <w:pPr>
        <w:pStyle w:val="19"/>
        <w:spacing w:line="340" w:lineRule="exact"/>
        <w:ind w:firstLine="420"/>
        <w:rPr>
          <w:rFonts w:hAnsi="宋体" w:cs="宋体"/>
          <w:szCs w:val="21"/>
        </w:rPr>
      </w:pPr>
      <w:r>
        <w:rPr>
          <w:rFonts w:hint="eastAsia" w:hAnsi="宋体" w:cs="宋体"/>
          <w:szCs w:val="21"/>
        </w:rPr>
        <w:t>三、磋商供应商资格证明文件</w:t>
      </w:r>
    </w:p>
    <w:p>
      <w:pPr>
        <w:pStyle w:val="19"/>
        <w:spacing w:line="340" w:lineRule="exact"/>
        <w:ind w:firstLine="420"/>
        <w:rPr>
          <w:rFonts w:hAnsi="宋体" w:cs="宋体"/>
          <w:szCs w:val="21"/>
        </w:rPr>
      </w:pPr>
      <w:r>
        <w:rPr>
          <w:rFonts w:hint="eastAsia" w:hAnsi="宋体" w:cs="宋体"/>
          <w:szCs w:val="21"/>
        </w:rPr>
        <w:t>四、服务响应、偏离情况说明表</w:t>
      </w:r>
    </w:p>
    <w:p>
      <w:pPr>
        <w:pStyle w:val="19"/>
        <w:spacing w:line="340" w:lineRule="exact"/>
        <w:ind w:firstLine="420"/>
        <w:rPr>
          <w:rFonts w:hAnsi="宋体" w:cs="宋体"/>
          <w:szCs w:val="21"/>
        </w:rPr>
      </w:pPr>
      <w:r>
        <w:rPr>
          <w:rFonts w:hint="eastAsia" w:hAnsi="宋体" w:cs="宋体"/>
          <w:szCs w:val="21"/>
        </w:rPr>
        <w:t>五、技术方案</w:t>
      </w:r>
    </w:p>
    <w:p>
      <w:pPr>
        <w:pStyle w:val="19"/>
        <w:spacing w:line="340" w:lineRule="exact"/>
        <w:ind w:firstLine="420"/>
        <w:rPr>
          <w:rFonts w:hAnsi="宋体" w:cs="宋体"/>
          <w:szCs w:val="21"/>
        </w:rPr>
      </w:pPr>
      <w:r>
        <w:rPr>
          <w:rFonts w:hint="eastAsia" w:hAnsi="宋体" w:cs="宋体"/>
          <w:szCs w:val="21"/>
        </w:rPr>
        <w:t>六、服务承诺</w:t>
      </w:r>
    </w:p>
    <w:p>
      <w:pPr>
        <w:pStyle w:val="19"/>
        <w:spacing w:line="340" w:lineRule="exact"/>
        <w:ind w:firstLine="420"/>
        <w:rPr>
          <w:rFonts w:hAnsi="宋体" w:cs="宋体"/>
          <w:szCs w:val="21"/>
        </w:rPr>
      </w:pPr>
      <w:r>
        <w:rPr>
          <w:rFonts w:hint="eastAsia" w:hAnsi="宋体" w:cs="宋体"/>
          <w:szCs w:val="21"/>
        </w:rPr>
        <w:t>七、类似业绩一览表（如有）</w:t>
      </w:r>
    </w:p>
    <w:p>
      <w:pPr>
        <w:pStyle w:val="19"/>
        <w:spacing w:line="340" w:lineRule="exact"/>
        <w:ind w:firstLine="420" w:firstLineChars="200"/>
        <w:rPr>
          <w:rFonts w:hAnsi="宋体" w:cs="宋体"/>
          <w:szCs w:val="21"/>
        </w:rPr>
      </w:pPr>
      <w:r>
        <w:rPr>
          <w:rFonts w:hint="eastAsia" w:hAnsi="宋体" w:cs="宋体"/>
          <w:szCs w:val="21"/>
        </w:rPr>
        <w:t>八、获奖荣誉一览表（如有）</w:t>
      </w:r>
    </w:p>
    <w:p>
      <w:pPr>
        <w:pStyle w:val="19"/>
        <w:spacing w:line="340" w:lineRule="exact"/>
        <w:ind w:firstLine="420"/>
        <w:rPr>
          <w:rFonts w:hAnsi="宋体" w:cs="宋体"/>
          <w:szCs w:val="21"/>
        </w:rPr>
      </w:pPr>
      <w:r>
        <w:rPr>
          <w:rFonts w:hint="eastAsia" w:hAnsi="宋体" w:cs="宋体"/>
          <w:szCs w:val="21"/>
        </w:rPr>
        <w:t>九、磋商供应商认为需要提供的有关资料（如有）</w:t>
      </w:r>
    </w:p>
    <w:p>
      <w:pPr>
        <w:spacing w:line="320" w:lineRule="exact"/>
        <w:jc w:val="center"/>
        <w:rPr>
          <w:rFonts w:ascii="宋体" w:hAnsi="宋体" w:cs="宋体"/>
          <w:b/>
          <w:sz w:val="32"/>
          <w:szCs w:val="32"/>
        </w:rPr>
      </w:pPr>
      <w:r>
        <w:rPr>
          <w:rFonts w:hint="eastAsia" w:ascii="宋体" w:hAnsi="宋体" w:cs="宋体"/>
          <w:szCs w:val="21"/>
        </w:rPr>
        <w:br w:type="page"/>
      </w:r>
      <w:r>
        <w:rPr>
          <w:rFonts w:hint="eastAsia" w:ascii="宋体" w:hAnsi="宋体" w:cs="宋体"/>
          <w:b/>
          <w:sz w:val="32"/>
          <w:szCs w:val="32"/>
        </w:rPr>
        <w:t>一、报价函</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广西睿升项目管理有限公司</w:t>
      </w:r>
      <w:r>
        <w:rPr>
          <w:rFonts w:hint="eastAsia" w:ascii="宋体" w:hAnsi="宋体" w:cs="宋体"/>
          <w:szCs w:val="21"/>
        </w:rPr>
        <w:t>：</w:t>
      </w:r>
    </w:p>
    <w:p>
      <w:pPr>
        <w:tabs>
          <w:tab w:val="left" w:pos="7560"/>
        </w:tabs>
        <w:spacing w:line="360" w:lineRule="auto"/>
        <w:ind w:firstLine="490"/>
        <w:rPr>
          <w:rFonts w:ascii="宋体" w:hAnsi="宋体" w:cs="宋体"/>
          <w:szCs w:val="21"/>
        </w:rPr>
      </w:pPr>
      <w:r>
        <w:rPr>
          <w:rFonts w:hint="eastAsia" w:ascii="宋体" w:hAnsi="宋体" w:cs="宋体"/>
          <w:szCs w:val="21"/>
        </w:rPr>
        <w:t>1.根据你方采购项目编号为</w:t>
      </w:r>
      <w:r>
        <w:rPr>
          <w:rFonts w:hint="eastAsia" w:ascii="宋体" w:hAnsi="宋体" w:cs="宋体"/>
          <w:szCs w:val="21"/>
          <w:u w:val="single"/>
        </w:rPr>
        <w:t>（项目编号）</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竞争性磋商采购文件，遵照《中华人民共和国政府采购法》等有关规定，经踏勘项目现场和研究上述竞争性磋商采购文件的磋商须知、合同条款、技术要求及其他有关文件后，我方愿以人民币(大写)元（</w:t>
      </w:r>
      <w:r>
        <w:rPr>
          <w:rFonts w:hint="eastAsia" w:ascii="宋体" w:hAnsi="宋体" w:cs="宋体"/>
          <w:szCs w:val="21"/>
          <w:u w:val="single"/>
        </w:rPr>
        <w:t xml:space="preserve">￥     </w:t>
      </w:r>
      <w:r>
        <w:rPr>
          <w:rFonts w:hint="eastAsia" w:ascii="宋体" w:hAnsi="宋体" w:cs="宋体"/>
          <w:szCs w:val="21"/>
        </w:rPr>
        <w:t>元）的磋商报价并按上述要求承包本项目的工作。</w:t>
      </w:r>
    </w:p>
    <w:p>
      <w:pPr>
        <w:tabs>
          <w:tab w:val="left" w:pos="7560"/>
        </w:tabs>
        <w:spacing w:line="360" w:lineRule="auto"/>
        <w:ind w:firstLine="490"/>
        <w:rPr>
          <w:rFonts w:ascii="宋体" w:hAnsi="宋体" w:cs="宋体"/>
          <w:szCs w:val="21"/>
        </w:rPr>
      </w:pPr>
      <w:r>
        <w:rPr>
          <w:rFonts w:hint="eastAsia" w:ascii="宋体" w:hAnsi="宋体" w:cs="宋体"/>
          <w:szCs w:val="21"/>
        </w:rPr>
        <w:t>2.我方已详细审核全部竞争性磋商采购文件，包括修改文件（如有时）及有关附件。</w:t>
      </w:r>
    </w:p>
    <w:p>
      <w:pPr>
        <w:tabs>
          <w:tab w:val="left" w:pos="7560"/>
        </w:tabs>
        <w:spacing w:line="360" w:lineRule="auto"/>
        <w:ind w:firstLine="490"/>
        <w:rPr>
          <w:rFonts w:ascii="宋体" w:hAnsi="宋体" w:cs="宋体"/>
          <w:szCs w:val="21"/>
        </w:rPr>
      </w:pPr>
      <w:r>
        <w:rPr>
          <w:rFonts w:hint="eastAsia" w:ascii="宋体" w:hAnsi="宋体" w:cs="宋体"/>
          <w:szCs w:val="21"/>
        </w:rPr>
        <w:t>3.我方承认磋商函附录是我方磋商函的组成部分。</w:t>
      </w:r>
    </w:p>
    <w:p>
      <w:pPr>
        <w:tabs>
          <w:tab w:val="left" w:pos="7560"/>
        </w:tabs>
        <w:spacing w:line="360" w:lineRule="auto"/>
        <w:ind w:firstLine="490"/>
        <w:rPr>
          <w:rFonts w:ascii="宋体" w:hAnsi="宋体" w:cs="宋体"/>
          <w:szCs w:val="21"/>
        </w:rPr>
      </w:pPr>
      <w:r>
        <w:rPr>
          <w:rFonts w:hint="eastAsia" w:ascii="宋体" w:hAnsi="宋体" w:cs="宋体"/>
          <w:szCs w:val="21"/>
        </w:rPr>
        <w:t>4.一旦我方成交，我方保证按合同协议书中规定在合同签订期限完成任务。</w:t>
      </w:r>
    </w:p>
    <w:p>
      <w:pPr>
        <w:tabs>
          <w:tab w:val="left" w:pos="7560"/>
        </w:tabs>
        <w:spacing w:line="360" w:lineRule="auto"/>
        <w:ind w:firstLine="490"/>
        <w:rPr>
          <w:rFonts w:ascii="宋体" w:hAnsi="宋体" w:cs="宋体"/>
          <w:szCs w:val="21"/>
        </w:rPr>
      </w:pPr>
      <w:r>
        <w:rPr>
          <w:rFonts w:hint="eastAsia" w:ascii="宋体" w:hAnsi="宋体" w:cs="宋体"/>
          <w:szCs w:val="21"/>
        </w:rPr>
        <w:t>5.我方同意所提交的磋商文件在竞争性磋商采购文件的磋商须知中第14条规定的磋商有效期内有效，在此期间内如果成交，我方将受此约束。</w:t>
      </w:r>
    </w:p>
    <w:p>
      <w:pPr>
        <w:tabs>
          <w:tab w:val="left" w:pos="7560"/>
        </w:tabs>
        <w:spacing w:line="360" w:lineRule="auto"/>
        <w:ind w:firstLine="490"/>
        <w:rPr>
          <w:rFonts w:ascii="宋体" w:hAnsi="宋体" w:cs="宋体"/>
          <w:szCs w:val="21"/>
        </w:rPr>
      </w:pPr>
      <w:r>
        <w:rPr>
          <w:rFonts w:hint="eastAsia" w:ascii="宋体" w:hAnsi="宋体" w:cs="宋体"/>
          <w:szCs w:val="21"/>
        </w:rPr>
        <w:t>6.除非另外达成协议并生效，你方的成交通知书和本磋商文件将成为约束双方的合同文件的组成部分。</w:t>
      </w:r>
    </w:p>
    <w:p>
      <w:pPr>
        <w:spacing w:line="360" w:lineRule="auto"/>
        <w:ind w:firstLine="490"/>
        <w:rPr>
          <w:rFonts w:ascii="宋体" w:hAnsi="宋体" w:cs="宋体"/>
          <w:szCs w:val="21"/>
        </w:rPr>
      </w:pPr>
    </w:p>
    <w:p>
      <w:pPr>
        <w:spacing w:line="360" w:lineRule="auto"/>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磋商单位：</w:t>
      </w:r>
      <w:r>
        <w:rPr>
          <w:rFonts w:hint="eastAsia" w:ascii="宋体" w:hAnsi="宋体" w:cs="宋体"/>
          <w:szCs w:val="21"/>
          <w:u w:val="single"/>
        </w:rPr>
        <w:t xml:space="preserve">                     </w:t>
      </w:r>
      <w:r>
        <w:rPr>
          <w:rFonts w:hint="eastAsia" w:ascii="宋体" w:hAnsi="宋体" w:cs="宋体"/>
          <w:szCs w:val="21"/>
        </w:rPr>
        <w:t>（盖章）</w:t>
      </w:r>
    </w:p>
    <w:p>
      <w:pPr>
        <w:spacing w:line="40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pPr>
        <w:spacing w:line="40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00" w:lineRule="exact"/>
        <w:rPr>
          <w:rFonts w:ascii="宋体" w:hAnsi="宋体" w:cs="宋体"/>
          <w:szCs w:val="21"/>
        </w:rPr>
      </w:pPr>
      <w:r>
        <w:rPr>
          <w:rFonts w:hint="eastAsia" w:ascii="宋体" w:hAnsi="宋体" w:cs="宋体"/>
          <w:szCs w:val="21"/>
        </w:rPr>
        <w:t>开户银行名称：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400" w:lineRule="exact"/>
        <w:rPr>
          <w:rFonts w:ascii="宋体" w:hAnsi="宋体" w:cs="宋体"/>
          <w:szCs w:val="21"/>
        </w:rPr>
      </w:pPr>
      <w:r>
        <w:rPr>
          <w:rFonts w:hint="eastAsia" w:ascii="宋体" w:hAnsi="宋体" w:cs="宋体"/>
          <w:szCs w:val="21"/>
        </w:rPr>
        <w:t>开户银行账号：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pStyle w:val="19"/>
        <w:spacing w:line="400" w:lineRule="exact"/>
        <w:rPr>
          <w:rFonts w:hAnsi="宋体" w:cs="宋体"/>
          <w:szCs w:val="21"/>
        </w:rPr>
      </w:pPr>
      <w:r>
        <w:rPr>
          <w:rFonts w:hint="eastAsia" w:hAnsi="宋体" w:cs="宋体"/>
          <w:szCs w:val="21"/>
        </w:rPr>
        <w:t>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spacing w:line="500" w:lineRule="exact"/>
        <w:jc w:val="center"/>
        <w:rPr>
          <w:rFonts w:ascii="宋体" w:hAnsi="宋体" w:cs="宋体"/>
          <w:b/>
          <w:sz w:val="32"/>
          <w:szCs w:val="32"/>
        </w:rPr>
      </w:pPr>
    </w:p>
    <w:p>
      <w:pPr>
        <w:pStyle w:val="6"/>
        <w:rPr>
          <w:rFonts w:hAnsi="宋体" w:eastAsia="宋体" w:cs="宋体"/>
        </w:rPr>
      </w:pPr>
    </w:p>
    <w:p>
      <w:pPr>
        <w:spacing w:line="500" w:lineRule="exact"/>
        <w:jc w:val="center"/>
        <w:rPr>
          <w:rFonts w:ascii="宋体" w:hAnsi="宋体" w:cs="宋体"/>
          <w:b/>
          <w:sz w:val="32"/>
          <w:szCs w:val="32"/>
        </w:rPr>
      </w:pPr>
    </w:p>
    <w:p>
      <w:pPr>
        <w:spacing w:line="500" w:lineRule="exact"/>
        <w:rPr>
          <w:rFonts w:ascii="宋体" w:hAnsi="宋体" w:cs="宋体"/>
          <w:b/>
          <w:sz w:val="32"/>
          <w:szCs w:val="32"/>
        </w:rPr>
      </w:pPr>
    </w:p>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pStyle w:val="2"/>
      </w:pPr>
    </w:p>
    <w:p>
      <w:pPr>
        <w:pStyle w:val="22"/>
      </w:pPr>
    </w:p>
    <w:p>
      <w:pPr>
        <w:spacing w:line="500" w:lineRule="exact"/>
        <w:jc w:val="center"/>
        <w:rPr>
          <w:rFonts w:ascii="宋体" w:hAnsi="宋体" w:cs="宋体"/>
          <w:b/>
          <w:sz w:val="32"/>
          <w:szCs w:val="32"/>
        </w:rPr>
      </w:pPr>
      <w:r>
        <w:rPr>
          <w:rFonts w:hint="eastAsia" w:ascii="宋体" w:hAnsi="宋体" w:cs="宋体"/>
          <w:b/>
          <w:sz w:val="32"/>
          <w:szCs w:val="32"/>
        </w:rPr>
        <w:t>二、报价表（格式）</w:t>
      </w:r>
    </w:p>
    <w:p>
      <w:pPr>
        <w:spacing w:line="500" w:lineRule="exact"/>
        <w:jc w:val="center"/>
        <w:rPr>
          <w:rFonts w:ascii="宋体" w:hAnsi="宋体" w:cs="宋体"/>
          <w:b/>
          <w:sz w:val="24"/>
        </w:rPr>
      </w:pPr>
    </w:p>
    <w:p>
      <w:pPr>
        <w:spacing w:line="30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30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300" w:lineRule="auto"/>
        <w:ind w:left="7875" w:hanging="7875" w:hangingChars="3750"/>
        <w:rPr>
          <w:rFonts w:ascii="宋体" w:hAnsi="宋体" w:cs="宋体"/>
          <w:szCs w:val="21"/>
        </w:rPr>
      </w:pPr>
      <w:r>
        <w:rPr>
          <w:rFonts w:hint="eastAsia" w:ascii="宋体" w:hAnsi="宋体" w:cs="宋体"/>
          <w:szCs w:val="21"/>
        </w:rPr>
        <w:t xml:space="preserve">                                                         金额单位：人民币（元）</w:t>
      </w:r>
    </w:p>
    <w:tbl>
      <w:tblPr>
        <w:tblStyle w:val="35"/>
        <w:tblW w:w="9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104"/>
        <w:gridCol w:w="2525"/>
        <w:gridCol w:w="736"/>
        <w:gridCol w:w="1157"/>
        <w:gridCol w:w="157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31"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r>
              <w:rPr>
                <w:rFonts w:hint="eastAsia" w:hAnsi="宋体"/>
                <w:spacing w:val="-20"/>
                <w:szCs w:val="21"/>
              </w:rPr>
              <w:t>项号</w:t>
            </w:r>
          </w:p>
        </w:tc>
        <w:tc>
          <w:tcPr>
            <w:tcW w:w="210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r>
              <w:rPr>
                <w:rFonts w:hint="eastAsia" w:hAnsi="宋体"/>
                <w:spacing w:val="-20"/>
                <w:szCs w:val="21"/>
              </w:rPr>
              <w:t>服务名称</w:t>
            </w:r>
          </w:p>
        </w:tc>
        <w:tc>
          <w:tcPr>
            <w:tcW w:w="2525"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r>
              <w:rPr>
                <w:rFonts w:hint="eastAsia" w:hAnsi="宋体"/>
                <w:szCs w:val="21"/>
              </w:rPr>
              <w:t>服务期限</w:t>
            </w:r>
          </w:p>
        </w:tc>
        <w:tc>
          <w:tcPr>
            <w:tcW w:w="73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r>
              <w:rPr>
                <w:rFonts w:hint="eastAsia" w:hAnsi="宋体"/>
                <w:spacing w:val="-20"/>
                <w:szCs w:val="21"/>
              </w:rPr>
              <w:t>数量</w:t>
            </w:r>
          </w:p>
          <w:p>
            <w:pPr>
              <w:pStyle w:val="19"/>
              <w:jc w:val="center"/>
              <w:rPr>
                <w:rFonts w:hAnsi="宋体"/>
                <w:spacing w:val="-20"/>
                <w:szCs w:val="21"/>
              </w:rPr>
            </w:pPr>
            <w:r>
              <w:rPr>
                <w:rFonts w:hint="eastAsia" w:hAnsi="宋体"/>
                <w:spacing w:val="-20"/>
                <w:szCs w:val="21"/>
              </w:rPr>
              <w:t>①</w:t>
            </w:r>
          </w:p>
        </w:tc>
        <w:tc>
          <w:tcPr>
            <w:tcW w:w="115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r>
              <w:rPr>
                <w:rFonts w:hint="eastAsia" w:hAnsi="宋体"/>
                <w:szCs w:val="21"/>
              </w:rPr>
              <w:t>单价(元)</w:t>
            </w:r>
          </w:p>
          <w:p>
            <w:pPr>
              <w:pStyle w:val="19"/>
              <w:jc w:val="center"/>
              <w:rPr>
                <w:rFonts w:hAnsi="宋体"/>
                <w:szCs w:val="21"/>
              </w:rPr>
            </w:pPr>
            <w:r>
              <w:rPr>
                <w:rFonts w:hint="eastAsia" w:hAnsi="宋体"/>
                <w:szCs w:val="21"/>
              </w:rPr>
              <w:t>②</w:t>
            </w:r>
          </w:p>
        </w:tc>
        <w:tc>
          <w:tcPr>
            <w:tcW w:w="1578"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r>
              <w:rPr>
                <w:rFonts w:hint="eastAsia" w:hAnsi="宋体"/>
                <w:szCs w:val="21"/>
              </w:rPr>
              <w:t>单项合价（元）</w:t>
            </w:r>
          </w:p>
          <w:p>
            <w:pPr>
              <w:pStyle w:val="19"/>
              <w:jc w:val="center"/>
              <w:rPr>
                <w:rFonts w:hAnsi="宋体"/>
                <w:szCs w:val="21"/>
              </w:rPr>
            </w:pPr>
            <w:r>
              <w:rPr>
                <w:rFonts w:hint="eastAsia" w:hAnsi="宋体"/>
                <w:szCs w:val="21"/>
              </w:rPr>
              <w:t>③＝①×②</w:t>
            </w:r>
          </w:p>
        </w:tc>
        <w:tc>
          <w:tcPr>
            <w:tcW w:w="100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31"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pacing w:val="-2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38" w:type="dxa"/>
            <w:gridSpan w:val="7"/>
            <w:tcBorders>
              <w:top w:val="single" w:color="auto" w:sz="4" w:space="0"/>
              <w:left w:val="single" w:color="auto" w:sz="4" w:space="0"/>
              <w:bottom w:val="single" w:color="auto" w:sz="4" w:space="0"/>
              <w:right w:val="single" w:color="auto" w:sz="4" w:space="0"/>
            </w:tcBorders>
            <w:vAlign w:val="center"/>
          </w:tcPr>
          <w:p>
            <w:pPr>
              <w:pStyle w:val="19"/>
              <w:rPr>
                <w:rFonts w:hAnsi="宋体"/>
                <w:szCs w:val="21"/>
              </w:rPr>
            </w:pPr>
            <w:r>
              <w:rPr>
                <w:rFonts w:hint="eastAsia" w:hAnsi="宋体"/>
                <w:spacing w:val="-6"/>
                <w:szCs w:val="21"/>
              </w:rPr>
              <w:t>报价：（大写）人民币</w:t>
            </w:r>
            <w:r>
              <w:rPr>
                <w:rFonts w:hint="eastAsia" w:hAnsi="宋体"/>
                <w:szCs w:val="21"/>
                <w:u w:val="single"/>
              </w:rPr>
              <w:t xml:space="preserve">             </w:t>
            </w:r>
            <w:r>
              <w:rPr>
                <w:rFonts w:hint="eastAsia" w:hAnsi="宋体"/>
                <w:szCs w:val="21"/>
              </w:rPr>
              <w:t xml:space="preserve"> (¥</w:t>
            </w:r>
            <w:r>
              <w:rPr>
                <w:rFonts w:hint="eastAsia" w:hAnsi="宋体"/>
                <w:szCs w:val="21"/>
                <w:u w:val="single"/>
              </w:rPr>
              <w:t xml:space="preserve">          </w:t>
            </w:r>
            <w:r>
              <w:rPr>
                <w:rFonts w:hint="eastAsia" w:hAnsi="宋体"/>
                <w:szCs w:val="21"/>
              </w:rPr>
              <w:t>)</w:t>
            </w:r>
          </w:p>
          <w:p>
            <w:pPr>
              <w:pStyle w:val="19"/>
              <w:rPr>
                <w:rFonts w:hAnsi="宋体"/>
                <w:spacing w:val="-6"/>
                <w:szCs w:val="21"/>
              </w:rPr>
            </w:pPr>
            <w:r>
              <w:rPr>
                <w:rFonts w:hint="eastAsia" w:hAnsi="宋体" w:cs="宋体"/>
                <w:szCs w:val="21"/>
              </w:rPr>
              <w:t>合同履行期限</w:t>
            </w:r>
            <w:r>
              <w:rPr>
                <w:rFonts w:hint="eastAsia" w:hAnsi="宋体"/>
                <w:szCs w:val="21"/>
              </w:rPr>
              <w:t>：</w:t>
            </w:r>
            <w:r>
              <w:rPr>
                <w:rFonts w:hint="eastAsia" w:hAnsi="宋体"/>
                <w:szCs w:val="21"/>
                <w:u w:val="single"/>
              </w:rPr>
              <w:t xml:space="preserve">          </w:t>
            </w:r>
          </w:p>
        </w:tc>
      </w:tr>
    </w:tbl>
    <w:p>
      <w:pPr>
        <w:spacing w:line="300" w:lineRule="auto"/>
        <w:rPr>
          <w:rFonts w:ascii="宋体" w:hAnsi="宋体" w:cs="宋体"/>
          <w:szCs w:val="21"/>
        </w:rPr>
      </w:pPr>
      <w:r>
        <w:rPr>
          <w:rFonts w:hint="eastAsia" w:ascii="宋体" w:hAnsi="宋体" w:cs="宋体"/>
          <w:szCs w:val="21"/>
        </w:rPr>
        <w:t>注：1.</w:t>
      </w:r>
      <w:r>
        <w:rPr>
          <w:szCs w:val="21"/>
        </w:rPr>
        <w:t>报价一经涂改，应在涂改处加盖单位公章或者由法定代表人签字或盖章，否则其投标作无效标处理。</w:t>
      </w:r>
    </w:p>
    <w:p>
      <w:pPr>
        <w:spacing w:line="300" w:lineRule="auto"/>
        <w:ind w:firstLine="420" w:firstLineChars="200"/>
        <w:rPr>
          <w:rFonts w:ascii="宋体" w:hAnsi="宋体" w:cs="宋体"/>
          <w:szCs w:val="21"/>
        </w:rPr>
      </w:pPr>
      <w:r>
        <w:rPr>
          <w:rFonts w:hint="eastAsia" w:ascii="宋体" w:hAnsi="宋体" w:cs="宋体"/>
          <w:szCs w:val="21"/>
        </w:rPr>
        <w:t>2、所有价格均用人民币表示，单位为元，精确到个数位。</w:t>
      </w:r>
    </w:p>
    <w:p>
      <w:pPr>
        <w:spacing w:line="300" w:lineRule="auto"/>
        <w:ind w:firstLine="420" w:firstLineChars="200"/>
        <w:rPr>
          <w:rFonts w:ascii="宋体" w:hAnsi="宋体" w:cs="宋体"/>
          <w:szCs w:val="21"/>
        </w:rPr>
      </w:pPr>
      <w:r>
        <w:rPr>
          <w:rFonts w:hint="eastAsia" w:ascii="宋体" w:hAnsi="宋体" w:cs="宋体"/>
          <w:szCs w:val="21"/>
        </w:rPr>
        <w:t>3、报价表必须由法定代表人（或负责人）或被授权人签字并加盖供应商公章。</w:t>
      </w:r>
    </w:p>
    <w:p>
      <w:pPr>
        <w:spacing w:line="300" w:lineRule="auto"/>
        <w:rPr>
          <w:rFonts w:ascii="宋体" w:hAnsi="宋体" w:cs="宋体"/>
          <w:szCs w:val="21"/>
        </w:rPr>
      </w:pPr>
    </w:p>
    <w:p>
      <w:pPr>
        <w:pStyle w:val="19"/>
        <w:spacing w:line="300" w:lineRule="auto"/>
        <w:rPr>
          <w:rFonts w:hAnsi="宋体" w:cs="宋体"/>
          <w:szCs w:val="21"/>
          <w:u w:val="single"/>
        </w:rPr>
      </w:pPr>
      <w:r>
        <w:rPr>
          <w:rFonts w:hint="eastAsia" w:hAnsi="宋体" w:cs="宋体"/>
          <w:szCs w:val="21"/>
        </w:rPr>
        <w:t>法定代表人或委托代理人（签字或盖章）:</w:t>
      </w:r>
      <w:r>
        <w:rPr>
          <w:rFonts w:hint="eastAsia" w:hAnsi="宋体" w:cs="宋体"/>
          <w:szCs w:val="21"/>
          <w:u w:val="single"/>
        </w:rPr>
        <w:t xml:space="preserve">              </w:t>
      </w:r>
    </w:p>
    <w:p>
      <w:pPr>
        <w:pStyle w:val="19"/>
        <w:spacing w:line="300" w:lineRule="auto"/>
        <w:rPr>
          <w:rFonts w:hAnsi="宋体" w:cs="宋体"/>
          <w:szCs w:val="21"/>
          <w:u w:val="single"/>
        </w:rPr>
      </w:pPr>
      <w:r>
        <w:rPr>
          <w:rFonts w:hint="eastAsia" w:hAnsi="宋体" w:cs="宋体"/>
          <w:szCs w:val="21"/>
        </w:rPr>
        <w:t>供应商（公章）：</w:t>
      </w:r>
      <w:r>
        <w:rPr>
          <w:rFonts w:hint="eastAsia" w:hAnsi="宋体" w:cs="宋体"/>
          <w:szCs w:val="21"/>
          <w:u w:val="single"/>
        </w:rPr>
        <w:t xml:space="preserve">       </w:t>
      </w:r>
    </w:p>
    <w:p>
      <w:pPr>
        <w:pStyle w:val="19"/>
        <w:rPr>
          <w:rFonts w:hAnsi="宋体" w:cs="宋体"/>
          <w:szCs w:val="21"/>
        </w:rPr>
      </w:pPr>
      <w:r>
        <w:rPr>
          <w:rFonts w:hint="eastAsia" w:hAnsi="宋体" w:cs="宋体"/>
          <w:szCs w:val="21"/>
        </w:rPr>
        <w:t>日期:</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spacing w:line="300" w:lineRule="auto"/>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pStyle w:val="22"/>
        <w:rPr>
          <w:rFonts w:ascii="宋体" w:hAnsi="宋体" w:cs="宋体"/>
          <w:szCs w:val="21"/>
        </w:rPr>
      </w:pPr>
    </w:p>
    <w:p>
      <w:pPr>
        <w:pStyle w:val="22"/>
        <w:rPr>
          <w:rFonts w:ascii="宋体" w:hAnsi="宋体" w:cs="宋体"/>
          <w:szCs w:val="21"/>
        </w:rPr>
      </w:pPr>
    </w:p>
    <w:p>
      <w:pPr>
        <w:pStyle w:val="17"/>
        <w:rPr>
          <w:rFonts w:hAnsi="宋体" w:cs="宋体"/>
        </w:rPr>
      </w:pPr>
    </w:p>
    <w:p>
      <w:pPr>
        <w:rPr>
          <w:rFonts w:hAnsi="宋体" w:cs="宋体"/>
        </w:rPr>
      </w:pPr>
    </w:p>
    <w:p>
      <w:pPr>
        <w:pStyle w:val="2"/>
      </w:pPr>
    </w:p>
    <w:p>
      <w:pPr>
        <w:spacing w:line="520" w:lineRule="exact"/>
        <w:jc w:val="center"/>
        <w:rPr>
          <w:rFonts w:ascii="宋体" w:hAnsi="宋体" w:cs="宋体"/>
          <w:b/>
          <w:bCs/>
          <w:sz w:val="28"/>
          <w:szCs w:val="28"/>
        </w:rPr>
      </w:pPr>
      <w:r>
        <w:rPr>
          <w:rFonts w:hint="eastAsia" w:ascii="宋体" w:hAnsi="宋体" w:cs="宋体"/>
          <w:b/>
          <w:bCs/>
          <w:sz w:val="28"/>
          <w:szCs w:val="28"/>
        </w:rPr>
        <w:t>三、磋商供应商资格证明文件（根据磋商供应商须知第12条提供）</w:t>
      </w:r>
    </w:p>
    <w:p>
      <w:pPr>
        <w:autoSpaceDE w:val="0"/>
        <w:autoSpaceDN w:val="0"/>
        <w:spacing w:line="300" w:lineRule="auto"/>
        <w:jc w:val="left"/>
        <w:rPr>
          <w:rFonts w:ascii="宋体" w:hAnsi="宋体" w:cs="宋体"/>
          <w:b/>
          <w:bCs/>
          <w:sz w:val="28"/>
          <w:szCs w:val="28"/>
        </w:rPr>
      </w:pPr>
    </w:p>
    <w:p>
      <w:pPr>
        <w:autoSpaceDE w:val="0"/>
        <w:autoSpaceDN w:val="0"/>
        <w:spacing w:line="300" w:lineRule="auto"/>
        <w:jc w:val="left"/>
        <w:rPr>
          <w:rFonts w:ascii="宋体" w:hAnsi="宋体" w:cs="宋体"/>
          <w:b/>
          <w:sz w:val="24"/>
        </w:rPr>
      </w:pPr>
      <w:r>
        <w:rPr>
          <w:rFonts w:hint="eastAsia" w:ascii="宋体" w:hAnsi="宋体" w:cs="宋体"/>
          <w:b/>
          <w:bCs/>
          <w:sz w:val="28"/>
          <w:szCs w:val="28"/>
        </w:rPr>
        <w:t>1.</w:t>
      </w:r>
      <w:r>
        <w:rPr>
          <w:rFonts w:hint="eastAsia" w:ascii="宋体" w:hAnsi="宋体" w:cs="宋体"/>
          <w:b/>
          <w:sz w:val="24"/>
        </w:rPr>
        <w:t>法定代表人身份证明书原件及法定代表人身份证正反面复印件格式</w:t>
      </w:r>
    </w:p>
    <w:p>
      <w:pPr>
        <w:spacing w:line="480" w:lineRule="auto"/>
        <w:ind w:firstLine="482" w:firstLineChars="200"/>
        <w:rPr>
          <w:rFonts w:ascii="宋体" w:hAnsi="宋体" w:cs="宋体"/>
          <w:b/>
          <w:sz w:val="24"/>
        </w:rPr>
      </w:pPr>
    </w:p>
    <w:p>
      <w:pPr>
        <w:spacing w:line="300" w:lineRule="auto"/>
        <w:jc w:val="center"/>
        <w:rPr>
          <w:rFonts w:ascii="宋体" w:hAnsi="宋体" w:cs="宋体"/>
          <w:b/>
          <w:bCs/>
          <w:sz w:val="24"/>
        </w:rPr>
      </w:pPr>
      <w:r>
        <w:rPr>
          <w:rFonts w:hint="eastAsia" w:ascii="宋体" w:hAnsi="宋体" w:cs="宋体"/>
          <w:b/>
          <w:sz w:val="24"/>
        </w:rPr>
        <w:t>法定代表人身份证明书：</w:t>
      </w:r>
    </w:p>
    <w:p>
      <w:pPr>
        <w:spacing w:line="360" w:lineRule="auto"/>
        <w:ind w:firstLine="153" w:firstLineChars="64"/>
        <w:rPr>
          <w:rFonts w:ascii="宋体" w:hAnsi="宋体" w:cs="宋体"/>
          <w:sz w:val="24"/>
        </w:rPr>
      </w:pPr>
    </w:p>
    <w:p>
      <w:pPr>
        <w:spacing w:line="360" w:lineRule="auto"/>
        <w:ind w:firstLine="134" w:firstLineChars="64"/>
        <w:rPr>
          <w:rFonts w:ascii="宋体" w:hAnsi="宋体" w:cs="宋体"/>
          <w:szCs w:val="21"/>
        </w:rPr>
      </w:pPr>
      <w:r>
        <w:rPr>
          <w:rFonts w:hint="eastAsia" w:ascii="宋体" w:hAnsi="宋体" w:cs="宋体"/>
          <w:szCs w:val="21"/>
        </w:rPr>
        <w:t>单位名称：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134" w:firstLineChars="64"/>
        <w:rPr>
          <w:rFonts w:ascii="宋体" w:hAnsi="宋体" w:cs="宋体"/>
          <w:szCs w:val="21"/>
        </w:rPr>
      </w:pPr>
    </w:p>
    <w:p>
      <w:pPr>
        <w:spacing w:line="360" w:lineRule="auto"/>
        <w:ind w:firstLine="134" w:firstLineChars="64"/>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ind w:firstLine="134" w:firstLineChars="64"/>
        <w:rPr>
          <w:rFonts w:ascii="宋体" w:hAnsi="宋体" w:cs="宋体"/>
          <w:szCs w:val="21"/>
        </w:rPr>
      </w:pPr>
    </w:p>
    <w:p>
      <w:pPr>
        <w:spacing w:line="360" w:lineRule="auto"/>
        <w:ind w:firstLine="134" w:firstLineChars="64"/>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134" w:firstLineChars="64"/>
        <w:rPr>
          <w:rFonts w:ascii="宋体" w:hAnsi="宋体" w:cs="宋体"/>
          <w:szCs w:val="21"/>
        </w:rPr>
      </w:pPr>
    </w:p>
    <w:p>
      <w:pPr>
        <w:spacing w:line="360" w:lineRule="auto"/>
        <w:ind w:firstLine="134" w:firstLineChars="64"/>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ab/>
      </w:r>
      <w:r>
        <w:rPr>
          <w:rFonts w:hint="eastAsia" w:ascii="宋体" w:hAnsi="宋体" w:cs="宋体"/>
          <w:szCs w:val="21"/>
          <w:u w:val="single"/>
        </w:rPr>
        <w:tab/>
      </w:r>
    </w:p>
    <w:p>
      <w:pPr>
        <w:spacing w:line="360" w:lineRule="auto"/>
        <w:ind w:firstLine="134" w:firstLineChars="64"/>
        <w:rPr>
          <w:rFonts w:ascii="宋体" w:hAnsi="宋体" w:cs="宋体"/>
          <w:szCs w:val="21"/>
        </w:rPr>
      </w:pPr>
    </w:p>
    <w:p>
      <w:pPr>
        <w:spacing w:line="360" w:lineRule="auto"/>
        <w:ind w:firstLine="134" w:firstLineChars="64"/>
        <w:rPr>
          <w:rFonts w:ascii="宋体" w:hAnsi="宋体" w:cs="宋体"/>
          <w:szCs w:val="21"/>
        </w:rPr>
      </w:pPr>
      <w:r>
        <w:rPr>
          <w:rFonts w:hint="eastAsia" w:ascii="宋体" w:hAnsi="宋体" w:cs="宋体"/>
          <w:szCs w:val="21"/>
        </w:rPr>
        <w:t>系</w:t>
      </w:r>
      <w:r>
        <w:rPr>
          <w:rFonts w:hint="eastAsia" w:ascii="宋体" w:hAnsi="宋体" w:cs="宋体"/>
          <w:szCs w:val="21"/>
          <w:u w:val="single"/>
        </w:rPr>
        <w:t>（磋商供应商名称）</w:t>
      </w:r>
      <w:r>
        <w:rPr>
          <w:rFonts w:hint="eastAsia" w:ascii="宋体" w:hAnsi="宋体" w:cs="宋体"/>
          <w:szCs w:val="21"/>
        </w:rPr>
        <w:t>的法定代表人。</w:t>
      </w:r>
    </w:p>
    <w:p>
      <w:pPr>
        <w:spacing w:line="360" w:lineRule="auto"/>
        <w:ind w:firstLine="134" w:firstLineChars="64"/>
        <w:rPr>
          <w:rFonts w:ascii="宋体" w:hAnsi="宋体" w:cs="宋体"/>
          <w:szCs w:val="21"/>
        </w:rPr>
      </w:pPr>
    </w:p>
    <w:p>
      <w:pPr>
        <w:spacing w:line="360" w:lineRule="auto"/>
        <w:ind w:firstLine="134" w:firstLineChars="64"/>
        <w:rPr>
          <w:rFonts w:ascii="宋体" w:hAnsi="宋体" w:cs="宋体"/>
          <w:szCs w:val="21"/>
        </w:rPr>
      </w:pPr>
      <w:r>
        <w:rPr>
          <w:rFonts w:hint="eastAsia" w:ascii="宋体" w:hAnsi="宋体" w:cs="宋体"/>
          <w:szCs w:val="21"/>
        </w:rPr>
        <w:t>特此证明。</w:t>
      </w:r>
    </w:p>
    <w:p>
      <w:pPr>
        <w:tabs>
          <w:tab w:val="left" w:pos="720"/>
          <w:tab w:val="left" w:pos="900"/>
        </w:tabs>
        <w:spacing w:line="360" w:lineRule="auto"/>
        <w:rPr>
          <w:rFonts w:ascii="宋体" w:hAnsi="宋体" w:cs="宋体"/>
          <w:szCs w:val="21"/>
        </w:rPr>
      </w:pPr>
    </w:p>
    <w:p>
      <w:pPr>
        <w:tabs>
          <w:tab w:val="left" w:pos="720"/>
          <w:tab w:val="left" w:pos="900"/>
        </w:tabs>
        <w:spacing w:line="360" w:lineRule="auto"/>
        <w:ind w:firstLine="4410" w:firstLineChars="2100"/>
        <w:rPr>
          <w:rFonts w:ascii="宋体" w:hAnsi="宋体" w:cs="宋体"/>
          <w:szCs w:val="21"/>
        </w:rPr>
      </w:pPr>
    </w:p>
    <w:p>
      <w:pPr>
        <w:tabs>
          <w:tab w:val="left" w:pos="720"/>
          <w:tab w:val="left" w:pos="900"/>
        </w:tabs>
        <w:spacing w:line="360" w:lineRule="auto"/>
        <w:ind w:firstLine="4410" w:firstLineChars="2100"/>
        <w:rPr>
          <w:rFonts w:ascii="宋体" w:hAnsi="宋体" w:cs="宋体"/>
          <w:szCs w:val="21"/>
        </w:rPr>
      </w:pPr>
      <w:r>
        <w:rPr>
          <w:rFonts w:hint="eastAsia" w:ascii="宋体" w:hAnsi="宋体" w:cs="宋体"/>
          <w:szCs w:val="21"/>
        </w:rPr>
        <w:t>磋商供应商名称：</w:t>
      </w:r>
      <w:r>
        <w:rPr>
          <w:rFonts w:hint="eastAsia" w:ascii="宋体" w:hAnsi="宋体" w:cs="宋体"/>
          <w:szCs w:val="21"/>
          <w:u w:val="single"/>
        </w:rPr>
        <w:t>（盖单位公章）</w:t>
      </w:r>
    </w:p>
    <w:p>
      <w:pPr>
        <w:ind w:firstLine="4410" w:firstLineChars="21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b/>
          <w:sz w:val="24"/>
        </w:rPr>
      </w:pPr>
    </w:p>
    <w:p>
      <w:pPr>
        <w:spacing w:line="360" w:lineRule="auto"/>
        <w:rPr>
          <w:rFonts w:ascii="宋体" w:hAnsi="宋体" w:cs="宋体"/>
          <w:b/>
          <w:sz w:val="24"/>
        </w:rPr>
      </w:pPr>
    </w:p>
    <w:p>
      <w:pPr>
        <w:pStyle w:val="17"/>
        <w:rPr>
          <w:rFonts w:hAnsi="宋体" w:cs="宋体"/>
          <w:b/>
          <w:sz w:val="24"/>
        </w:rPr>
      </w:pPr>
    </w:p>
    <w:p>
      <w:pPr>
        <w:spacing w:line="360" w:lineRule="auto"/>
        <w:rPr>
          <w:rFonts w:ascii="宋体" w:hAnsi="宋体" w:cs="宋体"/>
          <w:b/>
          <w:sz w:val="24"/>
        </w:rPr>
      </w:pPr>
      <w:r>
        <w:rPr>
          <w:rFonts w:hint="eastAsia" w:ascii="宋体" w:hAnsi="宋体" w:cs="宋体"/>
          <w:b/>
          <w:sz w:val="24"/>
        </w:rPr>
        <w:t>法定代表人完整有效的身份证正反面复印件：</w:t>
      </w:r>
    </w:p>
    <w:p>
      <w:pPr>
        <w:snapToGrid w:val="0"/>
        <w:spacing w:before="50" w:after="156" w:afterLines="50" w:line="440" w:lineRule="exact"/>
        <w:jc w:val="left"/>
        <w:rPr>
          <w:rFonts w:ascii="宋体" w:hAnsi="宋体" w:cs="宋体"/>
          <w:b/>
          <w:sz w:val="24"/>
        </w:rPr>
      </w:pPr>
    </w:p>
    <w:p>
      <w:pPr>
        <w:pStyle w:val="6"/>
        <w:rPr>
          <w:rFonts w:hAnsi="宋体" w:eastAsia="宋体" w:cs="宋体"/>
        </w:rPr>
      </w:pPr>
    </w:p>
    <w:p>
      <w:pPr>
        <w:rPr>
          <w:rFonts w:ascii="宋体" w:hAnsi="宋体" w:cs="宋体"/>
        </w:rPr>
      </w:pPr>
    </w:p>
    <w:p>
      <w:pPr>
        <w:pStyle w:val="2"/>
        <w:rPr>
          <w:rFonts w:ascii="宋体" w:hAnsi="宋体" w:cs="宋体"/>
        </w:rPr>
      </w:pPr>
    </w:p>
    <w:p>
      <w:pPr>
        <w:snapToGrid w:val="0"/>
        <w:spacing w:before="50" w:after="156" w:afterLines="50" w:line="440" w:lineRule="exact"/>
        <w:jc w:val="left"/>
        <w:rPr>
          <w:rFonts w:ascii="宋体" w:hAnsi="宋体" w:cs="宋体"/>
          <w:b/>
          <w:sz w:val="24"/>
        </w:rPr>
      </w:pPr>
      <w:r>
        <w:rPr>
          <w:rFonts w:hint="eastAsia" w:ascii="宋体" w:hAnsi="宋体" w:cs="宋体"/>
          <w:b/>
          <w:sz w:val="24"/>
        </w:rPr>
        <w:t>2.法定代表人授权委托书原件及委托代理人身份证正反面复印件（如委托）格式：</w:t>
      </w:r>
    </w:p>
    <w:p>
      <w:pPr>
        <w:snapToGrid w:val="0"/>
        <w:spacing w:before="156" w:beforeLines="50" w:after="50" w:line="440" w:lineRule="exact"/>
        <w:jc w:val="center"/>
        <w:rPr>
          <w:rFonts w:ascii="宋体" w:hAnsi="宋体" w:cs="宋体"/>
          <w:b/>
          <w:sz w:val="24"/>
        </w:rPr>
      </w:pPr>
    </w:p>
    <w:p>
      <w:pPr>
        <w:snapToGrid w:val="0"/>
        <w:spacing w:before="156" w:beforeLines="50" w:after="50" w:line="440" w:lineRule="exact"/>
        <w:jc w:val="center"/>
        <w:rPr>
          <w:rFonts w:ascii="宋体" w:hAnsi="宋体" w:cs="宋体"/>
          <w:b/>
          <w:sz w:val="24"/>
        </w:rPr>
      </w:pPr>
      <w:r>
        <w:rPr>
          <w:rFonts w:hint="eastAsia" w:ascii="宋体" w:hAnsi="宋体" w:cs="宋体"/>
          <w:b/>
          <w:sz w:val="24"/>
        </w:rPr>
        <w:t>法定代表人授权委托书（如委托）</w:t>
      </w:r>
    </w:p>
    <w:p>
      <w:pPr>
        <w:snapToGrid w:val="0"/>
        <w:spacing w:before="156" w:beforeLines="50" w:after="50" w:line="440" w:lineRule="exact"/>
        <w:rPr>
          <w:rFonts w:ascii="宋体" w:hAnsi="宋体" w:cs="宋体"/>
          <w:bCs/>
          <w:sz w:val="24"/>
        </w:rPr>
      </w:pPr>
    </w:p>
    <w:p>
      <w:pPr>
        <w:snapToGrid w:val="0"/>
        <w:spacing w:before="156" w:beforeLines="50" w:after="50" w:line="440" w:lineRule="exact"/>
        <w:rPr>
          <w:rFonts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广西睿升项目管理有限公司</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（磋商供应商名称）的法定代表人，现授权委托本单位在职职工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（项目名称/编号） </w:t>
      </w:r>
      <w:r>
        <w:rPr>
          <w:rFonts w:hint="eastAsia" w:ascii="宋体" w:hAnsi="宋体" w:cs="宋体"/>
          <w:szCs w:val="21"/>
        </w:rPr>
        <w:t>的投标活动，并代表我方全权办理针对上述项目的投标、开标、评标、签约等具体事务和签署相关文件。</w:t>
      </w:r>
    </w:p>
    <w:p>
      <w:pPr>
        <w:snapToGrid w:val="0"/>
        <w:spacing w:before="156" w:beforeLines="50" w:after="50" w:line="440" w:lineRule="exact"/>
        <w:rPr>
          <w:rFonts w:ascii="宋体" w:hAnsi="宋体" w:cs="宋体"/>
          <w:szCs w:val="21"/>
        </w:rPr>
      </w:pPr>
      <w:r>
        <w:rPr>
          <w:rFonts w:hint="eastAsia" w:ascii="宋体" w:hAnsi="宋体" w:cs="宋体"/>
          <w:szCs w:val="21"/>
        </w:rPr>
        <w:t xml:space="preserve">    我方对委托代理人的签名事项负全部责任。</w:t>
      </w:r>
    </w:p>
    <w:p>
      <w:pPr>
        <w:snapToGrid w:val="0"/>
        <w:spacing w:before="156" w:beforeLines="50" w:after="50" w:line="440" w:lineRule="exact"/>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委托代理人在授权书有效期内签署的所有文件不因授权的撤销而失效。</w:t>
      </w:r>
    </w:p>
    <w:p>
      <w:pPr>
        <w:snapToGrid w:val="0"/>
        <w:spacing w:before="156" w:beforeLines="50" w:after="50" w:line="440" w:lineRule="exact"/>
        <w:ind w:firstLine="480"/>
        <w:rPr>
          <w:rFonts w:ascii="宋体" w:hAnsi="宋体" w:cs="宋体"/>
          <w:szCs w:val="21"/>
        </w:rPr>
      </w:pPr>
      <w:r>
        <w:rPr>
          <w:rFonts w:hint="eastAsia" w:ascii="宋体" w:hAnsi="宋体" w:cs="宋体"/>
          <w:szCs w:val="21"/>
        </w:rPr>
        <w:t>委托代理人无转委托权，特此委托。</w:t>
      </w:r>
    </w:p>
    <w:p>
      <w:pPr>
        <w:snapToGrid w:val="0"/>
        <w:spacing w:before="156" w:beforeLines="50" w:after="50" w:line="440" w:lineRule="exact"/>
        <w:rPr>
          <w:rFonts w:ascii="宋体" w:hAnsi="宋体" w:cs="宋体"/>
          <w:szCs w:val="21"/>
          <w:u w:val="single"/>
        </w:rPr>
      </w:pPr>
      <w:r>
        <w:rPr>
          <w:rFonts w:hint="eastAsia" w:ascii="宋体" w:hAnsi="宋体" w:cs="宋体"/>
          <w:szCs w:val="21"/>
        </w:rPr>
        <w:t>委托代理人签名：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pPr>
        <w:snapToGrid w:val="0"/>
        <w:spacing w:before="156" w:beforeLines="50" w:after="50" w:line="440" w:lineRule="exact"/>
        <w:rPr>
          <w:rFonts w:ascii="宋体" w:hAnsi="宋体" w:cs="宋体"/>
          <w:szCs w:val="21"/>
        </w:rPr>
      </w:pPr>
      <w:r>
        <w:rPr>
          <w:rFonts w:hint="eastAsia" w:ascii="宋体" w:hAnsi="宋体" w:cs="宋体"/>
          <w:szCs w:val="21"/>
        </w:rPr>
        <w:t>所在部门职务：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napToGrid w:val="0"/>
        <w:spacing w:before="156" w:beforeLines="50" w:after="50" w:line="440" w:lineRule="exact"/>
        <w:rPr>
          <w:rFonts w:ascii="宋体" w:hAnsi="宋体" w:cs="宋体"/>
          <w:szCs w:val="21"/>
        </w:rPr>
      </w:pPr>
      <w:r>
        <w:rPr>
          <w:rFonts w:hint="eastAsia" w:ascii="宋体" w:hAnsi="宋体" w:cs="宋体"/>
          <w:szCs w:val="21"/>
        </w:rPr>
        <w:t>委托代理人身份证号码：</w:t>
      </w:r>
      <w:r>
        <w:rPr>
          <w:rFonts w:hint="eastAsia" w:ascii="宋体" w:hAnsi="宋体" w:cs="宋体"/>
          <w:szCs w:val="21"/>
          <w:u w:val="single"/>
        </w:rPr>
        <w:t xml:space="preserve">                             </w:t>
      </w:r>
      <w:r>
        <w:rPr>
          <w:rFonts w:hint="eastAsia" w:ascii="宋体" w:hAnsi="宋体" w:cs="宋体"/>
          <w:szCs w:val="21"/>
        </w:rPr>
        <w:t xml:space="preserve"> </w:t>
      </w:r>
    </w:p>
    <w:p>
      <w:pPr>
        <w:snapToGrid w:val="0"/>
        <w:spacing w:before="156" w:beforeLines="50" w:after="50" w:line="440" w:lineRule="exact"/>
        <w:rPr>
          <w:rFonts w:ascii="宋体" w:hAnsi="宋体" w:cs="宋体"/>
          <w:szCs w:val="21"/>
        </w:rPr>
      </w:pPr>
      <w:r>
        <w:rPr>
          <w:rFonts w:hint="eastAsia" w:ascii="宋体" w:hAnsi="宋体" w:cs="宋体"/>
          <w:szCs w:val="21"/>
        </w:rPr>
        <w:t xml:space="preserve">                                   </w:t>
      </w:r>
    </w:p>
    <w:p>
      <w:pPr>
        <w:tabs>
          <w:tab w:val="left" w:pos="720"/>
          <w:tab w:val="left" w:pos="900"/>
        </w:tabs>
        <w:spacing w:line="360" w:lineRule="auto"/>
        <w:ind w:firstLine="4410" w:firstLineChars="2100"/>
        <w:rPr>
          <w:rFonts w:ascii="宋体" w:hAnsi="宋体" w:cs="宋体"/>
          <w:szCs w:val="21"/>
        </w:rPr>
      </w:pPr>
      <w:r>
        <w:rPr>
          <w:rFonts w:hint="eastAsia" w:ascii="宋体" w:hAnsi="宋体" w:cs="宋体"/>
          <w:szCs w:val="21"/>
        </w:rPr>
        <w:t xml:space="preserve">  磋商供应商名称：</w:t>
      </w:r>
      <w:r>
        <w:rPr>
          <w:rFonts w:hint="eastAsia" w:ascii="宋体" w:hAnsi="宋体" w:cs="宋体"/>
          <w:szCs w:val="21"/>
          <w:u w:val="single"/>
        </w:rPr>
        <w:t>（盖单位公章）</w:t>
      </w:r>
    </w:p>
    <w:p>
      <w:pPr>
        <w:ind w:firstLine="5250" w:firstLineChars="25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before="156" w:beforeLines="50" w:after="50" w:line="440" w:lineRule="exact"/>
        <w:jc w:val="center"/>
        <w:rPr>
          <w:rFonts w:ascii="宋体" w:hAnsi="宋体" w:cs="宋体"/>
          <w:sz w:val="24"/>
        </w:rPr>
      </w:pPr>
    </w:p>
    <w:p>
      <w:pPr>
        <w:pStyle w:val="17"/>
        <w:rPr>
          <w:rFonts w:hAnsi="宋体" w:cs="宋体"/>
          <w:sz w:val="24"/>
        </w:rPr>
      </w:pPr>
    </w:p>
    <w:p>
      <w:pPr>
        <w:snapToGrid w:val="0"/>
        <w:spacing w:before="156" w:beforeLines="50" w:after="50" w:line="440" w:lineRule="exact"/>
        <w:jc w:val="center"/>
        <w:rPr>
          <w:rFonts w:ascii="宋体" w:hAnsi="宋体" w:cs="宋体"/>
          <w:sz w:val="24"/>
        </w:rPr>
      </w:pPr>
    </w:p>
    <w:p>
      <w:pPr>
        <w:spacing w:line="360" w:lineRule="auto"/>
        <w:rPr>
          <w:rFonts w:ascii="宋体" w:hAnsi="宋体" w:cs="宋体"/>
          <w:b/>
          <w:sz w:val="24"/>
        </w:rPr>
      </w:pPr>
      <w:r>
        <w:rPr>
          <w:rFonts w:hint="eastAsia" w:ascii="宋体" w:hAnsi="宋体" w:cs="宋体"/>
          <w:b/>
          <w:sz w:val="24"/>
        </w:rPr>
        <w:t>委托代理人身份证正反面复印件：</w:t>
      </w:r>
    </w:p>
    <w:p>
      <w:pPr>
        <w:snapToGrid w:val="0"/>
        <w:spacing w:before="156" w:beforeLines="50" w:after="50" w:line="440" w:lineRule="exact"/>
        <w:jc w:val="center"/>
        <w:rPr>
          <w:rFonts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shd w:val="clear" w:color="auto" w:fill="FFFFFF"/>
        <w:spacing w:line="360" w:lineRule="atLeast"/>
        <w:jc w:val="left"/>
        <w:rPr>
          <w:rFonts w:ascii="宋体" w:hAnsi="宋体" w:cs="宋体"/>
          <w:b/>
          <w:bCs/>
          <w:sz w:val="28"/>
          <w:szCs w:val="28"/>
        </w:rPr>
      </w:pPr>
    </w:p>
    <w:p>
      <w:pPr>
        <w:spacing w:line="520" w:lineRule="exact"/>
        <w:jc w:val="center"/>
        <w:rPr>
          <w:rFonts w:ascii="宋体" w:hAnsi="宋体"/>
          <w:b/>
          <w:sz w:val="32"/>
          <w:szCs w:val="32"/>
        </w:rPr>
      </w:pPr>
      <w:r>
        <w:rPr>
          <w:rFonts w:hint="eastAsia" w:ascii="宋体" w:hAnsi="宋体" w:cs="宋体"/>
          <w:b/>
          <w:bCs/>
          <w:sz w:val="32"/>
          <w:szCs w:val="32"/>
        </w:rPr>
        <w:t>四、</w:t>
      </w:r>
      <w:r>
        <w:rPr>
          <w:rFonts w:hint="eastAsia" w:ascii="宋体" w:hAnsi="宋体"/>
          <w:b/>
          <w:sz w:val="32"/>
          <w:szCs w:val="32"/>
        </w:rPr>
        <w:t>服务响应、偏离情况说明表</w:t>
      </w:r>
    </w:p>
    <w:p>
      <w:pPr>
        <w:spacing w:line="420" w:lineRule="exact"/>
        <w:rPr>
          <w:rFonts w:ascii="宋体" w:hAnsi="宋体"/>
          <w:szCs w:val="21"/>
        </w:rPr>
      </w:pPr>
    </w:p>
    <w:p>
      <w:pPr>
        <w:spacing w:line="420" w:lineRule="exact"/>
        <w:ind w:firstLine="630" w:firstLineChars="30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spacing w:line="420" w:lineRule="exact"/>
        <w:ind w:firstLine="630" w:firstLineChars="300"/>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0"/>
        <w:gridCol w:w="2837"/>
        <w:gridCol w:w="3160"/>
        <w:gridCol w:w="15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szCs w:val="21"/>
              </w:rPr>
            </w:pPr>
            <w:bookmarkStart w:id="77" w:name="_Toc254970729"/>
            <w:bookmarkStart w:id="78" w:name="_Toc173066401"/>
            <w:bookmarkStart w:id="79" w:name="_Toc173211900"/>
            <w:bookmarkStart w:id="80" w:name="_Toc254970588"/>
            <w:r>
              <w:rPr>
                <w:rFonts w:hint="eastAsia" w:ascii="宋体" w:hAnsi="宋体"/>
                <w:szCs w:val="21"/>
              </w:rPr>
              <w:t>序号</w:t>
            </w:r>
            <w:bookmarkEnd w:id="77"/>
            <w:bookmarkEnd w:id="78"/>
            <w:bookmarkEnd w:id="79"/>
            <w:bookmarkEnd w:id="80"/>
          </w:p>
        </w:tc>
        <w:tc>
          <w:tcPr>
            <w:tcW w:w="2837" w:type="dxa"/>
            <w:vAlign w:val="center"/>
          </w:tcPr>
          <w:p>
            <w:pPr>
              <w:adjustRightInd w:val="0"/>
              <w:snapToGrid w:val="0"/>
              <w:spacing w:line="400" w:lineRule="exact"/>
              <w:jc w:val="center"/>
              <w:outlineLvl w:val="0"/>
              <w:rPr>
                <w:rFonts w:ascii="宋体" w:hAnsi="宋体"/>
                <w:szCs w:val="21"/>
              </w:rPr>
            </w:pPr>
            <w:bookmarkStart w:id="81" w:name="_Toc173066402"/>
            <w:bookmarkStart w:id="82" w:name="_Toc254970589"/>
            <w:bookmarkStart w:id="83" w:name="_Toc173211901"/>
            <w:bookmarkStart w:id="84" w:name="_Toc254970730"/>
            <w:r>
              <w:rPr>
                <w:rFonts w:hint="eastAsia" w:ascii="宋体" w:hAnsi="宋体"/>
                <w:szCs w:val="21"/>
              </w:rPr>
              <w:t>竞争性磋商文件要求</w:t>
            </w:r>
            <w:bookmarkEnd w:id="81"/>
            <w:bookmarkEnd w:id="82"/>
            <w:bookmarkEnd w:id="83"/>
            <w:bookmarkEnd w:id="84"/>
          </w:p>
        </w:tc>
        <w:tc>
          <w:tcPr>
            <w:tcW w:w="3160" w:type="dxa"/>
            <w:vAlign w:val="center"/>
          </w:tcPr>
          <w:p>
            <w:pPr>
              <w:adjustRightInd w:val="0"/>
              <w:snapToGrid w:val="0"/>
              <w:spacing w:line="400" w:lineRule="exact"/>
              <w:jc w:val="center"/>
              <w:outlineLvl w:val="0"/>
              <w:rPr>
                <w:rFonts w:ascii="宋体" w:hAnsi="宋体"/>
                <w:szCs w:val="21"/>
              </w:rPr>
            </w:pPr>
            <w:bookmarkStart w:id="85" w:name="_Toc173066403"/>
            <w:bookmarkStart w:id="86" w:name="_Toc254970590"/>
            <w:bookmarkStart w:id="87" w:name="_Toc173211902"/>
            <w:bookmarkStart w:id="88" w:name="_Toc254970731"/>
            <w:r>
              <w:rPr>
                <w:rFonts w:hint="eastAsia" w:ascii="宋体" w:hAnsi="宋体"/>
                <w:szCs w:val="21"/>
              </w:rPr>
              <w:t>磋商响应文件具体响应</w:t>
            </w:r>
            <w:bookmarkEnd w:id="85"/>
            <w:bookmarkEnd w:id="86"/>
            <w:bookmarkEnd w:id="87"/>
            <w:bookmarkEnd w:id="88"/>
          </w:p>
        </w:tc>
        <w:tc>
          <w:tcPr>
            <w:tcW w:w="1571" w:type="dxa"/>
            <w:vAlign w:val="center"/>
          </w:tcPr>
          <w:p>
            <w:pPr>
              <w:adjustRightInd w:val="0"/>
              <w:snapToGrid w:val="0"/>
              <w:spacing w:line="400" w:lineRule="exact"/>
              <w:jc w:val="center"/>
              <w:outlineLvl w:val="0"/>
              <w:rPr>
                <w:rFonts w:ascii="宋体" w:hAnsi="宋体"/>
                <w:szCs w:val="21"/>
              </w:rPr>
            </w:pPr>
            <w:bookmarkStart w:id="89" w:name="_Toc254970591"/>
            <w:bookmarkStart w:id="90" w:name="_Toc173066404"/>
            <w:bookmarkStart w:id="91" w:name="_Toc173211903"/>
            <w:bookmarkStart w:id="92" w:name="_Toc254970732"/>
            <w:r>
              <w:rPr>
                <w:rFonts w:hint="eastAsia" w:ascii="宋体" w:hAnsi="宋体"/>
                <w:szCs w:val="21"/>
              </w:rPr>
              <w:t>响应/偏离</w:t>
            </w:r>
            <w:bookmarkEnd w:id="89"/>
            <w:bookmarkEnd w:id="90"/>
            <w:bookmarkEnd w:id="91"/>
            <w:bookmarkEnd w:id="92"/>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640" w:type="dxa"/>
            <w:vAlign w:val="center"/>
          </w:tcPr>
          <w:p>
            <w:pPr>
              <w:adjustRightInd w:val="0"/>
              <w:snapToGrid w:val="0"/>
              <w:spacing w:line="400" w:lineRule="exact"/>
              <w:jc w:val="center"/>
              <w:outlineLvl w:val="0"/>
              <w:rPr>
                <w:rFonts w:ascii="宋体" w:hAnsi="宋体"/>
                <w:szCs w:val="21"/>
              </w:rPr>
            </w:pPr>
            <w:bookmarkStart w:id="93" w:name="_Toc173066406"/>
            <w:bookmarkStart w:id="94" w:name="_Toc254970593"/>
            <w:bookmarkStart w:id="95" w:name="_Toc254970734"/>
            <w:bookmarkStart w:id="96" w:name="_Toc173211905"/>
            <w:r>
              <w:rPr>
                <w:rFonts w:hint="eastAsia" w:ascii="宋体" w:hAnsi="宋体"/>
                <w:szCs w:val="21"/>
              </w:rPr>
              <w:t>1</w:t>
            </w:r>
            <w:bookmarkEnd w:id="93"/>
            <w:bookmarkEnd w:id="94"/>
            <w:bookmarkEnd w:id="95"/>
            <w:bookmarkEnd w:id="96"/>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vAlign w:val="center"/>
          </w:tcPr>
          <w:p>
            <w:pPr>
              <w:adjustRightInd w:val="0"/>
              <w:snapToGrid w:val="0"/>
              <w:spacing w:line="4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szCs w:val="21"/>
              </w:rPr>
            </w:pPr>
            <w:bookmarkStart w:id="97" w:name="_Toc173211906"/>
            <w:bookmarkStart w:id="98" w:name="_Toc173066407"/>
            <w:bookmarkStart w:id="99" w:name="_Toc254970735"/>
            <w:bookmarkStart w:id="100" w:name="_Toc254970594"/>
            <w:r>
              <w:rPr>
                <w:rFonts w:hint="eastAsia" w:ascii="宋体" w:hAnsi="宋体"/>
                <w:szCs w:val="21"/>
              </w:rPr>
              <w:t>2</w:t>
            </w:r>
            <w:bookmarkEnd w:id="97"/>
            <w:bookmarkEnd w:id="98"/>
            <w:bookmarkEnd w:id="99"/>
            <w:bookmarkEnd w:id="100"/>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vAlign w:val="center"/>
          </w:tcPr>
          <w:p>
            <w:pPr>
              <w:adjustRightInd w:val="0"/>
              <w:snapToGrid w:val="0"/>
              <w:spacing w:line="4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szCs w:val="21"/>
              </w:rPr>
            </w:pPr>
            <w:bookmarkStart w:id="101" w:name="_Toc254970736"/>
            <w:bookmarkStart w:id="102" w:name="_Toc254970595"/>
            <w:bookmarkStart w:id="103" w:name="_Toc173211907"/>
            <w:bookmarkStart w:id="104" w:name="_Toc173066408"/>
            <w:r>
              <w:rPr>
                <w:rFonts w:hint="eastAsia" w:ascii="宋体" w:hAnsi="宋体"/>
                <w:szCs w:val="21"/>
              </w:rPr>
              <w:t>3</w:t>
            </w:r>
            <w:bookmarkEnd w:id="101"/>
            <w:bookmarkEnd w:id="102"/>
            <w:bookmarkEnd w:id="103"/>
            <w:bookmarkEnd w:id="104"/>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vAlign w:val="center"/>
          </w:tcPr>
          <w:p>
            <w:pPr>
              <w:adjustRightInd w:val="0"/>
              <w:snapToGrid w:val="0"/>
              <w:spacing w:line="4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szCs w:val="21"/>
              </w:rPr>
            </w:pPr>
            <w:r>
              <w:rPr>
                <w:rFonts w:hint="eastAsia" w:ascii="宋体" w:hAnsi="宋体"/>
                <w:szCs w:val="21"/>
              </w:rPr>
              <w:t>4</w:t>
            </w:r>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vAlign w:val="center"/>
          </w:tcPr>
          <w:p>
            <w:pPr>
              <w:adjustRightInd w:val="0"/>
              <w:snapToGrid w:val="0"/>
              <w:spacing w:line="4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0" w:type="dxa"/>
            <w:vAlign w:val="center"/>
          </w:tcPr>
          <w:p>
            <w:pPr>
              <w:adjustRightInd w:val="0"/>
              <w:snapToGrid w:val="0"/>
              <w:spacing w:line="400" w:lineRule="exact"/>
              <w:jc w:val="center"/>
              <w:outlineLvl w:val="0"/>
              <w:rPr>
                <w:rFonts w:ascii="宋体" w:hAnsi="宋体"/>
                <w:szCs w:val="21"/>
              </w:rPr>
            </w:pPr>
            <w:r>
              <w:rPr>
                <w:rFonts w:hint="eastAsia" w:ascii="宋体" w:hAnsi="宋体"/>
                <w:szCs w:val="21"/>
              </w:rPr>
              <w:t>5</w:t>
            </w:r>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vAlign w:val="center"/>
          </w:tcPr>
          <w:p>
            <w:pPr>
              <w:adjustRightInd w:val="0"/>
              <w:snapToGrid w:val="0"/>
              <w:spacing w:line="40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40" w:type="dxa"/>
            <w:vAlign w:val="center"/>
          </w:tcPr>
          <w:p>
            <w:pPr>
              <w:adjustRightInd w:val="0"/>
              <w:snapToGrid w:val="0"/>
              <w:spacing w:line="400" w:lineRule="exact"/>
              <w:jc w:val="center"/>
              <w:outlineLvl w:val="0"/>
              <w:rPr>
                <w:rFonts w:ascii="宋体" w:hAnsi="宋体"/>
                <w:szCs w:val="21"/>
              </w:rPr>
            </w:pPr>
            <w:bookmarkStart w:id="105" w:name="_Toc173066415"/>
            <w:bookmarkStart w:id="106" w:name="_Toc254970602"/>
            <w:bookmarkStart w:id="107" w:name="_Toc173211914"/>
            <w:bookmarkStart w:id="108" w:name="_Toc254970743"/>
            <w:r>
              <w:rPr>
                <w:rFonts w:hint="eastAsia" w:ascii="宋体" w:hAnsi="宋体"/>
                <w:szCs w:val="21"/>
              </w:rPr>
              <w:t>…</w:t>
            </w:r>
            <w:bookmarkEnd w:id="105"/>
            <w:bookmarkEnd w:id="106"/>
            <w:bookmarkEnd w:id="107"/>
            <w:bookmarkEnd w:id="108"/>
          </w:p>
        </w:tc>
        <w:tc>
          <w:tcPr>
            <w:tcW w:w="2837" w:type="dxa"/>
            <w:vAlign w:val="center"/>
          </w:tcPr>
          <w:p>
            <w:pPr>
              <w:adjustRightInd w:val="0"/>
              <w:snapToGrid w:val="0"/>
              <w:spacing w:line="400" w:lineRule="exact"/>
              <w:jc w:val="center"/>
              <w:outlineLvl w:val="0"/>
              <w:rPr>
                <w:rFonts w:ascii="宋体" w:hAnsi="宋体"/>
                <w:szCs w:val="21"/>
              </w:rPr>
            </w:pPr>
          </w:p>
        </w:tc>
        <w:tc>
          <w:tcPr>
            <w:tcW w:w="3160" w:type="dxa"/>
            <w:vAlign w:val="center"/>
          </w:tcPr>
          <w:p>
            <w:pPr>
              <w:adjustRightInd w:val="0"/>
              <w:snapToGrid w:val="0"/>
              <w:spacing w:line="400" w:lineRule="exact"/>
              <w:jc w:val="center"/>
              <w:outlineLvl w:val="0"/>
              <w:rPr>
                <w:rFonts w:ascii="宋体" w:hAnsi="宋体"/>
                <w:szCs w:val="21"/>
              </w:rPr>
            </w:pPr>
          </w:p>
        </w:tc>
        <w:tc>
          <w:tcPr>
            <w:tcW w:w="1571" w:type="dxa"/>
            <w:tcBorders>
              <w:right w:val="single" w:color="auto" w:sz="4" w:space="0"/>
            </w:tcBorders>
            <w:vAlign w:val="center"/>
          </w:tcPr>
          <w:p>
            <w:pPr>
              <w:adjustRightInd w:val="0"/>
              <w:snapToGrid w:val="0"/>
              <w:spacing w:line="400" w:lineRule="exact"/>
              <w:jc w:val="center"/>
              <w:outlineLvl w:val="0"/>
              <w:rPr>
                <w:rFonts w:ascii="宋体" w:hAnsi="宋体"/>
                <w:szCs w:val="21"/>
              </w:rPr>
            </w:pPr>
          </w:p>
        </w:tc>
      </w:tr>
    </w:tbl>
    <w:p>
      <w:pPr>
        <w:adjustRightInd w:val="0"/>
        <w:snapToGrid w:val="0"/>
        <w:spacing w:line="420" w:lineRule="exact"/>
        <w:rPr>
          <w:rFonts w:ascii="宋体" w:hAnsi="宋体"/>
          <w:szCs w:val="21"/>
        </w:rPr>
      </w:pPr>
    </w:p>
    <w:p>
      <w:pPr>
        <w:pStyle w:val="18"/>
        <w:spacing w:line="420" w:lineRule="exact"/>
        <w:ind w:firstLine="0"/>
        <w:rPr>
          <w:rFonts w:hAnsi="宋体"/>
          <w:sz w:val="21"/>
          <w:szCs w:val="21"/>
        </w:rPr>
      </w:pPr>
      <w:r>
        <w:rPr>
          <w:rFonts w:hint="eastAsia" w:hAnsi="宋体"/>
          <w:sz w:val="21"/>
          <w:szCs w:val="21"/>
        </w:rPr>
        <w:t>说明：应对照竞争性磋商文件“第三章 磋商采购技术规格、参数及要求”，逐条说明所提供服务已对竞争性磋商文件的技术规格做出了实质性的响应，并申明与技术规格条文的响应和偏离。</w:t>
      </w:r>
    </w:p>
    <w:p>
      <w:pPr>
        <w:pStyle w:val="19"/>
        <w:spacing w:line="420" w:lineRule="exact"/>
        <w:rPr>
          <w:rFonts w:hAnsi="宋体"/>
          <w:szCs w:val="21"/>
        </w:rPr>
      </w:pPr>
    </w:p>
    <w:p>
      <w:pPr>
        <w:pStyle w:val="19"/>
        <w:spacing w:line="500" w:lineRule="exact"/>
        <w:rPr>
          <w:rFonts w:hAnsi="宋体"/>
          <w:szCs w:val="21"/>
          <w:u w:val="single"/>
        </w:rPr>
      </w:pPr>
      <w:r>
        <w:rPr>
          <w:rFonts w:hint="eastAsia" w:hAnsi="宋体"/>
          <w:szCs w:val="21"/>
        </w:rPr>
        <w:t>磋商供应商名称（盖章）：</w:t>
      </w:r>
      <w:r>
        <w:rPr>
          <w:rFonts w:hint="eastAsia" w:hAnsi="宋体"/>
          <w:szCs w:val="21"/>
          <w:u w:val="single"/>
        </w:rPr>
        <w:t xml:space="preserve">                              </w:t>
      </w:r>
    </w:p>
    <w:p>
      <w:pPr>
        <w:pStyle w:val="19"/>
        <w:spacing w:line="500" w:lineRule="exact"/>
        <w:rPr>
          <w:rFonts w:hAnsi="宋体"/>
          <w:szCs w:val="21"/>
          <w:u w:val="single"/>
        </w:rPr>
      </w:pPr>
      <w:r>
        <w:rPr>
          <w:rFonts w:hint="eastAsia" w:hAnsi="宋体"/>
          <w:szCs w:val="21"/>
        </w:rPr>
        <w:t>法定代表人或委托代理人（签字）：</w:t>
      </w:r>
      <w:r>
        <w:rPr>
          <w:rFonts w:hint="eastAsia" w:hAnsi="宋体"/>
          <w:szCs w:val="21"/>
          <w:u w:val="single"/>
        </w:rPr>
        <w:t xml:space="preserve">                  </w:t>
      </w:r>
    </w:p>
    <w:p>
      <w:pPr>
        <w:pStyle w:val="19"/>
        <w:spacing w:line="500" w:lineRule="exact"/>
        <w:rPr>
          <w:rFonts w:hAnsi="宋体"/>
          <w:szCs w:val="21"/>
          <w:u w:val="single"/>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 xml:space="preserve">日 </w:t>
      </w:r>
    </w:p>
    <w:p>
      <w:pPr>
        <w:shd w:val="clear" w:color="auto" w:fill="FFFFFF"/>
        <w:spacing w:line="360" w:lineRule="atLeast"/>
        <w:jc w:val="left"/>
        <w:rPr>
          <w:rFonts w:ascii="宋体" w:hAnsi="宋体" w:cs="宋体"/>
          <w:b/>
          <w:bCs/>
          <w:sz w:val="28"/>
          <w:szCs w:val="28"/>
        </w:rPr>
      </w:pPr>
    </w:p>
    <w:p>
      <w:pPr>
        <w:pStyle w:val="19"/>
        <w:spacing w:line="580" w:lineRule="exact"/>
        <w:rPr>
          <w:rFonts w:hAnsi="宋体" w:cs="宋体"/>
          <w:b/>
          <w:bCs/>
          <w:sz w:val="32"/>
          <w:szCs w:val="32"/>
        </w:rPr>
      </w:pPr>
      <w:bookmarkStart w:id="109" w:name="_Toc9545_WPSOffice_Level1"/>
      <w:r>
        <w:rPr>
          <w:rFonts w:hint="eastAsia" w:hAnsi="宋体" w:cs="宋体"/>
          <w:b/>
          <w:bCs/>
          <w:sz w:val="32"/>
          <w:szCs w:val="32"/>
        </w:rPr>
        <w:t>五、技术方案（格式自拟）</w:t>
      </w:r>
    </w:p>
    <w:p>
      <w:pPr>
        <w:pStyle w:val="19"/>
        <w:spacing w:line="580" w:lineRule="exact"/>
        <w:rPr>
          <w:rFonts w:hAnsi="宋体" w:cs="宋体"/>
          <w:b/>
          <w:bCs/>
          <w:sz w:val="32"/>
          <w:szCs w:val="32"/>
        </w:rPr>
      </w:pPr>
      <w:r>
        <w:rPr>
          <w:rFonts w:hint="eastAsia" w:hAnsi="宋体" w:cs="宋体"/>
          <w:b/>
          <w:bCs/>
          <w:sz w:val="32"/>
          <w:szCs w:val="32"/>
        </w:rPr>
        <w:t>六、服务承诺（格式自拟）</w:t>
      </w:r>
    </w:p>
    <w:p>
      <w:pPr>
        <w:pStyle w:val="19"/>
        <w:spacing w:line="580" w:lineRule="exact"/>
        <w:rPr>
          <w:rFonts w:hAnsi="宋体" w:cs="宋体"/>
          <w:b/>
          <w:bCs/>
          <w:sz w:val="32"/>
          <w:szCs w:val="32"/>
        </w:rPr>
      </w:pPr>
      <w:r>
        <w:rPr>
          <w:rFonts w:hint="eastAsia" w:hAnsi="宋体" w:cs="宋体"/>
          <w:b/>
          <w:bCs/>
          <w:sz w:val="32"/>
          <w:szCs w:val="32"/>
        </w:rPr>
        <w:t>七、类似业绩一览表（如有）</w:t>
      </w:r>
    </w:p>
    <w:p>
      <w:pPr>
        <w:pStyle w:val="19"/>
        <w:spacing w:line="580" w:lineRule="exact"/>
        <w:rPr>
          <w:rFonts w:hAnsi="宋体" w:cs="宋体"/>
          <w:b/>
          <w:bCs/>
          <w:sz w:val="32"/>
          <w:szCs w:val="32"/>
        </w:rPr>
      </w:pPr>
      <w:r>
        <w:rPr>
          <w:rFonts w:hint="eastAsia" w:hAnsi="宋体" w:cs="宋体"/>
          <w:b/>
          <w:bCs/>
          <w:sz w:val="32"/>
          <w:szCs w:val="32"/>
        </w:rPr>
        <w:t>八、获奖荣誉一览表（如有）</w:t>
      </w:r>
    </w:p>
    <w:p>
      <w:pPr>
        <w:pStyle w:val="19"/>
        <w:spacing w:line="580" w:lineRule="exact"/>
        <w:rPr>
          <w:rFonts w:hAnsi="宋体" w:cs="宋体"/>
          <w:b/>
          <w:bCs/>
          <w:sz w:val="32"/>
          <w:szCs w:val="32"/>
        </w:rPr>
      </w:pPr>
      <w:r>
        <w:rPr>
          <w:rFonts w:hint="eastAsia" w:hAnsi="宋体" w:cs="宋体"/>
          <w:b/>
          <w:bCs/>
          <w:sz w:val="32"/>
          <w:szCs w:val="32"/>
        </w:rPr>
        <w:t>九、磋商供应商认为需要提供的有关资料（如有）</w:t>
      </w:r>
    </w:p>
    <w:p>
      <w:pPr>
        <w:pStyle w:val="2"/>
        <w:rPr>
          <w:rFonts w:ascii="宋体" w:hAnsi="宋体" w:cs="宋体"/>
          <w:sz w:val="28"/>
          <w:szCs w:val="28"/>
        </w:rPr>
      </w:pPr>
    </w:p>
    <w:bookmarkEnd w:id="109"/>
    <w:p>
      <w:pPr>
        <w:pStyle w:val="9"/>
        <w:overflowPunct w:val="0"/>
        <w:ind w:firstLine="0"/>
        <w:jc w:val="center"/>
        <w:rPr>
          <w:rFonts w:ascii="宋体" w:hAnsi="宋体"/>
          <w:b/>
          <w:bCs/>
          <w:sz w:val="32"/>
          <w:szCs w:val="32"/>
        </w:rPr>
      </w:pPr>
    </w:p>
    <w:p>
      <w:pPr>
        <w:pStyle w:val="9"/>
        <w:overflowPunct w:val="0"/>
        <w:ind w:firstLine="0"/>
        <w:jc w:val="center"/>
        <w:rPr>
          <w:rFonts w:ascii="宋体" w:hAnsi="宋体"/>
          <w:b/>
          <w:bCs/>
          <w:sz w:val="32"/>
          <w:szCs w:val="32"/>
        </w:rPr>
      </w:pPr>
    </w:p>
    <w:p>
      <w:pPr>
        <w:pStyle w:val="9"/>
        <w:overflowPunct w:val="0"/>
        <w:ind w:firstLine="0"/>
        <w:jc w:val="center"/>
        <w:rPr>
          <w:rFonts w:ascii="宋体" w:hAnsi="宋体"/>
          <w:b/>
          <w:bCs/>
          <w:sz w:val="32"/>
          <w:szCs w:val="32"/>
        </w:rPr>
      </w:pPr>
    </w:p>
    <w:p>
      <w:pPr>
        <w:pStyle w:val="9"/>
        <w:overflowPunct w:val="0"/>
        <w:ind w:firstLine="0"/>
        <w:jc w:val="center"/>
        <w:rPr>
          <w:rFonts w:ascii="宋体" w:hAnsi="宋体"/>
          <w:b/>
          <w:bCs/>
          <w:sz w:val="32"/>
          <w:szCs w:val="32"/>
        </w:rPr>
      </w:pPr>
      <w:r>
        <w:rPr>
          <w:rFonts w:hint="eastAsia" w:ascii="宋体" w:hAnsi="宋体"/>
          <w:b/>
          <w:bCs/>
          <w:sz w:val="32"/>
          <w:szCs w:val="32"/>
        </w:rPr>
        <w:t>中小企业声明函（服务）</w:t>
      </w:r>
    </w:p>
    <w:p>
      <w:pPr>
        <w:pStyle w:val="17"/>
        <w:spacing w:before="5"/>
        <w:rPr>
          <w:b/>
          <w:sz w:val="48"/>
        </w:rPr>
      </w:pPr>
    </w:p>
    <w:p>
      <w:pPr>
        <w:pStyle w:val="17"/>
        <w:spacing w:line="302" w:lineRule="auto"/>
        <w:ind w:right="415" w:firstLine="640"/>
        <w:jc w:val="both"/>
        <w:rPr>
          <w:sz w:val="22"/>
          <w:szCs w:val="22"/>
        </w:rPr>
      </w:pPr>
      <w:r>
        <w:rPr>
          <w:sz w:val="22"/>
          <w:szCs w:val="22"/>
        </w:rPr>
        <w:t>本公司（联合体）郑重声明，根据《政府采购促进中小企业发展管理办法》（财库</w:t>
      </w:r>
      <w:r>
        <w:rPr>
          <w:rFonts w:hint="eastAsia"/>
          <w:sz w:val="22"/>
          <w:szCs w:val="22"/>
        </w:rPr>
        <w:t>﹝</w:t>
      </w:r>
      <w:r>
        <w:rPr>
          <w:sz w:val="22"/>
          <w:szCs w:val="22"/>
        </w:rPr>
        <w:t>2020</w:t>
      </w:r>
      <w:r>
        <w:rPr>
          <w:rFonts w:hint="eastAsia"/>
          <w:sz w:val="22"/>
          <w:szCs w:val="22"/>
        </w:rPr>
        <w:t>﹞</w:t>
      </w:r>
      <w:r>
        <w:rPr>
          <w:sz w:val="22"/>
          <w:szCs w:val="22"/>
        </w:rPr>
        <w:t>46 号）的规定，本公司</w:t>
      </w:r>
      <w:r>
        <w:rPr>
          <w:sz w:val="22"/>
          <w:szCs w:val="22"/>
          <w:u w:val="single"/>
        </w:rPr>
        <w:t>（</w:t>
      </w:r>
      <w:r>
        <w:rPr>
          <w:rFonts w:hint="eastAsia"/>
          <w:sz w:val="22"/>
          <w:szCs w:val="22"/>
          <w:u w:val="single"/>
        </w:rPr>
        <w:t>联合体</w:t>
      </w:r>
      <w:r>
        <w:rPr>
          <w:sz w:val="22"/>
          <w:szCs w:val="22"/>
          <w:u w:val="single"/>
        </w:rPr>
        <w:t>）</w:t>
      </w:r>
      <w:r>
        <w:rPr>
          <w:sz w:val="22"/>
          <w:szCs w:val="22"/>
        </w:rPr>
        <w:t>参加</w:t>
      </w:r>
      <w:r>
        <w:rPr>
          <w:sz w:val="22"/>
          <w:szCs w:val="22"/>
          <w:u w:val="single"/>
        </w:rPr>
        <w:t>（单位名称）</w:t>
      </w:r>
      <w:r>
        <w:rPr>
          <w:sz w:val="22"/>
          <w:szCs w:val="22"/>
        </w:rPr>
        <w:t>的</w:t>
      </w:r>
      <w:r>
        <w:rPr>
          <w:sz w:val="22"/>
          <w:szCs w:val="22"/>
          <w:u w:val="single"/>
        </w:rPr>
        <w:t>（项目名称）</w:t>
      </w:r>
      <w:r>
        <w:rPr>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pStyle w:val="147"/>
        <w:tabs>
          <w:tab w:val="left" w:pos="1243"/>
        </w:tabs>
        <w:spacing w:before="0" w:line="402" w:lineRule="exact"/>
        <w:ind w:left="0" w:firstLine="440" w:firstLineChars="200"/>
        <w:rPr>
          <w:sz w:val="22"/>
          <w:szCs w:val="22"/>
        </w:rPr>
      </w:pPr>
      <w:r>
        <w:rPr>
          <w:rFonts w:hint="eastAsia"/>
          <w:sz w:val="22"/>
          <w:szCs w:val="22"/>
          <w:lang w:val="en-US"/>
        </w:rPr>
        <w:t>1.</w:t>
      </w:r>
      <w:r>
        <w:rPr>
          <w:sz w:val="22"/>
          <w:szCs w:val="22"/>
          <w:u w:val="single"/>
        </w:rPr>
        <w:t>（标的名称）</w:t>
      </w:r>
      <w:r>
        <w:rPr>
          <w:sz w:val="22"/>
          <w:szCs w:val="22"/>
        </w:rPr>
        <w:t>，属于（</w:t>
      </w:r>
      <w:r>
        <w:rPr>
          <w:sz w:val="22"/>
          <w:szCs w:val="22"/>
          <w:u w:val="single"/>
        </w:rPr>
        <w:t>采购文件中明确的所属行业）</w:t>
      </w:r>
      <w:r>
        <w:rPr>
          <w:sz w:val="22"/>
          <w:szCs w:val="22"/>
        </w:rPr>
        <w:t>；承建（承接）企业为</w:t>
      </w:r>
      <w:r>
        <w:rPr>
          <w:sz w:val="22"/>
          <w:szCs w:val="22"/>
          <w:u w:val="single"/>
        </w:rPr>
        <w:t>（企业名称）</w:t>
      </w:r>
      <w:r>
        <w:rPr>
          <w:sz w:val="22"/>
          <w:szCs w:val="22"/>
        </w:rPr>
        <w:t>，从业人员</w:t>
      </w:r>
      <w:r>
        <w:rPr>
          <w:rFonts w:ascii="Times New Roman" w:eastAsia="Times New Roman"/>
          <w:sz w:val="22"/>
          <w:szCs w:val="22"/>
          <w:u w:val="single"/>
        </w:rPr>
        <w:t xml:space="preserve"> </w:t>
      </w:r>
      <w:r>
        <w:rPr>
          <w:rFonts w:ascii="Times New Roman" w:eastAsia="Times New Roman"/>
          <w:sz w:val="22"/>
          <w:szCs w:val="22"/>
          <w:u w:val="single"/>
        </w:rPr>
        <w:tab/>
      </w:r>
      <w:r>
        <w:rPr>
          <w:sz w:val="22"/>
          <w:szCs w:val="22"/>
        </w:rPr>
        <w:t>人，营业收入为</w:t>
      </w:r>
      <w:r>
        <w:rPr>
          <w:sz w:val="22"/>
          <w:szCs w:val="22"/>
          <w:u w:val="single"/>
        </w:rPr>
        <w:t xml:space="preserve"> </w:t>
      </w:r>
      <w:r>
        <w:rPr>
          <w:sz w:val="22"/>
          <w:szCs w:val="22"/>
          <w:u w:val="single"/>
        </w:rPr>
        <w:tab/>
      </w:r>
      <w:r>
        <w:rPr>
          <w:sz w:val="22"/>
          <w:szCs w:val="22"/>
        </w:rPr>
        <w:t>万元，资产总额为</w:t>
      </w:r>
      <w:r>
        <w:rPr>
          <w:sz w:val="22"/>
          <w:szCs w:val="22"/>
          <w:u w:val="single"/>
        </w:rPr>
        <w:t xml:space="preserve"> </w:t>
      </w:r>
      <w:r>
        <w:rPr>
          <w:sz w:val="22"/>
          <w:szCs w:val="22"/>
          <w:u w:val="single"/>
        </w:rPr>
        <w:tab/>
      </w:r>
      <w:r>
        <w:rPr>
          <w:sz w:val="22"/>
          <w:szCs w:val="22"/>
        </w:rPr>
        <w:t>万元，属于</w:t>
      </w:r>
      <w:r>
        <w:rPr>
          <w:sz w:val="22"/>
          <w:szCs w:val="22"/>
          <w:u w:val="single"/>
        </w:rPr>
        <w:t>（中型企业、小型企业、微型企业）</w:t>
      </w:r>
      <w:r>
        <w:rPr>
          <w:sz w:val="22"/>
          <w:szCs w:val="22"/>
        </w:rPr>
        <w:t>；</w:t>
      </w:r>
    </w:p>
    <w:p>
      <w:pPr>
        <w:pStyle w:val="147"/>
        <w:tabs>
          <w:tab w:val="left" w:pos="1243"/>
          <w:tab w:val="left" w:pos="1806"/>
          <w:tab w:val="left" w:pos="5005"/>
          <w:tab w:val="left" w:pos="7213"/>
        </w:tabs>
        <w:spacing w:before="0" w:line="295" w:lineRule="auto"/>
        <w:ind w:left="0" w:right="258" w:firstLine="440" w:firstLineChars="200"/>
        <w:jc w:val="left"/>
        <w:rPr>
          <w:sz w:val="22"/>
          <w:szCs w:val="22"/>
        </w:rPr>
      </w:pPr>
      <w:r>
        <w:rPr>
          <w:rFonts w:hint="eastAsia"/>
          <w:sz w:val="22"/>
          <w:szCs w:val="22"/>
          <w:lang w:val="en-US"/>
        </w:rPr>
        <w:t>2.</w:t>
      </w:r>
      <w:r>
        <w:rPr>
          <w:sz w:val="22"/>
          <w:szCs w:val="22"/>
          <w:u w:val="single"/>
        </w:rPr>
        <w:t>（标的名称）</w:t>
      </w:r>
      <w:r>
        <w:rPr>
          <w:sz w:val="22"/>
          <w:szCs w:val="22"/>
        </w:rPr>
        <w:t>，属于（</w:t>
      </w:r>
      <w:r>
        <w:rPr>
          <w:sz w:val="22"/>
          <w:szCs w:val="22"/>
          <w:u w:val="single"/>
        </w:rPr>
        <w:t>采购文件中明确的所属行业）</w:t>
      </w:r>
      <w:r>
        <w:rPr>
          <w:sz w:val="22"/>
          <w:szCs w:val="22"/>
        </w:rPr>
        <w:t>；承建（承接）企业为</w:t>
      </w:r>
      <w:r>
        <w:rPr>
          <w:sz w:val="22"/>
          <w:szCs w:val="22"/>
          <w:u w:val="single"/>
        </w:rPr>
        <w:t>（企业名称）</w:t>
      </w:r>
      <w:r>
        <w:rPr>
          <w:sz w:val="22"/>
          <w:szCs w:val="22"/>
        </w:rPr>
        <w:t>，从业人员</w:t>
      </w:r>
      <w:r>
        <w:rPr>
          <w:rFonts w:ascii="Times New Roman" w:eastAsia="Times New Roman"/>
          <w:sz w:val="22"/>
          <w:szCs w:val="22"/>
          <w:u w:val="single"/>
        </w:rPr>
        <w:t xml:space="preserve"> </w:t>
      </w:r>
      <w:r>
        <w:rPr>
          <w:rFonts w:ascii="Times New Roman" w:eastAsia="Times New Roman"/>
          <w:sz w:val="22"/>
          <w:szCs w:val="22"/>
          <w:u w:val="single"/>
        </w:rPr>
        <w:tab/>
      </w:r>
      <w:r>
        <w:rPr>
          <w:sz w:val="22"/>
          <w:szCs w:val="22"/>
        </w:rPr>
        <w:t>人，营业收入为</w:t>
      </w:r>
      <w:r>
        <w:rPr>
          <w:sz w:val="22"/>
          <w:szCs w:val="22"/>
          <w:u w:val="single"/>
        </w:rPr>
        <w:t xml:space="preserve"> </w:t>
      </w:r>
      <w:r>
        <w:rPr>
          <w:sz w:val="22"/>
          <w:szCs w:val="22"/>
          <w:u w:val="single"/>
        </w:rPr>
        <w:tab/>
      </w:r>
      <w:r>
        <w:rPr>
          <w:sz w:val="22"/>
          <w:szCs w:val="22"/>
        </w:rPr>
        <w:t>万元，资产总额为</w:t>
      </w:r>
      <w:r>
        <w:rPr>
          <w:sz w:val="22"/>
          <w:szCs w:val="22"/>
          <w:u w:val="single"/>
        </w:rPr>
        <w:t xml:space="preserve"> </w:t>
      </w:r>
      <w:r>
        <w:rPr>
          <w:sz w:val="22"/>
          <w:szCs w:val="22"/>
          <w:u w:val="single"/>
        </w:rPr>
        <w:tab/>
      </w:r>
      <w:r>
        <w:rPr>
          <w:sz w:val="22"/>
          <w:szCs w:val="22"/>
        </w:rPr>
        <w:t>万元，属于</w:t>
      </w:r>
      <w:r>
        <w:rPr>
          <w:sz w:val="22"/>
          <w:szCs w:val="22"/>
          <w:u w:val="single"/>
        </w:rPr>
        <w:t>（中型企业、小型企业、微型企业）</w:t>
      </w:r>
      <w:r>
        <w:rPr>
          <w:sz w:val="22"/>
          <w:szCs w:val="22"/>
        </w:rPr>
        <w:t>；</w:t>
      </w:r>
    </w:p>
    <w:p>
      <w:pPr>
        <w:pStyle w:val="17"/>
        <w:spacing w:before="11"/>
        <w:ind w:left="860"/>
        <w:rPr>
          <w:sz w:val="22"/>
          <w:szCs w:val="22"/>
        </w:rPr>
      </w:pPr>
      <w:r>
        <w:rPr>
          <w:sz w:val="22"/>
          <w:szCs w:val="22"/>
        </w:rPr>
        <w:t>……</w:t>
      </w:r>
    </w:p>
    <w:p>
      <w:pPr>
        <w:pStyle w:val="17"/>
        <w:spacing w:before="108" w:line="304" w:lineRule="auto"/>
        <w:ind w:right="417" w:firstLine="645"/>
        <w:jc w:val="both"/>
        <w:rPr>
          <w:sz w:val="22"/>
          <w:szCs w:val="22"/>
        </w:rPr>
      </w:pPr>
      <w:r>
        <w:rPr>
          <w:sz w:val="22"/>
          <w:szCs w:val="22"/>
        </w:rPr>
        <w:t>以上企业，不属于大企业的分支机构，不存在控股股东为大企业的情形，也不存在与大企业的负责人为同一人的情形。</w:t>
      </w:r>
    </w:p>
    <w:p>
      <w:pPr>
        <w:pStyle w:val="17"/>
        <w:spacing w:line="304" w:lineRule="auto"/>
        <w:ind w:right="375" w:firstLine="640"/>
        <w:rPr>
          <w:sz w:val="22"/>
          <w:szCs w:val="22"/>
        </w:rPr>
      </w:pPr>
      <w:r>
        <w:rPr>
          <w:sz w:val="22"/>
          <w:szCs w:val="22"/>
        </w:rPr>
        <w:t>本企业对上述声明内容的真实性负责。如有虚假，将依法承担相应责任。</w:t>
      </w:r>
    </w:p>
    <w:p>
      <w:pPr>
        <w:pStyle w:val="17"/>
        <w:spacing w:before="29" w:line="316" w:lineRule="auto"/>
        <w:ind w:left="4060" w:right="2166"/>
        <w:rPr>
          <w:sz w:val="22"/>
          <w:szCs w:val="22"/>
        </w:rPr>
      </w:pPr>
    </w:p>
    <w:p>
      <w:pPr>
        <w:pStyle w:val="17"/>
        <w:spacing w:before="29" w:line="316" w:lineRule="auto"/>
        <w:ind w:left="4060" w:right="2166"/>
        <w:rPr>
          <w:sz w:val="22"/>
          <w:szCs w:val="22"/>
        </w:rPr>
      </w:pPr>
    </w:p>
    <w:p>
      <w:pPr>
        <w:pStyle w:val="17"/>
        <w:spacing w:before="29" w:line="316" w:lineRule="auto"/>
        <w:ind w:left="4060" w:right="2166"/>
        <w:rPr>
          <w:sz w:val="22"/>
          <w:szCs w:val="22"/>
        </w:rPr>
      </w:pPr>
      <w:r>
        <w:rPr>
          <w:sz w:val="22"/>
          <w:szCs w:val="22"/>
        </w:rPr>
        <w:t>企业名称（盖章）：</w:t>
      </w:r>
    </w:p>
    <w:p>
      <w:pPr>
        <w:pStyle w:val="17"/>
        <w:spacing w:before="29" w:line="316" w:lineRule="auto"/>
        <w:ind w:left="4060" w:right="2166"/>
        <w:rPr>
          <w:sz w:val="22"/>
          <w:szCs w:val="22"/>
        </w:rPr>
      </w:pPr>
      <w:r>
        <w:rPr>
          <w:sz w:val="22"/>
          <w:szCs w:val="22"/>
        </w:rPr>
        <w:t>日期：</w:t>
      </w:r>
    </w:p>
    <w:p>
      <w:pPr>
        <w:spacing w:line="460" w:lineRule="exact"/>
        <w:rPr>
          <w:rFonts w:ascii="宋体" w:hAnsi="宋体" w:cs="宋体"/>
          <w:sz w:val="28"/>
          <w:szCs w:val="28"/>
        </w:rPr>
      </w:pPr>
    </w:p>
    <w:p>
      <w:pPr>
        <w:spacing w:line="460" w:lineRule="exact"/>
        <w:rPr>
          <w:rFonts w:ascii="宋体" w:hAnsi="宋体" w:cs="宋体"/>
          <w:sz w:val="28"/>
          <w:szCs w:val="28"/>
        </w:rPr>
      </w:pPr>
    </w:p>
    <w:p>
      <w:pPr>
        <w:pStyle w:val="17"/>
        <w:rPr>
          <w:rFonts w:hAnsi="宋体" w:cs="宋体"/>
          <w:sz w:val="28"/>
          <w:szCs w:val="28"/>
        </w:rPr>
      </w:pPr>
    </w:p>
    <w:p>
      <w:pPr>
        <w:pStyle w:val="17"/>
        <w:rPr>
          <w:rFonts w:hAnsi="宋体" w:cs="宋体"/>
          <w:sz w:val="28"/>
          <w:szCs w:val="28"/>
        </w:rPr>
      </w:pPr>
    </w:p>
    <w:p>
      <w:pPr>
        <w:pStyle w:val="17"/>
        <w:rPr>
          <w:rFonts w:hAnsi="宋体" w:cs="宋体"/>
          <w:sz w:val="28"/>
          <w:szCs w:val="28"/>
        </w:rPr>
      </w:pPr>
    </w:p>
    <w:p>
      <w:pPr>
        <w:spacing w:line="460" w:lineRule="exact"/>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numPr>
          <w:ilvl w:val="0"/>
          <w:numId w:val="6"/>
        </w:numPr>
        <w:spacing w:line="500" w:lineRule="exact"/>
        <w:jc w:val="center"/>
        <w:outlineLvl w:val="0"/>
        <w:rPr>
          <w:rFonts w:ascii="宋体" w:hAnsi="宋体" w:cs="宋体"/>
          <w:b/>
          <w:sz w:val="32"/>
          <w:szCs w:val="32"/>
        </w:rPr>
      </w:pPr>
      <w:bookmarkStart w:id="110" w:name="_Toc17613"/>
      <w:r>
        <w:rPr>
          <w:rFonts w:hint="eastAsia" w:ascii="宋体" w:hAnsi="宋体" w:cs="宋体"/>
          <w:b/>
          <w:sz w:val="32"/>
          <w:szCs w:val="32"/>
        </w:rPr>
        <w:t>政府采购合同（格式）</w:t>
      </w:r>
      <w:bookmarkEnd w:id="110"/>
    </w:p>
    <w:p>
      <w:pPr>
        <w:rPr>
          <w:rFonts w:ascii="宋体"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b/>
          <w:bCs/>
          <w:sz w:val="32"/>
          <w:szCs w:val="32"/>
        </w:rPr>
      </w:pPr>
      <w:r>
        <w:rPr>
          <w:rFonts w:hint="eastAsia" w:hAnsi="宋体" w:cs="宋体"/>
          <w:b/>
          <w:bCs/>
          <w:sz w:val="32"/>
          <w:szCs w:val="32"/>
        </w:rPr>
        <w:t>防城港市政府采购合同</w:t>
      </w: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360" w:lineRule="auto"/>
        <w:jc w:val="center"/>
        <w:rPr>
          <w:rFonts w:hAnsi="宋体" w:cs="宋体"/>
          <w:sz w:val="32"/>
          <w:szCs w:val="32"/>
        </w:rPr>
      </w:pPr>
    </w:p>
    <w:p>
      <w:pPr>
        <w:pStyle w:val="19"/>
        <w:spacing w:line="600" w:lineRule="auto"/>
        <w:rPr>
          <w:rFonts w:hAnsi="宋体" w:cs="宋体"/>
          <w:b/>
          <w:bCs/>
          <w:sz w:val="32"/>
          <w:szCs w:val="32"/>
          <w:u w:val="single"/>
        </w:rPr>
      </w:pPr>
      <w:r>
        <w:rPr>
          <w:rFonts w:hint="eastAsia" w:hAnsi="宋体" w:cs="宋体"/>
          <w:b/>
          <w:bCs/>
          <w:sz w:val="32"/>
          <w:szCs w:val="32"/>
        </w:rPr>
        <w:t xml:space="preserve">       合同名称：</w:t>
      </w:r>
      <w:r>
        <w:rPr>
          <w:rFonts w:hint="eastAsia" w:hAnsi="宋体" w:cs="宋体"/>
          <w:b/>
          <w:bCs/>
          <w:sz w:val="32"/>
          <w:szCs w:val="32"/>
          <w:u w:val="single"/>
        </w:rPr>
        <w:t xml:space="preserve">                          </w:t>
      </w:r>
    </w:p>
    <w:p>
      <w:pPr>
        <w:pStyle w:val="19"/>
        <w:spacing w:line="600" w:lineRule="auto"/>
        <w:rPr>
          <w:rFonts w:hAnsi="宋体" w:cs="宋体"/>
          <w:b/>
          <w:bCs/>
          <w:sz w:val="32"/>
          <w:szCs w:val="32"/>
        </w:rPr>
      </w:pPr>
      <w:r>
        <w:rPr>
          <w:rFonts w:hint="eastAsia" w:hAnsi="宋体" w:cs="宋体"/>
          <w:b/>
          <w:bCs/>
          <w:sz w:val="32"/>
          <w:szCs w:val="32"/>
        </w:rPr>
        <w:t xml:space="preserve">       合同编号：</w:t>
      </w:r>
      <w:r>
        <w:rPr>
          <w:rFonts w:hint="eastAsia" w:hAnsi="宋体" w:cs="宋体"/>
          <w:b/>
          <w:sz w:val="32"/>
          <w:szCs w:val="32"/>
          <w:u w:val="single"/>
        </w:rPr>
        <w:t xml:space="preserve">                          </w:t>
      </w:r>
    </w:p>
    <w:p>
      <w:pPr>
        <w:pStyle w:val="19"/>
        <w:spacing w:line="600" w:lineRule="auto"/>
        <w:rPr>
          <w:rFonts w:hAnsi="宋体" w:cs="宋体"/>
          <w:b/>
          <w:bCs/>
          <w:sz w:val="32"/>
          <w:szCs w:val="32"/>
        </w:rPr>
      </w:pPr>
      <w:r>
        <w:rPr>
          <w:rFonts w:hint="eastAsia" w:hAnsi="宋体" w:cs="宋体"/>
          <w:b/>
          <w:bCs/>
          <w:sz w:val="32"/>
          <w:szCs w:val="32"/>
        </w:rPr>
        <w:t xml:space="preserve">       采购人（甲方）：</w:t>
      </w:r>
      <w:r>
        <w:rPr>
          <w:rFonts w:hint="eastAsia" w:hAnsi="宋体" w:cs="宋体"/>
          <w:b/>
          <w:bCs/>
          <w:sz w:val="32"/>
          <w:szCs w:val="32"/>
          <w:u w:val="single"/>
        </w:rPr>
        <w:t xml:space="preserve">   </w:t>
      </w:r>
      <w:r>
        <w:rPr>
          <w:rFonts w:hint="eastAsia" w:hAnsi="宋体" w:cs="宋体"/>
          <w:b/>
          <w:sz w:val="32"/>
          <w:szCs w:val="32"/>
          <w:u w:val="single"/>
        </w:rPr>
        <w:t xml:space="preserve">                 </w:t>
      </w:r>
    </w:p>
    <w:p>
      <w:pPr>
        <w:pStyle w:val="19"/>
        <w:spacing w:line="600" w:lineRule="auto"/>
        <w:rPr>
          <w:rFonts w:hAnsi="宋体" w:cs="宋体"/>
          <w:b/>
          <w:bCs/>
          <w:sz w:val="32"/>
          <w:szCs w:val="32"/>
          <w:u w:val="single"/>
        </w:rPr>
      </w:pPr>
      <w:r>
        <w:rPr>
          <w:rFonts w:hint="eastAsia" w:hAnsi="宋体" w:cs="宋体"/>
          <w:b/>
          <w:bCs/>
          <w:sz w:val="32"/>
          <w:szCs w:val="32"/>
        </w:rPr>
        <w:t xml:space="preserve">       供应商（乙方）：</w:t>
      </w:r>
      <w:r>
        <w:rPr>
          <w:rFonts w:hint="eastAsia" w:hAnsi="宋体" w:cs="宋体"/>
          <w:b/>
          <w:bCs/>
          <w:sz w:val="32"/>
          <w:szCs w:val="32"/>
          <w:u w:val="single"/>
        </w:rPr>
        <w:t xml:space="preserve">                    </w:t>
      </w:r>
    </w:p>
    <w:p>
      <w:pPr>
        <w:pStyle w:val="19"/>
        <w:spacing w:line="600" w:lineRule="auto"/>
        <w:rPr>
          <w:rFonts w:hAnsi="宋体" w:cs="宋体"/>
          <w:b/>
          <w:bCs/>
          <w:sz w:val="32"/>
          <w:szCs w:val="32"/>
        </w:rPr>
        <w:sectPr>
          <w:footerReference r:id="rId5" w:type="default"/>
          <w:pgSz w:w="11906" w:h="16838"/>
          <w:pgMar w:top="1247" w:right="1247" w:bottom="1247" w:left="1247" w:header="851" w:footer="992" w:gutter="0"/>
          <w:cols w:space="720" w:num="1"/>
          <w:docGrid w:type="lines" w:linePitch="312" w:charSpace="0"/>
        </w:sectPr>
      </w:pPr>
    </w:p>
    <w:p>
      <w:pPr>
        <w:spacing w:line="500" w:lineRule="exact"/>
        <w:jc w:val="center"/>
        <w:rPr>
          <w:rFonts w:ascii="宋体" w:hAnsi="宋体"/>
          <w:b/>
          <w:bCs/>
          <w:color w:val="000000"/>
          <w:sz w:val="32"/>
          <w:szCs w:val="32"/>
        </w:rPr>
      </w:pPr>
      <w:r>
        <w:rPr>
          <w:rFonts w:hint="eastAsia" w:ascii="宋体" w:hAnsi="宋体"/>
          <w:b/>
          <w:bCs/>
          <w:color w:val="000000"/>
          <w:sz w:val="32"/>
          <w:szCs w:val="32"/>
        </w:rPr>
        <w:t>防城港市白龙珍珠湾海域国家级海洋牧场示范区2021年度监测项目采购</w:t>
      </w:r>
      <w:r>
        <w:rPr>
          <w:rFonts w:ascii="宋体" w:hAnsi="宋体"/>
          <w:b/>
          <w:bCs/>
          <w:color w:val="000000"/>
          <w:sz w:val="32"/>
          <w:szCs w:val="32"/>
        </w:rPr>
        <w:t>合同</w:t>
      </w:r>
    </w:p>
    <w:p>
      <w:pPr>
        <w:snapToGrid w:val="0"/>
        <w:spacing w:line="400" w:lineRule="exact"/>
        <w:rPr>
          <w:rFonts w:ascii="宋体" w:hAnsi="宋体" w:cs="仿宋_GB2312"/>
          <w:bCs/>
          <w:color w:val="000000"/>
          <w:sz w:val="32"/>
          <w:szCs w:val="32"/>
        </w:rPr>
      </w:pPr>
    </w:p>
    <w:p>
      <w:pPr>
        <w:snapToGrid w:val="0"/>
        <w:spacing w:line="400" w:lineRule="exact"/>
        <w:ind w:left="-50" w:right="98"/>
        <w:jc w:val="center"/>
        <w:rPr>
          <w:rFonts w:ascii="宋体" w:hAnsi="宋体" w:cs="仿宋_GB2312"/>
          <w:bCs/>
          <w:color w:val="000000"/>
          <w:szCs w:val="21"/>
          <w:u w:val="single"/>
        </w:rPr>
      </w:pPr>
      <w:r>
        <w:rPr>
          <w:rFonts w:hint="eastAsia" w:ascii="宋体" w:hAnsi="宋体" w:cs="仿宋_GB2312"/>
          <w:bCs/>
          <w:color w:val="000000"/>
          <w:szCs w:val="21"/>
        </w:rPr>
        <w:t xml:space="preserve">合同编号：               </w:t>
      </w:r>
    </w:p>
    <w:p>
      <w:pPr>
        <w:snapToGrid w:val="0"/>
        <w:spacing w:line="400" w:lineRule="exact"/>
        <w:rPr>
          <w:rFonts w:ascii="宋体" w:hAnsi="宋体" w:cs="仿宋_GB2312"/>
          <w:color w:val="000000"/>
          <w:szCs w:val="21"/>
        </w:rPr>
      </w:pPr>
    </w:p>
    <w:p>
      <w:pPr>
        <w:snapToGrid w:val="0"/>
        <w:spacing w:line="360" w:lineRule="exact"/>
        <w:rPr>
          <w:rFonts w:ascii="宋体" w:hAnsi="宋体" w:cs="仿宋_GB2312"/>
          <w:color w:val="000000"/>
          <w:szCs w:val="21"/>
          <w:u w:val="single"/>
        </w:rPr>
      </w:pPr>
      <w:r>
        <w:rPr>
          <w:rFonts w:hint="eastAsia" w:ascii="宋体" w:hAnsi="宋体" w:cs="仿宋_GB2312"/>
          <w:color w:val="000000"/>
          <w:szCs w:val="21"/>
        </w:rPr>
        <w:t>采购人（甲方）：</w:t>
      </w:r>
      <w:r>
        <w:rPr>
          <w:rFonts w:hint="eastAsia" w:ascii="宋体" w:hAnsi="宋体" w:cs="仿宋_GB2312"/>
          <w:color w:val="000000"/>
          <w:szCs w:val="21"/>
          <w:u w:val="single"/>
        </w:rPr>
        <w:t xml:space="preserve">                          </w:t>
      </w:r>
      <w:r>
        <w:rPr>
          <w:rFonts w:hint="eastAsia" w:ascii="宋体" w:hAnsi="宋体" w:cs="仿宋_GB2312"/>
          <w:color w:val="000000"/>
          <w:szCs w:val="21"/>
        </w:rPr>
        <w:t xml:space="preserve">      采购计划号</w:t>
      </w:r>
      <w:r>
        <w:rPr>
          <w:rFonts w:hint="eastAsia" w:ascii="宋体" w:hAnsi="宋体" w:cs="仿宋_GB2312"/>
          <w:color w:val="000000"/>
          <w:spacing w:val="-20"/>
          <w:szCs w:val="21"/>
        </w:rPr>
        <w:t>：</w:t>
      </w:r>
      <w:r>
        <w:rPr>
          <w:rFonts w:hint="eastAsia" w:ascii="宋体" w:hAnsi="宋体" w:cs="仿宋_GB2312"/>
          <w:color w:val="000000"/>
          <w:szCs w:val="21"/>
          <w:u w:val="single"/>
        </w:rPr>
        <w:t xml:space="preserve">                    </w:t>
      </w:r>
    </w:p>
    <w:p>
      <w:pPr>
        <w:snapToGrid w:val="0"/>
        <w:spacing w:line="360" w:lineRule="exact"/>
        <w:rPr>
          <w:rFonts w:ascii="宋体" w:hAnsi="宋体" w:cs="仿宋_GB2312"/>
          <w:color w:val="000000"/>
          <w:szCs w:val="21"/>
          <w:u w:val="single"/>
        </w:rPr>
      </w:pPr>
      <w:r>
        <w:rPr>
          <w:rFonts w:hint="eastAsia" w:ascii="宋体" w:hAnsi="宋体" w:cs="仿宋_GB2312"/>
          <w:color w:val="000000"/>
          <w:szCs w:val="21"/>
        </w:rPr>
        <w:t>供应商（乙方）：</w:t>
      </w:r>
      <w:r>
        <w:rPr>
          <w:rFonts w:hint="eastAsia" w:ascii="宋体" w:hAnsi="宋体" w:cs="仿宋_GB2312"/>
          <w:color w:val="000000"/>
          <w:szCs w:val="21"/>
          <w:u w:val="single"/>
        </w:rPr>
        <w:t xml:space="preserve">                          </w:t>
      </w:r>
      <w:r>
        <w:rPr>
          <w:rFonts w:hint="eastAsia" w:ascii="宋体" w:hAnsi="宋体" w:cs="仿宋_GB2312"/>
          <w:color w:val="000000"/>
          <w:szCs w:val="21"/>
        </w:rPr>
        <w:t xml:space="preserve">      项目编号</w:t>
      </w:r>
      <w:r>
        <w:rPr>
          <w:rFonts w:hint="eastAsia" w:ascii="宋体" w:hAnsi="宋体" w:cs="仿宋_GB2312"/>
          <w:color w:val="000000"/>
          <w:spacing w:val="-20"/>
          <w:szCs w:val="21"/>
        </w:rPr>
        <w:t>：</w:t>
      </w:r>
      <w:r>
        <w:rPr>
          <w:rFonts w:hint="eastAsia" w:ascii="宋体" w:hAnsi="宋体" w:cs="仿宋_GB2312"/>
          <w:bCs/>
          <w:color w:val="000000"/>
          <w:szCs w:val="21"/>
          <w:u w:val="single"/>
        </w:rPr>
        <w:t xml:space="preserve">                      </w:t>
      </w:r>
    </w:p>
    <w:p>
      <w:pPr>
        <w:snapToGrid w:val="0"/>
        <w:spacing w:line="360" w:lineRule="exact"/>
        <w:rPr>
          <w:rFonts w:ascii="宋体" w:hAnsi="宋体" w:cs="仿宋_GB2312"/>
          <w:color w:val="000000"/>
          <w:szCs w:val="21"/>
          <w:u w:val="single"/>
        </w:rPr>
      </w:pPr>
      <w:r>
        <w:rPr>
          <w:rFonts w:hint="eastAsia" w:ascii="宋体" w:hAnsi="宋体" w:cs="仿宋_GB2312"/>
          <w:color w:val="000000"/>
          <w:szCs w:val="21"/>
        </w:rPr>
        <w:t>签订地点：</w:t>
      </w:r>
      <w:r>
        <w:rPr>
          <w:rFonts w:hint="eastAsia" w:ascii="宋体" w:hAnsi="宋体" w:cs="仿宋_GB2312"/>
          <w:color w:val="000000"/>
          <w:szCs w:val="21"/>
          <w:u w:val="single"/>
        </w:rPr>
        <w:t xml:space="preserve">                                </w:t>
      </w:r>
      <w:r>
        <w:rPr>
          <w:rFonts w:hint="eastAsia" w:ascii="宋体" w:hAnsi="宋体" w:cs="仿宋_GB2312"/>
          <w:color w:val="000000"/>
          <w:szCs w:val="21"/>
        </w:rPr>
        <w:t xml:space="preserve">      签订时间：</w:t>
      </w:r>
      <w:r>
        <w:rPr>
          <w:rFonts w:hint="eastAsia" w:ascii="宋体" w:hAnsi="宋体" w:cs="仿宋_GB2312"/>
          <w:color w:val="000000"/>
          <w:szCs w:val="21"/>
          <w:u w:val="single"/>
        </w:rPr>
        <w:t xml:space="preserve">                      </w:t>
      </w:r>
      <w:r>
        <w:rPr>
          <w:rFonts w:hint="eastAsia" w:ascii="宋体" w:hAnsi="宋体" w:cs="仿宋_GB2312"/>
          <w:color w:val="000000"/>
          <w:szCs w:val="21"/>
        </w:rPr>
        <w:t xml:space="preserve">    </w:t>
      </w:r>
    </w:p>
    <w:p>
      <w:pPr>
        <w:snapToGrid w:val="0"/>
        <w:spacing w:line="360" w:lineRule="exact"/>
        <w:ind w:firstLine="420" w:firstLineChars="200"/>
        <w:rPr>
          <w:rFonts w:ascii="宋体" w:hAnsi="宋体" w:cs="仿宋_GB2312"/>
          <w:color w:val="000000"/>
          <w:szCs w:val="21"/>
        </w:rPr>
      </w:pPr>
    </w:p>
    <w:p>
      <w:pPr>
        <w:snapToGrid w:val="0"/>
        <w:spacing w:line="340" w:lineRule="exact"/>
        <w:ind w:firstLine="420" w:firstLineChars="200"/>
        <w:rPr>
          <w:rFonts w:ascii="宋体" w:hAnsi="宋体"/>
          <w:color w:val="000000"/>
          <w:szCs w:val="21"/>
        </w:rPr>
      </w:pPr>
      <w:r>
        <w:rPr>
          <w:rFonts w:hint="eastAsia" w:ascii="宋体" w:hAnsi="宋体" w:cs="仿宋_GB2312"/>
          <w:color w:val="000000"/>
          <w:szCs w:val="21"/>
        </w:rPr>
        <w:t>甲、乙双方根据政府采购项目：项目名称：</w:t>
      </w:r>
      <w:r>
        <w:rPr>
          <w:rFonts w:hint="eastAsia" w:ascii="宋体" w:hAnsi="宋体"/>
          <w:color w:val="000000"/>
          <w:szCs w:val="21"/>
          <w:u w:val="single"/>
        </w:rPr>
        <w:t>防城港市白龙珍珠湾海域国家级海洋牧场示范区2021年度监测项目</w:t>
      </w:r>
      <w:r>
        <w:rPr>
          <w:rFonts w:hint="eastAsia" w:ascii="宋体" w:hAnsi="宋体"/>
          <w:color w:val="000000"/>
          <w:szCs w:val="21"/>
        </w:rPr>
        <w:t>，项目编号：</w:t>
      </w:r>
      <w:r>
        <w:rPr>
          <w:rFonts w:hint="eastAsia" w:ascii="宋体" w:hAnsi="宋体"/>
          <w:bCs/>
          <w:color w:val="000000"/>
          <w:szCs w:val="21"/>
          <w:u w:val="single"/>
        </w:rPr>
        <w:t xml:space="preserve">                 </w:t>
      </w:r>
      <w:r>
        <w:rPr>
          <w:rFonts w:hint="eastAsia" w:ascii="宋体" w:hAnsi="宋体"/>
          <w:bCs/>
          <w:color w:val="000000"/>
          <w:szCs w:val="21"/>
        </w:rPr>
        <w:t>的评标结果，甲方接受乙方为</w:t>
      </w:r>
      <w:r>
        <w:rPr>
          <w:rFonts w:hint="eastAsia" w:ascii="宋体" w:hAnsi="宋体"/>
          <w:color w:val="000000"/>
          <w:szCs w:val="21"/>
          <w:u w:val="single"/>
        </w:rPr>
        <w:t>防城港市白龙珍珠湾海域国家级海洋牧场示范区2021年度监测项目</w:t>
      </w:r>
      <w:r>
        <w:rPr>
          <w:rFonts w:hint="eastAsia" w:ascii="宋体" w:hAnsi="宋体"/>
          <w:color w:val="000000"/>
          <w:szCs w:val="21"/>
        </w:rPr>
        <w:t>所做的响应文件，乙方必须完全按项目履行义务。甲乙双方同意下述条款和条件签署本合同（以下简称合同）。</w:t>
      </w:r>
    </w:p>
    <w:p>
      <w:pPr>
        <w:snapToGrid w:val="0"/>
        <w:spacing w:line="340" w:lineRule="exact"/>
        <w:ind w:firstLine="420" w:firstLineChars="200"/>
        <w:rPr>
          <w:rFonts w:ascii="宋体" w:hAnsi="宋体" w:cs="仿宋_GB2312"/>
          <w:color w:val="000000"/>
          <w:szCs w:val="21"/>
        </w:rPr>
      </w:pPr>
      <w:r>
        <w:rPr>
          <w:rFonts w:hint="eastAsia" w:ascii="宋体" w:hAnsi="宋体" w:cs="仿宋_GB2312"/>
          <w:color w:val="000000"/>
          <w:szCs w:val="21"/>
        </w:rPr>
        <w:t>1、项目范围、期限：</w:t>
      </w:r>
    </w:p>
    <w:p>
      <w:pPr>
        <w:snapToGrid w:val="0"/>
        <w:spacing w:line="340" w:lineRule="exact"/>
        <w:ind w:firstLine="420" w:firstLineChars="200"/>
        <w:rPr>
          <w:rFonts w:ascii="宋体" w:hAnsi="宋体"/>
          <w:color w:val="000000"/>
          <w:szCs w:val="21"/>
        </w:rPr>
      </w:pPr>
      <w:r>
        <w:rPr>
          <w:rFonts w:hint="eastAsia" w:ascii="宋体" w:hAnsi="宋体" w:cs="仿宋_GB2312"/>
          <w:color w:val="000000"/>
          <w:szCs w:val="21"/>
        </w:rPr>
        <w:t>1.1项目范围：</w:t>
      </w:r>
      <w:r>
        <w:rPr>
          <w:rFonts w:hint="eastAsia" w:ascii="宋体" w:hAnsi="宋体" w:cs="仿宋_GB2312"/>
          <w:color w:val="000000"/>
          <w:szCs w:val="21"/>
          <w:u w:val="single"/>
        </w:rPr>
        <w:t xml:space="preserve">                  </w:t>
      </w:r>
      <w:r>
        <w:rPr>
          <w:rFonts w:hint="eastAsia" w:ascii="宋体" w:hAnsi="宋体" w:cs="仿宋_GB2312"/>
          <w:color w:val="000000"/>
          <w:szCs w:val="21"/>
        </w:rPr>
        <w:t>，具体范围坐标在成交后由项目业主委托明确</w:t>
      </w:r>
      <w:r>
        <w:rPr>
          <w:rFonts w:hint="eastAsia" w:ascii="宋体" w:hAnsi="宋体"/>
          <w:color w:val="000000"/>
          <w:szCs w:val="21"/>
        </w:rPr>
        <w:t>。</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1.2成果报告交付期：对防城港市白龙珍珠湾海域国家级海洋牧场示范区监测评估时间为4个月。</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2、双方应履行的义务：</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2.1甲方应当履行的义务：</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2.1.1甲方提供的资料及有关工作必须及时、真实、可靠、合法、不得弄虚作假；</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2.1.2为乙方</w:t>
      </w:r>
      <w:r>
        <w:rPr>
          <w:rFonts w:hint="eastAsia" w:ascii="宋体" w:hAnsi="宋体"/>
          <w:bCs/>
          <w:color w:val="000000"/>
          <w:szCs w:val="21"/>
        </w:rPr>
        <w:t>监测</w:t>
      </w:r>
      <w:r>
        <w:rPr>
          <w:rFonts w:hint="eastAsia" w:ascii="宋体" w:hAnsi="宋体"/>
          <w:color w:val="000000"/>
          <w:szCs w:val="21"/>
        </w:rPr>
        <w:t>工作提供必要的工作条件及合作；</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2.1.3按照约定条件及时足额支付</w:t>
      </w:r>
      <w:r>
        <w:rPr>
          <w:rFonts w:hint="eastAsia" w:ascii="宋体" w:hAnsi="宋体"/>
          <w:bCs/>
          <w:color w:val="000000"/>
          <w:szCs w:val="21"/>
        </w:rPr>
        <w:t>监测</w:t>
      </w:r>
      <w:r>
        <w:rPr>
          <w:rFonts w:hint="eastAsia" w:ascii="宋体" w:hAnsi="宋体"/>
          <w:color w:val="000000"/>
          <w:szCs w:val="21"/>
        </w:rPr>
        <w:t>费用；</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2.2乙方应当履行的义务：</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2.2.1按照要求提供编制</w:t>
      </w:r>
      <w:r>
        <w:rPr>
          <w:rFonts w:hint="eastAsia" w:ascii="宋体" w:hAnsi="宋体"/>
          <w:bCs/>
          <w:color w:val="000000"/>
          <w:szCs w:val="21"/>
        </w:rPr>
        <w:t>监测</w:t>
      </w:r>
      <w:r>
        <w:rPr>
          <w:rFonts w:hint="eastAsia" w:ascii="宋体" w:hAnsi="宋体"/>
          <w:color w:val="000000"/>
          <w:szCs w:val="21"/>
        </w:rPr>
        <w:t>报告；</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2.2.2按照约定时间完成编制</w:t>
      </w:r>
      <w:r>
        <w:rPr>
          <w:rFonts w:hint="eastAsia" w:ascii="宋体" w:hAnsi="宋体"/>
          <w:bCs/>
          <w:color w:val="000000"/>
          <w:szCs w:val="21"/>
        </w:rPr>
        <w:t>监测</w:t>
      </w:r>
      <w:r>
        <w:rPr>
          <w:rFonts w:hint="eastAsia" w:ascii="宋体" w:hAnsi="宋体"/>
          <w:color w:val="000000"/>
          <w:szCs w:val="21"/>
        </w:rPr>
        <w:t>业务；</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2.2.3对在执行</w:t>
      </w:r>
      <w:r>
        <w:rPr>
          <w:rFonts w:hint="eastAsia" w:ascii="宋体" w:hAnsi="宋体"/>
          <w:bCs/>
          <w:color w:val="000000"/>
          <w:szCs w:val="21"/>
        </w:rPr>
        <w:t>监测</w:t>
      </w:r>
      <w:r>
        <w:rPr>
          <w:rFonts w:hint="eastAsia" w:ascii="宋体" w:hAnsi="宋体"/>
          <w:color w:val="000000"/>
          <w:szCs w:val="21"/>
        </w:rPr>
        <w:t>编制业务过程中知悉的商业秘密保密；</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3、项目内容：详见本项目第二章《采购需求》。</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bCs/>
          <w:color w:val="000000"/>
          <w:szCs w:val="21"/>
        </w:rPr>
        <w:t>监测</w:t>
      </w:r>
      <w:r>
        <w:rPr>
          <w:rFonts w:hint="eastAsia" w:ascii="宋体" w:hAnsi="宋体"/>
          <w:color w:val="000000"/>
          <w:szCs w:val="21"/>
        </w:rPr>
        <w:t>时间：</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4.1</w:t>
      </w:r>
      <w:r>
        <w:rPr>
          <w:rFonts w:hint="eastAsia" w:ascii="宋体" w:hAnsi="宋体"/>
          <w:bCs/>
          <w:color w:val="000000"/>
          <w:szCs w:val="21"/>
        </w:rPr>
        <w:t>监测</w:t>
      </w:r>
      <w:r>
        <w:rPr>
          <w:rFonts w:hint="eastAsia" w:ascii="宋体" w:hAnsi="宋体"/>
          <w:color w:val="000000"/>
          <w:szCs w:val="21"/>
        </w:rPr>
        <w:t>时间从甲方与乙方签订委托协议之日起计算。如果甲方不能在规定时间内提供开展</w:t>
      </w:r>
      <w:r>
        <w:rPr>
          <w:rFonts w:hint="eastAsia" w:ascii="宋体" w:hAnsi="宋体"/>
          <w:bCs/>
          <w:color w:val="000000"/>
          <w:szCs w:val="21"/>
        </w:rPr>
        <w:t>监测</w:t>
      </w:r>
      <w:r>
        <w:rPr>
          <w:rFonts w:hint="eastAsia" w:ascii="宋体" w:hAnsi="宋体"/>
          <w:color w:val="000000"/>
          <w:szCs w:val="21"/>
        </w:rPr>
        <w:t>编制所需的资料，则提供勘察编制结果的时间按延误的时间顺延。</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5、合同金额与支付方式</w:t>
      </w:r>
    </w:p>
    <w:p>
      <w:pPr>
        <w:snapToGrid w:val="0"/>
        <w:spacing w:line="340" w:lineRule="exact"/>
        <w:ind w:firstLine="420" w:firstLineChars="200"/>
        <w:rPr>
          <w:rFonts w:ascii="宋体" w:hAnsi="宋体"/>
          <w:color w:val="000000"/>
          <w:szCs w:val="21"/>
          <w:u w:val="single"/>
        </w:rPr>
      </w:pPr>
      <w:r>
        <w:rPr>
          <w:rFonts w:hint="eastAsia" w:ascii="宋体" w:hAnsi="宋体"/>
          <w:color w:val="000000"/>
          <w:szCs w:val="21"/>
        </w:rPr>
        <w:t>5.1本项目合同金额为</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40" w:lineRule="exact"/>
        <w:ind w:firstLine="420" w:firstLineChars="200"/>
        <w:rPr>
          <w:rFonts w:ascii="宋体" w:hAnsi="宋体"/>
          <w:color w:val="000000"/>
          <w:szCs w:val="21"/>
          <w:u w:val="single"/>
        </w:rPr>
      </w:pPr>
      <w:r>
        <w:rPr>
          <w:rFonts w:hint="eastAsia" w:ascii="宋体" w:hAnsi="宋体"/>
          <w:color w:val="000000"/>
          <w:szCs w:val="21"/>
        </w:rPr>
        <w:t>5.2支付方式：</w:t>
      </w:r>
      <w:r>
        <w:rPr>
          <w:rFonts w:hint="eastAsia" w:ascii="宋体" w:hAnsi="宋体"/>
          <w:color w:val="000000"/>
          <w:szCs w:val="21"/>
          <w:u w:val="single"/>
          <w:lang w:val="zh-CN"/>
        </w:rPr>
        <w:t>。签订合同之日起20个工作日内，采购人支付给成交人总费用的30%；在完成监测评估外业全部工作后支付40%；在成交人提交经评审通过的《年度监测技术报告》后20个工作日内，采购人需付清剩余的30%费用。待成交人开具相应数额的正式发票给采购人后，采购人支付成交人相关费用。</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6、违约责任</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6.1甲方违约，造成乙方损失的，应按《中华人民共和国民法典》有关规定赔偿损失。</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6.2乙方违约，是乙方违约情况，应按《中华人民共和国民法典》有关规定赔偿损失。</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7、不可抗力事件处理</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7.1不可抗力事件发生后，应立即通知对方，并寄送有关权威机构出具的证明。</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7.2不可抗力事件延续30天以上，双方应通过友好协商，确定是否继续履行合同。</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8、诉讼</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8.1双方再执行合同中所产生的一切争议，应通过协商解决。如协商不成，可向合同签订地法院起诉。</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9、合同生效及其他</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9.1合同经双方法定代表人或授权委托代理人签字并加盖单位公章后生效。</w:t>
      </w:r>
    </w:p>
    <w:p>
      <w:pPr>
        <w:snapToGrid w:val="0"/>
        <w:spacing w:line="340" w:lineRule="exact"/>
        <w:ind w:firstLine="420" w:firstLineChars="200"/>
        <w:rPr>
          <w:rFonts w:ascii="宋体" w:hAnsi="宋体"/>
          <w:color w:val="000000"/>
        </w:rPr>
      </w:pPr>
      <w:r>
        <w:rPr>
          <w:rFonts w:hint="eastAsia" w:ascii="宋体" w:hAnsi="宋体"/>
          <w:color w:val="000000"/>
          <w:szCs w:val="21"/>
        </w:rPr>
        <w:t>9.2合同执行中，如需修改或补充合同内容，由双方协商另签署书面修改或补充协议作为主合同不可分割的一部分，并报</w:t>
      </w:r>
      <w:r>
        <w:rPr>
          <w:rFonts w:hint="eastAsia" w:ascii="宋体" w:hAnsi="宋体"/>
          <w:color w:val="000000"/>
        </w:rPr>
        <w:t>防城港市财政局政府采购管理部门批准后方可执行。</w:t>
      </w:r>
    </w:p>
    <w:p>
      <w:pPr>
        <w:snapToGrid w:val="0"/>
        <w:spacing w:line="340" w:lineRule="exact"/>
        <w:ind w:firstLine="420" w:firstLineChars="200"/>
        <w:rPr>
          <w:rFonts w:ascii="宋体" w:hAnsi="宋体"/>
          <w:color w:val="000000"/>
        </w:rPr>
      </w:pPr>
      <w:r>
        <w:rPr>
          <w:rFonts w:hint="eastAsia" w:ascii="宋体" w:hAnsi="宋体"/>
          <w:color w:val="000000"/>
        </w:rPr>
        <w:t>9.4本合同未尽事宜，遵照《中华人民共和国民法典》有关条文执行。</w:t>
      </w:r>
    </w:p>
    <w:p>
      <w:pPr>
        <w:snapToGrid w:val="0"/>
        <w:spacing w:line="340" w:lineRule="exact"/>
        <w:ind w:firstLine="420" w:firstLineChars="200"/>
        <w:rPr>
          <w:rFonts w:ascii="宋体" w:hAnsi="宋体" w:cs="仿宋_GB2312"/>
          <w:color w:val="000000"/>
          <w:szCs w:val="21"/>
        </w:rPr>
      </w:pPr>
      <w:r>
        <w:rPr>
          <w:rFonts w:hint="eastAsia" w:ascii="宋体" w:hAnsi="宋体"/>
          <w:color w:val="000000"/>
        </w:rPr>
        <w:t>9.5</w:t>
      </w:r>
      <w:r>
        <w:rPr>
          <w:rFonts w:hint="eastAsia" w:ascii="宋体" w:hAnsi="宋体" w:cs="仿宋_GB2312"/>
          <w:color w:val="000000"/>
          <w:szCs w:val="21"/>
        </w:rPr>
        <w:t>本合同甲乙双方签字盖章后生效，一式伍份，具有同等法律效力，甲、乙双方各两份，采购代理机构一份。</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 xml:space="preserve">甲方（章）           </w:t>
            </w:r>
          </w:p>
          <w:p>
            <w:pPr>
              <w:snapToGrid w:val="0"/>
              <w:spacing w:line="340" w:lineRule="exact"/>
              <w:rPr>
                <w:rFonts w:ascii="宋体" w:hAnsi="宋体" w:cs="仿宋_GB2312"/>
                <w:color w:val="000000"/>
                <w:szCs w:val="21"/>
              </w:rPr>
            </w:pPr>
          </w:p>
          <w:p>
            <w:pPr>
              <w:snapToGrid w:val="0"/>
              <w:spacing w:line="340" w:lineRule="exact"/>
              <w:ind w:firstLine="945" w:firstLineChars="450"/>
              <w:jc w:val="right"/>
              <w:rPr>
                <w:rFonts w:ascii="宋体" w:hAnsi="宋体" w:cs="仿宋_GB2312"/>
                <w:color w:val="000000"/>
                <w:szCs w:val="21"/>
              </w:rPr>
            </w:pPr>
            <w:r>
              <w:rPr>
                <w:rFonts w:hint="eastAsia" w:ascii="宋体" w:hAnsi="宋体" w:cs="仿宋_GB2312"/>
                <w:color w:val="000000"/>
                <w:szCs w:val="21"/>
              </w:rPr>
              <w:t>年   月   日</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 xml:space="preserve">乙方（章）              </w:t>
            </w:r>
          </w:p>
          <w:p>
            <w:pPr>
              <w:snapToGrid w:val="0"/>
              <w:spacing w:line="340" w:lineRule="exact"/>
              <w:rPr>
                <w:rFonts w:ascii="宋体" w:hAnsi="宋体" w:cs="仿宋_GB2312"/>
                <w:color w:val="000000"/>
                <w:szCs w:val="21"/>
              </w:rPr>
            </w:pPr>
          </w:p>
          <w:p>
            <w:pPr>
              <w:snapToGrid w:val="0"/>
              <w:spacing w:line="340" w:lineRule="exact"/>
              <w:jc w:val="right"/>
              <w:rPr>
                <w:rFonts w:ascii="宋体" w:hAnsi="宋体" w:cs="仿宋_GB2312"/>
                <w:color w:val="000000"/>
                <w:szCs w:val="21"/>
              </w:rPr>
            </w:pPr>
            <w:r>
              <w:rPr>
                <w:rFonts w:hint="eastAsia" w:ascii="宋体" w:hAnsi="宋体" w:cs="仿宋_GB2312"/>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单位地址：</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法定代表人：</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委托代理人：</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电话：</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电子邮箱：</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开户银行：</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账号：</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邮政编码：</w:t>
            </w:r>
          </w:p>
        </w:tc>
        <w:tc>
          <w:tcPr>
            <w:tcW w:w="4517" w:type="dxa"/>
            <w:vAlign w:val="center"/>
          </w:tcPr>
          <w:p>
            <w:pPr>
              <w:snapToGrid w:val="0"/>
              <w:spacing w:line="340" w:lineRule="exact"/>
              <w:rPr>
                <w:rFonts w:ascii="宋体" w:hAnsi="宋体" w:cs="仿宋_GB2312"/>
                <w:color w:val="000000"/>
                <w:szCs w:val="21"/>
              </w:rPr>
            </w:pPr>
            <w:r>
              <w:rPr>
                <w:rFonts w:hint="eastAsia" w:ascii="宋体" w:hAnsi="宋体" w:cs="仿宋_GB2312"/>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9033" w:type="dxa"/>
            <w:gridSpan w:val="2"/>
          </w:tcPr>
          <w:p>
            <w:pPr>
              <w:snapToGrid w:val="0"/>
              <w:spacing w:line="400" w:lineRule="exact"/>
              <w:rPr>
                <w:rFonts w:ascii="宋体" w:hAnsi="宋体" w:cs="仿宋_GB2312"/>
                <w:color w:val="000000"/>
                <w:szCs w:val="21"/>
              </w:rPr>
            </w:pPr>
            <w:r>
              <w:rPr>
                <w:rFonts w:hint="eastAsia" w:ascii="宋体" w:hAnsi="宋体" w:cs="仿宋_GB2312"/>
                <w:color w:val="000000"/>
                <w:szCs w:val="21"/>
              </w:rPr>
              <w:t>日  期：      年    月    日</w:t>
            </w:r>
          </w:p>
        </w:tc>
      </w:tr>
    </w:tbl>
    <w:p>
      <w:pPr>
        <w:rPr>
          <w:rFonts w:ascii="宋体" w:hAnsi="宋体" w:cs="宋体"/>
          <w:szCs w:val="21"/>
        </w:rPr>
      </w:pPr>
    </w:p>
    <w:p>
      <w:pPr>
        <w:pStyle w:val="17"/>
        <w:rPr>
          <w:rFonts w:hAnsi="宋体" w:cs="宋体"/>
          <w:sz w:val="21"/>
          <w:szCs w:val="21"/>
        </w:rPr>
      </w:pPr>
    </w:p>
    <w:p>
      <w:pPr>
        <w:pStyle w:val="17"/>
        <w:rPr>
          <w:rFonts w:hAnsi="宋体" w:cs="宋体"/>
          <w:sz w:val="21"/>
          <w:szCs w:val="21"/>
        </w:rPr>
      </w:pPr>
    </w:p>
    <w:p>
      <w:pPr>
        <w:pStyle w:val="19"/>
        <w:spacing w:line="288" w:lineRule="auto"/>
        <w:rPr>
          <w:rFonts w:hAnsi="宋体" w:cs="宋体"/>
          <w:sz w:val="28"/>
          <w:szCs w:val="28"/>
        </w:rPr>
      </w:pPr>
    </w:p>
    <w:sectPr>
      <w:footerReference r:id="rId8" w:type="first"/>
      <w:headerReference r:id="rId6" w:type="default"/>
      <w:footerReference r:id="rId7" w:type="default"/>
      <w:pgSz w:w="11906" w:h="16838"/>
      <w:pgMar w:top="1418" w:right="1028" w:bottom="1418" w:left="1438"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32Tqa8BAABM&#10;AwAADgAAAAAAAAABACAAAAAeAQAAZHJzL2Uyb0RvYy54bWxQSwUGAAAAAAYABgBZAQAAPw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7yq8BAABM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LShy3OKL9j5f9z9/7X89kOsv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k7yq8BAABM&#10;AwAADgAAAAAAAAABACAAAAAeAQAAZHJzL2Uyb0RvYy54bWxQSwUGAAAAAAYABgBZAQAAPw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5r+G68BAABM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ZJY5bHNH+x8v+5+/9r2cyvcj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5r+G68BAABM&#10;AwAADgAAAAAAAAABACAAAAAeAQAAZHJzL2Uyb0RvYy54bWxQSwUGAAAAAAYABgBZAQAAPw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700"/>
      </w:tabs>
      <w:wordWrap w:val="0"/>
      <w:ind w:right="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2E93E"/>
    <w:multiLevelType w:val="singleLevel"/>
    <w:tmpl w:val="98E2E93E"/>
    <w:lvl w:ilvl="0" w:tentative="0">
      <w:start w:val="27"/>
      <w:numFmt w:val="decimal"/>
      <w:lvlText w:val="%1."/>
      <w:lvlJc w:val="left"/>
      <w:pPr>
        <w:tabs>
          <w:tab w:val="left" w:pos="312"/>
        </w:tabs>
      </w:pPr>
    </w:lvl>
  </w:abstractNum>
  <w:abstractNum w:abstractNumId="1">
    <w:nsid w:val="142170C9"/>
    <w:multiLevelType w:val="multilevel"/>
    <w:tmpl w:val="142170C9"/>
    <w:lvl w:ilvl="0" w:tentative="0">
      <w:start w:val="1"/>
      <w:numFmt w:val="lowerLetter"/>
      <w:pStyle w:val="141"/>
      <w:lvlText w:val="%1)"/>
      <w:lvlJc w:val="left"/>
      <w:pPr>
        <w:tabs>
          <w:tab w:val="left" w:pos="1440"/>
        </w:tabs>
        <w:ind w:left="1440" w:hanging="360"/>
      </w:pPr>
      <w:rPr>
        <w:rFonts w:hint="default" w:ascii="Arial" w:hAnsi="Arial" w:eastAsia="宋体" w:cs="Times New Roman"/>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cs="Times New Roman"/>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cs="Times New Roman"/>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cs="Times New Roman"/>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cs="Times New Roman"/>
      </w:rPr>
    </w:lvl>
    <w:lvl w:ilvl="7" w:tentative="0">
      <w:start w:val="1"/>
      <w:numFmt w:val="lowerLetter"/>
      <w:lvlText w:val="%8."/>
      <w:lvlJc w:val="left"/>
      <w:pPr>
        <w:tabs>
          <w:tab w:val="left" w:pos="4680"/>
        </w:tabs>
        <w:ind w:left="4680" w:hanging="360"/>
      </w:pPr>
      <w:rPr>
        <w:rFonts w:hint="eastAsia" w:cs="Times New Roman"/>
      </w:rPr>
    </w:lvl>
    <w:lvl w:ilvl="8" w:tentative="0">
      <w:start w:val="1"/>
      <w:numFmt w:val="lowerRoman"/>
      <w:lvlText w:val="%9."/>
      <w:lvlJc w:val="left"/>
      <w:pPr>
        <w:tabs>
          <w:tab w:val="left" w:pos="5040"/>
        </w:tabs>
        <w:ind w:left="5040" w:hanging="360"/>
      </w:pPr>
      <w:rPr>
        <w:rFonts w:hint="eastAsia" w:cs="Times New Roman"/>
      </w:rPr>
    </w:lvl>
  </w:abstractNum>
  <w:abstractNum w:abstractNumId="2">
    <w:nsid w:val="57884CE6"/>
    <w:multiLevelType w:val="singleLevel"/>
    <w:tmpl w:val="57884CE6"/>
    <w:lvl w:ilvl="0" w:tentative="0">
      <w:start w:val="1"/>
      <w:numFmt w:val="chineseCounting"/>
      <w:suff w:val="space"/>
      <w:lvlText w:val="第%1章"/>
      <w:lvlJc w:val="left"/>
      <w:rPr>
        <w:rFonts w:hint="eastAsia"/>
      </w:rPr>
    </w:lvl>
  </w:abstractNum>
  <w:abstractNum w:abstractNumId="3">
    <w:nsid w:val="63D7D470"/>
    <w:multiLevelType w:val="singleLevel"/>
    <w:tmpl w:val="63D7D470"/>
    <w:lvl w:ilvl="0" w:tentative="0">
      <w:start w:val="6"/>
      <w:numFmt w:val="chineseCounting"/>
      <w:suff w:val="space"/>
      <w:lvlText w:val="第%1章"/>
      <w:lvlJc w:val="left"/>
      <w:rPr>
        <w:rFonts w:hint="eastAsia"/>
      </w:rPr>
    </w:lvl>
  </w:abstractNum>
  <w:abstractNum w:abstractNumId="4">
    <w:nsid w:val="699011C3"/>
    <w:multiLevelType w:val="multilevel"/>
    <w:tmpl w:val="699011C3"/>
    <w:lvl w:ilvl="0" w:tentative="0">
      <w:start w:val="3"/>
      <w:numFmt w:val="chineseCountingThousand"/>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6"/>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5">
    <w:nsid w:val="7082F9E5"/>
    <w:multiLevelType w:val="singleLevel"/>
    <w:tmpl w:val="7082F9E5"/>
    <w:lvl w:ilvl="0" w:tentative="0">
      <w:start w:val="3"/>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D7"/>
    <w:rsid w:val="00000A20"/>
    <w:rsid w:val="00002008"/>
    <w:rsid w:val="00004110"/>
    <w:rsid w:val="000047E9"/>
    <w:rsid w:val="00004DF9"/>
    <w:rsid w:val="000074A6"/>
    <w:rsid w:val="00011CDA"/>
    <w:rsid w:val="00012215"/>
    <w:rsid w:val="00012D8C"/>
    <w:rsid w:val="00014617"/>
    <w:rsid w:val="00014FBE"/>
    <w:rsid w:val="0001515C"/>
    <w:rsid w:val="00015ADE"/>
    <w:rsid w:val="00017708"/>
    <w:rsid w:val="00017E2D"/>
    <w:rsid w:val="0002071F"/>
    <w:rsid w:val="00020DB0"/>
    <w:rsid w:val="00020FFE"/>
    <w:rsid w:val="000219B0"/>
    <w:rsid w:val="00021EE3"/>
    <w:rsid w:val="00022545"/>
    <w:rsid w:val="00022D34"/>
    <w:rsid w:val="000234CD"/>
    <w:rsid w:val="00023C95"/>
    <w:rsid w:val="00024D1D"/>
    <w:rsid w:val="00025E60"/>
    <w:rsid w:val="000301E6"/>
    <w:rsid w:val="0003138A"/>
    <w:rsid w:val="00031769"/>
    <w:rsid w:val="000318DD"/>
    <w:rsid w:val="00031B55"/>
    <w:rsid w:val="00033844"/>
    <w:rsid w:val="00033BB0"/>
    <w:rsid w:val="00036B2B"/>
    <w:rsid w:val="00036FDC"/>
    <w:rsid w:val="0003780E"/>
    <w:rsid w:val="00037AB3"/>
    <w:rsid w:val="00040A09"/>
    <w:rsid w:val="000426C5"/>
    <w:rsid w:val="000428B7"/>
    <w:rsid w:val="000449BD"/>
    <w:rsid w:val="0004517C"/>
    <w:rsid w:val="00046CFA"/>
    <w:rsid w:val="00050381"/>
    <w:rsid w:val="00050B60"/>
    <w:rsid w:val="00051881"/>
    <w:rsid w:val="00051D5A"/>
    <w:rsid w:val="00051E19"/>
    <w:rsid w:val="00051F17"/>
    <w:rsid w:val="00054169"/>
    <w:rsid w:val="000549A2"/>
    <w:rsid w:val="00054B65"/>
    <w:rsid w:val="00054F7E"/>
    <w:rsid w:val="00055EA0"/>
    <w:rsid w:val="00055F9B"/>
    <w:rsid w:val="00057CB6"/>
    <w:rsid w:val="00057D60"/>
    <w:rsid w:val="00060F2A"/>
    <w:rsid w:val="00062450"/>
    <w:rsid w:val="00063AAE"/>
    <w:rsid w:val="00064380"/>
    <w:rsid w:val="0006607E"/>
    <w:rsid w:val="000666E5"/>
    <w:rsid w:val="00066F7B"/>
    <w:rsid w:val="000674CF"/>
    <w:rsid w:val="000702E6"/>
    <w:rsid w:val="00070C70"/>
    <w:rsid w:val="00071158"/>
    <w:rsid w:val="00071364"/>
    <w:rsid w:val="00071ADB"/>
    <w:rsid w:val="00071C4E"/>
    <w:rsid w:val="00072400"/>
    <w:rsid w:val="00072DBD"/>
    <w:rsid w:val="00072F95"/>
    <w:rsid w:val="00073E70"/>
    <w:rsid w:val="00074B34"/>
    <w:rsid w:val="000760E0"/>
    <w:rsid w:val="000761AF"/>
    <w:rsid w:val="00076A45"/>
    <w:rsid w:val="00082525"/>
    <w:rsid w:val="00083DAA"/>
    <w:rsid w:val="0008447E"/>
    <w:rsid w:val="00084500"/>
    <w:rsid w:val="00084DB5"/>
    <w:rsid w:val="00084DDD"/>
    <w:rsid w:val="000851E5"/>
    <w:rsid w:val="0008568F"/>
    <w:rsid w:val="000856C9"/>
    <w:rsid w:val="000869F7"/>
    <w:rsid w:val="00086F41"/>
    <w:rsid w:val="00087CB5"/>
    <w:rsid w:val="00090E4A"/>
    <w:rsid w:val="000917F6"/>
    <w:rsid w:val="00091C74"/>
    <w:rsid w:val="00091CC8"/>
    <w:rsid w:val="0009201F"/>
    <w:rsid w:val="00092473"/>
    <w:rsid w:val="00092BA8"/>
    <w:rsid w:val="0009452D"/>
    <w:rsid w:val="000945DF"/>
    <w:rsid w:val="00094931"/>
    <w:rsid w:val="00095B0F"/>
    <w:rsid w:val="00095CD2"/>
    <w:rsid w:val="00096716"/>
    <w:rsid w:val="00097EAB"/>
    <w:rsid w:val="000A0C14"/>
    <w:rsid w:val="000A1B0C"/>
    <w:rsid w:val="000A2560"/>
    <w:rsid w:val="000A2D1F"/>
    <w:rsid w:val="000A4667"/>
    <w:rsid w:val="000A6B39"/>
    <w:rsid w:val="000A76CA"/>
    <w:rsid w:val="000A785E"/>
    <w:rsid w:val="000A7AF3"/>
    <w:rsid w:val="000B04F2"/>
    <w:rsid w:val="000B0BDE"/>
    <w:rsid w:val="000B1A9B"/>
    <w:rsid w:val="000B3FE3"/>
    <w:rsid w:val="000B446E"/>
    <w:rsid w:val="000B52D8"/>
    <w:rsid w:val="000B6A77"/>
    <w:rsid w:val="000B7346"/>
    <w:rsid w:val="000C1809"/>
    <w:rsid w:val="000C2B9B"/>
    <w:rsid w:val="000C2C35"/>
    <w:rsid w:val="000C5A96"/>
    <w:rsid w:val="000D050E"/>
    <w:rsid w:val="000D29DC"/>
    <w:rsid w:val="000D42EE"/>
    <w:rsid w:val="000D4669"/>
    <w:rsid w:val="000D4BF2"/>
    <w:rsid w:val="000D502E"/>
    <w:rsid w:val="000D5351"/>
    <w:rsid w:val="000D6803"/>
    <w:rsid w:val="000D6FF7"/>
    <w:rsid w:val="000D76B7"/>
    <w:rsid w:val="000D7FCA"/>
    <w:rsid w:val="000E0E85"/>
    <w:rsid w:val="000E574A"/>
    <w:rsid w:val="000E5FCD"/>
    <w:rsid w:val="000E7988"/>
    <w:rsid w:val="000E7D8D"/>
    <w:rsid w:val="000E7EC9"/>
    <w:rsid w:val="000F12D2"/>
    <w:rsid w:val="000F1931"/>
    <w:rsid w:val="000F2104"/>
    <w:rsid w:val="000F399E"/>
    <w:rsid w:val="000F4854"/>
    <w:rsid w:val="000F4FE8"/>
    <w:rsid w:val="000F6972"/>
    <w:rsid w:val="000F6AE7"/>
    <w:rsid w:val="000F7D06"/>
    <w:rsid w:val="00101054"/>
    <w:rsid w:val="001018EB"/>
    <w:rsid w:val="00101C74"/>
    <w:rsid w:val="00103A61"/>
    <w:rsid w:val="00103E40"/>
    <w:rsid w:val="001042A4"/>
    <w:rsid w:val="0010440E"/>
    <w:rsid w:val="00105CE9"/>
    <w:rsid w:val="00112B85"/>
    <w:rsid w:val="00112F82"/>
    <w:rsid w:val="00113231"/>
    <w:rsid w:val="001144A3"/>
    <w:rsid w:val="00115490"/>
    <w:rsid w:val="001160C0"/>
    <w:rsid w:val="00116857"/>
    <w:rsid w:val="001173E1"/>
    <w:rsid w:val="001210F4"/>
    <w:rsid w:val="00123B92"/>
    <w:rsid w:val="001243ED"/>
    <w:rsid w:val="00124F98"/>
    <w:rsid w:val="001257B9"/>
    <w:rsid w:val="0012599B"/>
    <w:rsid w:val="00125C95"/>
    <w:rsid w:val="001304B2"/>
    <w:rsid w:val="00130B25"/>
    <w:rsid w:val="00130E52"/>
    <w:rsid w:val="00134644"/>
    <w:rsid w:val="0013473C"/>
    <w:rsid w:val="00134FC0"/>
    <w:rsid w:val="0013531D"/>
    <w:rsid w:val="00136D70"/>
    <w:rsid w:val="00137264"/>
    <w:rsid w:val="00141250"/>
    <w:rsid w:val="00141306"/>
    <w:rsid w:val="0014206C"/>
    <w:rsid w:val="00143007"/>
    <w:rsid w:val="00146D30"/>
    <w:rsid w:val="00146F64"/>
    <w:rsid w:val="00147D30"/>
    <w:rsid w:val="001505A3"/>
    <w:rsid w:val="00150E56"/>
    <w:rsid w:val="0015285B"/>
    <w:rsid w:val="00153158"/>
    <w:rsid w:val="00153CC3"/>
    <w:rsid w:val="00155604"/>
    <w:rsid w:val="0015598A"/>
    <w:rsid w:val="00155E90"/>
    <w:rsid w:val="00157DFB"/>
    <w:rsid w:val="00160BB2"/>
    <w:rsid w:val="00160BBF"/>
    <w:rsid w:val="001631E8"/>
    <w:rsid w:val="001634AC"/>
    <w:rsid w:val="00164685"/>
    <w:rsid w:val="00164797"/>
    <w:rsid w:val="00164F53"/>
    <w:rsid w:val="001707D2"/>
    <w:rsid w:val="00170A8E"/>
    <w:rsid w:val="0017160E"/>
    <w:rsid w:val="00171D0E"/>
    <w:rsid w:val="00171EE0"/>
    <w:rsid w:val="001734F6"/>
    <w:rsid w:val="00174041"/>
    <w:rsid w:val="00174345"/>
    <w:rsid w:val="00174CCC"/>
    <w:rsid w:val="0017579F"/>
    <w:rsid w:val="00175F3A"/>
    <w:rsid w:val="001765DB"/>
    <w:rsid w:val="00180652"/>
    <w:rsid w:val="00180D33"/>
    <w:rsid w:val="00181C13"/>
    <w:rsid w:val="00182090"/>
    <w:rsid w:val="001843A4"/>
    <w:rsid w:val="00185A28"/>
    <w:rsid w:val="00185EF7"/>
    <w:rsid w:val="0018618B"/>
    <w:rsid w:val="001901D7"/>
    <w:rsid w:val="00190DC9"/>
    <w:rsid w:val="001917D9"/>
    <w:rsid w:val="00192041"/>
    <w:rsid w:val="00193E75"/>
    <w:rsid w:val="001947A3"/>
    <w:rsid w:val="00194A5B"/>
    <w:rsid w:val="001953A6"/>
    <w:rsid w:val="0019635D"/>
    <w:rsid w:val="00196CAD"/>
    <w:rsid w:val="00197AA0"/>
    <w:rsid w:val="001A10A3"/>
    <w:rsid w:val="001A2F71"/>
    <w:rsid w:val="001A41A7"/>
    <w:rsid w:val="001A48B4"/>
    <w:rsid w:val="001A5A52"/>
    <w:rsid w:val="001A628F"/>
    <w:rsid w:val="001A65F3"/>
    <w:rsid w:val="001A6AA7"/>
    <w:rsid w:val="001A70F2"/>
    <w:rsid w:val="001A77B5"/>
    <w:rsid w:val="001A7A6C"/>
    <w:rsid w:val="001B0CAA"/>
    <w:rsid w:val="001B10B2"/>
    <w:rsid w:val="001B257E"/>
    <w:rsid w:val="001B2C53"/>
    <w:rsid w:val="001B459E"/>
    <w:rsid w:val="001B4687"/>
    <w:rsid w:val="001B62B0"/>
    <w:rsid w:val="001B650F"/>
    <w:rsid w:val="001B7C82"/>
    <w:rsid w:val="001B7CCB"/>
    <w:rsid w:val="001C01B0"/>
    <w:rsid w:val="001C0600"/>
    <w:rsid w:val="001C21A4"/>
    <w:rsid w:val="001C2B77"/>
    <w:rsid w:val="001C514E"/>
    <w:rsid w:val="001C5772"/>
    <w:rsid w:val="001C5FD9"/>
    <w:rsid w:val="001C6573"/>
    <w:rsid w:val="001C6882"/>
    <w:rsid w:val="001C6C6C"/>
    <w:rsid w:val="001C7BE2"/>
    <w:rsid w:val="001D1F2F"/>
    <w:rsid w:val="001D2630"/>
    <w:rsid w:val="001D28C6"/>
    <w:rsid w:val="001D5D37"/>
    <w:rsid w:val="001D62EA"/>
    <w:rsid w:val="001D72B8"/>
    <w:rsid w:val="001D7E44"/>
    <w:rsid w:val="001E0A9D"/>
    <w:rsid w:val="001E1DAF"/>
    <w:rsid w:val="001E2352"/>
    <w:rsid w:val="001E29F6"/>
    <w:rsid w:val="001E5072"/>
    <w:rsid w:val="001E6356"/>
    <w:rsid w:val="001E68B9"/>
    <w:rsid w:val="001E736F"/>
    <w:rsid w:val="001E7FD6"/>
    <w:rsid w:val="001F1BC6"/>
    <w:rsid w:val="001F4ED7"/>
    <w:rsid w:val="001F5165"/>
    <w:rsid w:val="001F518C"/>
    <w:rsid w:val="001F542F"/>
    <w:rsid w:val="001F58A0"/>
    <w:rsid w:val="001F61AA"/>
    <w:rsid w:val="001F6751"/>
    <w:rsid w:val="001F7DCC"/>
    <w:rsid w:val="00200482"/>
    <w:rsid w:val="00201FED"/>
    <w:rsid w:val="002032A0"/>
    <w:rsid w:val="00205398"/>
    <w:rsid w:val="00205567"/>
    <w:rsid w:val="00205D65"/>
    <w:rsid w:val="0020747E"/>
    <w:rsid w:val="0020748C"/>
    <w:rsid w:val="00210EDE"/>
    <w:rsid w:val="00213B0B"/>
    <w:rsid w:val="00214054"/>
    <w:rsid w:val="00215B7E"/>
    <w:rsid w:val="00216D64"/>
    <w:rsid w:val="00216E6A"/>
    <w:rsid w:val="00217548"/>
    <w:rsid w:val="002204CB"/>
    <w:rsid w:val="0022374A"/>
    <w:rsid w:val="002237FD"/>
    <w:rsid w:val="00223BE2"/>
    <w:rsid w:val="00224E04"/>
    <w:rsid w:val="00225662"/>
    <w:rsid w:val="00225FD2"/>
    <w:rsid w:val="00226A17"/>
    <w:rsid w:val="002277FC"/>
    <w:rsid w:val="00227B56"/>
    <w:rsid w:val="002309E7"/>
    <w:rsid w:val="00230D66"/>
    <w:rsid w:val="0023108C"/>
    <w:rsid w:val="002327AB"/>
    <w:rsid w:val="00233DC3"/>
    <w:rsid w:val="00234A73"/>
    <w:rsid w:val="002360B1"/>
    <w:rsid w:val="002401B7"/>
    <w:rsid w:val="00240574"/>
    <w:rsid w:val="00241017"/>
    <w:rsid w:val="00242591"/>
    <w:rsid w:val="00243CC1"/>
    <w:rsid w:val="0024415B"/>
    <w:rsid w:val="0024416C"/>
    <w:rsid w:val="00244C02"/>
    <w:rsid w:val="002460C4"/>
    <w:rsid w:val="0024649C"/>
    <w:rsid w:val="002464E8"/>
    <w:rsid w:val="0024668F"/>
    <w:rsid w:val="0024763A"/>
    <w:rsid w:val="002478E1"/>
    <w:rsid w:val="00247EFA"/>
    <w:rsid w:val="00250EE2"/>
    <w:rsid w:val="002513D1"/>
    <w:rsid w:val="00253400"/>
    <w:rsid w:val="00254076"/>
    <w:rsid w:val="00254DDF"/>
    <w:rsid w:val="00255170"/>
    <w:rsid w:val="00255190"/>
    <w:rsid w:val="002553F1"/>
    <w:rsid w:val="0025741D"/>
    <w:rsid w:val="002577C7"/>
    <w:rsid w:val="002606C5"/>
    <w:rsid w:val="002611CD"/>
    <w:rsid w:val="0026199E"/>
    <w:rsid w:val="00261F33"/>
    <w:rsid w:val="00263B09"/>
    <w:rsid w:val="00263CD8"/>
    <w:rsid w:val="002640DD"/>
    <w:rsid w:val="0026517B"/>
    <w:rsid w:val="00267221"/>
    <w:rsid w:val="00267B47"/>
    <w:rsid w:val="00270CC6"/>
    <w:rsid w:val="0027113C"/>
    <w:rsid w:val="00271C5A"/>
    <w:rsid w:val="00272E33"/>
    <w:rsid w:val="0027439E"/>
    <w:rsid w:val="00280BE8"/>
    <w:rsid w:val="00281681"/>
    <w:rsid w:val="0028178A"/>
    <w:rsid w:val="00282E6C"/>
    <w:rsid w:val="002830C3"/>
    <w:rsid w:val="00283F54"/>
    <w:rsid w:val="00284646"/>
    <w:rsid w:val="00285426"/>
    <w:rsid w:val="00287104"/>
    <w:rsid w:val="002919D5"/>
    <w:rsid w:val="00291CF6"/>
    <w:rsid w:val="00293A02"/>
    <w:rsid w:val="00293E78"/>
    <w:rsid w:val="002940E2"/>
    <w:rsid w:val="0029552C"/>
    <w:rsid w:val="00296770"/>
    <w:rsid w:val="00296A8E"/>
    <w:rsid w:val="002971F2"/>
    <w:rsid w:val="002975C8"/>
    <w:rsid w:val="002A0F51"/>
    <w:rsid w:val="002A1310"/>
    <w:rsid w:val="002A16D1"/>
    <w:rsid w:val="002A2BEB"/>
    <w:rsid w:val="002A32FB"/>
    <w:rsid w:val="002A4383"/>
    <w:rsid w:val="002A46E6"/>
    <w:rsid w:val="002A6B23"/>
    <w:rsid w:val="002A6FCA"/>
    <w:rsid w:val="002A759C"/>
    <w:rsid w:val="002A7AF3"/>
    <w:rsid w:val="002B0EDD"/>
    <w:rsid w:val="002B0FA3"/>
    <w:rsid w:val="002B1F2A"/>
    <w:rsid w:val="002B2D4B"/>
    <w:rsid w:val="002B2FA8"/>
    <w:rsid w:val="002B406A"/>
    <w:rsid w:val="002B476B"/>
    <w:rsid w:val="002B533A"/>
    <w:rsid w:val="002B598B"/>
    <w:rsid w:val="002B747A"/>
    <w:rsid w:val="002B7781"/>
    <w:rsid w:val="002C1273"/>
    <w:rsid w:val="002C12BB"/>
    <w:rsid w:val="002C219D"/>
    <w:rsid w:val="002C39D3"/>
    <w:rsid w:val="002C437F"/>
    <w:rsid w:val="002C4EC9"/>
    <w:rsid w:val="002C64EB"/>
    <w:rsid w:val="002C69DC"/>
    <w:rsid w:val="002D00EB"/>
    <w:rsid w:val="002D014B"/>
    <w:rsid w:val="002D04D9"/>
    <w:rsid w:val="002D0AE7"/>
    <w:rsid w:val="002D0FC8"/>
    <w:rsid w:val="002D1069"/>
    <w:rsid w:val="002D12B8"/>
    <w:rsid w:val="002D41DA"/>
    <w:rsid w:val="002D4381"/>
    <w:rsid w:val="002D622E"/>
    <w:rsid w:val="002D6C40"/>
    <w:rsid w:val="002D7412"/>
    <w:rsid w:val="002D7741"/>
    <w:rsid w:val="002D7A0E"/>
    <w:rsid w:val="002E0441"/>
    <w:rsid w:val="002E0FCD"/>
    <w:rsid w:val="002E12CF"/>
    <w:rsid w:val="002E1427"/>
    <w:rsid w:val="002E1F1E"/>
    <w:rsid w:val="002E2F4A"/>
    <w:rsid w:val="002E3352"/>
    <w:rsid w:val="002E367A"/>
    <w:rsid w:val="002E3806"/>
    <w:rsid w:val="002E383F"/>
    <w:rsid w:val="002E38B0"/>
    <w:rsid w:val="002E3983"/>
    <w:rsid w:val="002E3AEC"/>
    <w:rsid w:val="002E4CD6"/>
    <w:rsid w:val="002E5462"/>
    <w:rsid w:val="002E639F"/>
    <w:rsid w:val="002E726A"/>
    <w:rsid w:val="002E74F0"/>
    <w:rsid w:val="002F04FC"/>
    <w:rsid w:val="002F0980"/>
    <w:rsid w:val="002F289F"/>
    <w:rsid w:val="002F292D"/>
    <w:rsid w:val="002F2EBD"/>
    <w:rsid w:val="002F3451"/>
    <w:rsid w:val="002F3D87"/>
    <w:rsid w:val="002F4CD7"/>
    <w:rsid w:val="002F5755"/>
    <w:rsid w:val="002F5BA0"/>
    <w:rsid w:val="002F6927"/>
    <w:rsid w:val="002F792B"/>
    <w:rsid w:val="002F7CA4"/>
    <w:rsid w:val="0030068A"/>
    <w:rsid w:val="00300B08"/>
    <w:rsid w:val="00300F75"/>
    <w:rsid w:val="00301E61"/>
    <w:rsid w:val="00302A74"/>
    <w:rsid w:val="00303CF1"/>
    <w:rsid w:val="00303FFE"/>
    <w:rsid w:val="00304182"/>
    <w:rsid w:val="003101F5"/>
    <w:rsid w:val="003123A1"/>
    <w:rsid w:val="00312D6C"/>
    <w:rsid w:val="00313732"/>
    <w:rsid w:val="00314235"/>
    <w:rsid w:val="003146FC"/>
    <w:rsid w:val="00314FE8"/>
    <w:rsid w:val="003152B7"/>
    <w:rsid w:val="00315EF4"/>
    <w:rsid w:val="0031749E"/>
    <w:rsid w:val="0032039D"/>
    <w:rsid w:val="003207A3"/>
    <w:rsid w:val="00321901"/>
    <w:rsid w:val="00321C73"/>
    <w:rsid w:val="00323185"/>
    <w:rsid w:val="00323492"/>
    <w:rsid w:val="00323F5D"/>
    <w:rsid w:val="003246D4"/>
    <w:rsid w:val="003249E4"/>
    <w:rsid w:val="00325B66"/>
    <w:rsid w:val="003263A2"/>
    <w:rsid w:val="0032654E"/>
    <w:rsid w:val="00326A96"/>
    <w:rsid w:val="003274B6"/>
    <w:rsid w:val="003311CB"/>
    <w:rsid w:val="0033184E"/>
    <w:rsid w:val="003320E4"/>
    <w:rsid w:val="003329A7"/>
    <w:rsid w:val="00332AC6"/>
    <w:rsid w:val="0033375E"/>
    <w:rsid w:val="00333ED4"/>
    <w:rsid w:val="0033511F"/>
    <w:rsid w:val="00335803"/>
    <w:rsid w:val="00335C99"/>
    <w:rsid w:val="003361A8"/>
    <w:rsid w:val="00336AE5"/>
    <w:rsid w:val="00336DAF"/>
    <w:rsid w:val="003373C5"/>
    <w:rsid w:val="00337DF9"/>
    <w:rsid w:val="00337F46"/>
    <w:rsid w:val="0034463B"/>
    <w:rsid w:val="003446E7"/>
    <w:rsid w:val="003447AC"/>
    <w:rsid w:val="00344CCE"/>
    <w:rsid w:val="00344EF7"/>
    <w:rsid w:val="00345FDF"/>
    <w:rsid w:val="003475FC"/>
    <w:rsid w:val="0035184D"/>
    <w:rsid w:val="00351BC3"/>
    <w:rsid w:val="00352F74"/>
    <w:rsid w:val="00353656"/>
    <w:rsid w:val="003537FF"/>
    <w:rsid w:val="00354D44"/>
    <w:rsid w:val="00356130"/>
    <w:rsid w:val="003568F7"/>
    <w:rsid w:val="00356A0C"/>
    <w:rsid w:val="00357BE4"/>
    <w:rsid w:val="00360A69"/>
    <w:rsid w:val="00361E08"/>
    <w:rsid w:val="00362278"/>
    <w:rsid w:val="00363205"/>
    <w:rsid w:val="0036459A"/>
    <w:rsid w:val="003645A4"/>
    <w:rsid w:val="003655B6"/>
    <w:rsid w:val="0036607C"/>
    <w:rsid w:val="0036613D"/>
    <w:rsid w:val="0036749A"/>
    <w:rsid w:val="00367B5C"/>
    <w:rsid w:val="00370870"/>
    <w:rsid w:val="00371069"/>
    <w:rsid w:val="003711B7"/>
    <w:rsid w:val="003712B2"/>
    <w:rsid w:val="0037352D"/>
    <w:rsid w:val="0037392C"/>
    <w:rsid w:val="00373CC5"/>
    <w:rsid w:val="0037567D"/>
    <w:rsid w:val="003765DA"/>
    <w:rsid w:val="00376F16"/>
    <w:rsid w:val="0038017D"/>
    <w:rsid w:val="00380AC7"/>
    <w:rsid w:val="003811B5"/>
    <w:rsid w:val="00381BAD"/>
    <w:rsid w:val="00382432"/>
    <w:rsid w:val="00384390"/>
    <w:rsid w:val="00385C1A"/>
    <w:rsid w:val="00385D9E"/>
    <w:rsid w:val="003905F9"/>
    <w:rsid w:val="00390CFE"/>
    <w:rsid w:val="00391EC0"/>
    <w:rsid w:val="003926CA"/>
    <w:rsid w:val="003927CD"/>
    <w:rsid w:val="00393B4D"/>
    <w:rsid w:val="0039459E"/>
    <w:rsid w:val="00394D32"/>
    <w:rsid w:val="00397E82"/>
    <w:rsid w:val="003A22A1"/>
    <w:rsid w:val="003A25A0"/>
    <w:rsid w:val="003A28F2"/>
    <w:rsid w:val="003A36CF"/>
    <w:rsid w:val="003A3DDF"/>
    <w:rsid w:val="003A4E37"/>
    <w:rsid w:val="003A4E75"/>
    <w:rsid w:val="003A5E38"/>
    <w:rsid w:val="003A60BB"/>
    <w:rsid w:val="003B0180"/>
    <w:rsid w:val="003B0A34"/>
    <w:rsid w:val="003B0F16"/>
    <w:rsid w:val="003B239A"/>
    <w:rsid w:val="003B2D3D"/>
    <w:rsid w:val="003B3158"/>
    <w:rsid w:val="003B3896"/>
    <w:rsid w:val="003B4574"/>
    <w:rsid w:val="003B555F"/>
    <w:rsid w:val="003B7346"/>
    <w:rsid w:val="003B76EE"/>
    <w:rsid w:val="003B7A81"/>
    <w:rsid w:val="003B7D3D"/>
    <w:rsid w:val="003C0EE4"/>
    <w:rsid w:val="003C229E"/>
    <w:rsid w:val="003C3F35"/>
    <w:rsid w:val="003C41FE"/>
    <w:rsid w:val="003C6BFA"/>
    <w:rsid w:val="003C6D7F"/>
    <w:rsid w:val="003D3566"/>
    <w:rsid w:val="003D3D1F"/>
    <w:rsid w:val="003D433D"/>
    <w:rsid w:val="003D48E6"/>
    <w:rsid w:val="003D4D26"/>
    <w:rsid w:val="003D4ECE"/>
    <w:rsid w:val="003D64F4"/>
    <w:rsid w:val="003D6981"/>
    <w:rsid w:val="003D6F8A"/>
    <w:rsid w:val="003D7627"/>
    <w:rsid w:val="003D7F6D"/>
    <w:rsid w:val="003E075E"/>
    <w:rsid w:val="003E0A46"/>
    <w:rsid w:val="003E138E"/>
    <w:rsid w:val="003E2775"/>
    <w:rsid w:val="003E2DE8"/>
    <w:rsid w:val="003E4AAD"/>
    <w:rsid w:val="003E4B98"/>
    <w:rsid w:val="003E61D0"/>
    <w:rsid w:val="003E6D14"/>
    <w:rsid w:val="003E6F91"/>
    <w:rsid w:val="003E7471"/>
    <w:rsid w:val="003F22C3"/>
    <w:rsid w:val="003F2D76"/>
    <w:rsid w:val="003F3894"/>
    <w:rsid w:val="003F4A4D"/>
    <w:rsid w:val="003F531B"/>
    <w:rsid w:val="003F566F"/>
    <w:rsid w:val="003F6097"/>
    <w:rsid w:val="004004F3"/>
    <w:rsid w:val="00400BC8"/>
    <w:rsid w:val="004014A5"/>
    <w:rsid w:val="004015DB"/>
    <w:rsid w:val="004019E5"/>
    <w:rsid w:val="004024AF"/>
    <w:rsid w:val="00402DE5"/>
    <w:rsid w:val="004051BD"/>
    <w:rsid w:val="00407460"/>
    <w:rsid w:val="004109A2"/>
    <w:rsid w:val="00410C5E"/>
    <w:rsid w:val="00414663"/>
    <w:rsid w:val="00414A57"/>
    <w:rsid w:val="0041582E"/>
    <w:rsid w:val="004159BD"/>
    <w:rsid w:val="004175A7"/>
    <w:rsid w:val="004175D8"/>
    <w:rsid w:val="00420265"/>
    <w:rsid w:val="00423394"/>
    <w:rsid w:val="00423756"/>
    <w:rsid w:val="0042464E"/>
    <w:rsid w:val="00424794"/>
    <w:rsid w:val="004253D1"/>
    <w:rsid w:val="00427E1E"/>
    <w:rsid w:val="004301B3"/>
    <w:rsid w:val="0043091C"/>
    <w:rsid w:val="004309D1"/>
    <w:rsid w:val="00430CF9"/>
    <w:rsid w:val="00431B79"/>
    <w:rsid w:val="00433852"/>
    <w:rsid w:val="0043472A"/>
    <w:rsid w:val="0043492B"/>
    <w:rsid w:val="00435914"/>
    <w:rsid w:val="00435C68"/>
    <w:rsid w:val="004366BE"/>
    <w:rsid w:val="004372F1"/>
    <w:rsid w:val="004376C2"/>
    <w:rsid w:val="00437D76"/>
    <w:rsid w:val="00441B65"/>
    <w:rsid w:val="004438EA"/>
    <w:rsid w:val="00444528"/>
    <w:rsid w:val="0044477B"/>
    <w:rsid w:val="0044479A"/>
    <w:rsid w:val="004454E6"/>
    <w:rsid w:val="00445552"/>
    <w:rsid w:val="00446159"/>
    <w:rsid w:val="004478A1"/>
    <w:rsid w:val="00447EAF"/>
    <w:rsid w:val="00450BD3"/>
    <w:rsid w:val="00454496"/>
    <w:rsid w:val="004546F1"/>
    <w:rsid w:val="00455BB8"/>
    <w:rsid w:val="004570CC"/>
    <w:rsid w:val="00460C7F"/>
    <w:rsid w:val="00460CFB"/>
    <w:rsid w:val="00461305"/>
    <w:rsid w:val="00461352"/>
    <w:rsid w:val="00461C3F"/>
    <w:rsid w:val="00464731"/>
    <w:rsid w:val="004647FE"/>
    <w:rsid w:val="0046538B"/>
    <w:rsid w:val="004669BA"/>
    <w:rsid w:val="00466D60"/>
    <w:rsid w:val="00466E4D"/>
    <w:rsid w:val="00467C87"/>
    <w:rsid w:val="0047074F"/>
    <w:rsid w:val="00470D35"/>
    <w:rsid w:val="00471672"/>
    <w:rsid w:val="0047215F"/>
    <w:rsid w:val="00473EB0"/>
    <w:rsid w:val="00474517"/>
    <w:rsid w:val="00474690"/>
    <w:rsid w:val="00476416"/>
    <w:rsid w:val="00476B65"/>
    <w:rsid w:val="00480553"/>
    <w:rsid w:val="004838BE"/>
    <w:rsid w:val="00484E59"/>
    <w:rsid w:val="0048554F"/>
    <w:rsid w:val="004855F8"/>
    <w:rsid w:val="00485DF8"/>
    <w:rsid w:val="004874E1"/>
    <w:rsid w:val="00490299"/>
    <w:rsid w:val="004906A1"/>
    <w:rsid w:val="00491443"/>
    <w:rsid w:val="00491865"/>
    <w:rsid w:val="00492578"/>
    <w:rsid w:val="004938A1"/>
    <w:rsid w:val="004940E8"/>
    <w:rsid w:val="004942F5"/>
    <w:rsid w:val="00495465"/>
    <w:rsid w:val="00495EC9"/>
    <w:rsid w:val="00497288"/>
    <w:rsid w:val="004A0115"/>
    <w:rsid w:val="004A4C7D"/>
    <w:rsid w:val="004A59FA"/>
    <w:rsid w:val="004A69A1"/>
    <w:rsid w:val="004A6B35"/>
    <w:rsid w:val="004A70F4"/>
    <w:rsid w:val="004B0DF0"/>
    <w:rsid w:val="004B191D"/>
    <w:rsid w:val="004B231A"/>
    <w:rsid w:val="004B28FA"/>
    <w:rsid w:val="004B29FB"/>
    <w:rsid w:val="004B3921"/>
    <w:rsid w:val="004B43D1"/>
    <w:rsid w:val="004B5CD5"/>
    <w:rsid w:val="004B70C0"/>
    <w:rsid w:val="004C0BC2"/>
    <w:rsid w:val="004C0DE7"/>
    <w:rsid w:val="004C1AB6"/>
    <w:rsid w:val="004C1D11"/>
    <w:rsid w:val="004C1D2E"/>
    <w:rsid w:val="004C30EE"/>
    <w:rsid w:val="004C3303"/>
    <w:rsid w:val="004C372C"/>
    <w:rsid w:val="004C3E95"/>
    <w:rsid w:val="004C6261"/>
    <w:rsid w:val="004C73AA"/>
    <w:rsid w:val="004D0B6C"/>
    <w:rsid w:val="004D1274"/>
    <w:rsid w:val="004D2021"/>
    <w:rsid w:val="004D3086"/>
    <w:rsid w:val="004D30B3"/>
    <w:rsid w:val="004D3124"/>
    <w:rsid w:val="004D37BC"/>
    <w:rsid w:val="004D37D6"/>
    <w:rsid w:val="004D437B"/>
    <w:rsid w:val="004D4890"/>
    <w:rsid w:val="004D490C"/>
    <w:rsid w:val="004D4CE0"/>
    <w:rsid w:val="004D562F"/>
    <w:rsid w:val="004D5705"/>
    <w:rsid w:val="004D6F17"/>
    <w:rsid w:val="004D71C2"/>
    <w:rsid w:val="004D7F3A"/>
    <w:rsid w:val="004E16FF"/>
    <w:rsid w:val="004E19DC"/>
    <w:rsid w:val="004E22CD"/>
    <w:rsid w:val="004E288C"/>
    <w:rsid w:val="004E2D8B"/>
    <w:rsid w:val="004E364E"/>
    <w:rsid w:val="004E58C4"/>
    <w:rsid w:val="004E5AB8"/>
    <w:rsid w:val="004F0A77"/>
    <w:rsid w:val="004F12FF"/>
    <w:rsid w:val="004F17DE"/>
    <w:rsid w:val="004F1BC1"/>
    <w:rsid w:val="004F558F"/>
    <w:rsid w:val="004F5C32"/>
    <w:rsid w:val="004F5DB8"/>
    <w:rsid w:val="004F6057"/>
    <w:rsid w:val="00500C8E"/>
    <w:rsid w:val="00501658"/>
    <w:rsid w:val="00501F71"/>
    <w:rsid w:val="00502ED1"/>
    <w:rsid w:val="00503CCE"/>
    <w:rsid w:val="00504006"/>
    <w:rsid w:val="00504A43"/>
    <w:rsid w:val="00504CD8"/>
    <w:rsid w:val="0050533F"/>
    <w:rsid w:val="005053D6"/>
    <w:rsid w:val="00505B05"/>
    <w:rsid w:val="00506636"/>
    <w:rsid w:val="0050689E"/>
    <w:rsid w:val="005069A2"/>
    <w:rsid w:val="00506B57"/>
    <w:rsid w:val="00512391"/>
    <w:rsid w:val="0051299D"/>
    <w:rsid w:val="0051304A"/>
    <w:rsid w:val="00513DA7"/>
    <w:rsid w:val="00513E85"/>
    <w:rsid w:val="0051544E"/>
    <w:rsid w:val="00516F2A"/>
    <w:rsid w:val="00520A1F"/>
    <w:rsid w:val="00522588"/>
    <w:rsid w:val="00522ABD"/>
    <w:rsid w:val="00522CBD"/>
    <w:rsid w:val="00527229"/>
    <w:rsid w:val="005277C3"/>
    <w:rsid w:val="00530640"/>
    <w:rsid w:val="00530B43"/>
    <w:rsid w:val="00531143"/>
    <w:rsid w:val="00531470"/>
    <w:rsid w:val="00532680"/>
    <w:rsid w:val="00532B90"/>
    <w:rsid w:val="0053333D"/>
    <w:rsid w:val="00533BC3"/>
    <w:rsid w:val="00536073"/>
    <w:rsid w:val="00540DD4"/>
    <w:rsid w:val="00542118"/>
    <w:rsid w:val="0054230D"/>
    <w:rsid w:val="00543911"/>
    <w:rsid w:val="00544096"/>
    <w:rsid w:val="00544760"/>
    <w:rsid w:val="00546288"/>
    <w:rsid w:val="005464B8"/>
    <w:rsid w:val="005475F8"/>
    <w:rsid w:val="0055192F"/>
    <w:rsid w:val="00552E89"/>
    <w:rsid w:val="00553D08"/>
    <w:rsid w:val="00554136"/>
    <w:rsid w:val="005553F3"/>
    <w:rsid w:val="005554F0"/>
    <w:rsid w:val="00556A1C"/>
    <w:rsid w:val="00557728"/>
    <w:rsid w:val="00560A85"/>
    <w:rsid w:val="00560BA6"/>
    <w:rsid w:val="0056158F"/>
    <w:rsid w:val="00561EE2"/>
    <w:rsid w:val="00564249"/>
    <w:rsid w:val="005647EA"/>
    <w:rsid w:val="00567D17"/>
    <w:rsid w:val="005700F9"/>
    <w:rsid w:val="00570178"/>
    <w:rsid w:val="0057250D"/>
    <w:rsid w:val="00574BAD"/>
    <w:rsid w:val="005763C9"/>
    <w:rsid w:val="005779DB"/>
    <w:rsid w:val="00577A46"/>
    <w:rsid w:val="0058092D"/>
    <w:rsid w:val="00580B4B"/>
    <w:rsid w:val="00580C79"/>
    <w:rsid w:val="005810BA"/>
    <w:rsid w:val="00581C3F"/>
    <w:rsid w:val="00583AA5"/>
    <w:rsid w:val="00583BDE"/>
    <w:rsid w:val="005847AC"/>
    <w:rsid w:val="005853DD"/>
    <w:rsid w:val="00586388"/>
    <w:rsid w:val="005869BC"/>
    <w:rsid w:val="00586FD5"/>
    <w:rsid w:val="0058744F"/>
    <w:rsid w:val="00587920"/>
    <w:rsid w:val="005926A4"/>
    <w:rsid w:val="00592820"/>
    <w:rsid w:val="00592F51"/>
    <w:rsid w:val="005932B0"/>
    <w:rsid w:val="00594A20"/>
    <w:rsid w:val="0059516C"/>
    <w:rsid w:val="005955A3"/>
    <w:rsid w:val="00596CF2"/>
    <w:rsid w:val="005A04F4"/>
    <w:rsid w:val="005A08BC"/>
    <w:rsid w:val="005A0F6D"/>
    <w:rsid w:val="005A1884"/>
    <w:rsid w:val="005A24F3"/>
    <w:rsid w:val="005A3CE2"/>
    <w:rsid w:val="005A3E7A"/>
    <w:rsid w:val="005A4B78"/>
    <w:rsid w:val="005A4F4C"/>
    <w:rsid w:val="005A6A56"/>
    <w:rsid w:val="005A6B3F"/>
    <w:rsid w:val="005A76BC"/>
    <w:rsid w:val="005A7A75"/>
    <w:rsid w:val="005B01B1"/>
    <w:rsid w:val="005B04E2"/>
    <w:rsid w:val="005B0B54"/>
    <w:rsid w:val="005B0CD8"/>
    <w:rsid w:val="005B19CE"/>
    <w:rsid w:val="005B280A"/>
    <w:rsid w:val="005B7065"/>
    <w:rsid w:val="005B7C36"/>
    <w:rsid w:val="005C0F93"/>
    <w:rsid w:val="005C21BB"/>
    <w:rsid w:val="005C2489"/>
    <w:rsid w:val="005C2800"/>
    <w:rsid w:val="005C2869"/>
    <w:rsid w:val="005C2C5C"/>
    <w:rsid w:val="005C2E3B"/>
    <w:rsid w:val="005C3336"/>
    <w:rsid w:val="005C3C2B"/>
    <w:rsid w:val="005C5514"/>
    <w:rsid w:val="005C654D"/>
    <w:rsid w:val="005C7F60"/>
    <w:rsid w:val="005D03C8"/>
    <w:rsid w:val="005D0C6E"/>
    <w:rsid w:val="005D1142"/>
    <w:rsid w:val="005D16BA"/>
    <w:rsid w:val="005D24DE"/>
    <w:rsid w:val="005D254F"/>
    <w:rsid w:val="005D416D"/>
    <w:rsid w:val="005D4285"/>
    <w:rsid w:val="005D45A1"/>
    <w:rsid w:val="005D4644"/>
    <w:rsid w:val="005D4B3F"/>
    <w:rsid w:val="005D62A8"/>
    <w:rsid w:val="005D6EB4"/>
    <w:rsid w:val="005D7089"/>
    <w:rsid w:val="005D715B"/>
    <w:rsid w:val="005D7384"/>
    <w:rsid w:val="005D773A"/>
    <w:rsid w:val="005E099D"/>
    <w:rsid w:val="005E0B3B"/>
    <w:rsid w:val="005E0F2D"/>
    <w:rsid w:val="005E101F"/>
    <w:rsid w:val="005E1E68"/>
    <w:rsid w:val="005E2D33"/>
    <w:rsid w:val="005E3407"/>
    <w:rsid w:val="005E471C"/>
    <w:rsid w:val="005E4DF2"/>
    <w:rsid w:val="005E52BD"/>
    <w:rsid w:val="005E5480"/>
    <w:rsid w:val="005E5A21"/>
    <w:rsid w:val="005E5C63"/>
    <w:rsid w:val="005E5E7A"/>
    <w:rsid w:val="005E63E9"/>
    <w:rsid w:val="005E6DE9"/>
    <w:rsid w:val="005E7942"/>
    <w:rsid w:val="005E7B38"/>
    <w:rsid w:val="005E7CEA"/>
    <w:rsid w:val="005F0F49"/>
    <w:rsid w:val="005F13BF"/>
    <w:rsid w:val="005F15A2"/>
    <w:rsid w:val="005F191A"/>
    <w:rsid w:val="005F1E59"/>
    <w:rsid w:val="005F1F06"/>
    <w:rsid w:val="005F3E92"/>
    <w:rsid w:val="005F49DB"/>
    <w:rsid w:val="005F62A7"/>
    <w:rsid w:val="005F63F2"/>
    <w:rsid w:val="005F7331"/>
    <w:rsid w:val="0060235F"/>
    <w:rsid w:val="00602762"/>
    <w:rsid w:val="00602856"/>
    <w:rsid w:val="00606639"/>
    <w:rsid w:val="00610611"/>
    <w:rsid w:val="00610CDC"/>
    <w:rsid w:val="006119BD"/>
    <w:rsid w:val="00611A55"/>
    <w:rsid w:val="00615A29"/>
    <w:rsid w:val="00616C89"/>
    <w:rsid w:val="006175BE"/>
    <w:rsid w:val="00617718"/>
    <w:rsid w:val="00621862"/>
    <w:rsid w:val="006240DB"/>
    <w:rsid w:val="00624283"/>
    <w:rsid w:val="006253F2"/>
    <w:rsid w:val="00627DD0"/>
    <w:rsid w:val="00630C76"/>
    <w:rsid w:val="0063182F"/>
    <w:rsid w:val="00631C4F"/>
    <w:rsid w:val="00632C04"/>
    <w:rsid w:val="00632FFA"/>
    <w:rsid w:val="00633B5E"/>
    <w:rsid w:val="00634358"/>
    <w:rsid w:val="00634F78"/>
    <w:rsid w:val="0063530C"/>
    <w:rsid w:val="006357D6"/>
    <w:rsid w:val="00635AB8"/>
    <w:rsid w:val="00636E55"/>
    <w:rsid w:val="00637586"/>
    <w:rsid w:val="0063775C"/>
    <w:rsid w:val="0063788D"/>
    <w:rsid w:val="00640424"/>
    <w:rsid w:val="006407B9"/>
    <w:rsid w:val="00640FC8"/>
    <w:rsid w:val="00641317"/>
    <w:rsid w:val="00641868"/>
    <w:rsid w:val="00642C43"/>
    <w:rsid w:val="0064504D"/>
    <w:rsid w:val="006455F0"/>
    <w:rsid w:val="00645D97"/>
    <w:rsid w:val="0064664E"/>
    <w:rsid w:val="00646FC3"/>
    <w:rsid w:val="00647165"/>
    <w:rsid w:val="00647FEE"/>
    <w:rsid w:val="00650819"/>
    <w:rsid w:val="00650C23"/>
    <w:rsid w:val="00651515"/>
    <w:rsid w:val="006518D1"/>
    <w:rsid w:val="00653460"/>
    <w:rsid w:val="006534D4"/>
    <w:rsid w:val="00654F00"/>
    <w:rsid w:val="00655FE4"/>
    <w:rsid w:val="0065758B"/>
    <w:rsid w:val="006575BB"/>
    <w:rsid w:val="0065776D"/>
    <w:rsid w:val="00657934"/>
    <w:rsid w:val="0066010B"/>
    <w:rsid w:val="00660FE6"/>
    <w:rsid w:val="00661ABB"/>
    <w:rsid w:val="006628B0"/>
    <w:rsid w:val="00663023"/>
    <w:rsid w:val="006630D4"/>
    <w:rsid w:val="006631A4"/>
    <w:rsid w:val="00663817"/>
    <w:rsid w:val="006641C0"/>
    <w:rsid w:val="006642DA"/>
    <w:rsid w:val="0066457F"/>
    <w:rsid w:val="006660CF"/>
    <w:rsid w:val="00666426"/>
    <w:rsid w:val="00666D27"/>
    <w:rsid w:val="006711E7"/>
    <w:rsid w:val="00671315"/>
    <w:rsid w:val="00673245"/>
    <w:rsid w:val="006747ED"/>
    <w:rsid w:val="0067544F"/>
    <w:rsid w:val="006766DB"/>
    <w:rsid w:val="00676BAE"/>
    <w:rsid w:val="00677070"/>
    <w:rsid w:val="00677934"/>
    <w:rsid w:val="00677AE0"/>
    <w:rsid w:val="00680D84"/>
    <w:rsid w:val="006826D4"/>
    <w:rsid w:val="00682D55"/>
    <w:rsid w:val="006830EA"/>
    <w:rsid w:val="00686524"/>
    <w:rsid w:val="0068741C"/>
    <w:rsid w:val="00687DD5"/>
    <w:rsid w:val="00690450"/>
    <w:rsid w:val="00690508"/>
    <w:rsid w:val="00693D21"/>
    <w:rsid w:val="006942B8"/>
    <w:rsid w:val="006962E2"/>
    <w:rsid w:val="0069687B"/>
    <w:rsid w:val="00696D70"/>
    <w:rsid w:val="00697E19"/>
    <w:rsid w:val="006A0CA4"/>
    <w:rsid w:val="006A10CD"/>
    <w:rsid w:val="006A1CD3"/>
    <w:rsid w:val="006A31E2"/>
    <w:rsid w:val="006A5C17"/>
    <w:rsid w:val="006B2EC0"/>
    <w:rsid w:val="006B35A2"/>
    <w:rsid w:val="006B3EB2"/>
    <w:rsid w:val="006B4CBC"/>
    <w:rsid w:val="006B5A63"/>
    <w:rsid w:val="006B6F10"/>
    <w:rsid w:val="006B73C0"/>
    <w:rsid w:val="006B7908"/>
    <w:rsid w:val="006B797C"/>
    <w:rsid w:val="006C0F9A"/>
    <w:rsid w:val="006C1950"/>
    <w:rsid w:val="006C341D"/>
    <w:rsid w:val="006C4485"/>
    <w:rsid w:val="006C6823"/>
    <w:rsid w:val="006D071E"/>
    <w:rsid w:val="006D1009"/>
    <w:rsid w:val="006D1C47"/>
    <w:rsid w:val="006D24CD"/>
    <w:rsid w:val="006D258B"/>
    <w:rsid w:val="006D2871"/>
    <w:rsid w:val="006D3DC2"/>
    <w:rsid w:val="006D4260"/>
    <w:rsid w:val="006D443E"/>
    <w:rsid w:val="006D50ED"/>
    <w:rsid w:val="006D60A2"/>
    <w:rsid w:val="006D6680"/>
    <w:rsid w:val="006E03E5"/>
    <w:rsid w:val="006E1881"/>
    <w:rsid w:val="006E2459"/>
    <w:rsid w:val="006E2FBF"/>
    <w:rsid w:val="006E45C4"/>
    <w:rsid w:val="006E474C"/>
    <w:rsid w:val="006E493C"/>
    <w:rsid w:val="006E750B"/>
    <w:rsid w:val="006E7B12"/>
    <w:rsid w:val="006F14CD"/>
    <w:rsid w:val="006F170B"/>
    <w:rsid w:val="006F19AA"/>
    <w:rsid w:val="006F219A"/>
    <w:rsid w:val="006F2736"/>
    <w:rsid w:val="006F2937"/>
    <w:rsid w:val="006F2EC6"/>
    <w:rsid w:val="006F4B22"/>
    <w:rsid w:val="006F706A"/>
    <w:rsid w:val="006F7B44"/>
    <w:rsid w:val="006F7C18"/>
    <w:rsid w:val="00700042"/>
    <w:rsid w:val="00701319"/>
    <w:rsid w:val="00702A2D"/>
    <w:rsid w:val="00702C28"/>
    <w:rsid w:val="00703916"/>
    <w:rsid w:val="00703DAF"/>
    <w:rsid w:val="00703F41"/>
    <w:rsid w:val="00705CCB"/>
    <w:rsid w:val="007074A5"/>
    <w:rsid w:val="00710737"/>
    <w:rsid w:val="0071096F"/>
    <w:rsid w:val="007110F3"/>
    <w:rsid w:val="00715B91"/>
    <w:rsid w:val="00716756"/>
    <w:rsid w:val="007173EE"/>
    <w:rsid w:val="00717E8A"/>
    <w:rsid w:val="007206C0"/>
    <w:rsid w:val="0072095B"/>
    <w:rsid w:val="007210ED"/>
    <w:rsid w:val="00721801"/>
    <w:rsid w:val="0072310C"/>
    <w:rsid w:val="007249BF"/>
    <w:rsid w:val="007265D0"/>
    <w:rsid w:val="00727DD0"/>
    <w:rsid w:val="00730222"/>
    <w:rsid w:val="00730438"/>
    <w:rsid w:val="007310D2"/>
    <w:rsid w:val="00731318"/>
    <w:rsid w:val="007317E3"/>
    <w:rsid w:val="00731DB1"/>
    <w:rsid w:val="00733211"/>
    <w:rsid w:val="00733559"/>
    <w:rsid w:val="00733980"/>
    <w:rsid w:val="00733BBF"/>
    <w:rsid w:val="00733C35"/>
    <w:rsid w:val="00734053"/>
    <w:rsid w:val="00734078"/>
    <w:rsid w:val="007342F8"/>
    <w:rsid w:val="00734B48"/>
    <w:rsid w:val="00734C01"/>
    <w:rsid w:val="0073601A"/>
    <w:rsid w:val="00736ED1"/>
    <w:rsid w:val="00741E8A"/>
    <w:rsid w:val="007421CA"/>
    <w:rsid w:val="007423F6"/>
    <w:rsid w:val="00742F07"/>
    <w:rsid w:val="007434FC"/>
    <w:rsid w:val="00743D62"/>
    <w:rsid w:val="00745636"/>
    <w:rsid w:val="0074576D"/>
    <w:rsid w:val="00745972"/>
    <w:rsid w:val="007475B1"/>
    <w:rsid w:val="007507AC"/>
    <w:rsid w:val="0075343C"/>
    <w:rsid w:val="0075367E"/>
    <w:rsid w:val="00754492"/>
    <w:rsid w:val="00754767"/>
    <w:rsid w:val="0075487F"/>
    <w:rsid w:val="00755C50"/>
    <w:rsid w:val="007572CF"/>
    <w:rsid w:val="00757C08"/>
    <w:rsid w:val="007604BD"/>
    <w:rsid w:val="0076117B"/>
    <w:rsid w:val="00762A1D"/>
    <w:rsid w:val="00762F02"/>
    <w:rsid w:val="00763217"/>
    <w:rsid w:val="00763FD2"/>
    <w:rsid w:val="007657DD"/>
    <w:rsid w:val="00766E22"/>
    <w:rsid w:val="007673A5"/>
    <w:rsid w:val="00767DD7"/>
    <w:rsid w:val="00770F7C"/>
    <w:rsid w:val="00770FEF"/>
    <w:rsid w:val="007719D7"/>
    <w:rsid w:val="00772241"/>
    <w:rsid w:val="0077262C"/>
    <w:rsid w:val="0077533B"/>
    <w:rsid w:val="00777BCF"/>
    <w:rsid w:val="00777DED"/>
    <w:rsid w:val="007814C0"/>
    <w:rsid w:val="00781708"/>
    <w:rsid w:val="00782C61"/>
    <w:rsid w:val="007840E1"/>
    <w:rsid w:val="00784570"/>
    <w:rsid w:val="007845C6"/>
    <w:rsid w:val="00784C0D"/>
    <w:rsid w:val="00784D8F"/>
    <w:rsid w:val="00784D9A"/>
    <w:rsid w:val="007850F3"/>
    <w:rsid w:val="007851C5"/>
    <w:rsid w:val="00786C8C"/>
    <w:rsid w:val="00787DCC"/>
    <w:rsid w:val="00791D93"/>
    <w:rsid w:val="007934B6"/>
    <w:rsid w:val="007934CC"/>
    <w:rsid w:val="007939C3"/>
    <w:rsid w:val="00793CA2"/>
    <w:rsid w:val="0079432F"/>
    <w:rsid w:val="00794720"/>
    <w:rsid w:val="00795776"/>
    <w:rsid w:val="00796ED4"/>
    <w:rsid w:val="007A15CE"/>
    <w:rsid w:val="007A1ABD"/>
    <w:rsid w:val="007A24C2"/>
    <w:rsid w:val="007A3C92"/>
    <w:rsid w:val="007A3E15"/>
    <w:rsid w:val="007A3E19"/>
    <w:rsid w:val="007A4077"/>
    <w:rsid w:val="007A5251"/>
    <w:rsid w:val="007A55D3"/>
    <w:rsid w:val="007A5691"/>
    <w:rsid w:val="007A6888"/>
    <w:rsid w:val="007B0427"/>
    <w:rsid w:val="007B08FF"/>
    <w:rsid w:val="007B0920"/>
    <w:rsid w:val="007B093D"/>
    <w:rsid w:val="007B35AC"/>
    <w:rsid w:val="007B66E8"/>
    <w:rsid w:val="007B697A"/>
    <w:rsid w:val="007B7380"/>
    <w:rsid w:val="007B73FF"/>
    <w:rsid w:val="007C22EA"/>
    <w:rsid w:val="007C23CA"/>
    <w:rsid w:val="007C2F2D"/>
    <w:rsid w:val="007C3E60"/>
    <w:rsid w:val="007C444C"/>
    <w:rsid w:val="007C5131"/>
    <w:rsid w:val="007C51B7"/>
    <w:rsid w:val="007C5DF9"/>
    <w:rsid w:val="007C626C"/>
    <w:rsid w:val="007C7E30"/>
    <w:rsid w:val="007D1C40"/>
    <w:rsid w:val="007D2001"/>
    <w:rsid w:val="007D3A9B"/>
    <w:rsid w:val="007D45C1"/>
    <w:rsid w:val="007D5966"/>
    <w:rsid w:val="007D5AF1"/>
    <w:rsid w:val="007D7BB6"/>
    <w:rsid w:val="007D7C4D"/>
    <w:rsid w:val="007E04EE"/>
    <w:rsid w:val="007E0944"/>
    <w:rsid w:val="007E16AA"/>
    <w:rsid w:val="007E1F22"/>
    <w:rsid w:val="007E283E"/>
    <w:rsid w:val="007E2ADC"/>
    <w:rsid w:val="007E5674"/>
    <w:rsid w:val="007E56D1"/>
    <w:rsid w:val="007E7E81"/>
    <w:rsid w:val="007F0649"/>
    <w:rsid w:val="007F35E5"/>
    <w:rsid w:val="007F3BA6"/>
    <w:rsid w:val="007F3F18"/>
    <w:rsid w:val="007F4851"/>
    <w:rsid w:val="007F486E"/>
    <w:rsid w:val="007F5BD3"/>
    <w:rsid w:val="007F6CCE"/>
    <w:rsid w:val="0080219A"/>
    <w:rsid w:val="00802C42"/>
    <w:rsid w:val="00802D67"/>
    <w:rsid w:val="00803AA7"/>
    <w:rsid w:val="008046B4"/>
    <w:rsid w:val="00804B81"/>
    <w:rsid w:val="00805388"/>
    <w:rsid w:val="008058BF"/>
    <w:rsid w:val="008068D7"/>
    <w:rsid w:val="0080692B"/>
    <w:rsid w:val="008077C9"/>
    <w:rsid w:val="008117B5"/>
    <w:rsid w:val="00813693"/>
    <w:rsid w:val="00814F12"/>
    <w:rsid w:val="008152CD"/>
    <w:rsid w:val="0081557E"/>
    <w:rsid w:val="00816E53"/>
    <w:rsid w:val="00820277"/>
    <w:rsid w:val="00822564"/>
    <w:rsid w:val="00822C1F"/>
    <w:rsid w:val="008234F6"/>
    <w:rsid w:val="00824500"/>
    <w:rsid w:val="00825544"/>
    <w:rsid w:val="00825B23"/>
    <w:rsid w:val="00825C06"/>
    <w:rsid w:val="00826137"/>
    <w:rsid w:val="008269BA"/>
    <w:rsid w:val="008271F7"/>
    <w:rsid w:val="00833024"/>
    <w:rsid w:val="00833AFB"/>
    <w:rsid w:val="00833D58"/>
    <w:rsid w:val="00834490"/>
    <w:rsid w:val="0083498F"/>
    <w:rsid w:val="008349D7"/>
    <w:rsid w:val="00834FDD"/>
    <w:rsid w:val="00835A8F"/>
    <w:rsid w:val="00837CDE"/>
    <w:rsid w:val="00841453"/>
    <w:rsid w:val="00841814"/>
    <w:rsid w:val="00841B45"/>
    <w:rsid w:val="00841C30"/>
    <w:rsid w:val="008425F6"/>
    <w:rsid w:val="00843450"/>
    <w:rsid w:val="00843710"/>
    <w:rsid w:val="00843C19"/>
    <w:rsid w:val="008469C2"/>
    <w:rsid w:val="00850F20"/>
    <w:rsid w:val="00852AEF"/>
    <w:rsid w:val="00852BD3"/>
    <w:rsid w:val="00852E7E"/>
    <w:rsid w:val="008545A7"/>
    <w:rsid w:val="008561D1"/>
    <w:rsid w:val="008563E3"/>
    <w:rsid w:val="00856F03"/>
    <w:rsid w:val="00856F0E"/>
    <w:rsid w:val="0086125A"/>
    <w:rsid w:val="00861A64"/>
    <w:rsid w:val="00862023"/>
    <w:rsid w:val="00862757"/>
    <w:rsid w:val="00864132"/>
    <w:rsid w:val="00864AD1"/>
    <w:rsid w:val="0086500E"/>
    <w:rsid w:val="00865A10"/>
    <w:rsid w:val="00865B82"/>
    <w:rsid w:val="00866E5C"/>
    <w:rsid w:val="0086781B"/>
    <w:rsid w:val="00871D86"/>
    <w:rsid w:val="008729DD"/>
    <w:rsid w:val="0087357E"/>
    <w:rsid w:val="00873B2A"/>
    <w:rsid w:val="00873DE3"/>
    <w:rsid w:val="0087488E"/>
    <w:rsid w:val="0087550E"/>
    <w:rsid w:val="00875A17"/>
    <w:rsid w:val="00875D1E"/>
    <w:rsid w:val="00875DD0"/>
    <w:rsid w:val="00876218"/>
    <w:rsid w:val="008803DF"/>
    <w:rsid w:val="00881014"/>
    <w:rsid w:val="00883B97"/>
    <w:rsid w:val="008843E7"/>
    <w:rsid w:val="00884990"/>
    <w:rsid w:val="00885F80"/>
    <w:rsid w:val="008870BB"/>
    <w:rsid w:val="00887F18"/>
    <w:rsid w:val="00887F88"/>
    <w:rsid w:val="008912AE"/>
    <w:rsid w:val="00893889"/>
    <w:rsid w:val="00893D98"/>
    <w:rsid w:val="008950C4"/>
    <w:rsid w:val="00896631"/>
    <w:rsid w:val="00896C3E"/>
    <w:rsid w:val="00896DFA"/>
    <w:rsid w:val="0089762D"/>
    <w:rsid w:val="00897691"/>
    <w:rsid w:val="008A0072"/>
    <w:rsid w:val="008A007B"/>
    <w:rsid w:val="008A114A"/>
    <w:rsid w:val="008A1EF5"/>
    <w:rsid w:val="008A235E"/>
    <w:rsid w:val="008A2796"/>
    <w:rsid w:val="008A4775"/>
    <w:rsid w:val="008A5A18"/>
    <w:rsid w:val="008A5F15"/>
    <w:rsid w:val="008A6BB0"/>
    <w:rsid w:val="008A7AE1"/>
    <w:rsid w:val="008B16BB"/>
    <w:rsid w:val="008B379D"/>
    <w:rsid w:val="008B3BA8"/>
    <w:rsid w:val="008B4E46"/>
    <w:rsid w:val="008B4F26"/>
    <w:rsid w:val="008B655E"/>
    <w:rsid w:val="008B7036"/>
    <w:rsid w:val="008B735A"/>
    <w:rsid w:val="008B7495"/>
    <w:rsid w:val="008C0182"/>
    <w:rsid w:val="008C043B"/>
    <w:rsid w:val="008C127A"/>
    <w:rsid w:val="008C14F2"/>
    <w:rsid w:val="008C297C"/>
    <w:rsid w:val="008C48C1"/>
    <w:rsid w:val="008C4950"/>
    <w:rsid w:val="008C582E"/>
    <w:rsid w:val="008C6A0B"/>
    <w:rsid w:val="008C6A54"/>
    <w:rsid w:val="008C6F58"/>
    <w:rsid w:val="008C771B"/>
    <w:rsid w:val="008C796C"/>
    <w:rsid w:val="008C79F7"/>
    <w:rsid w:val="008D060A"/>
    <w:rsid w:val="008D1898"/>
    <w:rsid w:val="008D2E72"/>
    <w:rsid w:val="008D4F49"/>
    <w:rsid w:val="008D57B4"/>
    <w:rsid w:val="008D5A52"/>
    <w:rsid w:val="008D6E16"/>
    <w:rsid w:val="008D7223"/>
    <w:rsid w:val="008D7B01"/>
    <w:rsid w:val="008E0FE2"/>
    <w:rsid w:val="008E229F"/>
    <w:rsid w:val="008E2ED3"/>
    <w:rsid w:val="008E4731"/>
    <w:rsid w:val="008E65EE"/>
    <w:rsid w:val="008E75F1"/>
    <w:rsid w:val="008F1F9A"/>
    <w:rsid w:val="008F2DC5"/>
    <w:rsid w:val="008F3791"/>
    <w:rsid w:val="008F486C"/>
    <w:rsid w:val="008F4B5D"/>
    <w:rsid w:val="008F61D9"/>
    <w:rsid w:val="008F72CA"/>
    <w:rsid w:val="00901CF1"/>
    <w:rsid w:val="00902983"/>
    <w:rsid w:val="00902D00"/>
    <w:rsid w:val="00903C4E"/>
    <w:rsid w:val="0090402C"/>
    <w:rsid w:val="00904181"/>
    <w:rsid w:val="00904716"/>
    <w:rsid w:val="0090579F"/>
    <w:rsid w:val="00906436"/>
    <w:rsid w:val="0090657F"/>
    <w:rsid w:val="0090746B"/>
    <w:rsid w:val="009102A5"/>
    <w:rsid w:val="00910635"/>
    <w:rsid w:val="00910806"/>
    <w:rsid w:val="00910A29"/>
    <w:rsid w:val="009111B6"/>
    <w:rsid w:val="00911405"/>
    <w:rsid w:val="009126FE"/>
    <w:rsid w:val="00913F3E"/>
    <w:rsid w:val="00913FF1"/>
    <w:rsid w:val="009146DC"/>
    <w:rsid w:val="00914A2B"/>
    <w:rsid w:val="00917718"/>
    <w:rsid w:val="0092058E"/>
    <w:rsid w:val="00922577"/>
    <w:rsid w:val="00922CC1"/>
    <w:rsid w:val="00923721"/>
    <w:rsid w:val="00923DFB"/>
    <w:rsid w:val="0092524C"/>
    <w:rsid w:val="009257EB"/>
    <w:rsid w:val="009260D5"/>
    <w:rsid w:val="0092628C"/>
    <w:rsid w:val="00927460"/>
    <w:rsid w:val="0093009F"/>
    <w:rsid w:val="00930444"/>
    <w:rsid w:val="00930CAF"/>
    <w:rsid w:val="00934861"/>
    <w:rsid w:val="00934C50"/>
    <w:rsid w:val="00935501"/>
    <w:rsid w:val="00935C16"/>
    <w:rsid w:val="00940F87"/>
    <w:rsid w:val="0094141E"/>
    <w:rsid w:val="009419C7"/>
    <w:rsid w:val="00941A62"/>
    <w:rsid w:val="009426BE"/>
    <w:rsid w:val="00942B5F"/>
    <w:rsid w:val="00944B37"/>
    <w:rsid w:val="0094544D"/>
    <w:rsid w:val="00945656"/>
    <w:rsid w:val="009477EA"/>
    <w:rsid w:val="00950477"/>
    <w:rsid w:val="0095073B"/>
    <w:rsid w:val="00950AD6"/>
    <w:rsid w:val="00951525"/>
    <w:rsid w:val="00951671"/>
    <w:rsid w:val="009516E4"/>
    <w:rsid w:val="00951FC8"/>
    <w:rsid w:val="00952D20"/>
    <w:rsid w:val="009542E5"/>
    <w:rsid w:val="009544DC"/>
    <w:rsid w:val="00955E16"/>
    <w:rsid w:val="0095623D"/>
    <w:rsid w:val="00956710"/>
    <w:rsid w:val="00957B28"/>
    <w:rsid w:val="00957BC9"/>
    <w:rsid w:val="009605DA"/>
    <w:rsid w:val="00960753"/>
    <w:rsid w:val="00960E33"/>
    <w:rsid w:val="0096170E"/>
    <w:rsid w:val="00963C59"/>
    <w:rsid w:val="00963EFE"/>
    <w:rsid w:val="00965D88"/>
    <w:rsid w:val="00965EE6"/>
    <w:rsid w:val="00966478"/>
    <w:rsid w:val="00970249"/>
    <w:rsid w:val="0097096D"/>
    <w:rsid w:val="00970E77"/>
    <w:rsid w:val="00970FF0"/>
    <w:rsid w:val="00972090"/>
    <w:rsid w:val="00972B40"/>
    <w:rsid w:val="00975135"/>
    <w:rsid w:val="009755FF"/>
    <w:rsid w:val="00975C86"/>
    <w:rsid w:val="009762A9"/>
    <w:rsid w:val="00980568"/>
    <w:rsid w:val="009814D3"/>
    <w:rsid w:val="00981D70"/>
    <w:rsid w:val="00982D8A"/>
    <w:rsid w:val="0098303B"/>
    <w:rsid w:val="009834F8"/>
    <w:rsid w:val="00983CA8"/>
    <w:rsid w:val="0098786D"/>
    <w:rsid w:val="00991322"/>
    <w:rsid w:val="0099163E"/>
    <w:rsid w:val="00991F2C"/>
    <w:rsid w:val="00992D4E"/>
    <w:rsid w:val="009935C8"/>
    <w:rsid w:val="00994371"/>
    <w:rsid w:val="00994731"/>
    <w:rsid w:val="0099484B"/>
    <w:rsid w:val="00995EA0"/>
    <w:rsid w:val="009A0DD7"/>
    <w:rsid w:val="009A0E71"/>
    <w:rsid w:val="009A28C8"/>
    <w:rsid w:val="009A2CA9"/>
    <w:rsid w:val="009A3E0B"/>
    <w:rsid w:val="009A472E"/>
    <w:rsid w:val="009A4A26"/>
    <w:rsid w:val="009A6280"/>
    <w:rsid w:val="009A764F"/>
    <w:rsid w:val="009B0B88"/>
    <w:rsid w:val="009B0E4D"/>
    <w:rsid w:val="009B17DB"/>
    <w:rsid w:val="009B4042"/>
    <w:rsid w:val="009B5772"/>
    <w:rsid w:val="009B5981"/>
    <w:rsid w:val="009B5C3B"/>
    <w:rsid w:val="009B61E8"/>
    <w:rsid w:val="009B6635"/>
    <w:rsid w:val="009B763E"/>
    <w:rsid w:val="009B7E78"/>
    <w:rsid w:val="009C01C7"/>
    <w:rsid w:val="009C26FE"/>
    <w:rsid w:val="009C2807"/>
    <w:rsid w:val="009C498D"/>
    <w:rsid w:val="009C5109"/>
    <w:rsid w:val="009C6A8B"/>
    <w:rsid w:val="009C7A91"/>
    <w:rsid w:val="009D0458"/>
    <w:rsid w:val="009D4300"/>
    <w:rsid w:val="009D4C9F"/>
    <w:rsid w:val="009D54C8"/>
    <w:rsid w:val="009E08D5"/>
    <w:rsid w:val="009E0AE8"/>
    <w:rsid w:val="009E0B16"/>
    <w:rsid w:val="009E1427"/>
    <w:rsid w:val="009E3EF5"/>
    <w:rsid w:val="009E45AF"/>
    <w:rsid w:val="009E4A4E"/>
    <w:rsid w:val="009E74D9"/>
    <w:rsid w:val="009F0844"/>
    <w:rsid w:val="009F167C"/>
    <w:rsid w:val="009F2FED"/>
    <w:rsid w:val="009F32A8"/>
    <w:rsid w:val="009F37CA"/>
    <w:rsid w:val="009F5280"/>
    <w:rsid w:val="009F545C"/>
    <w:rsid w:val="00A00701"/>
    <w:rsid w:val="00A00BE1"/>
    <w:rsid w:val="00A02D28"/>
    <w:rsid w:val="00A04657"/>
    <w:rsid w:val="00A05CF7"/>
    <w:rsid w:val="00A06492"/>
    <w:rsid w:val="00A0729C"/>
    <w:rsid w:val="00A102A7"/>
    <w:rsid w:val="00A1094D"/>
    <w:rsid w:val="00A109A8"/>
    <w:rsid w:val="00A10A1A"/>
    <w:rsid w:val="00A10AA1"/>
    <w:rsid w:val="00A11099"/>
    <w:rsid w:val="00A1132A"/>
    <w:rsid w:val="00A11659"/>
    <w:rsid w:val="00A12503"/>
    <w:rsid w:val="00A13201"/>
    <w:rsid w:val="00A132C7"/>
    <w:rsid w:val="00A13B07"/>
    <w:rsid w:val="00A1788D"/>
    <w:rsid w:val="00A215CA"/>
    <w:rsid w:val="00A218E5"/>
    <w:rsid w:val="00A22A1C"/>
    <w:rsid w:val="00A22A25"/>
    <w:rsid w:val="00A25DD6"/>
    <w:rsid w:val="00A26408"/>
    <w:rsid w:val="00A271DC"/>
    <w:rsid w:val="00A272DB"/>
    <w:rsid w:val="00A27670"/>
    <w:rsid w:val="00A27CC8"/>
    <w:rsid w:val="00A3090A"/>
    <w:rsid w:val="00A31394"/>
    <w:rsid w:val="00A3296C"/>
    <w:rsid w:val="00A3402C"/>
    <w:rsid w:val="00A3439B"/>
    <w:rsid w:val="00A343EB"/>
    <w:rsid w:val="00A36681"/>
    <w:rsid w:val="00A3735E"/>
    <w:rsid w:val="00A406C7"/>
    <w:rsid w:val="00A41114"/>
    <w:rsid w:val="00A44651"/>
    <w:rsid w:val="00A50AFC"/>
    <w:rsid w:val="00A50B2C"/>
    <w:rsid w:val="00A50E49"/>
    <w:rsid w:val="00A5166F"/>
    <w:rsid w:val="00A51F10"/>
    <w:rsid w:val="00A51F89"/>
    <w:rsid w:val="00A52741"/>
    <w:rsid w:val="00A550F4"/>
    <w:rsid w:val="00A56772"/>
    <w:rsid w:val="00A5685A"/>
    <w:rsid w:val="00A56C3E"/>
    <w:rsid w:val="00A56E35"/>
    <w:rsid w:val="00A57125"/>
    <w:rsid w:val="00A60CBF"/>
    <w:rsid w:val="00A61624"/>
    <w:rsid w:val="00A61A8F"/>
    <w:rsid w:val="00A61B4C"/>
    <w:rsid w:val="00A63659"/>
    <w:rsid w:val="00A6467F"/>
    <w:rsid w:val="00A657C7"/>
    <w:rsid w:val="00A65E42"/>
    <w:rsid w:val="00A663D5"/>
    <w:rsid w:val="00A66AF4"/>
    <w:rsid w:val="00A6765B"/>
    <w:rsid w:val="00A67F87"/>
    <w:rsid w:val="00A7169A"/>
    <w:rsid w:val="00A71860"/>
    <w:rsid w:val="00A722E2"/>
    <w:rsid w:val="00A72505"/>
    <w:rsid w:val="00A73262"/>
    <w:rsid w:val="00A73400"/>
    <w:rsid w:val="00A737B5"/>
    <w:rsid w:val="00A73D6F"/>
    <w:rsid w:val="00A747AC"/>
    <w:rsid w:val="00A75DBA"/>
    <w:rsid w:val="00A76533"/>
    <w:rsid w:val="00A80161"/>
    <w:rsid w:val="00A81DC2"/>
    <w:rsid w:val="00A83BB1"/>
    <w:rsid w:val="00A85704"/>
    <w:rsid w:val="00A8633B"/>
    <w:rsid w:val="00A867C7"/>
    <w:rsid w:val="00A878A9"/>
    <w:rsid w:val="00A90D3F"/>
    <w:rsid w:val="00A91AEB"/>
    <w:rsid w:val="00A940EB"/>
    <w:rsid w:val="00A96028"/>
    <w:rsid w:val="00A96792"/>
    <w:rsid w:val="00A9702B"/>
    <w:rsid w:val="00A974B5"/>
    <w:rsid w:val="00A976F7"/>
    <w:rsid w:val="00A9778D"/>
    <w:rsid w:val="00A97EA8"/>
    <w:rsid w:val="00AA00A0"/>
    <w:rsid w:val="00AA0C1A"/>
    <w:rsid w:val="00AA153E"/>
    <w:rsid w:val="00AA381B"/>
    <w:rsid w:val="00AA3CF9"/>
    <w:rsid w:val="00AA4075"/>
    <w:rsid w:val="00AA42B6"/>
    <w:rsid w:val="00AA435E"/>
    <w:rsid w:val="00AA4806"/>
    <w:rsid w:val="00AA4CEE"/>
    <w:rsid w:val="00AA5637"/>
    <w:rsid w:val="00AA592B"/>
    <w:rsid w:val="00AA61FC"/>
    <w:rsid w:val="00AA6C56"/>
    <w:rsid w:val="00AB161D"/>
    <w:rsid w:val="00AB1866"/>
    <w:rsid w:val="00AB1886"/>
    <w:rsid w:val="00AB1DD1"/>
    <w:rsid w:val="00AB37C2"/>
    <w:rsid w:val="00AB5BF7"/>
    <w:rsid w:val="00AB5F9D"/>
    <w:rsid w:val="00AC0F5C"/>
    <w:rsid w:val="00AC258E"/>
    <w:rsid w:val="00AC35C4"/>
    <w:rsid w:val="00AC3EC7"/>
    <w:rsid w:val="00AC40B6"/>
    <w:rsid w:val="00AC46E9"/>
    <w:rsid w:val="00AC48FA"/>
    <w:rsid w:val="00AC4A36"/>
    <w:rsid w:val="00AC4BE0"/>
    <w:rsid w:val="00AC537B"/>
    <w:rsid w:val="00AC542D"/>
    <w:rsid w:val="00AC5773"/>
    <w:rsid w:val="00AC75DA"/>
    <w:rsid w:val="00AC79D9"/>
    <w:rsid w:val="00AD0160"/>
    <w:rsid w:val="00AD1CE5"/>
    <w:rsid w:val="00AD2265"/>
    <w:rsid w:val="00AD253A"/>
    <w:rsid w:val="00AD3E5E"/>
    <w:rsid w:val="00AD432F"/>
    <w:rsid w:val="00AD662F"/>
    <w:rsid w:val="00AD6BB3"/>
    <w:rsid w:val="00AD6BC3"/>
    <w:rsid w:val="00AD7783"/>
    <w:rsid w:val="00AD77CD"/>
    <w:rsid w:val="00AE23D5"/>
    <w:rsid w:val="00AE35BB"/>
    <w:rsid w:val="00AE3FBB"/>
    <w:rsid w:val="00AE5007"/>
    <w:rsid w:val="00AE5112"/>
    <w:rsid w:val="00AE5244"/>
    <w:rsid w:val="00AE5CEB"/>
    <w:rsid w:val="00AE5F79"/>
    <w:rsid w:val="00AE6FF8"/>
    <w:rsid w:val="00AF13C1"/>
    <w:rsid w:val="00AF13C4"/>
    <w:rsid w:val="00AF15C1"/>
    <w:rsid w:val="00AF1C16"/>
    <w:rsid w:val="00AF2272"/>
    <w:rsid w:val="00AF264A"/>
    <w:rsid w:val="00AF2688"/>
    <w:rsid w:val="00AF3559"/>
    <w:rsid w:val="00AF38EC"/>
    <w:rsid w:val="00AF3AD6"/>
    <w:rsid w:val="00AF431D"/>
    <w:rsid w:val="00AF5339"/>
    <w:rsid w:val="00AF7410"/>
    <w:rsid w:val="00B005E1"/>
    <w:rsid w:val="00B00EBB"/>
    <w:rsid w:val="00B0161F"/>
    <w:rsid w:val="00B04168"/>
    <w:rsid w:val="00B0440F"/>
    <w:rsid w:val="00B04514"/>
    <w:rsid w:val="00B07642"/>
    <w:rsid w:val="00B11938"/>
    <w:rsid w:val="00B13B12"/>
    <w:rsid w:val="00B13D8B"/>
    <w:rsid w:val="00B14A03"/>
    <w:rsid w:val="00B156B3"/>
    <w:rsid w:val="00B15ECD"/>
    <w:rsid w:val="00B1616F"/>
    <w:rsid w:val="00B17589"/>
    <w:rsid w:val="00B1782F"/>
    <w:rsid w:val="00B20A8B"/>
    <w:rsid w:val="00B20BC1"/>
    <w:rsid w:val="00B21A94"/>
    <w:rsid w:val="00B221A0"/>
    <w:rsid w:val="00B22B72"/>
    <w:rsid w:val="00B23841"/>
    <w:rsid w:val="00B239B1"/>
    <w:rsid w:val="00B23E40"/>
    <w:rsid w:val="00B23EAD"/>
    <w:rsid w:val="00B24F96"/>
    <w:rsid w:val="00B25085"/>
    <w:rsid w:val="00B2654C"/>
    <w:rsid w:val="00B2713A"/>
    <w:rsid w:val="00B27343"/>
    <w:rsid w:val="00B27442"/>
    <w:rsid w:val="00B27F3D"/>
    <w:rsid w:val="00B27F87"/>
    <w:rsid w:val="00B30496"/>
    <w:rsid w:val="00B30DAB"/>
    <w:rsid w:val="00B3143D"/>
    <w:rsid w:val="00B31962"/>
    <w:rsid w:val="00B321A9"/>
    <w:rsid w:val="00B32E48"/>
    <w:rsid w:val="00B33E92"/>
    <w:rsid w:val="00B355DB"/>
    <w:rsid w:val="00B35A54"/>
    <w:rsid w:val="00B37DC7"/>
    <w:rsid w:val="00B40D7A"/>
    <w:rsid w:val="00B410D1"/>
    <w:rsid w:val="00B4317D"/>
    <w:rsid w:val="00B450EB"/>
    <w:rsid w:val="00B455D5"/>
    <w:rsid w:val="00B45D98"/>
    <w:rsid w:val="00B45E05"/>
    <w:rsid w:val="00B47418"/>
    <w:rsid w:val="00B50668"/>
    <w:rsid w:val="00B5066A"/>
    <w:rsid w:val="00B50A94"/>
    <w:rsid w:val="00B513FC"/>
    <w:rsid w:val="00B52E3D"/>
    <w:rsid w:val="00B5393A"/>
    <w:rsid w:val="00B53B42"/>
    <w:rsid w:val="00B561F7"/>
    <w:rsid w:val="00B56427"/>
    <w:rsid w:val="00B56546"/>
    <w:rsid w:val="00B5776D"/>
    <w:rsid w:val="00B57834"/>
    <w:rsid w:val="00B57F4A"/>
    <w:rsid w:val="00B6060F"/>
    <w:rsid w:val="00B61281"/>
    <w:rsid w:val="00B61B84"/>
    <w:rsid w:val="00B6336D"/>
    <w:rsid w:val="00B644DC"/>
    <w:rsid w:val="00B649E2"/>
    <w:rsid w:val="00B66374"/>
    <w:rsid w:val="00B66B99"/>
    <w:rsid w:val="00B70DF2"/>
    <w:rsid w:val="00B70F62"/>
    <w:rsid w:val="00B70FA0"/>
    <w:rsid w:val="00B71249"/>
    <w:rsid w:val="00B71E1E"/>
    <w:rsid w:val="00B724B0"/>
    <w:rsid w:val="00B7368D"/>
    <w:rsid w:val="00B74832"/>
    <w:rsid w:val="00B7509B"/>
    <w:rsid w:val="00B75B0B"/>
    <w:rsid w:val="00B769C2"/>
    <w:rsid w:val="00B77599"/>
    <w:rsid w:val="00B81A4F"/>
    <w:rsid w:val="00B81DF8"/>
    <w:rsid w:val="00B828D7"/>
    <w:rsid w:val="00B82B87"/>
    <w:rsid w:val="00B83744"/>
    <w:rsid w:val="00B857C1"/>
    <w:rsid w:val="00B87991"/>
    <w:rsid w:val="00B9087A"/>
    <w:rsid w:val="00B92A4C"/>
    <w:rsid w:val="00B92C61"/>
    <w:rsid w:val="00B94A20"/>
    <w:rsid w:val="00B94C2B"/>
    <w:rsid w:val="00B95136"/>
    <w:rsid w:val="00B95253"/>
    <w:rsid w:val="00B9664E"/>
    <w:rsid w:val="00BA010A"/>
    <w:rsid w:val="00BA1CF3"/>
    <w:rsid w:val="00BA2146"/>
    <w:rsid w:val="00BA2416"/>
    <w:rsid w:val="00BA2602"/>
    <w:rsid w:val="00BA3ADA"/>
    <w:rsid w:val="00BA47AA"/>
    <w:rsid w:val="00BA4EE9"/>
    <w:rsid w:val="00BA511D"/>
    <w:rsid w:val="00BA5167"/>
    <w:rsid w:val="00BA5837"/>
    <w:rsid w:val="00BA5F86"/>
    <w:rsid w:val="00BA6162"/>
    <w:rsid w:val="00BA7587"/>
    <w:rsid w:val="00BB0107"/>
    <w:rsid w:val="00BB0EEC"/>
    <w:rsid w:val="00BB1B79"/>
    <w:rsid w:val="00BB2CFC"/>
    <w:rsid w:val="00BB2ECA"/>
    <w:rsid w:val="00BB2F3B"/>
    <w:rsid w:val="00BB3405"/>
    <w:rsid w:val="00BB467E"/>
    <w:rsid w:val="00BB472F"/>
    <w:rsid w:val="00BB6189"/>
    <w:rsid w:val="00BB631A"/>
    <w:rsid w:val="00BB7178"/>
    <w:rsid w:val="00BC0EDF"/>
    <w:rsid w:val="00BC29E7"/>
    <w:rsid w:val="00BC29FB"/>
    <w:rsid w:val="00BC2EFB"/>
    <w:rsid w:val="00BC321F"/>
    <w:rsid w:val="00BC37E1"/>
    <w:rsid w:val="00BC425D"/>
    <w:rsid w:val="00BC65F9"/>
    <w:rsid w:val="00BC6822"/>
    <w:rsid w:val="00BC76C1"/>
    <w:rsid w:val="00BC772C"/>
    <w:rsid w:val="00BD073D"/>
    <w:rsid w:val="00BD2582"/>
    <w:rsid w:val="00BD331B"/>
    <w:rsid w:val="00BD3B4E"/>
    <w:rsid w:val="00BD4737"/>
    <w:rsid w:val="00BD54BE"/>
    <w:rsid w:val="00BD6EF2"/>
    <w:rsid w:val="00BD75BE"/>
    <w:rsid w:val="00BE093D"/>
    <w:rsid w:val="00BE0D5E"/>
    <w:rsid w:val="00BE2671"/>
    <w:rsid w:val="00BE31CA"/>
    <w:rsid w:val="00BE38FC"/>
    <w:rsid w:val="00BE3A61"/>
    <w:rsid w:val="00BE48EA"/>
    <w:rsid w:val="00BE5D64"/>
    <w:rsid w:val="00BE6386"/>
    <w:rsid w:val="00BE6B83"/>
    <w:rsid w:val="00BE6CB0"/>
    <w:rsid w:val="00BF01E2"/>
    <w:rsid w:val="00BF0A6B"/>
    <w:rsid w:val="00BF172D"/>
    <w:rsid w:val="00BF17B7"/>
    <w:rsid w:val="00BF1EE5"/>
    <w:rsid w:val="00BF1F01"/>
    <w:rsid w:val="00BF2373"/>
    <w:rsid w:val="00BF2A0C"/>
    <w:rsid w:val="00BF38C2"/>
    <w:rsid w:val="00BF4E6C"/>
    <w:rsid w:val="00BF5691"/>
    <w:rsid w:val="00BF76B1"/>
    <w:rsid w:val="00C017A6"/>
    <w:rsid w:val="00C01898"/>
    <w:rsid w:val="00C021F9"/>
    <w:rsid w:val="00C027EF"/>
    <w:rsid w:val="00C03F82"/>
    <w:rsid w:val="00C04091"/>
    <w:rsid w:val="00C041B8"/>
    <w:rsid w:val="00C04246"/>
    <w:rsid w:val="00C04A90"/>
    <w:rsid w:val="00C05820"/>
    <w:rsid w:val="00C05E9A"/>
    <w:rsid w:val="00C05F3B"/>
    <w:rsid w:val="00C071F2"/>
    <w:rsid w:val="00C10A57"/>
    <w:rsid w:val="00C11E30"/>
    <w:rsid w:val="00C127CF"/>
    <w:rsid w:val="00C1372A"/>
    <w:rsid w:val="00C13FF7"/>
    <w:rsid w:val="00C15E14"/>
    <w:rsid w:val="00C1687C"/>
    <w:rsid w:val="00C20F5B"/>
    <w:rsid w:val="00C21163"/>
    <w:rsid w:val="00C213F6"/>
    <w:rsid w:val="00C21957"/>
    <w:rsid w:val="00C21A7F"/>
    <w:rsid w:val="00C23907"/>
    <w:rsid w:val="00C2502B"/>
    <w:rsid w:val="00C250A9"/>
    <w:rsid w:val="00C25E6F"/>
    <w:rsid w:val="00C2671E"/>
    <w:rsid w:val="00C3154A"/>
    <w:rsid w:val="00C31BA6"/>
    <w:rsid w:val="00C33A44"/>
    <w:rsid w:val="00C344A4"/>
    <w:rsid w:val="00C3466C"/>
    <w:rsid w:val="00C37113"/>
    <w:rsid w:val="00C402E3"/>
    <w:rsid w:val="00C40E79"/>
    <w:rsid w:val="00C4250E"/>
    <w:rsid w:val="00C42E13"/>
    <w:rsid w:val="00C44050"/>
    <w:rsid w:val="00C449B7"/>
    <w:rsid w:val="00C45852"/>
    <w:rsid w:val="00C45F0F"/>
    <w:rsid w:val="00C46130"/>
    <w:rsid w:val="00C4627B"/>
    <w:rsid w:val="00C47D9C"/>
    <w:rsid w:val="00C47F9F"/>
    <w:rsid w:val="00C5053C"/>
    <w:rsid w:val="00C50C64"/>
    <w:rsid w:val="00C50D77"/>
    <w:rsid w:val="00C511DF"/>
    <w:rsid w:val="00C529FF"/>
    <w:rsid w:val="00C5455E"/>
    <w:rsid w:val="00C55267"/>
    <w:rsid w:val="00C55661"/>
    <w:rsid w:val="00C55E31"/>
    <w:rsid w:val="00C56B76"/>
    <w:rsid w:val="00C56D3B"/>
    <w:rsid w:val="00C619EA"/>
    <w:rsid w:val="00C61F45"/>
    <w:rsid w:val="00C6468B"/>
    <w:rsid w:val="00C650F0"/>
    <w:rsid w:val="00C663A0"/>
    <w:rsid w:val="00C66E16"/>
    <w:rsid w:val="00C7051D"/>
    <w:rsid w:val="00C72C25"/>
    <w:rsid w:val="00C730BC"/>
    <w:rsid w:val="00C731C4"/>
    <w:rsid w:val="00C747AC"/>
    <w:rsid w:val="00C74A00"/>
    <w:rsid w:val="00C75410"/>
    <w:rsid w:val="00C75684"/>
    <w:rsid w:val="00C75F85"/>
    <w:rsid w:val="00C776A7"/>
    <w:rsid w:val="00C80373"/>
    <w:rsid w:val="00C8057D"/>
    <w:rsid w:val="00C80F61"/>
    <w:rsid w:val="00C8150F"/>
    <w:rsid w:val="00C83E51"/>
    <w:rsid w:val="00C84037"/>
    <w:rsid w:val="00C84306"/>
    <w:rsid w:val="00C84EA9"/>
    <w:rsid w:val="00C85F20"/>
    <w:rsid w:val="00C8728F"/>
    <w:rsid w:val="00C87BDC"/>
    <w:rsid w:val="00C91858"/>
    <w:rsid w:val="00C92D3F"/>
    <w:rsid w:val="00C92E2F"/>
    <w:rsid w:val="00C934E0"/>
    <w:rsid w:val="00C935D7"/>
    <w:rsid w:val="00C960CC"/>
    <w:rsid w:val="00C96563"/>
    <w:rsid w:val="00C975F8"/>
    <w:rsid w:val="00C979AC"/>
    <w:rsid w:val="00CA1DD4"/>
    <w:rsid w:val="00CA21CA"/>
    <w:rsid w:val="00CA2778"/>
    <w:rsid w:val="00CA295A"/>
    <w:rsid w:val="00CA3BC4"/>
    <w:rsid w:val="00CA4544"/>
    <w:rsid w:val="00CA4862"/>
    <w:rsid w:val="00CA57BB"/>
    <w:rsid w:val="00CA7815"/>
    <w:rsid w:val="00CA7FDB"/>
    <w:rsid w:val="00CB0DEB"/>
    <w:rsid w:val="00CB3C2C"/>
    <w:rsid w:val="00CB3F1B"/>
    <w:rsid w:val="00CB45E0"/>
    <w:rsid w:val="00CB4DA4"/>
    <w:rsid w:val="00CB5885"/>
    <w:rsid w:val="00CB5CD4"/>
    <w:rsid w:val="00CB63E6"/>
    <w:rsid w:val="00CB76C9"/>
    <w:rsid w:val="00CC0DE2"/>
    <w:rsid w:val="00CC1382"/>
    <w:rsid w:val="00CC1A7B"/>
    <w:rsid w:val="00CC1C27"/>
    <w:rsid w:val="00CC2098"/>
    <w:rsid w:val="00CC245E"/>
    <w:rsid w:val="00CC2D89"/>
    <w:rsid w:val="00CC3267"/>
    <w:rsid w:val="00CC3AF3"/>
    <w:rsid w:val="00CC5D59"/>
    <w:rsid w:val="00CC7A5C"/>
    <w:rsid w:val="00CD3273"/>
    <w:rsid w:val="00CD3DFF"/>
    <w:rsid w:val="00CD5815"/>
    <w:rsid w:val="00CD5B1E"/>
    <w:rsid w:val="00CD70CE"/>
    <w:rsid w:val="00CD778B"/>
    <w:rsid w:val="00CE0E76"/>
    <w:rsid w:val="00CE1F41"/>
    <w:rsid w:val="00CE203C"/>
    <w:rsid w:val="00CE2665"/>
    <w:rsid w:val="00CE2A1C"/>
    <w:rsid w:val="00CE3500"/>
    <w:rsid w:val="00CE41CC"/>
    <w:rsid w:val="00CE422F"/>
    <w:rsid w:val="00CE44AA"/>
    <w:rsid w:val="00CE485D"/>
    <w:rsid w:val="00CE4DBF"/>
    <w:rsid w:val="00CF0000"/>
    <w:rsid w:val="00CF0D87"/>
    <w:rsid w:val="00CF17AA"/>
    <w:rsid w:val="00CF17FF"/>
    <w:rsid w:val="00CF290D"/>
    <w:rsid w:val="00CF2B97"/>
    <w:rsid w:val="00CF2C71"/>
    <w:rsid w:val="00CF4781"/>
    <w:rsid w:val="00CF62BA"/>
    <w:rsid w:val="00CF72CB"/>
    <w:rsid w:val="00D01E90"/>
    <w:rsid w:val="00D01F22"/>
    <w:rsid w:val="00D021C1"/>
    <w:rsid w:val="00D0227D"/>
    <w:rsid w:val="00D026D4"/>
    <w:rsid w:val="00D0313E"/>
    <w:rsid w:val="00D0486B"/>
    <w:rsid w:val="00D054F1"/>
    <w:rsid w:val="00D06D32"/>
    <w:rsid w:val="00D102DA"/>
    <w:rsid w:val="00D118D3"/>
    <w:rsid w:val="00D1298D"/>
    <w:rsid w:val="00D12D9F"/>
    <w:rsid w:val="00D12E1C"/>
    <w:rsid w:val="00D13483"/>
    <w:rsid w:val="00D137AB"/>
    <w:rsid w:val="00D13F1F"/>
    <w:rsid w:val="00D14783"/>
    <w:rsid w:val="00D20849"/>
    <w:rsid w:val="00D21667"/>
    <w:rsid w:val="00D216F1"/>
    <w:rsid w:val="00D21B92"/>
    <w:rsid w:val="00D23D1B"/>
    <w:rsid w:val="00D2417E"/>
    <w:rsid w:val="00D24575"/>
    <w:rsid w:val="00D27DD7"/>
    <w:rsid w:val="00D303A3"/>
    <w:rsid w:val="00D30469"/>
    <w:rsid w:val="00D31993"/>
    <w:rsid w:val="00D31ADE"/>
    <w:rsid w:val="00D32884"/>
    <w:rsid w:val="00D33AAF"/>
    <w:rsid w:val="00D3733D"/>
    <w:rsid w:val="00D37B43"/>
    <w:rsid w:val="00D407F5"/>
    <w:rsid w:val="00D41092"/>
    <w:rsid w:val="00D428A4"/>
    <w:rsid w:val="00D429D3"/>
    <w:rsid w:val="00D42D3C"/>
    <w:rsid w:val="00D437E6"/>
    <w:rsid w:val="00D444B0"/>
    <w:rsid w:val="00D44ED2"/>
    <w:rsid w:val="00D45140"/>
    <w:rsid w:val="00D45AE6"/>
    <w:rsid w:val="00D461C0"/>
    <w:rsid w:val="00D462AF"/>
    <w:rsid w:val="00D518A1"/>
    <w:rsid w:val="00D519E0"/>
    <w:rsid w:val="00D51E6A"/>
    <w:rsid w:val="00D52415"/>
    <w:rsid w:val="00D541C3"/>
    <w:rsid w:val="00D5524B"/>
    <w:rsid w:val="00D5593D"/>
    <w:rsid w:val="00D55DC7"/>
    <w:rsid w:val="00D56DA1"/>
    <w:rsid w:val="00D6239A"/>
    <w:rsid w:val="00D630FF"/>
    <w:rsid w:val="00D64001"/>
    <w:rsid w:val="00D65035"/>
    <w:rsid w:val="00D65285"/>
    <w:rsid w:val="00D658D2"/>
    <w:rsid w:val="00D65C85"/>
    <w:rsid w:val="00D65D53"/>
    <w:rsid w:val="00D65EBC"/>
    <w:rsid w:val="00D668F7"/>
    <w:rsid w:val="00D67120"/>
    <w:rsid w:val="00D671E5"/>
    <w:rsid w:val="00D67340"/>
    <w:rsid w:val="00D70A2B"/>
    <w:rsid w:val="00D728FD"/>
    <w:rsid w:val="00D740A2"/>
    <w:rsid w:val="00D7516D"/>
    <w:rsid w:val="00D75C58"/>
    <w:rsid w:val="00D76BA5"/>
    <w:rsid w:val="00D76F86"/>
    <w:rsid w:val="00D774D3"/>
    <w:rsid w:val="00D77756"/>
    <w:rsid w:val="00D82B56"/>
    <w:rsid w:val="00D83018"/>
    <w:rsid w:val="00D8370F"/>
    <w:rsid w:val="00D837C9"/>
    <w:rsid w:val="00D83A04"/>
    <w:rsid w:val="00D84CA3"/>
    <w:rsid w:val="00D84F63"/>
    <w:rsid w:val="00D85EC6"/>
    <w:rsid w:val="00D86D77"/>
    <w:rsid w:val="00D86F61"/>
    <w:rsid w:val="00D90127"/>
    <w:rsid w:val="00D9080E"/>
    <w:rsid w:val="00D913BE"/>
    <w:rsid w:val="00D92F67"/>
    <w:rsid w:val="00D931FA"/>
    <w:rsid w:val="00D93D6F"/>
    <w:rsid w:val="00D942C3"/>
    <w:rsid w:val="00D954FA"/>
    <w:rsid w:val="00D957BD"/>
    <w:rsid w:val="00D95B54"/>
    <w:rsid w:val="00D97350"/>
    <w:rsid w:val="00D97766"/>
    <w:rsid w:val="00DA0884"/>
    <w:rsid w:val="00DA1B33"/>
    <w:rsid w:val="00DA21C2"/>
    <w:rsid w:val="00DA2776"/>
    <w:rsid w:val="00DA34D8"/>
    <w:rsid w:val="00DA3655"/>
    <w:rsid w:val="00DA5A57"/>
    <w:rsid w:val="00DA5B43"/>
    <w:rsid w:val="00DA6247"/>
    <w:rsid w:val="00DA7AEA"/>
    <w:rsid w:val="00DA7CA7"/>
    <w:rsid w:val="00DA7D97"/>
    <w:rsid w:val="00DB1253"/>
    <w:rsid w:val="00DB254A"/>
    <w:rsid w:val="00DB2B78"/>
    <w:rsid w:val="00DB2D72"/>
    <w:rsid w:val="00DB3B85"/>
    <w:rsid w:val="00DB404D"/>
    <w:rsid w:val="00DB5413"/>
    <w:rsid w:val="00DB590F"/>
    <w:rsid w:val="00DB6BE0"/>
    <w:rsid w:val="00DB7F02"/>
    <w:rsid w:val="00DB7FE0"/>
    <w:rsid w:val="00DC0F3C"/>
    <w:rsid w:val="00DC1C49"/>
    <w:rsid w:val="00DC25B8"/>
    <w:rsid w:val="00DC25E9"/>
    <w:rsid w:val="00DC2632"/>
    <w:rsid w:val="00DC2E97"/>
    <w:rsid w:val="00DC4204"/>
    <w:rsid w:val="00DC4D05"/>
    <w:rsid w:val="00DC602B"/>
    <w:rsid w:val="00DC6937"/>
    <w:rsid w:val="00DC6E86"/>
    <w:rsid w:val="00DC77BE"/>
    <w:rsid w:val="00DC7C22"/>
    <w:rsid w:val="00DD038F"/>
    <w:rsid w:val="00DD0DFD"/>
    <w:rsid w:val="00DD1AE6"/>
    <w:rsid w:val="00DD3F6F"/>
    <w:rsid w:val="00DD5529"/>
    <w:rsid w:val="00DD5A74"/>
    <w:rsid w:val="00DD5BCE"/>
    <w:rsid w:val="00DD6A70"/>
    <w:rsid w:val="00DD7CF0"/>
    <w:rsid w:val="00DE03E6"/>
    <w:rsid w:val="00DE0867"/>
    <w:rsid w:val="00DE135B"/>
    <w:rsid w:val="00DE1736"/>
    <w:rsid w:val="00DE2B05"/>
    <w:rsid w:val="00DE3497"/>
    <w:rsid w:val="00DE35A3"/>
    <w:rsid w:val="00DE3819"/>
    <w:rsid w:val="00DE487E"/>
    <w:rsid w:val="00DE6952"/>
    <w:rsid w:val="00DE70D5"/>
    <w:rsid w:val="00DE72CA"/>
    <w:rsid w:val="00DF0C7B"/>
    <w:rsid w:val="00DF26EA"/>
    <w:rsid w:val="00DF2A12"/>
    <w:rsid w:val="00DF3D2D"/>
    <w:rsid w:val="00DF4605"/>
    <w:rsid w:val="00DF5CD4"/>
    <w:rsid w:val="00DF605A"/>
    <w:rsid w:val="00DF7626"/>
    <w:rsid w:val="00E01CE5"/>
    <w:rsid w:val="00E021E0"/>
    <w:rsid w:val="00E023CE"/>
    <w:rsid w:val="00E026E7"/>
    <w:rsid w:val="00E02CC6"/>
    <w:rsid w:val="00E030B1"/>
    <w:rsid w:val="00E031C8"/>
    <w:rsid w:val="00E03C9A"/>
    <w:rsid w:val="00E0484E"/>
    <w:rsid w:val="00E04E29"/>
    <w:rsid w:val="00E050BC"/>
    <w:rsid w:val="00E05520"/>
    <w:rsid w:val="00E0666B"/>
    <w:rsid w:val="00E0692F"/>
    <w:rsid w:val="00E0763C"/>
    <w:rsid w:val="00E109A8"/>
    <w:rsid w:val="00E11B76"/>
    <w:rsid w:val="00E11E9A"/>
    <w:rsid w:val="00E1454B"/>
    <w:rsid w:val="00E14552"/>
    <w:rsid w:val="00E146BB"/>
    <w:rsid w:val="00E15785"/>
    <w:rsid w:val="00E15AEB"/>
    <w:rsid w:val="00E1627D"/>
    <w:rsid w:val="00E16AF4"/>
    <w:rsid w:val="00E16BD5"/>
    <w:rsid w:val="00E17D63"/>
    <w:rsid w:val="00E20736"/>
    <w:rsid w:val="00E20FF3"/>
    <w:rsid w:val="00E240B2"/>
    <w:rsid w:val="00E25353"/>
    <w:rsid w:val="00E27697"/>
    <w:rsid w:val="00E27E17"/>
    <w:rsid w:val="00E30AF6"/>
    <w:rsid w:val="00E30DBE"/>
    <w:rsid w:val="00E32B3F"/>
    <w:rsid w:val="00E3543C"/>
    <w:rsid w:val="00E36736"/>
    <w:rsid w:val="00E36785"/>
    <w:rsid w:val="00E4046D"/>
    <w:rsid w:val="00E4201E"/>
    <w:rsid w:val="00E46F02"/>
    <w:rsid w:val="00E47A42"/>
    <w:rsid w:val="00E5278A"/>
    <w:rsid w:val="00E53AD1"/>
    <w:rsid w:val="00E54C61"/>
    <w:rsid w:val="00E54DFB"/>
    <w:rsid w:val="00E5567E"/>
    <w:rsid w:val="00E55E45"/>
    <w:rsid w:val="00E56D95"/>
    <w:rsid w:val="00E571F7"/>
    <w:rsid w:val="00E5768E"/>
    <w:rsid w:val="00E601B9"/>
    <w:rsid w:val="00E6082E"/>
    <w:rsid w:val="00E614EA"/>
    <w:rsid w:val="00E62F05"/>
    <w:rsid w:val="00E63A9E"/>
    <w:rsid w:val="00E64E9F"/>
    <w:rsid w:val="00E651DF"/>
    <w:rsid w:val="00E656F8"/>
    <w:rsid w:val="00E65ED7"/>
    <w:rsid w:val="00E7096C"/>
    <w:rsid w:val="00E717A7"/>
    <w:rsid w:val="00E74A24"/>
    <w:rsid w:val="00E75676"/>
    <w:rsid w:val="00E76E11"/>
    <w:rsid w:val="00E82889"/>
    <w:rsid w:val="00E82FFF"/>
    <w:rsid w:val="00E836CC"/>
    <w:rsid w:val="00E847C7"/>
    <w:rsid w:val="00E86AE7"/>
    <w:rsid w:val="00E86B1C"/>
    <w:rsid w:val="00E86F27"/>
    <w:rsid w:val="00E87749"/>
    <w:rsid w:val="00E878C7"/>
    <w:rsid w:val="00E8798B"/>
    <w:rsid w:val="00E87DBD"/>
    <w:rsid w:val="00E9208C"/>
    <w:rsid w:val="00E92B29"/>
    <w:rsid w:val="00E946F2"/>
    <w:rsid w:val="00E94BE2"/>
    <w:rsid w:val="00E95E4E"/>
    <w:rsid w:val="00E97895"/>
    <w:rsid w:val="00EA0ED3"/>
    <w:rsid w:val="00EA107C"/>
    <w:rsid w:val="00EA342D"/>
    <w:rsid w:val="00EA6F01"/>
    <w:rsid w:val="00EA7DB0"/>
    <w:rsid w:val="00EA7EEE"/>
    <w:rsid w:val="00EB00DF"/>
    <w:rsid w:val="00EB248E"/>
    <w:rsid w:val="00EB32C0"/>
    <w:rsid w:val="00EB3E6C"/>
    <w:rsid w:val="00EB409D"/>
    <w:rsid w:val="00EB4DDA"/>
    <w:rsid w:val="00EB6414"/>
    <w:rsid w:val="00EB68C6"/>
    <w:rsid w:val="00EB7877"/>
    <w:rsid w:val="00EC09EA"/>
    <w:rsid w:val="00EC0B64"/>
    <w:rsid w:val="00EC2DC2"/>
    <w:rsid w:val="00EC3258"/>
    <w:rsid w:val="00EC380C"/>
    <w:rsid w:val="00EC3B49"/>
    <w:rsid w:val="00EC3FA7"/>
    <w:rsid w:val="00EC5420"/>
    <w:rsid w:val="00EC56C8"/>
    <w:rsid w:val="00EC75FD"/>
    <w:rsid w:val="00ED07A7"/>
    <w:rsid w:val="00ED0B62"/>
    <w:rsid w:val="00ED1747"/>
    <w:rsid w:val="00ED19DA"/>
    <w:rsid w:val="00ED2403"/>
    <w:rsid w:val="00ED2BF6"/>
    <w:rsid w:val="00ED3066"/>
    <w:rsid w:val="00ED310E"/>
    <w:rsid w:val="00ED3785"/>
    <w:rsid w:val="00ED379B"/>
    <w:rsid w:val="00ED3E1C"/>
    <w:rsid w:val="00ED40AB"/>
    <w:rsid w:val="00ED4D2E"/>
    <w:rsid w:val="00ED5010"/>
    <w:rsid w:val="00ED544F"/>
    <w:rsid w:val="00ED7599"/>
    <w:rsid w:val="00EE0356"/>
    <w:rsid w:val="00EE0D99"/>
    <w:rsid w:val="00EE222B"/>
    <w:rsid w:val="00EE4B06"/>
    <w:rsid w:val="00EE4BED"/>
    <w:rsid w:val="00EE538B"/>
    <w:rsid w:val="00EE7D0D"/>
    <w:rsid w:val="00EE7FDA"/>
    <w:rsid w:val="00EF0147"/>
    <w:rsid w:val="00EF0906"/>
    <w:rsid w:val="00EF10E2"/>
    <w:rsid w:val="00EF3A7A"/>
    <w:rsid w:val="00EF3B6E"/>
    <w:rsid w:val="00EF40E8"/>
    <w:rsid w:val="00EF5941"/>
    <w:rsid w:val="00EF67E1"/>
    <w:rsid w:val="00F00636"/>
    <w:rsid w:val="00F00B43"/>
    <w:rsid w:val="00F00CFB"/>
    <w:rsid w:val="00F0382B"/>
    <w:rsid w:val="00F03FCF"/>
    <w:rsid w:val="00F056D5"/>
    <w:rsid w:val="00F05F15"/>
    <w:rsid w:val="00F07A38"/>
    <w:rsid w:val="00F122AE"/>
    <w:rsid w:val="00F14051"/>
    <w:rsid w:val="00F1469E"/>
    <w:rsid w:val="00F14809"/>
    <w:rsid w:val="00F157A2"/>
    <w:rsid w:val="00F16590"/>
    <w:rsid w:val="00F171AC"/>
    <w:rsid w:val="00F1774E"/>
    <w:rsid w:val="00F178A5"/>
    <w:rsid w:val="00F20051"/>
    <w:rsid w:val="00F210E8"/>
    <w:rsid w:val="00F2113A"/>
    <w:rsid w:val="00F2114D"/>
    <w:rsid w:val="00F2313C"/>
    <w:rsid w:val="00F24020"/>
    <w:rsid w:val="00F259B9"/>
    <w:rsid w:val="00F25C6E"/>
    <w:rsid w:val="00F26470"/>
    <w:rsid w:val="00F26ED6"/>
    <w:rsid w:val="00F27CDA"/>
    <w:rsid w:val="00F30561"/>
    <w:rsid w:val="00F30BA7"/>
    <w:rsid w:val="00F30D3D"/>
    <w:rsid w:val="00F31673"/>
    <w:rsid w:val="00F31A93"/>
    <w:rsid w:val="00F325B0"/>
    <w:rsid w:val="00F34693"/>
    <w:rsid w:val="00F346AF"/>
    <w:rsid w:val="00F34710"/>
    <w:rsid w:val="00F37614"/>
    <w:rsid w:val="00F42287"/>
    <w:rsid w:val="00F46305"/>
    <w:rsid w:val="00F4758B"/>
    <w:rsid w:val="00F516FA"/>
    <w:rsid w:val="00F5177A"/>
    <w:rsid w:val="00F5179D"/>
    <w:rsid w:val="00F52705"/>
    <w:rsid w:val="00F528FC"/>
    <w:rsid w:val="00F5314B"/>
    <w:rsid w:val="00F53833"/>
    <w:rsid w:val="00F54583"/>
    <w:rsid w:val="00F54F67"/>
    <w:rsid w:val="00F56CE2"/>
    <w:rsid w:val="00F57B13"/>
    <w:rsid w:val="00F57BB5"/>
    <w:rsid w:val="00F62189"/>
    <w:rsid w:val="00F634BE"/>
    <w:rsid w:val="00F63FBC"/>
    <w:rsid w:val="00F6548E"/>
    <w:rsid w:val="00F66FFC"/>
    <w:rsid w:val="00F6794F"/>
    <w:rsid w:val="00F7308A"/>
    <w:rsid w:val="00F73CD0"/>
    <w:rsid w:val="00F74750"/>
    <w:rsid w:val="00F747ED"/>
    <w:rsid w:val="00F74E91"/>
    <w:rsid w:val="00F765EA"/>
    <w:rsid w:val="00F76B00"/>
    <w:rsid w:val="00F804B6"/>
    <w:rsid w:val="00F80622"/>
    <w:rsid w:val="00F81207"/>
    <w:rsid w:val="00F815D3"/>
    <w:rsid w:val="00F82D6B"/>
    <w:rsid w:val="00F8384A"/>
    <w:rsid w:val="00F85944"/>
    <w:rsid w:val="00F86240"/>
    <w:rsid w:val="00F871CD"/>
    <w:rsid w:val="00F877F8"/>
    <w:rsid w:val="00F87DBC"/>
    <w:rsid w:val="00F9061A"/>
    <w:rsid w:val="00F90BCB"/>
    <w:rsid w:val="00F91FB1"/>
    <w:rsid w:val="00F9266A"/>
    <w:rsid w:val="00F93EDE"/>
    <w:rsid w:val="00F972AE"/>
    <w:rsid w:val="00F974CB"/>
    <w:rsid w:val="00F9788E"/>
    <w:rsid w:val="00F97AEB"/>
    <w:rsid w:val="00FA047A"/>
    <w:rsid w:val="00FA08BB"/>
    <w:rsid w:val="00FA0B81"/>
    <w:rsid w:val="00FA1352"/>
    <w:rsid w:val="00FA2247"/>
    <w:rsid w:val="00FA42BF"/>
    <w:rsid w:val="00FA4672"/>
    <w:rsid w:val="00FA49A0"/>
    <w:rsid w:val="00FA79A4"/>
    <w:rsid w:val="00FA7D58"/>
    <w:rsid w:val="00FA7F65"/>
    <w:rsid w:val="00FB042D"/>
    <w:rsid w:val="00FB1E9E"/>
    <w:rsid w:val="00FB2758"/>
    <w:rsid w:val="00FB2EA6"/>
    <w:rsid w:val="00FB38CD"/>
    <w:rsid w:val="00FB41B3"/>
    <w:rsid w:val="00FB46AC"/>
    <w:rsid w:val="00FB5DD6"/>
    <w:rsid w:val="00FB60C5"/>
    <w:rsid w:val="00FB60D0"/>
    <w:rsid w:val="00FB6AEA"/>
    <w:rsid w:val="00FC032E"/>
    <w:rsid w:val="00FC0EFF"/>
    <w:rsid w:val="00FC11ED"/>
    <w:rsid w:val="00FC1593"/>
    <w:rsid w:val="00FC1BE5"/>
    <w:rsid w:val="00FC295B"/>
    <w:rsid w:val="00FC3647"/>
    <w:rsid w:val="00FC4514"/>
    <w:rsid w:val="00FC4922"/>
    <w:rsid w:val="00FC4C4D"/>
    <w:rsid w:val="00FC55C6"/>
    <w:rsid w:val="00FC55F2"/>
    <w:rsid w:val="00FC6230"/>
    <w:rsid w:val="00FC6E27"/>
    <w:rsid w:val="00FC74D0"/>
    <w:rsid w:val="00FD03DD"/>
    <w:rsid w:val="00FD1788"/>
    <w:rsid w:val="00FD52C9"/>
    <w:rsid w:val="00FD5C35"/>
    <w:rsid w:val="00FD5D1E"/>
    <w:rsid w:val="00FD5D23"/>
    <w:rsid w:val="00FD6776"/>
    <w:rsid w:val="00FD6F49"/>
    <w:rsid w:val="00FE027E"/>
    <w:rsid w:val="00FE098C"/>
    <w:rsid w:val="00FE24F2"/>
    <w:rsid w:val="00FE3533"/>
    <w:rsid w:val="00FE366A"/>
    <w:rsid w:val="00FE3972"/>
    <w:rsid w:val="00FE45D3"/>
    <w:rsid w:val="00FF01CB"/>
    <w:rsid w:val="00FF0519"/>
    <w:rsid w:val="00FF2DA1"/>
    <w:rsid w:val="00FF311C"/>
    <w:rsid w:val="00FF3B86"/>
    <w:rsid w:val="00FF5436"/>
    <w:rsid w:val="00FF54BF"/>
    <w:rsid w:val="00FF5784"/>
    <w:rsid w:val="00FF7A32"/>
    <w:rsid w:val="00FF7CB4"/>
    <w:rsid w:val="011D255B"/>
    <w:rsid w:val="01634B7D"/>
    <w:rsid w:val="019515D9"/>
    <w:rsid w:val="01C14892"/>
    <w:rsid w:val="02180712"/>
    <w:rsid w:val="021A37E7"/>
    <w:rsid w:val="021D2D4D"/>
    <w:rsid w:val="02267819"/>
    <w:rsid w:val="022A7779"/>
    <w:rsid w:val="02741EED"/>
    <w:rsid w:val="02E00F65"/>
    <w:rsid w:val="031B29FC"/>
    <w:rsid w:val="03533764"/>
    <w:rsid w:val="0364645D"/>
    <w:rsid w:val="03B14A34"/>
    <w:rsid w:val="03C454AD"/>
    <w:rsid w:val="03F66B59"/>
    <w:rsid w:val="042C2A6C"/>
    <w:rsid w:val="0434104C"/>
    <w:rsid w:val="0457183D"/>
    <w:rsid w:val="04CA3CC3"/>
    <w:rsid w:val="04D966B1"/>
    <w:rsid w:val="05A507D6"/>
    <w:rsid w:val="05E16BB1"/>
    <w:rsid w:val="05EE4E2F"/>
    <w:rsid w:val="05FC4ABC"/>
    <w:rsid w:val="0606539E"/>
    <w:rsid w:val="063E2F60"/>
    <w:rsid w:val="06A41733"/>
    <w:rsid w:val="06AD6405"/>
    <w:rsid w:val="06C73388"/>
    <w:rsid w:val="07D322E1"/>
    <w:rsid w:val="07EB3526"/>
    <w:rsid w:val="08BF145B"/>
    <w:rsid w:val="093911C5"/>
    <w:rsid w:val="09462503"/>
    <w:rsid w:val="096F57F0"/>
    <w:rsid w:val="09A0108A"/>
    <w:rsid w:val="0AE64E55"/>
    <w:rsid w:val="0AEA1C9B"/>
    <w:rsid w:val="0B1F0B92"/>
    <w:rsid w:val="0B4A1E45"/>
    <w:rsid w:val="0B586CA2"/>
    <w:rsid w:val="0B680CA4"/>
    <w:rsid w:val="0B8E5065"/>
    <w:rsid w:val="0B93115A"/>
    <w:rsid w:val="0BA45CAE"/>
    <w:rsid w:val="0BB72EAD"/>
    <w:rsid w:val="0BF370EB"/>
    <w:rsid w:val="0C2A34E5"/>
    <w:rsid w:val="0C3F55F8"/>
    <w:rsid w:val="0C8C05C0"/>
    <w:rsid w:val="0CC83751"/>
    <w:rsid w:val="0CF671B0"/>
    <w:rsid w:val="0CFA3ACF"/>
    <w:rsid w:val="0D0F2176"/>
    <w:rsid w:val="0DDB4B0F"/>
    <w:rsid w:val="0E066A13"/>
    <w:rsid w:val="0ED44972"/>
    <w:rsid w:val="0EDF4710"/>
    <w:rsid w:val="0FCA086F"/>
    <w:rsid w:val="103651D4"/>
    <w:rsid w:val="1037325C"/>
    <w:rsid w:val="104D2390"/>
    <w:rsid w:val="10B0232F"/>
    <w:rsid w:val="11052B48"/>
    <w:rsid w:val="11183510"/>
    <w:rsid w:val="11435C9A"/>
    <w:rsid w:val="11591A47"/>
    <w:rsid w:val="119C7B06"/>
    <w:rsid w:val="11D103CE"/>
    <w:rsid w:val="11F829B8"/>
    <w:rsid w:val="124916AC"/>
    <w:rsid w:val="12947861"/>
    <w:rsid w:val="12984245"/>
    <w:rsid w:val="129C6C4D"/>
    <w:rsid w:val="1313460F"/>
    <w:rsid w:val="13422434"/>
    <w:rsid w:val="13E472B7"/>
    <w:rsid w:val="143614F9"/>
    <w:rsid w:val="1511194A"/>
    <w:rsid w:val="15454D1A"/>
    <w:rsid w:val="160F2326"/>
    <w:rsid w:val="1646481C"/>
    <w:rsid w:val="164B068B"/>
    <w:rsid w:val="16AC6B7A"/>
    <w:rsid w:val="17782BA9"/>
    <w:rsid w:val="17DD23E6"/>
    <w:rsid w:val="182253B2"/>
    <w:rsid w:val="184F3E2F"/>
    <w:rsid w:val="18C87135"/>
    <w:rsid w:val="18D4440B"/>
    <w:rsid w:val="190123A0"/>
    <w:rsid w:val="1938619B"/>
    <w:rsid w:val="19531685"/>
    <w:rsid w:val="19B72802"/>
    <w:rsid w:val="19D8323D"/>
    <w:rsid w:val="1A0701FF"/>
    <w:rsid w:val="1A963D40"/>
    <w:rsid w:val="1AF31838"/>
    <w:rsid w:val="1AF50D3F"/>
    <w:rsid w:val="1B307393"/>
    <w:rsid w:val="1B824DE1"/>
    <w:rsid w:val="1BC81639"/>
    <w:rsid w:val="1C9268B1"/>
    <w:rsid w:val="1CA93C24"/>
    <w:rsid w:val="1CF4599D"/>
    <w:rsid w:val="1CFE195E"/>
    <w:rsid w:val="1D43261D"/>
    <w:rsid w:val="1D7C3BFA"/>
    <w:rsid w:val="1E1F607E"/>
    <w:rsid w:val="1E5A5F7C"/>
    <w:rsid w:val="1F7A6A4C"/>
    <w:rsid w:val="1F896DF1"/>
    <w:rsid w:val="1FAC16EE"/>
    <w:rsid w:val="1FC025CE"/>
    <w:rsid w:val="20046699"/>
    <w:rsid w:val="20156ECE"/>
    <w:rsid w:val="212007AF"/>
    <w:rsid w:val="213C71AE"/>
    <w:rsid w:val="214B1290"/>
    <w:rsid w:val="2150751B"/>
    <w:rsid w:val="21B46154"/>
    <w:rsid w:val="21E749F8"/>
    <w:rsid w:val="21F132FB"/>
    <w:rsid w:val="224B118A"/>
    <w:rsid w:val="22781119"/>
    <w:rsid w:val="231638FD"/>
    <w:rsid w:val="23230150"/>
    <w:rsid w:val="234F1EB8"/>
    <w:rsid w:val="23503360"/>
    <w:rsid w:val="23A23670"/>
    <w:rsid w:val="241018A5"/>
    <w:rsid w:val="242C4E86"/>
    <w:rsid w:val="242F703D"/>
    <w:rsid w:val="243E19A8"/>
    <w:rsid w:val="24CB06D0"/>
    <w:rsid w:val="24E60A6B"/>
    <w:rsid w:val="24F33C33"/>
    <w:rsid w:val="24F85A43"/>
    <w:rsid w:val="24FF7E85"/>
    <w:rsid w:val="25355616"/>
    <w:rsid w:val="256F7A52"/>
    <w:rsid w:val="25902D22"/>
    <w:rsid w:val="25A50357"/>
    <w:rsid w:val="25B0755F"/>
    <w:rsid w:val="25C12D1C"/>
    <w:rsid w:val="25EA1888"/>
    <w:rsid w:val="25FE4E9D"/>
    <w:rsid w:val="261F4867"/>
    <w:rsid w:val="26600486"/>
    <w:rsid w:val="26DD0E3B"/>
    <w:rsid w:val="26E40BBF"/>
    <w:rsid w:val="27776C95"/>
    <w:rsid w:val="27C44105"/>
    <w:rsid w:val="27E57AC7"/>
    <w:rsid w:val="2848066F"/>
    <w:rsid w:val="28546790"/>
    <w:rsid w:val="285C7CA9"/>
    <w:rsid w:val="28A90A31"/>
    <w:rsid w:val="28D26E48"/>
    <w:rsid w:val="28FF2581"/>
    <w:rsid w:val="29B1519C"/>
    <w:rsid w:val="2AA6634A"/>
    <w:rsid w:val="2B067A14"/>
    <w:rsid w:val="2B7A53F6"/>
    <w:rsid w:val="2B836E7E"/>
    <w:rsid w:val="2B854FC1"/>
    <w:rsid w:val="2B860C86"/>
    <w:rsid w:val="2B986C0A"/>
    <w:rsid w:val="2BDF4419"/>
    <w:rsid w:val="2C332836"/>
    <w:rsid w:val="2C7F5D13"/>
    <w:rsid w:val="2C8C17A5"/>
    <w:rsid w:val="2CF2166E"/>
    <w:rsid w:val="2D5B59B5"/>
    <w:rsid w:val="2D973517"/>
    <w:rsid w:val="2E247CD0"/>
    <w:rsid w:val="2E7179F7"/>
    <w:rsid w:val="2EF90CF6"/>
    <w:rsid w:val="2F93681A"/>
    <w:rsid w:val="2F9B25DB"/>
    <w:rsid w:val="2FC65CDF"/>
    <w:rsid w:val="2FEB00DC"/>
    <w:rsid w:val="309E3871"/>
    <w:rsid w:val="30B91F5C"/>
    <w:rsid w:val="30C407EC"/>
    <w:rsid w:val="3103671E"/>
    <w:rsid w:val="31147D2B"/>
    <w:rsid w:val="318D434B"/>
    <w:rsid w:val="31A10EE6"/>
    <w:rsid w:val="31D444A7"/>
    <w:rsid w:val="321117BB"/>
    <w:rsid w:val="328E1E4A"/>
    <w:rsid w:val="333C6712"/>
    <w:rsid w:val="336D598E"/>
    <w:rsid w:val="339360E8"/>
    <w:rsid w:val="33E52541"/>
    <w:rsid w:val="3403583F"/>
    <w:rsid w:val="340418D4"/>
    <w:rsid w:val="34495571"/>
    <w:rsid w:val="34A75779"/>
    <w:rsid w:val="34D33B6D"/>
    <w:rsid w:val="35200D44"/>
    <w:rsid w:val="35481746"/>
    <w:rsid w:val="356719E1"/>
    <w:rsid w:val="356C141F"/>
    <w:rsid w:val="35BD7FD7"/>
    <w:rsid w:val="35FF1B49"/>
    <w:rsid w:val="36C73EED"/>
    <w:rsid w:val="36DD2E48"/>
    <w:rsid w:val="36EB1AA3"/>
    <w:rsid w:val="377D64B6"/>
    <w:rsid w:val="378211B0"/>
    <w:rsid w:val="37F42B1B"/>
    <w:rsid w:val="38092A5C"/>
    <w:rsid w:val="3848590E"/>
    <w:rsid w:val="384D42B3"/>
    <w:rsid w:val="38905441"/>
    <w:rsid w:val="38A3648C"/>
    <w:rsid w:val="38C312F5"/>
    <w:rsid w:val="390330FE"/>
    <w:rsid w:val="3ABE112C"/>
    <w:rsid w:val="3B812C05"/>
    <w:rsid w:val="3BEC120E"/>
    <w:rsid w:val="3C086CF1"/>
    <w:rsid w:val="3C922B25"/>
    <w:rsid w:val="3CE15508"/>
    <w:rsid w:val="3CE55645"/>
    <w:rsid w:val="3CE62418"/>
    <w:rsid w:val="3D140D1D"/>
    <w:rsid w:val="3D462F4D"/>
    <w:rsid w:val="3DA30C3E"/>
    <w:rsid w:val="3DD92A66"/>
    <w:rsid w:val="3E2F00D3"/>
    <w:rsid w:val="3E9B24F2"/>
    <w:rsid w:val="3EC45432"/>
    <w:rsid w:val="3ED13BE7"/>
    <w:rsid w:val="3EE80042"/>
    <w:rsid w:val="3F13466D"/>
    <w:rsid w:val="3F673A9D"/>
    <w:rsid w:val="3F6B0D22"/>
    <w:rsid w:val="3F74081D"/>
    <w:rsid w:val="3F7D3D0D"/>
    <w:rsid w:val="3F8C2AF5"/>
    <w:rsid w:val="3F9D78C8"/>
    <w:rsid w:val="3FE86552"/>
    <w:rsid w:val="40272288"/>
    <w:rsid w:val="407265BB"/>
    <w:rsid w:val="40910950"/>
    <w:rsid w:val="412A470D"/>
    <w:rsid w:val="41522BDA"/>
    <w:rsid w:val="415F0359"/>
    <w:rsid w:val="418103AC"/>
    <w:rsid w:val="420648FE"/>
    <w:rsid w:val="421642E6"/>
    <w:rsid w:val="42295AD7"/>
    <w:rsid w:val="423A3FF4"/>
    <w:rsid w:val="42401A02"/>
    <w:rsid w:val="42624206"/>
    <w:rsid w:val="428A22F5"/>
    <w:rsid w:val="42996CCA"/>
    <w:rsid w:val="42EB6F59"/>
    <w:rsid w:val="43460015"/>
    <w:rsid w:val="436F30E9"/>
    <w:rsid w:val="43853A79"/>
    <w:rsid w:val="43B35634"/>
    <w:rsid w:val="43B41D7F"/>
    <w:rsid w:val="43BD3184"/>
    <w:rsid w:val="445832F8"/>
    <w:rsid w:val="44780945"/>
    <w:rsid w:val="4497292B"/>
    <w:rsid w:val="45130E36"/>
    <w:rsid w:val="451512D0"/>
    <w:rsid w:val="45960242"/>
    <w:rsid w:val="45A93C1B"/>
    <w:rsid w:val="45F65FB1"/>
    <w:rsid w:val="45FC6EF7"/>
    <w:rsid w:val="4683228A"/>
    <w:rsid w:val="46E24602"/>
    <w:rsid w:val="46E36649"/>
    <w:rsid w:val="472E5D7E"/>
    <w:rsid w:val="47CB320B"/>
    <w:rsid w:val="48EC7635"/>
    <w:rsid w:val="48F562B8"/>
    <w:rsid w:val="4902146E"/>
    <w:rsid w:val="492F16FB"/>
    <w:rsid w:val="4997730B"/>
    <w:rsid w:val="49EA093A"/>
    <w:rsid w:val="4A0309E9"/>
    <w:rsid w:val="4AB65225"/>
    <w:rsid w:val="4B1A273B"/>
    <w:rsid w:val="4B694CA0"/>
    <w:rsid w:val="4BBE190B"/>
    <w:rsid w:val="4BCB73A3"/>
    <w:rsid w:val="4C145977"/>
    <w:rsid w:val="4C4850C0"/>
    <w:rsid w:val="4C5B45EF"/>
    <w:rsid w:val="4C8B0F06"/>
    <w:rsid w:val="4CDA519E"/>
    <w:rsid w:val="4D0962D1"/>
    <w:rsid w:val="4D736C18"/>
    <w:rsid w:val="4D8B69CA"/>
    <w:rsid w:val="4DFC422E"/>
    <w:rsid w:val="4DFC470C"/>
    <w:rsid w:val="4E4D32C3"/>
    <w:rsid w:val="4EA64E23"/>
    <w:rsid w:val="4EDB613D"/>
    <w:rsid w:val="4EEA145A"/>
    <w:rsid w:val="4FDD03C6"/>
    <w:rsid w:val="4FF5456E"/>
    <w:rsid w:val="501D69B7"/>
    <w:rsid w:val="507711D2"/>
    <w:rsid w:val="50C0413C"/>
    <w:rsid w:val="51141A59"/>
    <w:rsid w:val="511C41C7"/>
    <w:rsid w:val="517A1339"/>
    <w:rsid w:val="51BD6620"/>
    <w:rsid w:val="51C01B20"/>
    <w:rsid w:val="51E81BA9"/>
    <w:rsid w:val="52A86B9E"/>
    <w:rsid w:val="52AB7013"/>
    <w:rsid w:val="53286072"/>
    <w:rsid w:val="53480544"/>
    <w:rsid w:val="534D7C44"/>
    <w:rsid w:val="534F63CC"/>
    <w:rsid w:val="535D7C76"/>
    <w:rsid w:val="53CC704A"/>
    <w:rsid w:val="53E438C4"/>
    <w:rsid w:val="54024768"/>
    <w:rsid w:val="54250CC9"/>
    <w:rsid w:val="54B20AB6"/>
    <w:rsid w:val="551538B3"/>
    <w:rsid w:val="55436592"/>
    <w:rsid w:val="568204A1"/>
    <w:rsid w:val="57084CD3"/>
    <w:rsid w:val="571669B6"/>
    <w:rsid w:val="571F2831"/>
    <w:rsid w:val="572A747F"/>
    <w:rsid w:val="57816AD4"/>
    <w:rsid w:val="57C668F7"/>
    <w:rsid w:val="57E52AA4"/>
    <w:rsid w:val="581568FC"/>
    <w:rsid w:val="583C41F0"/>
    <w:rsid w:val="58B3577A"/>
    <w:rsid w:val="58F85CFA"/>
    <w:rsid w:val="58FF6D20"/>
    <w:rsid w:val="5940461A"/>
    <w:rsid w:val="59665634"/>
    <w:rsid w:val="59834BBE"/>
    <w:rsid w:val="59A23D4C"/>
    <w:rsid w:val="59AA0F4C"/>
    <w:rsid w:val="59BB1590"/>
    <w:rsid w:val="59C13F27"/>
    <w:rsid w:val="59E322AB"/>
    <w:rsid w:val="5A760F95"/>
    <w:rsid w:val="5A782834"/>
    <w:rsid w:val="5ABA4ED8"/>
    <w:rsid w:val="5AD21EF9"/>
    <w:rsid w:val="5AFF7CE2"/>
    <w:rsid w:val="5B4C7B26"/>
    <w:rsid w:val="5B5C56B9"/>
    <w:rsid w:val="5BF365A6"/>
    <w:rsid w:val="5C143756"/>
    <w:rsid w:val="5C245CEA"/>
    <w:rsid w:val="5C495A4A"/>
    <w:rsid w:val="5C882FA1"/>
    <w:rsid w:val="5CAC26C4"/>
    <w:rsid w:val="5CB6690D"/>
    <w:rsid w:val="5CFC5E2A"/>
    <w:rsid w:val="5D0025E9"/>
    <w:rsid w:val="5D2A5BBF"/>
    <w:rsid w:val="5D400DF7"/>
    <w:rsid w:val="5D62275B"/>
    <w:rsid w:val="5D677260"/>
    <w:rsid w:val="5D8D4CDA"/>
    <w:rsid w:val="5DA01AEC"/>
    <w:rsid w:val="5DA930D0"/>
    <w:rsid w:val="5DCA6DC9"/>
    <w:rsid w:val="5DE40E77"/>
    <w:rsid w:val="5E7250EB"/>
    <w:rsid w:val="5E9A6848"/>
    <w:rsid w:val="5F0B42E5"/>
    <w:rsid w:val="5F324471"/>
    <w:rsid w:val="5F463C8A"/>
    <w:rsid w:val="609F0D8B"/>
    <w:rsid w:val="60C44CBA"/>
    <w:rsid w:val="60CB197A"/>
    <w:rsid w:val="612C5D1A"/>
    <w:rsid w:val="61C74F50"/>
    <w:rsid w:val="620401E0"/>
    <w:rsid w:val="623E11DC"/>
    <w:rsid w:val="628E4453"/>
    <w:rsid w:val="62FD07B3"/>
    <w:rsid w:val="634706A6"/>
    <w:rsid w:val="636F3ED5"/>
    <w:rsid w:val="63A24B1F"/>
    <w:rsid w:val="640C6097"/>
    <w:rsid w:val="644C2C30"/>
    <w:rsid w:val="647A5E6B"/>
    <w:rsid w:val="6497363C"/>
    <w:rsid w:val="64B37F50"/>
    <w:rsid w:val="64DA6E5C"/>
    <w:rsid w:val="652B1A05"/>
    <w:rsid w:val="659569E0"/>
    <w:rsid w:val="65FA09F2"/>
    <w:rsid w:val="669B7CEC"/>
    <w:rsid w:val="66DB341B"/>
    <w:rsid w:val="67A736D8"/>
    <w:rsid w:val="68251092"/>
    <w:rsid w:val="68416F53"/>
    <w:rsid w:val="68463BC3"/>
    <w:rsid w:val="68496AF9"/>
    <w:rsid w:val="686006AA"/>
    <w:rsid w:val="6898377D"/>
    <w:rsid w:val="68A62F77"/>
    <w:rsid w:val="68D4528C"/>
    <w:rsid w:val="694B587F"/>
    <w:rsid w:val="69D6244C"/>
    <w:rsid w:val="69F3416E"/>
    <w:rsid w:val="6A821BA7"/>
    <w:rsid w:val="6ACD6A84"/>
    <w:rsid w:val="6B200801"/>
    <w:rsid w:val="6B404320"/>
    <w:rsid w:val="6BBE5626"/>
    <w:rsid w:val="6C954BDF"/>
    <w:rsid w:val="6CCB772E"/>
    <w:rsid w:val="6D0B63AB"/>
    <w:rsid w:val="6D910E6F"/>
    <w:rsid w:val="6D957356"/>
    <w:rsid w:val="6E0072D9"/>
    <w:rsid w:val="6E610436"/>
    <w:rsid w:val="6EC1129C"/>
    <w:rsid w:val="6EE34226"/>
    <w:rsid w:val="6EFF74A5"/>
    <w:rsid w:val="6FA4015B"/>
    <w:rsid w:val="70424983"/>
    <w:rsid w:val="7042768D"/>
    <w:rsid w:val="7093152E"/>
    <w:rsid w:val="70B561EE"/>
    <w:rsid w:val="70D0031E"/>
    <w:rsid w:val="71013CB7"/>
    <w:rsid w:val="710258DA"/>
    <w:rsid w:val="710F1EEB"/>
    <w:rsid w:val="713C584E"/>
    <w:rsid w:val="721E3978"/>
    <w:rsid w:val="72282F61"/>
    <w:rsid w:val="72357031"/>
    <w:rsid w:val="72847EE4"/>
    <w:rsid w:val="729277FC"/>
    <w:rsid w:val="72C716C2"/>
    <w:rsid w:val="72C82425"/>
    <w:rsid w:val="72D0269B"/>
    <w:rsid w:val="72E17595"/>
    <w:rsid w:val="73850D37"/>
    <w:rsid w:val="73B12B65"/>
    <w:rsid w:val="73CD1A74"/>
    <w:rsid w:val="740515A2"/>
    <w:rsid w:val="749E3BBB"/>
    <w:rsid w:val="74B116C0"/>
    <w:rsid w:val="75402997"/>
    <w:rsid w:val="755A0DFC"/>
    <w:rsid w:val="755C45A5"/>
    <w:rsid w:val="75984C90"/>
    <w:rsid w:val="761A2BB9"/>
    <w:rsid w:val="76E3771A"/>
    <w:rsid w:val="772522CB"/>
    <w:rsid w:val="77B20905"/>
    <w:rsid w:val="77D17BD8"/>
    <w:rsid w:val="781D1DF9"/>
    <w:rsid w:val="781F0729"/>
    <w:rsid w:val="79001132"/>
    <w:rsid w:val="79750BFB"/>
    <w:rsid w:val="79A66075"/>
    <w:rsid w:val="79AA1597"/>
    <w:rsid w:val="79D45E6E"/>
    <w:rsid w:val="7A6E2009"/>
    <w:rsid w:val="7AD254CB"/>
    <w:rsid w:val="7AF749C9"/>
    <w:rsid w:val="7B0F3498"/>
    <w:rsid w:val="7B2570F1"/>
    <w:rsid w:val="7B944239"/>
    <w:rsid w:val="7C5F50A6"/>
    <w:rsid w:val="7C6949F2"/>
    <w:rsid w:val="7C7245EE"/>
    <w:rsid w:val="7C840326"/>
    <w:rsid w:val="7D890BCC"/>
    <w:rsid w:val="7DA7082A"/>
    <w:rsid w:val="7DAD7BE2"/>
    <w:rsid w:val="7DC66B5F"/>
    <w:rsid w:val="7DD27D82"/>
    <w:rsid w:val="7E662EE2"/>
    <w:rsid w:val="7E790ECF"/>
    <w:rsid w:val="7E884F41"/>
    <w:rsid w:val="7E9A2C8A"/>
    <w:rsid w:val="7F096A1B"/>
    <w:rsid w:val="7F4A6F30"/>
    <w:rsid w:val="7FFB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qFormat/>
    <w:uiPriority w:val="99"/>
    <w:pPr>
      <w:keepNext/>
      <w:spacing w:line="340" w:lineRule="exact"/>
      <w:outlineLvl w:val="0"/>
    </w:pPr>
    <w:rPr>
      <w:b/>
      <w:sz w:val="24"/>
      <w:szCs w:val="20"/>
    </w:rPr>
  </w:style>
  <w:style w:type="paragraph" w:styleId="4">
    <w:name w:val="heading 2"/>
    <w:basedOn w:val="1"/>
    <w:next w:val="1"/>
    <w:link w:val="116"/>
    <w:qFormat/>
    <w:uiPriority w:val="9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14"/>
    <w:qFormat/>
    <w:uiPriority w:val="99"/>
    <w:pPr>
      <w:keepNext/>
      <w:keepLines/>
      <w:spacing w:before="260" w:after="260" w:line="416" w:lineRule="auto"/>
      <w:outlineLvl w:val="2"/>
    </w:pPr>
    <w:rPr>
      <w:b/>
      <w:sz w:val="32"/>
      <w:szCs w:val="20"/>
    </w:rPr>
  </w:style>
  <w:style w:type="paragraph" w:styleId="6">
    <w:name w:val="heading 4"/>
    <w:basedOn w:val="1"/>
    <w:next w:val="1"/>
    <w:link w:val="72"/>
    <w:qFormat/>
    <w:uiPriority w:val="99"/>
    <w:pPr>
      <w:keepNext/>
      <w:keepLines/>
      <w:numPr>
        <w:ilvl w:val="3"/>
        <w:numId w:val="1"/>
      </w:numPr>
      <w:spacing w:before="280" w:after="290" w:line="376" w:lineRule="auto"/>
      <w:outlineLvl w:val="3"/>
    </w:pPr>
    <w:rPr>
      <w:rFonts w:ascii="宋体" w:hAnsi="Arial" w:eastAsia="黑体"/>
      <w:b/>
      <w:sz w:val="24"/>
      <w:szCs w:val="20"/>
    </w:rPr>
  </w:style>
  <w:style w:type="paragraph" w:styleId="7">
    <w:name w:val="heading 5"/>
    <w:basedOn w:val="1"/>
    <w:next w:val="1"/>
    <w:link w:val="102"/>
    <w:qFormat/>
    <w:uiPriority w:val="99"/>
    <w:pPr>
      <w:keepNext/>
      <w:keepLines/>
      <w:numPr>
        <w:ilvl w:val="4"/>
        <w:numId w:val="1"/>
      </w:numPr>
      <w:spacing w:before="280" w:after="290" w:line="376" w:lineRule="auto"/>
      <w:outlineLvl w:val="4"/>
    </w:pPr>
    <w:rPr>
      <w:b/>
      <w:sz w:val="28"/>
      <w:szCs w:val="20"/>
    </w:rPr>
  </w:style>
  <w:style w:type="paragraph" w:styleId="8">
    <w:name w:val="heading 6"/>
    <w:basedOn w:val="1"/>
    <w:next w:val="9"/>
    <w:link w:val="86"/>
    <w:qFormat/>
    <w:uiPriority w:val="99"/>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9"/>
    <w:link w:val="100"/>
    <w:qFormat/>
    <w:uiPriority w:val="99"/>
    <w:pPr>
      <w:keepNext/>
      <w:keepLines/>
      <w:numPr>
        <w:ilvl w:val="6"/>
        <w:numId w:val="1"/>
      </w:numPr>
      <w:spacing w:before="240" w:after="64" w:line="320" w:lineRule="auto"/>
      <w:outlineLvl w:val="6"/>
    </w:pPr>
    <w:rPr>
      <w:b/>
      <w:sz w:val="24"/>
      <w:szCs w:val="20"/>
    </w:rPr>
  </w:style>
  <w:style w:type="paragraph" w:styleId="11">
    <w:name w:val="heading 8"/>
    <w:basedOn w:val="1"/>
    <w:next w:val="9"/>
    <w:link w:val="88"/>
    <w:qFormat/>
    <w:uiPriority w:val="99"/>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9"/>
    <w:link w:val="110"/>
    <w:qFormat/>
    <w:uiPriority w:val="99"/>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9">
    <w:name w:val="Normal Indent"/>
    <w:basedOn w:val="1"/>
    <w:link w:val="106"/>
    <w:qFormat/>
    <w:uiPriority w:val="99"/>
    <w:pPr>
      <w:ind w:firstLine="420"/>
    </w:pPr>
    <w:rPr>
      <w:szCs w:val="20"/>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65"/>
    <w:semiHidden/>
    <w:qFormat/>
    <w:uiPriority w:val="99"/>
    <w:pPr>
      <w:shd w:val="clear" w:color="auto" w:fill="000080"/>
    </w:pPr>
    <w:rPr>
      <w:sz w:val="24"/>
      <w:szCs w:val="20"/>
    </w:rPr>
  </w:style>
  <w:style w:type="paragraph" w:styleId="15">
    <w:name w:val="annotation text"/>
    <w:basedOn w:val="1"/>
    <w:link w:val="115"/>
    <w:semiHidden/>
    <w:qFormat/>
    <w:uiPriority w:val="99"/>
    <w:pPr>
      <w:jc w:val="left"/>
    </w:pPr>
    <w:rPr>
      <w:sz w:val="24"/>
      <w:szCs w:val="20"/>
    </w:rPr>
  </w:style>
  <w:style w:type="paragraph" w:styleId="16">
    <w:name w:val="Body Text 3"/>
    <w:basedOn w:val="1"/>
    <w:link w:val="74"/>
    <w:qFormat/>
    <w:uiPriority w:val="99"/>
    <w:pPr>
      <w:spacing w:line="500" w:lineRule="exact"/>
    </w:pPr>
    <w:rPr>
      <w:b/>
      <w:kern w:val="0"/>
      <w:sz w:val="24"/>
      <w:szCs w:val="20"/>
    </w:rPr>
  </w:style>
  <w:style w:type="paragraph" w:styleId="17">
    <w:name w:val="Body Text"/>
    <w:basedOn w:val="1"/>
    <w:next w:val="1"/>
    <w:link w:val="54"/>
    <w:qFormat/>
    <w:uiPriority w:val="99"/>
    <w:pPr>
      <w:autoSpaceDE w:val="0"/>
      <w:autoSpaceDN w:val="0"/>
      <w:adjustRightInd w:val="0"/>
      <w:spacing w:after="120"/>
      <w:jc w:val="left"/>
    </w:pPr>
    <w:rPr>
      <w:rFonts w:ascii="宋体"/>
      <w:kern w:val="0"/>
      <w:sz w:val="34"/>
      <w:szCs w:val="20"/>
    </w:rPr>
  </w:style>
  <w:style w:type="paragraph" w:styleId="18">
    <w:name w:val="Body Text Indent"/>
    <w:basedOn w:val="1"/>
    <w:link w:val="98"/>
    <w:qFormat/>
    <w:uiPriority w:val="99"/>
    <w:pPr>
      <w:spacing w:line="200" w:lineRule="exact"/>
      <w:ind w:firstLine="301"/>
    </w:pPr>
    <w:rPr>
      <w:rFonts w:ascii="宋体" w:hAnsi="Courier New"/>
      <w:spacing w:val="-4"/>
      <w:sz w:val="18"/>
      <w:szCs w:val="20"/>
    </w:rPr>
  </w:style>
  <w:style w:type="paragraph" w:styleId="19">
    <w:name w:val="Plain Text"/>
    <w:basedOn w:val="1"/>
    <w:next w:val="20"/>
    <w:link w:val="105"/>
    <w:qFormat/>
    <w:uiPriority w:val="99"/>
    <w:rPr>
      <w:rFonts w:ascii="宋体" w:hAnsi="Courier New"/>
      <w:szCs w:val="20"/>
    </w:rPr>
  </w:style>
  <w:style w:type="paragraph" w:styleId="20">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1">
    <w:name w:val="Date"/>
    <w:basedOn w:val="1"/>
    <w:next w:val="1"/>
    <w:link w:val="111"/>
    <w:qFormat/>
    <w:uiPriority w:val="99"/>
    <w:pPr>
      <w:ind w:left="100" w:leftChars="2500"/>
    </w:pPr>
    <w:rPr>
      <w:spacing w:val="30"/>
      <w:sz w:val="24"/>
      <w:szCs w:val="20"/>
    </w:rPr>
  </w:style>
  <w:style w:type="paragraph" w:styleId="22">
    <w:name w:val="Body Text Indent 2"/>
    <w:basedOn w:val="1"/>
    <w:link w:val="50"/>
    <w:qFormat/>
    <w:uiPriority w:val="99"/>
    <w:pPr>
      <w:spacing w:line="400" w:lineRule="exact"/>
      <w:ind w:firstLine="480"/>
    </w:pPr>
    <w:rPr>
      <w:sz w:val="24"/>
      <w:szCs w:val="20"/>
    </w:rPr>
  </w:style>
  <w:style w:type="paragraph" w:styleId="23">
    <w:name w:val="Balloon Text"/>
    <w:basedOn w:val="1"/>
    <w:link w:val="73"/>
    <w:semiHidden/>
    <w:qFormat/>
    <w:uiPriority w:val="99"/>
    <w:rPr>
      <w:sz w:val="18"/>
      <w:szCs w:val="20"/>
    </w:rPr>
  </w:style>
  <w:style w:type="paragraph" w:styleId="24">
    <w:name w:val="footer"/>
    <w:basedOn w:val="1"/>
    <w:link w:val="68"/>
    <w:qFormat/>
    <w:uiPriority w:val="99"/>
    <w:pPr>
      <w:tabs>
        <w:tab w:val="center" w:pos="4153"/>
        <w:tab w:val="right" w:pos="8306"/>
      </w:tabs>
      <w:snapToGrid w:val="0"/>
      <w:jc w:val="left"/>
    </w:pPr>
    <w:rPr>
      <w:rFonts w:ascii="宋体" w:hAnsi="Courier New"/>
      <w:sz w:val="18"/>
      <w:szCs w:val="20"/>
    </w:rPr>
  </w:style>
  <w:style w:type="paragraph" w:styleId="25">
    <w:name w:val="header"/>
    <w:basedOn w:val="1"/>
    <w:link w:val="90"/>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6">
    <w:name w:val="Body Text Indent 3"/>
    <w:basedOn w:val="1"/>
    <w:link w:val="123"/>
    <w:qFormat/>
    <w:uiPriority w:val="99"/>
    <w:pPr>
      <w:spacing w:line="360" w:lineRule="auto"/>
      <w:ind w:firstLine="359" w:firstLineChars="171"/>
    </w:pPr>
    <w:rPr>
      <w:sz w:val="24"/>
      <w:szCs w:val="20"/>
    </w:rPr>
  </w:style>
  <w:style w:type="paragraph" w:styleId="27">
    <w:name w:val="Body Text 2"/>
    <w:basedOn w:val="1"/>
    <w:link w:val="66"/>
    <w:qFormat/>
    <w:uiPriority w:val="99"/>
    <w:pPr>
      <w:spacing w:after="120" w:line="480" w:lineRule="auto"/>
    </w:pPr>
    <w:rPr>
      <w:kern w:val="0"/>
      <w:sz w:val="24"/>
      <w:szCs w:val="20"/>
    </w:rPr>
  </w:style>
  <w:style w:type="paragraph" w:styleId="28">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index 1"/>
    <w:basedOn w:val="1"/>
    <w:next w:val="1"/>
    <w:semiHidden/>
    <w:qFormat/>
    <w:uiPriority w:val="99"/>
    <w:pPr>
      <w:spacing w:line="360" w:lineRule="exact"/>
      <w:ind w:firstLine="432" w:firstLineChars="240"/>
    </w:pPr>
    <w:rPr>
      <w:rFonts w:ascii="宋体" w:hAnsi="宋体"/>
      <w:bCs/>
      <w:sz w:val="18"/>
      <w:szCs w:val="18"/>
    </w:rPr>
  </w:style>
  <w:style w:type="paragraph" w:styleId="31">
    <w:name w:val="Title"/>
    <w:basedOn w:val="1"/>
    <w:link w:val="118"/>
    <w:qFormat/>
    <w:uiPriority w:val="99"/>
    <w:pPr>
      <w:spacing w:before="240" w:after="60"/>
      <w:jc w:val="center"/>
      <w:outlineLvl w:val="0"/>
    </w:pPr>
    <w:rPr>
      <w:rFonts w:ascii="Arial" w:hAnsi="Arial"/>
      <w:b/>
      <w:sz w:val="32"/>
      <w:szCs w:val="20"/>
    </w:rPr>
  </w:style>
  <w:style w:type="paragraph" w:styleId="32">
    <w:name w:val="annotation subject"/>
    <w:basedOn w:val="15"/>
    <w:next w:val="15"/>
    <w:link w:val="71"/>
    <w:qFormat/>
    <w:uiPriority w:val="99"/>
    <w:rPr>
      <w:rFonts w:ascii="Calibri" w:hAnsi="Calibri"/>
      <w:b/>
    </w:rPr>
  </w:style>
  <w:style w:type="paragraph" w:styleId="33">
    <w:name w:val="Body Text First Indent"/>
    <w:basedOn w:val="17"/>
    <w:qFormat/>
    <w:uiPriority w:val="99"/>
    <w:pPr>
      <w:ind w:firstLine="420" w:firstLineChars="100"/>
    </w:pPr>
  </w:style>
  <w:style w:type="paragraph" w:styleId="34">
    <w:name w:val="Body Text First Indent 2"/>
    <w:basedOn w:val="18"/>
    <w:link w:val="51"/>
    <w:qFormat/>
    <w:uiPriority w:val="99"/>
    <w:pPr>
      <w:spacing w:after="120" w:line="240" w:lineRule="auto"/>
      <w:ind w:left="420" w:leftChars="200" w:firstLine="420" w:firstLineChars="200"/>
    </w:pPr>
    <w:rPr>
      <w:sz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rFonts w:cs="Times New Roman"/>
      <w:b/>
    </w:rPr>
  </w:style>
  <w:style w:type="character" w:styleId="39">
    <w:name w:val="page number"/>
    <w:basedOn w:val="37"/>
    <w:qFormat/>
    <w:uiPriority w:val="99"/>
    <w:rPr>
      <w:rFonts w:cs="Times New Roman"/>
    </w:rPr>
  </w:style>
  <w:style w:type="character" w:styleId="40">
    <w:name w:val="FollowedHyperlink"/>
    <w:qFormat/>
    <w:uiPriority w:val="99"/>
    <w:rPr>
      <w:rFonts w:cs="Times New Roman"/>
      <w:color w:val="800080"/>
      <w:u w:val="single"/>
    </w:rPr>
  </w:style>
  <w:style w:type="character" w:styleId="41">
    <w:name w:val="Emphasis"/>
    <w:qFormat/>
    <w:uiPriority w:val="99"/>
    <w:rPr>
      <w:rFonts w:cs="Times New Roman"/>
    </w:rPr>
  </w:style>
  <w:style w:type="character" w:styleId="42">
    <w:name w:val="HTML Definition"/>
    <w:unhideWhenUsed/>
    <w:qFormat/>
    <w:uiPriority w:val="99"/>
  </w:style>
  <w:style w:type="character" w:styleId="43">
    <w:name w:val="HTML Variable"/>
    <w:unhideWhenUsed/>
    <w:qFormat/>
    <w:uiPriority w:val="99"/>
  </w:style>
  <w:style w:type="character" w:styleId="44">
    <w:name w:val="Hyperlink"/>
    <w:qFormat/>
    <w:uiPriority w:val="99"/>
    <w:rPr>
      <w:rFonts w:cs="Times New Roman"/>
      <w:color w:val="0000FF"/>
      <w:u w:val="single"/>
    </w:rPr>
  </w:style>
  <w:style w:type="character" w:styleId="45">
    <w:name w:val="HTML Code"/>
    <w:unhideWhenUsed/>
    <w:qFormat/>
    <w:uiPriority w:val="99"/>
    <w:rPr>
      <w:rFonts w:ascii="Courier New" w:hAnsi="Courier New" w:eastAsia="Courier New" w:cs="Courier New"/>
      <w:sz w:val="20"/>
    </w:rPr>
  </w:style>
  <w:style w:type="character" w:styleId="46">
    <w:name w:val="annotation reference"/>
    <w:semiHidden/>
    <w:qFormat/>
    <w:uiPriority w:val="99"/>
    <w:rPr>
      <w:rFonts w:cs="Times New Roman"/>
      <w:sz w:val="21"/>
    </w:rPr>
  </w:style>
  <w:style w:type="character" w:styleId="47">
    <w:name w:val="HTML Cite"/>
    <w:unhideWhenUsed/>
    <w:qFormat/>
    <w:uiPriority w:val="99"/>
  </w:style>
  <w:style w:type="character" w:styleId="48">
    <w:name w:val="HTML Keyboard"/>
    <w:unhideWhenUsed/>
    <w:qFormat/>
    <w:uiPriority w:val="99"/>
    <w:rPr>
      <w:rFonts w:hint="default" w:ascii="Courier New" w:hAnsi="Courier New" w:eastAsia="Courier New" w:cs="Courier New"/>
      <w:sz w:val="20"/>
    </w:rPr>
  </w:style>
  <w:style w:type="character" w:styleId="49">
    <w:name w:val="HTML Sample"/>
    <w:unhideWhenUsed/>
    <w:qFormat/>
    <w:uiPriority w:val="99"/>
    <w:rPr>
      <w:rFonts w:hint="default" w:ascii="Courier New" w:hAnsi="Courier New" w:eastAsia="Courier New" w:cs="Courier New"/>
    </w:rPr>
  </w:style>
  <w:style w:type="character" w:customStyle="1" w:styleId="50">
    <w:name w:val="正文文本缩进 2 字符"/>
    <w:link w:val="22"/>
    <w:qFormat/>
    <w:locked/>
    <w:uiPriority w:val="99"/>
    <w:rPr>
      <w:rFonts w:eastAsia="宋体"/>
      <w:kern w:val="2"/>
      <w:sz w:val="24"/>
      <w:lang w:val="en-US" w:eastAsia="zh-CN"/>
    </w:rPr>
  </w:style>
  <w:style w:type="character" w:customStyle="1" w:styleId="51">
    <w:name w:val="正文首行缩进 2 字符"/>
    <w:link w:val="34"/>
    <w:qFormat/>
    <w:locked/>
    <w:uiPriority w:val="99"/>
    <w:rPr>
      <w:rFonts w:ascii="宋体" w:hAnsi="Courier New" w:eastAsia="宋体"/>
      <w:spacing w:val="-4"/>
      <w:kern w:val="2"/>
      <w:sz w:val="24"/>
      <w:lang w:val="en-US" w:eastAsia="zh-CN"/>
    </w:rPr>
  </w:style>
  <w:style w:type="character" w:customStyle="1" w:styleId="52">
    <w:name w:val="font01"/>
    <w:qFormat/>
    <w:uiPriority w:val="0"/>
    <w:rPr>
      <w:rFonts w:hint="default" w:ascii="Times New Roman" w:hAnsi="Times New Roman" w:cs="Times New Roman"/>
      <w:color w:val="000000"/>
      <w:sz w:val="20"/>
      <w:szCs w:val="20"/>
      <w:u w:val="none"/>
      <w:vertAlign w:val="superscript"/>
    </w:rPr>
  </w:style>
  <w:style w:type="character" w:customStyle="1" w:styleId="53">
    <w:name w:val="apple-style-span"/>
    <w:qFormat/>
    <w:uiPriority w:val="99"/>
    <w:rPr>
      <w:rFonts w:cs="Times New Roman"/>
    </w:rPr>
  </w:style>
  <w:style w:type="character" w:customStyle="1" w:styleId="54">
    <w:name w:val="正文文本 字符"/>
    <w:link w:val="17"/>
    <w:qFormat/>
    <w:locked/>
    <w:uiPriority w:val="99"/>
    <w:rPr>
      <w:rFonts w:ascii="宋体" w:eastAsia="宋体"/>
      <w:sz w:val="34"/>
      <w:lang w:val="en-US" w:eastAsia="zh-CN"/>
    </w:rPr>
  </w:style>
  <w:style w:type="character" w:customStyle="1" w:styleId="55">
    <w:name w:val="style54"/>
    <w:qFormat/>
    <w:uiPriority w:val="99"/>
    <w:rPr>
      <w:rFonts w:cs="Times New Roman"/>
    </w:rPr>
  </w:style>
  <w:style w:type="character" w:customStyle="1" w:styleId="56">
    <w:name w:val="qxdate"/>
    <w:basedOn w:val="37"/>
    <w:qFormat/>
    <w:uiPriority w:val="0"/>
    <w:rPr>
      <w:color w:val="333333"/>
      <w:sz w:val="18"/>
      <w:szCs w:val="18"/>
    </w:rPr>
  </w:style>
  <w:style w:type="character" w:customStyle="1" w:styleId="57">
    <w:name w:val="next2"/>
    <w:basedOn w:val="37"/>
    <w:qFormat/>
    <w:uiPriority w:val="0"/>
    <w:rPr>
      <w:rFonts w:hint="eastAsia" w:ascii="微软雅黑" w:hAnsi="微软雅黑" w:eastAsia="微软雅黑" w:cs="微软雅黑"/>
      <w:sz w:val="21"/>
      <w:szCs w:val="21"/>
    </w:rPr>
  </w:style>
  <w:style w:type="character" w:customStyle="1" w:styleId="58">
    <w:name w:val="style51"/>
    <w:qFormat/>
    <w:uiPriority w:val="99"/>
    <w:rPr>
      <w:rFonts w:cs="Times New Roman"/>
    </w:rPr>
  </w:style>
  <w:style w:type="character" w:customStyle="1" w:styleId="59">
    <w:name w:val="font81"/>
    <w:qFormat/>
    <w:uiPriority w:val="0"/>
    <w:rPr>
      <w:rFonts w:hint="default" w:ascii="Times New Roman" w:hAnsi="Times New Roman" w:cs="Times New Roman"/>
      <w:color w:val="000000"/>
      <w:sz w:val="20"/>
      <w:szCs w:val="20"/>
      <w:u w:val="none"/>
    </w:rPr>
  </w:style>
  <w:style w:type="character" w:customStyle="1" w:styleId="60">
    <w:name w:val="H1 Char"/>
    <w:qFormat/>
    <w:uiPriority w:val="99"/>
    <w:rPr>
      <w:rFonts w:ascii="Times New Roman" w:hAnsi="Times New Roman" w:eastAsia="宋体"/>
      <w:b/>
      <w:kern w:val="44"/>
      <w:sz w:val="44"/>
    </w:rPr>
  </w:style>
  <w:style w:type="character" w:customStyle="1" w:styleId="61">
    <w:name w:val="prev"/>
    <w:basedOn w:val="37"/>
    <w:qFormat/>
    <w:uiPriority w:val="0"/>
    <w:rPr>
      <w:rFonts w:hint="eastAsia" w:ascii="微软雅黑" w:hAnsi="微软雅黑" w:eastAsia="微软雅黑" w:cs="微软雅黑"/>
      <w:sz w:val="21"/>
      <w:szCs w:val="21"/>
    </w:rPr>
  </w:style>
  <w:style w:type="character" w:customStyle="1" w:styleId="62">
    <w:name w:val="1051"/>
    <w:qFormat/>
    <w:uiPriority w:val="99"/>
    <w:rPr>
      <w:sz w:val="21"/>
    </w:rPr>
  </w:style>
  <w:style w:type="character" w:customStyle="1" w:styleId="63">
    <w:name w:val="Title3 Char"/>
    <w:qFormat/>
    <w:uiPriority w:val="99"/>
    <w:rPr>
      <w:rFonts w:ascii="宋体" w:hAnsi="Courier New" w:eastAsia="宋体"/>
      <w:b/>
      <w:sz w:val="32"/>
    </w:rPr>
  </w:style>
  <w:style w:type="character" w:customStyle="1" w:styleId="64">
    <w:name w:val="redfilenumber"/>
    <w:basedOn w:val="37"/>
    <w:qFormat/>
    <w:uiPriority w:val="0"/>
    <w:rPr>
      <w:color w:val="BA2636"/>
      <w:sz w:val="18"/>
      <w:szCs w:val="18"/>
    </w:rPr>
  </w:style>
  <w:style w:type="character" w:customStyle="1" w:styleId="65">
    <w:name w:val="文档结构图 字符"/>
    <w:link w:val="14"/>
    <w:semiHidden/>
    <w:qFormat/>
    <w:locked/>
    <w:uiPriority w:val="99"/>
    <w:rPr>
      <w:rFonts w:eastAsia="宋体"/>
      <w:kern w:val="2"/>
      <w:sz w:val="24"/>
      <w:lang w:val="en-US" w:eastAsia="zh-CN"/>
    </w:rPr>
  </w:style>
  <w:style w:type="character" w:customStyle="1" w:styleId="66">
    <w:name w:val="正文文本 2 字符"/>
    <w:link w:val="27"/>
    <w:qFormat/>
    <w:locked/>
    <w:uiPriority w:val="99"/>
    <w:rPr>
      <w:sz w:val="24"/>
    </w:rPr>
  </w:style>
  <w:style w:type="character" w:customStyle="1" w:styleId="67">
    <w:name w:val="font41"/>
    <w:qFormat/>
    <w:uiPriority w:val="0"/>
    <w:rPr>
      <w:rFonts w:ascii="Calibri" w:hAnsi="Calibri" w:cs="Calibri"/>
      <w:color w:val="000000"/>
      <w:sz w:val="20"/>
      <w:szCs w:val="20"/>
      <w:u w:val="none"/>
    </w:rPr>
  </w:style>
  <w:style w:type="character" w:customStyle="1" w:styleId="68">
    <w:name w:val="页脚 字符"/>
    <w:link w:val="24"/>
    <w:qFormat/>
    <w:locked/>
    <w:uiPriority w:val="99"/>
    <w:rPr>
      <w:rFonts w:ascii="宋体" w:hAnsi="Courier New" w:eastAsia="宋体"/>
      <w:kern w:val="2"/>
      <w:sz w:val="18"/>
      <w:lang w:val="en-US" w:eastAsia="zh-CN"/>
    </w:rPr>
  </w:style>
  <w:style w:type="character" w:customStyle="1" w:styleId="69">
    <w:name w:val="prev3"/>
    <w:basedOn w:val="37"/>
    <w:qFormat/>
    <w:uiPriority w:val="0"/>
    <w:rPr>
      <w:rFonts w:hint="eastAsia" w:ascii="微软雅黑" w:hAnsi="微软雅黑" w:eastAsia="微软雅黑" w:cs="微软雅黑"/>
      <w:sz w:val="21"/>
      <w:szCs w:val="21"/>
    </w:rPr>
  </w:style>
  <w:style w:type="character" w:customStyle="1" w:styleId="70">
    <w:name w:val="gjfg"/>
    <w:basedOn w:val="37"/>
    <w:qFormat/>
    <w:uiPriority w:val="0"/>
  </w:style>
  <w:style w:type="character" w:customStyle="1" w:styleId="71">
    <w:name w:val="批注主题 字符"/>
    <w:link w:val="32"/>
    <w:semiHidden/>
    <w:qFormat/>
    <w:locked/>
    <w:uiPriority w:val="99"/>
    <w:rPr>
      <w:rFonts w:ascii="Calibri" w:hAnsi="Calibri" w:eastAsia="宋体"/>
      <w:b/>
      <w:kern w:val="2"/>
      <w:sz w:val="24"/>
      <w:lang w:val="en-US" w:eastAsia="zh-CN"/>
    </w:rPr>
  </w:style>
  <w:style w:type="character" w:customStyle="1" w:styleId="72">
    <w:name w:val="标题 4 字符"/>
    <w:link w:val="6"/>
    <w:qFormat/>
    <w:locked/>
    <w:uiPriority w:val="99"/>
    <w:rPr>
      <w:rFonts w:ascii="宋体" w:hAnsi="Arial" w:eastAsia="黑体"/>
      <w:b/>
      <w:kern w:val="2"/>
      <w:sz w:val="24"/>
      <w:lang w:val="en-US" w:eastAsia="zh-CN"/>
    </w:rPr>
  </w:style>
  <w:style w:type="character" w:customStyle="1" w:styleId="73">
    <w:name w:val="批注框文本 字符"/>
    <w:link w:val="23"/>
    <w:semiHidden/>
    <w:qFormat/>
    <w:locked/>
    <w:uiPriority w:val="99"/>
    <w:rPr>
      <w:rFonts w:eastAsia="宋体"/>
      <w:kern w:val="2"/>
      <w:sz w:val="18"/>
      <w:lang w:val="en-US" w:eastAsia="zh-CN"/>
    </w:rPr>
  </w:style>
  <w:style w:type="character" w:customStyle="1" w:styleId="74">
    <w:name w:val="正文文本 3 字符"/>
    <w:link w:val="16"/>
    <w:qFormat/>
    <w:locked/>
    <w:uiPriority w:val="99"/>
    <w:rPr>
      <w:b/>
      <w:sz w:val="24"/>
    </w:rPr>
  </w:style>
  <w:style w:type="character" w:customStyle="1" w:styleId="75">
    <w:name w:val="列出段落 Char"/>
    <w:link w:val="76"/>
    <w:qFormat/>
    <w:locked/>
    <w:uiPriority w:val="99"/>
    <w:rPr>
      <w:rFonts w:eastAsia="宋体"/>
      <w:kern w:val="2"/>
      <w:sz w:val="24"/>
      <w:lang w:val="en-US" w:eastAsia="zh-CN"/>
    </w:rPr>
  </w:style>
  <w:style w:type="paragraph" w:customStyle="1" w:styleId="76">
    <w:name w:val="列出段落1"/>
    <w:basedOn w:val="1"/>
    <w:link w:val="75"/>
    <w:qFormat/>
    <w:uiPriority w:val="99"/>
    <w:pPr>
      <w:ind w:firstLine="420" w:firstLineChars="200"/>
    </w:pPr>
    <w:rPr>
      <w:sz w:val="24"/>
      <w:szCs w:val="20"/>
    </w:rPr>
  </w:style>
  <w:style w:type="character" w:customStyle="1" w:styleId="77">
    <w:name w:val="HTML 预设格式 字符"/>
    <w:link w:val="28"/>
    <w:semiHidden/>
    <w:qFormat/>
    <w:locked/>
    <w:uiPriority w:val="99"/>
    <w:rPr>
      <w:rFonts w:ascii="黑体" w:hAnsi="Courier New" w:eastAsia="黑体"/>
      <w:lang w:val="en-US" w:eastAsia="zh-CN"/>
    </w:rPr>
  </w:style>
  <w:style w:type="character" w:customStyle="1" w:styleId="78">
    <w:name w:val="f141"/>
    <w:qFormat/>
    <w:uiPriority w:val="99"/>
    <w:rPr>
      <w:sz w:val="21"/>
    </w:rPr>
  </w:style>
  <w:style w:type="character" w:customStyle="1" w:styleId="79">
    <w:name w:val="font21"/>
    <w:qFormat/>
    <w:uiPriority w:val="0"/>
    <w:rPr>
      <w:rFonts w:hint="default" w:ascii="Times New Roman" w:hAnsi="Times New Roman" w:cs="Times New Roman"/>
      <w:color w:val="000000"/>
      <w:sz w:val="20"/>
      <w:szCs w:val="20"/>
      <w:u w:val="none"/>
    </w:rPr>
  </w:style>
  <w:style w:type="character" w:customStyle="1" w:styleId="80">
    <w:name w:val="font51"/>
    <w:qFormat/>
    <w:uiPriority w:val="0"/>
    <w:rPr>
      <w:rFonts w:hint="eastAsia" w:ascii="宋体" w:hAnsi="宋体" w:eastAsia="宋体" w:cs="宋体"/>
      <w:color w:val="000000"/>
      <w:sz w:val="20"/>
      <w:szCs w:val="20"/>
      <w:u w:val="none"/>
      <w:vertAlign w:val="subscript"/>
    </w:rPr>
  </w:style>
  <w:style w:type="character" w:customStyle="1" w:styleId="81">
    <w:name w:val="font101"/>
    <w:qFormat/>
    <w:uiPriority w:val="0"/>
    <w:rPr>
      <w:rFonts w:ascii="Arial" w:hAnsi="Arial" w:cs="Arial"/>
      <w:color w:val="000000"/>
      <w:sz w:val="20"/>
      <w:szCs w:val="20"/>
      <w:u w:val="none"/>
    </w:rPr>
  </w:style>
  <w:style w:type="character" w:customStyle="1" w:styleId="82">
    <w:name w:val="Report Text Char"/>
    <w:link w:val="83"/>
    <w:qFormat/>
    <w:locked/>
    <w:uiPriority w:val="99"/>
    <w:rPr>
      <w:rFonts w:ascii="Arial" w:hAnsi="Arial" w:eastAsia="宋体"/>
      <w:kern w:val="28"/>
      <w:sz w:val="22"/>
      <w:lang w:val="en-US" w:eastAsia="zh-CN"/>
    </w:rPr>
  </w:style>
  <w:style w:type="paragraph" w:customStyle="1" w:styleId="83">
    <w:name w:val="Report Text"/>
    <w:basedOn w:val="1"/>
    <w:link w:val="82"/>
    <w:qFormat/>
    <w:uiPriority w:val="99"/>
    <w:pPr>
      <w:widowControl/>
      <w:spacing w:before="240" w:after="120"/>
      <w:ind w:left="1080"/>
    </w:pPr>
    <w:rPr>
      <w:rFonts w:ascii="Arial" w:hAnsi="Arial"/>
      <w:kern w:val="28"/>
      <w:sz w:val="22"/>
      <w:szCs w:val="20"/>
    </w:rPr>
  </w:style>
  <w:style w:type="character" w:customStyle="1" w:styleId="84">
    <w:name w:val="文本正文[858D7CFB-ED40-4347-BF05-701D383B685F]"/>
    <w:link w:val="85"/>
    <w:qFormat/>
    <w:locked/>
    <w:uiPriority w:val="0"/>
    <w:rPr>
      <w:rFonts w:eastAsia="仿宋_GB2312"/>
      <w:kern w:val="2"/>
      <w:sz w:val="28"/>
      <w:szCs w:val="22"/>
    </w:rPr>
  </w:style>
  <w:style w:type="paragraph" w:customStyle="1" w:styleId="85">
    <w:name w:val="文本正文"/>
    <w:basedOn w:val="1"/>
    <w:link w:val="84"/>
    <w:qFormat/>
    <w:uiPriority w:val="0"/>
    <w:pPr>
      <w:widowControl/>
      <w:overflowPunct w:val="0"/>
      <w:adjustRightInd w:val="0"/>
      <w:snapToGrid w:val="0"/>
      <w:spacing w:line="300" w:lineRule="auto"/>
      <w:ind w:firstLine="640" w:firstLineChars="200"/>
      <w:jc w:val="left"/>
    </w:pPr>
    <w:rPr>
      <w:rFonts w:eastAsia="仿宋_GB2312"/>
      <w:sz w:val="28"/>
      <w:szCs w:val="22"/>
    </w:rPr>
  </w:style>
  <w:style w:type="character" w:customStyle="1" w:styleId="86">
    <w:name w:val="标题 6 字符"/>
    <w:link w:val="8"/>
    <w:qFormat/>
    <w:locked/>
    <w:uiPriority w:val="99"/>
    <w:rPr>
      <w:rFonts w:ascii="Arial" w:hAnsi="Arial" w:eastAsia="黑体"/>
      <w:b/>
      <w:kern w:val="2"/>
      <w:sz w:val="24"/>
      <w:lang w:val="en-US" w:eastAsia="zh-CN"/>
    </w:rPr>
  </w:style>
  <w:style w:type="character" w:customStyle="1" w:styleId="87">
    <w:name w:val="font31"/>
    <w:qFormat/>
    <w:uiPriority w:val="0"/>
    <w:rPr>
      <w:rFonts w:hint="eastAsia" w:ascii="宋体" w:hAnsi="宋体" w:eastAsia="宋体" w:cs="宋体"/>
      <w:color w:val="000000"/>
      <w:sz w:val="20"/>
      <w:szCs w:val="20"/>
      <w:u w:val="none"/>
    </w:rPr>
  </w:style>
  <w:style w:type="character" w:customStyle="1" w:styleId="88">
    <w:name w:val="标题 8 字符"/>
    <w:link w:val="11"/>
    <w:qFormat/>
    <w:locked/>
    <w:uiPriority w:val="99"/>
    <w:rPr>
      <w:rFonts w:ascii="Arial" w:hAnsi="Arial" w:eastAsia="黑体"/>
      <w:kern w:val="2"/>
      <w:sz w:val="24"/>
      <w:lang w:val="en-US" w:eastAsia="zh-CN"/>
    </w:rPr>
  </w:style>
  <w:style w:type="character" w:customStyle="1" w:styleId="89">
    <w:name w:val="style31"/>
    <w:qFormat/>
    <w:uiPriority w:val="99"/>
    <w:rPr>
      <w:sz w:val="18"/>
    </w:rPr>
  </w:style>
  <w:style w:type="character" w:customStyle="1" w:styleId="90">
    <w:name w:val="页眉 字符"/>
    <w:link w:val="25"/>
    <w:qFormat/>
    <w:locked/>
    <w:uiPriority w:val="99"/>
    <w:rPr>
      <w:rFonts w:ascii="宋体" w:hAnsi="Courier New" w:eastAsia="宋体"/>
      <w:kern w:val="2"/>
      <w:sz w:val="18"/>
      <w:lang w:val="en-US" w:eastAsia="zh-CN"/>
    </w:rPr>
  </w:style>
  <w:style w:type="character" w:customStyle="1" w:styleId="91">
    <w:name w:val="font11"/>
    <w:qFormat/>
    <w:uiPriority w:val="0"/>
    <w:rPr>
      <w:rFonts w:ascii="Arial" w:hAnsi="Arial" w:cs="Arial"/>
      <w:color w:val="000000"/>
      <w:sz w:val="20"/>
      <w:szCs w:val="20"/>
      <w:u w:val="none"/>
    </w:rPr>
  </w:style>
  <w:style w:type="character" w:customStyle="1" w:styleId="92">
    <w:name w:val="标题 1 字符"/>
    <w:link w:val="3"/>
    <w:qFormat/>
    <w:locked/>
    <w:uiPriority w:val="99"/>
    <w:rPr>
      <w:rFonts w:eastAsia="宋体"/>
      <w:b/>
      <w:kern w:val="2"/>
      <w:sz w:val="24"/>
      <w:lang w:val="en-US" w:eastAsia="zh-CN"/>
    </w:rPr>
  </w:style>
  <w:style w:type="character" w:customStyle="1" w:styleId="93">
    <w:name w:val="普通文字 Char Char1"/>
    <w:semiHidden/>
    <w:qFormat/>
    <w:uiPriority w:val="99"/>
    <w:rPr>
      <w:rFonts w:ascii="宋体" w:hAnsi="Courier New" w:eastAsia="宋体"/>
      <w:kern w:val="2"/>
      <w:sz w:val="21"/>
      <w:lang w:val="en-US" w:eastAsia="zh-CN"/>
    </w:rPr>
  </w:style>
  <w:style w:type="character" w:customStyle="1" w:styleId="94">
    <w:name w:val="1ji Char"/>
    <w:link w:val="95"/>
    <w:qFormat/>
    <w:locked/>
    <w:uiPriority w:val="99"/>
    <w:rPr>
      <w:rFonts w:ascii="宋体" w:hAnsi="宋体" w:eastAsia="宋体"/>
      <w:b/>
      <w:kern w:val="44"/>
      <w:sz w:val="44"/>
      <w:lang w:val="en-US" w:eastAsia="zh-CN"/>
    </w:rPr>
  </w:style>
  <w:style w:type="paragraph" w:customStyle="1" w:styleId="95">
    <w:name w:val="1ji"/>
    <w:basedOn w:val="3"/>
    <w:link w:val="94"/>
    <w:qFormat/>
    <w:uiPriority w:val="99"/>
    <w:pPr>
      <w:widowControl/>
      <w:spacing w:line="240" w:lineRule="auto"/>
      <w:jc w:val="center"/>
    </w:pPr>
    <w:rPr>
      <w:rFonts w:ascii="宋体" w:hAnsi="宋体"/>
      <w:kern w:val="44"/>
      <w:sz w:val="44"/>
    </w:rPr>
  </w:style>
  <w:style w:type="character" w:customStyle="1" w:styleId="96">
    <w:name w:val="next"/>
    <w:basedOn w:val="37"/>
    <w:qFormat/>
    <w:uiPriority w:val="0"/>
    <w:rPr>
      <w:rFonts w:ascii="微软雅黑" w:hAnsi="微软雅黑" w:eastAsia="微软雅黑" w:cs="微软雅黑"/>
      <w:sz w:val="21"/>
      <w:szCs w:val="21"/>
    </w:rPr>
  </w:style>
  <w:style w:type="character" w:customStyle="1" w:styleId="97">
    <w:name w:val="displayarti"/>
    <w:basedOn w:val="37"/>
    <w:qFormat/>
    <w:uiPriority w:val="0"/>
    <w:rPr>
      <w:color w:val="FFFFFF"/>
      <w:shd w:val="clear" w:color="auto" w:fill="A00000"/>
    </w:rPr>
  </w:style>
  <w:style w:type="character" w:customStyle="1" w:styleId="98">
    <w:name w:val="正文文本缩进 字符"/>
    <w:link w:val="18"/>
    <w:qFormat/>
    <w:locked/>
    <w:uiPriority w:val="99"/>
    <w:rPr>
      <w:rFonts w:ascii="宋体" w:hAnsi="Courier New" w:eastAsia="宋体"/>
      <w:spacing w:val="-4"/>
      <w:kern w:val="2"/>
      <w:sz w:val="18"/>
      <w:lang w:val="en-US" w:eastAsia="zh-CN"/>
    </w:rPr>
  </w:style>
  <w:style w:type="character" w:customStyle="1" w:styleId="99">
    <w:name w:val="unnamed21"/>
    <w:qFormat/>
    <w:uiPriority w:val="99"/>
    <w:rPr>
      <w:rFonts w:cs="Times New Roman"/>
    </w:rPr>
  </w:style>
  <w:style w:type="character" w:customStyle="1" w:styleId="100">
    <w:name w:val="标题 7 字符"/>
    <w:link w:val="10"/>
    <w:qFormat/>
    <w:locked/>
    <w:uiPriority w:val="99"/>
    <w:rPr>
      <w:rFonts w:eastAsia="宋体"/>
      <w:b/>
      <w:kern w:val="2"/>
      <w:sz w:val="24"/>
      <w:lang w:val="en-US" w:eastAsia="zh-CN"/>
    </w:rPr>
  </w:style>
  <w:style w:type="character" w:customStyle="1" w:styleId="101">
    <w:name w:val="font71"/>
    <w:qFormat/>
    <w:uiPriority w:val="0"/>
    <w:rPr>
      <w:rFonts w:hint="default" w:ascii="Times New Roman" w:hAnsi="Times New Roman" w:cs="Times New Roman"/>
      <w:color w:val="000000"/>
      <w:sz w:val="20"/>
      <w:szCs w:val="20"/>
      <w:u w:val="none"/>
    </w:rPr>
  </w:style>
  <w:style w:type="character" w:customStyle="1" w:styleId="102">
    <w:name w:val="标题 5 字符"/>
    <w:link w:val="7"/>
    <w:qFormat/>
    <w:locked/>
    <w:uiPriority w:val="99"/>
    <w:rPr>
      <w:rFonts w:eastAsia="宋体"/>
      <w:b/>
      <w:kern w:val="2"/>
      <w:sz w:val="28"/>
      <w:lang w:val="en-US" w:eastAsia="zh-CN"/>
    </w:rPr>
  </w:style>
  <w:style w:type="character" w:customStyle="1" w:styleId="103">
    <w:name w:val="redfilefwwh"/>
    <w:basedOn w:val="37"/>
    <w:qFormat/>
    <w:uiPriority w:val="0"/>
    <w:rPr>
      <w:color w:val="BA2636"/>
      <w:sz w:val="18"/>
      <w:szCs w:val="18"/>
    </w:rPr>
  </w:style>
  <w:style w:type="character" w:customStyle="1" w:styleId="104">
    <w:name w:val="next3"/>
    <w:basedOn w:val="37"/>
    <w:qFormat/>
    <w:uiPriority w:val="0"/>
    <w:rPr>
      <w:rFonts w:ascii="微软雅黑" w:hAnsi="微软雅黑" w:eastAsia="微软雅黑" w:cs="微软雅黑"/>
      <w:sz w:val="21"/>
      <w:szCs w:val="21"/>
    </w:rPr>
  </w:style>
  <w:style w:type="character" w:customStyle="1" w:styleId="105">
    <w:name w:val="纯文本 字符"/>
    <w:link w:val="19"/>
    <w:qFormat/>
    <w:locked/>
    <w:uiPriority w:val="99"/>
    <w:rPr>
      <w:rFonts w:ascii="宋体" w:hAnsi="Courier New" w:eastAsia="宋体"/>
      <w:kern w:val="2"/>
      <w:sz w:val="21"/>
      <w:lang w:val="en-US" w:eastAsia="zh-CN"/>
    </w:rPr>
  </w:style>
  <w:style w:type="character" w:customStyle="1" w:styleId="106">
    <w:name w:val="正文缩进 字符"/>
    <w:link w:val="9"/>
    <w:qFormat/>
    <w:locked/>
    <w:uiPriority w:val="99"/>
    <w:rPr>
      <w:rFonts w:eastAsia="宋体"/>
      <w:kern w:val="2"/>
      <w:sz w:val="21"/>
      <w:lang w:val="en-US" w:eastAsia="zh-CN"/>
    </w:rPr>
  </w:style>
  <w:style w:type="character" w:customStyle="1" w:styleId="107">
    <w:name w:val="Header Char"/>
    <w:qFormat/>
    <w:locked/>
    <w:uiPriority w:val="99"/>
    <w:rPr>
      <w:rFonts w:ascii="Times New Roman" w:hAnsi="Times New Roman" w:eastAsia="宋体" w:cs="Times New Roman"/>
      <w:sz w:val="18"/>
      <w:szCs w:val="18"/>
    </w:rPr>
  </w:style>
  <w:style w:type="character" w:customStyle="1" w:styleId="108">
    <w:name w:val="h Char"/>
    <w:qFormat/>
    <w:uiPriority w:val="99"/>
    <w:rPr>
      <w:rFonts w:eastAsia="宋体"/>
      <w:kern w:val="2"/>
      <w:sz w:val="18"/>
      <w:lang w:val="en-US" w:eastAsia="zh-CN"/>
    </w:rPr>
  </w:style>
  <w:style w:type="character" w:customStyle="1" w:styleId="109">
    <w:name w:val="font61"/>
    <w:qFormat/>
    <w:uiPriority w:val="0"/>
    <w:rPr>
      <w:rFonts w:hint="default" w:ascii="Times New Roman" w:hAnsi="Times New Roman" w:cs="Times New Roman"/>
      <w:color w:val="000000"/>
      <w:sz w:val="20"/>
      <w:szCs w:val="20"/>
      <w:u w:val="none"/>
      <w:vertAlign w:val="subscript"/>
    </w:rPr>
  </w:style>
  <w:style w:type="character" w:customStyle="1" w:styleId="110">
    <w:name w:val="标题 9 字符"/>
    <w:link w:val="12"/>
    <w:qFormat/>
    <w:locked/>
    <w:uiPriority w:val="99"/>
    <w:rPr>
      <w:rFonts w:ascii="Arial" w:hAnsi="Arial" w:eastAsia="黑体"/>
      <w:kern w:val="2"/>
      <w:sz w:val="21"/>
      <w:lang w:val="en-US" w:eastAsia="zh-CN"/>
    </w:rPr>
  </w:style>
  <w:style w:type="character" w:customStyle="1" w:styleId="111">
    <w:name w:val="日期 字符"/>
    <w:link w:val="21"/>
    <w:qFormat/>
    <w:locked/>
    <w:uiPriority w:val="99"/>
    <w:rPr>
      <w:rFonts w:eastAsia="宋体"/>
      <w:spacing w:val="30"/>
      <w:kern w:val="2"/>
      <w:sz w:val="24"/>
      <w:lang w:val="en-US" w:eastAsia="zh-CN"/>
    </w:rPr>
  </w:style>
  <w:style w:type="character" w:customStyle="1" w:styleId="112">
    <w:name w:val="prev1"/>
    <w:basedOn w:val="37"/>
    <w:qFormat/>
    <w:uiPriority w:val="0"/>
    <w:rPr>
      <w:color w:val="888888"/>
    </w:rPr>
  </w:style>
  <w:style w:type="character" w:customStyle="1" w:styleId="113">
    <w:name w:val="next1"/>
    <w:basedOn w:val="37"/>
    <w:qFormat/>
    <w:uiPriority w:val="0"/>
    <w:rPr>
      <w:color w:val="888888"/>
    </w:rPr>
  </w:style>
  <w:style w:type="character" w:customStyle="1" w:styleId="114">
    <w:name w:val="标题 3 字符"/>
    <w:link w:val="5"/>
    <w:qFormat/>
    <w:locked/>
    <w:uiPriority w:val="99"/>
    <w:rPr>
      <w:rFonts w:eastAsia="宋体"/>
      <w:b/>
      <w:kern w:val="2"/>
      <w:sz w:val="32"/>
      <w:lang w:val="en-US" w:eastAsia="zh-CN"/>
    </w:rPr>
  </w:style>
  <w:style w:type="character" w:customStyle="1" w:styleId="115">
    <w:name w:val="批注文字 字符"/>
    <w:link w:val="15"/>
    <w:semiHidden/>
    <w:qFormat/>
    <w:locked/>
    <w:uiPriority w:val="99"/>
    <w:rPr>
      <w:rFonts w:eastAsia="宋体"/>
      <w:kern w:val="2"/>
      <w:sz w:val="24"/>
      <w:lang w:val="en-US" w:eastAsia="zh-CN"/>
    </w:rPr>
  </w:style>
  <w:style w:type="character" w:customStyle="1" w:styleId="116">
    <w:name w:val="标题 2 字符"/>
    <w:link w:val="4"/>
    <w:semiHidden/>
    <w:qFormat/>
    <w:locked/>
    <w:uiPriority w:val="99"/>
    <w:rPr>
      <w:rFonts w:ascii="Arial" w:hAnsi="Arial" w:eastAsia="黑体"/>
      <w:b/>
      <w:kern w:val="2"/>
      <w:sz w:val="32"/>
      <w:lang w:val="en-US" w:eastAsia="zh-CN"/>
    </w:rPr>
  </w:style>
  <w:style w:type="character" w:customStyle="1" w:styleId="117">
    <w:name w:val="cfdate"/>
    <w:basedOn w:val="37"/>
    <w:qFormat/>
    <w:uiPriority w:val="0"/>
    <w:rPr>
      <w:color w:val="333333"/>
      <w:sz w:val="18"/>
      <w:szCs w:val="18"/>
    </w:rPr>
  </w:style>
  <w:style w:type="character" w:customStyle="1" w:styleId="118">
    <w:name w:val="标题 字符"/>
    <w:link w:val="31"/>
    <w:qFormat/>
    <w:locked/>
    <w:uiPriority w:val="99"/>
    <w:rPr>
      <w:rFonts w:ascii="Arial" w:hAnsi="Arial" w:eastAsia="宋体"/>
      <w:b/>
      <w:kern w:val="2"/>
      <w:sz w:val="32"/>
      <w:lang w:val="en-US" w:eastAsia="zh-CN"/>
    </w:rPr>
  </w:style>
  <w:style w:type="character" w:customStyle="1" w:styleId="119">
    <w:name w:val="Footer Char"/>
    <w:qFormat/>
    <w:locked/>
    <w:uiPriority w:val="99"/>
    <w:rPr>
      <w:rFonts w:ascii="Times New Roman" w:hAnsi="Times New Roman" w:eastAsia="宋体" w:cs="Times New Roman"/>
      <w:sz w:val="18"/>
      <w:szCs w:val="18"/>
    </w:rPr>
  </w:style>
  <w:style w:type="character" w:customStyle="1" w:styleId="120">
    <w:name w:val="prev2"/>
    <w:basedOn w:val="37"/>
    <w:qFormat/>
    <w:uiPriority w:val="0"/>
    <w:rPr>
      <w:color w:val="888888"/>
    </w:rPr>
  </w:style>
  <w:style w:type="character" w:customStyle="1" w:styleId="121">
    <w:name w:val="mark"/>
    <w:qFormat/>
    <w:uiPriority w:val="99"/>
    <w:rPr>
      <w:rFonts w:cs="Times New Roman"/>
    </w:rPr>
  </w:style>
  <w:style w:type="character" w:customStyle="1" w:styleId="122">
    <w:name w:val="Char Char2"/>
    <w:semiHidden/>
    <w:qFormat/>
    <w:uiPriority w:val="99"/>
    <w:rPr>
      <w:rFonts w:ascii="宋体" w:hAnsi="Courier New" w:eastAsia="宋体"/>
      <w:spacing w:val="-4"/>
      <w:kern w:val="2"/>
      <w:sz w:val="18"/>
      <w:lang w:val="en-US" w:eastAsia="zh-CN"/>
    </w:rPr>
  </w:style>
  <w:style w:type="character" w:customStyle="1" w:styleId="123">
    <w:name w:val="正文文本缩进 3 字符"/>
    <w:link w:val="26"/>
    <w:qFormat/>
    <w:locked/>
    <w:uiPriority w:val="99"/>
    <w:rPr>
      <w:rFonts w:eastAsia="宋体"/>
      <w:kern w:val="2"/>
      <w:sz w:val="24"/>
      <w:lang w:val="en-US" w:eastAsia="zh-CN"/>
    </w:rPr>
  </w:style>
  <w:style w:type="character" w:customStyle="1" w:styleId="124">
    <w:name w:val="H2 Char"/>
    <w:qFormat/>
    <w:uiPriority w:val="99"/>
    <w:rPr>
      <w:rFonts w:ascii="Arial" w:hAnsi="Arial" w:eastAsia="黑体"/>
      <w:b/>
      <w:sz w:val="32"/>
    </w:rPr>
  </w:style>
  <w:style w:type="paragraph" w:customStyle="1" w:styleId="125">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6">
    <w:name w:val="Char2"/>
    <w:basedOn w:val="1"/>
    <w:qFormat/>
    <w:uiPriority w:val="99"/>
    <w:pPr>
      <w:widowControl/>
      <w:spacing w:after="160" w:line="240" w:lineRule="exact"/>
      <w:jc w:val="left"/>
    </w:pPr>
    <w:rPr>
      <w:rFonts w:ascii="Verdana" w:hAnsi="Verdana"/>
      <w:kern w:val="0"/>
      <w:szCs w:val="20"/>
      <w:lang w:eastAsia="en-US"/>
    </w:rPr>
  </w:style>
  <w:style w:type="paragraph" w:customStyle="1" w:styleId="127">
    <w:name w:val="Char Char Char Char Char Char1 Char"/>
    <w:basedOn w:val="1"/>
    <w:qFormat/>
    <w:uiPriority w:val="99"/>
    <w:pPr>
      <w:widowControl/>
      <w:spacing w:after="160" w:line="240" w:lineRule="exact"/>
      <w:jc w:val="left"/>
    </w:pPr>
    <w:rPr>
      <w:rFonts w:ascii="Arial" w:hAnsi="Arial" w:eastAsia="楷体_GB2312" w:cs="Verdana"/>
      <w:b/>
      <w:kern w:val="0"/>
      <w:sz w:val="24"/>
      <w:lang w:eastAsia="en-US"/>
    </w:rPr>
  </w:style>
  <w:style w:type="paragraph" w:customStyle="1" w:styleId="128">
    <w:name w:val="Char Char Char Char"/>
    <w:basedOn w:val="14"/>
    <w:qFormat/>
    <w:uiPriority w:val="99"/>
    <w:rPr>
      <w:rFonts w:ascii="Tahoma" w:hAnsi="Tahoma"/>
    </w:rPr>
  </w:style>
  <w:style w:type="paragraph" w:customStyle="1" w:styleId="129">
    <w:name w:val="Char"/>
    <w:basedOn w:val="14"/>
    <w:qFormat/>
    <w:uiPriority w:val="99"/>
    <w:rPr>
      <w:rFonts w:ascii="Tahoma" w:hAnsi="Tahoma"/>
    </w:rPr>
  </w:style>
  <w:style w:type="paragraph" w:customStyle="1" w:styleId="130">
    <w:name w:val="Char Char Char Char Char Char Char1"/>
    <w:basedOn w:val="1"/>
    <w:qFormat/>
    <w:uiPriority w:val="99"/>
  </w:style>
  <w:style w:type="paragraph" w:customStyle="1" w:styleId="131">
    <w:name w:val="Char1 Char Char Char"/>
    <w:basedOn w:val="1"/>
    <w:qFormat/>
    <w:uiPriority w:val="99"/>
    <w:rPr>
      <w:rFonts w:ascii="Tahoma" w:hAnsi="Tahoma"/>
      <w:sz w:val="24"/>
      <w:szCs w:val="20"/>
    </w:rPr>
  </w:style>
  <w:style w:type="paragraph" w:customStyle="1" w:styleId="13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3">
    <w:name w:val="Char Char Char Char Char Char1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5">
    <w:name w:val="样式3"/>
    <w:basedOn w:val="17"/>
    <w:qFormat/>
    <w:uiPriority w:val="99"/>
    <w:pPr>
      <w:autoSpaceDE/>
      <w:autoSpaceDN/>
      <w:adjustRightInd/>
      <w:spacing w:line="360" w:lineRule="auto"/>
      <w:jc w:val="both"/>
    </w:pPr>
    <w:rPr>
      <w:kern w:val="2"/>
      <w:sz w:val="21"/>
      <w:szCs w:val="24"/>
    </w:rPr>
  </w:style>
  <w:style w:type="paragraph" w:customStyle="1" w:styleId="136">
    <w:name w:val="样式1"/>
    <w:basedOn w:val="1"/>
    <w:qFormat/>
    <w:uiPriority w:val="99"/>
  </w:style>
  <w:style w:type="paragraph" w:customStyle="1" w:styleId="137">
    <w:name w:val="HD正文1"/>
    <w:basedOn w:val="1"/>
    <w:qFormat/>
    <w:uiPriority w:val="0"/>
    <w:pPr>
      <w:spacing w:line="440" w:lineRule="atLeast"/>
      <w:ind w:firstLine="540"/>
    </w:pPr>
    <w:rPr>
      <w:rFonts w:ascii="Calibri" w:hAnsi="Calibri"/>
      <w:sz w:val="24"/>
    </w:rPr>
  </w:style>
  <w:style w:type="paragraph" w:customStyle="1" w:styleId="138">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39">
    <w:name w:val="默认段落字体 Para Char"/>
    <w:basedOn w:val="1"/>
    <w:qFormat/>
    <w:uiPriority w:val="99"/>
    <w:pPr>
      <w:adjustRightInd w:val="0"/>
      <w:spacing w:line="360" w:lineRule="auto"/>
    </w:pPr>
    <w:rPr>
      <w:kern w:val="0"/>
      <w:sz w:val="24"/>
      <w:szCs w:val="20"/>
    </w:rPr>
  </w:style>
  <w:style w:type="paragraph" w:customStyle="1" w:styleId="14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41">
    <w:name w:val="Report List"/>
    <w:basedOn w:val="1"/>
    <w:qFormat/>
    <w:uiPriority w:val="99"/>
    <w:pPr>
      <w:widowControl/>
      <w:numPr>
        <w:ilvl w:val="0"/>
        <w:numId w:val="2"/>
      </w:numPr>
      <w:spacing w:before="120" w:after="120"/>
    </w:pPr>
    <w:rPr>
      <w:rFonts w:ascii="Arial" w:hAnsi="Arial" w:cs="Tahoma"/>
      <w:kern w:val="28"/>
      <w:sz w:val="22"/>
      <w:szCs w:val="20"/>
    </w:rPr>
  </w:style>
  <w:style w:type="paragraph" w:customStyle="1" w:styleId="142">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3">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4">
    <w:name w:val="样式 正文缩进 + 首行缩进:  2 字符 段前: 0.5 行"/>
    <w:basedOn w:val="1"/>
    <w:qFormat/>
    <w:uiPriority w:val="99"/>
    <w:pPr>
      <w:spacing w:beforeLines="50" w:line="300" w:lineRule="auto"/>
      <w:ind w:firstLine="480" w:firstLineChars="200"/>
    </w:pPr>
    <w:rPr>
      <w:rFonts w:cs="宋体"/>
      <w:szCs w:val="20"/>
    </w:rPr>
  </w:style>
  <w:style w:type="paragraph" w:customStyle="1" w:styleId="145">
    <w:name w:val="缺省文本"/>
    <w:basedOn w:val="1"/>
    <w:qFormat/>
    <w:uiPriority w:val="99"/>
    <w:pPr>
      <w:autoSpaceDE w:val="0"/>
      <w:autoSpaceDN w:val="0"/>
      <w:adjustRightInd w:val="0"/>
      <w:jc w:val="left"/>
    </w:pPr>
    <w:rPr>
      <w:rFonts w:ascii="仿宋_GB2312" w:eastAsia="仿宋_GB2312"/>
      <w:kern w:val="0"/>
      <w:sz w:val="24"/>
      <w:szCs w:val="20"/>
    </w:rPr>
  </w:style>
  <w:style w:type="paragraph" w:customStyle="1" w:styleId="146">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147">
    <w:name w:val="List Paragraph"/>
    <w:basedOn w:val="1"/>
    <w:qFormat/>
    <w:uiPriority w:val="1"/>
    <w:pPr>
      <w:spacing w:before="151"/>
      <w:ind w:left="212" w:firstLine="412"/>
    </w:pPr>
    <w:rPr>
      <w:rFonts w:ascii="宋体" w:hAnsi="宋体" w:cs="宋体"/>
      <w:lang w:val="zh-CN" w:bidi="zh-CN"/>
    </w:rPr>
  </w:style>
  <w:style w:type="paragraph" w:customStyle="1" w:styleId="148">
    <w:name w:val="Char Char Char Char1"/>
    <w:basedOn w:val="14"/>
    <w:qFormat/>
    <w:uiPriority w:val="99"/>
    <w:rPr>
      <w:rFonts w:ascii="Tahoma" w:hAnsi="Tahoma"/>
    </w:rPr>
  </w:style>
  <w:style w:type="paragraph" w:customStyle="1" w:styleId="149">
    <w:name w:val="Char Char4 Char Char"/>
    <w:basedOn w:val="1"/>
    <w:qFormat/>
    <w:uiPriority w:val="99"/>
    <w:pPr>
      <w:widowControl/>
      <w:spacing w:after="160" w:line="240" w:lineRule="exact"/>
      <w:jc w:val="left"/>
    </w:pPr>
  </w:style>
  <w:style w:type="paragraph" w:customStyle="1" w:styleId="15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1">
    <w:name w:val="F2"/>
    <w:basedOn w:val="1"/>
    <w:qFormat/>
    <w:uiPriority w:val="99"/>
    <w:pPr>
      <w:autoSpaceDE w:val="0"/>
      <w:autoSpaceDN w:val="0"/>
      <w:adjustRightInd w:val="0"/>
      <w:ind w:firstLine="601"/>
      <w:textAlignment w:val="baseline"/>
    </w:pPr>
    <w:rPr>
      <w:kern w:val="0"/>
      <w:sz w:val="24"/>
      <w:szCs w:val="20"/>
    </w:rPr>
  </w:style>
  <w:style w:type="paragraph" w:customStyle="1" w:styleId="152">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3">
    <w:name w:val="Char Char Char Char Char Char Char"/>
    <w:basedOn w:val="1"/>
    <w:qFormat/>
    <w:uiPriority w:val="99"/>
  </w:style>
  <w:style w:type="paragraph" w:customStyle="1" w:styleId="15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5">
    <w:name w:val="Char1 Char Char Char Char Char Char"/>
    <w:basedOn w:val="1"/>
    <w:qFormat/>
    <w:uiPriority w:val="99"/>
    <w:rPr>
      <w:rFonts w:ascii="Tahoma" w:hAnsi="Tahoma"/>
      <w:sz w:val="24"/>
      <w:szCs w:val="20"/>
    </w:rPr>
  </w:style>
  <w:style w:type="paragraph" w:customStyle="1" w:styleId="156">
    <w:name w:val="1"/>
    <w:basedOn w:val="1"/>
    <w:next w:val="19"/>
    <w:qFormat/>
    <w:uiPriority w:val="99"/>
    <w:rPr>
      <w:rFonts w:ascii="宋体" w:hAnsi="Courier New"/>
      <w:szCs w:val="20"/>
    </w:rPr>
  </w:style>
  <w:style w:type="paragraph" w:customStyle="1" w:styleId="15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58">
    <w:name w:val="正文段"/>
    <w:basedOn w:val="1"/>
    <w:qFormat/>
    <w:uiPriority w:val="99"/>
    <w:pPr>
      <w:widowControl/>
      <w:snapToGrid w:val="0"/>
      <w:spacing w:afterLines="50"/>
      <w:ind w:firstLine="200" w:firstLineChars="200"/>
    </w:pPr>
    <w:rPr>
      <w:kern w:val="0"/>
      <w:sz w:val="24"/>
      <w:szCs w:val="20"/>
    </w:rPr>
  </w:style>
  <w:style w:type="paragraph" w:customStyle="1" w:styleId="159">
    <w:name w:val="列出段落3"/>
    <w:basedOn w:val="1"/>
    <w:qFormat/>
    <w:uiPriority w:val="0"/>
    <w:pPr>
      <w:ind w:firstLine="420" w:firstLineChars="200"/>
    </w:pPr>
    <w:rPr>
      <w:szCs w:val="20"/>
    </w:rPr>
  </w:style>
  <w:style w:type="paragraph" w:customStyle="1" w:styleId="160">
    <w:name w:val="默认段落字体 Para Char Char Char Char Char Char Char Char Char Char"/>
    <w:basedOn w:val="1"/>
    <w:qFormat/>
    <w:uiPriority w:val="99"/>
    <w:rPr>
      <w:kern w:val="0"/>
      <w:szCs w:val="20"/>
    </w:rPr>
  </w:style>
  <w:style w:type="paragraph" w:customStyle="1" w:styleId="161">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6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4">
    <w:name w:val="正文 A"/>
    <w:qFormat/>
    <w:uiPriority w:val="0"/>
    <w:pPr>
      <w:widowControl w:val="0"/>
      <w:jc w:val="both"/>
    </w:pPr>
    <w:rPr>
      <w:rFonts w:ascii="Arial Unicode MS" w:hAnsi="Arial Unicode MS" w:eastAsia="Arial Unicode MS" w:cs="Arial Unicode MS"/>
      <w:color w:val="000000"/>
      <w:kern w:val="2"/>
      <w:sz w:val="52"/>
      <w:szCs w:val="52"/>
      <w:lang w:val="en-US" w:eastAsia="zh-CN" w:bidi="ar-SA"/>
    </w:rPr>
  </w:style>
  <w:style w:type="paragraph" w:customStyle="1" w:styleId="165">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WPSOffice手动目录 1"/>
    <w:qFormat/>
    <w:uiPriority w:val="0"/>
    <w:rPr>
      <w:rFonts w:ascii="Times New Roman" w:hAnsi="Times New Roman" w:eastAsia="宋体" w:cs="Times New Roman"/>
      <w:lang w:val="en-US" w:eastAsia="zh-CN" w:bidi="ar-SA"/>
    </w:rPr>
  </w:style>
  <w:style w:type="paragraph" w:customStyle="1" w:styleId="167">
    <w:name w:val="Char1"/>
    <w:basedOn w:val="14"/>
    <w:qFormat/>
    <w:uiPriority w:val="99"/>
    <w:rPr>
      <w:rFonts w:ascii="Tahoma" w:hAnsi="Tahoma"/>
    </w:rPr>
  </w:style>
  <w:style w:type="paragraph" w:customStyle="1" w:styleId="168">
    <w:name w:val="Char Char Char"/>
    <w:basedOn w:val="14"/>
    <w:qFormat/>
    <w:uiPriority w:val="99"/>
    <w:pPr>
      <w:shd w:val="clear" w:color="auto" w:fill="auto"/>
    </w:pPr>
    <w:rPr>
      <w:rFonts w:ascii="宋体"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2992</Words>
  <Characters>17055</Characters>
  <Lines>142</Lines>
  <Paragraphs>40</Paragraphs>
  <TotalTime>3</TotalTime>
  <ScaleCrop>false</ScaleCrop>
  <LinksUpToDate>false</LinksUpToDate>
  <CharactersWithSpaces>20007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2020-12-09T09:16:00Z</dcterms:created>
  <dc:creator>LZH</dc:creator>
  <cp:lastModifiedBy>ASUS</cp:lastModifiedBy>
  <cp:lastPrinted>2021-04-20T04:29:00Z</cp:lastPrinted>
  <dcterms:modified xsi:type="dcterms:W3CDTF">2021-10-09T01:36:53Z</dcterms:modified>
  <dc:title>广西科文招标有限公司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AB01F4C2E1164BF898A1669C5F0DF5F0</vt:lpwstr>
  </property>
</Properties>
</file>