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color w:val="auto"/>
          <w:sz w:val="21"/>
          <w:szCs w:val="21"/>
          <w:highlight w:val="none"/>
        </w:rPr>
      </w:pPr>
      <w:bookmarkStart w:id="0" w:name="_Toc183682338"/>
      <w:bookmarkStart w:id="1" w:name="_Toc217446030"/>
    </w:p>
    <w:p>
      <w:pPr>
        <w:ind w:left="187" w:leftChars="89"/>
        <w:jc w:val="right"/>
        <w:rPr>
          <w:rFonts w:hint="eastAsia" w:asciiTheme="minorEastAsia" w:hAnsiTheme="minorEastAsia" w:eastAsiaTheme="minorEastAsia" w:cstheme="minorEastAsia"/>
          <w:color w:val="auto"/>
          <w:sz w:val="21"/>
          <w:szCs w:val="21"/>
          <w:highlight w:val="none"/>
        </w:rPr>
      </w:pPr>
    </w:p>
    <w:p>
      <w:pPr>
        <w:rPr>
          <w:rFonts w:hint="eastAsia" w:ascii="宋体" w:hAnsi="宋体" w:cs="宋体"/>
          <w:b/>
          <w:color w:val="auto"/>
          <w:sz w:val="52"/>
          <w:szCs w:val="52"/>
          <w:highlight w:val="none"/>
          <w:u w:val="single"/>
        </w:rPr>
      </w:pPr>
      <w:bookmarkStart w:id="2" w:name="csmb"/>
      <w:bookmarkEnd w:id="2"/>
      <w:bookmarkStart w:id="3" w:name="jinjicd"/>
      <w:bookmarkEnd w:id="3"/>
      <w:r>
        <w:rPr>
          <w:color w:val="auto"/>
          <w:highlight w:val="none"/>
        </w:rPr>
        <w:drawing>
          <wp:inline distT="0" distB="0" distL="114300" distR="114300">
            <wp:extent cx="913765" cy="726440"/>
            <wp:effectExtent l="0" t="0" r="63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913765" cy="726440"/>
                    </a:xfrm>
                    <a:prstGeom prst="rect">
                      <a:avLst/>
                    </a:prstGeom>
                    <a:noFill/>
                    <a:ln>
                      <a:noFill/>
                    </a:ln>
                  </pic:spPr>
                </pic:pic>
              </a:graphicData>
            </a:graphic>
          </wp:inline>
        </w:drawing>
      </w:r>
      <w:r>
        <w:rPr>
          <w:rFonts w:hint="eastAsia" w:ascii="宋体" w:hAnsi="宋体" w:cs="宋体"/>
          <w:b/>
          <w:color w:val="auto"/>
          <w:sz w:val="44"/>
          <w:szCs w:val="44"/>
          <w:highlight w:val="none"/>
        </w:rPr>
        <w:t xml:space="preserve"> 广西鸿业建设工程管理咨询有限公司 </w:t>
      </w:r>
    </w:p>
    <w:tbl>
      <w:tblPr>
        <w:tblStyle w:val="35"/>
        <w:tblW w:w="918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180" w:type="dxa"/>
            <w:tcBorders>
              <w:top w:val="thickThinSmallGap" w:color="auto" w:sz="24" w:space="0"/>
            </w:tcBorders>
            <w:noWrap w:val="0"/>
            <w:vAlign w:val="top"/>
          </w:tcPr>
          <w:p>
            <w:pPr>
              <w:spacing w:line="240" w:lineRule="exact"/>
              <w:jc w:val="center"/>
              <w:rPr>
                <w:rFonts w:hint="eastAsia" w:ascii="楷体_GB2312" w:hAnsi="宋体" w:eastAsia="楷体_GB2312" w:cs="宋体"/>
                <w:bCs/>
                <w:color w:val="auto"/>
                <w:kern w:val="0"/>
                <w:sz w:val="28"/>
                <w:szCs w:val="28"/>
                <w:highlight w:val="none"/>
              </w:rPr>
            </w:pPr>
          </w:p>
        </w:tc>
      </w:tr>
    </w:tbl>
    <w:p>
      <w:pPr>
        <w:spacing w:line="720" w:lineRule="exact"/>
        <w:jc w:val="center"/>
        <w:rPr>
          <w:rFonts w:hint="eastAsia" w:ascii="宋体" w:hAnsi="宋体" w:cs="宋体"/>
          <w:color w:val="auto"/>
          <w:sz w:val="52"/>
          <w:highlight w:val="none"/>
        </w:rPr>
      </w:pPr>
    </w:p>
    <w:p>
      <w:pPr>
        <w:spacing w:line="800" w:lineRule="exact"/>
        <w:jc w:val="center"/>
        <w:rPr>
          <w:rFonts w:hint="eastAsia" w:ascii="宋体" w:hAnsi="宋体" w:cs="宋体"/>
          <w:color w:val="auto"/>
          <w:sz w:val="52"/>
          <w:highlight w:val="none"/>
        </w:rPr>
      </w:pPr>
    </w:p>
    <w:p>
      <w:pPr>
        <w:spacing w:line="1000" w:lineRule="exact"/>
        <w:jc w:val="center"/>
        <w:rPr>
          <w:rFonts w:hint="eastAsia" w:ascii="宋体" w:hAnsi="宋体" w:cs="宋体"/>
          <w:b/>
          <w:color w:val="auto"/>
          <w:sz w:val="84"/>
          <w:szCs w:val="84"/>
          <w:highlight w:val="none"/>
        </w:rPr>
      </w:pPr>
      <w:r>
        <w:rPr>
          <w:rFonts w:hint="eastAsia" w:ascii="宋体" w:hAnsi="宋体" w:cs="宋体"/>
          <w:b/>
          <w:color w:val="auto"/>
          <w:sz w:val="84"/>
          <w:szCs w:val="84"/>
          <w:highlight w:val="none"/>
        </w:rPr>
        <w:t xml:space="preserve"> </w:t>
      </w:r>
      <w:r>
        <w:rPr>
          <w:rFonts w:hint="eastAsia" w:ascii="宋体" w:hAnsi="宋体" w:cs="宋体"/>
          <w:b/>
          <w:color w:val="auto"/>
          <w:sz w:val="84"/>
          <w:szCs w:val="84"/>
          <w:highlight w:val="none"/>
          <w:lang w:val="en-US" w:eastAsia="zh-CN"/>
        </w:rPr>
        <w:t>公开招标</w:t>
      </w:r>
      <w:r>
        <w:rPr>
          <w:rFonts w:hint="eastAsia" w:ascii="宋体" w:hAnsi="宋体" w:cs="宋体"/>
          <w:b/>
          <w:color w:val="auto"/>
          <w:sz w:val="84"/>
          <w:szCs w:val="84"/>
          <w:highlight w:val="none"/>
        </w:rPr>
        <w:t>文件</w:t>
      </w:r>
      <w:r>
        <w:rPr>
          <w:rFonts w:hint="eastAsia" w:ascii="宋体" w:hAnsi="宋体" w:cs="宋体"/>
          <w:b/>
          <w:color w:val="auto"/>
          <w:sz w:val="84"/>
          <w:szCs w:val="84"/>
          <w:highlight w:val="none"/>
        </w:rPr>
        <w:cr/>
      </w:r>
      <w:r>
        <w:rPr>
          <w:rFonts w:hint="eastAsia" w:ascii="宋体" w:hAnsi="宋体" w:cs="宋体"/>
          <w:b/>
          <w:color w:val="auto"/>
          <w:sz w:val="84"/>
          <w:szCs w:val="84"/>
          <w:highlight w:val="none"/>
        </w:rPr>
        <w:cr/>
      </w:r>
    </w:p>
    <w:p>
      <w:pPr>
        <w:pStyle w:val="22"/>
        <w:rPr>
          <w:rFonts w:hint="eastAsia" w:hAnsi="宋体" w:cs="宋体"/>
          <w:color w:val="auto"/>
          <w:highlight w:val="none"/>
        </w:rPr>
      </w:pPr>
    </w:p>
    <w:p>
      <w:pPr>
        <w:ind w:left="2731" w:hanging="2731" w:hangingChars="850"/>
        <w:jc w:val="left"/>
        <w:rPr>
          <w:rFonts w:hint="eastAsia" w:ascii="宋体" w:hAnsi="宋体" w:cs="宋体"/>
          <w:b/>
          <w:bCs/>
          <w:color w:val="auto"/>
          <w:kern w:val="0"/>
          <w:sz w:val="32"/>
          <w:highlight w:val="none"/>
        </w:rPr>
      </w:pPr>
      <w:r>
        <w:rPr>
          <w:rFonts w:hint="eastAsia" w:ascii="宋体" w:hAnsi="宋体" w:cs="宋体"/>
          <w:b/>
          <w:bCs/>
          <w:color w:val="auto"/>
          <w:kern w:val="0"/>
          <w:sz w:val="32"/>
          <w:highlight w:val="none"/>
        </w:rPr>
        <w:t xml:space="preserve">      项目名称：防城港市公安局机房改造升级项目设备采购      </w:t>
      </w:r>
    </w:p>
    <w:p>
      <w:pPr>
        <w:ind w:left="2731" w:leftChars="459" w:hanging="1767" w:hangingChars="550"/>
        <w:jc w:val="left"/>
        <w:rPr>
          <w:rFonts w:hint="eastAsia" w:ascii="宋体" w:hAnsi="宋体" w:eastAsia="微软雅黑" w:cs="宋体"/>
          <w:b/>
          <w:bCs w:val="0"/>
          <w:color w:val="auto"/>
          <w:spacing w:val="40"/>
          <w:sz w:val="32"/>
          <w:szCs w:val="32"/>
          <w:highlight w:val="none"/>
          <w:lang w:eastAsia="zh-CN"/>
        </w:rPr>
      </w:pPr>
      <w:r>
        <w:rPr>
          <w:rFonts w:hint="eastAsia" w:ascii="宋体" w:hAnsi="宋体" w:cs="宋体"/>
          <w:b/>
          <w:bCs/>
          <w:color w:val="auto"/>
          <w:kern w:val="0"/>
          <w:sz w:val="32"/>
          <w:highlight w:val="none"/>
        </w:rPr>
        <w:t>项目编号：FCZC2020-G1-1000</w:t>
      </w:r>
      <w:r>
        <w:rPr>
          <w:rFonts w:hint="eastAsia" w:ascii="宋体" w:hAnsi="宋体" w:cs="宋体"/>
          <w:b/>
          <w:bCs/>
          <w:color w:val="auto"/>
          <w:kern w:val="0"/>
          <w:sz w:val="32"/>
          <w:highlight w:val="none"/>
          <w:lang w:val="en-US" w:eastAsia="zh-CN"/>
        </w:rPr>
        <w:t>3</w:t>
      </w:r>
      <w:r>
        <w:rPr>
          <w:rFonts w:hint="eastAsia" w:ascii="宋体" w:hAnsi="宋体" w:cs="宋体"/>
          <w:b/>
          <w:bCs/>
          <w:color w:val="auto"/>
          <w:kern w:val="0"/>
          <w:sz w:val="32"/>
          <w:highlight w:val="none"/>
        </w:rPr>
        <w:t>-</w:t>
      </w:r>
      <w:r>
        <w:rPr>
          <w:rFonts w:hint="eastAsia" w:ascii="宋体" w:hAnsi="宋体" w:cs="宋体"/>
          <w:b/>
          <w:bCs w:val="0"/>
          <w:color w:val="auto"/>
          <w:sz w:val="32"/>
          <w:szCs w:val="32"/>
          <w:highlight w:val="none"/>
          <w:lang w:eastAsia="zh-CN"/>
        </w:rPr>
        <w:t>GXHY</w:t>
      </w:r>
    </w:p>
    <w:p>
      <w:pPr>
        <w:ind w:firstLine="1050" w:firstLineChars="500"/>
        <w:rPr>
          <w:rFonts w:hint="eastAsia" w:ascii="宋体" w:hAnsi="宋体" w:cs="宋体"/>
          <w:color w:val="auto"/>
          <w:highlight w:val="none"/>
        </w:rPr>
      </w:pPr>
      <w:r>
        <w:rPr>
          <w:rFonts w:hint="eastAsia" w:ascii="宋体" w:hAnsi="宋体" w:cs="宋体"/>
          <w:color w:val="auto"/>
          <w:highlight w:val="none"/>
        </w:rPr>
        <w:cr/>
      </w:r>
    </w:p>
    <w:p>
      <w:pPr>
        <w:ind w:firstLine="1050" w:firstLineChars="500"/>
        <w:rPr>
          <w:rFonts w:hint="eastAsia" w:ascii="宋体" w:hAnsi="宋体" w:cs="宋体"/>
          <w:color w:val="auto"/>
          <w:highlight w:val="none"/>
        </w:rPr>
      </w:pPr>
    </w:p>
    <w:p>
      <w:pPr>
        <w:ind w:firstLine="1050" w:firstLineChars="500"/>
        <w:rPr>
          <w:rFonts w:hint="eastAsia" w:ascii="宋体" w:hAnsi="宋体" w:cs="宋体"/>
          <w:color w:val="auto"/>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rPr>
          <w:rFonts w:hint="eastAsia" w:ascii="宋体" w:hAnsi="宋体" w:cs="宋体"/>
          <w:color w:val="auto"/>
          <w:highlight w:val="none"/>
        </w:rPr>
      </w:pPr>
    </w:p>
    <w:p>
      <w:pPr>
        <w:ind w:firstLine="1050" w:firstLineChars="500"/>
        <w:rPr>
          <w:rFonts w:hint="eastAsia" w:ascii="宋体" w:hAnsi="宋体" w:cs="宋体"/>
          <w:color w:val="auto"/>
          <w:highlight w:val="none"/>
        </w:rPr>
      </w:pPr>
    </w:p>
    <w:p>
      <w:pPr>
        <w:ind w:firstLine="1050" w:firstLineChars="500"/>
        <w:rPr>
          <w:rFonts w:hint="eastAsia" w:ascii="宋体" w:hAnsi="宋体" w:cs="宋体"/>
          <w:color w:val="auto"/>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ind w:firstLine="1050" w:firstLineChars="500"/>
        <w:rPr>
          <w:rFonts w:hint="eastAsia" w:ascii="宋体" w:hAnsi="宋体" w:cs="宋体"/>
          <w:color w:val="auto"/>
          <w:highlight w:val="none"/>
        </w:rPr>
      </w:pPr>
    </w:p>
    <w:p>
      <w:pPr>
        <w:pStyle w:val="22"/>
        <w:tabs>
          <w:tab w:val="left" w:pos="8860"/>
          <w:tab w:val="left" w:pos="9140"/>
        </w:tabs>
        <w:ind w:firstLine="1285" w:firstLineChars="400"/>
        <w:rPr>
          <w:rFonts w:hint="default" w:hAnsi="宋体" w:eastAsia="宋体" w:cs="宋体"/>
          <w:b/>
          <w:color w:val="auto"/>
          <w:sz w:val="32"/>
          <w:szCs w:val="32"/>
          <w:highlight w:val="none"/>
          <w:lang w:val="en-US" w:eastAsia="zh-CN"/>
        </w:rPr>
      </w:pPr>
      <w:r>
        <w:rPr>
          <w:rFonts w:hint="eastAsia" w:hAnsi="宋体" w:cs="宋体"/>
          <w:b/>
          <w:color w:val="auto"/>
          <w:sz w:val="32"/>
          <w:szCs w:val="32"/>
          <w:highlight w:val="none"/>
        </w:rPr>
        <w:t>采 购 人：防城港市公安局</w:t>
      </w:r>
    </w:p>
    <w:p>
      <w:pPr>
        <w:pStyle w:val="22"/>
        <w:tabs>
          <w:tab w:val="left" w:pos="8860"/>
          <w:tab w:val="left" w:pos="9140"/>
        </w:tabs>
        <w:ind w:firstLine="643" w:firstLineChars="200"/>
        <w:rPr>
          <w:rFonts w:hint="eastAsia" w:hAnsi="宋体" w:cs="宋体"/>
          <w:color w:val="auto"/>
          <w:sz w:val="44"/>
          <w:highlight w:val="none"/>
        </w:rPr>
      </w:pPr>
      <w:r>
        <w:rPr>
          <w:rFonts w:hint="eastAsia" w:hAnsi="宋体" w:cs="宋体"/>
          <w:b/>
          <w:color w:val="auto"/>
          <w:sz w:val="32"/>
          <w:szCs w:val="32"/>
          <w:highlight w:val="none"/>
        </w:rPr>
        <w:t>采购代理机构：广西鸿业建设工程管理咨询有限公司</w:t>
      </w:r>
      <w:r>
        <w:rPr>
          <w:rFonts w:hint="eastAsia" w:hAnsi="宋体" w:cs="宋体"/>
          <w:b/>
          <w:color w:val="auto"/>
          <w:sz w:val="32"/>
          <w:szCs w:val="32"/>
          <w:highlight w:val="none"/>
        </w:rPr>
        <w:cr/>
      </w:r>
      <w:r>
        <w:rPr>
          <w:rFonts w:hint="eastAsia" w:hAnsi="宋体" w:cs="宋体"/>
          <w:b/>
          <w:bCs/>
          <w:color w:val="auto"/>
          <w:spacing w:val="40"/>
          <w:kern w:val="0"/>
          <w:sz w:val="32"/>
          <w:highlight w:val="none"/>
        </w:rPr>
        <w:t xml:space="preserve">              </w:t>
      </w:r>
      <w:r>
        <w:rPr>
          <w:rFonts w:hint="eastAsia" w:hAnsi="宋体" w:cs="宋体"/>
          <w:b/>
          <w:color w:val="auto"/>
          <w:sz w:val="32"/>
          <w:szCs w:val="32"/>
          <w:highlight w:val="none"/>
        </w:rPr>
        <w:t>20</w:t>
      </w:r>
      <w:r>
        <w:rPr>
          <w:rFonts w:hint="eastAsia" w:hAnsi="宋体" w:cs="宋体"/>
          <w:b/>
          <w:color w:val="auto"/>
          <w:sz w:val="32"/>
          <w:szCs w:val="32"/>
          <w:highlight w:val="none"/>
          <w:lang w:val="en-US" w:eastAsia="zh-CN"/>
        </w:rPr>
        <w:t>20</w:t>
      </w:r>
      <w:r>
        <w:rPr>
          <w:rFonts w:hint="eastAsia" w:hAnsi="宋体" w:cs="宋体"/>
          <w:b/>
          <w:bCs/>
          <w:color w:val="auto"/>
          <w:sz w:val="32"/>
          <w:highlight w:val="none"/>
        </w:rPr>
        <w:t>年</w:t>
      </w:r>
      <w:r>
        <w:rPr>
          <w:rFonts w:hint="eastAsia" w:hAnsi="宋体" w:cs="宋体"/>
          <w:b/>
          <w:color w:val="auto"/>
          <w:sz w:val="32"/>
          <w:szCs w:val="32"/>
          <w:highlight w:val="none"/>
          <w:lang w:val="en-US" w:eastAsia="zh-CN"/>
        </w:rPr>
        <w:t>5</w:t>
      </w:r>
      <w:r>
        <w:rPr>
          <w:rFonts w:hint="eastAsia" w:hAnsi="宋体" w:cs="宋体"/>
          <w:b/>
          <w:color w:val="auto"/>
          <w:sz w:val="32"/>
          <w:szCs w:val="32"/>
          <w:highlight w:val="none"/>
        </w:rPr>
        <w:t>月</w:t>
      </w:r>
    </w:p>
    <w:p>
      <w:pPr>
        <w:pStyle w:val="22"/>
        <w:spacing w:before="120" w:after="120"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br w:type="page"/>
      </w:r>
      <w:r>
        <w:rPr>
          <w:rFonts w:hint="eastAsia" w:asciiTheme="minorEastAsia" w:hAnsiTheme="minorEastAsia" w:eastAsiaTheme="minorEastAsia" w:cstheme="minorEastAsia"/>
          <w:b/>
          <w:color w:val="auto"/>
          <w:sz w:val="21"/>
          <w:szCs w:val="21"/>
          <w:highlight w:val="none"/>
        </w:rPr>
        <w:t>目    录</w:t>
      </w:r>
    </w:p>
    <w:p>
      <w:pPr>
        <w:numPr>
          <w:ilvl w:val="0"/>
          <w:numId w:val="5"/>
        </w:numPr>
        <w:spacing w:beforeLines="50" w:line="480" w:lineRule="exact"/>
        <w:ind w:left="1440" w:hanging="127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公开招标公告……………………………………………………………2</w:t>
      </w:r>
    </w:p>
    <w:p>
      <w:pPr>
        <w:numPr>
          <w:ilvl w:val="0"/>
          <w:numId w:val="5"/>
        </w:numPr>
        <w:spacing w:beforeLines="50" w:line="480" w:lineRule="exact"/>
        <w:ind w:left="1440" w:hanging="127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招标项目采购需求………………………………………………………4</w:t>
      </w:r>
    </w:p>
    <w:p>
      <w:pPr>
        <w:numPr>
          <w:ilvl w:val="0"/>
          <w:numId w:val="5"/>
        </w:numPr>
        <w:spacing w:beforeLines="50" w:line="480" w:lineRule="exact"/>
        <w:ind w:left="1440" w:hanging="127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投标人须知………………………………………………………………8</w:t>
      </w:r>
    </w:p>
    <w:p>
      <w:pPr>
        <w:numPr>
          <w:ilvl w:val="0"/>
          <w:numId w:val="5"/>
        </w:numPr>
        <w:spacing w:beforeLines="50" w:line="480" w:lineRule="exact"/>
        <w:ind w:left="1440" w:hanging="127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评标办法及评分标准……………………………………………………22</w:t>
      </w:r>
    </w:p>
    <w:p>
      <w:pPr>
        <w:numPr>
          <w:ilvl w:val="0"/>
          <w:numId w:val="5"/>
        </w:numPr>
        <w:spacing w:beforeLines="50" w:line="480" w:lineRule="exact"/>
        <w:ind w:left="1440" w:hanging="127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政府采购合同主要条款…………………………………………………26</w:t>
      </w:r>
    </w:p>
    <w:p>
      <w:pPr>
        <w:numPr>
          <w:ilvl w:val="0"/>
          <w:numId w:val="5"/>
        </w:numPr>
        <w:spacing w:beforeLines="50" w:line="480" w:lineRule="exact"/>
        <w:ind w:left="1440" w:hanging="1275"/>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投标文件格式……………………………………………………………32</w:t>
      </w:r>
    </w:p>
    <w:p>
      <w:pPr>
        <w:rPr>
          <w:rFonts w:hint="eastAsia" w:asciiTheme="minorEastAsia" w:hAnsiTheme="minorEastAsia" w:eastAsiaTheme="minorEastAsia" w:cstheme="minorEastAsia"/>
          <w:color w:val="auto"/>
          <w:szCs w:val="21"/>
          <w:highlight w:val="none"/>
        </w:rPr>
      </w:pPr>
    </w:p>
    <w:p>
      <w:pPr>
        <w:spacing w:beforeLines="50" w:line="480" w:lineRule="exact"/>
        <w:rPr>
          <w:rFonts w:hint="eastAsia" w:asciiTheme="minorEastAsia" w:hAnsiTheme="minorEastAsia" w:eastAsiaTheme="minorEastAsia" w:cstheme="minorEastAsia"/>
          <w:color w:val="auto"/>
          <w:sz w:val="21"/>
          <w:szCs w:val="21"/>
          <w:highlight w:val="none"/>
        </w:rPr>
      </w:pPr>
    </w:p>
    <w:p>
      <w:pPr>
        <w:pStyle w:val="6"/>
        <w:spacing w:line="24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color w:val="auto"/>
          <w:sz w:val="21"/>
          <w:szCs w:val="21"/>
          <w:highlight w:val="none"/>
        </w:rPr>
        <w:br w:type="page"/>
      </w:r>
      <w:bookmarkStart w:id="4" w:name="_Toc254970489"/>
      <w:bookmarkStart w:id="5" w:name="_Toc254970630"/>
      <w:r>
        <w:rPr>
          <w:rFonts w:hint="eastAsia" w:asciiTheme="minorEastAsia" w:hAnsiTheme="minorEastAsia" w:eastAsiaTheme="minorEastAsia" w:cstheme="minorEastAsia"/>
          <w:b/>
          <w:bCs/>
          <w:color w:val="auto"/>
          <w:sz w:val="28"/>
          <w:szCs w:val="28"/>
          <w:highlight w:val="none"/>
        </w:rPr>
        <w:t xml:space="preserve">第一章     招标公告  </w:t>
      </w:r>
      <w:bookmarkEnd w:id="4"/>
      <w:bookmarkEnd w:id="5"/>
    </w:p>
    <w:p>
      <w:pPr>
        <w:pStyle w:val="6"/>
        <w:spacing w:line="24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 xml:space="preserve">防城港市公安局机房改造升级项目设备采购 </w:t>
      </w:r>
    </w:p>
    <w:p>
      <w:pPr>
        <w:pStyle w:val="6"/>
        <w:spacing w:line="24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公开招标公告</w:t>
      </w:r>
    </w:p>
    <w:p>
      <w:pPr>
        <w:snapToGrid w:val="0"/>
        <w:spacing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广西鸿业建设工程管理咨询有限公司</w:t>
      </w:r>
      <w:r>
        <w:rPr>
          <w:rFonts w:hint="eastAsia" w:asciiTheme="minorEastAsia" w:hAnsiTheme="minorEastAsia" w:eastAsiaTheme="minorEastAsia" w:cstheme="minorEastAsia"/>
          <w:color w:val="auto"/>
          <w:szCs w:val="21"/>
          <w:highlight w:val="none"/>
        </w:rPr>
        <w:t>受</w:t>
      </w:r>
      <w:r>
        <w:rPr>
          <w:rFonts w:hint="eastAsia" w:asciiTheme="minorEastAsia" w:hAnsiTheme="minorEastAsia" w:eastAsiaTheme="minorEastAsia" w:cstheme="minorEastAsia"/>
          <w:color w:val="auto"/>
          <w:szCs w:val="21"/>
          <w:highlight w:val="none"/>
          <w:u w:val="single"/>
        </w:rPr>
        <w:t>防城港市公安局</w:t>
      </w:r>
      <w:r>
        <w:rPr>
          <w:rFonts w:hint="eastAsia" w:asciiTheme="minorEastAsia" w:hAnsiTheme="minorEastAsia" w:eastAsiaTheme="minorEastAsia" w:cstheme="minorEastAsia"/>
          <w:color w:val="auto"/>
          <w:szCs w:val="21"/>
          <w:highlight w:val="none"/>
        </w:rPr>
        <w:t>委托，根据《中华人民共和国政府采购法》等有关规定，现对</w:t>
      </w:r>
      <w:r>
        <w:rPr>
          <w:rFonts w:hint="eastAsia" w:asciiTheme="minorEastAsia" w:hAnsiTheme="minorEastAsia" w:eastAsiaTheme="minorEastAsia" w:cstheme="minorEastAsia"/>
          <w:color w:val="auto"/>
          <w:szCs w:val="21"/>
          <w:highlight w:val="none"/>
          <w:u w:val="single"/>
        </w:rPr>
        <w:t xml:space="preserve">防城港市公安局机房改造升级项目设备采购 </w:t>
      </w:r>
      <w:r>
        <w:rPr>
          <w:rFonts w:hint="eastAsia" w:asciiTheme="minorEastAsia" w:hAnsiTheme="minorEastAsia" w:eastAsiaTheme="minorEastAsia" w:cstheme="minorEastAsia"/>
          <w:color w:val="auto"/>
          <w:szCs w:val="21"/>
          <w:highlight w:val="none"/>
        </w:rPr>
        <w:t>项目进行公开招标，现将本次公开招标有关事项公告如下:</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一、采购项目名称：</w:t>
      </w:r>
      <w:r>
        <w:rPr>
          <w:rFonts w:hint="eastAsia" w:asciiTheme="minorEastAsia" w:hAnsiTheme="minorEastAsia" w:eastAsiaTheme="minorEastAsia" w:cstheme="minorEastAsia"/>
          <w:bCs/>
          <w:color w:val="auto"/>
          <w:szCs w:val="21"/>
          <w:highlight w:val="none"/>
        </w:rPr>
        <w:t xml:space="preserve">防城港市公安局机房改造升级项目设备采购 </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二、采购项目编号：</w:t>
      </w:r>
      <w:r>
        <w:rPr>
          <w:rFonts w:hint="eastAsia" w:asciiTheme="minorEastAsia" w:hAnsiTheme="minorEastAsia" w:eastAsiaTheme="minorEastAsia" w:cstheme="minorEastAsia"/>
          <w:bCs/>
          <w:color w:val="auto"/>
          <w:szCs w:val="21"/>
          <w:highlight w:val="none"/>
        </w:rPr>
        <w:t>FCZC2020-G1-10003-GXHY</w:t>
      </w:r>
    </w:p>
    <w:p>
      <w:pPr>
        <w:snapToGrid w:val="0"/>
        <w:spacing w:line="380" w:lineRule="exact"/>
        <w:ind w:firstLine="422"/>
        <w:rPr>
          <w:rFonts w:hint="eastAsia" w:asciiTheme="minorEastAsia" w:hAnsiTheme="minorEastAsia" w:eastAsiaTheme="minorEastAsia" w:cstheme="minorEastAsia"/>
          <w:bCs/>
          <w:color w:val="0000FF"/>
          <w:szCs w:val="21"/>
          <w:highlight w:val="none"/>
        </w:rPr>
      </w:pPr>
      <w:r>
        <w:rPr>
          <w:rFonts w:hint="eastAsia" w:asciiTheme="minorEastAsia" w:hAnsiTheme="minorEastAsia" w:eastAsiaTheme="minorEastAsia" w:cstheme="minorEastAsia"/>
          <w:b/>
          <w:color w:val="auto"/>
          <w:szCs w:val="21"/>
          <w:highlight w:val="none"/>
        </w:rPr>
        <w:t>三、采购项目的名称、数量、简要规格描述或项目基本概况介绍：</w:t>
      </w:r>
      <w:r>
        <w:rPr>
          <w:rFonts w:hint="eastAsia" w:asciiTheme="minorEastAsia" w:hAnsiTheme="minorEastAsia" w:eastAsiaTheme="minorEastAsia" w:cstheme="minorEastAsia"/>
          <w:bCs/>
          <w:color w:val="auto"/>
          <w:szCs w:val="21"/>
          <w:highlight w:val="none"/>
        </w:rPr>
        <w:t xml:space="preserve">防城港市公安局机房改造升级项目设备采购 1项。如需进一步了解详细内容，详见招标文件。 </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四、采购项目预算金额（人民币）：</w:t>
      </w:r>
      <w:r>
        <w:rPr>
          <w:rFonts w:hint="eastAsia" w:asciiTheme="minorEastAsia" w:hAnsiTheme="minorEastAsia" w:eastAsiaTheme="minorEastAsia" w:cstheme="minorEastAsia"/>
          <w:bCs/>
          <w:color w:val="auto"/>
          <w:szCs w:val="21"/>
          <w:highlight w:val="none"/>
        </w:rPr>
        <w:t>陆佰伍拾柒万柒仟叁佰柒拾捌元捌角捌分（￥6577378.88）</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五、本项目需要落实的政府采购政策：</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1.政府采购促进中小企业发展。</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2.政府采购支持采用本国产品的政策。</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3.强制采购节能产品；优先采购节能产品、环境标志产品。</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4.政府采购促进残疾人就业政策。</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5.政府采购支持监狱企业发展。</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6.政府采购扶持不发达地区和少数民族地区政策。</w:t>
      </w:r>
    </w:p>
    <w:p>
      <w:pPr>
        <w:snapToGrid w:val="0"/>
        <w:spacing w:line="400" w:lineRule="exact"/>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六</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color w:val="auto"/>
          <w:szCs w:val="21"/>
          <w:highlight w:val="none"/>
        </w:rPr>
        <w:t>合格投标人的资格要求</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1.国内注册（指按国家有关规定要求注册的），生产或经营本次招标采购货物的供应商，根据《中华人民政府采购法实施条例》释义，银行、保险、石油石化、电力、电信等行业可以由分公司投标；</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2.符合《中华人民共和国政府采购法》第二十二条规定；</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对在“信用中国”网站(www.creditchina.gov.cn)、中国政府采购网(www.ccgp.gov.cn)等渠道列入失信被执行人、重大税收违法案件当事人名单、政府采购严重违法失信行为记录名单的供应商，视为资格审查不通过，不得参与政府采购活动；</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5.本项目不接受联合体投标；</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6.本项目不接受未按招标文件规定的方式获取本招标文件的投标人参与投标。</w:t>
      </w:r>
    </w:p>
    <w:p>
      <w:pPr>
        <w:snapToGrid w:val="0"/>
        <w:spacing w:line="38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 xml:space="preserve">    七、招标文件的获取：</w:t>
      </w:r>
    </w:p>
    <w:p>
      <w:pPr>
        <w:snapToGrid w:val="0"/>
        <w:spacing w:line="38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1.发售时间：</w:t>
      </w:r>
      <w:r>
        <w:rPr>
          <w:rFonts w:hint="eastAsia" w:asciiTheme="minorEastAsia" w:hAnsiTheme="minorEastAsia" w:eastAsiaTheme="minorEastAsia" w:cstheme="minorEastAsia"/>
          <w:color w:val="auto"/>
          <w:szCs w:val="21"/>
          <w:highlight w:val="none"/>
        </w:rPr>
        <w:t>2020年</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26</w:t>
      </w:r>
      <w:r>
        <w:rPr>
          <w:rFonts w:hint="eastAsia" w:asciiTheme="minorEastAsia" w:hAnsiTheme="minorEastAsia" w:eastAsiaTheme="minorEastAsia" w:cstheme="minorEastAsia"/>
          <w:color w:val="auto"/>
          <w:szCs w:val="21"/>
          <w:highlight w:val="none"/>
        </w:rPr>
        <w:t>日公告发布之时起至2020年</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日</w:t>
      </w:r>
      <w:r>
        <w:rPr>
          <w:rFonts w:hint="eastAsia" w:asciiTheme="minorEastAsia" w:hAnsiTheme="minorEastAsia" w:eastAsiaTheme="minorEastAsia" w:cstheme="minorEastAsia"/>
          <w:color w:val="auto"/>
          <w:szCs w:val="21"/>
          <w:highlight w:val="none"/>
        </w:rPr>
        <w:t>止</w:t>
      </w:r>
      <w:r>
        <w:rPr>
          <w:rFonts w:hint="eastAsia" w:asciiTheme="minorEastAsia" w:hAnsiTheme="minorEastAsia" w:eastAsiaTheme="minorEastAsia" w:cstheme="minorEastAsia"/>
          <w:bCs/>
          <w:color w:val="auto"/>
          <w:szCs w:val="21"/>
          <w:highlight w:val="none"/>
        </w:rPr>
        <w:t>（工作日，双休日和法定节假日不办理业务），每日上午9时00分到12时00分，下午13时30分到16时30分；</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2.购买条件：在疫情期间，本项目采用网上报名获取采购文件，请潜在供应商提供以下资料扫描件发送至</w:t>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HYPERLINK "mailto:814774189@qq.com"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bCs/>
          <w:color w:val="auto"/>
          <w:szCs w:val="21"/>
          <w:highlight w:val="none"/>
        </w:rPr>
        <w:t>814774189@qq.com</w:t>
      </w:r>
      <w:r>
        <w:rPr>
          <w:rFonts w:hint="eastAsia" w:asciiTheme="minorEastAsia" w:hAnsiTheme="minorEastAsia" w:eastAsiaTheme="minorEastAsia" w:cstheme="minorEastAsia"/>
          <w:bCs/>
          <w:color w:val="auto"/>
          <w:szCs w:val="21"/>
          <w:highlight w:val="none"/>
        </w:rPr>
        <w:fldChar w:fldCharType="end"/>
      </w:r>
      <w:r>
        <w:rPr>
          <w:rFonts w:hint="eastAsia" w:asciiTheme="minorEastAsia" w:hAnsiTheme="minorEastAsia" w:eastAsiaTheme="minorEastAsia" w:cstheme="minorEastAsia"/>
          <w:bCs/>
          <w:color w:val="auto"/>
          <w:szCs w:val="21"/>
          <w:highlight w:val="none"/>
        </w:rPr>
        <w:t>电子邮箱：法定代表人（或负责人）或委托代理人身份证复印件、有效的企业法人（或负责人）授权委托书原件（如委托须提供）、企业营业执照副本复印件、本人身份证原件及复印件。（上述复印件均须加盖公章，报名材料通过核查方可购买招标文件，已获取招标文件的供应商不等于符合本项目的投标人资格。</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3.售价：每本250元（不含其它资料费），招标采购文件售后不退；         </w:t>
      </w:r>
    </w:p>
    <w:p>
      <w:pPr>
        <w:snapToGrid w:val="0"/>
        <w:spacing w:line="380" w:lineRule="exact"/>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en-US" w:eastAsia="zh-CN"/>
        </w:rPr>
        <w:t>八</w:t>
      </w:r>
      <w:r>
        <w:rPr>
          <w:rFonts w:hint="eastAsia" w:asciiTheme="minorEastAsia" w:hAnsiTheme="minorEastAsia" w:eastAsiaTheme="minorEastAsia" w:cstheme="minorEastAsia"/>
          <w:b/>
          <w:color w:val="auto"/>
          <w:szCs w:val="21"/>
          <w:highlight w:val="none"/>
        </w:rPr>
        <w:t>、投标截止时间和地点:</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投标人应于2020年</w:t>
      </w:r>
      <w:r>
        <w:rPr>
          <w:rFonts w:hint="eastAsia" w:asciiTheme="minorEastAsia" w:hAnsiTheme="minorEastAsia" w:eastAsiaTheme="minorEastAsia" w:cstheme="minorEastAsia"/>
          <w:bCs/>
          <w:color w:val="auto"/>
          <w:szCs w:val="21"/>
          <w:highlight w:val="none"/>
          <w:lang w:val="en-US" w:eastAsia="zh-CN"/>
        </w:rPr>
        <w:t>6</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16</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09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分00秒</w:t>
      </w:r>
      <w:r>
        <w:rPr>
          <w:rFonts w:hint="eastAsia" w:asciiTheme="minorEastAsia" w:hAnsiTheme="minorEastAsia" w:eastAsiaTheme="minorEastAsia" w:cstheme="minorEastAsia"/>
          <w:bCs/>
          <w:color w:val="auto"/>
          <w:szCs w:val="21"/>
          <w:highlight w:val="none"/>
        </w:rPr>
        <w:t>止，将投标文件密封送交到防城港市公共资源交易中心（防城港市迎宾路红树林大厦东塔，具体开标室根据6楼电子屏幕显示的安排）开标厅，逾期送达的将予以拒收。</w:t>
      </w:r>
    </w:p>
    <w:p>
      <w:pPr>
        <w:snapToGrid w:val="0"/>
        <w:spacing w:line="380" w:lineRule="exact"/>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en-US" w:eastAsia="zh-CN"/>
        </w:rPr>
        <w:t>九</w:t>
      </w:r>
      <w:r>
        <w:rPr>
          <w:rFonts w:hint="eastAsia" w:asciiTheme="minorEastAsia" w:hAnsiTheme="minorEastAsia" w:eastAsiaTheme="minorEastAsia" w:cstheme="minorEastAsia"/>
          <w:b/>
          <w:color w:val="auto"/>
          <w:szCs w:val="21"/>
          <w:highlight w:val="none"/>
        </w:rPr>
        <w:t>、开标时间及地点:</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本次招标将于2020年</w:t>
      </w:r>
      <w:r>
        <w:rPr>
          <w:rFonts w:hint="eastAsia" w:asciiTheme="minorEastAsia" w:hAnsiTheme="minorEastAsia" w:eastAsiaTheme="minorEastAsia" w:cstheme="minorEastAsia"/>
          <w:bCs/>
          <w:color w:val="auto"/>
          <w:szCs w:val="21"/>
          <w:highlight w:val="none"/>
          <w:lang w:val="en-US" w:eastAsia="zh-CN"/>
        </w:rPr>
        <w:t>6</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16</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09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在防城港市公共资源交易中心（防城港市迎宾路红树林大厦东塔，具体开标室根据6楼电子屏幕显示的安排）开标厅开标，投标人必须派法定代表人（负责人）或委托代理人出席开标会议(法定代表人（负责人）须携带法定代表人（负责人）身份证明书原件、身份证原件出席；委托代理人须携带本人身份证原件、法定代表人（负责人）授权委托书原件出席)。</w:t>
      </w:r>
    </w:p>
    <w:p>
      <w:pPr>
        <w:snapToGrid w:val="0"/>
        <w:spacing w:line="380" w:lineRule="exact"/>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十、联系事项：</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1.采购人名称：防城港市公安局             </w:t>
      </w:r>
    </w:p>
    <w:p>
      <w:pPr>
        <w:snapToGrid w:val="0"/>
        <w:spacing w:line="38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地址：防城港市港口区金花茶大道69号                 </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联系人及电话：吴美    0770-6126288               </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2.采购代理机构名称：广西鸿业建设工程管理咨询有限公司            </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地址：防城港市港口区西湾广场财苑小区8栋                    </w:t>
      </w:r>
    </w:p>
    <w:p>
      <w:pPr>
        <w:snapToGrid w:val="0"/>
        <w:spacing w:line="380" w:lineRule="exact"/>
        <w:ind w:firstLine="422"/>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项目联系人：吕碧影 联系电话：0770-2862599 156-7719-7511     </w:t>
      </w:r>
    </w:p>
    <w:p>
      <w:pPr>
        <w:numPr>
          <w:ilvl w:val="0"/>
          <w:numId w:val="6"/>
        </w:numPr>
        <w:snapToGrid w:val="0"/>
        <w:spacing w:line="38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监督部门：防城港市政府采购管理中心        联系电话：0770-6102319</w:t>
      </w:r>
    </w:p>
    <w:p>
      <w:pPr>
        <w:pStyle w:val="2"/>
        <w:ind w:left="42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val="0"/>
          <w:color w:val="auto"/>
          <w:sz w:val="21"/>
          <w:szCs w:val="21"/>
          <w:highlight w:val="none"/>
        </w:rPr>
        <w:t>十</w:t>
      </w:r>
      <w:r>
        <w:rPr>
          <w:rFonts w:hint="eastAsia" w:asciiTheme="minorEastAsia" w:hAnsiTheme="minorEastAsia" w:eastAsiaTheme="minorEastAsia" w:cstheme="minorEastAsia"/>
          <w:b/>
          <w:bCs w:val="0"/>
          <w:color w:val="auto"/>
          <w:sz w:val="21"/>
          <w:szCs w:val="21"/>
          <w:highlight w:val="none"/>
          <w:lang w:val="en-US" w:eastAsia="zh-CN"/>
        </w:rPr>
        <w:t>一</w:t>
      </w:r>
      <w:r>
        <w:rPr>
          <w:rFonts w:hint="eastAsia" w:asciiTheme="minorEastAsia" w:hAnsiTheme="minorEastAsia" w:eastAsiaTheme="minorEastAsia" w:cstheme="minorEastAsia"/>
          <w:b/>
          <w:bCs w:val="0"/>
          <w:color w:val="auto"/>
          <w:sz w:val="21"/>
          <w:szCs w:val="21"/>
          <w:highlight w:val="none"/>
        </w:rPr>
        <w:t>、招标公告期限：</w:t>
      </w:r>
      <w:r>
        <w:rPr>
          <w:rFonts w:hint="eastAsia" w:asciiTheme="minorEastAsia" w:hAnsiTheme="minorEastAsia" w:eastAsiaTheme="minorEastAsia" w:cstheme="minorEastAsia"/>
          <w:color w:val="auto"/>
          <w:sz w:val="21"/>
          <w:szCs w:val="21"/>
          <w:highlight w:val="none"/>
        </w:rPr>
        <w:t>自招标公告发布之日起5个工作日。</w:t>
      </w:r>
    </w:p>
    <w:p>
      <w:pPr>
        <w:snapToGrid w:val="0"/>
        <w:spacing w:line="380" w:lineRule="exact"/>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十</w:t>
      </w:r>
      <w:r>
        <w:rPr>
          <w:rFonts w:hint="eastAsia" w:asciiTheme="minorEastAsia" w:hAnsiTheme="minorEastAsia" w:eastAsiaTheme="minorEastAsia" w:cstheme="minorEastAsia"/>
          <w:b/>
          <w:color w:val="auto"/>
          <w:szCs w:val="21"/>
          <w:highlight w:val="none"/>
          <w:lang w:val="en-US" w:eastAsia="zh-CN"/>
        </w:rPr>
        <w:t>二</w:t>
      </w:r>
      <w:r>
        <w:rPr>
          <w:rFonts w:hint="eastAsia" w:asciiTheme="minorEastAsia" w:hAnsiTheme="minorEastAsia" w:eastAsiaTheme="minorEastAsia" w:cstheme="minorEastAsia"/>
          <w:b/>
          <w:color w:val="auto"/>
          <w:szCs w:val="21"/>
          <w:highlight w:val="none"/>
        </w:rPr>
        <w:t>、网上查询地址：</w:t>
      </w:r>
      <w:r>
        <w:rPr>
          <w:rFonts w:hint="eastAsia" w:asciiTheme="minorEastAsia" w:hAnsiTheme="minorEastAsia" w:eastAsiaTheme="minorEastAsia" w:cstheme="minorEastAsia"/>
          <w:color w:val="auto"/>
          <w:szCs w:val="21"/>
          <w:highlight w:val="none"/>
        </w:rPr>
        <w:t>中国政府采购网（http://www.ccgp.gov.cn）、广西壮族自治区政府采购网（http://zfcg.gxzf.gov.cn/）、广西防城港政府采购网站（http://zfcg.gxzf.gov.cn/）、防城港市公共资源交易中心网（www.fcgggzy.cn）。</w:t>
      </w:r>
    </w:p>
    <w:p>
      <w:pPr>
        <w:pStyle w:val="2"/>
        <w:ind w:firstLine="420"/>
        <w:rPr>
          <w:rFonts w:hint="eastAsia" w:asciiTheme="minorEastAsia" w:hAnsiTheme="minorEastAsia" w:eastAsiaTheme="minorEastAsia" w:cstheme="minorEastAsia"/>
          <w:color w:val="auto"/>
          <w:sz w:val="21"/>
          <w:szCs w:val="21"/>
          <w:highlight w:val="none"/>
        </w:rPr>
      </w:pPr>
    </w:p>
    <w:p>
      <w:pPr>
        <w:snapToGrid w:val="0"/>
        <w:spacing w:line="380" w:lineRule="exact"/>
        <w:ind w:firstLine="422"/>
        <w:jc w:val="right"/>
        <w:rPr>
          <w:rFonts w:hint="eastAsia" w:asciiTheme="minorEastAsia" w:hAnsiTheme="minorEastAsia" w:eastAsiaTheme="minorEastAsia" w:cstheme="minorEastAsia"/>
          <w:bCs/>
          <w:color w:val="auto"/>
          <w:szCs w:val="21"/>
          <w:highlight w:val="none"/>
        </w:rPr>
      </w:pPr>
    </w:p>
    <w:p>
      <w:pPr>
        <w:snapToGrid w:val="0"/>
        <w:spacing w:line="380" w:lineRule="exact"/>
        <w:ind w:firstLine="4200" w:firstLineChars="20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采购人名称：防城港市公安局 </w:t>
      </w:r>
    </w:p>
    <w:p>
      <w:pPr>
        <w:snapToGrid w:val="0"/>
        <w:spacing w:line="380" w:lineRule="exact"/>
        <w:ind w:left="238"/>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rPr>
        <w:t>采购代理机构：广西鸿业建设工程管理咨询有限公司</w:t>
      </w:r>
    </w:p>
    <w:p>
      <w:pPr>
        <w:snapToGrid w:val="0"/>
        <w:spacing w:line="380" w:lineRule="exact"/>
        <w:ind w:left="238"/>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FF0000"/>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rPr>
        <w:t xml:space="preserve"> 2020年</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26</w:t>
      </w:r>
      <w:r>
        <w:rPr>
          <w:rFonts w:hint="eastAsia" w:asciiTheme="minorEastAsia" w:hAnsiTheme="minorEastAsia" w:eastAsiaTheme="minorEastAsia" w:cstheme="minorEastAsia"/>
          <w:color w:val="auto"/>
          <w:szCs w:val="21"/>
          <w:highlight w:val="none"/>
        </w:rPr>
        <w:t>日</w:t>
      </w:r>
    </w:p>
    <w:p>
      <w:pPr>
        <w:snapToGrid w:val="0"/>
        <w:spacing w:line="400" w:lineRule="exact"/>
        <w:rPr>
          <w:rFonts w:hint="eastAsia" w:asciiTheme="minorEastAsia" w:hAnsiTheme="minorEastAsia" w:eastAsiaTheme="minorEastAsia" w:cstheme="minorEastAsia"/>
          <w:color w:val="auto"/>
          <w:szCs w:val="21"/>
          <w:highlight w:val="none"/>
        </w:rPr>
      </w:pPr>
    </w:p>
    <w:p>
      <w:pPr>
        <w:pStyle w:val="85"/>
        <w:numPr>
          <w:ilvl w:val="0"/>
          <w:numId w:val="0"/>
        </w:numPr>
        <w:spacing w:before="40" w:after="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br w:type="page"/>
      </w:r>
      <w:r>
        <w:rPr>
          <w:rFonts w:hint="eastAsia" w:asciiTheme="minorEastAsia" w:hAnsiTheme="minorEastAsia" w:eastAsiaTheme="minorEastAsia" w:cstheme="minorEastAsia"/>
          <w:color w:val="auto"/>
          <w:sz w:val="21"/>
          <w:szCs w:val="21"/>
          <w:highlight w:val="none"/>
        </w:rPr>
        <w:t>第二章  招标项目采购需求</w:t>
      </w:r>
    </w:p>
    <w:p>
      <w:pPr>
        <w:spacing w:line="300" w:lineRule="exact"/>
        <w:ind w:firstLine="431"/>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说明：</w:t>
      </w:r>
    </w:p>
    <w:p>
      <w:pPr>
        <w:spacing w:line="260" w:lineRule="exact"/>
        <w:ind w:firstLine="431"/>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1、本需求的货物品牌型号、技术参数及其性能（配置）仅起参考作用，投标人可选用其他品牌型号替代，但这些替代的产品要实质上相当于或优于参考品牌型号及其技术参数性能（配置）要求。</w:t>
      </w:r>
    </w:p>
    <w:p>
      <w:pPr>
        <w:spacing w:line="260" w:lineRule="exact"/>
        <w:ind w:left="6" w:firstLine="431"/>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2、本需求中参考品牌型号规格及技术参数不明确或有误的，或投标人选用其他品牌型号替代的，请以详细、正确的品牌型号、技术参数（配置）同时填写投标报价明细表和技术响应表。</w:t>
      </w:r>
    </w:p>
    <w:p>
      <w:pPr>
        <w:spacing w:line="260" w:lineRule="exact"/>
        <w:ind w:left="6" w:firstLine="431"/>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3、凡在“技术参数及性能（配置）要求”中表述为“标配”或“标准配置”的设备，投标人应在投标报价明细表中将其标配参数详细列明。</w:t>
      </w:r>
    </w:p>
    <w:p>
      <w:pPr>
        <w:spacing w:line="260" w:lineRule="exact"/>
        <w:ind w:left="6" w:firstLine="43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4、评标时，若评标委员会认为本项目所采购的产品某个技术参数为某唯一品牌所特有，则该参数将不作为实质性响应条件。</w:t>
      </w:r>
    </w:p>
    <w:p>
      <w:pPr>
        <w:tabs>
          <w:tab w:val="left" w:pos="180"/>
          <w:tab w:val="left" w:pos="1620"/>
        </w:tabs>
        <w:spacing w:line="30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bCs/>
          <w:color w:val="auto"/>
          <w:szCs w:val="21"/>
          <w:highlight w:val="none"/>
        </w:rPr>
        <w:t>5、</w:t>
      </w:r>
      <w:r>
        <w:rPr>
          <w:rFonts w:hint="eastAsia" w:asciiTheme="minorEastAsia" w:hAnsiTheme="minorEastAsia" w:eastAsiaTheme="minorEastAsia" w:cstheme="minorEastAsia"/>
          <w:b/>
          <w:color w:val="auto"/>
          <w:szCs w:val="21"/>
          <w:highlight w:val="none"/>
        </w:rPr>
        <w:t>本项目采购产品如属于财政部、国家发改委第 24 期《节能产品政府采购清单》政府强制采购节能产品范围，则投标人所投标的此类产品必须是清单中产品（清单中的产品不能够满足采购人工作要求的除外，如在招标期间，国家有出新的清单，则以新一期为准），投标人在投标文件中必须提供所投产品属于现行政府强制采购节能产品的证明材料（加盖投标人公章），否则相应投标无效。</w:t>
      </w:r>
    </w:p>
    <w:p>
      <w:pPr>
        <w:pStyle w:val="2"/>
        <w:ind w:firstLine="422" w:firstLineChars="200"/>
        <w:rPr>
          <w:rFonts w:hint="eastAsia" w:asciiTheme="minorEastAsia" w:hAnsiTheme="minorEastAsia" w:eastAsiaTheme="minorEastAsia" w:cstheme="minorEastAsia"/>
          <w:b/>
          <w:bCs w:val="0"/>
          <w:color w:val="auto"/>
          <w:spacing w:val="0"/>
          <w:kern w:val="2"/>
          <w:sz w:val="21"/>
          <w:szCs w:val="21"/>
          <w:highlight w:val="none"/>
        </w:rPr>
      </w:pPr>
      <w:r>
        <w:rPr>
          <w:rFonts w:hint="eastAsia" w:asciiTheme="minorEastAsia" w:hAnsiTheme="minorEastAsia" w:eastAsiaTheme="minorEastAsia" w:cstheme="minorEastAsia"/>
          <w:b/>
          <w:bCs w:val="0"/>
          <w:color w:val="auto"/>
          <w:spacing w:val="0"/>
          <w:kern w:val="2"/>
          <w:sz w:val="21"/>
          <w:szCs w:val="21"/>
          <w:highlight w:val="none"/>
        </w:rPr>
        <w:t>6、采购需求一览表中带“</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val="0"/>
          <w:color w:val="auto"/>
          <w:spacing w:val="0"/>
          <w:kern w:val="2"/>
          <w:sz w:val="21"/>
          <w:szCs w:val="21"/>
          <w:highlight w:val="none"/>
        </w:rPr>
        <w:t>”项为关键指标，必须满足或优于要求，否则投标无效。</w:t>
      </w:r>
    </w:p>
    <w:p>
      <w:pPr>
        <w:spacing w:line="260" w:lineRule="exact"/>
        <w:ind w:left="6" w:firstLine="431"/>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7、本项目核心产品为：公安网核心交换机</w:t>
      </w:r>
    </w:p>
    <w:p>
      <w:pPr>
        <w:spacing w:afterLines="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一、采购需求表</w:t>
      </w:r>
    </w:p>
    <w:tbl>
      <w:tblPr>
        <w:tblStyle w:val="35"/>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096"/>
        <w:gridCol w:w="8"/>
        <w:gridCol w:w="6938"/>
        <w:gridCol w:w="68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44" w:type="dxa"/>
            <w:noWrap/>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项号</w:t>
            </w:r>
          </w:p>
        </w:tc>
        <w:tc>
          <w:tcPr>
            <w:tcW w:w="1096" w:type="dxa"/>
            <w:noWrap/>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货物名称</w:t>
            </w:r>
          </w:p>
        </w:tc>
        <w:tc>
          <w:tcPr>
            <w:tcW w:w="6946" w:type="dxa"/>
            <w:gridSpan w:val="2"/>
            <w:noWrap/>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技术参数及其性能（配置）</w:t>
            </w:r>
          </w:p>
        </w:tc>
        <w:tc>
          <w:tcPr>
            <w:tcW w:w="680" w:type="dxa"/>
            <w:noWrap/>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数量</w:t>
            </w:r>
          </w:p>
        </w:tc>
        <w:tc>
          <w:tcPr>
            <w:tcW w:w="703" w:type="dxa"/>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544" w:type="dxa"/>
            <w:vMerge w:val="restart"/>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w:t>
            </w:r>
          </w:p>
        </w:tc>
        <w:tc>
          <w:tcPr>
            <w:tcW w:w="1096" w:type="dxa"/>
            <w:vMerge w:val="restart"/>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公安网核心交换机</w:t>
            </w:r>
          </w:p>
        </w:tc>
        <w:tc>
          <w:tcPr>
            <w:tcW w:w="6946" w:type="dxa"/>
            <w:gridSpan w:val="2"/>
            <w:noWrap/>
            <w:vAlign w:val="center"/>
          </w:tcPr>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★1、设备性能：交换容量≥184Tbps, 转发性能≥115200Mpps，以官网所列最低参数为准；</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★2、设备配置：配置≥48个万兆光口；提供冗余主控引擎、四块交换网板、4块模块化交流电源；提供10块电接口模块，10块千兆多模光模块，30块万兆多模光模块，15块万兆多模光模块；</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★3、硬件规格：主控引擎与交换网板物理分离；主控引擎槽位≥2；业务板槽位≥4；独立的交换网板槽位≥6，且支持网板N+M 冗余；电源模块槽位≥6；请提供产品图片证明材料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★4、散热系统：为保证散热效果和稳定性，要求配置模块化风扇框，可热插拔的独立风扇框≥3个，当单个风扇框发生故障时，还有其他风扇框正常运行，保证设备散热；请提供产品图片证明材料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5、交换架构：采用无背板CLOS架构；单板内、单板间交换均支持VOQ虚拟输出队列控制，避免HOLB头阻塞；支持信元交换，单条流可以负载分担到多块交换网，提高交换网利用效率，提供官网截图；</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6、数据中心特性：支持缓存的微突发状态统计、VXLAN over IPv6、IPv6 VXLAN over IPv4；提供第三方测试报告</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7、二层功能：支持端口聚合，802.3ad；支持N:1镜像、流镜像、远程端口镜像；支持M-LAG或vPC等类似技术；</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8、三层功能：支持RIP、RIPng、OSPF、OSPFv3、ISIS、ISISv6、BGP、BGP4+等动态路由协议；支持路由协议多实例、策略路由；支持IP分片和重组，提供第三方测试报告；</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9、安全性：支持微分段、NSH，提供第三方测试报告；</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10、QOS功能：支持PQ、WRR、DRR、PQ+WRR、PQ+DRR等调度方式；支持ACL、CAR、Remark等动作；支持WRED、尾丢弃等拥塞避免机制；支持流量整形；支持出方向ACL，CAR，统计；</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11、可靠性：支持集群或堆叠多虚一技术，实现单一界面管理多台设备；支持硬件BFD 3.3ms检测间隔；</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12、组播功能：支持IGMP Snooping V1,V2,V3、IGMP Proxy、PIM-SM,PIM-SSM；</w:t>
            </w:r>
          </w:p>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13、流量分析：支持Netstream、sflow；</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14、配置和维护：支持SNMP V1/V2/V3、Telnet、RMON、SSH；支持通过命令行、中文图形化配置软件等方式进行配置和管理；支持配置回滚；支持Telemetry、VxLAN ping、 VxLAN tracert、iPC、AAnsible自动化配置、Module开源发布，提供第三方测试报告；</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15、提供原厂3年设备维保服务；</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44" w:type="dxa"/>
            <w:vMerge w:val="restart"/>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c>
          <w:tcPr>
            <w:tcW w:w="1096" w:type="dxa"/>
            <w:vMerge w:val="restart"/>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视频网核心交换机</w:t>
            </w:r>
          </w:p>
        </w:tc>
        <w:tc>
          <w:tcPr>
            <w:tcW w:w="6946" w:type="dxa"/>
            <w:gridSpan w:val="2"/>
            <w:noWrap/>
            <w:vAlign w:val="center"/>
          </w:tcPr>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★1、设备性能：交换容量≥184Tbps, 转发性能≥115200Mpps，以官网所列最低参数为准；</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★2、设备配置：配置≥48个万兆光口；提供冗余主控引擎、四块交换网板、4块模块化交流电源； 24块万兆多模光模块；</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★3、硬件规格：主控引擎与交换网板物理分离；主控引擎槽位≥2；业务板槽位≥4；独立的交换网板槽位≥6，且支持网板N+M 冗余；电源模块槽位≥6；请提供产品图片证明材料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★4、散热系统：为保证散热效果和稳定性，要求配置模块化风扇框，可热插拔的独立风扇框≥3个，当单个风扇框发生故障时，还有其他风扇框正常运行，保证设备散热；请提供产品图片证明材料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5、交换架构：采用无背板CLOS架构；单板内、单板间交换均支持VOQ虚拟输出队列控制，避免HOLB头阻塞；支持信元交换，单条流可以负载分担到多块交换网，提高交换网利用效率，提供官网截图；</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6、数据中心特性：支持缓存的微突发状态统计、VXLAN over IPv6、IPv6 VXLAN over IPv4；提供第三方测试报告</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7、二层功能：支持端口聚合，802.3ad；支持N:1镜像、流镜像、远程端口镜像；支持M-LAG或vPC等类似技术；</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8、三层功能：支持RIP、RIPng、OSPF、OSPFv3、ISIS、ISISv6、BGP、BGP4+等动态路由协议；支持路由协议多实例、策略路由；支持IP分片和重组，提供第三方测试报告；</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9、安全性：支持微分段、NSH，提供第三方测试报告；</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10、QOS功能：支持PQ、WRR、DRR、PQ+WRR、PQ+DRR等调度方式；支持ACL、CAR、Remark等动作；支持WRED、尾丢弃等拥塞避免机制；支持流量整形；支持出方向ACL，CAR，统计；</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11、可靠性：支持集群或堆叠多虚一技术，实现单一界面管理多台设备；支持硬件BFD 3.3ms检测间隔；</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12、组播功能：支持IGMP Snooping V1,V2,V3、IGMP Proxy、PIM-SM,PIM-SSM；</w:t>
            </w:r>
          </w:p>
          <w:p>
            <w:pPr>
              <w:widowControl/>
              <w:jc w:val="left"/>
              <w:textAlignment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13、流量分析：支持Netstream、sflow；</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14、配置和维护：支持SNMP V1/V2/V3、Telnet、RMON、SSH；支持通过命令行、中文图形化配置软件等方式进行配置和管理；支持配置回滚；支持Telemetry、VxLAN ping、 VxLAN tracert、iPC、AAnsible自动化配置、Module开源发布，提供第三方测试报告；</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15、提供原厂3年设备维保服务。</w:t>
            </w:r>
          </w:p>
        </w:tc>
        <w:tc>
          <w:tcPr>
            <w:tcW w:w="680" w:type="dxa"/>
            <w:noWrap/>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03" w:type="dxa"/>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544" w:type="dxa"/>
            <w:vMerge w:val="restart"/>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w:t>
            </w:r>
          </w:p>
        </w:tc>
        <w:tc>
          <w:tcPr>
            <w:tcW w:w="1096" w:type="dxa"/>
            <w:vMerge w:val="restart"/>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汇聚/接入交换机（1）</w:t>
            </w:r>
          </w:p>
        </w:tc>
        <w:tc>
          <w:tcPr>
            <w:tcW w:w="6946" w:type="dxa"/>
            <w:gridSpan w:val="2"/>
            <w:noWrap/>
            <w:vAlign w:val="center"/>
          </w:tcPr>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★1、设备性能：交换容量≥4.8Tbps, 转发性能≥1600Mpps，以官网所列最低参数为准；</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★2、设备配置：配置≥48个万兆光口，≥6个100GE光口；配置2个可热拔插交流电源模块、4个可热插拔散热风扇模块；24块万兆多模光模块；</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★3、端口缓存≥42MB，提供官网截图证明；</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4、CPU、LSW均为国产自研芯片；提供第三方测试报告；</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5、数据中心特性：支持缓存的微突发状态统计、VXLAN over IPv6、IPv6 VXLAN over IPv4；提供第三方测试报告；</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6、二层功能：支持Access、Trunk和Hybrid三种模式；支持QinQ；支持M-LAG或vPC等类似技术；支持DLDP、动态MAC、静态MAC和黑洞MAC表项；</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7、三层功能：支持RIP、RIPng、OSPF、OSPFv3、ISIS、ISISv6、BGP、BGP4+等动态路由协议；支持IP分片和重组，提供第三方测试报告；</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8、安全性：支持微分段、NSH，提供第三方测试报告；</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9、QOS功能：支持PQ、WRR、DRR、PQ+WRR、PQ+DRR等调度方式；支持L2协议头、L3协议和L4协议等的组合流分类；支持双向端口限速；提供广播风暴抑制功能；</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10、可靠性：支持集群或堆叠多虚一技术，实现单一界面管理多台设备；支持硬件BFD 3.3ms检测间隔；</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11、组播功能：支持IGMP Snooping V1,V2,V3、IGMP Proxy、PIM-SM,PIM-SSM；</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12、流量分析：支持Netstream、sflow；</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13、配置和维护：支持SNMP V1/V2/V3、Telnet、RMON、SSH；支持通过命令行、中文图形化配置软件等方式进行配置和管理；支持配置回滚；支持Telemetry、VxLAN ping、 VxLAN tracert、iPC、AAnsible自动化配置、Module开源发布，提供第三方测试报告；</w:t>
            </w:r>
          </w:p>
          <w:p>
            <w:pPr>
              <w:widowControl/>
              <w:jc w:val="left"/>
              <w:textAlignment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14、提供原厂3年设备维保服务。</w:t>
            </w:r>
          </w:p>
        </w:tc>
        <w:tc>
          <w:tcPr>
            <w:tcW w:w="680" w:type="dxa"/>
            <w:noWrap/>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703" w:type="dxa"/>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汇聚/接入交换机（2）</w:t>
            </w:r>
          </w:p>
        </w:tc>
        <w:tc>
          <w:tcPr>
            <w:tcW w:w="6946" w:type="dxa"/>
            <w:gridSpan w:val="2"/>
            <w:noWrap/>
            <w:vAlign w:val="center"/>
          </w:tcPr>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★1、设备性能：交换容量≥400Gbps, 转发性能≥144Mpps；以官网所列最低参数为准</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2、设备配置：提供10/100/1000Base-T以太网端口≥48个，万兆光口≥4个；配置4个万兆多模光模块；配置标准USB接口，支持U盘快速开局；为了提高设备可靠性，支持模块化可热插拔双电源模块，配置1块交流电源模块； </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★3、规格表项：支持MAC地址≥16K，ARP表项≥8K， Ipv4路由FIB表≥8K，Ipv6路由FIB表≥3K；</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4、二层功能：支持4K个VLAN，支持Voice VLAN，基于端口的VLAN，基于MAC的VLAN，基于协议的VLAN；支持1:1和N:1 VLAN Mapping功能；</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5、三层功能：支持RIP、RIPng、OSPF、OSPFv3、ISIS、BGP等路由协议；支持IPv4/IPv6双协议栈，支持6to4、ISATAP、手动配置tunnel</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6、可靠性：支持G.8032开放环网协议，若有请提供产品功能界面截图或官网链接截图或第三方机构测试报告证明材料；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7、虚拟化：支持智能堆叠，堆叠后逻辑上虚拟为一台设备，具有统一的表项和管理； </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8、纵向虚拟化：支持纵向虚拟化，作为纵向子节点零配置即插即用，若有请提供产品功能界面截图或官网链接截图或第三方机构测试报告证明材料；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9、安全性：支持CPU保护功能；支持802.1x、MAC认证和Portal认证；支持 IPSec 对管理报文加密；</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★10、节能性：支持802.3az能效以太网EEE，节能环保，若有请提供产品功能界面截图或官网链接截图或第三方机构测试报告证明材料；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11.管理维护：支持SNMP v1/v2/v3、Telnet、RMON；支持通过命令行、Web、中文图形化配置软件等方式进行配置和管理；</w:t>
            </w:r>
          </w:p>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12、提供原厂3年设备维保服务；</w:t>
            </w:r>
          </w:p>
        </w:tc>
        <w:tc>
          <w:tcPr>
            <w:tcW w:w="680" w:type="dxa"/>
            <w:noWrap/>
            <w:vAlign w:val="center"/>
          </w:tcPr>
          <w:p>
            <w:pPr>
              <w:spacing w:line="36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30</w:t>
            </w:r>
          </w:p>
        </w:tc>
        <w:tc>
          <w:tcPr>
            <w:tcW w:w="703" w:type="dxa"/>
            <w:vAlign w:val="center"/>
          </w:tcPr>
          <w:p>
            <w:pPr>
              <w:spacing w:line="36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公安信息网出口防火墙</w:t>
            </w:r>
          </w:p>
        </w:tc>
        <w:tc>
          <w:tcPr>
            <w:tcW w:w="6946" w:type="dxa"/>
            <w:gridSpan w:val="2"/>
            <w:noWrap/>
            <w:vAlign w:val="center"/>
          </w:tcPr>
          <w:p>
            <w:pPr>
              <w:pStyle w:val="96"/>
              <w:rPr>
                <w:rFonts w:hint="eastAsia"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一、单台基本配置要求</w:t>
            </w:r>
          </w:p>
          <w:p>
            <w:pPr>
              <w:pStyle w:val="86"/>
              <w:tabs>
                <w:tab w:val="left" w:pos="420"/>
                <w:tab w:val="left" w:pos="4188"/>
              </w:tabs>
              <w:ind w:right="76" w:firstLine="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auto"/>
                <w:szCs w:val="21"/>
                <w:highlight w:val="none"/>
              </w:rPr>
              <w:t>1、标准2U设备，配置≥6个10/100/1000 Base-T自适应电口，≥4个千兆光口（含多模光模块），≥3个接口扩展槽，提供不低于128G SSD硬盘，支持液晶屏，1个Console口，冗余交流电源；含3年硬件质保服务；</w:t>
            </w:r>
          </w:p>
          <w:p>
            <w:pPr>
              <w:pStyle w:val="86"/>
              <w:tabs>
                <w:tab w:val="left" w:pos="420"/>
                <w:tab w:val="left" w:pos="4188"/>
              </w:tabs>
              <w:ind w:right="76" w:firstLine="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auto"/>
                <w:szCs w:val="21"/>
                <w:highlight w:val="none"/>
              </w:rPr>
              <w:t>2、防火墙吞吐量≥30Gbps，并发连接数≥400万，每秒新建连接数≥28万/秒，含应用控制、URL过滤、病毒防护、入侵防御、威胁情报检测功能模块及3年特征库升级服务；</w:t>
            </w:r>
          </w:p>
          <w:p>
            <w:pPr>
              <w:pStyle w:val="96"/>
              <w:rPr>
                <w:rFonts w:hint="eastAsia" w:asciiTheme="minorEastAsia" w:hAnsiTheme="minorEastAsia" w:eastAsiaTheme="minorEastAsia" w:cs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1"/>
                <w:highlight w:val="none"/>
                <w14:textFill>
                  <w14:solidFill>
                    <w14:schemeClr w14:val="tx1"/>
                  </w14:solidFill>
                </w14:textFill>
              </w:rPr>
              <w:t>二、技术参数要求</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1、产品支持路由、透明、交换以及混合模式接入，满足复杂应用环境的接入需求；支持3G接入，可实现3G及有线链路之间的互为备份；</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2、支持静态路由、动态路由、策略路由，动态路由包括RIP v1/v2/ng、 OSPFv2/v3、BGP4/4+；</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stheme="minorEastAsia"/>
                <w:color w:val="auto"/>
                <w:szCs w:val="21"/>
                <w:highlight w:val="none"/>
              </w:rPr>
              <w:t>支持虚拟防火墙功能，支持在虚系统内进行病毒防护、漏洞利用防护、间谍软件防护、URL过滤、文件过滤、内容过滤、邮件过滤、行为管控等安全功能。并可支持对本虚系统内产生的日志进行独立审计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4、支持防御IP地址欺骗，可将IP与安全域关联，即指定IP或网段从特定安全域流量流入，否则视为IP地址欺骗；</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★5、支持基于源安全域、目的安全域、源用户、源地址/地区、目的地址/地区、服务、应用、隧道、时间、VLAN等多种方式进行访问控制（提供功能界面截图）；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w:t>
            </w:r>
            <w:r>
              <w:rPr>
                <w:rFonts w:hint="eastAsia" w:asciiTheme="minorEastAsia" w:hAnsiTheme="minorEastAsia" w:eastAsiaTheme="minorEastAsia" w:cstheme="minorEastAsia"/>
                <w:color w:val="auto"/>
                <w:szCs w:val="21"/>
                <w:highlight w:val="none"/>
              </w:rPr>
              <w:t>漏洞防护特征库要求包含高危漏洞攻击特征，至少包括“永恒之蓝”、“震网三代”、“暗云3”、“Struts”、“Struts2”、“Xshell后门代码”以及对应的攻击的名称、CVEID、CNNVDID、严重性、影响的平台、类型、描述等详细信息</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7、支持全面的NAT转换能力，支持对源目的地址、端口的转换；包括一对一，一对多，多对一，多对多地址转换方式；</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8、支持面板下的异常、威胁、重点关注监控、接口信息、系统信息、内容日志、威胁日志、URl过滤日志、邮件过滤日志、并发连接数；</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9、支持实现HTTP、FTP、POP3、SMTP、IMAP、SMB六种应用协议的双向内容过滤，支持预定义敏感信息库及自定义敏感信息库两种方式进行敏感信息定义，支持阻断及日志两种处理动作；</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★10、支持与防病毒系统或终端安全管理系统进行联动，增强防火墙对应用特征及木马特征的识别（提供功能界面截图）；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11、支持基于受害主机的一键式阻断链接、记录日志等处置动作，处置周期至少包括1天、7天、30天、90天、永久等；</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★12、支持在单条策略中启用病毒防护、入侵防御、网址过滤、文件过滤、文件内容过滤等安全功能选项（提供功能界面截图）；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13、基于源目地址、源目端口、协议、域名、URL多维度的一键式快速运维处置；</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14、日志支持模糊搜索和按精确策略条件搜索，协助定位异常行为，并通过带条件跳转实现指定行为在分析中心中的关联活动展示，确认异常行为是否具有威胁；</w:t>
            </w:r>
          </w:p>
          <w:p>
            <w:pPr>
              <w:ind w:right="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15、支持基于网络活动，威胁活动、阻止活动等多维关联统计及分析，发现异常行为。</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辅助材料</w:t>
            </w:r>
          </w:p>
        </w:tc>
        <w:tc>
          <w:tcPr>
            <w:tcW w:w="6946" w:type="dxa"/>
            <w:gridSpan w:val="2"/>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扎带、电工胶、PDU、跳线、标签、理线架、配线架等。</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接入交换机</w:t>
            </w:r>
          </w:p>
        </w:tc>
        <w:tc>
          <w:tcPr>
            <w:tcW w:w="6946" w:type="dxa"/>
            <w:gridSpan w:val="2"/>
            <w:noWrap/>
            <w:vAlign w:val="center"/>
          </w:tcPr>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★1、设备性能：交换容量≥336Gbps, 转发性能≥108Mpps；以官网所列最低参数为准</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★2、设备配置：提供10/100/1000Base-T以太网端口≥24个，万兆光口≥4个；配置标准USB接口，支持U盘快速开局；</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★3、规格表项：支持MAC地址≥16K，ARP表项≥4K， Ipv4路由FIB表≥4K；</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4、二层功能：支持4K个VLAN，支持Voice VLAN，基于端口的VLAN，基于MAC的VLAN，基于协议的VLAN；支持1:1和N:1 VLAN Mapping功能；</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5、三层功能：支持RIP、RIPng、OSPF、OSPFv3路由协议；</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6、可靠性：支持G.8032开放环网协议，若有请提供产品功能界面截图或官网链接截图或第三方机构测试报告证明材料；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7、虚拟化：支持智能堆叠，堆叠后逻辑上虚拟为一台设备，具有统一的表项和管理； </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8、纵向虚拟化：支持纵向虚拟化，作为纵向子节点零配置即插即用，若有请提供产品功能界面截图或官网链接截图或第三方机构测试报告证明材料；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9、安全性：支持CPU保护功能；支持防止DOS、ARP攻击功能、ICMP防攻击，支持端口隔离、端口安全、Sticky MAC，支持 IP、MAC、端口、VLAN的组合绑定；支持DHCP Snooping、DHCPv6 Snooping功能；</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★10、节能性：支持802.3az能效以太网EEE，节能环保，若有请提供产品功能界面截图或官网链接截图或第三方机构测试报告证明材料；</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11、管理维护：支持SNMP v1/v2/v3、Telnet、RMON；支持通过命令行、Web、中文图形化配置软件等方式进行配置和管理；</w:t>
            </w:r>
          </w:p>
          <w:p>
            <w:pPr>
              <w:widowControl/>
              <w:jc w:val="left"/>
              <w:textAlignment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12、提供原厂3年设备维保服务。</w:t>
            </w:r>
          </w:p>
        </w:tc>
        <w:tc>
          <w:tcPr>
            <w:tcW w:w="680" w:type="dxa"/>
            <w:noWrap/>
            <w:vAlign w:val="center"/>
          </w:tcPr>
          <w:p>
            <w:pPr>
              <w:spacing w:line="36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66</w:t>
            </w:r>
          </w:p>
        </w:tc>
        <w:tc>
          <w:tcPr>
            <w:tcW w:w="703" w:type="dxa"/>
            <w:vAlign w:val="center"/>
          </w:tcPr>
          <w:p>
            <w:pPr>
              <w:spacing w:line="36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汇聚交换机</w:t>
            </w:r>
          </w:p>
        </w:tc>
        <w:tc>
          <w:tcPr>
            <w:tcW w:w="6946" w:type="dxa"/>
            <w:gridSpan w:val="2"/>
            <w:noWrap/>
            <w:vAlign w:val="center"/>
          </w:tcPr>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★1、设备性能：交换容量≥2Tbps, 转发性能≥700Mpps；以官网所列最低参数为准</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★2、设备配置：万兆光口≥24个，40GE光口≥6个；为了提高设备可靠性，支持模块化可热插拔双电源模块，配置1块交流电源模块；</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★3、散热系统：为了提高设备散热性能，支持可插拔风扇模块，风扇个数≥4；</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★4、规格表项：支持MAC地址≥64K， Ipv4路由FIB表≥64K；提供权威第三方测试报告</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5、二层功能：支持4K个VLAN，支持Guest VLAN、Voice VLAN，支持基于MAC/协议/IP子网/策略/端口的VLAN；支持1:1和N:1 VLAN交换功能；</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6、三层功能：支持静态路由、RIP V1/2、OSPF、IS-IS、BGP、RIPng、OSPFv3、BGP4+、ISISv6；</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7、可靠性：支持G.8032开放环网协议，若有请提供产品功能界面截图或官网链接截图或第三方机构测试报告证明材料；</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8、支持VxLAN功能，支持BGP EVPN，支持分布式 Anycast 网关，支持VxLAN的自动化部署；提供权威第三方测试报告</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9、虚拟化：支持横向堆叠，主机堆叠数不小于9台；</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10、安全性：支持DHCPv6 Snooping，IP Source Guard，SAVI等安全特性；提供权威第三方测试报告</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★11、节能性：支持802.3az能效以太网EEE，节能环保，若有请提供产品功能界面截图或官网链接截图或第三方机构测试报告证明材料；</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12.管理维护：支持以太网OAM（802.3ah 和 802.1ag）；支持虚拟电缆检测(Virtual Cable Test)；支持SNMPv1/v2c/v3，支持RMON；支持网管系统、支持WEB网管特性；支持NetStream；</w:t>
            </w:r>
          </w:p>
          <w:p>
            <w:pPr>
              <w:spacing w:line="36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13、提供原厂3年设备维保服务。</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44" w:type="dxa"/>
            <w:vMerge w:val="restart"/>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w:t>
            </w:r>
          </w:p>
        </w:tc>
        <w:tc>
          <w:tcPr>
            <w:tcW w:w="1096" w:type="dxa"/>
            <w:vMerge w:val="restart"/>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光模块</w:t>
            </w:r>
          </w:p>
        </w:tc>
        <w:tc>
          <w:tcPr>
            <w:tcW w:w="6946" w:type="dxa"/>
            <w:gridSpan w:val="2"/>
            <w:noWrap/>
            <w:vAlign w:val="center"/>
          </w:tcPr>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万兆多模光模块，SFP+10G(850nm,0.3km,LC)</w:t>
            </w:r>
          </w:p>
        </w:tc>
        <w:tc>
          <w:tcPr>
            <w:tcW w:w="680" w:type="dxa"/>
            <w:noWrap/>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143</w:t>
            </w:r>
          </w:p>
        </w:tc>
        <w:tc>
          <w:tcPr>
            <w:tcW w:w="703" w:type="dxa"/>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44" w:type="dxa"/>
            <w:vMerge w:val="continue"/>
            <w:noWrap/>
            <w:vAlign w:val="center"/>
          </w:tcPr>
          <w:p>
            <w:pPr>
              <w:widowControl/>
              <w:jc w:val="center"/>
              <w:rPr>
                <w:rFonts w:asciiTheme="minorEastAsia" w:hAnsiTheme="minorEastAsia" w:eastAsiaTheme="minorEastAsia" w:cstheme="minorEastAsia"/>
                <w:color w:val="auto"/>
                <w:kern w:val="0"/>
                <w:szCs w:val="21"/>
                <w:highlight w:val="none"/>
              </w:rPr>
            </w:pPr>
          </w:p>
        </w:tc>
        <w:tc>
          <w:tcPr>
            <w:tcW w:w="1096" w:type="dxa"/>
            <w:vMerge w:val="continue"/>
            <w:noWrap/>
            <w:vAlign w:val="center"/>
          </w:tcPr>
          <w:p>
            <w:pPr>
              <w:widowControl/>
              <w:jc w:val="center"/>
              <w:textAlignment w:val="center"/>
              <w:rPr>
                <w:rFonts w:asciiTheme="minorEastAsia" w:hAnsiTheme="minorEastAsia" w:eastAsiaTheme="minorEastAsia" w:cstheme="minorEastAsia"/>
                <w:color w:val="auto"/>
                <w:szCs w:val="21"/>
                <w:highlight w:val="none"/>
              </w:rPr>
            </w:pPr>
          </w:p>
        </w:tc>
        <w:tc>
          <w:tcPr>
            <w:tcW w:w="6946" w:type="dxa"/>
            <w:gridSpan w:val="2"/>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万兆单模光模块，SFP+ 10G (1310nm,10km,LC)</w:t>
            </w:r>
          </w:p>
        </w:tc>
        <w:tc>
          <w:tcPr>
            <w:tcW w:w="680" w:type="dxa"/>
            <w:noWrap/>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703" w:type="dxa"/>
            <w:vAlign w:val="center"/>
          </w:tcPr>
          <w:p>
            <w:pPr>
              <w:spacing w:line="36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互联网出口防火墙</w:t>
            </w:r>
          </w:p>
        </w:tc>
        <w:tc>
          <w:tcPr>
            <w:tcW w:w="6946" w:type="dxa"/>
            <w:gridSpan w:val="2"/>
            <w:noWrap/>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一、单台基本配置要求</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★1、标准2U设备，配置≥6个10/100/1000 Base-T自适应电口，≥2个千兆光口，≥1个接口扩展槽，提供不低于128G SSD硬盘，支持液晶屏，1个Console口，冗余交流电源；含3年硬件质保服务；</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★2、防火墙吞吐量≥8Gbps，并发连接数≥210万，每秒新建连接数≥10万/秒，含应用控制、URL过滤、病毒防护、入侵防御、威胁情报检测功能模块及3年特征库升级服务；</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二、技术参数要求</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1、产品支持路由、透明、交换以及混合模式接入，满足复杂应用环境的接入需求；支持3G接入，可实现3G及有线链路之间的互为备份；</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2、支持静态路由、动态路由、策略路由，动态路由包括RIP v1/v2/ng、 OSPFv2/v3、BGP4/4+；</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支持虚拟防火墙功能，支持在虚系统内进行病毒防护、漏洞利用防护、间谍软件防护、URL过滤、文件过滤、内容过滤、邮件过滤、行为管控等安全功能。并可支持对本虚系统内产生的日志进行独立审计（提供功能界面截图）；</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4、支持防御IP地址欺骗，可将IP与安全域关联，即指定IP或网段从特定安全域流量流入，否则视为IP地址欺骗；</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★5、支持基于源安全域、目的安全域、源用户、源地址/地区、目的地址/地区、服务、应用、隧道、时间、VLAN等多种方式进行访问控制（提供功能界面截图）；</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漏洞防护特征库要求包含高危漏洞攻击特征，至少包括“永恒之蓝”、“震网三代”、“暗云3”、“Struts”、“Struts2”、“Xshell后门代码”以及对应的攻击的名称、CVEID、CNNVDID、严重性、影响的平台、类型、描述等详细信息（提供功能界面截图）；</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7、支持全面的NAT转换能力，支持对源目的地址、端口的转换；包括一对一，一对多，多对一，多对多地址转换方式；</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8、支持面板下的异常、威胁、重点关注监控、接口信息、系统信息、内容日志、威胁日志、URl过滤日志、邮件过滤日志、并发连接数；</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9、支持实现HTTP、FTP、POP3、SMTP、IMAP、SMB六种应用协议的双向内容过滤，支持预定义敏感信息库及自定义敏感信息库两种方式进行敏感信息定义，支持阻断及日志两种处理动作；</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auto"/>
                <w:szCs w:val="21"/>
                <w:highlight w:val="none"/>
              </w:rPr>
              <w:t>10、支持与云端联动，实现病毒云查杀、URL云识别、应用云识别、云沙箱等功能。通过安全云系统提升识别库数量级，补充本地识别库，并加快防火墙对威胁的识别速度（提供功能界面截图）；</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11、支持基于受害主机的一键式阻断链接、记录日志等处置动作，处置周期至少包括1天、7天、30天、90天、永久等；</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auto"/>
                <w:szCs w:val="21"/>
                <w:highlight w:val="none"/>
              </w:rPr>
              <w:t>12、支持在单条策略中启用病毒防护、入侵防御、网址过滤、文件过滤、文件内容过滤等安全功能选项（提供功能界面截图）；</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13、基于源目地址、源目端口、协议、域名、URL多维度的一键式快速运维处置；</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14、日志支持模糊搜索和按精确策略条件搜索，协助定位异常行为，并通过带条件跳转实现指定行为在分析中心中的关联活动展示，确认异常行为是否具有威胁；</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15、支持基于网络活动，威胁活动、阻止活动等多维关联统计及分析，发现异常行为。</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1</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上网行为管理</w:t>
            </w:r>
          </w:p>
        </w:tc>
        <w:tc>
          <w:tcPr>
            <w:tcW w:w="6946" w:type="dxa"/>
            <w:gridSpan w:val="2"/>
            <w:noWrap/>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一、单台基本配置要求</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★1、配置≥6个10/100/1000 Base-T自适应电口，单交流电源，至少2个接口扩展插槽，1T硬盘，含3年硬件质保及软件升级服务；</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★2、适用带宽≥400Mbps，支持用户数≥4500人，并发会话数≥120万，每秒新建连接数≥32,000/秒；</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二、技术参数要求</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1、支持GRE、L2TP、WLTP、CAACWS、LWAPP、CAPWAP协议下的网络环境；系统管理，支持Web方式、命令行方式、集中管理模式；</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2、可识别用户上网设备类型并作为策略条件。可将IP、IP段、VLAN作为策略条件；</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3、可以基于IP、MAC、终端类型等多因素进行用户认证、识别；</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4、可以为用户添加多属性，并根据用户的属性（如职位、部门、电话、邮件等）自动进行用户分类，根据分类的结果做审计、控制策略；</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5、支持对QQ账号制定策略，对聊天、登录及文件传输的行为进行记录与控制；</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6、可以对P2P，网络视频，游戏，炒股，期货，即时通讯，移动应用有独立的分类进行识别控制，协议库数量不低于3000种，移动终端应用协议库数量不低于800种；</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★7、设备必须提供物理硬件bypass按钮，便于设备巡检、设备故障时管理员无需重启、关机、断电即可恢复网络通畅；支持远程登录在界面实现bypass，并可进行切换；</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8、支持利用微信公众号进行网络接入的身份准入认证；</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9、Webmail基于发件人、收件人、主题、内容、附件名、附件大小维度进行记录、告警；支持根据邮件主题、正文关键字进行阻塞并进行告警；</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★10、可审计Oracle, MySql, SqlServer, PostgreSQL等数据库的访问与操作，包括添加、删除、修改、查询等（提供功能界面截图）；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11、可以限制P2P、视频等大流量应用的最大带宽上限，减少带宽的浪费；可以设定OA、邮件、视频会议的基本带宽保障，保障关键应用必要的带宽资源；</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★12、提供对微信PC版进行行为和内容审计、记录发送/接受信息的微信账号（提供功能界面截图）；</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13、所有日志可以按照用户，IP地址，匹配策略，访问控制，时间等各个列排序，可生成网页访问、论坛发帖，webmail、邮件收发、应用访问、应用流量等各种统计报表；</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14、支持key免审计、key免管控、key免认证三者的灵活组合；</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15、可识别私接主机个数，并可制定策略以私接主机个数为阀值进行封堵。同时可建立白名单，可生成日志。</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16、可识别用户上网设备类型，“工具”对象，并可作为策略条件。可将IP段作为 “地点”对象，并可作为策略条件；</w:t>
            </w:r>
          </w:p>
          <w:p>
            <w:pPr>
              <w:ind w:right="76"/>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★17、支持与威胁情报大数据平台对接，能够快速识别、封堵失陷主机、记录日志（提供功能界面截图）；</w:t>
            </w:r>
          </w:p>
          <w:p>
            <w:pPr>
              <w:ind w:right="7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★18、支持与云端杀毒平台联动，对网络中传输的文件进行特征比对，以便减少对本地计算资源的消耗（提供功能界面截图）。</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1</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辅助材料</w:t>
            </w:r>
          </w:p>
        </w:tc>
        <w:tc>
          <w:tcPr>
            <w:tcW w:w="6946" w:type="dxa"/>
            <w:gridSpan w:val="2"/>
            <w:noWrap/>
          </w:tcPr>
          <w:p>
            <w:pPr>
              <w:widowControl/>
              <w:numPr>
                <w:ilvl w:val="0"/>
                <w:numId w:val="7"/>
              </w:numPr>
              <w:jc w:val="left"/>
              <w:textAlignment w:val="top"/>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熔110点；</w:t>
            </w:r>
          </w:p>
          <w:p>
            <w:pPr>
              <w:widowControl/>
              <w:numPr>
                <w:ilvl w:val="0"/>
                <w:numId w:val="7"/>
              </w:numPr>
              <w:jc w:val="left"/>
              <w:textAlignment w:val="top"/>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耗材1批： 扎带、电工胶、PDU、跳线、标签、理线架、配线架等。</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1</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4" w:type="dxa"/>
            <w:noWrap/>
            <w:vAlign w:val="center"/>
          </w:tcPr>
          <w:p>
            <w:pPr>
              <w:widowControl/>
              <w:jc w:val="center"/>
              <w:rPr>
                <w:rFonts w:hint="eastAsia"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rPr>
              <w:t>1</w:t>
            </w:r>
            <w:r>
              <w:rPr>
                <w:rFonts w:hint="eastAsia" w:asciiTheme="minorEastAsia" w:hAnsiTheme="minorEastAsia" w:eastAsiaTheme="minorEastAsia" w:cstheme="minorEastAsia"/>
                <w:color w:val="auto"/>
                <w:kern w:val="0"/>
                <w:szCs w:val="21"/>
                <w:highlight w:val="none"/>
                <w:lang w:val="en-US" w:eastAsia="zh-CN"/>
              </w:rPr>
              <w:t>3</w:t>
            </w:r>
          </w:p>
        </w:tc>
        <w:tc>
          <w:tcPr>
            <w:tcW w:w="1096"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机房搬迁服务</w:t>
            </w:r>
          </w:p>
        </w:tc>
        <w:tc>
          <w:tcPr>
            <w:tcW w:w="6946" w:type="dxa"/>
            <w:gridSpan w:val="2"/>
            <w:noWrap/>
            <w:vAlign w:val="center"/>
          </w:tcPr>
          <w:p>
            <w:pPr>
              <w:widowControl/>
              <w:numPr>
                <w:ilvl w:val="0"/>
                <w:numId w:val="8"/>
              </w:numPr>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设备信息采集、巡线、搬迁方案制定等；</w:t>
            </w:r>
          </w:p>
          <w:p>
            <w:pPr>
              <w:pStyle w:val="2"/>
              <w:numPr>
                <w:ilvl w:val="0"/>
                <w:numId w:val="8"/>
              </w:numP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sz w:val="21"/>
                <w:szCs w:val="21"/>
                <w:highlight w:val="none"/>
              </w:rPr>
              <w:t>设备拆装费</w:t>
            </w:r>
          </w:p>
          <w:p>
            <w:pPr>
              <w:pStyle w:val="2"/>
              <w:numPr>
                <w:ilvl w:val="0"/>
                <w:numId w:val="8"/>
              </w:numP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sz w:val="21"/>
                <w:szCs w:val="21"/>
                <w:highlight w:val="none"/>
              </w:rPr>
              <w:t>运输费</w:t>
            </w:r>
          </w:p>
          <w:p>
            <w:pPr>
              <w:pStyle w:val="2"/>
              <w:numPr>
                <w:ilvl w:val="0"/>
                <w:numId w:val="8"/>
              </w:numP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sz w:val="21"/>
                <w:szCs w:val="21"/>
                <w:highlight w:val="none"/>
              </w:rPr>
              <w:t>集成调试费：厂家、采购方、搬迁方；</w:t>
            </w:r>
          </w:p>
          <w:p>
            <w:pPr>
              <w:pStyle w:val="2"/>
              <w:numPr>
                <w:ilvl w:val="0"/>
                <w:numId w:val="8"/>
              </w:numP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sz w:val="21"/>
                <w:szCs w:val="21"/>
                <w:highlight w:val="none"/>
              </w:rPr>
              <w:t>工程辅材：工具、材料等项目所要求的其他费用；</w:t>
            </w:r>
          </w:p>
          <w:p>
            <w:pPr>
              <w:pStyle w:val="2"/>
              <w:numPr>
                <w:ilvl w:val="0"/>
                <w:numId w:val="8"/>
              </w:numP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sz w:val="21"/>
                <w:szCs w:val="21"/>
                <w:highlight w:val="none"/>
              </w:rPr>
              <w:t>光纤扩容：一楼3号机房到五楼北机房（48芯）；一楼3号机房到八楼图控机房（48芯）；一楼3号机房到九楼指挥中心机房（24芯）；一楼3号机房到十楼机要机房[]（48芯）；一楼3号机房到警察学校（48芯）；一楼3号机房到2号机房（192芯）。</w:t>
            </w:r>
          </w:p>
        </w:tc>
        <w:tc>
          <w:tcPr>
            <w:tcW w:w="680" w:type="dxa"/>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1</w:t>
            </w:r>
          </w:p>
        </w:tc>
        <w:tc>
          <w:tcPr>
            <w:tcW w:w="703" w:type="dxa"/>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000000"/>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969" w:type="dxa"/>
            <w:gridSpan w:val="6"/>
            <w:noWrap/>
            <w:vAlign w:val="center"/>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二、商务条款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8" w:type="dxa"/>
            <w:gridSpan w:val="3"/>
            <w:noWrap/>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质保期</w:t>
            </w:r>
          </w:p>
        </w:tc>
        <w:tc>
          <w:tcPr>
            <w:tcW w:w="8321" w:type="dxa"/>
            <w:gridSpan w:val="3"/>
            <w:noWrap/>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按厂家承诺，整体项目质保</w:t>
            </w:r>
            <w:r>
              <w:rPr>
                <w:rFonts w:hint="eastAsia" w:asciiTheme="minorEastAsia" w:hAnsiTheme="minorEastAsia" w:eastAsiaTheme="minorEastAsia" w:cstheme="minorEastAsia"/>
                <w:color w:val="auto"/>
                <w:szCs w:val="21"/>
                <w:highlight w:val="none"/>
                <w:lang w:val="en-US" w:eastAsia="zh-CN"/>
              </w:rPr>
              <w:t>期</w:t>
            </w:r>
            <w:r>
              <w:rPr>
                <w:rFonts w:hint="eastAsia" w:asciiTheme="minorEastAsia" w:hAnsiTheme="minorEastAsia" w:eastAsiaTheme="minorEastAsia" w:cstheme="minorEastAsia"/>
                <w:color w:val="auto"/>
                <w:szCs w:val="21"/>
                <w:highlight w:val="none"/>
              </w:rPr>
              <w:t>1年，质保期满后，整体项目免费维护2年（技术参数及性能配置要求有要求的按其规定）。质保期及免费维护期内免费维修、更换配件。质保期及免费维护期内</w:t>
            </w:r>
            <w:r>
              <w:rPr>
                <w:rFonts w:hint="eastAsia" w:asciiTheme="minorEastAsia" w:hAnsiTheme="minorEastAsia" w:eastAsiaTheme="minorEastAsia" w:cstheme="minorEastAsia"/>
                <w:color w:val="000000"/>
                <w:szCs w:val="21"/>
                <w:highlight w:val="none"/>
              </w:rPr>
              <w:t>如出现系统问题或设备故障的，免费提供相同规格型号的不低于原设备性能要求的替代品使用或者冗余服务。</w:t>
            </w:r>
            <w:r>
              <w:rPr>
                <w:rFonts w:hint="eastAsia" w:asciiTheme="minorEastAsia" w:hAnsiTheme="minorEastAsia" w:eastAsiaTheme="minorEastAsia" w:cstheme="minorEastAsia"/>
                <w:color w:val="auto"/>
                <w:szCs w:val="21"/>
                <w:highlight w:val="none"/>
              </w:rPr>
              <w:t>质保期及免费维护期内</w:t>
            </w:r>
            <w:r>
              <w:rPr>
                <w:rFonts w:hint="eastAsia" w:asciiTheme="minorEastAsia" w:hAnsiTheme="minorEastAsia" w:eastAsiaTheme="minorEastAsia" w:cstheme="minorEastAsia"/>
                <w:color w:val="000000"/>
                <w:szCs w:val="21"/>
                <w:highlight w:val="none"/>
              </w:rPr>
              <w:t>如出现48小时内无法修复系统问题或设备故障的，免费更换相同规格型号的设备。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48" w:type="dxa"/>
            <w:gridSpan w:val="3"/>
            <w:noWrap/>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交付使用期</w:t>
            </w:r>
          </w:p>
        </w:tc>
        <w:tc>
          <w:tcPr>
            <w:tcW w:w="8321" w:type="dxa"/>
            <w:gridSpan w:val="3"/>
            <w:noWrap/>
            <w:vAlign w:val="center"/>
          </w:tcPr>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自采购合同签订之日起60个日历天。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48" w:type="dxa"/>
            <w:gridSpan w:val="3"/>
            <w:noWrap/>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交货安装地点</w:t>
            </w:r>
          </w:p>
        </w:tc>
        <w:tc>
          <w:tcPr>
            <w:tcW w:w="8321" w:type="dxa"/>
            <w:gridSpan w:val="3"/>
            <w:noWrap/>
            <w:vAlign w:val="center"/>
          </w:tcPr>
          <w:p>
            <w:pPr>
              <w:spacing w:line="30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防城港市指定地点</w:t>
            </w:r>
            <w:r>
              <w:rPr>
                <w:rFonts w:hint="eastAsia" w:asciiTheme="minorEastAsia" w:hAnsiTheme="minorEastAsia" w:eastAsiaTheme="minorEastAsia" w:cstheme="minorEastAsia"/>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648" w:type="dxa"/>
            <w:gridSpan w:val="3"/>
            <w:noWrap/>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签订合同日期</w:t>
            </w:r>
          </w:p>
        </w:tc>
        <w:tc>
          <w:tcPr>
            <w:tcW w:w="8321" w:type="dxa"/>
            <w:gridSpan w:val="3"/>
            <w:noWrap/>
            <w:vAlign w:val="center"/>
          </w:tcPr>
          <w:p>
            <w:pPr>
              <w:spacing w:line="30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自中标通知书发出之日起25日内。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8" w:type="dxa"/>
            <w:gridSpan w:val="3"/>
            <w:noWrap/>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付款条件</w:t>
            </w:r>
          </w:p>
        </w:tc>
        <w:tc>
          <w:tcPr>
            <w:tcW w:w="8321" w:type="dxa"/>
            <w:gridSpan w:val="3"/>
            <w:noWrap/>
            <w:vAlign w:val="center"/>
          </w:tcPr>
          <w:p>
            <w:pPr>
              <w:pStyle w:val="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签订中标合同后，</w:t>
            </w:r>
            <w:r>
              <w:rPr>
                <w:rFonts w:hint="eastAsia" w:asciiTheme="minorEastAsia" w:hAnsiTheme="minorEastAsia" w:eastAsiaTheme="minorEastAsia" w:cstheme="minorEastAsia"/>
                <w:color w:val="auto"/>
                <w:szCs w:val="21"/>
                <w:highlight w:val="none"/>
                <w:lang w:val="en-US" w:eastAsia="zh-CN"/>
              </w:rPr>
              <w:t>中标方与采购方签订到货书，</w:t>
            </w:r>
            <w:r>
              <w:rPr>
                <w:rFonts w:hint="eastAsia" w:asciiTheme="minorEastAsia" w:hAnsiTheme="minorEastAsia" w:eastAsiaTheme="minorEastAsia" w:cstheme="minorEastAsia"/>
                <w:color w:val="auto"/>
                <w:szCs w:val="21"/>
                <w:highlight w:val="none"/>
              </w:rPr>
              <w:t>中标方开具有效发票给采购方后</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采购方</w:t>
            </w:r>
            <w:r>
              <w:rPr>
                <w:rFonts w:hint="eastAsia" w:asciiTheme="minorEastAsia" w:hAnsiTheme="minorEastAsia" w:eastAsiaTheme="minorEastAsia" w:cstheme="minorEastAsia"/>
                <w:color w:val="auto"/>
                <w:szCs w:val="21"/>
                <w:highlight w:val="none"/>
                <w:lang w:val="en-US" w:eastAsia="zh-CN"/>
              </w:rPr>
              <w:t>30个工作日内支付合同总金额的30%作为预付款</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设备安装调试通过验收后，中标方开具有效发票给采购方后，采购方30个工作日内支付至合同总额的95%，质保期满后30个工作日内支付合同总额的5%（不计利息）。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8" w:type="dxa"/>
            <w:gridSpan w:val="3"/>
            <w:noWrap/>
            <w:vAlign w:val="center"/>
          </w:tcPr>
          <w:p>
            <w:pPr>
              <w:widowControl/>
              <w:spacing w:line="3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货物验收</w:t>
            </w:r>
          </w:p>
        </w:tc>
        <w:tc>
          <w:tcPr>
            <w:tcW w:w="8321" w:type="dxa"/>
            <w:gridSpan w:val="3"/>
            <w:noWrap/>
            <w:vAlign w:val="center"/>
          </w:tcPr>
          <w:p>
            <w:pPr>
              <w:pStyle w:val="22"/>
              <w:snapToGrid w:val="0"/>
              <w:spacing w:line="300" w:lineRule="exact"/>
              <w:outlineLvl w:val="0"/>
              <w:rPr>
                <w:rFonts w:hint="eastAsia" w:asciiTheme="minorEastAsia" w:hAnsiTheme="minorEastAsia" w:eastAsiaTheme="minorEastAsia" w:cstheme="minorEastAsia"/>
                <w:bCs/>
                <w:color w:val="auto"/>
                <w:kern w:val="2"/>
                <w:sz w:val="21"/>
                <w:highlight w:val="none"/>
              </w:rPr>
            </w:pPr>
            <w:r>
              <w:rPr>
                <w:rFonts w:hint="eastAsia" w:asciiTheme="minorEastAsia" w:hAnsiTheme="minorEastAsia" w:eastAsiaTheme="minorEastAsia" w:cstheme="minorEastAsia"/>
                <w:bCs/>
                <w:color w:val="auto"/>
                <w:kern w:val="2"/>
                <w:sz w:val="21"/>
                <w:highlight w:val="none"/>
              </w:rPr>
              <w:t>1、交货安装调试完毕后，由采购人及中标供应商共同组织现场检测、检验，按招标文件要求及国家标准进行验收。</w:t>
            </w:r>
          </w:p>
          <w:p>
            <w:pPr>
              <w:pStyle w:val="22"/>
              <w:snapToGrid w:val="0"/>
              <w:spacing w:line="300" w:lineRule="exact"/>
              <w:outlineLvl w:val="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Cs/>
                <w:color w:val="auto"/>
                <w:kern w:val="2"/>
                <w:sz w:val="21"/>
                <w:highlight w:val="none"/>
              </w:rPr>
              <w:t>2、采购人现场根据合同及投标文件承诺逐条对应进行核验，核验不合格的，采购人有权终止合同执行并全部退货，同时报相关监督管理部门处理，由此造成采购人经济损失的由成交供应商负责承担全部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8" w:type="dxa"/>
            <w:gridSpan w:val="3"/>
            <w:noWrap/>
            <w:vAlign w:val="center"/>
          </w:tcPr>
          <w:p>
            <w:pPr>
              <w:spacing w:line="30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售后服务及其他要求</w:t>
            </w:r>
          </w:p>
        </w:tc>
        <w:tc>
          <w:tcPr>
            <w:tcW w:w="8321" w:type="dxa"/>
            <w:gridSpan w:val="3"/>
            <w:noWrap/>
            <w:vAlign w:val="center"/>
          </w:tcPr>
          <w:p>
            <w:pPr>
              <w:spacing w:line="360" w:lineRule="atLeas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1、所采购设备必须原厂生产的全新合格产品，产品质量符合国家相关标准和安全规范。</w:t>
            </w:r>
          </w:p>
          <w:p>
            <w:pPr>
              <w:pStyle w:val="22"/>
              <w:spacing w:line="360" w:lineRule="atLeas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采购货物价格包含货物、随配附件、备品备件、工具、运抵指定交货地点、现场安装调试的各种费用和售后服务、税金等所有成本费用的总和。但货物价格不包含建设过程中如有产生的行政事业性的赔补费用，现场施工应按市政施工办理，一切相关的行政事业性收费；</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3、为了能够得到更好的本地化服务，供应商应在投标文件中承诺在防城港市内设有售后服务站。</w:t>
            </w:r>
          </w:p>
          <w:p>
            <w:pPr>
              <w:pStyle w:val="22"/>
              <w:spacing w:line="360" w:lineRule="atLeas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4、产权归属：所有设备（含前端、后台设备等，不包括光纤电路）合同期满后产权仍归采购人所有。</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5、中标人必须承诺跟采购人签定有关的系统安全保密、保障协议。</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人可以根据实际需要及所投产品需求自行开展调研工作，并在投标文件中明确承诺可以满足招标文件所要求的对接及软件功能的完全融合应用要求，并在投标时提供互联互通证明文件并加盖公章，否则投标无效。</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 在中标公示期，采购人有权依次对所有中标候选人所投产品进行对接及功能测试，如中标人未能在规定时间内通过对接功能测试，则视为虚假承诺，判定该中标人为虚假应标，并报相关的政府采购监督管理部门进行处理，采购人保留进一步追究其法律责任的权利，由此引发的所有损失由该中标人承担。</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★8、采购需求表中第5项产品“公安信息网出口防火墙”投标时提供以下资质证书复印件：</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1）具备中国信息安全测评中心颁发的《信息技术产品安全测评证书（EAL4+）》；</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2）具备国家信息安全漏洞库兼容性资质证书；</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★9、采购需求表中第10项产品“互联网出口防火墙”投标提供以下资质证书复印件：</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1）具有中国信息安全测评中心颁发的《信息技术产品安全测评证书（EAL4+）》；</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2）具备国家信息安全漏洞库兼容性资质证书；</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★10、采购需求表中第11项产品“上网行为管理”投标提供由中国信息安全认证中心颁发的《中国国家信息安全产品认证证书》复印件</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11、维护服务：</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（1）质保期及免费维护期内免费提供软件升级维护服务，提供7×24小时热线电话服务</w:t>
            </w:r>
          </w:p>
          <w:p>
            <w:pPr>
              <w:spacing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故障处理响应时间需在60分钟以内，故障修复时间不超过6小时，特殊地点(超高、危险区域)特殊天气故障修复时间不超过24小时。现场故障一般处理时间段为8:00到18:00，技术人员赶到现场，如不能确定设备故障原因，则安排替换设备进行替换，并将故障设备带回检修，考虑到前端障碍处理的安全要求及环境条件，18:00以后申报的故障原则上可以在第二天8:00后安排处理，案件需要等特殊原因除外。</w:t>
            </w:r>
          </w:p>
          <w:p>
            <w:pPr>
              <w:pStyle w:val="2"/>
              <w:rPr>
                <w:rFonts w:hint="eastAsia" w:asciiTheme="minorEastAsia" w:hAnsiTheme="minorEastAsia" w:eastAsiaTheme="minorEastAsia" w:cstheme="minorEastAsia"/>
                <w:bCs w:val="0"/>
                <w:color w:val="auto"/>
                <w:spacing w:val="0"/>
                <w:kern w:val="2"/>
                <w:sz w:val="21"/>
                <w:szCs w:val="21"/>
                <w:highlight w:val="none"/>
                <w:lang w:val="en-US" w:eastAsia="zh-CN"/>
              </w:rPr>
            </w:pPr>
            <w:r>
              <w:rPr>
                <w:rFonts w:hint="eastAsia" w:asciiTheme="minorEastAsia" w:hAnsiTheme="minorEastAsia" w:eastAsiaTheme="minorEastAsia" w:cstheme="minorEastAsia"/>
                <w:bCs w:val="0"/>
                <w:color w:val="auto"/>
                <w:spacing w:val="0"/>
                <w:kern w:val="2"/>
                <w:sz w:val="21"/>
                <w:szCs w:val="21"/>
                <w:highlight w:val="none"/>
                <w:lang w:val="en-US" w:eastAsia="zh-CN"/>
              </w:rPr>
              <w:t>12、免费维护期满后，如需继续维护的，乙方收取费用不得高于中标价的10%</w:t>
            </w:r>
          </w:p>
          <w:p>
            <w:pPr>
              <w:pStyle w:val="2"/>
              <w:rPr>
                <w:rFonts w:hint="eastAsia" w:asciiTheme="minorEastAsia" w:hAnsiTheme="minorEastAsia" w:eastAsiaTheme="minorEastAsia" w:cstheme="minorEastAsia"/>
                <w:bCs w:val="0"/>
                <w:color w:val="000000"/>
                <w:spacing w:val="0"/>
                <w:kern w:val="2"/>
                <w:sz w:val="21"/>
                <w:szCs w:val="21"/>
                <w:highlight w:val="none"/>
                <w:lang w:val="en-US" w:eastAsia="zh-CN"/>
              </w:rPr>
            </w:pPr>
            <w:r>
              <w:rPr>
                <w:rFonts w:hint="eastAsia" w:asciiTheme="minorEastAsia" w:hAnsiTheme="minorEastAsia" w:eastAsiaTheme="minorEastAsia" w:cstheme="minorEastAsia"/>
                <w:bCs w:val="0"/>
                <w:color w:val="auto"/>
                <w:spacing w:val="0"/>
                <w:kern w:val="2"/>
                <w:sz w:val="21"/>
                <w:szCs w:val="21"/>
                <w:highlight w:val="none"/>
                <w:lang w:val="en-US" w:eastAsia="zh-CN"/>
              </w:rPr>
              <w:t>13、</w:t>
            </w:r>
            <w:r>
              <w:rPr>
                <w:rFonts w:hint="eastAsia" w:asciiTheme="minorEastAsia" w:hAnsiTheme="minorEastAsia" w:eastAsiaTheme="minorEastAsia" w:cstheme="minorEastAsia"/>
                <w:bCs w:val="0"/>
                <w:color w:val="000000"/>
                <w:spacing w:val="0"/>
                <w:kern w:val="2"/>
                <w:sz w:val="21"/>
                <w:szCs w:val="21"/>
                <w:highlight w:val="none"/>
                <w:lang w:val="en-US" w:eastAsia="zh-CN"/>
              </w:rPr>
              <w:t>报价为总价包干，以人民币为结算单位。</w:t>
            </w:r>
          </w:p>
          <w:p>
            <w:pPr>
              <w:pStyle w:val="2"/>
              <w:rPr>
                <w:rFonts w:hint="default" w:asciiTheme="minorEastAsia" w:hAnsiTheme="minorEastAsia" w:eastAsiaTheme="minorEastAsia" w:cstheme="minorEastAsia"/>
                <w:color w:val="000000"/>
                <w:sz w:val="21"/>
                <w:szCs w:val="21"/>
                <w:highlight w:val="none"/>
                <w:lang w:val="en-US" w:eastAsia="zh-CN"/>
              </w:rPr>
            </w:pPr>
          </w:p>
        </w:tc>
      </w:tr>
    </w:tbl>
    <w:p>
      <w:pPr>
        <w:spacing w:afterLines="50"/>
        <w:rPr>
          <w:rFonts w:hint="eastAsia" w:asciiTheme="minorEastAsia" w:hAnsiTheme="minorEastAsia" w:eastAsiaTheme="minorEastAsia" w:cstheme="minorEastAsia"/>
          <w:b/>
          <w:color w:val="auto"/>
          <w:szCs w:val="21"/>
          <w:highlight w:val="none"/>
        </w:rPr>
      </w:pPr>
    </w:p>
    <w:p>
      <w:pPr>
        <w:spacing w:afterLines="50"/>
        <w:rPr>
          <w:rFonts w:hint="eastAsia" w:asciiTheme="minorEastAsia" w:hAnsiTheme="minorEastAsia" w:eastAsiaTheme="minorEastAsia" w:cstheme="minorEastAsia"/>
          <w:b/>
          <w:color w:val="auto"/>
          <w:sz w:val="21"/>
          <w:szCs w:val="21"/>
          <w:highlight w:val="none"/>
        </w:rPr>
      </w:pPr>
    </w:p>
    <w:p>
      <w:pPr>
        <w:spacing w:afterLines="50"/>
        <w:rPr>
          <w:rFonts w:hint="eastAsia" w:asciiTheme="minorEastAsia" w:hAnsiTheme="minorEastAsia" w:eastAsiaTheme="minorEastAsia" w:cstheme="minorEastAsia"/>
          <w:b/>
          <w:color w:val="auto"/>
          <w:sz w:val="21"/>
          <w:szCs w:val="21"/>
          <w:highlight w:val="none"/>
        </w:rPr>
      </w:pPr>
    </w:p>
    <w:p>
      <w:pPr>
        <w:spacing w:afterLines="50"/>
        <w:rPr>
          <w:rFonts w:hint="eastAsia" w:asciiTheme="minorEastAsia" w:hAnsiTheme="minorEastAsia" w:eastAsiaTheme="minorEastAsia" w:cstheme="minorEastAsia"/>
          <w:b/>
          <w:color w:val="auto"/>
          <w:sz w:val="21"/>
          <w:szCs w:val="21"/>
          <w:highlight w:val="none"/>
        </w:rPr>
      </w:pPr>
    </w:p>
    <w:p>
      <w:pPr>
        <w:spacing w:afterLines="50"/>
        <w:rPr>
          <w:rFonts w:hint="eastAsia" w:asciiTheme="minorEastAsia" w:hAnsiTheme="minorEastAsia" w:eastAsiaTheme="minorEastAsia" w:cstheme="minorEastAsia"/>
          <w:b/>
          <w:color w:val="auto"/>
          <w:sz w:val="21"/>
          <w:szCs w:val="21"/>
          <w:highlight w:val="none"/>
        </w:rPr>
      </w:pPr>
    </w:p>
    <w:p>
      <w:pPr>
        <w:spacing w:afterLines="50"/>
        <w:rPr>
          <w:rFonts w:hint="eastAsia" w:asciiTheme="minorEastAsia" w:hAnsiTheme="minorEastAsia" w:eastAsiaTheme="minorEastAsia" w:cstheme="minorEastAsia"/>
          <w:b/>
          <w:color w:val="auto"/>
          <w:sz w:val="21"/>
          <w:szCs w:val="21"/>
          <w:highlight w:val="none"/>
        </w:rPr>
      </w:pPr>
    </w:p>
    <w:p>
      <w:pPr>
        <w:pStyle w:val="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br w:type="page"/>
      </w:r>
      <w:r>
        <w:rPr>
          <w:rFonts w:hint="eastAsia" w:asciiTheme="minorEastAsia" w:hAnsiTheme="minorEastAsia" w:eastAsiaTheme="minorEastAsia" w:cstheme="minorEastAsia"/>
          <w:b/>
          <w:bCs/>
          <w:color w:val="auto"/>
          <w:sz w:val="21"/>
          <w:szCs w:val="21"/>
          <w:highlight w:val="none"/>
        </w:rPr>
        <w:t>第三章  投标人须知</w:t>
      </w:r>
    </w:p>
    <w:p>
      <w:pPr>
        <w:snapToGrid w:val="0"/>
        <w:spacing w:beforeLines="50" w:afterLines="50"/>
        <w:ind w:left="238"/>
        <w:jc w:val="center"/>
        <w:outlineLvl w:val="1"/>
        <w:rPr>
          <w:rFonts w:hint="eastAsia" w:asciiTheme="minorEastAsia" w:hAnsiTheme="minorEastAsia" w:eastAsiaTheme="minorEastAsia" w:cstheme="minorEastAsia"/>
          <w:b/>
          <w:color w:val="auto"/>
          <w:szCs w:val="21"/>
          <w:highlight w:val="none"/>
        </w:rPr>
      </w:pPr>
      <w:bookmarkStart w:id="6" w:name="_Toc254970667"/>
      <w:bookmarkStart w:id="7" w:name="_Toc254970526"/>
      <w:bookmarkStart w:id="8" w:name="_Toc430110129"/>
      <w:r>
        <w:rPr>
          <w:rFonts w:hint="eastAsia" w:asciiTheme="minorEastAsia" w:hAnsiTheme="minorEastAsia" w:eastAsiaTheme="minorEastAsia" w:cstheme="minorEastAsia"/>
          <w:b/>
          <w:color w:val="auto"/>
          <w:szCs w:val="21"/>
          <w:highlight w:val="none"/>
        </w:rPr>
        <w:t>投标人须知前附表</w:t>
      </w:r>
      <w:bookmarkEnd w:id="6"/>
      <w:bookmarkEnd w:id="7"/>
      <w:bookmarkEnd w:id="8"/>
    </w:p>
    <w:tbl>
      <w:tblPr>
        <w:tblStyle w:val="35"/>
        <w:tblW w:w="95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 xml:space="preserve">项目名称：防城港市公安局机房改造升级项目设备采购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采购单位：防城港市公安局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投标报价及费用</w:t>
            </w:r>
            <w:r>
              <w:rPr>
                <w:rFonts w:hint="eastAsia" w:asciiTheme="minorEastAsia" w:hAnsiTheme="minorEastAsia" w:eastAsiaTheme="minorEastAsia" w:cstheme="minorEastAsia"/>
                <w:color w:val="auto"/>
                <w:szCs w:val="21"/>
                <w:highlight w:val="none"/>
              </w:rPr>
              <w:t>：1.本项目投标应以人民币报价，根据采购需求作完整唯一报价；2.不论投标结果如何，投标人均应自行承担所有与投标有关的全部费用；3.本项目代理服务费按国家发展计划委员会计价格[2002]1980号《招标代理服务费管理暂行办法》及发改价格[2015]299号文规定的（货物招标）收费标准收取，由中标供应商在签订合同前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4</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答疑与澄清</w:t>
            </w:r>
            <w:r>
              <w:rPr>
                <w:rFonts w:hint="eastAsia" w:asciiTheme="minorEastAsia" w:hAnsiTheme="minorEastAsia" w:eastAsiaTheme="minorEastAsia" w:cstheme="minorEastAsia"/>
                <w:color w:val="auto"/>
                <w:szCs w:val="21"/>
                <w:highlight w:val="none"/>
              </w:rPr>
              <w:t>：投标人如认为招标文件表述不清晰、存在歧视性、排他性或者其他违法内容的，应当于投标截止时间四天前，以书面形式向招标采购单位提出质疑，招标采购单位将以书面形式予以解释、澄清；答疑内容作为招标文件的组成部份，并以书面形式通知所有已购买招标文件的投标人；招标采购单位可以视采购具体情况，延长投标截止时间和开标时间，但至少应当在招标文件要求提交投标文件的截止时间三日前，将变更时间书面通知所有购买招标文件的投标人，并在财政部门指定的政府采购信息发布媒体上发布变更时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5</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投标文件组成</w:t>
            </w:r>
            <w:r>
              <w:rPr>
                <w:rFonts w:hint="eastAsia" w:asciiTheme="minorEastAsia" w:hAnsiTheme="minorEastAsia" w:eastAsiaTheme="minorEastAsia" w:cstheme="minorEastAsia"/>
                <w:color w:val="auto"/>
                <w:szCs w:val="21"/>
                <w:highlight w:val="none"/>
              </w:rPr>
              <w:t>：开标一览表一份；资格审查、商务/技术、报价文件正本各一份，副本各四份。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6</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投标截止时间及地点</w:t>
            </w:r>
            <w:r>
              <w:rPr>
                <w:rFonts w:hint="eastAsia" w:asciiTheme="minorEastAsia" w:hAnsiTheme="minorEastAsia" w:eastAsiaTheme="minorEastAsia" w:cstheme="minorEastAsia"/>
                <w:color w:val="auto"/>
                <w:szCs w:val="21"/>
                <w:highlight w:val="none"/>
              </w:rPr>
              <w:t>：投标人应于 2020年6月16日09时30分</w:t>
            </w:r>
            <w:r>
              <w:rPr>
                <w:rFonts w:hint="eastAsia" w:asciiTheme="minorEastAsia" w:hAnsiTheme="minorEastAsia" w:eastAsiaTheme="minorEastAsia" w:cstheme="minorEastAsia"/>
                <w:bCs/>
                <w:color w:val="auto"/>
                <w:szCs w:val="21"/>
                <w:highlight w:val="none"/>
              </w:rPr>
              <w:t>00秒</w:t>
            </w:r>
            <w:r>
              <w:rPr>
                <w:rFonts w:hint="eastAsia" w:asciiTheme="minorEastAsia" w:hAnsiTheme="minorEastAsia" w:eastAsiaTheme="minorEastAsia" w:cstheme="minorEastAsia"/>
                <w:color w:val="auto"/>
                <w:szCs w:val="21"/>
                <w:highlight w:val="none"/>
              </w:rPr>
              <w:t>前将投标文件密封送交到</w:t>
            </w:r>
            <w:r>
              <w:rPr>
                <w:rFonts w:hint="eastAsia" w:asciiTheme="minorEastAsia" w:hAnsiTheme="minorEastAsia" w:eastAsiaTheme="minorEastAsia" w:cstheme="minorEastAsia"/>
                <w:color w:val="auto"/>
                <w:szCs w:val="21"/>
                <w:highlight w:val="none"/>
                <w:u w:val="single"/>
              </w:rPr>
              <w:t>防城港市公共资源交易中心（防城港市迎宾路红树林大厦东塔，具体开标室根据6楼电子屏幕显示的安排）</w:t>
            </w:r>
            <w:r>
              <w:rPr>
                <w:rFonts w:hint="eastAsia" w:asciiTheme="minorEastAsia" w:hAnsiTheme="minorEastAsia" w:eastAsiaTheme="minorEastAsia" w:cstheme="minorEastAsia"/>
                <w:color w:val="auto"/>
                <w:szCs w:val="21"/>
                <w:highlight w:val="none"/>
              </w:rPr>
              <w:t>，逾期送达或未密封将予以拒收（或作无效投标文件处理）。</w:t>
            </w:r>
            <w:bookmarkStart w:id="117" w:name="_GoBack"/>
            <w:bookmarkEnd w:id="1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b/>
                <w:color w:val="auto"/>
                <w:szCs w:val="21"/>
                <w:highlight w:val="none"/>
              </w:rPr>
              <w:t>开标时间及地点</w:t>
            </w:r>
            <w:r>
              <w:rPr>
                <w:rFonts w:hint="eastAsia" w:asciiTheme="minorEastAsia" w:hAnsiTheme="minorEastAsia" w:eastAsiaTheme="minorEastAsia" w:cstheme="minorEastAsia"/>
                <w:color w:val="auto"/>
                <w:szCs w:val="21"/>
                <w:highlight w:val="none"/>
              </w:rPr>
              <w:t>：本次招标将于</w:t>
            </w:r>
            <w:r>
              <w:rPr>
                <w:rFonts w:hint="eastAsia" w:asciiTheme="minorEastAsia" w:hAnsiTheme="minorEastAsia" w:eastAsiaTheme="minorEastAsia" w:cstheme="minorEastAsia"/>
                <w:bCs/>
                <w:color w:val="auto"/>
                <w:szCs w:val="21"/>
                <w:highlight w:val="none"/>
              </w:rPr>
              <w:t>2020年</w:t>
            </w:r>
            <w:r>
              <w:rPr>
                <w:rFonts w:hint="eastAsia" w:asciiTheme="minorEastAsia" w:hAnsiTheme="minorEastAsia" w:eastAsiaTheme="minorEastAsia" w:cstheme="minorEastAsia"/>
                <w:bCs/>
                <w:color w:val="auto"/>
                <w:szCs w:val="21"/>
                <w:highlight w:val="none"/>
                <w:lang w:val="en-US" w:eastAsia="zh-CN"/>
              </w:rPr>
              <w:t>6</w:t>
            </w:r>
            <w:r>
              <w:rPr>
                <w:rFonts w:hint="eastAsia" w:asciiTheme="minorEastAsia" w:hAnsiTheme="minorEastAsia" w:eastAsiaTheme="minorEastAsia" w:cstheme="minorEastAsia"/>
                <w:bCs/>
                <w:color w:val="auto"/>
                <w:szCs w:val="21"/>
                <w:highlight w:val="none"/>
              </w:rPr>
              <w:t>月</w:t>
            </w:r>
            <w:r>
              <w:rPr>
                <w:rFonts w:hint="eastAsia" w:asciiTheme="minorEastAsia" w:hAnsiTheme="minorEastAsia" w:eastAsiaTheme="minorEastAsia" w:cstheme="minorEastAsia"/>
                <w:bCs/>
                <w:color w:val="auto"/>
                <w:szCs w:val="21"/>
                <w:highlight w:val="none"/>
                <w:lang w:val="en-US" w:eastAsia="zh-CN"/>
              </w:rPr>
              <w:t>16</w:t>
            </w:r>
            <w:r>
              <w:rPr>
                <w:rFonts w:hint="eastAsia" w:asciiTheme="minorEastAsia" w:hAnsiTheme="minorEastAsia" w:eastAsiaTheme="minorEastAsia" w:cstheme="minorEastAsia"/>
                <w:bCs/>
                <w:color w:val="auto"/>
                <w:szCs w:val="21"/>
                <w:highlight w:val="none"/>
              </w:rPr>
              <w:t>日</w:t>
            </w:r>
            <w:r>
              <w:rPr>
                <w:rFonts w:hint="eastAsia" w:asciiTheme="minorEastAsia" w:hAnsiTheme="minorEastAsia" w:eastAsiaTheme="minorEastAsia" w:cstheme="minorEastAsia"/>
                <w:bCs/>
                <w:color w:val="auto"/>
                <w:szCs w:val="21"/>
                <w:highlight w:val="none"/>
                <w:lang w:val="en-US" w:eastAsia="zh-CN"/>
              </w:rPr>
              <w:t>09</w:t>
            </w:r>
            <w:r>
              <w:rPr>
                <w:rFonts w:hint="eastAsia" w:asciiTheme="minorEastAsia" w:hAnsiTheme="minorEastAsia" w:eastAsiaTheme="minorEastAsia" w:cstheme="minorEastAsia"/>
                <w:bCs/>
                <w:color w:val="auto"/>
                <w:szCs w:val="21"/>
                <w:highlight w:val="none"/>
              </w:rPr>
              <w:t>时</w:t>
            </w:r>
            <w:r>
              <w:rPr>
                <w:rFonts w:hint="eastAsia" w:asciiTheme="minorEastAsia" w:hAnsiTheme="minorEastAsia" w:eastAsiaTheme="minorEastAsia" w:cstheme="minorEastAsia"/>
                <w:bCs/>
                <w:color w:val="auto"/>
                <w:szCs w:val="21"/>
                <w:highlight w:val="none"/>
                <w:lang w:val="en-US" w:eastAsia="zh-CN"/>
              </w:rPr>
              <w:t>30</w:t>
            </w:r>
            <w:r>
              <w:rPr>
                <w:rFonts w:hint="eastAsia" w:asciiTheme="minorEastAsia" w:hAnsiTheme="minorEastAsia" w:eastAsiaTheme="minorEastAsia" w:cstheme="minorEastAsia"/>
                <w:bCs/>
                <w:color w:val="auto"/>
                <w:szCs w:val="21"/>
                <w:highlight w:val="none"/>
              </w:rPr>
              <w:t>分</w:t>
            </w:r>
            <w:r>
              <w:rPr>
                <w:rFonts w:hint="eastAsia" w:asciiTheme="minorEastAsia" w:hAnsiTheme="minorEastAsia" w:eastAsiaTheme="minorEastAsia" w:cstheme="minorEastAsia"/>
                <w:color w:val="auto"/>
                <w:szCs w:val="21"/>
                <w:highlight w:val="none"/>
              </w:rPr>
              <w:t>整在防城港市公共资源交易中心（防城港市迎宾路红树林大厦东塔，具体开标室根据6楼电子屏幕显示的安排）开标厅开标。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8</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评标办法及评分标准</w:t>
            </w:r>
            <w:r>
              <w:rPr>
                <w:rFonts w:hint="eastAsia" w:asciiTheme="minorEastAsia" w:hAnsiTheme="minorEastAsia" w:eastAsiaTheme="minorEastAsia" w:cstheme="minorEastAsia"/>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9</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中标公告及中标通知书</w:t>
            </w:r>
            <w:r>
              <w:rPr>
                <w:rFonts w:hint="eastAsia" w:asciiTheme="minorEastAsia" w:hAnsiTheme="minorEastAsia" w:eastAsiaTheme="minorEastAsia" w:cstheme="minorEastAsia"/>
                <w:color w:val="auto"/>
                <w:szCs w:val="21"/>
                <w:highlight w:val="none"/>
              </w:rPr>
              <w:t>：采购代理机构在采购人依法确认中标人后二个工作日内发布中标公告和向中标人发出中标通知书，中标公告发布于财政部门指定的政府采购信息发布媒体。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0</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投标保证金退还（</w:t>
            </w:r>
            <w:r>
              <w:rPr>
                <w:rFonts w:hint="eastAsia" w:asciiTheme="minorEastAsia" w:hAnsiTheme="minorEastAsia" w:eastAsiaTheme="minorEastAsia" w:cstheme="minorEastAsia"/>
                <w:color w:val="auto"/>
                <w:szCs w:val="21"/>
                <w:highlight w:val="none"/>
              </w:rPr>
              <w:t>不计息）：除招标文件规定不予退还投标保证金的情形外，未中标的投标人的投标保证金将在中标通知书发出之日起5个工作日内予以退还；中标人的投标保证金将在交易中心收到中标人交纳履约保证金证明复印件和中标人与采购人签订的采购合同副本</w:t>
            </w:r>
            <w:r>
              <w:rPr>
                <w:rFonts w:hint="eastAsia" w:asciiTheme="minorEastAsia" w:hAnsiTheme="minorEastAsia" w:eastAsiaTheme="minorEastAsia" w:cstheme="minorEastAsia"/>
                <w:color w:val="auto"/>
                <w:szCs w:val="21"/>
                <w:highlight w:val="none"/>
                <w:u w:val="single"/>
              </w:rPr>
              <w:t>1</w:t>
            </w:r>
            <w:r>
              <w:rPr>
                <w:rFonts w:hint="eastAsia" w:asciiTheme="minorEastAsia" w:hAnsiTheme="minorEastAsia" w:eastAsiaTheme="minorEastAsia" w:cstheme="minorEastAsia"/>
                <w:color w:val="auto"/>
                <w:szCs w:val="21"/>
                <w:highlight w:val="none"/>
              </w:rPr>
              <w:t>份后5个工作日之内予以退还。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1</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签订合同时间</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Cs/>
                <w:color w:val="auto"/>
                <w:szCs w:val="21"/>
                <w:highlight w:val="none"/>
              </w:rPr>
              <w:t>自中标通知书发出之日起30日内</w:t>
            </w:r>
            <w:r>
              <w:rPr>
                <w:rFonts w:hint="eastAsia" w:asciiTheme="minorEastAsia" w:hAnsiTheme="minorEastAsia" w:eastAsiaTheme="minorEastAsia" w:cs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2</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采购资金来源</w:t>
            </w:r>
            <w:r>
              <w:rPr>
                <w:rFonts w:hint="eastAsia" w:asciiTheme="minorEastAsia" w:hAnsiTheme="minorEastAsia" w:eastAsiaTheme="minorEastAsia" w:cstheme="minorEastAsia"/>
                <w:color w:val="auto"/>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3</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付款方式</w:t>
            </w:r>
            <w:r>
              <w:rPr>
                <w:rFonts w:hint="eastAsia" w:asciiTheme="minorEastAsia" w:hAnsiTheme="minorEastAsia" w:eastAsiaTheme="minorEastAsia" w:cstheme="minorEastAsia"/>
                <w:color w:val="auto"/>
                <w:szCs w:val="21"/>
                <w:highlight w:val="none"/>
              </w:rPr>
              <w:t>：签订中标合同后，</w:t>
            </w:r>
            <w:r>
              <w:rPr>
                <w:rFonts w:hint="eastAsia" w:asciiTheme="minorEastAsia" w:hAnsiTheme="minorEastAsia" w:eastAsiaTheme="minorEastAsia" w:cstheme="minorEastAsia"/>
                <w:color w:val="auto"/>
                <w:szCs w:val="21"/>
                <w:highlight w:val="none"/>
                <w:lang w:val="en-US" w:eastAsia="zh-CN"/>
              </w:rPr>
              <w:t>中标方与采购方签订到货书，</w:t>
            </w:r>
            <w:r>
              <w:rPr>
                <w:rFonts w:hint="eastAsia" w:asciiTheme="minorEastAsia" w:hAnsiTheme="minorEastAsia" w:eastAsiaTheme="minorEastAsia" w:cstheme="minorEastAsia"/>
                <w:color w:val="auto"/>
                <w:szCs w:val="21"/>
                <w:highlight w:val="none"/>
              </w:rPr>
              <w:t>中标方开具有效发票给采购方后</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采购方</w:t>
            </w:r>
            <w:r>
              <w:rPr>
                <w:rFonts w:hint="eastAsia" w:asciiTheme="minorEastAsia" w:hAnsiTheme="minorEastAsia" w:eastAsiaTheme="minorEastAsia" w:cstheme="minorEastAsia"/>
                <w:color w:val="auto"/>
                <w:szCs w:val="21"/>
                <w:highlight w:val="none"/>
                <w:lang w:val="en-US" w:eastAsia="zh-CN"/>
              </w:rPr>
              <w:t>30个工作日内支付合同总金额的30%作为预付款</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设备安装调试通过验收后，中标方开具有效发票给采购方后，采购方30个工作日内支付至合同总额的95%，质保期满后30个工作日内支付合同总额的5%（不计利息）。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4</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投标文件有效期</w:t>
            </w:r>
            <w:r>
              <w:rPr>
                <w:rFonts w:hint="eastAsia" w:asciiTheme="minorEastAsia" w:hAnsiTheme="minorEastAsia" w:eastAsiaTheme="minorEastAsia" w:cstheme="minorEastAsia"/>
                <w:color w:val="auto"/>
                <w:szCs w:val="21"/>
                <w:highlight w:val="none"/>
              </w:rPr>
              <w:t>：自投标截止时间之日起</w:t>
            </w:r>
            <w:r>
              <w:rPr>
                <w:rFonts w:hint="eastAsia" w:asciiTheme="minorEastAsia" w:hAnsiTheme="minorEastAsia" w:eastAsiaTheme="minorEastAsia" w:cstheme="minorEastAsia"/>
                <w:color w:val="auto"/>
                <w:szCs w:val="21"/>
                <w:highlight w:val="none"/>
                <w:u w:val="single"/>
              </w:rPr>
              <w:t>60</w:t>
            </w:r>
            <w:r>
              <w:rPr>
                <w:rFonts w:hint="eastAsia" w:asciiTheme="minorEastAsia" w:hAnsiTheme="minorEastAsia" w:eastAsiaTheme="minorEastAsia" w:cstheme="minorEastAsia"/>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5</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采购预算价（人民币）：</w:t>
            </w:r>
            <w:r>
              <w:rPr>
                <w:rFonts w:hint="eastAsia" w:asciiTheme="minorEastAsia" w:hAnsiTheme="minorEastAsia" w:eastAsiaTheme="minorEastAsia" w:cstheme="minorEastAsia"/>
                <w:bCs/>
                <w:color w:val="auto"/>
                <w:szCs w:val="21"/>
                <w:highlight w:val="none"/>
              </w:rPr>
              <w:t>陆佰伍拾柒万柒仟叁佰柒拾捌元捌角捌分（￥6577378.88）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在对投标人资格审查时进行信用查询</w:t>
            </w:r>
          </w:p>
          <w:p>
            <w:pPr>
              <w:snapToGrid w:val="0"/>
              <w:spacing w:line="32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查询渠道：</w:t>
            </w:r>
            <w:r>
              <w:rPr>
                <w:rFonts w:hint="eastAsia" w:asciiTheme="minorEastAsia" w:hAnsiTheme="minorEastAsia" w:eastAsiaTheme="minorEastAsia" w:cstheme="minorEastAsia"/>
                <w:bCs/>
                <w:color w:val="auto"/>
                <w:szCs w:val="21"/>
                <w:highlight w:val="none"/>
              </w:rPr>
              <w:t>“信用中国”网站(www.creditchina.gov.cn)、中国政府采购网(www.ccgp.gov.cn)等</w:t>
            </w:r>
          </w:p>
          <w:p>
            <w:pPr>
              <w:snapToGrid w:val="0"/>
              <w:spacing w:line="32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查询时间：</w:t>
            </w:r>
            <w:r>
              <w:rPr>
                <w:rFonts w:hint="eastAsia" w:asciiTheme="minorEastAsia" w:hAnsiTheme="minorEastAsia" w:eastAsiaTheme="minorEastAsia" w:cstheme="minorEastAsia"/>
                <w:bCs/>
                <w:color w:val="auto"/>
                <w:szCs w:val="21"/>
                <w:highlight w:val="none"/>
              </w:rPr>
              <w:t>投标截止时间前。</w:t>
            </w:r>
          </w:p>
          <w:p>
            <w:pPr>
              <w:snapToGrid w:val="0"/>
              <w:spacing w:line="32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Cs w:val="21"/>
                <w:highlight w:val="none"/>
              </w:rPr>
              <w:t>查询记录和证据留存方式：</w:t>
            </w:r>
            <w:r>
              <w:rPr>
                <w:rFonts w:hint="eastAsia" w:asciiTheme="minorEastAsia" w:hAnsiTheme="minorEastAsia" w:eastAsiaTheme="minorEastAsia" w:cstheme="minorEastAsia"/>
                <w:bCs/>
                <w:color w:val="auto"/>
                <w:szCs w:val="21"/>
                <w:highlight w:val="none"/>
              </w:rPr>
              <w:t>由投标人在查询网站中直接打印查询记录，并将打印材料装订进投标文件，作为评审资料保存。</w:t>
            </w:r>
          </w:p>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信用信息使用规则：</w:t>
            </w:r>
            <w:r>
              <w:rPr>
                <w:rFonts w:hint="eastAsia" w:asciiTheme="minorEastAsia" w:hAnsiTheme="minorEastAsia" w:eastAsiaTheme="minorEastAsia" w:cstheme="minorEastAsia"/>
                <w:bCs/>
                <w:color w:val="auto"/>
                <w:szCs w:val="21"/>
                <w:highlight w:val="none"/>
              </w:rPr>
              <w:t>对在“信用中国”网站(www.creditchina.gov.cn)、中国政府采购网(www.ccgp.gov.cn)等渠道列入失信被执行人、重大税收违法案件当事人名单、政府采购严重违法失信行为记录名单的供应商，资格审查不通过，不得参与本次采购活动</w:t>
            </w:r>
            <w:r>
              <w:rPr>
                <w:rFonts w:hint="eastAsia" w:asciiTheme="minorEastAsia" w:hAnsiTheme="minorEastAsia" w:eastAsiaTheme="minorEastAsia" w:cstheme="minorEastAsia"/>
                <w:color w:val="auto"/>
                <w:szCs w:val="21"/>
                <w:highlight w:val="none"/>
              </w:rPr>
              <w:t>。</w:t>
            </w:r>
          </w:p>
        </w:tc>
      </w:tr>
    </w:tbl>
    <w:p>
      <w:pPr>
        <w:pStyle w:val="22"/>
        <w:snapToGrid w:val="0"/>
        <w:spacing w:before="120" w:after="120" w:line="400" w:lineRule="exact"/>
        <w:rPr>
          <w:rFonts w:hint="eastAsia" w:asciiTheme="minorEastAsia" w:hAnsiTheme="minorEastAsia" w:eastAsiaTheme="minorEastAsia" w:cstheme="minorEastAsia"/>
          <w:b/>
          <w:color w:val="auto"/>
          <w:sz w:val="21"/>
          <w:highlight w:val="none"/>
        </w:rPr>
      </w:pPr>
    </w:p>
    <w:p>
      <w:pPr>
        <w:pStyle w:val="22"/>
        <w:snapToGrid w:val="0"/>
        <w:spacing w:before="120" w:after="120" w:line="400" w:lineRule="exact"/>
        <w:rPr>
          <w:rFonts w:hint="eastAsia" w:asciiTheme="minorEastAsia" w:hAnsiTheme="minorEastAsia" w:eastAsiaTheme="minorEastAsia" w:cstheme="minorEastAsia"/>
          <w:b/>
          <w:color w:val="auto"/>
          <w:sz w:val="21"/>
          <w:highlight w:val="none"/>
        </w:rPr>
      </w:pPr>
    </w:p>
    <w:p>
      <w:pPr>
        <w:pStyle w:val="22"/>
        <w:snapToGrid w:val="0"/>
        <w:spacing w:before="120" w:after="120"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br w:type="page"/>
      </w:r>
      <w:r>
        <w:rPr>
          <w:rFonts w:hint="eastAsia" w:asciiTheme="minorEastAsia" w:hAnsiTheme="minorEastAsia" w:eastAsiaTheme="minorEastAsia" w:cstheme="minorEastAsia"/>
          <w:b/>
          <w:color w:val="auto"/>
          <w:sz w:val="21"/>
          <w:highlight w:val="none"/>
        </w:rPr>
        <w:t xml:space="preserve">                                   一、总  则</w:t>
      </w:r>
    </w:p>
    <w:p>
      <w:pPr>
        <w:snapToGrid w:val="0"/>
        <w:spacing w:line="400" w:lineRule="exact"/>
        <w:ind w:firstLine="413" w:firstLineChars="196"/>
        <w:jc w:val="left"/>
        <w:outlineLvl w:val="1"/>
        <w:rPr>
          <w:rFonts w:hint="eastAsia" w:asciiTheme="minorEastAsia" w:hAnsiTheme="minorEastAsia" w:eastAsiaTheme="minorEastAsia" w:cstheme="minorEastAsia"/>
          <w:b/>
          <w:color w:val="auto"/>
          <w:szCs w:val="21"/>
          <w:highlight w:val="none"/>
        </w:rPr>
      </w:pPr>
      <w:bookmarkStart w:id="9" w:name="_Toc254970668"/>
      <w:bookmarkStart w:id="10" w:name="_Toc430110130"/>
      <w:bookmarkStart w:id="11" w:name="_Toc254970527"/>
      <w:r>
        <w:rPr>
          <w:rFonts w:hint="eastAsia" w:asciiTheme="minorEastAsia" w:hAnsiTheme="minorEastAsia" w:eastAsiaTheme="minorEastAsia" w:cstheme="minorEastAsia"/>
          <w:b/>
          <w:color w:val="auto"/>
          <w:szCs w:val="21"/>
          <w:highlight w:val="none"/>
        </w:rPr>
        <w:t>（一） 适用范围</w:t>
      </w:r>
      <w:bookmarkEnd w:id="9"/>
      <w:bookmarkEnd w:id="10"/>
      <w:bookmarkEnd w:id="11"/>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本招标文件适用于防城港市公安局防城港市公安局机房改造升级项目设备采购 的招标、投标、评标、定标、验收、合同履约、付款等行为，法律、法规另有规定的，从其规定。</w:t>
      </w:r>
    </w:p>
    <w:p>
      <w:pPr>
        <w:snapToGrid w:val="0"/>
        <w:spacing w:beforeLines="50" w:line="400" w:lineRule="exact"/>
        <w:ind w:firstLine="310" w:firstLineChars="147"/>
        <w:jc w:val="left"/>
        <w:outlineLvl w:val="1"/>
        <w:rPr>
          <w:rFonts w:hint="eastAsia" w:asciiTheme="minorEastAsia" w:hAnsiTheme="minorEastAsia" w:eastAsiaTheme="minorEastAsia" w:cstheme="minorEastAsia"/>
          <w:b/>
          <w:color w:val="auto"/>
          <w:szCs w:val="21"/>
          <w:highlight w:val="none"/>
        </w:rPr>
      </w:pPr>
      <w:bookmarkStart w:id="12" w:name="_Toc254970669"/>
      <w:bookmarkStart w:id="13" w:name="_Toc254970528"/>
      <w:bookmarkStart w:id="14" w:name="_Toc430110131"/>
      <w:r>
        <w:rPr>
          <w:rFonts w:hint="eastAsia" w:asciiTheme="minorEastAsia" w:hAnsiTheme="minorEastAsia" w:eastAsiaTheme="minorEastAsia" w:cstheme="minorEastAsia"/>
          <w:b/>
          <w:color w:val="auto"/>
          <w:szCs w:val="21"/>
          <w:highlight w:val="none"/>
        </w:rPr>
        <w:t>（二）定义</w:t>
      </w:r>
      <w:bookmarkEnd w:id="12"/>
      <w:bookmarkEnd w:id="13"/>
      <w:bookmarkEnd w:id="14"/>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1.“招标采购单位”系指组织本次招标的采购人及采购代理机构。</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2.“投标人”系指向招标方提交投标文件的单位或自然人。</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3.“服务”系指招标项目采购内容的所有服务以及其他相关的义务。</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4.“项目”系指投标人按招标文件规定向采购人提供的服务。</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5.“书面形式”包括信函、传真、电报等。</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bookmarkStart w:id="15" w:name="_Toc430110132"/>
      <w:bookmarkStart w:id="16" w:name="_Toc254970670"/>
      <w:bookmarkStart w:id="17" w:name="_Toc254970529"/>
      <w:r>
        <w:rPr>
          <w:rFonts w:hint="eastAsia" w:asciiTheme="minorEastAsia" w:hAnsiTheme="minorEastAsia" w:eastAsiaTheme="minorEastAsia" w:cstheme="minorEastAsia"/>
          <w:color w:val="auto"/>
          <w:szCs w:val="21"/>
          <w:highlight w:val="none"/>
        </w:rPr>
        <w:t>6.“★”系指实质性要求条款。</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 投标人公章”系指投标人用自己法定主体行为名称制作的签名印章，不包含专用章。</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财政部门指定的政府采购信息发布媒体：中国政府采购网（http://www.ccgp.gov.cn）、广西壮族自治区政府采购网（http://zfcg.gxzf.gov.cn/）、广西防城港政府采购网站（http://zfcg.gxzf.gov.cn/）、防城港市公共资源交易中心网（www.fcgggzy.cn）。</w:t>
      </w:r>
    </w:p>
    <w:p>
      <w:pPr>
        <w:snapToGrid w:val="0"/>
        <w:spacing w:beforeLines="50" w:line="400" w:lineRule="exact"/>
        <w:ind w:firstLine="358" w:firstLineChars="170"/>
        <w:jc w:val="left"/>
        <w:outlineLvl w:val="1"/>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（三）招标方式</w:t>
      </w:r>
      <w:bookmarkEnd w:id="15"/>
      <w:bookmarkEnd w:id="16"/>
      <w:bookmarkEnd w:id="17"/>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公开招标。</w:t>
      </w:r>
    </w:p>
    <w:p>
      <w:pPr>
        <w:snapToGrid w:val="0"/>
        <w:spacing w:beforeLines="50" w:line="400" w:lineRule="exact"/>
        <w:ind w:firstLine="413" w:firstLineChars="196"/>
        <w:jc w:val="left"/>
        <w:outlineLvl w:val="1"/>
        <w:rPr>
          <w:rFonts w:hint="eastAsia" w:asciiTheme="minorEastAsia" w:hAnsiTheme="minorEastAsia" w:eastAsiaTheme="minorEastAsia" w:cstheme="minorEastAsia"/>
          <w:b/>
          <w:color w:val="auto"/>
          <w:szCs w:val="21"/>
          <w:highlight w:val="none"/>
        </w:rPr>
      </w:pPr>
      <w:bookmarkStart w:id="18" w:name="_Toc254970530"/>
      <w:bookmarkStart w:id="19" w:name="_Toc254970671"/>
      <w:bookmarkStart w:id="20" w:name="_Toc430110133"/>
      <w:r>
        <w:rPr>
          <w:rFonts w:hint="eastAsia" w:asciiTheme="minorEastAsia" w:hAnsiTheme="minorEastAsia" w:eastAsiaTheme="minorEastAsia" w:cstheme="minorEastAsia"/>
          <w:b/>
          <w:color w:val="auto"/>
          <w:szCs w:val="21"/>
          <w:highlight w:val="none"/>
        </w:rPr>
        <w:t>（四）投标委托</w:t>
      </w:r>
      <w:bookmarkEnd w:id="18"/>
      <w:bookmarkEnd w:id="19"/>
      <w:bookmarkEnd w:id="20"/>
    </w:p>
    <w:p>
      <w:pPr>
        <w:pStyle w:val="19"/>
        <w:snapToGrid w:val="0"/>
        <w:spacing w:line="40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投标人代表须携带有效身份证件出席开标会。如投标人代表不是法定代表人（负责人），须有法定代表人（负责人）出具的授权委托书（正本用原件，副本用复印件，格式见第六章）。</w:t>
      </w:r>
    </w:p>
    <w:p>
      <w:pPr>
        <w:snapToGrid w:val="0"/>
        <w:spacing w:beforeLines="50" w:line="400" w:lineRule="exact"/>
        <w:ind w:firstLine="413" w:firstLineChars="196"/>
        <w:jc w:val="left"/>
        <w:outlineLvl w:val="1"/>
        <w:rPr>
          <w:rFonts w:hint="eastAsia" w:asciiTheme="minorEastAsia" w:hAnsiTheme="minorEastAsia" w:eastAsiaTheme="minorEastAsia" w:cstheme="minorEastAsia"/>
          <w:b/>
          <w:color w:val="auto"/>
          <w:szCs w:val="21"/>
          <w:highlight w:val="none"/>
        </w:rPr>
      </w:pPr>
      <w:bookmarkStart w:id="21" w:name="_Toc430110134"/>
      <w:bookmarkStart w:id="22" w:name="_Toc254970531"/>
      <w:bookmarkStart w:id="23" w:name="_Toc254970672"/>
      <w:r>
        <w:rPr>
          <w:rFonts w:hint="eastAsia" w:asciiTheme="minorEastAsia" w:hAnsiTheme="minorEastAsia" w:eastAsiaTheme="minorEastAsia" w:cstheme="minorEastAsia"/>
          <w:b/>
          <w:color w:val="auto"/>
          <w:szCs w:val="21"/>
          <w:highlight w:val="none"/>
        </w:rPr>
        <w:t>（五）投标费用</w:t>
      </w:r>
      <w:bookmarkEnd w:id="21"/>
      <w:bookmarkEnd w:id="22"/>
      <w:bookmarkEnd w:id="23"/>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投标人均应自行承担所有与投标有关的全部费用（招标文件有相关的规定除外）。</w:t>
      </w:r>
    </w:p>
    <w:p>
      <w:pPr>
        <w:snapToGrid w:val="0"/>
        <w:spacing w:beforeLines="50" w:line="400" w:lineRule="exact"/>
        <w:ind w:firstLine="413" w:firstLineChars="196"/>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（六）联合体投标</w:t>
      </w:r>
    </w:p>
    <w:p>
      <w:pPr>
        <w:snapToGrid w:val="0"/>
        <w:spacing w:beforeLines="50" w:line="400" w:lineRule="exact"/>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本项目不接受联合体投标。</w:t>
      </w:r>
    </w:p>
    <w:p>
      <w:pPr>
        <w:snapToGrid w:val="0"/>
        <w:spacing w:beforeLines="50" w:line="400" w:lineRule="exact"/>
        <w:ind w:firstLine="413" w:firstLineChars="196"/>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szCs w:val="21"/>
          <w:highlight w:val="none"/>
        </w:rPr>
        <w:t>（七）</w:t>
      </w:r>
      <w:r>
        <w:rPr>
          <w:rFonts w:hint="eastAsia" w:asciiTheme="minorEastAsia" w:hAnsiTheme="minorEastAsia" w:eastAsiaTheme="minorEastAsia" w:cstheme="minorEastAsia"/>
          <w:b/>
          <w:color w:val="auto"/>
          <w:kern w:val="0"/>
          <w:szCs w:val="21"/>
          <w:highlight w:val="none"/>
        </w:rPr>
        <w:t xml:space="preserve">转包与分包             </w:t>
      </w:r>
    </w:p>
    <w:p>
      <w:pPr>
        <w:snapToGrid w:val="0"/>
        <w:spacing w:line="400" w:lineRule="exact"/>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1.本项目不允许转包。</w:t>
      </w:r>
    </w:p>
    <w:p>
      <w:pPr>
        <w:snapToGrid w:val="0"/>
        <w:spacing w:line="400" w:lineRule="exact"/>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2.本项目不可以分包。</w:t>
      </w:r>
    </w:p>
    <w:p>
      <w:pPr>
        <w:snapToGrid w:val="0"/>
        <w:spacing w:beforeLines="50" w:line="400" w:lineRule="exact"/>
        <w:ind w:firstLine="413" w:firstLineChars="196"/>
        <w:jc w:val="left"/>
        <w:outlineLvl w:val="1"/>
        <w:rPr>
          <w:rFonts w:hint="eastAsia" w:asciiTheme="minorEastAsia" w:hAnsiTheme="minorEastAsia" w:eastAsiaTheme="minorEastAsia" w:cstheme="minorEastAsia"/>
          <w:b/>
          <w:color w:val="auto"/>
          <w:szCs w:val="21"/>
          <w:highlight w:val="none"/>
        </w:rPr>
      </w:pPr>
      <w:bookmarkStart w:id="24" w:name="_Toc254970673"/>
      <w:bookmarkStart w:id="25" w:name="_Toc254970532"/>
      <w:bookmarkStart w:id="26" w:name="_Toc430110135"/>
      <w:r>
        <w:rPr>
          <w:rFonts w:hint="eastAsia" w:asciiTheme="minorEastAsia" w:hAnsiTheme="minorEastAsia" w:eastAsiaTheme="minorEastAsia" w:cstheme="minorEastAsia"/>
          <w:b/>
          <w:color w:val="auto"/>
          <w:szCs w:val="21"/>
          <w:highlight w:val="none"/>
        </w:rPr>
        <w:t>（八）特别说明：</w:t>
      </w:r>
      <w:bookmarkEnd w:id="24"/>
      <w:bookmarkEnd w:id="25"/>
      <w:bookmarkEnd w:id="26"/>
    </w:p>
    <w:p>
      <w:pPr>
        <w:widowControl/>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投标所使用的资格、信誉、荣誉、业绩与企业认证必须为投标人（或投标人上级机构）所拥有。投标人投标所使用的采购项目实施人员必须为本法人（或负责人）员工（或必须为本法人（或负责人）或控股公司正式员工）。</w:t>
      </w:r>
    </w:p>
    <w:p>
      <w:pPr>
        <w:pStyle w:val="22"/>
        <w:snapToGrid w:val="0"/>
        <w:spacing w:line="400" w:lineRule="exact"/>
        <w:ind w:left="2" w:leftChars="1"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★2.投标人应仔细阅读招标文件的所有内容，按照招标文件的要求提交投标文件，并对所提供的全部资料的真实性承担法律责任。</w:t>
      </w:r>
    </w:p>
    <w:p>
      <w:pPr>
        <w:pStyle w:val="22"/>
        <w:snapToGrid w:val="0"/>
        <w:spacing w:line="400" w:lineRule="exact"/>
        <w:ind w:left="2" w:leftChars="1" w:firstLine="420" w:firstLineChars="2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color w:val="auto"/>
          <w:sz w:val="21"/>
          <w:highlight w:val="none"/>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napToGrid w:val="0"/>
        <w:spacing w:line="400" w:lineRule="exact"/>
        <w:ind w:firstLine="413" w:firstLineChars="196"/>
        <w:outlineLvl w:val="1"/>
        <w:rPr>
          <w:rFonts w:hint="eastAsia" w:asciiTheme="minorEastAsia" w:hAnsiTheme="minorEastAsia" w:eastAsiaTheme="minorEastAsia" w:cstheme="minorEastAsia"/>
          <w:b/>
          <w:bCs/>
          <w:color w:val="auto"/>
          <w:sz w:val="21"/>
          <w:highlight w:val="none"/>
        </w:rPr>
      </w:pPr>
      <w:bookmarkStart w:id="27" w:name="_Toc430110136"/>
      <w:bookmarkStart w:id="28" w:name="_Toc254970533"/>
      <w:bookmarkStart w:id="29" w:name="_Toc254970674"/>
      <w:r>
        <w:rPr>
          <w:rFonts w:hint="eastAsia" w:asciiTheme="minorEastAsia" w:hAnsiTheme="minorEastAsia" w:eastAsiaTheme="minorEastAsia" w:cstheme="minorEastAsia"/>
          <w:b/>
          <w:bCs/>
          <w:color w:val="auto"/>
          <w:sz w:val="21"/>
          <w:highlight w:val="none"/>
        </w:rPr>
        <w:t>（九）质疑和投诉</w:t>
      </w:r>
      <w:bookmarkEnd w:id="27"/>
      <w:bookmarkEnd w:id="28"/>
      <w:bookmarkEnd w:id="29"/>
    </w:p>
    <w:p>
      <w:pPr>
        <w:pStyle w:val="22"/>
        <w:snapToGrid w:val="0"/>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1.投标人认为招标过程或中标结果使自己的合法权益受到损害的，应当在知道或者应知其权益受到损害之日起七个工作日内，以书面形式向采购人、采购代理机构提出质疑。</w:t>
      </w:r>
      <w:r>
        <w:rPr>
          <w:rFonts w:hint="eastAsia" w:asciiTheme="minorEastAsia" w:hAnsiTheme="minorEastAsia" w:eastAsiaTheme="minorEastAsia" w:cstheme="minorEastAsia"/>
          <w:color w:val="auto"/>
          <w:sz w:val="21"/>
          <w:highlight w:val="none"/>
        </w:rPr>
        <w:t>投标人对招标采购单位的质疑答复不满意或者招标采购单位未在规定时间内作出答复的，可以在答复期满后十五个工作日内向同级政府采购监管部门投诉。</w:t>
      </w:r>
    </w:p>
    <w:p>
      <w:pPr>
        <w:pStyle w:val="22"/>
        <w:snapToGrid w:val="0"/>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2.质疑、投诉应当采用书面形式，质疑书、投诉书均应明确阐述招标过程或中标结果中使自己合法权益受到损害的实质性内容，提供相关事实、依据和证据及其来源或线索，便于有关单位调查、答复和处理。</w:t>
      </w:r>
    </w:p>
    <w:p>
      <w:pPr>
        <w:pStyle w:val="22"/>
        <w:snapToGrid w:val="0"/>
        <w:spacing w:line="400" w:lineRule="exact"/>
        <w:ind w:firstLine="413" w:firstLineChars="196"/>
        <w:outlineLvl w:val="1"/>
        <w:rPr>
          <w:rFonts w:hint="eastAsia" w:asciiTheme="minorEastAsia" w:hAnsiTheme="minorEastAsia" w:eastAsiaTheme="minorEastAsia" w:cstheme="minorEastAsia"/>
          <w:b/>
          <w:bCs/>
          <w:color w:val="auto"/>
          <w:sz w:val="21"/>
          <w:highlight w:val="none"/>
        </w:rPr>
      </w:pPr>
      <w:r>
        <w:rPr>
          <w:rFonts w:hint="eastAsia" w:asciiTheme="minorEastAsia" w:hAnsiTheme="minorEastAsia" w:eastAsiaTheme="minorEastAsia" w:cstheme="minorEastAsia"/>
          <w:b/>
          <w:bCs/>
          <w:color w:val="auto"/>
          <w:sz w:val="21"/>
          <w:highlight w:val="none"/>
        </w:rPr>
        <w:t>3. 投标人认为招标文件使自己的合法权益受到损害的，按“二、招标文件（三）招标文件的澄清与修改第一条款” 执行。</w:t>
      </w:r>
    </w:p>
    <w:p>
      <w:pPr>
        <w:pStyle w:val="22"/>
        <w:snapToGrid w:val="0"/>
        <w:spacing w:line="400" w:lineRule="exact"/>
        <w:ind w:firstLine="413" w:firstLineChars="196"/>
        <w:outlineLvl w:val="0"/>
        <w:rPr>
          <w:rFonts w:hint="eastAsia" w:asciiTheme="minorEastAsia" w:hAnsiTheme="minorEastAsia" w:eastAsiaTheme="minorEastAsia" w:cstheme="minorEastAsia"/>
          <w:b/>
          <w:color w:val="auto"/>
          <w:sz w:val="21"/>
          <w:highlight w:val="none"/>
        </w:rPr>
      </w:pPr>
      <w:bookmarkStart w:id="30" w:name="_Toc254970675"/>
      <w:bookmarkStart w:id="31" w:name="_Toc430110137"/>
      <w:bookmarkStart w:id="32" w:name="_Toc254970534"/>
      <w:bookmarkStart w:id="33" w:name="_Toc430109945"/>
      <w:bookmarkStart w:id="34" w:name="_Toc430110263"/>
      <w:r>
        <w:rPr>
          <w:rFonts w:hint="eastAsia" w:asciiTheme="minorEastAsia" w:hAnsiTheme="minorEastAsia" w:eastAsiaTheme="minorEastAsia" w:cstheme="minorEastAsia"/>
          <w:b/>
          <w:color w:val="auto"/>
          <w:sz w:val="21"/>
          <w:highlight w:val="none"/>
        </w:rPr>
        <w:t>二、招标文件</w:t>
      </w:r>
      <w:bookmarkEnd w:id="30"/>
      <w:bookmarkEnd w:id="31"/>
      <w:bookmarkEnd w:id="32"/>
      <w:bookmarkEnd w:id="33"/>
      <w:bookmarkEnd w:id="34"/>
    </w:p>
    <w:p>
      <w:pPr>
        <w:snapToGrid w:val="0"/>
        <w:spacing w:line="400" w:lineRule="exact"/>
        <w:ind w:firstLine="413" w:firstLineChars="196"/>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（一）招标文件的构成。本招标文件由以下部份组成：</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1.招标公告；</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2.投标人须知；</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3.评标办法及标准；</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4.合同主要条款；</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5.招标需求；</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6.投标文件格式。</w:t>
      </w:r>
    </w:p>
    <w:p>
      <w:pPr>
        <w:snapToGrid w:val="0"/>
        <w:spacing w:beforeLines="50" w:line="400" w:lineRule="exact"/>
        <w:ind w:firstLine="413" w:firstLineChars="196"/>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（二）投标人的风险</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投标人没有按照招标文件要求提供全部资料，或者投标人没有对招标文件在各方面作出实质性响应是投标人的风险，并可能导致其投标被拒绝。</w:t>
      </w:r>
    </w:p>
    <w:p>
      <w:pPr>
        <w:pStyle w:val="13"/>
        <w:widowControl w:val="0"/>
        <w:tabs>
          <w:tab w:val="clear" w:pos="454"/>
        </w:tabs>
        <w:snapToGrid w:val="0"/>
        <w:spacing w:beforeLines="50" w:afterLines="0" w:line="400" w:lineRule="exact"/>
        <w:ind w:left="0"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（三）招标文件的澄清与修改 </w:t>
      </w:r>
    </w:p>
    <w:p>
      <w:pPr>
        <w:pStyle w:val="22"/>
        <w:snapToGrid w:val="0"/>
        <w:spacing w:line="400" w:lineRule="exact"/>
        <w:ind w:firstLine="420" w:firstLineChars="2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color w:val="auto"/>
          <w:sz w:val="21"/>
          <w:highlight w:val="none"/>
        </w:rPr>
        <w:t>1.</w:t>
      </w:r>
      <w:r>
        <w:rPr>
          <w:rFonts w:hint="eastAsia" w:asciiTheme="minorEastAsia" w:hAnsiTheme="minorEastAsia" w:eastAsiaTheme="minorEastAsia" w:cstheme="minorEastAsia"/>
          <w:bCs/>
          <w:color w:val="auto"/>
          <w:sz w:val="21"/>
          <w:highlight w:val="none"/>
        </w:rPr>
        <w:t>投标人应认真阅读本招标文件，发现其中有误或有不合理要求的，投标人须根据【中华人民共和国财政部令第94号《政府采购质疑和投诉办法》】规定</w:t>
      </w:r>
      <w:r>
        <w:rPr>
          <w:rFonts w:hint="eastAsia" w:asciiTheme="minorEastAsia" w:hAnsiTheme="minorEastAsia" w:eastAsiaTheme="minorEastAsia" w:cstheme="minorEastAsia"/>
          <w:color w:val="auto"/>
          <w:sz w:val="21"/>
          <w:highlight w:val="none"/>
        </w:rPr>
        <w:t>以书面形式向采购人或采购代理机构提出质疑</w:t>
      </w:r>
      <w:r>
        <w:rPr>
          <w:rFonts w:hint="eastAsia" w:asciiTheme="minorEastAsia" w:hAnsiTheme="minorEastAsia" w:eastAsiaTheme="minorEastAsia" w:cstheme="minorEastAsia"/>
          <w:bCs/>
          <w:color w:val="auto"/>
          <w:sz w:val="21"/>
          <w:highlight w:val="none"/>
        </w:rPr>
        <w:t>或疑问</w:t>
      </w:r>
      <w:r>
        <w:rPr>
          <w:rFonts w:hint="eastAsia" w:asciiTheme="minorEastAsia" w:hAnsiTheme="minorEastAsia" w:eastAsiaTheme="minorEastAsia" w:cstheme="minorEastAsia"/>
          <w:color w:val="auto"/>
          <w:sz w:val="21"/>
          <w:highlight w:val="none"/>
        </w:rPr>
        <w:t>，</w:t>
      </w:r>
      <w:r>
        <w:rPr>
          <w:rFonts w:hint="eastAsia" w:asciiTheme="minorEastAsia" w:hAnsiTheme="minorEastAsia" w:eastAsiaTheme="minorEastAsia" w:cstheme="minorEastAsia"/>
          <w:bCs/>
          <w:color w:val="auto"/>
          <w:sz w:val="21"/>
          <w:highlight w:val="none"/>
        </w:rPr>
        <w:t>送达</w:t>
      </w:r>
      <w:r>
        <w:rPr>
          <w:rFonts w:hint="eastAsia" w:asciiTheme="minorEastAsia" w:hAnsiTheme="minorEastAsia" w:eastAsiaTheme="minorEastAsia" w:cstheme="minorEastAsia"/>
          <w:color w:val="auto"/>
          <w:sz w:val="21"/>
          <w:highlight w:val="none"/>
        </w:rPr>
        <w:t>采购人或采购代理机构并</w:t>
      </w:r>
      <w:r>
        <w:rPr>
          <w:rFonts w:hint="eastAsia" w:asciiTheme="minorEastAsia" w:hAnsiTheme="minorEastAsia" w:eastAsiaTheme="minorEastAsia" w:cstheme="minorEastAsia"/>
          <w:bCs/>
          <w:color w:val="auto"/>
          <w:sz w:val="21"/>
          <w:highlight w:val="none"/>
        </w:rPr>
        <w:t>要求</w:t>
      </w:r>
      <w:r>
        <w:rPr>
          <w:rFonts w:hint="eastAsia" w:asciiTheme="minorEastAsia" w:hAnsiTheme="minorEastAsia" w:eastAsiaTheme="minorEastAsia" w:cstheme="minorEastAsia"/>
          <w:color w:val="auto"/>
          <w:sz w:val="21"/>
          <w:highlight w:val="none"/>
        </w:rPr>
        <w:t>采购人或采购代理机构</w:t>
      </w:r>
      <w:r>
        <w:rPr>
          <w:rFonts w:hint="eastAsia" w:asciiTheme="minorEastAsia" w:hAnsiTheme="minorEastAsia" w:eastAsiaTheme="minorEastAsia" w:cstheme="minorEastAsia"/>
          <w:bCs/>
          <w:color w:val="auto"/>
          <w:sz w:val="21"/>
          <w:highlight w:val="none"/>
        </w:rPr>
        <w:t>单位签收和澄清</w:t>
      </w:r>
      <w:r>
        <w:rPr>
          <w:rFonts w:hint="eastAsia" w:asciiTheme="minorEastAsia" w:hAnsiTheme="minorEastAsia" w:eastAsiaTheme="minorEastAsia" w:cstheme="minorEastAsia"/>
          <w:color w:val="auto"/>
          <w:sz w:val="21"/>
          <w:highlight w:val="none"/>
        </w:rPr>
        <w:t>。</w:t>
      </w:r>
      <w:r>
        <w:rPr>
          <w:rFonts w:hint="eastAsia" w:asciiTheme="minorEastAsia" w:hAnsiTheme="minorEastAsia" w:eastAsiaTheme="minorEastAsia" w:cstheme="minorEastAsia"/>
          <w:b/>
          <w:color w:val="auto"/>
          <w:sz w:val="21"/>
          <w:highlight w:val="none"/>
        </w:rPr>
        <w:t>如投标人未在规定时间内提出质疑或疑问的，视同投标人理解并接受本招标文件所有内容，并自己承担由此引起的投标损失。同时，不得在招标结束后针对招标文件所有内容提出质疑事项。</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招标采购单位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3.招标采购单位必须以书面形式答复投标人要求澄清的问题，并将不包含问题来源的答复书面通知所有购买招标文件的投标人；除书面答复以外的其他澄清方式及澄清内容均无效。</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4.招标文件澄清、答复、修改、补充的内容为招标文件的组成部分。当招标文件与招标文件的答复、澄清、修改、补充通知就同一内容的表述不一致时，以最后发出的书面文件为准。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5.招标文件的澄清、答复、修改或补充都应该通过本采购代理机构以法定形式发布，采购人非通过本机构，不得擅自澄清、答复、修改或补充招标文件。</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6.招标采购单位可以视招标具体情况，延长投标截止时间和开标时间，但至少应当在招标文件要求提交投标文件的截止时间三日前将变更时间书面通知所有购买招标文件的收受人，并在财政部门指定的政府采购信息发布媒体上发布变更公告。</w:t>
      </w:r>
    </w:p>
    <w:p>
      <w:pPr>
        <w:pStyle w:val="22"/>
        <w:spacing w:line="420" w:lineRule="exact"/>
        <w:ind w:firstLine="420"/>
        <w:rPr>
          <w:rFonts w:hint="eastAsia" w:asciiTheme="minorEastAsia" w:hAnsiTheme="minorEastAsia" w:eastAsiaTheme="minorEastAsia" w:cstheme="minorEastAsia"/>
          <w:b/>
          <w:bCs/>
          <w:color w:val="auto"/>
          <w:sz w:val="21"/>
          <w:highlight w:val="none"/>
        </w:rPr>
      </w:pPr>
      <w:r>
        <w:rPr>
          <w:rFonts w:hint="eastAsia" w:asciiTheme="minorEastAsia" w:hAnsiTheme="minorEastAsia" w:eastAsiaTheme="minorEastAsia" w:cstheme="minorEastAsia"/>
          <w:color w:val="auto"/>
          <w:sz w:val="21"/>
          <w:highlight w:val="none"/>
        </w:rPr>
        <w:t>7．</w:t>
      </w:r>
      <w:r>
        <w:rPr>
          <w:rFonts w:hint="eastAsia" w:asciiTheme="minorEastAsia" w:hAnsiTheme="minorEastAsia" w:eastAsiaTheme="minorEastAsia" w:cstheme="minorEastAsia"/>
          <w:bCs/>
          <w:color w:val="auto"/>
          <w:sz w:val="21"/>
          <w:highlight w:val="none"/>
        </w:rPr>
        <w:t>请投标人在接到采购代理机构的电话通知后到采购代理机构处领取以上澄清答复（或补充通知），或者在网上查询。该澄清答复（或补充通知）不用传真方式发出，如在电话通知后24小时内不上门领取的，则视为已在网上查询收到。该澄清或修改的内容为</w:t>
      </w:r>
      <w:r>
        <w:rPr>
          <w:rFonts w:hint="eastAsia" w:asciiTheme="minorEastAsia" w:hAnsiTheme="minorEastAsia" w:eastAsiaTheme="minorEastAsia" w:cstheme="minorEastAsia"/>
          <w:color w:val="auto"/>
          <w:sz w:val="21"/>
          <w:highlight w:val="none"/>
        </w:rPr>
        <w:t>招标文件</w:t>
      </w:r>
      <w:r>
        <w:rPr>
          <w:rFonts w:hint="eastAsia" w:asciiTheme="minorEastAsia" w:hAnsiTheme="minorEastAsia" w:eastAsiaTheme="minorEastAsia" w:cstheme="minorEastAsia"/>
          <w:bCs/>
          <w:color w:val="auto"/>
          <w:sz w:val="21"/>
          <w:highlight w:val="none"/>
        </w:rPr>
        <w:t>的组成部分。投标人在每一次收到澄清答复或补充通知后应立即以书面形式通知采购代理机构，确认已收到该澄清答复或补充通知。否则，由此造成的一切后果由投标人承担</w:t>
      </w:r>
      <w:r>
        <w:rPr>
          <w:rFonts w:hint="eastAsia" w:asciiTheme="minorEastAsia" w:hAnsiTheme="minorEastAsia" w:eastAsiaTheme="minorEastAsia" w:cstheme="minorEastAsia"/>
          <w:b/>
          <w:bCs/>
          <w:color w:val="auto"/>
          <w:sz w:val="21"/>
          <w:highlight w:val="none"/>
        </w:rPr>
        <w:t>。</w:t>
      </w:r>
    </w:p>
    <w:p>
      <w:pPr>
        <w:pStyle w:val="22"/>
        <w:snapToGrid w:val="0"/>
        <w:spacing w:line="400" w:lineRule="exact"/>
        <w:ind w:firstLine="413" w:firstLineChars="196"/>
        <w:outlineLvl w:val="1"/>
        <w:rPr>
          <w:rFonts w:hint="eastAsia" w:asciiTheme="minorEastAsia" w:hAnsiTheme="minorEastAsia" w:eastAsiaTheme="minorEastAsia" w:cstheme="minorEastAsia"/>
          <w:b/>
          <w:color w:val="auto"/>
          <w:sz w:val="21"/>
          <w:highlight w:val="none"/>
        </w:rPr>
      </w:pPr>
      <w:bookmarkStart w:id="35" w:name="_Toc254970676"/>
      <w:bookmarkStart w:id="36" w:name="_Toc430110138"/>
      <w:bookmarkStart w:id="37" w:name="_Toc254970535"/>
      <w:r>
        <w:rPr>
          <w:rFonts w:hint="eastAsia" w:asciiTheme="minorEastAsia" w:hAnsiTheme="minorEastAsia" w:eastAsiaTheme="minorEastAsia" w:cstheme="minorEastAsia"/>
          <w:b/>
          <w:color w:val="auto"/>
          <w:sz w:val="21"/>
          <w:highlight w:val="none"/>
        </w:rPr>
        <w:t>三、投标文件的编制</w:t>
      </w:r>
      <w:bookmarkEnd w:id="35"/>
      <w:bookmarkEnd w:id="36"/>
      <w:bookmarkEnd w:id="37"/>
    </w:p>
    <w:p>
      <w:pPr>
        <w:snapToGrid w:val="0"/>
        <w:spacing w:line="400" w:lineRule="exact"/>
        <w:ind w:firstLine="413" w:firstLineChars="196"/>
        <w:jc w:val="left"/>
        <w:outlineLvl w:val="0"/>
        <w:rPr>
          <w:rFonts w:hint="eastAsia" w:asciiTheme="minorEastAsia" w:hAnsiTheme="minorEastAsia" w:eastAsiaTheme="minorEastAsia" w:cstheme="minorEastAsia"/>
          <w:b/>
          <w:color w:val="auto"/>
          <w:szCs w:val="21"/>
          <w:highlight w:val="none"/>
        </w:rPr>
      </w:pPr>
      <w:bookmarkStart w:id="38" w:name="_Toc430109946"/>
      <w:bookmarkStart w:id="39" w:name="_Toc430110264"/>
      <w:bookmarkStart w:id="40" w:name="_Toc430110139"/>
      <w:bookmarkStart w:id="41" w:name="_Toc254970677"/>
      <w:bookmarkStart w:id="42" w:name="_Toc254970536"/>
      <w:r>
        <w:rPr>
          <w:rFonts w:hint="eastAsia" w:asciiTheme="minorEastAsia" w:hAnsiTheme="minorEastAsia" w:eastAsiaTheme="minorEastAsia" w:cstheme="minorEastAsia"/>
          <w:b/>
          <w:color w:val="auto"/>
          <w:szCs w:val="21"/>
          <w:highlight w:val="none"/>
        </w:rPr>
        <w:t>（一）投标文件的组成</w:t>
      </w:r>
      <w:bookmarkEnd w:id="38"/>
      <w:bookmarkEnd w:id="39"/>
      <w:bookmarkEnd w:id="40"/>
      <w:bookmarkEnd w:id="41"/>
      <w:bookmarkEnd w:id="42"/>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投标文件由资格审查文件、商务/技术文件、报价文件三部份组成。</w:t>
      </w:r>
    </w:p>
    <w:p>
      <w:pPr>
        <w:snapToGrid w:val="0"/>
        <w:spacing w:beforeLines="50" w:line="400" w:lineRule="exact"/>
        <w:ind w:firstLine="413" w:firstLineChars="196"/>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1.资格审查文件（属复印件的必须加盖投标单位公章）：</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）投标声明书 (格式见附件)（必须提供）；</w:t>
      </w:r>
    </w:p>
    <w:p>
      <w:pPr>
        <w:snapToGrid w:val="0"/>
        <w:spacing w:line="34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）法定代表人（负责人）完整有效的身份证正反面复印件（必须提供）；</w:t>
      </w:r>
    </w:p>
    <w:p>
      <w:pPr>
        <w:snapToGrid w:val="0"/>
        <w:spacing w:line="34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）投标人法定代表人（负责人）授权委托书原件和委托代理人完整有效的身份证正反面复印件（委托代理时必须提供)；</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）企业营业执照副本复印件（要求清晰反映经营范围）；（必须提供）</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）提供信用中国网站（www.creditchina.gov.cn）“失信被执行人”、“重大税收违法案件当事人名单”及中国政府采购网（www.ccgp.gov.cn）“政府采购严重违法失信行为记录名单”的信用查询记录（必须提供）；</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）投标文件递交截止之日前半年内投标人连续三个月依法缴纳税收的凭证复印件。无纳税记录的，应提供投标人所在地税务部门出具的《依法纳税或依法免税证明》复印件（格式自拟）；</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）投标文件递交截止之日前半年内投标人连续三个月依法缴纳社会保障资金的凭证复印件。无缴费记录的，应提供投标人所在地社保部门出具的《依法缴纳或依法免缴社保费证明》复印件（格式自拟）；</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）2019年财务状况报告（可以是财务报表或银行资信证明）复印件或有效的第三方具备审计资质的机构出具的审计报告复印件（格式自拟）；（新成立不足2年的提供从成立起至今财务状况报告或审计报告）；</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）招标文件要求必须提供的其他材料。</w:t>
      </w:r>
    </w:p>
    <w:p>
      <w:pPr>
        <w:snapToGrid w:val="0"/>
        <w:spacing w:line="400" w:lineRule="exact"/>
        <w:ind w:firstLine="413" w:firstLineChars="196"/>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2.商务/技术文件</w:t>
      </w:r>
    </w:p>
    <w:p>
      <w:pPr>
        <w:adjustRightInd w:val="0"/>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（1）投标人情况介绍；</w:t>
      </w:r>
    </w:p>
    <w:p>
      <w:pPr>
        <w:snapToGrid w:val="0"/>
        <w:spacing w:line="320" w:lineRule="exact"/>
        <w:ind w:firstLine="210" w:firstLineChars="1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★（2）商务响应表（格式见附件）；（必须提供）</w:t>
      </w:r>
    </w:p>
    <w:p>
      <w:pPr>
        <w:adjustRightInd w:val="0"/>
        <w:snapToGrid w:val="0"/>
        <w:spacing w:line="400" w:lineRule="exact"/>
        <w:ind w:firstLine="210" w:firstLineChars="1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★（3）投标人针对本项目的方案（必须包含技术服务方案、施工方案、售后服务方案，自行编写，格式自拟）</w:t>
      </w:r>
      <w:r>
        <w:rPr>
          <w:rFonts w:hint="eastAsia" w:asciiTheme="minorEastAsia" w:hAnsiTheme="minorEastAsia" w:eastAsiaTheme="minorEastAsia" w:cstheme="minorEastAsia"/>
          <w:b/>
          <w:color w:val="auto"/>
          <w:szCs w:val="21"/>
          <w:highlight w:val="none"/>
        </w:rPr>
        <w:t>（必须提供）</w:t>
      </w:r>
    </w:p>
    <w:p>
      <w:pPr>
        <w:adjustRightInd w:val="0"/>
        <w:snapToGrid w:val="0"/>
        <w:spacing w:line="400" w:lineRule="exact"/>
        <w:ind w:firstLine="420" w:firstLineChars="2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（4）2017年1月1日至投标截止时间止投标人承接的同类项目业绩一览表（投标人同类项目实施情况一览表、合同复印件、用户验收报告、用户评价）；</w:t>
      </w:r>
    </w:p>
    <w:p>
      <w:pPr>
        <w:adjustRightInd w:val="0"/>
        <w:snapToGrid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★（5）设备配置清单（均不含报价）；（必须提供）</w:t>
      </w:r>
    </w:p>
    <w:p>
      <w:pPr>
        <w:adjustRightInd w:val="0"/>
        <w:snapToGrid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★（6）技术响应表；（必须提供）</w:t>
      </w: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（7）项目实施人员一览表；</w:t>
      </w: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（8）投标人需要说明的其他文件和说明。</w:t>
      </w:r>
    </w:p>
    <w:p>
      <w:pPr>
        <w:snapToGrid w:val="0"/>
        <w:spacing w:line="400" w:lineRule="exact"/>
        <w:ind w:firstLine="413" w:firstLineChars="196"/>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3.报价文件：</w:t>
      </w:r>
    </w:p>
    <w:p>
      <w:pPr>
        <w:tabs>
          <w:tab w:val="left" w:pos="3870"/>
          <w:tab w:val="left" w:pos="4085"/>
        </w:tabs>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★（1）投标函； </w:t>
      </w:r>
    </w:p>
    <w:p>
      <w:pPr>
        <w:tabs>
          <w:tab w:val="left" w:pos="3870"/>
          <w:tab w:val="left" w:pos="4085"/>
        </w:tabs>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★（2）投标报价明细表；</w:t>
      </w:r>
    </w:p>
    <w:p>
      <w:pPr>
        <w:tabs>
          <w:tab w:val="left" w:pos="3870"/>
          <w:tab w:val="left" w:pos="4085"/>
        </w:tabs>
        <w:snapToGrid w:val="0"/>
        <w:spacing w:line="400" w:lineRule="exact"/>
        <w:ind w:firstLine="630" w:firstLineChars="3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（3）投标人针对报价需要说明的其他文件和说明（格式自拟）；</w:t>
      </w:r>
    </w:p>
    <w:p>
      <w:pPr>
        <w:tabs>
          <w:tab w:val="left" w:pos="3870"/>
          <w:tab w:val="left" w:pos="4085"/>
        </w:tabs>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★（4）开标一览表（单独封装，格式见附件）。</w:t>
      </w:r>
    </w:p>
    <w:p>
      <w:pPr>
        <w:pStyle w:val="29"/>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注：法定代表人（负责人）授权委托书、投标声明书、投标函、开标一览表必须由法定代表人（负责人）或授权代表签名并加盖单位公章。</w:t>
      </w:r>
    </w:p>
    <w:p>
      <w:pPr>
        <w:snapToGrid w:val="0"/>
        <w:spacing w:line="400" w:lineRule="exact"/>
        <w:ind w:firstLine="413" w:firstLineChars="196"/>
        <w:jc w:val="left"/>
        <w:outlineLvl w:val="0"/>
        <w:rPr>
          <w:rFonts w:hint="eastAsia" w:asciiTheme="minorEastAsia" w:hAnsiTheme="minorEastAsia" w:eastAsiaTheme="minorEastAsia" w:cstheme="minorEastAsia"/>
          <w:b/>
          <w:color w:val="auto"/>
          <w:szCs w:val="21"/>
          <w:highlight w:val="none"/>
        </w:rPr>
      </w:pPr>
      <w:bookmarkStart w:id="43" w:name="_Toc430110265"/>
      <w:bookmarkStart w:id="44" w:name="_Toc254970678"/>
      <w:bookmarkStart w:id="45" w:name="_Toc430109947"/>
      <w:bookmarkStart w:id="46" w:name="_Toc430110140"/>
      <w:bookmarkStart w:id="47" w:name="_Toc254970537"/>
      <w:r>
        <w:rPr>
          <w:rFonts w:hint="eastAsia" w:asciiTheme="minorEastAsia" w:hAnsiTheme="minorEastAsia" w:eastAsiaTheme="minorEastAsia" w:cstheme="minorEastAsia"/>
          <w:b/>
          <w:color w:val="auto"/>
          <w:szCs w:val="21"/>
          <w:highlight w:val="none"/>
        </w:rPr>
        <w:t>（二）投标文件的语言及计量</w:t>
      </w:r>
      <w:bookmarkEnd w:id="43"/>
      <w:bookmarkEnd w:id="44"/>
      <w:bookmarkEnd w:id="45"/>
      <w:bookmarkEnd w:id="46"/>
      <w:bookmarkEnd w:id="47"/>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★1投标文件以及投标方与招标方就有关投标事宜的所有来往函电，均应以中文书写。除签名、盖章、专用名称等特殊情形外，以中文以外的文字表述的投标文件视同未提交。</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Lines="50" w:line="400" w:lineRule="exact"/>
        <w:ind w:firstLine="413" w:firstLineChars="196"/>
        <w:jc w:val="left"/>
        <w:outlineLvl w:val="0"/>
        <w:rPr>
          <w:rFonts w:hint="eastAsia" w:asciiTheme="minorEastAsia" w:hAnsiTheme="minorEastAsia" w:eastAsiaTheme="minorEastAsia" w:cstheme="minorEastAsia"/>
          <w:b/>
          <w:color w:val="auto"/>
          <w:szCs w:val="21"/>
          <w:highlight w:val="none"/>
        </w:rPr>
      </w:pPr>
      <w:bookmarkStart w:id="48" w:name="_Toc430110266"/>
      <w:bookmarkStart w:id="49" w:name="_Toc430109948"/>
      <w:bookmarkStart w:id="50" w:name="_Toc254970538"/>
      <w:bookmarkStart w:id="51" w:name="_Toc430110141"/>
      <w:bookmarkStart w:id="52" w:name="_Toc254970679"/>
      <w:r>
        <w:rPr>
          <w:rFonts w:hint="eastAsia" w:asciiTheme="minorEastAsia" w:hAnsiTheme="minorEastAsia" w:eastAsiaTheme="minorEastAsia" w:cstheme="minorEastAsia"/>
          <w:b/>
          <w:color w:val="auto"/>
          <w:szCs w:val="21"/>
          <w:highlight w:val="none"/>
        </w:rPr>
        <w:t>（三）投标报价</w:t>
      </w:r>
      <w:bookmarkEnd w:id="48"/>
      <w:bookmarkEnd w:id="49"/>
      <w:bookmarkEnd w:id="50"/>
      <w:bookmarkEnd w:id="51"/>
      <w:bookmarkEnd w:id="52"/>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1.投标报价应按招标文件中相关附表格式填写。</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投标报价指</w:t>
      </w:r>
      <w:r>
        <w:rPr>
          <w:rFonts w:hint="eastAsia" w:asciiTheme="minorEastAsia" w:hAnsiTheme="minorEastAsia" w:eastAsiaTheme="minorEastAsia" w:cstheme="minorEastAsia"/>
          <w:bCs/>
          <w:color w:val="auto"/>
          <w:szCs w:val="21"/>
          <w:highlight w:val="none"/>
        </w:rPr>
        <w:t>包括设备、运费、安装、调试验收、安装附件及配件、税金等直至货物交付正常使用的所有费用以及售后服务、人员培训等费用</w:t>
      </w:r>
      <w:r>
        <w:rPr>
          <w:rFonts w:hint="eastAsia" w:asciiTheme="minorEastAsia" w:hAnsiTheme="minorEastAsia" w:eastAsiaTheme="minorEastAsia" w:cstheme="minorEastAsia"/>
          <w:color w:val="auto"/>
          <w:szCs w:val="21"/>
          <w:highlight w:val="none"/>
        </w:rPr>
        <w:t>。</w:t>
      </w:r>
    </w:p>
    <w:p>
      <w:pPr>
        <w:tabs>
          <w:tab w:val="left" w:pos="525"/>
        </w:tabs>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★3.投标文件只允许有一个报价，有选择的或有条件的报价将不予接受。</w:t>
      </w:r>
    </w:p>
    <w:p>
      <w:pPr>
        <w:tabs>
          <w:tab w:val="left" w:pos="525"/>
        </w:tabs>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4.投标人可就《招标内容及要求》中的某个分标的服务内容作完整唯一报价，也可就多个或所有分标的服务内容作完整唯一报价。</w:t>
      </w:r>
    </w:p>
    <w:p>
      <w:pPr>
        <w:pStyle w:val="13"/>
        <w:widowControl w:val="0"/>
        <w:tabs>
          <w:tab w:val="clear" w:pos="454"/>
        </w:tabs>
        <w:snapToGrid w:val="0"/>
        <w:spacing w:beforeLines="50" w:after="120" w:line="400" w:lineRule="exact"/>
        <w:ind w:left="0"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（四）投标文件的有效期</w:t>
      </w:r>
    </w:p>
    <w:p>
      <w:pPr>
        <w:pStyle w:val="13"/>
        <w:widowControl w:val="0"/>
        <w:tabs>
          <w:tab w:val="clear" w:pos="454"/>
        </w:tabs>
        <w:snapToGrid w:val="0"/>
        <w:spacing w:after="120" w:line="40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投标文件自投标截止日起</w:t>
      </w:r>
      <w:r>
        <w:rPr>
          <w:rFonts w:hint="eastAsia" w:asciiTheme="minorEastAsia" w:hAnsiTheme="minorEastAsia" w:eastAsiaTheme="minorEastAsia" w:cstheme="minorEastAsia"/>
          <w:color w:val="auto"/>
          <w:sz w:val="21"/>
          <w:szCs w:val="21"/>
          <w:highlight w:val="none"/>
          <w:u w:val="single"/>
        </w:rPr>
        <w:t xml:space="preserve">60 </w:t>
      </w:r>
      <w:r>
        <w:rPr>
          <w:rFonts w:hint="eastAsia" w:asciiTheme="minorEastAsia" w:hAnsiTheme="minorEastAsia" w:eastAsiaTheme="minorEastAsia" w:cstheme="minorEastAsia"/>
          <w:color w:val="auto"/>
          <w:sz w:val="21"/>
          <w:szCs w:val="21"/>
          <w:highlight w:val="none"/>
        </w:rPr>
        <w:t>天应保持有效。有效期不足的投标文件将被拒绝。</w:t>
      </w:r>
    </w:p>
    <w:p>
      <w:pPr>
        <w:pStyle w:val="13"/>
        <w:widowControl w:val="0"/>
        <w:tabs>
          <w:tab w:val="clear" w:pos="454"/>
        </w:tabs>
        <w:snapToGrid w:val="0"/>
        <w:spacing w:after="120" w:line="400" w:lineRule="exact"/>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2.在特殊情况下，采购人可与投标人协商延长投标文件的有效期，这种要求和答复均以书面形式进行。</w:t>
      </w:r>
    </w:p>
    <w:p>
      <w:pPr>
        <w:snapToGrid w:val="0"/>
        <w:spacing w:line="400" w:lineRule="exact"/>
        <w:ind w:firstLine="420" w:firstLineChars="200"/>
        <w:jc w:val="left"/>
        <w:outlineLvl w:val="0"/>
        <w:rPr>
          <w:rFonts w:hint="eastAsia" w:asciiTheme="minorEastAsia" w:hAnsiTheme="minorEastAsia" w:eastAsiaTheme="minorEastAsia" w:cstheme="minorEastAsia"/>
          <w:b/>
          <w:color w:val="auto"/>
          <w:szCs w:val="21"/>
          <w:highlight w:val="none"/>
        </w:rPr>
      </w:pPr>
      <w:bookmarkStart w:id="53" w:name="_Toc254970540"/>
      <w:bookmarkStart w:id="54" w:name="_Toc430109950"/>
      <w:bookmarkStart w:id="55" w:name="_Toc430110268"/>
      <w:bookmarkStart w:id="56" w:name="_Toc430110143"/>
      <w:bookmarkStart w:id="57" w:name="_Toc254970681"/>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.中标人的投标文件自开标之日起至合同履行完毕止均应保持有效。</w:t>
      </w:r>
      <w:bookmarkEnd w:id="53"/>
      <w:bookmarkEnd w:id="54"/>
      <w:bookmarkEnd w:id="55"/>
      <w:bookmarkEnd w:id="56"/>
      <w:bookmarkEnd w:id="57"/>
    </w:p>
    <w:p>
      <w:pPr>
        <w:snapToGrid w:val="0"/>
        <w:spacing w:beforeLines="50" w:line="400" w:lineRule="exact"/>
        <w:ind w:firstLine="413" w:firstLineChars="196"/>
        <w:jc w:val="left"/>
        <w:outlineLvl w:val="0"/>
        <w:rPr>
          <w:rFonts w:hint="default" w:asciiTheme="minorEastAsia" w:hAnsiTheme="minorEastAsia" w:eastAsiaTheme="minorEastAsia" w:cstheme="minorEastAsia"/>
          <w:b/>
          <w:color w:val="auto"/>
          <w:szCs w:val="21"/>
          <w:highlight w:val="none"/>
          <w:lang w:val="en-US" w:eastAsia="zh-CN"/>
        </w:rPr>
      </w:pPr>
      <w:bookmarkStart w:id="58" w:name="_Toc254970541"/>
      <w:bookmarkStart w:id="59" w:name="_Toc430109951"/>
      <w:bookmarkStart w:id="60" w:name="_Toc430110144"/>
      <w:bookmarkStart w:id="61" w:name="_Toc254970682"/>
      <w:bookmarkStart w:id="62" w:name="_Toc430110269"/>
      <w:r>
        <w:rPr>
          <w:rFonts w:hint="eastAsia" w:asciiTheme="minorEastAsia" w:hAnsiTheme="minorEastAsia" w:eastAsiaTheme="minorEastAsia" w:cstheme="minorEastAsia"/>
          <w:b/>
          <w:color w:val="auto"/>
          <w:szCs w:val="21"/>
          <w:highlight w:val="none"/>
        </w:rPr>
        <w:t>（五）投标保证金</w:t>
      </w:r>
      <w:bookmarkEnd w:id="58"/>
      <w:bookmarkEnd w:id="59"/>
      <w:bookmarkEnd w:id="60"/>
      <w:bookmarkEnd w:id="61"/>
      <w:bookmarkEnd w:id="62"/>
      <w:r>
        <w:rPr>
          <w:rFonts w:hint="eastAsia" w:asciiTheme="minorEastAsia" w:hAnsiTheme="minorEastAsia" w:eastAsiaTheme="minorEastAsia" w:cstheme="minorEastAsia"/>
          <w:b/>
          <w:color w:val="auto"/>
          <w:szCs w:val="21"/>
          <w:highlight w:val="none"/>
          <w:lang w:eastAsia="zh-CN"/>
        </w:rPr>
        <w:t>：</w:t>
      </w:r>
      <w:r>
        <w:rPr>
          <w:rFonts w:hint="eastAsia" w:asciiTheme="minorEastAsia" w:hAnsiTheme="minorEastAsia" w:eastAsiaTheme="minorEastAsia" w:cstheme="minorEastAsia"/>
          <w:b/>
          <w:color w:val="auto"/>
          <w:szCs w:val="21"/>
          <w:highlight w:val="none"/>
          <w:lang w:val="en-US" w:eastAsia="zh-CN"/>
        </w:rPr>
        <w:t>/</w:t>
      </w:r>
    </w:p>
    <w:p>
      <w:pPr>
        <w:snapToGrid w:val="0"/>
        <w:spacing w:line="400" w:lineRule="exact"/>
        <w:ind w:firstLine="413" w:firstLineChars="196"/>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6.投标人有下列情形之一的，报政府采购监督管理部门进行处理：</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（1）投标人在投标有效期内撤回投标文件的；</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（2）投标人未按规定提交履约保证金的；</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（3）投标人在投标过程中弄虚作假，提供虚假材料的；</w:t>
      </w:r>
    </w:p>
    <w:p>
      <w:pPr>
        <w:snapToGrid w:val="0"/>
        <w:spacing w:line="400" w:lineRule="exact"/>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（4）中标人无正当理由不与采购人签订合同的；</w:t>
      </w:r>
    </w:p>
    <w:p>
      <w:pPr>
        <w:snapToGrid w:val="0"/>
        <w:spacing w:line="400" w:lineRule="exact"/>
        <w:ind w:firstLine="411" w:firstLineChars="196"/>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（5）中标人</w:t>
      </w:r>
      <w:r>
        <w:rPr>
          <w:rFonts w:hint="eastAsia" w:asciiTheme="minorEastAsia" w:hAnsiTheme="minorEastAsia" w:eastAsiaTheme="minorEastAsia" w:cstheme="minorEastAsia"/>
          <w:bCs/>
          <w:color w:val="auto"/>
          <w:szCs w:val="21"/>
          <w:highlight w:val="none"/>
        </w:rPr>
        <w:t>将中标项目转让给他人或者在投标文件中未说明且未经采购人同意，将中标项目分包给他人的；</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（6）中标人拒绝履行合同义务的；</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（7）投标人有其他严重扰乱招投标程序的。</w:t>
      </w:r>
    </w:p>
    <w:p>
      <w:pPr>
        <w:snapToGrid w:val="0"/>
        <w:spacing w:beforeLines="50" w:line="400" w:lineRule="exact"/>
        <w:ind w:firstLine="413" w:firstLineChars="196"/>
        <w:jc w:val="left"/>
        <w:outlineLvl w:val="0"/>
        <w:rPr>
          <w:rFonts w:hint="eastAsia" w:asciiTheme="minorEastAsia" w:hAnsiTheme="minorEastAsia" w:eastAsiaTheme="minorEastAsia" w:cstheme="minorEastAsia"/>
          <w:b/>
          <w:color w:val="auto"/>
          <w:szCs w:val="21"/>
          <w:highlight w:val="none"/>
        </w:rPr>
      </w:pPr>
      <w:bookmarkStart w:id="63" w:name="_Toc430110145"/>
      <w:bookmarkStart w:id="64" w:name="_Toc254970683"/>
      <w:bookmarkStart w:id="65" w:name="_Toc430110270"/>
      <w:bookmarkStart w:id="66" w:name="_Toc430109952"/>
      <w:bookmarkStart w:id="67" w:name="_Toc254970542"/>
      <w:r>
        <w:rPr>
          <w:rFonts w:hint="eastAsia" w:asciiTheme="minorEastAsia" w:hAnsiTheme="minorEastAsia" w:eastAsiaTheme="minorEastAsia" w:cstheme="minorEastAsia"/>
          <w:b/>
          <w:color w:val="auto"/>
          <w:szCs w:val="21"/>
          <w:highlight w:val="none"/>
        </w:rPr>
        <w:t>（六）投标文件的签署和份数</w:t>
      </w:r>
      <w:bookmarkEnd w:id="63"/>
      <w:bookmarkEnd w:id="64"/>
      <w:bookmarkEnd w:id="65"/>
      <w:bookmarkEnd w:id="66"/>
      <w:bookmarkEnd w:id="67"/>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2.投标人应按资格审查文件、商务/技术文件、报价文件正本各一份，副本各四份分别编制并单独装订成册，投标文件的封面应注明“正本”、“副本”字样。活页装订的投标文件将被拒绝。</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3.投标文件的正本需打印或用不褪色的墨水填写，投标文件正本除本《投标人须知》中规定的可提供复印件外均须提供原件。副本可以是正本的复印件。</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4.投标文件须由投标人在规定位置加盖单位公章并由法定代表人（负责人）或法定代表人（负责人）的授权委托人签署，投标人应写全称。</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5.投标文件不得涂改，若有修改错漏处，须加盖单位公章或者法定代表人（负责人）或授权委托人签字。投标文件因字迹潦草或表达不清所引起的后果由投标人负责。</w:t>
      </w:r>
    </w:p>
    <w:p>
      <w:pPr>
        <w:snapToGrid w:val="0"/>
        <w:spacing w:beforeLines="50" w:line="400" w:lineRule="exact"/>
        <w:ind w:firstLine="310" w:firstLineChars="147"/>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（七）投标文件的包装、递交、修改和撤回</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应按资格审查文件、商务/技术文件、报价文件三部分密封封装投标文件（即各部分的文件先单独包装，然后再将三个密封袋包装在一起），其中《开标一览表》（格式见附件）应单独用小信封密封,再与其他投标文件一起包封，最后提交时应为一个密封袋。并提供可编辑的投标文件电子版U盘一份</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投标文件的包装封面上应注明：投标人名称、投标人地址、投标文件名称（资格审查文件或者商务/技术文件、报价文件、开标一览表等）、投标项目名称、项目编号及“开标时启封”字样，并加盖投标人公章。</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2.逾期送达或投标文件的包装未按要求密封、盖章、标记的将予以拒收或作无效投标文件处理，由此造成的风险由投标人承担。</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在投标截止时间之前，可以对已提交的投标文件进行修改或撤回，并书面通知招标采购单位；投标时间截止后，投标人不得撤回、修改投标文件。修改后重新递交的投标文件应当按本招标文件的要求签署、盖章和密封。</w:t>
      </w:r>
    </w:p>
    <w:p>
      <w:pPr>
        <w:snapToGrid w:val="0"/>
        <w:spacing w:beforeLines="50" w:line="400" w:lineRule="exact"/>
        <w:ind w:firstLine="413" w:firstLineChars="196"/>
        <w:outlineLvl w:val="2"/>
        <w:rPr>
          <w:rFonts w:hint="eastAsia" w:asciiTheme="minorEastAsia" w:hAnsiTheme="minorEastAsia" w:eastAsiaTheme="minorEastAsia" w:cstheme="minorEastAsia"/>
          <w:b/>
          <w:color w:val="auto"/>
          <w:szCs w:val="21"/>
          <w:highlight w:val="none"/>
        </w:rPr>
      </w:pPr>
      <w:bookmarkStart w:id="68" w:name="_Toc254970684"/>
      <w:bookmarkStart w:id="69" w:name="_Toc254970543"/>
      <w:bookmarkStart w:id="70" w:name="_Toc430110146"/>
      <w:r>
        <w:rPr>
          <w:rFonts w:hint="eastAsia" w:asciiTheme="minorEastAsia" w:hAnsiTheme="minorEastAsia" w:eastAsiaTheme="minorEastAsia" w:cstheme="minorEastAsia"/>
          <w:b/>
          <w:color w:val="auto"/>
          <w:szCs w:val="21"/>
          <w:highlight w:val="none"/>
        </w:rPr>
        <w:t>（八）投标无效的情形</w:t>
      </w:r>
      <w:bookmarkEnd w:id="68"/>
      <w:bookmarkEnd w:id="69"/>
      <w:bookmarkEnd w:id="70"/>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13" w:firstLineChars="196"/>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1.在符合性审查和资格性审查时，如发现有下列情形之一的，投标文件将被视为无效：</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（1）投标人超越了按照法律法规规定必须获得行政许可或者行政审批的经营范围的。</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（2）投标人资格证明文件不全的，或者不符合招标文件标明的资格要求的。</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的投标文件无法定代表人（负责人）签字、或由委托代理人签字但未提供法定代表人（负责人）授权委托书，未提供投标声明书或者填写实质性要求项目不齐全的，或未按招标文件规定要求签署、盖章的。</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（4）投标人的投标代表未能出具身份证明或与法定代表人（负责人）授权委托人身份不符的。 </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（5）投标人的投标文件项目不齐全或者内容虚假的。</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（6）投标人的投标文件的实质性内容未使用中文表述、意思表述不明确、前后矛盾或者使用计量单位不符合招标文件要求的（经评标委员会认定并允许其当场更正的笔误除外）。</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（7）投标人的投标有效期、服务时间等商务条款不能满足招标文件要求的。</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（8）投标人未实质性响应招标文件或不符合法律、法规要求或投标文件有招标方不能接受的附加条件的。</w:t>
      </w:r>
    </w:p>
    <w:p>
      <w:pPr>
        <w:pStyle w:val="19"/>
        <w:snapToGrid w:val="0"/>
        <w:spacing w:line="400" w:lineRule="exact"/>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2.在技术评审时，如发现下列情形之一的，投标文件将被视为无效：</w:t>
      </w:r>
    </w:p>
    <w:p>
      <w:pPr>
        <w:pStyle w:val="19"/>
        <w:snapToGrid w:val="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（1）投标人未提供或未如实提供投标服务的内容，或者投标文件标明的响应或偏离与事实不符或虚假投标的。</w:t>
      </w:r>
    </w:p>
    <w:p>
      <w:pPr>
        <w:pStyle w:val="19"/>
        <w:snapToGrid w:val="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（2）投标人的投标文件明显不符合招标文件要求的服务内容、质量标准。</w:t>
      </w:r>
    </w:p>
    <w:p>
      <w:pPr>
        <w:pStyle w:val="19"/>
        <w:snapToGrid w:val="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（3）投标人的投标技术方案不明确，存在一个或一个以上备选（替代）投标方案的。</w:t>
      </w:r>
    </w:p>
    <w:p>
      <w:pPr>
        <w:pStyle w:val="19"/>
        <w:snapToGrid w:val="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（4）投标人的投标文件与其他参加本次投标供应商的投标文件（技术文件）的文字表述内容相同连续20行以上或者差错相同2处以上的。</w:t>
      </w:r>
    </w:p>
    <w:p>
      <w:pPr>
        <w:pStyle w:val="19"/>
        <w:snapToGrid w:val="0"/>
        <w:spacing w:line="400" w:lineRule="exact"/>
        <w:ind w:firstLine="413" w:firstLineChars="19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3.在报价评审时，如发现下列情形之一的，投标文件将被视为无效：</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（1）投标人未采用人民币报价或者未按照招标文件标明的币种报价的；</w:t>
      </w:r>
    </w:p>
    <w:p>
      <w:pPr>
        <w:pStyle w:val="19"/>
        <w:snapToGrid w:val="0"/>
        <w:spacing w:line="400" w:lineRule="exact"/>
        <w:ind w:firstLine="411" w:firstLineChars="19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（2）投标人的报价超出最高限价，或者超出采购预算金额，采购人不能支付的；</w:t>
      </w:r>
    </w:p>
    <w:p>
      <w:pPr>
        <w:pStyle w:val="19"/>
        <w:snapToGrid w:val="0"/>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（3）投标人的投标报价具有选择性，或者开标价格与投标文件承诺的优惠（折扣）价格不一致的。</w:t>
      </w:r>
    </w:p>
    <w:p>
      <w:pPr>
        <w:pStyle w:val="19"/>
        <w:snapToGrid w:val="0"/>
        <w:spacing w:line="400" w:lineRule="exact"/>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4.被拒绝的投标文件为无效投标。</w:t>
      </w:r>
    </w:p>
    <w:p>
      <w:pPr>
        <w:pStyle w:val="19"/>
        <w:snapToGrid w:val="0"/>
        <w:spacing w:line="400" w:lineRule="exact"/>
        <w:ind w:firstLine="413" w:firstLineChars="196"/>
        <w:outlineLvl w:val="1"/>
        <w:rPr>
          <w:rFonts w:hint="eastAsia" w:asciiTheme="minorEastAsia" w:hAnsiTheme="minorEastAsia" w:eastAsiaTheme="minorEastAsia" w:cstheme="minorEastAsia"/>
          <w:b/>
          <w:snapToGrid w:val="0"/>
          <w:color w:val="auto"/>
          <w:sz w:val="21"/>
          <w:szCs w:val="21"/>
          <w:highlight w:val="none"/>
        </w:rPr>
      </w:pPr>
      <w:bookmarkStart w:id="71" w:name="_Toc254970544"/>
      <w:bookmarkStart w:id="72" w:name="_Toc430110147"/>
      <w:bookmarkStart w:id="73" w:name="_Toc254970685"/>
      <w:r>
        <w:rPr>
          <w:rFonts w:hint="eastAsia" w:asciiTheme="minorEastAsia" w:hAnsiTheme="minorEastAsia" w:eastAsiaTheme="minorEastAsia" w:cstheme="minorEastAsia"/>
          <w:b/>
          <w:color w:val="auto"/>
          <w:sz w:val="21"/>
          <w:szCs w:val="21"/>
          <w:highlight w:val="none"/>
        </w:rPr>
        <w:t>四、开标</w:t>
      </w:r>
      <w:bookmarkEnd w:id="71"/>
      <w:bookmarkEnd w:id="72"/>
      <w:bookmarkEnd w:id="73"/>
    </w:p>
    <w:p>
      <w:pPr>
        <w:pStyle w:val="22"/>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（一）开标准备</w:t>
      </w:r>
    </w:p>
    <w:p>
      <w:pPr>
        <w:pStyle w:val="22"/>
        <w:snapToGrid w:val="0"/>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采购代理机构将在规定的时间和地点进行开标，投标人的法定代表人（负责人）或委托代理人必须持证件</w:t>
      </w:r>
      <w:r>
        <w:rPr>
          <w:rFonts w:hint="eastAsia" w:asciiTheme="minorEastAsia" w:hAnsiTheme="minorEastAsia" w:eastAsiaTheme="minorEastAsia" w:cstheme="minorEastAsia"/>
          <w:b/>
          <w:color w:val="auto"/>
          <w:sz w:val="21"/>
          <w:highlight w:val="none"/>
        </w:rPr>
        <w:t>(法定代表人（负责人）须携带法定代表人（负责人）身份证明书原件、身份证原件出席；委托代理人须携带本人身份证原件、法定代表人（负责人）授权委托书原件出席)</w:t>
      </w:r>
      <w:r>
        <w:rPr>
          <w:rFonts w:hint="eastAsia" w:asciiTheme="minorEastAsia" w:hAnsiTheme="minorEastAsia" w:eastAsiaTheme="minorEastAsia" w:cstheme="minorEastAsia"/>
          <w:bCs/>
          <w:color w:val="auto"/>
          <w:sz w:val="21"/>
          <w:highlight w:val="none"/>
        </w:rPr>
        <w:t>参加开标会并签到。投标时间截止后，参加投标的投标人不足三家的，应予废标。</w:t>
      </w:r>
    </w:p>
    <w:p>
      <w:pPr>
        <w:pStyle w:val="22"/>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（二） 开标程序：</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1.开标会由采购代理机构主持，主持人宣布开标会议开始；</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2.主持人介绍参加开标会的人员名单； </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3.主持人宣布评标期间的有关事项，并告知应当回避的情形，提请有关人员回避；</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4.投标人或其当场推荐的代表及监督人员一同检查投标文件密封的完整性并签字确认；</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 随机打开资格审查文件、商务/技术文件、报价文件外包装；</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 启封《开标一览表》，唱标；</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7.采购代理机构做开标记录， 投标人代表对开标记录进行当场校核及勘误，并签字确认；同时由记录人、监督人当场签字确认。投标人代表未到场签字确认或者拒绝签字确认的，不影响评标过程；</w:t>
      </w:r>
    </w:p>
    <w:p>
      <w:pPr>
        <w:snapToGrid w:val="0"/>
        <w:spacing w:line="400" w:lineRule="exact"/>
        <w:ind w:firstLine="42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8.开标会议结束。</w:t>
      </w:r>
    </w:p>
    <w:p>
      <w:pPr>
        <w:pStyle w:val="22"/>
        <w:snapToGrid w:val="0"/>
        <w:spacing w:line="400" w:lineRule="exact"/>
        <w:ind w:left="772" w:leftChars="267" w:hanging="211" w:hangingChars="100"/>
        <w:outlineLvl w:val="1"/>
        <w:rPr>
          <w:rFonts w:hint="eastAsia" w:asciiTheme="minorEastAsia" w:hAnsiTheme="minorEastAsia" w:eastAsiaTheme="minorEastAsia" w:cstheme="minorEastAsia"/>
          <w:b/>
          <w:color w:val="auto"/>
          <w:sz w:val="21"/>
          <w:highlight w:val="none"/>
        </w:rPr>
      </w:pPr>
      <w:bookmarkStart w:id="74" w:name="_Toc430110148"/>
      <w:bookmarkStart w:id="75" w:name="_Toc254970545"/>
      <w:bookmarkStart w:id="76" w:name="_Toc254970686"/>
      <w:r>
        <w:rPr>
          <w:rFonts w:hint="eastAsia" w:asciiTheme="minorEastAsia" w:hAnsiTheme="minorEastAsia" w:eastAsiaTheme="minorEastAsia" w:cstheme="minorEastAsia"/>
          <w:b/>
          <w:color w:val="auto"/>
          <w:sz w:val="21"/>
          <w:highlight w:val="none"/>
        </w:rPr>
        <w:t>五、评标</w:t>
      </w:r>
      <w:bookmarkEnd w:id="74"/>
      <w:bookmarkEnd w:id="75"/>
      <w:bookmarkEnd w:id="76"/>
    </w:p>
    <w:p>
      <w:pPr>
        <w:pStyle w:val="22"/>
        <w:snapToGrid w:val="0"/>
        <w:spacing w:line="400" w:lineRule="exact"/>
        <w:ind w:left="690" w:leftChars="228" w:hanging="211" w:hangingChars="1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（一）组建评标委员会</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本项目评标委员会由采购人代表和采购评审专家共</w:t>
      </w:r>
      <w:r>
        <w:rPr>
          <w:rFonts w:hint="eastAsia" w:asciiTheme="minorEastAsia" w:hAnsiTheme="minorEastAsia" w:eastAsiaTheme="minorEastAsia" w:cstheme="minorEastAsia"/>
          <w:color w:val="auto"/>
          <w:sz w:val="21"/>
          <w:highlight w:val="none"/>
          <w:u w:val="single"/>
        </w:rPr>
        <w:t>5</w:t>
      </w:r>
      <w:r>
        <w:rPr>
          <w:rFonts w:hint="eastAsia" w:asciiTheme="minorEastAsia" w:hAnsiTheme="minorEastAsia" w:eastAsiaTheme="minorEastAsia" w:cstheme="minorEastAsia"/>
          <w:color w:val="auto"/>
          <w:sz w:val="21"/>
          <w:highlight w:val="none"/>
        </w:rPr>
        <w:t>人组成。</w:t>
      </w:r>
    </w:p>
    <w:p>
      <w:pPr>
        <w:pStyle w:val="22"/>
        <w:snapToGrid w:val="0"/>
        <w:spacing w:line="400" w:lineRule="exact"/>
        <w:ind w:left="690" w:leftChars="228" w:hanging="211" w:hangingChars="1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（二）评标的方式</w:t>
      </w:r>
    </w:p>
    <w:p>
      <w:pPr>
        <w:pStyle w:val="22"/>
        <w:snapToGrid w:val="0"/>
        <w:spacing w:line="400" w:lineRule="exact"/>
        <w:ind w:left="689" w:leftChars="228" w:hanging="210" w:hangingChars="1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本项目采用不公开方式评标，评标的依据为招标文件和投标文件。</w:t>
      </w:r>
    </w:p>
    <w:p>
      <w:pPr>
        <w:pStyle w:val="22"/>
        <w:snapToGrid w:val="0"/>
        <w:spacing w:line="400" w:lineRule="exact"/>
        <w:ind w:left="690" w:leftChars="228" w:hanging="211" w:hangingChars="1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（三）</w:t>
      </w:r>
      <w:r>
        <w:rPr>
          <w:rFonts w:hint="eastAsia" w:asciiTheme="minorEastAsia" w:hAnsiTheme="minorEastAsia" w:eastAsiaTheme="minorEastAsia" w:cstheme="minorEastAsia"/>
          <w:b/>
          <w:bCs/>
          <w:color w:val="auto"/>
          <w:sz w:val="21"/>
          <w:highlight w:val="none"/>
        </w:rPr>
        <w:t>评标程序</w:t>
      </w:r>
    </w:p>
    <w:p>
      <w:pPr>
        <w:snapToGrid w:val="0"/>
        <w:spacing w:line="400" w:lineRule="exact"/>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1.资格审查</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采购人代表对投标人的资格文件就行审查，资格文件不符合要求的，资格审查不通过，不进入详细评审。</w:t>
      </w:r>
    </w:p>
    <w:p>
      <w:pPr>
        <w:snapToGrid w:val="0"/>
        <w:spacing w:line="400" w:lineRule="exact"/>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2.实质审查与比较</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（1）评标委员会审查投标文件的实质性内容是否符合招标文件的实质性要求。</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投标人代表未到场或者拒绝澄清或者澄清的内容改变了投标文件的实质性内容的，评标委员会有权视该投标文件无效。</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（3）投标人的技术得分为所有评委的有效评分的算术平均数，并指定专人进行计算复核。</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（4）采购代理机构工作人员协助评标委员会根据本项目的评分标准计算各投标人的商务报价得分。</w:t>
      </w:r>
    </w:p>
    <w:p>
      <w:pPr>
        <w:snapToGrid w:val="0"/>
        <w:spacing w:line="40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（5）评标委员会完成评标后，评委对各部分得分汇总，计算出本项目最终得分、性价比、评标价等。评标委员会按评标原则推荐中标候选人同时起草评标报告。</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（四）澄清问题的形式</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w:t>
      </w:r>
      <w:r>
        <w:rPr>
          <w:rFonts w:hint="eastAsia" w:asciiTheme="minorEastAsia" w:hAnsiTheme="minorEastAsia" w:eastAsiaTheme="minorEastAsia" w:cstheme="minorEastAsia"/>
          <w:bCs/>
          <w:color w:val="auto"/>
          <w:szCs w:val="21"/>
          <w:highlight w:val="none"/>
        </w:rPr>
        <w:t>法定代表人（负责人）或委托代理人</w:t>
      </w:r>
      <w:r>
        <w:rPr>
          <w:rFonts w:hint="eastAsia" w:asciiTheme="minorEastAsia" w:hAnsiTheme="minorEastAsia" w:eastAsiaTheme="minorEastAsia" w:cstheme="minorEastAsia"/>
          <w:color w:val="auto"/>
          <w:szCs w:val="21"/>
          <w:highlight w:val="none"/>
        </w:rPr>
        <w:t>签字确认，但不得超出投标文件的范围或者改变投标文件的实质性内容。</w:t>
      </w:r>
    </w:p>
    <w:p>
      <w:pPr>
        <w:pStyle w:val="22"/>
        <w:snapToGrid w:val="0"/>
        <w:spacing w:line="400" w:lineRule="exact"/>
        <w:ind w:left="690" w:leftChars="228" w:hanging="211" w:hangingChars="1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（五）错误修正</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投标文件如果出现计算或表达上的错误，修正错误的原则如下：</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1.开标一览表总价与投标报价明细表汇总数不一致的，以开标一览表为准；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2.投标文件的大写金额和小写金额不一致的，以大写金额为准；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3.总价金额与按单价汇总金额不一致的，以单价金额计算结果为准；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4.单价金额小数点有明显错误的，应以总价为准并修改单价；</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5.对不同文字文本的投标文件的解释发生异议的，以中文文本为准。</w:t>
      </w:r>
    </w:p>
    <w:p>
      <w:pPr>
        <w:pStyle w:val="22"/>
        <w:snapToGrid w:val="0"/>
        <w:spacing w:line="400" w:lineRule="exact"/>
        <w:ind w:firstLine="422" w:firstLineChars="200"/>
        <w:rPr>
          <w:rFonts w:hint="eastAsia" w:asciiTheme="minorEastAsia" w:hAnsiTheme="minorEastAsia" w:eastAsiaTheme="minorEastAsia" w:cstheme="minorEastAsia"/>
          <w:b/>
          <w:bCs/>
          <w:color w:val="auto"/>
          <w:sz w:val="21"/>
          <w:highlight w:val="none"/>
        </w:rPr>
      </w:pPr>
      <w:r>
        <w:rPr>
          <w:rFonts w:hint="eastAsia" w:asciiTheme="minorEastAsia" w:hAnsiTheme="minorEastAsia" w:eastAsiaTheme="minorEastAsia" w:cstheme="minorEastAsia"/>
          <w:b/>
          <w:bCs/>
          <w:color w:val="auto"/>
          <w:sz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（六）评标原则和评标办法</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 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投标人或者对招标文件作出实质响应的投标人不足三家时，采购代理机构将按政府采购相关规定作相应处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2.评标办法。本项目评标办法采用</w:t>
      </w:r>
      <w:r>
        <w:rPr>
          <w:rFonts w:hint="eastAsia" w:asciiTheme="minorEastAsia" w:hAnsiTheme="minorEastAsia" w:eastAsiaTheme="minorEastAsia" w:cstheme="minorEastAsia"/>
          <w:b/>
          <w:color w:val="auto"/>
          <w:sz w:val="21"/>
          <w:highlight w:val="none"/>
          <w:u w:val="single"/>
        </w:rPr>
        <w:t>综合评分法</w:t>
      </w:r>
      <w:r>
        <w:rPr>
          <w:rFonts w:hint="eastAsia" w:asciiTheme="minorEastAsia" w:hAnsiTheme="minorEastAsia" w:eastAsiaTheme="minorEastAsia" w:cstheme="minorEastAsia"/>
          <w:color w:val="auto"/>
          <w:sz w:val="21"/>
          <w:highlight w:val="none"/>
        </w:rPr>
        <w:t>，具体评标内容及评分标准等详见《第四章：评标办法及评分标准》。</w:t>
      </w:r>
    </w:p>
    <w:p>
      <w:pPr>
        <w:pStyle w:val="22"/>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（七）评标过程的监控</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本项目评标过程实行全程录音、录像监控，投标人在评标过程中所进行的试图影响评标结果的不公正活动，可能导致其投标被拒绝。</w:t>
      </w:r>
    </w:p>
    <w:p>
      <w:pPr>
        <w:pStyle w:val="22"/>
        <w:snapToGrid w:val="0"/>
        <w:spacing w:line="400" w:lineRule="exact"/>
        <w:ind w:firstLine="413" w:firstLineChars="196"/>
        <w:outlineLvl w:val="1"/>
        <w:rPr>
          <w:rFonts w:hint="eastAsia" w:asciiTheme="minorEastAsia" w:hAnsiTheme="minorEastAsia" w:eastAsiaTheme="minorEastAsia" w:cstheme="minorEastAsia"/>
          <w:b/>
          <w:color w:val="auto"/>
          <w:sz w:val="21"/>
          <w:highlight w:val="none"/>
        </w:rPr>
      </w:pPr>
      <w:bookmarkStart w:id="77" w:name="_Toc430110149"/>
      <w:bookmarkStart w:id="78" w:name="_Toc254970546"/>
      <w:bookmarkStart w:id="79" w:name="_Toc254970687"/>
      <w:r>
        <w:rPr>
          <w:rFonts w:hint="eastAsia" w:asciiTheme="minorEastAsia" w:hAnsiTheme="minorEastAsia" w:eastAsiaTheme="minorEastAsia" w:cstheme="minorEastAsia"/>
          <w:b/>
          <w:color w:val="auto"/>
          <w:sz w:val="21"/>
          <w:highlight w:val="none"/>
        </w:rPr>
        <w:t>六、评标结果</w:t>
      </w:r>
      <w:bookmarkEnd w:id="77"/>
      <w:bookmarkEnd w:id="78"/>
      <w:bookmarkEnd w:id="79"/>
    </w:p>
    <w:p>
      <w:pPr>
        <w:pStyle w:val="22"/>
        <w:spacing w:line="400" w:lineRule="exact"/>
        <w:ind w:firstLine="42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（一）采购代理机构将在评标结束后二个工作日内将评标报告送采购人，采购人在五个工作日内按照评标报告中推荐的中标候选人顺序确定中标人。采购人也可以事先授权评标委员会直接确定中标人。</w:t>
      </w:r>
    </w:p>
    <w:p>
      <w:pPr>
        <w:pStyle w:val="22"/>
        <w:spacing w:line="400" w:lineRule="exact"/>
        <w:ind w:firstLine="42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（二）中标人确定后，采购代理机构在中国政府采购网、广西政府采购网、广西防城港政府采购网站、防城港市公共资源交易中心网发布中标公告。</w:t>
      </w:r>
    </w:p>
    <w:p>
      <w:pPr>
        <w:pStyle w:val="22"/>
        <w:spacing w:line="400" w:lineRule="exact"/>
        <w:ind w:firstLine="42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（三）在发布中标公告的同时，采购代理机构向中标人发出中标通知书。</w:t>
      </w:r>
    </w:p>
    <w:p>
      <w:pPr>
        <w:pStyle w:val="22"/>
        <w:spacing w:line="400" w:lineRule="exact"/>
        <w:ind w:firstLine="42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（四）投标人认为招标过程和中标结果使自己的权益受到损害的，可以在知道或者应知其权益受到损害之日起七个工作日内，以书面形式向采购代理机构提出质疑，并及时索要书面回执。</w:t>
      </w:r>
    </w:p>
    <w:p>
      <w:pPr>
        <w:pStyle w:val="22"/>
        <w:spacing w:line="400" w:lineRule="exact"/>
        <w:ind w:firstLine="42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（五）采购代理机构应当按照有关规定就采购人委托授权范围内的事项在收到投标人的书面质疑后七个工作日内做出答复，但答复的内容不得涉及商业秘密。</w:t>
      </w:r>
    </w:p>
    <w:p>
      <w:pPr>
        <w:pStyle w:val="22"/>
        <w:spacing w:line="400" w:lineRule="exact"/>
        <w:ind w:firstLine="42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（六）采购代理机构无义务向未中标的供应商解释未中标原因和退还投标文件。</w:t>
      </w:r>
    </w:p>
    <w:p>
      <w:pPr>
        <w:pStyle w:val="22"/>
        <w:spacing w:line="400" w:lineRule="exact"/>
        <w:ind w:firstLine="538" w:firstLineChars="255"/>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七 、签订合同</w:t>
      </w:r>
    </w:p>
    <w:p>
      <w:pPr>
        <w:pStyle w:val="22"/>
        <w:spacing w:line="400" w:lineRule="exact"/>
        <w:ind w:firstLine="358" w:firstLineChars="17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（一）合同授予标准</w:t>
      </w:r>
    </w:p>
    <w:p>
      <w:pPr>
        <w:pStyle w:val="22"/>
        <w:spacing w:line="400" w:lineRule="exact"/>
        <w:ind w:firstLine="42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合同将授予被确定实质上响应招标文件要求，具备履行合同能力，综合评分排名第一的投标人。</w:t>
      </w:r>
    </w:p>
    <w:p>
      <w:pPr>
        <w:pStyle w:val="22"/>
        <w:spacing w:line="400" w:lineRule="exact"/>
        <w:ind w:firstLine="358" w:firstLineChars="17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
          <w:color w:val="auto"/>
          <w:sz w:val="21"/>
          <w:highlight w:val="none"/>
        </w:rPr>
        <w:t>（二）签订合同</w:t>
      </w:r>
    </w:p>
    <w:p>
      <w:pPr>
        <w:pStyle w:val="22"/>
        <w:spacing w:line="400" w:lineRule="exact"/>
        <w:ind w:firstLine="420" w:firstLineChars="200"/>
        <w:outlineLvl w:val="0"/>
        <w:rPr>
          <w:rFonts w:hint="eastAsia" w:asciiTheme="minorEastAsia" w:hAnsiTheme="minorEastAsia" w:eastAsiaTheme="minorEastAsia" w:cstheme="minorEastAsia"/>
          <w:color w:val="auto"/>
          <w:sz w:val="21"/>
          <w:highlight w:val="none"/>
        </w:rPr>
      </w:pPr>
      <w:bookmarkStart w:id="80" w:name="_Toc430110271"/>
      <w:bookmarkStart w:id="81" w:name="_Toc430110150"/>
      <w:bookmarkStart w:id="82" w:name="_Toc430109953"/>
      <w:r>
        <w:rPr>
          <w:rFonts w:hint="eastAsia" w:asciiTheme="minorEastAsia" w:hAnsiTheme="minorEastAsia" w:eastAsiaTheme="minorEastAsia" w:cstheme="minorEastAsia"/>
          <w:color w:val="auto"/>
          <w:sz w:val="21"/>
          <w:highlight w:val="none"/>
        </w:rPr>
        <w:t>（1）投标人接到中标通知书后，应按中标通知书规定的时间、地点与采购人签订合同。</w:t>
      </w:r>
      <w:bookmarkEnd w:id="80"/>
      <w:bookmarkEnd w:id="81"/>
      <w:bookmarkEnd w:id="82"/>
    </w:p>
    <w:p>
      <w:pPr>
        <w:pStyle w:val="22"/>
        <w:spacing w:line="400" w:lineRule="exact"/>
        <w:ind w:firstLine="420"/>
        <w:rPr>
          <w:rFonts w:hint="eastAsia" w:asciiTheme="minorEastAsia" w:hAnsiTheme="minorEastAsia" w:eastAsiaTheme="minorEastAsia" w:cstheme="minorEastAsia"/>
          <w:color w:val="auto"/>
          <w:sz w:val="21"/>
          <w:highlight w:val="none"/>
          <w:lang w:eastAsia="zh-CN"/>
        </w:rPr>
      </w:pPr>
      <w:bookmarkStart w:id="83" w:name="_Toc430110151"/>
      <w:bookmarkStart w:id="84" w:name="_Toc430109954"/>
      <w:bookmarkStart w:id="85" w:name="_Toc430110272"/>
      <w:r>
        <w:rPr>
          <w:rFonts w:hint="eastAsia" w:asciiTheme="minorEastAsia" w:hAnsiTheme="minorEastAsia" w:eastAsiaTheme="minorEastAsia" w:cstheme="minorEastAsia"/>
          <w:color w:val="auto"/>
          <w:sz w:val="21"/>
          <w:highlight w:val="none"/>
        </w:rPr>
        <w:t>（2）如中标人不按中标通知书的规定签订合同，则按中标人违约处理，</w:t>
      </w:r>
      <w:bookmarkEnd w:id="83"/>
      <w:bookmarkEnd w:id="84"/>
      <w:bookmarkEnd w:id="85"/>
      <w:r>
        <w:rPr>
          <w:rFonts w:hint="eastAsia" w:asciiTheme="minorEastAsia" w:hAnsiTheme="minorEastAsia" w:eastAsiaTheme="minorEastAsia" w:cstheme="minorEastAsia"/>
          <w:color w:val="auto"/>
          <w:sz w:val="21"/>
          <w:highlight w:val="none"/>
          <w:lang w:val="en-US" w:eastAsia="zh-CN"/>
        </w:rPr>
        <w:t>将</w:t>
      </w:r>
      <w:r>
        <w:rPr>
          <w:rFonts w:hint="eastAsia" w:asciiTheme="minorEastAsia" w:hAnsiTheme="minorEastAsia" w:eastAsiaTheme="minorEastAsia" w:cstheme="minorEastAsia"/>
          <w:color w:val="auto"/>
          <w:sz w:val="21"/>
          <w:highlight w:val="none"/>
        </w:rPr>
        <w:t>报相关的政府采购监督管理部门进行处理</w:t>
      </w:r>
      <w:r>
        <w:rPr>
          <w:rFonts w:hint="eastAsia" w:asciiTheme="minorEastAsia" w:hAnsiTheme="minorEastAsia" w:eastAsiaTheme="minorEastAsia" w:cstheme="minorEastAsia"/>
          <w:color w:val="auto"/>
          <w:sz w:val="21"/>
          <w:highlight w:val="none"/>
          <w:lang w:eastAsia="zh-CN"/>
        </w:rPr>
        <w:t>。</w:t>
      </w:r>
    </w:p>
    <w:p>
      <w:pPr>
        <w:pStyle w:val="22"/>
        <w:spacing w:line="400" w:lineRule="exact"/>
        <w:ind w:firstLine="420"/>
        <w:rPr>
          <w:rFonts w:hint="eastAsia" w:asciiTheme="minorEastAsia" w:hAnsiTheme="minorEastAsia" w:eastAsiaTheme="minorEastAsia" w:cstheme="minorEastAsia"/>
          <w:color w:val="auto"/>
          <w:sz w:val="21"/>
          <w:highlight w:val="none"/>
        </w:rPr>
      </w:pPr>
      <w:bookmarkStart w:id="86" w:name="_Toc430109955"/>
      <w:bookmarkStart w:id="87" w:name="_Toc430110273"/>
      <w:bookmarkStart w:id="88" w:name="_Toc430110152"/>
      <w:r>
        <w:rPr>
          <w:rFonts w:hint="eastAsia" w:asciiTheme="minorEastAsia" w:hAnsiTheme="minorEastAsia" w:eastAsiaTheme="minorEastAsia" w:cstheme="minorEastAsia"/>
          <w:color w:val="auto"/>
          <w:sz w:val="21"/>
          <w:highlight w:val="none"/>
        </w:rPr>
        <w:t>（3）中标人因不可抗力或者自身原因不能履行采购合同的，采购人可以与中标人之后排名第一的中标候选人签订采购合同，以此类推。</w:t>
      </w:r>
      <w:bookmarkEnd w:id="86"/>
      <w:bookmarkEnd w:id="87"/>
      <w:bookmarkEnd w:id="88"/>
    </w:p>
    <w:p>
      <w:pPr>
        <w:pStyle w:val="22"/>
        <w:spacing w:line="400" w:lineRule="exact"/>
        <w:ind w:firstLine="420" w:firstLineChars="200"/>
        <w:outlineLvl w:val="0"/>
        <w:rPr>
          <w:rFonts w:hint="eastAsia" w:asciiTheme="minorEastAsia" w:hAnsiTheme="minorEastAsia" w:eastAsiaTheme="minorEastAsia" w:cstheme="minorEastAsia"/>
          <w:color w:val="auto"/>
          <w:sz w:val="21"/>
          <w:highlight w:val="none"/>
        </w:rPr>
      </w:pPr>
      <w:bookmarkStart w:id="89" w:name="_Toc430110274"/>
      <w:bookmarkStart w:id="90" w:name="_Toc430109956"/>
      <w:bookmarkStart w:id="91" w:name="_Toc430110153"/>
      <w:r>
        <w:rPr>
          <w:rFonts w:hint="eastAsia" w:asciiTheme="minorEastAsia" w:hAnsiTheme="minorEastAsia" w:eastAsiaTheme="minorEastAsia" w:cstheme="minorEastAsia"/>
          <w:color w:val="auto"/>
          <w:sz w:val="21"/>
          <w:highlight w:val="none"/>
        </w:rPr>
        <w:t>（4）</w:t>
      </w:r>
      <w:r>
        <w:rPr>
          <w:rFonts w:hint="eastAsia" w:asciiTheme="minorEastAsia" w:hAnsiTheme="minorEastAsia" w:eastAsiaTheme="minorEastAsia" w:cstheme="minorEastAsia"/>
          <w:b/>
          <w:color w:val="auto"/>
          <w:sz w:val="21"/>
          <w:highlight w:val="none"/>
        </w:rPr>
        <w:t>由于中标人放弃中标或未按规定签订合同，造成本项目的合同中标价提高（指采购人选择第二中标候选人或重新采购导致中标金额高于违约中标人的中标价），所超出违约中标人的中标价部分由违约中标人承担赔偿责任，并将赔偿金额上缴同级财政国库。若中标人拒绝交纳赔偿金，除按相关法规追收赔偿金外，列入不良行为记录名单，在一至三年内禁止其参加政府采购活动。</w:t>
      </w:r>
      <w:bookmarkEnd w:id="89"/>
      <w:bookmarkEnd w:id="90"/>
      <w:bookmarkEnd w:id="91"/>
    </w:p>
    <w:p>
      <w:pPr>
        <w:pStyle w:val="22"/>
        <w:spacing w:line="400" w:lineRule="exact"/>
        <w:ind w:firstLine="420" w:firstLineChars="200"/>
        <w:outlineLvl w:val="0"/>
        <w:rPr>
          <w:rFonts w:hint="eastAsia" w:asciiTheme="minorEastAsia" w:hAnsiTheme="minorEastAsia" w:eastAsiaTheme="minorEastAsia" w:cstheme="minorEastAsia"/>
          <w:color w:val="auto"/>
          <w:sz w:val="21"/>
          <w:highlight w:val="none"/>
        </w:rPr>
      </w:pPr>
      <w:bookmarkStart w:id="92" w:name="_Toc430109957"/>
      <w:bookmarkStart w:id="93" w:name="_Toc430110154"/>
      <w:bookmarkStart w:id="94" w:name="_Toc430110275"/>
      <w:r>
        <w:rPr>
          <w:rFonts w:hint="eastAsia" w:asciiTheme="minorEastAsia" w:hAnsiTheme="minorEastAsia" w:eastAsiaTheme="minorEastAsia" w:cstheme="minorEastAsia"/>
          <w:color w:val="auto"/>
          <w:sz w:val="21"/>
          <w:highlight w:val="none"/>
        </w:rPr>
        <w:t>（5）</w:t>
      </w:r>
      <w:r>
        <w:rPr>
          <w:rFonts w:hint="eastAsia" w:asciiTheme="minorEastAsia" w:hAnsiTheme="minorEastAsia" w:eastAsiaTheme="minorEastAsia" w:cstheme="minorEastAsia"/>
          <w:color w:val="auto"/>
          <w:sz w:val="21"/>
          <w:highlight w:val="none"/>
          <w:u w:val="single"/>
        </w:rPr>
        <w:t>采购合同签订必须按照《中华人民共和国政府采购法》和《中华人民共和国合同法》相关规定执行，且签订的合同必须与本招标文件中的合同书格式(包括内容和结构)相一致，不能改变主要条款，否则由此造成的后果由采购人负责</w:t>
      </w:r>
      <w:r>
        <w:rPr>
          <w:rFonts w:hint="eastAsia" w:asciiTheme="minorEastAsia" w:hAnsiTheme="minorEastAsia" w:eastAsiaTheme="minorEastAsia" w:cstheme="minorEastAsia"/>
          <w:color w:val="auto"/>
          <w:sz w:val="21"/>
          <w:highlight w:val="none"/>
        </w:rPr>
        <w:t>。</w:t>
      </w:r>
      <w:bookmarkEnd w:id="92"/>
      <w:bookmarkEnd w:id="93"/>
      <w:bookmarkEnd w:id="94"/>
    </w:p>
    <w:p>
      <w:pPr>
        <w:pStyle w:val="22"/>
        <w:spacing w:line="400" w:lineRule="exact"/>
        <w:ind w:firstLine="420" w:firstLineChars="200"/>
        <w:outlineLvl w:val="0"/>
        <w:rPr>
          <w:rFonts w:hint="eastAsia" w:asciiTheme="minorEastAsia" w:hAnsiTheme="minorEastAsia" w:eastAsiaTheme="minorEastAsia" w:cstheme="minorEastAsia"/>
          <w:color w:val="auto"/>
          <w:sz w:val="21"/>
          <w:highlight w:val="none"/>
        </w:rPr>
      </w:pPr>
      <w:bookmarkStart w:id="95" w:name="_Toc430109958"/>
      <w:bookmarkStart w:id="96" w:name="_Toc430110155"/>
      <w:bookmarkStart w:id="97" w:name="_Toc430110276"/>
      <w:r>
        <w:rPr>
          <w:rFonts w:hint="eastAsia" w:asciiTheme="minorEastAsia" w:hAnsiTheme="minorEastAsia" w:eastAsiaTheme="minorEastAsia" w:cstheme="minorEastAsia"/>
          <w:color w:val="auto"/>
          <w:sz w:val="21"/>
          <w:highlight w:val="none"/>
        </w:rPr>
        <w:t>（6）中标人在签订合同后，必须严格履行合同，否则视为违约，采购人将有充分理由解除合同，其履约保证金将被没收。</w:t>
      </w:r>
      <w:bookmarkEnd w:id="95"/>
      <w:bookmarkEnd w:id="96"/>
      <w:bookmarkEnd w:id="97"/>
    </w:p>
    <w:p>
      <w:pPr>
        <w:pStyle w:val="5"/>
        <w:spacing w:line="340" w:lineRule="exact"/>
        <w:ind w:firstLine="316" w:firstLineChars="150"/>
        <w:rPr>
          <w:rFonts w:hint="eastAsia" w:asciiTheme="minorEastAsia" w:hAnsiTheme="minorEastAsia" w:eastAsiaTheme="minorEastAsia" w:cstheme="minorEastAsia"/>
          <w:color w:val="auto"/>
          <w:sz w:val="21"/>
          <w:szCs w:val="21"/>
          <w:highlight w:val="none"/>
        </w:rPr>
      </w:pPr>
      <w:bookmarkStart w:id="98" w:name="_Toc430110156"/>
      <w:r>
        <w:rPr>
          <w:rFonts w:hint="eastAsia" w:asciiTheme="minorEastAsia" w:hAnsiTheme="minorEastAsia" w:eastAsiaTheme="minorEastAsia" w:cstheme="minorEastAsia"/>
          <w:color w:val="auto"/>
          <w:sz w:val="21"/>
          <w:szCs w:val="21"/>
          <w:highlight w:val="none"/>
          <w:lang w:eastAsia="zh-CN"/>
        </w:rPr>
        <w:t>八</w:t>
      </w:r>
      <w:r>
        <w:rPr>
          <w:rFonts w:hint="eastAsia" w:asciiTheme="minorEastAsia" w:hAnsiTheme="minorEastAsia" w:eastAsiaTheme="minorEastAsia" w:cstheme="minorEastAsia"/>
          <w:color w:val="auto"/>
          <w:sz w:val="21"/>
          <w:szCs w:val="21"/>
          <w:highlight w:val="none"/>
        </w:rPr>
        <w:t>、纪律和监督</w:t>
      </w:r>
      <w:bookmarkEnd w:id="98"/>
    </w:p>
    <w:p>
      <w:pPr>
        <w:pStyle w:val="22"/>
        <w:spacing w:line="440" w:lineRule="exact"/>
        <w:ind w:firstLine="382" w:firstLineChars="181"/>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1. 对采购人的纪律要求</w:t>
      </w:r>
    </w:p>
    <w:p>
      <w:pPr>
        <w:pStyle w:val="22"/>
        <w:spacing w:line="440" w:lineRule="exact"/>
        <w:ind w:firstLine="380" w:firstLineChars="18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采购人不得泄漏招标投标活动中应当保密的情况和资料，不得与投标人串通损害国家利益、社会公共利益或者他人合法权益。</w:t>
      </w:r>
    </w:p>
    <w:p>
      <w:pPr>
        <w:pStyle w:val="22"/>
        <w:spacing w:line="440" w:lineRule="exact"/>
        <w:ind w:firstLine="382" w:firstLineChars="181"/>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2. 对投标人的纪律要求</w:t>
      </w:r>
    </w:p>
    <w:p>
      <w:pPr>
        <w:pStyle w:val="22"/>
        <w:spacing w:line="440" w:lineRule="exact"/>
        <w:ind w:firstLine="380" w:firstLineChars="18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22"/>
        <w:spacing w:line="440" w:lineRule="exact"/>
        <w:ind w:firstLine="382" w:firstLineChars="181"/>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3. 对评标委员会成员的纪律要求</w:t>
      </w:r>
    </w:p>
    <w:p>
      <w:pPr>
        <w:pStyle w:val="22"/>
        <w:spacing w:line="440" w:lineRule="exact"/>
        <w:ind w:firstLine="380" w:firstLineChars="18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七章“评标办法”没有规定的评审因素和标准进行评标。</w:t>
      </w:r>
    </w:p>
    <w:p>
      <w:pPr>
        <w:pStyle w:val="22"/>
        <w:spacing w:line="440" w:lineRule="exact"/>
        <w:ind w:firstLine="382" w:firstLineChars="181"/>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4. 对与评标活动有关的工作人员的纪律要求</w:t>
      </w:r>
    </w:p>
    <w:p>
      <w:pPr>
        <w:pStyle w:val="22"/>
        <w:spacing w:line="440" w:lineRule="exact"/>
        <w:ind w:firstLine="380" w:firstLineChars="18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2"/>
        <w:spacing w:line="400" w:lineRule="exact"/>
        <w:ind w:firstLine="462" w:firstLineChars="219"/>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lang w:eastAsia="zh-CN"/>
        </w:rPr>
        <w:t>九</w:t>
      </w:r>
      <w:r>
        <w:rPr>
          <w:rFonts w:hint="eastAsia" w:asciiTheme="minorEastAsia" w:hAnsiTheme="minorEastAsia" w:eastAsiaTheme="minorEastAsia" w:cstheme="minorEastAsia"/>
          <w:b/>
          <w:color w:val="auto"/>
          <w:sz w:val="21"/>
          <w:highlight w:val="none"/>
        </w:rPr>
        <w:t>、其他事项</w:t>
      </w:r>
    </w:p>
    <w:p>
      <w:pPr>
        <w:pStyle w:val="22"/>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中标服务费</w:t>
      </w:r>
    </w:p>
    <w:p>
      <w:pPr>
        <w:pStyle w:val="22"/>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中标服务收费本项目代理服务费按国家发展计划委员会计价格[2002]1980号《招标代理服务费管理暂行办法》及发改价格[2015]299号文规定的收费标准收取。签订合同前，中标人应向采购代理机构一次付清中标服务费。否则，采购代理机构将视之为违约，取消该中标决定并报政府采购监督管理部门进行处理。</w:t>
      </w:r>
    </w:p>
    <w:p>
      <w:pPr>
        <w:pStyle w:val="22"/>
        <w:spacing w:line="400" w:lineRule="exact"/>
        <w:ind w:firstLine="42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（2）代理服务收费标准：</w:t>
      </w:r>
    </w:p>
    <w:tbl>
      <w:tblPr>
        <w:tblStyle w:val="35"/>
        <w:tblW w:w="8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998"/>
        <w:gridCol w:w="1988"/>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mc:AlternateContent>
                <mc:Choice Requires="wps">
                  <w:drawing>
                    <wp:anchor distT="0" distB="0" distL="114300" distR="114300" simplePos="0" relativeHeight="251657216" behindDoc="0" locked="0" layoutInCell="1" allowOverlap="1">
                      <wp:simplePos x="0" y="0"/>
                      <wp:positionH relativeFrom="column">
                        <wp:posOffset>274955</wp:posOffset>
                      </wp:positionH>
                      <wp:positionV relativeFrom="paragraph">
                        <wp:posOffset>43815</wp:posOffset>
                      </wp:positionV>
                      <wp:extent cx="1371600" cy="693420"/>
                      <wp:effectExtent l="1905" t="4445" r="10795" b="13335"/>
                      <wp:wrapNone/>
                      <wp:docPr id="2" name="Line 2"/>
                      <wp:cNvGraphicFramePr/>
                      <a:graphic xmlns:a="http://schemas.openxmlformats.org/drawingml/2006/main">
                        <a:graphicData uri="http://schemas.microsoft.com/office/word/2010/wordprocessingShape">
                          <wps:wsp>
                            <wps:cNvCnPr/>
                            <wps:spPr>
                              <a:xfrm>
                                <a:off x="0" y="0"/>
                                <a:ext cx="1371600" cy="6934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21.65pt;margin-top:3.45pt;height:54.6pt;width:108pt;z-index:251657216;mso-width-relative:page;mso-height-relative:page;" filled="f" stroked="t" coordsize="21600,21600" o:gfxdata="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HXH71gAAAAgBAAAPAAAAAAAAAAEAIAAAACIAAABkcnMv&#10;ZG93bnJldi54bWxQSwECFAAUAAAACACHTuJAtfAnUswBAACeAwAADgAAAAAAAAABACAAAAAlAQAA&#10;ZHJzL2Uyb0RvYy54bWxQSwUGAAAAAAYABgBZAQAAYw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color w:val="auto"/>
                <w:kern w:val="2"/>
                <w:sz w:val="21"/>
                <w:highlight w:val="none"/>
              </w:rPr>
              <w:t>费率        服务类型</w:t>
            </w:r>
          </w:p>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149860</wp:posOffset>
                      </wp:positionV>
                      <wp:extent cx="1691640" cy="333375"/>
                      <wp:effectExtent l="635" t="4445" r="9525" b="5080"/>
                      <wp:wrapNone/>
                      <wp:docPr id="3" name="Line 3"/>
                      <wp:cNvGraphicFramePr/>
                      <a:graphic xmlns:a="http://schemas.openxmlformats.org/drawingml/2006/main">
                        <a:graphicData uri="http://schemas.microsoft.com/office/word/2010/wordprocessingShape">
                          <wps:wsp>
                            <wps:cNvCnPr/>
                            <wps:spPr>
                              <a:xfrm>
                                <a:off x="0" y="0"/>
                                <a:ext cx="1691640" cy="3333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3.55pt;margin-top:11.8pt;height:26.25pt;width:133.2pt;z-index:251658240;mso-width-relative:page;mso-height-relative:page;" filled="f" stroked="t" coordsize="21600,21600" o:gfxdata="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3RP6i1wAAAAgBAAAPAAAAAAAAAAEAIAAAACIAAABkcnMvZG93&#10;bnJldi54bWxQSwECFAAUAAAACACHTuJAiQdDSMgBAACeAwAADgAAAAAAAAABACAAAAAmAQAAZHJz&#10;L2Uyb0RvYy54bWxQSwUGAAAAAAYABgBZAQAAYAUAAAAA&#10;">
                      <v:fill on="f" focussize="0,0"/>
                      <v:stroke color="#000000" joinstyle="round"/>
                      <v:imagedata o:title=""/>
                      <o:lock v:ext="edit" aspectratio="f"/>
                    </v:line>
                  </w:pict>
                </mc:Fallback>
              </mc:AlternateContent>
            </w:r>
          </w:p>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中标金额（万元）</w:t>
            </w:r>
          </w:p>
        </w:tc>
        <w:tc>
          <w:tcPr>
            <w:tcW w:w="1998"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货物招标</w:t>
            </w:r>
          </w:p>
        </w:tc>
        <w:tc>
          <w:tcPr>
            <w:tcW w:w="1988"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服务招标</w:t>
            </w:r>
          </w:p>
        </w:tc>
        <w:tc>
          <w:tcPr>
            <w:tcW w:w="2292"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100以下</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1.5%</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1.5%</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100-500</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1.1%</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0.8%</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500-1000</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0.8%</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0.45%</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1000-5000</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0.5%</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0.25%</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5000-10000</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0.25%</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0.1%</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10000-100000</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0.05%</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0.05%</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tcPr>
          <w:p>
            <w:pPr>
              <w:pStyle w:val="22"/>
              <w:spacing w:line="400" w:lineRule="exact"/>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100000以上</w:t>
            </w:r>
          </w:p>
        </w:tc>
        <w:tc>
          <w:tcPr>
            <w:tcW w:w="199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0.01%</w:t>
            </w:r>
          </w:p>
        </w:tc>
        <w:tc>
          <w:tcPr>
            <w:tcW w:w="1988"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0.01%</w:t>
            </w:r>
          </w:p>
        </w:tc>
        <w:tc>
          <w:tcPr>
            <w:tcW w:w="2292" w:type="dxa"/>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0.01%</w:t>
            </w:r>
          </w:p>
        </w:tc>
      </w:tr>
    </w:tbl>
    <w:p>
      <w:pPr>
        <w:pStyle w:val="22"/>
        <w:spacing w:line="400" w:lineRule="exact"/>
        <w:ind w:firstLine="315" w:firstLineChars="15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注：招标代理服务收费按差额定率累进法计算。例如：某货物采购代理业务成交金额为600万元，计算采购代理服务费额如下：</w:t>
      </w:r>
    </w:p>
    <w:p>
      <w:pPr>
        <w:pStyle w:val="82"/>
        <w:spacing w:line="360" w:lineRule="auto"/>
        <w:rPr>
          <w:rFonts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xml:space="preserve"> 100万元×1.5％＝1.5万元；（500－100）万元×1.1％＝4.4万元；（600－500）万元×0.8％＝0.8万元； 合计收费＝1.5＋4.4＋0.8＝6.7(万元)</w:t>
      </w:r>
    </w:p>
    <w:p>
      <w:pPr>
        <w:pStyle w:val="82"/>
        <w:spacing w:line="360" w:lineRule="auto"/>
        <w:rPr>
          <w:rFonts w:asciiTheme="minorEastAsia" w:hAnsiTheme="minorEastAsia" w:eastAsiaTheme="minorEastAsia" w:cstheme="minorEastAsia"/>
          <w:color w:val="auto"/>
          <w:sz w:val="21"/>
          <w:szCs w:val="21"/>
          <w:highlight w:val="none"/>
        </w:rPr>
      </w:pPr>
    </w:p>
    <w:p>
      <w:pPr>
        <w:pStyle w:val="82"/>
        <w:spacing w:line="360" w:lineRule="auto"/>
        <w:rPr>
          <w:rFonts w:asciiTheme="minorEastAsia" w:hAnsiTheme="minorEastAsia" w:eastAsiaTheme="minorEastAsia" w:cstheme="minorEastAsia"/>
          <w:color w:val="auto"/>
          <w:sz w:val="21"/>
          <w:szCs w:val="21"/>
          <w:highlight w:val="none"/>
        </w:rPr>
      </w:pPr>
    </w:p>
    <w:p>
      <w:pPr>
        <w:pStyle w:val="82"/>
        <w:spacing w:line="360" w:lineRule="auto"/>
        <w:rPr>
          <w:rFonts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pStyle w:val="82"/>
        <w:spacing w:line="360" w:lineRule="auto"/>
        <w:rPr>
          <w:rFonts w:hint="eastAsia" w:asciiTheme="minorEastAsia" w:hAnsiTheme="minorEastAsia" w:eastAsiaTheme="minorEastAsia" w:cstheme="minorEastAsia"/>
          <w:color w:val="auto"/>
          <w:sz w:val="21"/>
          <w:szCs w:val="21"/>
          <w:highlight w:val="none"/>
        </w:rPr>
      </w:pPr>
    </w:p>
    <w:p>
      <w:pPr>
        <w:widowControl/>
        <w:shd w:val="clear" w:color="auto" w:fill="FFFFFF"/>
        <w:spacing w:line="4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广西壮族自治区政府采购项目合同验收书（格式）</w:t>
      </w:r>
    </w:p>
    <w:p>
      <w:pPr>
        <w:widowControl/>
        <w:shd w:val="clear" w:color="auto" w:fill="FFFFFF"/>
        <w:spacing w:line="480" w:lineRule="atLeast"/>
        <w:jc w:val="center"/>
        <w:rPr>
          <w:rFonts w:hint="eastAsia" w:asciiTheme="minorEastAsia" w:hAnsiTheme="minorEastAsia" w:eastAsiaTheme="minorEastAsia" w:cstheme="minorEastAsia"/>
          <w:color w:val="000000"/>
          <w:kern w:val="0"/>
          <w:sz w:val="21"/>
          <w:szCs w:val="21"/>
          <w:highlight w:val="none"/>
        </w:rPr>
      </w:pPr>
    </w:p>
    <w:p>
      <w:pPr>
        <w:widowControl/>
        <w:shd w:val="clear" w:color="auto" w:fill="FFFFFF"/>
        <w:snapToGrid w:val="0"/>
        <w:spacing w:line="320" w:lineRule="atLeast"/>
        <w:ind w:firstLine="480"/>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根据政府采购项目（</w:t>
      </w:r>
      <w:r>
        <w:rPr>
          <w:rFonts w:hint="eastAsia" w:asciiTheme="minorEastAsia" w:hAnsiTheme="minorEastAsia" w:eastAsiaTheme="minorEastAsia" w:cstheme="minorEastAsia"/>
          <w:color w:val="000000"/>
          <w:kern w:val="0"/>
          <w:szCs w:val="21"/>
          <w:highlight w:val="none"/>
          <w:u w:val="single"/>
        </w:rPr>
        <w:t>采购合同编号：</w:t>
      </w:r>
      <w:r>
        <w:rPr>
          <w:rFonts w:hint="eastAsia" w:asciiTheme="minorEastAsia" w:hAnsiTheme="minorEastAsia" w:eastAsiaTheme="minorEastAsia" w:cstheme="minorEastAsia"/>
          <w:color w:val="000000"/>
          <w:kern w:val="0"/>
          <w:szCs w:val="21"/>
          <w:highlight w:val="none"/>
          <w:u w:val="single"/>
        </w:rPr>
        <w:softHyphen/>
      </w:r>
      <w:r>
        <w:rPr>
          <w:rFonts w:hint="eastAsia" w:asciiTheme="minorEastAsia" w:hAnsiTheme="minorEastAsia" w:eastAsiaTheme="minorEastAsia" w:cstheme="minorEastAsia"/>
          <w:color w:val="000000"/>
          <w:kern w:val="0"/>
          <w:szCs w:val="21"/>
          <w:highlight w:val="none"/>
        </w:rPr>
        <w:t>）的约定，我单位对（</w:t>
      </w:r>
      <w:r>
        <w:rPr>
          <w:rFonts w:hint="eastAsia" w:asciiTheme="minorEastAsia" w:hAnsiTheme="minorEastAsia" w:eastAsiaTheme="minorEastAsia" w:cstheme="minorEastAsia"/>
          <w:color w:val="000000"/>
          <w:kern w:val="0"/>
          <w:szCs w:val="21"/>
          <w:highlight w:val="none"/>
          <w:u w:val="single"/>
        </w:rPr>
        <w:t xml:space="preserve"> 项目名称 </w:t>
      </w:r>
      <w:r>
        <w:rPr>
          <w:rFonts w:hint="eastAsia" w:asciiTheme="minorEastAsia" w:hAnsiTheme="minorEastAsia" w:eastAsiaTheme="minorEastAsia" w:cstheme="minorEastAsia"/>
          <w:color w:val="000000"/>
          <w:kern w:val="0"/>
          <w:szCs w:val="21"/>
          <w:highlight w:val="none"/>
        </w:rPr>
        <w:t>） 政府采购项目中标（或成交）供应商（</w:t>
      </w:r>
      <w:r>
        <w:rPr>
          <w:rFonts w:hint="eastAsia" w:asciiTheme="minorEastAsia" w:hAnsiTheme="minorEastAsia" w:eastAsiaTheme="minorEastAsia" w:cstheme="minorEastAsia"/>
          <w:color w:val="000000"/>
          <w:kern w:val="0"/>
          <w:szCs w:val="21"/>
          <w:highlight w:val="none"/>
          <w:u w:val="single"/>
        </w:rPr>
        <w:t xml:space="preserve"> 公司名称 </w:t>
      </w:r>
      <w:r>
        <w:rPr>
          <w:rFonts w:hint="eastAsia" w:asciiTheme="minorEastAsia" w:hAnsiTheme="minorEastAsia" w:eastAsiaTheme="minorEastAsia" w:cstheme="minorEastAsia"/>
          <w:color w:val="000000"/>
          <w:kern w:val="0"/>
          <w:szCs w:val="21"/>
          <w:highlight w:val="none"/>
        </w:rPr>
        <w:t>） 提供的货物（或工程、服务）进行了验收，验收情况如下：</w:t>
      </w:r>
    </w:p>
    <w:tbl>
      <w:tblPr>
        <w:tblStyle w:val="35"/>
        <w:tblW w:w="9371"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数量</w:t>
            </w:r>
          </w:p>
        </w:tc>
        <w:tc>
          <w:tcPr>
            <w:tcW w:w="2354"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354"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合同交货验收日期</w:t>
            </w: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c>
          <w:tcPr>
            <w:tcW w:w="303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hint="eastAsia" w:asciiTheme="minorEastAsia" w:hAnsiTheme="minorEastAsia" w:eastAsiaTheme="minorEastAsia" w:cstheme="minorEastAsia"/>
                <w:color w:val="000000"/>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验收小组意见</w:t>
            </w: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color w:val="000000"/>
                <w:kern w:val="0"/>
                <w:szCs w:val="21"/>
                <w:highlight w:val="none"/>
              </w:rPr>
            </w:pPr>
          </w:p>
        </w:tc>
        <w:tc>
          <w:tcPr>
            <w:tcW w:w="8040"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有异议的意见和说明理由：</w:t>
            </w:r>
          </w:p>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监督人员或其他相关人员签字：</w:t>
            </w:r>
          </w:p>
          <w:p>
            <w:pPr>
              <w:widowControl/>
              <w:spacing w:before="100" w:beforeAutospacing="1" w:after="100" w:afterAutospacing="1" w:line="320" w:lineRule="atLeast"/>
              <w:ind w:firstLine="74"/>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中标或者成交供应商负责人签字或盖章：</w:t>
            </w:r>
          </w:p>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联系电话： 年 月 日</w:t>
            </w:r>
          </w:p>
        </w:tc>
        <w:tc>
          <w:tcPr>
            <w:tcW w:w="52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采购人或受托机构的意见（盖章）：</w:t>
            </w:r>
          </w:p>
          <w:p>
            <w:pPr>
              <w:widowControl/>
              <w:spacing w:before="100" w:beforeAutospacing="1" w:after="100" w:afterAutospacing="1" w:line="320" w:lineRule="atLeast"/>
              <w:jc w:val="left"/>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联系电话： 年 月 日</w:t>
            </w:r>
          </w:p>
        </w:tc>
      </w:tr>
    </w:tbl>
    <w:p>
      <w:pPr>
        <w:pStyle w:val="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000000"/>
          <w:szCs w:val="21"/>
          <w:highlight w:val="none"/>
        </w:rPr>
        <w:br w:type="page"/>
      </w:r>
      <w:bookmarkStart w:id="99" w:name="_Toc254970548"/>
      <w:bookmarkStart w:id="100" w:name="_Toc254970689"/>
      <w:r>
        <w:rPr>
          <w:rFonts w:hint="eastAsia" w:asciiTheme="minorEastAsia" w:hAnsiTheme="minorEastAsia" w:eastAsiaTheme="minorEastAsia" w:cstheme="minorEastAsia"/>
          <w:b/>
          <w:bCs/>
          <w:color w:val="auto"/>
          <w:sz w:val="21"/>
          <w:szCs w:val="21"/>
          <w:highlight w:val="none"/>
        </w:rPr>
        <w:t>第四章  评标办法及评分标准</w:t>
      </w:r>
      <w:bookmarkEnd w:id="99"/>
      <w:bookmarkEnd w:id="100"/>
    </w:p>
    <w:bookmarkEnd w:id="0"/>
    <w:bookmarkEnd w:id="1"/>
    <w:p>
      <w:pPr>
        <w:pStyle w:val="22"/>
        <w:spacing w:line="400" w:lineRule="exact"/>
        <w:ind w:firstLine="42" w:firstLineChars="20"/>
        <w:rPr>
          <w:rFonts w:hint="eastAsia" w:asciiTheme="minorEastAsia" w:hAnsiTheme="minorEastAsia" w:eastAsiaTheme="minorEastAsia" w:cstheme="minorEastAsia"/>
          <w:b/>
          <w:color w:val="auto"/>
          <w:sz w:val="21"/>
          <w:highlight w:val="none"/>
        </w:rPr>
      </w:pPr>
      <w:bookmarkStart w:id="101" w:name="_Toc254970690"/>
      <w:bookmarkStart w:id="102" w:name="_Toc254970549"/>
      <w:r>
        <w:rPr>
          <w:rFonts w:hint="eastAsia" w:asciiTheme="minorEastAsia" w:hAnsiTheme="minorEastAsia" w:eastAsiaTheme="minorEastAsia" w:cstheme="minorEastAsia"/>
          <w:b/>
          <w:color w:val="auto"/>
          <w:sz w:val="21"/>
          <w:highlight w:val="none"/>
        </w:rPr>
        <w:t>一、评标原则</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（一）评委构成：本招标采购项目的评委由采购人代表和政府采购评审专家共5人构成，参加过采购项目前期咨询论证的专家，不得参加该采购项目的评审活动。</w:t>
      </w:r>
    </w:p>
    <w:p>
      <w:pPr>
        <w:pStyle w:val="22"/>
        <w:spacing w:line="400"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Cs/>
          <w:color w:val="auto"/>
          <w:sz w:val="21"/>
          <w:highlight w:val="none"/>
        </w:rPr>
        <w:t>（二）评标依据：评标委员会将以招投标文件为评标依据，对投标人的投标报价、技术服务方案、应急保障服务方案、施工方案、售后服务方案、信誉及业绩等六方面内容按百分制打分。</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（三）评标方式：以封闭方式进行。</w:t>
      </w:r>
    </w:p>
    <w:p>
      <w:pPr>
        <w:pStyle w:val="22"/>
        <w:spacing w:line="400" w:lineRule="exact"/>
        <w:ind w:firstLine="148" w:firstLineChars="7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二、评定方法</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（一）对进入详评的，采用百分制综合评分法。</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（二）计分办法（按四舍五入取至百分位）：</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（三）评标程序</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1.符合性审查</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评标委员会应当对符合资格的投标人的投标文件进行投标报价、商务、技术等实质性要求符合性审查，以确定其是否满足招标文件的实质性要求。</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2.符合性审查不通过而导致投标无效的情形</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投标人的投标文件中存在对招标文件的任何实质性要求和条件的负偏离，其投标将被视为投标无效。</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3.澄清补正</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4.比较与评价</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（1）评标委员会按照招标文件中规定的评标方法和评标标准，对符合性审查合格的投标文件进行商务和技术评估，综合比较与评价。</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（2）评标委员会应当独立对每个投标人的投标文件进行评价，并汇总每个投标人的得分。</w:t>
      </w:r>
    </w:p>
    <w:p>
      <w:pPr>
        <w:pStyle w:val="22"/>
        <w:spacing w:line="400" w:lineRule="exact"/>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（3）评标委员会按照招标文件中规定的评标方法和标准计算各投标人的报价得分。在计算过程中，不得去掉最高报价或最低报价。</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（4）各投标人的得分为所有评委的有效评分的算术平均数。</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（5）评标委员会按照招标文件中的规定推荐中标候选人。</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5投标文件修正</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 xml:space="preserve">5.1投标文件报价出现前后不一致的，按照下列规定修正： </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（1）投标文件中开标一览表（报价表）内容与投标文件中相应内容不一致的，以开标一览表（报价表）为准；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（2）大写金额和小写金额不一致的，以大写金额为准；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（3）单价金额小数点或者百分比有明显错位的，以开标一览表的总价为准，并修改单价；</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4）总价金额与按单价汇总金额不一致的，以单价金额计算结果为准。同时出现两种以上不一致的，按照以上（1）-（4）规定的顺序修正。修正后的报价经投标人确认后产生约束力，投标人不确认的，其投标无效。</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5.2经投标人确认修正后的报价若超过采购预算金额，投标人的投标文件作无效投标处理。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5.3经投标人确认修正后的报价作为签订合同的一个依据，并以此报价计算价格分。</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三、评标标准</w:t>
      </w:r>
    </w:p>
    <w:p>
      <w:pPr>
        <w:pStyle w:val="22"/>
        <w:spacing w:line="400" w:lineRule="exact"/>
        <w:ind w:right="267" w:rightChars="127"/>
        <w:outlineLvl w:val="0"/>
        <w:rPr>
          <w:rFonts w:hint="eastAsia" w:asciiTheme="minorEastAsia" w:hAnsiTheme="minorEastAsia" w:eastAsiaTheme="minorEastAsia" w:cstheme="minorEastAsia"/>
          <w:b/>
          <w:color w:val="auto"/>
          <w:sz w:val="21"/>
          <w:highlight w:val="none"/>
        </w:rPr>
      </w:pPr>
      <w:bookmarkStart w:id="103" w:name="_Toc430109959"/>
      <w:bookmarkStart w:id="104" w:name="_Toc430110277"/>
      <w:bookmarkStart w:id="105" w:name="_Toc430110157"/>
      <w:r>
        <w:rPr>
          <w:rFonts w:hint="eastAsia" w:asciiTheme="minorEastAsia" w:hAnsiTheme="minorEastAsia" w:eastAsiaTheme="minorEastAsia" w:cstheme="minorEastAsia"/>
          <w:b/>
          <w:color w:val="auto"/>
          <w:sz w:val="21"/>
          <w:highlight w:val="none"/>
        </w:rPr>
        <w:t>1.价格分………………………………………………………………………………………………30分</w:t>
      </w:r>
      <w:bookmarkEnd w:id="103"/>
      <w:bookmarkEnd w:id="104"/>
      <w:bookmarkEnd w:id="105"/>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投标产品提供企业按《政府采购促进中小企业发展暂行办法》（财库[2011]181号）认定为小型和微型企业的（以投标文件提供的符合规定生产厂家有关证明材料为准），对其投标价给予6%的扣除，扣除后的价格为评标价，即评标价=投标价×（1-6%）；除上述情况外，评标价=投标价。</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2"/>
        <w:snapToGrid w:val="0"/>
        <w:spacing w:line="400" w:lineRule="exact"/>
        <w:ind w:firstLine="3387" w:firstLineChars="161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有效投标人最低投标报价金额（元）</w:t>
      </w:r>
    </w:p>
    <w:p>
      <w:pPr>
        <w:pStyle w:val="22"/>
        <w:snapToGrid w:val="0"/>
        <w:spacing w:line="400" w:lineRule="exact"/>
        <w:ind w:firstLine="840" w:firstLineChars="4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mc:AlternateContent>
          <mc:Choice Requires="wps">
            <w:drawing>
              <wp:anchor distT="0" distB="0" distL="114300" distR="114300" simplePos="0" relativeHeight="251659264" behindDoc="0" locked="0" layoutInCell="1" allowOverlap="1">
                <wp:simplePos x="0" y="0"/>
                <wp:positionH relativeFrom="column">
                  <wp:posOffset>2065020</wp:posOffset>
                </wp:positionH>
                <wp:positionV relativeFrom="paragraph">
                  <wp:posOffset>137160</wp:posOffset>
                </wp:positionV>
                <wp:extent cx="2284730" cy="20320"/>
                <wp:effectExtent l="0" t="7620" r="1270" b="10160"/>
                <wp:wrapNone/>
                <wp:docPr id="5" name="直线 6"/>
                <wp:cNvGraphicFramePr/>
                <a:graphic xmlns:a="http://schemas.openxmlformats.org/drawingml/2006/main">
                  <a:graphicData uri="http://schemas.microsoft.com/office/word/2010/wordprocessingShape">
                    <wps:wsp>
                      <wps:cNvCnPr/>
                      <wps:spPr>
                        <a:xfrm>
                          <a:off x="0" y="0"/>
                          <a:ext cx="2284730" cy="2032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62.6pt;margin-top:10.8pt;height:1.6pt;width:179.9pt;z-index:251659264;mso-width-relative:page;mso-height-relative:page;" filled="f" stroked="t" coordsize="21600,21600" o:gfxdata="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VN1PZAAAACQEAAA8AAAAAAAAAAQAg&#10;AAAAIgAAAGRycy9kb3ducmV2LnhtbFBLAQIUABQAAAAIAIdO4kDGXSVt1AEAAJIDAAAOAAAAAAAA&#10;AAEAIAAAACgBAABkcnMvZTJvRG9jLnhtbFBLBQYAAAAABgAGAFkBAABuBQAAAAA=&#10;">
                <v:fill on="f" focussize="0,0"/>
                <v:stroke weight="1.25pt" color="#000000" joinstyle="round"/>
                <v:imagedata o:title=""/>
                <o:lock v:ext="edit" aspectratio="f"/>
              </v:line>
            </w:pict>
          </mc:Fallback>
        </mc:AlternateContent>
      </w:r>
      <w:r>
        <w:rPr>
          <w:rFonts w:hint="eastAsia" w:asciiTheme="minorEastAsia" w:hAnsiTheme="minorEastAsia" w:eastAsiaTheme="minorEastAsia" w:cstheme="minorEastAsia"/>
          <w:color w:val="auto"/>
          <w:sz w:val="21"/>
          <w:highlight w:val="none"/>
        </w:rPr>
        <w:t>某有效投标人价格分 =                                      ×</w:t>
      </w:r>
      <w:r>
        <w:rPr>
          <w:rFonts w:hint="eastAsia" w:asciiTheme="minorEastAsia" w:hAnsiTheme="minorEastAsia" w:eastAsiaTheme="minorEastAsia" w:cstheme="minorEastAsia"/>
          <w:color w:val="auto"/>
          <w:sz w:val="21"/>
          <w:highlight w:val="none"/>
          <w:lang w:val="en-US" w:eastAsia="zh-CN"/>
        </w:rPr>
        <w:t>30</w:t>
      </w:r>
      <w:r>
        <w:rPr>
          <w:rFonts w:hint="eastAsia" w:asciiTheme="minorEastAsia" w:hAnsiTheme="minorEastAsia" w:eastAsiaTheme="minorEastAsia" w:cstheme="minorEastAsia"/>
          <w:color w:val="auto"/>
          <w:sz w:val="21"/>
          <w:highlight w:val="none"/>
        </w:rPr>
        <w:t>分</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某投标人投标报价金额（元）</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书面说明和相关证明材料包括但不限于以下支撑证明材料：①行政机构税务部门开具的拟派项目组人员的《依法缴纳个人所得税或依法免缴个人所得税的凭证(与本次磋商所提供社保同月份)》；②2017 年度～2019年度经第三方具备审计资质的机构出具的审计报告（包括其固定资产成本及折旧、管理成本、人工费成本（如人员工资、奖金、福利及差旅等费用）、技术成本、税收等所有成本及利润）复印件（原件现场核查），③提供至少 2 个类似调查业绩的费用成本组成明细（有合同双方盖章证明，提供复印件，原件现场核查）</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2、技术服务方案………………………………………………………………………………………</w:t>
      </w:r>
      <w:r>
        <w:rPr>
          <w:rFonts w:hint="eastAsia" w:asciiTheme="minorEastAsia" w:hAnsiTheme="minorEastAsia" w:eastAsiaTheme="minorEastAsia" w:cstheme="minorEastAsia"/>
          <w:b/>
          <w:color w:val="auto"/>
          <w:sz w:val="21"/>
          <w:highlight w:val="none"/>
          <w:lang w:val="en-US" w:eastAsia="zh-CN"/>
        </w:rPr>
        <w:t>30</w:t>
      </w:r>
      <w:r>
        <w:rPr>
          <w:rFonts w:hint="eastAsia" w:asciiTheme="minorEastAsia" w:hAnsiTheme="minorEastAsia" w:eastAsiaTheme="minorEastAsia" w:cstheme="minorEastAsia"/>
          <w:b/>
          <w:color w:val="auto"/>
          <w:sz w:val="21"/>
          <w:highlight w:val="none"/>
        </w:rPr>
        <w:t>分</w:t>
      </w:r>
    </w:p>
    <w:p>
      <w:pPr>
        <w:pStyle w:val="22"/>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Cs/>
          <w:color w:val="auto"/>
          <w:sz w:val="21"/>
          <w:highlight w:val="none"/>
        </w:rPr>
        <w:t>由评委在打分前根据投标人提供的对项目</w:t>
      </w:r>
      <w:r>
        <w:rPr>
          <w:rFonts w:hint="eastAsia" w:asciiTheme="minorEastAsia" w:hAnsiTheme="minorEastAsia" w:eastAsiaTheme="minorEastAsia" w:cstheme="minorEastAsia"/>
          <w:color w:val="auto"/>
          <w:sz w:val="21"/>
          <w:highlight w:val="none"/>
        </w:rPr>
        <w:t>需求功能描述，技术方案</w:t>
      </w:r>
      <w:r>
        <w:rPr>
          <w:rFonts w:hint="eastAsia" w:asciiTheme="minorEastAsia" w:hAnsiTheme="minorEastAsia" w:eastAsiaTheme="minorEastAsia" w:cstheme="minorEastAsia"/>
          <w:bCs/>
          <w:color w:val="auto"/>
          <w:sz w:val="21"/>
          <w:highlight w:val="none"/>
        </w:rPr>
        <w:t>等内容集体讨论确定投标人所属档次后,在相应档次内由评委独立打分。</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一档（0</w:t>
      </w:r>
      <w:r>
        <w:rPr>
          <w:rFonts w:hint="eastAsia" w:asciiTheme="minorEastAsia" w:hAnsiTheme="minorEastAsia" w:eastAsiaTheme="minorEastAsia" w:cstheme="minorEastAsia"/>
          <w:color w:val="auto"/>
          <w:sz w:val="21"/>
          <w:highlight w:val="none"/>
          <w:lang w:val="en-US" w:eastAsia="zh-CN"/>
        </w:rPr>
        <w:t>.1</w:t>
      </w:r>
      <w:r>
        <w:rPr>
          <w:rFonts w:hint="eastAsia" w:asciiTheme="minorEastAsia" w:hAnsiTheme="minorEastAsia" w:eastAsiaTheme="minorEastAsia" w:cstheme="minorEastAsia"/>
          <w:color w:val="auto"/>
          <w:sz w:val="21"/>
          <w:highlight w:val="none"/>
        </w:rPr>
        <w:t>—</w:t>
      </w:r>
      <w:r>
        <w:rPr>
          <w:rFonts w:hint="eastAsia" w:asciiTheme="minorEastAsia" w:hAnsiTheme="minorEastAsia" w:eastAsiaTheme="minorEastAsia" w:cstheme="minorEastAsia"/>
          <w:color w:val="auto"/>
          <w:sz w:val="21"/>
          <w:highlight w:val="none"/>
          <w:lang w:val="en-US" w:eastAsia="zh-CN"/>
        </w:rPr>
        <w:t>10</w:t>
      </w:r>
      <w:r>
        <w:rPr>
          <w:rFonts w:hint="eastAsia" w:asciiTheme="minorEastAsia" w:hAnsiTheme="minorEastAsia" w:eastAsiaTheme="minorEastAsia" w:cstheme="minorEastAsia"/>
          <w:color w:val="auto"/>
          <w:sz w:val="21"/>
          <w:highlight w:val="none"/>
        </w:rPr>
        <w:t>分）：对总体需求功能描述不全，技术方案简单，对上述要求关键技术点描述不全面，基本满足建设需求。</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二档（</w:t>
      </w:r>
      <w:r>
        <w:rPr>
          <w:rFonts w:hint="eastAsia" w:asciiTheme="minorEastAsia" w:hAnsiTheme="minorEastAsia" w:eastAsiaTheme="minorEastAsia" w:cstheme="minorEastAsia"/>
          <w:color w:val="auto"/>
          <w:sz w:val="21"/>
          <w:highlight w:val="none"/>
          <w:lang w:val="en-US" w:eastAsia="zh-CN"/>
        </w:rPr>
        <w:t>10</w:t>
      </w:r>
      <w:r>
        <w:rPr>
          <w:rFonts w:hint="eastAsia" w:asciiTheme="minorEastAsia" w:hAnsiTheme="minorEastAsia" w:eastAsiaTheme="minorEastAsia" w:cstheme="minorEastAsia"/>
          <w:color w:val="auto"/>
          <w:sz w:val="21"/>
          <w:highlight w:val="none"/>
        </w:rPr>
        <w:t>.1—</w:t>
      </w:r>
      <w:r>
        <w:rPr>
          <w:rFonts w:hint="eastAsia" w:asciiTheme="minorEastAsia" w:hAnsiTheme="minorEastAsia" w:eastAsiaTheme="minorEastAsia" w:cstheme="minorEastAsia"/>
          <w:color w:val="auto"/>
          <w:sz w:val="21"/>
          <w:highlight w:val="none"/>
          <w:lang w:val="en-US" w:eastAsia="zh-CN"/>
        </w:rPr>
        <w:t>20</w:t>
      </w:r>
      <w:r>
        <w:rPr>
          <w:rFonts w:hint="eastAsia" w:asciiTheme="minorEastAsia" w:hAnsiTheme="minorEastAsia" w:eastAsiaTheme="minorEastAsia" w:cstheme="minorEastAsia"/>
          <w:color w:val="auto"/>
          <w:sz w:val="21"/>
          <w:highlight w:val="none"/>
        </w:rPr>
        <w:t>分）：对总体需求功能描述全面，技术方案较详细、可行，对上述要求关键技术点基本描述到位，能保证业务系统基本不受影响。</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三档（</w:t>
      </w:r>
      <w:r>
        <w:rPr>
          <w:rFonts w:hint="eastAsia" w:asciiTheme="minorEastAsia" w:hAnsiTheme="minorEastAsia" w:eastAsiaTheme="minorEastAsia" w:cstheme="minorEastAsia"/>
          <w:color w:val="auto"/>
          <w:sz w:val="21"/>
          <w:highlight w:val="none"/>
          <w:lang w:val="en-US" w:eastAsia="zh-CN"/>
        </w:rPr>
        <w:t>20</w:t>
      </w:r>
      <w:r>
        <w:rPr>
          <w:rFonts w:hint="eastAsia" w:asciiTheme="minorEastAsia" w:hAnsiTheme="minorEastAsia" w:eastAsiaTheme="minorEastAsia" w:cstheme="minorEastAsia"/>
          <w:color w:val="auto"/>
          <w:sz w:val="21"/>
          <w:highlight w:val="none"/>
        </w:rPr>
        <w:t>.1—</w:t>
      </w:r>
      <w:r>
        <w:rPr>
          <w:rFonts w:hint="eastAsia" w:asciiTheme="minorEastAsia" w:hAnsiTheme="minorEastAsia" w:eastAsiaTheme="minorEastAsia" w:cstheme="minorEastAsia"/>
          <w:color w:val="auto"/>
          <w:sz w:val="21"/>
          <w:highlight w:val="none"/>
          <w:lang w:val="en-US" w:eastAsia="zh-CN"/>
        </w:rPr>
        <w:t>30</w:t>
      </w:r>
      <w:r>
        <w:rPr>
          <w:rFonts w:hint="eastAsia" w:asciiTheme="minorEastAsia" w:hAnsiTheme="minorEastAsia" w:eastAsiaTheme="minorEastAsia" w:cstheme="minorEastAsia"/>
          <w:color w:val="auto"/>
          <w:sz w:val="21"/>
          <w:highlight w:val="none"/>
        </w:rPr>
        <w:t>分）：对总体需求功能描述透彻，技术方案详细、先进，对上述要求关键技术点描述清晰、到位，具有很高的稳定性和安全性，能保证业务系统完全不受影响。</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lang w:val="en-US" w:eastAsia="zh-CN"/>
        </w:rPr>
        <w:t>3</w:t>
      </w:r>
      <w:r>
        <w:rPr>
          <w:rFonts w:hint="eastAsia" w:asciiTheme="minorEastAsia" w:hAnsiTheme="minorEastAsia" w:eastAsiaTheme="minorEastAsia" w:cstheme="minorEastAsia"/>
          <w:b/>
          <w:color w:val="auto"/>
          <w:sz w:val="21"/>
          <w:highlight w:val="none"/>
        </w:rPr>
        <w:t>、施工方案………………………………………………………………………………………………8分</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由评委在打分前</w:t>
      </w:r>
      <w:r>
        <w:rPr>
          <w:rFonts w:hint="eastAsia" w:asciiTheme="minorEastAsia" w:hAnsiTheme="minorEastAsia" w:eastAsiaTheme="minorEastAsia" w:cstheme="minorEastAsia"/>
          <w:bCs/>
          <w:color w:val="auto"/>
          <w:sz w:val="21"/>
          <w:highlight w:val="none"/>
        </w:rPr>
        <w:t>根据投标人提供</w:t>
      </w:r>
      <w:r>
        <w:rPr>
          <w:rFonts w:hint="eastAsia" w:asciiTheme="minorEastAsia" w:hAnsiTheme="minorEastAsia" w:eastAsiaTheme="minorEastAsia" w:cstheme="minorEastAsia"/>
          <w:color w:val="auto"/>
          <w:sz w:val="21"/>
          <w:highlight w:val="none"/>
        </w:rPr>
        <w:t>的保证项目实施的技术力量和人力资源安排、技术服务、技术培训的服务内容和措施、建议的安装、调试、验收方法或方案等所属档次，然后评委在各档次内独立打分。</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一档（0.1～3分）：项目实施方案简单，能提系统构架图；保证项目实施的技术力量和人力资源安排基本满足要求，技术服务、技术培训的服务内容和措施同比一般，进入一档。</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二档（3.1～6分）：满足一档的基础上，项目实施方案较详细，能提供详细系统构架图；保证项目实施的技术力量和人力资源安排满足项目实施要求，技术服务、技术培训的服务内容和措施同比较完善，进入二档。</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三档（6.1～8分）：满足二档的基础上，项目实施方案详实，能切合本项目实际提供系统构架图，方案能清楚的表明对本项目的熟悉程度，技术路线清晰可信；保证项目实施的技术力量和人力资源安排充足，技术服务、技术培训的服务内容和措施完善，建议的安装、调试、验收方法或方案同比更完善有效、更优化、切实可行，进入三档。</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lang w:val="en-US" w:eastAsia="zh-CN"/>
        </w:rPr>
        <w:t>4</w:t>
      </w:r>
      <w:r>
        <w:rPr>
          <w:rFonts w:hint="eastAsia" w:asciiTheme="minorEastAsia" w:hAnsiTheme="minorEastAsia" w:eastAsiaTheme="minorEastAsia" w:cstheme="minorEastAsia"/>
          <w:b/>
          <w:color w:val="auto"/>
          <w:sz w:val="21"/>
          <w:highlight w:val="none"/>
        </w:rPr>
        <w:t>、售后服务………………………………………………………………………………………12分</w:t>
      </w:r>
    </w:p>
    <w:p>
      <w:pPr>
        <w:pStyle w:val="22"/>
        <w:spacing w:line="400" w:lineRule="exact"/>
        <w:ind w:firstLine="420" w:firstLineChars="200"/>
        <w:rPr>
          <w:rFonts w:hint="eastAsia" w:asciiTheme="minorEastAsia" w:hAnsiTheme="minorEastAsia" w:eastAsiaTheme="minorEastAsia" w:cstheme="minorEastAsia"/>
          <w:bCs/>
          <w:color w:val="auto"/>
          <w:sz w:val="21"/>
          <w:highlight w:val="none"/>
        </w:rPr>
      </w:pPr>
      <w:r>
        <w:rPr>
          <w:rFonts w:hint="eastAsia" w:asciiTheme="minorEastAsia" w:hAnsiTheme="minorEastAsia" w:eastAsiaTheme="minorEastAsia" w:cstheme="minorEastAsia"/>
          <w:bCs/>
          <w:color w:val="auto"/>
          <w:sz w:val="21"/>
          <w:highlight w:val="none"/>
        </w:rPr>
        <w:t>由评委在打分前根据投标人提供的</w:t>
      </w:r>
      <w:r>
        <w:rPr>
          <w:rFonts w:hint="eastAsia" w:asciiTheme="minorEastAsia" w:hAnsiTheme="minorEastAsia" w:eastAsiaTheme="minorEastAsia" w:cstheme="minorEastAsia"/>
          <w:color w:val="auto"/>
          <w:sz w:val="21"/>
          <w:highlight w:val="none"/>
        </w:rPr>
        <w:t>方案服务方案论述、售后保障措施</w:t>
      </w:r>
      <w:r>
        <w:rPr>
          <w:rFonts w:hint="eastAsia" w:asciiTheme="minorEastAsia" w:hAnsiTheme="minorEastAsia" w:eastAsiaTheme="minorEastAsia" w:cstheme="minorEastAsia"/>
          <w:bCs/>
          <w:color w:val="auto"/>
          <w:sz w:val="21"/>
          <w:highlight w:val="none"/>
        </w:rPr>
        <w:t>等内容集体讨论确定投标人所属档次后,在相应档次内由评委独立打分。</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一档（0.1～4分）：派2人驻点防城港市公安局，免费维护2年的，且服务方案论述基本准确，但售后保障措施不具体，有解决方案，有免费培训计划，方案一般的，进入一档；</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二档（4.1～8分）：派2人驻点防城港市公安局，免费维护3年的，且满足一档的基础上，服务方案论述较准确，售后保障措施表述较清晰、完整，对设备系统提供整体维护解决方案，有免费培训计划和定期回访计划，方案良好，满足以上相关要求的，进入二档；</w:t>
      </w:r>
    </w:p>
    <w:p>
      <w:pPr>
        <w:pStyle w:val="22"/>
        <w:spacing w:line="400" w:lineRule="exact"/>
        <w:ind w:firstLine="482" w:firstLineChars="23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三档（8.1～12分）：派2人驻点防城港市公安局，免费维护3年的，满足二档的基础上，服务方案论述准确，售后保障措施表述清晰、完整、严谨、合理、先进、具体、有效、成熟；对设备系统的维护提供整体维护解决方案和运行维护应急预案，提供一站式、全面、专业的本地化维护服务，提供系统维护信息档案管理，有良好的免费培训计划和定期回访计划，方案优秀，满足以上相关要求的，进入三档。</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lang w:val="en-US" w:eastAsia="zh-CN"/>
        </w:rPr>
        <w:t>5</w:t>
      </w:r>
      <w:r>
        <w:rPr>
          <w:rFonts w:hint="eastAsia" w:asciiTheme="minorEastAsia" w:hAnsiTheme="minorEastAsia" w:eastAsiaTheme="minorEastAsia" w:cstheme="minorEastAsia"/>
          <w:b/>
          <w:color w:val="auto"/>
          <w:sz w:val="21"/>
          <w:highlight w:val="none"/>
        </w:rPr>
        <w:t>、信誉及业绩分………………………………………………………………1</w:t>
      </w:r>
      <w:r>
        <w:rPr>
          <w:rFonts w:hint="eastAsia" w:asciiTheme="minorEastAsia" w:hAnsiTheme="minorEastAsia" w:eastAsiaTheme="minorEastAsia" w:cstheme="minorEastAsia"/>
          <w:b/>
          <w:color w:val="auto"/>
          <w:sz w:val="21"/>
          <w:highlight w:val="none"/>
          <w:lang w:val="en-US" w:eastAsia="zh-CN"/>
        </w:rPr>
        <w:t>4</w:t>
      </w:r>
      <w:r>
        <w:rPr>
          <w:rFonts w:hint="eastAsia" w:asciiTheme="minorEastAsia" w:hAnsiTheme="minorEastAsia" w:eastAsiaTheme="minorEastAsia" w:cstheme="minorEastAsia"/>
          <w:b/>
          <w:color w:val="auto"/>
          <w:sz w:val="21"/>
          <w:highlight w:val="none"/>
        </w:rPr>
        <w:t>分</w:t>
      </w:r>
    </w:p>
    <w:p>
      <w:pPr>
        <w:pStyle w:val="22"/>
        <w:spacing w:line="400" w:lineRule="exact"/>
        <w:ind w:firstLine="315" w:firstLineChars="15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（1）2017年1月1日以来至投标截止日期止，投标人同类产品的销售业绩，每项得</w:t>
      </w:r>
      <w:r>
        <w:rPr>
          <w:rFonts w:hint="eastAsia" w:asciiTheme="minorEastAsia" w:hAnsiTheme="minorEastAsia" w:eastAsiaTheme="minorEastAsia" w:cstheme="minorEastAsia"/>
          <w:color w:val="auto"/>
          <w:sz w:val="21"/>
          <w:highlight w:val="none"/>
          <w:lang w:val="en-US" w:eastAsia="zh-CN"/>
        </w:rPr>
        <w:t>1</w:t>
      </w:r>
      <w:r>
        <w:rPr>
          <w:rFonts w:hint="eastAsia" w:asciiTheme="minorEastAsia" w:hAnsiTheme="minorEastAsia" w:eastAsiaTheme="minorEastAsia" w:cstheme="minorEastAsia"/>
          <w:color w:val="auto"/>
          <w:sz w:val="21"/>
          <w:highlight w:val="none"/>
        </w:rPr>
        <w:t>分，满分</w:t>
      </w:r>
      <w:r>
        <w:rPr>
          <w:rFonts w:hint="eastAsia" w:asciiTheme="minorEastAsia" w:hAnsiTheme="minorEastAsia" w:eastAsiaTheme="minorEastAsia" w:cstheme="minorEastAsia"/>
          <w:color w:val="auto"/>
          <w:sz w:val="21"/>
          <w:highlight w:val="none"/>
          <w:lang w:val="en-US" w:eastAsia="zh-CN"/>
        </w:rPr>
        <w:t>1</w:t>
      </w:r>
      <w:r>
        <w:rPr>
          <w:rFonts w:hint="eastAsia" w:asciiTheme="minorEastAsia" w:hAnsiTheme="minorEastAsia" w:eastAsiaTheme="minorEastAsia" w:cstheme="minorEastAsia"/>
          <w:color w:val="auto"/>
          <w:sz w:val="21"/>
          <w:highlight w:val="none"/>
        </w:rPr>
        <w:t>分。（提供合同或中标通知书复印件并加盖公章）</w:t>
      </w:r>
    </w:p>
    <w:p>
      <w:pPr>
        <w:autoSpaceDE w:val="0"/>
        <w:autoSpaceDN w:val="0"/>
        <w:spacing w:line="400" w:lineRule="exact"/>
        <w:ind w:firstLine="315" w:firstLineChars="15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投标人的电信技术奖项评选比分：自2016年以来投标人（或投标人上级机构）获得国家科学进步奖（以中华人民共和国科学技术部官网公布为准，提供官网截图，并加盖公章），特等奖得3分，一等奖得1分，二等奖0.5分，其他得0分。（满分3分）</w:t>
      </w:r>
    </w:p>
    <w:p>
      <w:pPr>
        <w:pStyle w:val="2"/>
        <w:spacing w:line="400" w:lineRule="exact"/>
        <w:ind w:firstLine="210" w:firstLineChars="100"/>
        <w:rPr>
          <w:rFonts w:hint="eastAsia" w:asciiTheme="minorEastAsia" w:hAnsiTheme="minorEastAsia" w:eastAsiaTheme="minorEastAsia" w:cstheme="minorEastAsia"/>
          <w:bCs w:val="0"/>
          <w:color w:val="auto"/>
          <w:spacing w:val="0"/>
          <w:sz w:val="21"/>
          <w:szCs w:val="21"/>
          <w:highlight w:val="none"/>
        </w:rPr>
      </w:pPr>
      <w:r>
        <w:rPr>
          <w:rFonts w:hint="eastAsia" w:asciiTheme="minorEastAsia" w:hAnsiTheme="minorEastAsia" w:eastAsiaTheme="minorEastAsia" w:cstheme="minorEastAsia"/>
          <w:bCs w:val="0"/>
          <w:color w:val="auto"/>
          <w:spacing w:val="0"/>
          <w:sz w:val="21"/>
          <w:szCs w:val="21"/>
          <w:highlight w:val="none"/>
        </w:rPr>
        <w:t>（3）为保证项目实施的质量和水平，投标人或其母公司（或其上级机构）近3年入选由中国企业评价协会颁发的中国企业社会责任500优十大样板企业，得3分。（投标人须提供相关证明材料且加盖公章）（满分3分）</w:t>
      </w:r>
    </w:p>
    <w:p>
      <w:pPr>
        <w:pStyle w:val="2"/>
        <w:spacing w:line="400" w:lineRule="exact"/>
        <w:ind w:firstLine="210" w:firstLineChars="100"/>
        <w:rPr>
          <w:rFonts w:hint="eastAsia" w:asciiTheme="minorEastAsia" w:hAnsiTheme="minorEastAsia" w:eastAsiaTheme="minorEastAsia" w:cstheme="minorEastAsia"/>
          <w:bCs w:val="0"/>
          <w:color w:val="auto"/>
          <w:spacing w:val="0"/>
          <w:sz w:val="21"/>
          <w:szCs w:val="21"/>
          <w:highlight w:val="none"/>
        </w:rPr>
      </w:pPr>
      <w:r>
        <w:rPr>
          <w:rFonts w:hint="eastAsia" w:asciiTheme="minorEastAsia" w:hAnsiTheme="minorEastAsia" w:eastAsiaTheme="minorEastAsia" w:cstheme="minorEastAsia"/>
          <w:bCs w:val="0"/>
          <w:color w:val="auto"/>
          <w:spacing w:val="0"/>
          <w:sz w:val="21"/>
          <w:szCs w:val="21"/>
          <w:highlight w:val="none"/>
        </w:rPr>
        <w:t>（4）为体现投标人的综合支撑实力及稳定性，投标人或其母公司（或其上级机构）自2004年起连续10次以上获得由国资委通报评定的经营业绩考核A级的得5分，其他得0分。（投标人须提供相关证明材料且加盖公章）（满分5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kern w:val="0"/>
          <w:szCs w:val="21"/>
          <w:highlight w:val="none"/>
        </w:rPr>
        <w:t>投标人提供自有（或投标人上级集团公司拥有）国家工业和信息化部颁发的基础电信业务经营许可证复印件，得</w:t>
      </w:r>
      <w:r>
        <w:rPr>
          <w:rFonts w:hint="eastAsia" w:asciiTheme="minorEastAsia" w:hAnsiTheme="minorEastAsia" w:eastAsiaTheme="minorEastAsia" w:cstheme="minorEastAsia"/>
          <w:color w:val="auto"/>
          <w:kern w:val="0"/>
          <w:szCs w:val="21"/>
          <w:highlight w:val="none"/>
          <w:lang w:val="en-US" w:eastAsia="zh-CN"/>
        </w:rPr>
        <w:t>1</w:t>
      </w:r>
      <w:r>
        <w:rPr>
          <w:rFonts w:hint="eastAsia" w:asciiTheme="minorEastAsia" w:hAnsiTheme="minorEastAsia" w:eastAsiaTheme="minorEastAsia" w:cstheme="minorEastAsia"/>
          <w:color w:val="auto"/>
          <w:kern w:val="0"/>
          <w:szCs w:val="21"/>
          <w:highlight w:val="none"/>
        </w:rPr>
        <w:t>分，满分</w:t>
      </w:r>
      <w:r>
        <w:rPr>
          <w:rFonts w:hint="eastAsia" w:asciiTheme="minorEastAsia" w:hAnsiTheme="minorEastAsia" w:eastAsiaTheme="minorEastAsia" w:cstheme="minorEastAsia"/>
          <w:color w:val="auto"/>
          <w:kern w:val="0"/>
          <w:szCs w:val="21"/>
          <w:highlight w:val="none"/>
          <w:lang w:val="en-US" w:eastAsia="zh-CN"/>
        </w:rPr>
        <w:t>1</w:t>
      </w:r>
      <w:r>
        <w:rPr>
          <w:rFonts w:hint="eastAsia" w:asciiTheme="minorEastAsia" w:hAnsiTheme="minorEastAsia" w:eastAsiaTheme="minorEastAsia" w:cstheme="minorEastAsia"/>
          <w:color w:val="auto"/>
          <w:kern w:val="0"/>
          <w:szCs w:val="21"/>
          <w:highlight w:val="none"/>
        </w:rPr>
        <w:t>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（6）</w:t>
      </w:r>
      <w:r>
        <w:rPr>
          <w:rFonts w:hint="eastAsia" w:asciiTheme="minorEastAsia" w:hAnsiTheme="minorEastAsia" w:eastAsiaTheme="minorEastAsia" w:cstheme="minorEastAsia"/>
          <w:color w:val="auto"/>
          <w:szCs w:val="21"/>
          <w:highlight w:val="none"/>
        </w:rPr>
        <w:t>投标人或其母公司（或其上级机构）近3年内入选由国家扶贫办评定的企业精准扶贫50佳案例清单的，得1分。（投标人须提供相关证明材料且加盖公章）</w:t>
      </w:r>
    </w:p>
    <w:p>
      <w:pPr>
        <w:pStyle w:val="22"/>
        <w:spacing w:line="400" w:lineRule="exact"/>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lang w:val="en-US" w:eastAsia="zh-CN"/>
        </w:rPr>
        <w:t>6</w:t>
      </w:r>
      <w:r>
        <w:rPr>
          <w:rFonts w:hint="eastAsia" w:asciiTheme="minorEastAsia" w:hAnsiTheme="minorEastAsia" w:eastAsiaTheme="minorEastAsia" w:cstheme="minorEastAsia"/>
          <w:b/>
          <w:color w:val="auto"/>
          <w:sz w:val="21"/>
          <w:highlight w:val="none"/>
        </w:rPr>
        <w:t>、政策功能分（所提供的产品含有以下内容）…………………………………………6分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（1）投标人或投标产品生产厂商具备中国网络安全审查技术与认证中心颁发的信息安全服务资质-安全运维类（一级为最高级），一级得1分，二级得0.5分，需提供证书复印件；（满分1分）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（2）投标人或投标产品生产厂商具备中国信息安全测评中心颁发的信息安全服务资质-安全工程类（三级为最高级），三级得1分，二级得0.5分，需提供证书复印件；（满分1分）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（3）投标人或投标产品生产厂商具备中国信息安全测评中心颁发的信息安全服务资质-云计算安全类一级，得1分，需提供证书复印件；（满分1分）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（4）投标人或投标产品生产厂商属于信息安全等级保护关键技术国家工程实验室共建单位，得1分，需提供证明材料；（满分1分）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（5）投标人或投标产品生产厂商属于应用安全联盟会员，得1分，需提供证明材料；（满分1分）</w:t>
      </w:r>
    </w:p>
    <w:p>
      <w:pPr>
        <w:autoSpaceDE w:val="0"/>
        <w:autoSpaceDN w:val="0"/>
        <w:spacing w:line="400" w:lineRule="exact"/>
        <w:ind w:firstLine="210" w:firstLineChars="10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（6）投标人或投标产品生产厂商2019年以来在国家信息安全漏洞共享平台（CNVD漏洞库）漏洞平台上提供过至少40000条安全漏洞，得1分。提供过至少20000条安全漏洞，得0.5分，需提供证明材料；（满分1分）</w:t>
      </w:r>
    </w:p>
    <w:p>
      <w:pPr>
        <w:pStyle w:val="22"/>
        <w:spacing w:line="400" w:lineRule="exact"/>
        <w:ind w:right="1" w:firstLine="410" w:firstLineChars="202"/>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pacing w:val="-4"/>
          <w:sz w:val="21"/>
          <w:szCs w:val="21"/>
          <w:highlight w:val="none"/>
        </w:rPr>
        <w:t>（三）总得分=1+2+3+4+5+6。</w:t>
      </w:r>
    </w:p>
    <w:p>
      <w:pPr>
        <w:pStyle w:val="22"/>
        <w:spacing w:line="340" w:lineRule="exact"/>
        <w:ind w:firstLine="464" w:firstLineChars="22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三、中标候选人推荐原则</w:t>
      </w:r>
    </w:p>
    <w:p>
      <w:pPr>
        <w:pStyle w:val="22"/>
        <w:spacing w:before="120" w:after="120" w:line="420" w:lineRule="exact"/>
        <w:ind w:firstLine="422" w:firstLineChars="2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评标委员会按照评标总得分由高到低顺序排列（投标人得分相同的，按投标报价由低到高顺序排列，得分且投标报价相同的，按技术指标优劣顺序排列）</w:t>
      </w:r>
      <w:r>
        <w:rPr>
          <w:rFonts w:hint="eastAsia" w:asciiTheme="minorEastAsia" w:hAnsiTheme="minorEastAsia" w:eastAsiaTheme="minorEastAsia" w:cstheme="minorEastAsia"/>
          <w:b/>
          <w:bCs/>
          <w:color w:val="auto"/>
          <w:sz w:val="21"/>
          <w:highlight w:val="none"/>
        </w:rPr>
        <w:t>并推荐3名中标候选人</w:t>
      </w:r>
      <w:r>
        <w:rPr>
          <w:rFonts w:hint="eastAsia" w:asciiTheme="minorEastAsia" w:hAnsiTheme="minorEastAsia" w:eastAsiaTheme="minorEastAsia" w:cstheme="minorEastAsia"/>
          <w:b/>
          <w:color w:val="auto"/>
          <w:sz w:val="21"/>
          <w:highlight w:val="none"/>
        </w:rPr>
        <w:t>。排名第一的中标候选人被确认为中标人。排名第一的中标人放弃中标、因不可抗力提出不能履行合同，或者招标文件规定应当提交履约保证金而在规定的期限内未能提交的，采购人可以确定排名第二的中标候选人为中标人。其余以此类推。</w:t>
      </w:r>
    </w:p>
    <w:bookmarkEnd w:id="101"/>
    <w:bookmarkEnd w:id="102"/>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pStyle w:val="2"/>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pStyle w:val="6"/>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第五章  政府采购合同及主要条款格式</w:t>
      </w:r>
    </w:p>
    <w:p>
      <w:pPr>
        <w:rPr>
          <w:rFonts w:hint="eastAsia" w:asciiTheme="minorEastAsia" w:hAnsiTheme="minorEastAsia" w:eastAsiaTheme="minorEastAsia" w:cstheme="minorEastAsia"/>
          <w:color w:val="auto"/>
          <w:szCs w:val="21"/>
          <w:highlight w:val="none"/>
        </w:rPr>
      </w:pPr>
    </w:p>
    <w:p>
      <w:pPr>
        <w:snapToGrid w:val="0"/>
        <w:spacing w:line="400" w:lineRule="exact"/>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《广西壮族自治区政府采购合同》</w:t>
      </w:r>
    </w:p>
    <w:p>
      <w:pPr>
        <w:snapToGrid w:val="0"/>
        <w:spacing w:line="400" w:lineRule="exact"/>
        <w:ind w:right="480" w:firstLine="5250" w:firstLineChars="2500"/>
        <w:rPr>
          <w:rFonts w:hint="eastAsia" w:asciiTheme="minorEastAsia" w:hAnsiTheme="minorEastAsia" w:eastAsiaTheme="minorEastAsia" w:cstheme="minorEastAsia"/>
          <w:color w:val="auto"/>
          <w:kern w:val="0"/>
          <w:sz w:val="21"/>
          <w:szCs w:val="21"/>
          <w:highlight w:val="none"/>
        </w:rPr>
      </w:pPr>
    </w:p>
    <w:p>
      <w:pPr>
        <w:snapToGrid w:val="0"/>
        <w:spacing w:line="400" w:lineRule="exact"/>
        <w:ind w:right="480" w:firstLine="5250" w:firstLineChars="2500"/>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rPr>
        <w:t>合同编号：</w:t>
      </w:r>
    </w:p>
    <w:p>
      <w:pPr>
        <w:snapToGrid w:val="0"/>
        <w:spacing w:line="40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采购单位（甲方）</w:t>
      </w:r>
      <w:r>
        <w:rPr>
          <w:rFonts w:hint="eastAsia" w:asciiTheme="minorEastAsia" w:hAnsiTheme="minorEastAsia" w:eastAsiaTheme="minorEastAsia" w:cstheme="minorEastAsia"/>
          <w:color w:val="auto"/>
          <w:spacing w:val="-20"/>
          <w:szCs w:val="21"/>
          <w:highlight w:val="none"/>
        </w:rPr>
        <w:t>采 购 计 划 号</w:t>
      </w:r>
    </w:p>
    <w:p>
      <w:pPr>
        <w:snapToGrid w:val="0"/>
        <w:spacing w:line="40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供 应 商（乙方）</w:t>
      </w:r>
      <w:r>
        <w:rPr>
          <w:rFonts w:hint="eastAsia" w:asciiTheme="minorEastAsia" w:hAnsiTheme="minorEastAsia" w:eastAsiaTheme="minorEastAsia" w:cstheme="minorEastAsia"/>
          <w:color w:val="auto"/>
          <w:spacing w:val="-20"/>
          <w:szCs w:val="21"/>
          <w:highlight w:val="none"/>
        </w:rPr>
        <w:t>招  标  编  号</w:t>
      </w:r>
    </w:p>
    <w:p>
      <w:pPr>
        <w:snapToGrid w:val="0"/>
        <w:spacing w:line="40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签  订  地  点    签 订 时 间</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根据《中华人民共和国政府采购法》、《中华人民共和国合同法》等法律、法规规定，按照招投标文件（采购文件）规定条款和中标（成交）供应商承诺，甲乙双方签订本合同。</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第一条　合同标的</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1、供货一览表</w:t>
      </w:r>
    </w:p>
    <w:tbl>
      <w:tblPr>
        <w:tblStyle w:val="3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产品名称</w:t>
            </w:r>
          </w:p>
        </w:tc>
        <w:tc>
          <w:tcPr>
            <w:tcW w:w="105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商标品牌</w:t>
            </w: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规格型号</w:t>
            </w:r>
          </w:p>
        </w:tc>
        <w:tc>
          <w:tcPr>
            <w:tcW w:w="1210"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生产厂家</w:t>
            </w:r>
          </w:p>
        </w:tc>
        <w:tc>
          <w:tcPr>
            <w:tcW w:w="908"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  量</w:t>
            </w:r>
          </w:p>
        </w:tc>
        <w:tc>
          <w:tcPr>
            <w:tcW w:w="668"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w:t>
            </w:r>
          </w:p>
        </w:tc>
        <w:tc>
          <w:tcPr>
            <w:tcW w:w="947"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  价</w:t>
            </w:r>
          </w:p>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（元）</w:t>
            </w:r>
          </w:p>
        </w:tc>
        <w:tc>
          <w:tcPr>
            <w:tcW w:w="157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金  额</w:t>
            </w:r>
          </w:p>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57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57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059"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23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210"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908"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668" w:type="dxa"/>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947"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c>
          <w:tcPr>
            <w:tcW w:w="1573" w:type="dxa"/>
            <w:vAlign w:val="center"/>
          </w:tcPr>
          <w:p>
            <w:pPr>
              <w:snapToGrid w:val="0"/>
              <w:spacing w:line="400" w:lineRule="exact"/>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人民币合计金额：</w:t>
            </w:r>
          </w:p>
        </w:tc>
      </w:tr>
    </w:tbl>
    <w:p>
      <w:pPr>
        <w:spacing w:line="3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合同合计金额包含设备费、随配附件、辅助材料、工具、装卸费、保险费、税费，安装费、运输费、调试、验收费用和售后服务等其他所有成本费用的总和。（货物价格不包含建设过程中如有产生的行政事业性的赔补费用，现场施工应按市政施工办理，一切相关的行政事业性收费，系统前端供电接入及系统所使用的电费由防城港市公安局责协调解决。）如招投标文件对其另有规定的，从其规定。</w:t>
      </w:r>
    </w:p>
    <w:p>
      <w:pPr>
        <w:snapToGrid w:val="0"/>
        <w:spacing w:line="40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第二条　质量保证</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1、乙方所提供的货物型号、技术规格、技术参数等质量必须与招投标文件和承诺相一致。乙方提供的自主创新产品、节能和环保产品必须是列入政府采购清单的产品。</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2、乙方所提供的货物必须是全新、未使用的原装产品，且在正常安装、使用和保养条件下，其使用寿命期内各项指标均达到质量要求。</w:t>
      </w:r>
    </w:p>
    <w:p>
      <w:pPr>
        <w:snapToGrid w:val="0"/>
        <w:spacing w:line="40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第三条　权利保证</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乙方应保证所提供货物在使用时不会侵犯任何第三方的专利权、商标权、工业设计权或其他权利。</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乙方应按招标文件规定的时间向甲方提供使用货物的有关技术资料。</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乙方保证所交付的货物的所有权完全属于乙方且无任何抵押、质押、查封等产权瑕疵。</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第四条　包装和运输</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1、乙方提供的货物均应按招投标文件要求的包装材料、包装标准、包装方式进行包装，每一包装单元内应附详细的装箱单和质量合格证。</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2、货物的运输方式：。</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3、乙方负责货物运输，货物运输合理损耗及计算方法：。</w:t>
      </w:r>
    </w:p>
    <w:p>
      <w:pPr>
        <w:snapToGrid w:val="0"/>
        <w:spacing w:line="40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第五条　交付和验收</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1、交货时间及地点：。</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2、乙方提供不符合招投标文件和本合同规定的货物，甲方有权拒绝接受。</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甲方应当在到货且乙方安装、调试完成书面通知甲方验收后的七个工作日内进行验收，逾期不验收的，乙方可视同验收合格，验收合格之日视为交付甲方之日。验收合格后由甲乙双方签署货物验收单并加盖采购单位公章，甲乙双方各执一份。</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6、甲方对验收有异议的，在验收后十个工作日内以书面形式向乙方提出，乙方应自收到甲方书面异议后日内及时予以解决。</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第六条　安装和培训</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1、甲方应提供必要安装条件（如场地、电源、水源等）。</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2、乙方负责甲方有关人员的培训。培训时间、地点：</w:t>
      </w:r>
      <w:r>
        <w:rPr>
          <w:rFonts w:hint="eastAsia" w:asciiTheme="minorEastAsia" w:hAnsiTheme="minorEastAsia" w:eastAsiaTheme="minorEastAsia" w:cstheme="minorEastAsia"/>
          <w:color w:val="auto"/>
          <w:szCs w:val="21"/>
          <w:highlight w:val="none"/>
          <w:u w:val="single"/>
        </w:rPr>
        <w:t xml:space="preserve">                 。</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第七条  售后服务、质保期</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1、乙方应按照国家有关法律法规和“三包”规定以及招投标文件和本合同所附的《服务承诺》，为甲方提供售后服务。</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2、货物质保期：</w:t>
      </w:r>
      <w:r>
        <w:rPr>
          <w:rFonts w:hint="eastAsia" w:asciiTheme="minorEastAsia" w:hAnsiTheme="minorEastAsia" w:eastAsiaTheme="minorEastAsia" w:cstheme="minorEastAsia"/>
          <w:color w:val="auto"/>
          <w:szCs w:val="21"/>
          <w:highlight w:val="none"/>
          <w:u w:val="single"/>
        </w:rPr>
        <w:t>验收合格之日起  年，货物和设备使用说明规定质保期长于一年的，以该说明为准 。</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3、乙方提供的服务承诺和售后服务及保修期责任等其它具体约定事项。（见合同附件）</w:t>
      </w:r>
    </w:p>
    <w:p>
      <w:pPr>
        <w:snapToGrid w:val="0"/>
        <w:spacing w:line="40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第八条　付款方式和保证金</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Cs/>
          <w:color w:val="auto"/>
          <w:sz w:val="21"/>
          <w:highlight w:val="none"/>
        </w:rPr>
        <w:t>1、</w:t>
      </w:r>
      <w:r>
        <w:rPr>
          <w:rFonts w:hint="eastAsia" w:asciiTheme="minorEastAsia" w:hAnsiTheme="minorEastAsia" w:eastAsiaTheme="minorEastAsia" w:cstheme="minorEastAsia"/>
          <w:color w:val="auto"/>
          <w:sz w:val="21"/>
          <w:highlight w:val="none"/>
        </w:rPr>
        <w:t>当采购数量与实际使用数量不一致时，乙方应根据实际使用量供货，合同的最终结算金额按实际使用量乘以成交单价进行计算。</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2、资金性质：</w:t>
      </w:r>
      <w:r>
        <w:rPr>
          <w:rFonts w:hint="eastAsia" w:asciiTheme="minorEastAsia" w:hAnsiTheme="minorEastAsia" w:eastAsiaTheme="minorEastAsia" w:cstheme="minorEastAsia"/>
          <w:color w:val="auto"/>
          <w:szCs w:val="21"/>
          <w:highlight w:val="none"/>
          <w:u w:val="single"/>
        </w:rPr>
        <w:t xml:space="preserve">  财政性资金  。</w:t>
      </w:r>
    </w:p>
    <w:p>
      <w:pPr>
        <w:snapToGrid w:val="0"/>
        <w:spacing w:line="400" w:lineRule="exact"/>
        <w:ind w:left="-61" w:leftChars="-29" w:firstLine="514" w:firstLineChars="245"/>
        <w:rPr>
          <w:rFonts w:hint="eastAsia" w:asciiTheme="minorEastAsia" w:hAnsiTheme="minorEastAsia" w:eastAsiaTheme="minorEastAsia" w:cstheme="minorEastAsia"/>
          <w:color w:val="auto"/>
          <w:szCs w:val="21"/>
          <w:highlight w:val="none"/>
          <w:shd w:val="clear" w:color="auto" w:fill="FFFFFF"/>
        </w:rPr>
      </w:pPr>
      <w:r>
        <w:rPr>
          <w:rFonts w:hint="eastAsia" w:asciiTheme="minorEastAsia" w:hAnsiTheme="minorEastAsia" w:eastAsiaTheme="minorEastAsia" w:cstheme="minorEastAsia"/>
          <w:color w:val="auto"/>
          <w:szCs w:val="21"/>
          <w:highlight w:val="none"/>
        </w:rPr>
        <w:t>3、付款方式：签订中标合同后，</w:t>
      </w:r>
      <w:r>
        <w:rPr>
          <w:rFonts w:hint="eastAsia" w:asciiTheme="minorEastAsia" w:hAnsiTheme="minorEastAsia" w:eastAsiaTheme="minorEastAsia" w:cstheme="minorEastAsia"/>
          <w:color w:val="auto"/>
          <w:szCs w:val="21"/>
          <w:highlight w:val="none"/>
          <w:lang w:val="en-US" w:eastAsia="zh-CN"/>
        </w:rPr>
        <w:t>中标方与采购方签订到货书，</w:t>
      </w:r>
      <w:r>
        <w:rPr>
          <w:rFonts w:hint="eastAsia" w:asciiTheme="minorEastAsia" w:hAnsiTheme="minorEastAsia" w:eastAsiaTheme="minorEastAsia" w:cstheme="minorEastAsia"/>
          <w:color w:val="auto"/>
          <w:szCs w:val="21"/>
          <w:highlight w:val="none"/>
        </w:rPr>
        <w:t>中标方开具有效发票给采购方后</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采购方</w:t>
      </w:r>
      <w:r>
        <w:rPr>
          <w:rFonts w:hint="eastAsia" w:asciiTheme="minorEastAsia" w:hAnsiTheme="minorEastAsia" w:eastAsiaTheme="minorEastAsia" w:cstheme="minorEastAsia"/>
          <w:color w:val="auto"/>
          <w:szCs w:val="21"/>
          <w:highlight w:val="none"/>
          <w:lang w:val="en-US" w:eastAsia="zh-CN"/>
        </w:rPr>
        <w:t>30个工作日内支付合同总金额的30%作为预付款</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设备安装调试通过验收后，中标方开具有效发票给采购方后，采购方30个工作日内支付至合同总额的95%，质保期满后30个工作日内支付合同总额的5%（不计利息）。</w:t>
      </w:r>
    </w:p>
    <w:p>
      <w:pPr>
        <w:snapToGrid w:val="0"/>
        <w:spacing w:line="400" w:lineRule="exact"/>
        <w:ind w:left="-61" w:leftChars="-29" w:firstLine="517" w:firstLineChars="245"/>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第九条　质量保证金</w:t>
      </w:r>
    </w:p>
    <w:p>
      <w:pPr>
        <w:snapToGrid w:val="0"/>
        <w:spacing w:line="400" w:lineRule="exact"/>
        <w:ind w:left="-61" w:firstLine="514"/>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甲方按合同总额 5% 预留质量保修金，待质保期满后返还。</w:t>
      </w:r>
    </w:p>
    <w:p>
      <w:pPr>
        <w:snapToGrid w:val="0"/>
        <w:spacing w:line="400" w:lineRule="exact"/>
        <w:ind w:left="-61" w:firstLine="514"/>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第十条  税费</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本合同执行中相关的一切税费均由乙方负担。</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第十一条  质量保证及售后服务</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 乙方应按招标文件规定的货物性能、技术要求、质量标准向甲方提供未经使用的全新产品。不符合要求的，根据实际情况，经双方协商，可按以下办法处理：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⑴更换：由乙方承担所发生的全部费用。</w:t>
      </w:r>
    </w:p>
    <w:p>
      <w:pPr>
        <w:pStyle w:val="22"/>
        <w:snapToGrid w:val="0"/>
        <w:spacing w:line="400" w:lineRule="exact"/>
        <w:ind w:firstLine="42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⑵贬值处理：由甲乙双方合议定价。</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⑶退货处理：乙方应退还甲方支付的合同款，同时应承担该货物的直接费用（运输、保险、检验、</w:t>
      </w:r>
    </w:p>
    <w:p>
      <w:pPr>
        <w:pStyle w:val="22"/>
        <w:snapToGrid w:val="0"/>
        <w:spacing w:line="400"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货款利息及银行手续费等）。</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 如在使用过程中发生质量问题，乙方在接到甲方通知后在</w:t>
      </w:r>
      <w:r>
        <w:rPr>
          <w:rFonts w:hint="eastAsia" w:asciiTheme="minorEastAsia" w:hAnsiTheme="minorEastAsia" w:eastAsiaTheme="minorEastAsia" w:cstheme="minorEastAsia"/>
          <w:color w:val="auto"/>
          <w:sz w:val="21"/>
          <w:highlight w:val="none"/>
          <w:u w:val="single"/>
        </w:rPr>
        <w:t xml:space="preserve"> 乙方售后服务承诺   </w:t>
      </w:r>
      <w:r>
        <w:rPr>
          <w:rFonts w:hint="eastAsia" w:asciiTheme="minorEastAsia" w:hAnsiTheme="minorEastAsia" w:eastAsiaTheme="minorEastAsia" w:cstheme="minorEastAsia"/>
          <w:color w:val="auto"/>
          <w:sz w:val="21"/>
          <w:highlight w:val="none"/>
        </w:rPr>
        <w:t>小时内到达甲方现场处理。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 在质保期内，乙方应对货物出现的质量及安全问题负责处理解决并承担一切费用。</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 上述的货物质保期按</w:t>
      </w:r>
      <w:r>
        <w:rPr>
          <w:rFonts w:hint="eastAsia" w:asciiTheme="minorEastAsia" w:hAnsiTheme="minorEastAsia" w:eastAsiaTheme="minorEastAsia" w:cstheme="minorEastAsia"/>
          <w:color w:val="auto"/>
          <w:szCs w:val="21"/>
          <w:highlight w:val="none"/>
          <w:u w:val="single"/>
        </w:rPr>
        <w:t>《商务响应表》承诺</w:t>
      </w:r>
      <w:r>
        <w:rPr>
          <w:rFonts w:hint="eastAsia" w:asciiTheme="minorEastAsia" w:hAnsiTheme="minorEastAsia" w:eastAsiaTheme="minorEastAsia" w:cstheme="minorEastAsia"/>
          <w:color w:val="auto"/>
          <w:szCs w:val="21"/>
          <w:highlight w:val="none"/>
        </w:rPr>
        <w:t>，因人为因素出现的故障不在免费保修范围内。超过保修期的机器设备，终身维修，维修时只收部件成本费。</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第十二条  调试和验收</w:t>
      </w:r>
    </w:p>
    <w:p>
      <w:pPr>
        <w:pStyle w:val="22"/>
        <w:snapToGrid w:val="0"/>
        <w:spacing w:line="400" w:lineRule="exact"/>
        <w:ind w:firstLine="420" w:firstLineChars="200"/>
        <w:jc w:val="lef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 乙方交货前应对产品作出全面检查和对验收文件进行整理，并列出清单，作为甲方收货验收和使用的技术条件依据，检验的结果应随货物交甲方。</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 甲方对乙方提供的货物在使用前进行调试时，乙方需负责安装并培训甲方的使用操作人员，并协助甲方一起调试，直到符合技术要求，甲方才做最终验收。</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 对技术复杂的货物，甲方应请国家认可的专业检测机构参与初步验收及最终验收，并由其出具质量检测报告。</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 验收时乙方必须在现场，验收完毕后作出验收结果报告；验收费用由乙方负责。</w:t>
      </w:r>
    </w:p>
    <w:p>
      <w:pPr>
        <w:pStyle w:val="22"/>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第十三条  货物包装、发运及运输</w:t>
      </w:r>
    </w:p>
    <w:p>
      <w:pPr>
        <w:snapToGrid w:val="0"/>
        <w:spacing w:line="400" w:lineRule="exact"/>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 乙方应在货物发运前对其进行满足运输距离、防潮、防震、防锈和防破损装卸等要求包装，以保证货物安全运达甲方指定地点。</w:t>
      </w:r>
    </w:p>
    <w:p>
      <w:pPr>
        <w:snapToGrid w:val="0"/>
        <w:spacing w:line="400" w:lineRule="exact"/>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使用说明书（货物属于进口产品的，供货时应同时附上中文使用说明书）、质量检验证明书、随配附件和工具以及清单一并附于货物内。</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 乙方在货物发运手续办理完毕后二十四小时内或货到甲方四十八小时前通知甲方，以准备接货。</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4. 货物在验收合格并交付甲方前发生的风险均由乙方负责。</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 货</w:t>
      </w:r>
      <w:r>
        <w:rPr>
          <w:rFonts w:hint="eastAsia" w:asciiTheme="minorEastAsia" w:hAnsiTheme="minorEastAsia" w:eastAsiaTheme="minorEastAsia" w:cstheme="minorEastAsia"/>
          <w:color w:val="auto"/>
          <w:spacing w:val="-8"/>
          <w:szCs w:val="21"/>
          <w:highlight w:val="none"/>
        </w:rPr>
        <w:t>物在规定的交付期限内由乙方送达甲方指定的地点视为交付，乙方同时需通知甲方货物已送达。</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第十四条　违约责任</w:t>
      </w:r>
    </w:p>
    <w:p>
      <w:pPr>
        <w:snapToGrid w:val="0"/>
        <w:spacing w:line="400" w:lineRule="exact"/>
        <w:ind w:firstLine="525" w:firstLineChars="2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472" w:firstLineChars="22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2、乙方提供的货物如侵犯了第三方合法权益而引发的任何纠纷或诉讼，均由乙方负责交涉并承担全部责任。</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3、因包装、运输引起的货物损坏，乙方应负责换货或退货。</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4、甲方无故延期接收货物、乙方逾期交货的，每天向对方偿付违约货款额</w:t>
      </w:r>
      <w:r>
        <w:rPr>
          <w:rFonts w:hint="eastAsia" w:asciiTheme="minorEastAsia" w:hAnsiTheme="minorEastAsia" w:eastAsiaTheme="minorEastAsia" w:cstheme="minorEastAsia"/>
          <w:color w:val="auto"/>
          <w:szCs w:val="21"/>
          <w:highlight w:val="none"/>
          <w:u w:val="single"/>
        </w:rPr>
        <w:t>3‰</w:t>
      </w:r>
      <w:r>
        <w:rPr>
          <w:rFonts w:hint="eastAsia" w:asciiTheme="minorEastAsia" w:hAnsiTheme="minorEastAsia" w:eastAsiaTheme="minorEastAsia" w:cstheme="minorEastAsia"/>
          <w:color w:val="auto"/>
          <w:szCs w:val="21"/>
          <w:highlight w:val="none"/>
        </w:rPr>
        <w:t>违约金，但违约金累计不得超过违约货款额</w:t>
      </w:r>
      <w:r>
        <w:rPr>
          <w:rFonts w:hint="eastAsia" w:asciiTheme="minorEastAsia" w:hAnsiTheme="minorEastAsia" w:eastAsiaTheme="minorEastAsia" w:cstheme="minorEastAsia"/>
          <w:color w:val="auto"/>
          <w:szCs w:val="21"/>
          <w:highlight w:val="none"/>
          <w:u w:val="single"/>
        </w:rPr>
        <w:t>5%</w:t>
      </w:r>
      <w:r>
        <w:rPr>
          <w:rFonts w:hint="eastAsia" w:asciiTheme="minorEastAsia" w:hAnsiTheme="minorEastAsia" w:eastAsiaTheme="minorEastAsia" w:cstheme="minorEastAsia"/>
          <w:color w:val="auto"/>
          <w:szCs w:val="21"/>
          <w:highlight w:val="none"/>
        </w:rPr>
        <w:t>，超过</w:t>
      </w:r>
      <w:r>
        <w:rPr>
          <w:rFonts w:hint="eastAsia" w:asciiTheme="minorEastAsia" w:hAnsiTheme="minorEastAsia" w:eastAsiaTheme="minorEastAsia" w:cstheme="minorEastAsia"/>
          <w:color w:val="auto"/>
          <w:szCs w:val="21"/>
          <w:highlight w:val="none"/>
          <w:u w:val="single"/>
        </w:rPr>
        <w:t xml:space="preserve"> 15 </w:t>
      </w:r>
      <w:r>
        <w:rPr>
          <w:rFonts w:hint="eastAsia" w:asciiTheme="minorEastAsia" w:hAnsiTheme="minorEastAsia" w:eastAsiaTheme="minorEastAsia" w:cstheme="minorEastAsia"/>
          <w:color w:val="auto"/>
          <w:szCs w:val="21"/>
          <w:highlight w:val="none"/>
        </w:rPr>
        <w:t>天对方有权解除合同，违约方承担因此给对方造成经济损失；甲方延期付货款的，每天向乙方偿付延期货款额</w:t>
      </w:r>
      <w:r>
        <w:rPr>
          <w:rFonts w:hint="eastAsia" w:asciiTheme="minorEastAsia" w:hAnsiTheme="minorEastAsia" w:eastAsiaTheme="minorEastAsia" w:cstheme="minorEastAsia"/>
          <w:color w:val="auto"/>
          <w:szCs w:val="21"/>
          <w:highlight w:val="none"/>
          <w:u w:val="single"/>
        </w:rPr>
        <w:t>3‰</w:t>
      </w:r>
      <w:r>
        <w:rPr>
          <w:rFonts w:hint="eastAsia" w:asciiTheme="minorEastAsia" w:hAnsiTheme="minorEastAsia" w:eastAsiaTheme="minorEastAsia" w:cstheme="minorEastAsia"/>
          <w:color w:val="auto"/>
          <w:szCs w:val="21"/>
          <w:highlight w:val="none"/>
        </w:rPr>
        <w:t>滞纳金，但滞纳金累计不得超过延期货款额</w:t>
      </w:r>
      <w:r>
        <w:rPr>
          <w:rFonts w:hint="eastAsia" w:asciiTheme="minorEastAsia" w:hAnsiTheme="minorEastAsia" w:eastAsiaTheme="minorEastAsia" w:cstheme="minorEastAsia"/>
          <w:color w:val="auto"/>
          <w:szCs w:val="21"/>
          <w:highlight w:val="none"/>
          <w:u w:val="single"/>
        </w:rPr>
        <w:t>5%</w:t>
      </w:r>
      <w:r>
        <w:rPr>
          <w:rFonts w:hint="eastAsia" w:asciiTheme="minorEastAsia" w:hAnsiTheme="minorEastAsia" w:eastAsiaTheme="minorEastAsia" w:cstheme="minorEastAsia"/>
          <w:color w:val="auto"/>
          <w:szCs w:val="21"/>
          <w:highlight w:val="none"/>
        </w:rPr>
        <w:t>。</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5、乙方未按本合同和投标文件中规定的服务承诺提供售后服务的，乙方应按本合同合计金额</w:t>
      </w:r>
      <w:r>
        <w:rPr>
          <w:rFonts w:hint="eastAsia" w:asciiTheme="minorEastAsia" w:hAnsiTheme="minorEastAsia" w:eastAsiaTheme="minorEastAsia" w:cstheme="minorEastAsia"/>
          <w:color w:val="auto"/>
          <w:szCs w:val="21"/>
          <w:highlight w:val="none"/>
          <w:u w:val="single"/>
        </w:rPr>
        <w:t xml:space="preserve"> 5%</w:t>
      </w:r>
      <w:r>
        <w:rPr>
          <w:rFonts w:hint="eastAsia" w:asciiTheme="minorEastAsia" w:hAnsiTheme="minorEastAsia" w:eastAsiaTheme="minorEastAsia" w:cstheme="minorEastAsia"/>
          <w:color w:val="auto"/>
          <w:szCs w:val="21"/>
          <w:highlight w:val="none"/>
        </w:rPr>
        <w:t>向甲方支付违约金。</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6、乙方提供的货物在质量保证期内，因设计、工艺或材料的缺陷和其它质量原因造成的问题，由乙方负责，费用从质量保证金中扣除，不足另补。</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7、其它违约行为按违约货款额5%收取违约金并赔偿经济损失。</w:t>
      </w:r>
    </w:p>
    <w:p>
      <w:pPr>
        <w:pStyle w:val="22"/>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第十五条  不可抗力事件处理</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 在合同有效期内，任何一方因不可抗力事件导致不能履行合同，则合同履行期可延长，其延长期与不可抗力影响期相同。</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 不可抗力事件发生后，应立即通知对方，并寄送有关权威机构出具的证明。</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 不可抗力事件延续一百二十天以上，双方应通过友好协商，确定是否继续履行合同。</w:t>
      </w:r>
    </w:p>
    <w:p>
      <w:pPr>
        <w:snapToGrid w:val="0"/>
        <w:spacing w:line="40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第十六条  合同争议解决</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2、因履行本合同引起的或与本合同有关的争议，甲乙双方应首先通过友好协商解决，如果协商不能解决，可向防城港仲裁委员会提起仲裁。</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3、诉讼或仲裁期间，本合同继续履行。</w:t>
      </w:r>
    </w:p>
    <w:p>
      <w:pPr>
        <w:pStyle w:val="22"/>
        <w:snapToGrid w:val="0"/>
        <w:spacing w:line="400" w:lineRule="exact"/>
        <w:ind w:firstLine="413" w:firstLineChars="196"/>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第十七条  合同生效及其它</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 合同经双方法定代表人（负责人）或被授权代表签字并加盖单位公章后生效。</w:t>
      </w:r>
    </w:p>
    <w:p>
      <w:pPr>
        <w:pStyle w:val="22"/>
        <w:snapToGrid w:val="0"/>
        <w:spacing w:line="40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2.合同执行中涉及采购资金和采购内容修改或补充的，须经财政部门审批，并签书面补充协议报财政部门备案，方可作为主合同不可分割的一部分。</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3.本合同未尽事宜，遵照《合同法》有关条文执行。</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第十八条　合同的变更、终止与转让</w:t>
      </w:r>
    </w:p>
    <w:p>
      <w:pPr>
        <w:snapToGrid w:val="0"/>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1、除《中华人民共和国政府采购法》第五十条规定的情形外，本合同一经签订，甲乙双方不得擅自变更、中止或终止。</w:t>
      </w:r>
    </w:p>
    <w:p>
      <w:pPr>
        <w:snapToGrid w:val="0"/>
        <w:spacing w:line="400" w:lineRule="exact"/>
        <w:ind w:left="-61" w:firstLine="514"/>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2、乙方不得擅自转让（无进口资格的供应商委托进口货物除外）其应履行的合同义务。</w:t>
      </w:r>
    </w:p>
    <w:p>
      <w:pPr>
        <w:snapToGrid w:val="0"/>
        <w:spacing w:line="400" w:lineRule="exact"/>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第十九条　签订本合同依据</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1、政府采购招标文件；</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2、乙方提供的采购投标（或应答）文件；</w:t>
      </w:r>
    </w:p>
    <w:p>
      <w:pPr>
        <w:pStyle w:val="22"/>
        <w:snapToGrid w:val="0"/>
        <w:spacing w:line="400" w:lineRule="exact"/>
        <w:ind w:left="420" w:left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3、投标承诺书；</w:t>
      </w:r>
    </w:p>
    <w:p>
      <w:pPr>
        <w:pStyle w:val="22"/>
        <w:snapToGrid w:val="0"/>
        <w:spacing w:line="400" w:lineRule="exact"/>
        <w:ind w:left="420" w:leftChars="20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color w:val="auto"/>
          <w:sz w:val="21"/>
          <w:highlight w:val="none"/>
        </w:rPr>
        <w:t>4、中标或成交通知书。</w:t>
      </w:r>
    </w:p>
    <w:p>
      <w:pPr>
        <w:snapToGrid w:val="0"/>
        <w:spacing w:line="400" w:lineRule="exact"/>
        <w:ind w:firstLine="422"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第二十条　</w:t>
      </w:r>
      <w:r>
        <w:rPr>
          <w:rFonts w:hint="eastAsia" w:asciiTheme="minorEastAsia" w:hAnsiTheme="minorEastAsia" w:eastAsiaTheme="minorEastAsia" w:cstheme="minorEastAsia"/>
          <w:color w:val="auto"/>
          <w:szCs w:val="21"/>
          <w:highlight w:val="none"/>
        </w:rPr>
        <w:t>本合同一式七份，具有同等法律效力，财政部门（政府采购监管部门）、市公共资源交易中心、采购代理机构各一份，甲乙双方各两份（可根据需要另增加），本合同甲乙双方签字盖章后生效。</w:t>
      </w:r>
    </w:p>
    <w:tbl>
      <w:tblPr>
        <w:tblStyle w:val="3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4"/>
        <w:gridCol w:w="4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甲方（章）           </w:t>
            </w:r>
          </w:p>
          <w:p>
            <w:pPr>
              <w:snapToGrid w:val="0"/>
              <w:spacing w:line="400" w:lineRule="exact"/>
              <w:rPr>
                <w:rFonts w:hint="eastAsia" w:asciiTheme="minorEastAsia" w:hAnsiTheme="minorEastAsia" w:eastAsiaTheme="minorEastAsia" w:cstheme="minorEastAsia"/>
                <w:color w:val="auto"/>
                <w:szCs w:val="21"/>
                <w:highlight w:val="none"/>
              </w:rPr>
            </w:pPr>
          </w:p>
          <w:p>
            <w:pPr>
              <w:snapToGrid w:val="0"/>
              <w:spacing w:line="400" w:lineRule="exact"/>
              <w:ind w:firstLine="945" w:firstLineChars="450"/>
              <w:jc w:val="righ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   月   日</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乙方（章）              </w:t>
            </w:r>
          </w:p>
          <w:p>
            <w:pPr>
              <w:snapToGrid w:val="0"/>
              <w:spacing w:line="400" w:lineRule="exact"/>
              <w:rPr>
                <w:rFonts w:hint="eastAsia" w:asciiTheme="minorEastAsia" w:hAnsiTheme="minorEastAsia" w:eastAsiaTheme="minorEastAsia" w:cstheme="minorEastAsia"/>
                <w:color w:val="auto"/>
                <w:szCs w:val="21"/>
                <w:highlight w:val="none"/>
              </w:rPr>
            </w:pPr>
          </w:p>
          <w:p>
            <w:pPr>
              <w:snapToGrid w:val="0"/>
              <w:spacing w:line="400" w:lineRule="exact"/>
              <w:jc w:val="righ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单位地址：</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法定代表人（负责人）：</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委托代理人：</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电子邮箱：</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账号：</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邮政编码：</w:t>
            </w:r>
          </w:p>
        </w:tc>
        <w:tc>
          <w:tcPr>
            <w:tcW w:w="4734" w:type="dxa"/>
            <w:vAlign w:val="center"/>
          </w:tcPr>
          <w:p>
            <w:pPr>
              <w:snapToGrid w:val="0"/>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邮政编码：</w:t>
            </w:r>
          </w:p>
        </w:tc>
      </w:tr>
    </w:tbl>
    <w:p>
      <w:pPr>
        <w:snapToGrid w:val="0"/>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Cs w:val="21"/>
          <w:highlight w:val="none"/>
        </w:rPr>
        <w:br w:type="page"/>
      </w:r>
      <w:r>
        <w:rPr>
          <w:rFonts w:hint="eastAsia" w:asciiTheme="minorEastAsia" w:hAnsiTheme="minorEastAsia" w:eastAsiaTheme="minorEastAsia" w:cstheme="minorEastAsia"/>
          <w:b/>
          <w:color w:val="auto"/>
          <w:sz w:val="21"/>
          <w:szCs w:val="21"/>
          <w:highlight w:val="none"/>
        </w:rPr>
        <w:t>合 同 附 件</w:t>
      </w:r>
    </w:p>
    <w:tbl>
      <w:tblPr>
        <w:tblStyle w:val="35"/>
        <w:tblW w:w="9108" w:type="dxa"/>
        <w:tblInd w:w="0" w:type="dxa"/>
        <w:tblLayout w:type="fixed"/>
        <w:tblCellMar>
          <w:top w:w="0" w:type="dxa"/>
          <w:left w:w="108" w:type="dxa"/>
          <w:bottom w:w="0" w:type="dxa"/>
          <w:right w:w="108" w:type="dxa"/>
        </w:tblCellMar>
      </w:tblPr>
      <w:tblGrid>
        <w:gridCol w:w="4554"/>
        <w:gridCol w:w="4554"/>
      </w:tblGrid>
      <w:tr>
        <w:tblPrEx>
          <w:tblCellMar>
            <w:top w:w="0" w:type="dxa"/>
            <w:left w:w="108" w:type="dxa"/>
            <w:bottom w:w="0" w:type="dxa"/>
            <w:right w:w="108" w:type="dxa"/>
          </w:tblCellMar>
        </w:tblPrEx>
        <w:trPr>
          <w:trHeight w:val="1226"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1、供应商承诺具体事项：</w:t>
            </w:r>
          </w:p>
        </w:tc>
      </w:tr>
      <w:tr>
        <w:tblPrEx>
          <w:tblCellMar>
            <w:top w:w="0" w:type="dxa"/>
            <w:left w:w="108" w:type="dxa"/>
            <w:bottom w:w="0" w:type="dxa"/>
            <w:right w:w="108" w:type="dxa"/>
          </w:tblCellMar>
        </w:tblPrEx>
        <w:trPr>
          <w:trHeight w:val="1228"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2、售后服务具体事项：</w:t>
            </w:r>
          </w:p>
        </w:tc>
      </w:tr>
      <w:tr>
        <w:tblPrEx>
          <w:tblCellMar>
            <w:top w:w="0" w:type="dxa"/>
            <w:left w:w="108" w:type="dxa"/>
            <w:bottom w:w="0" w:type="dxa"/>
            <w:right w:w="108" w:type="dxa"/>
          </w:tblCellMar>
        </w:tblPrEx>
        <w:trPr>
          <w:trHeight w:val="1088"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3、保修期责任：</w:t>
            </w:r>
          </w:p>
        </w:tc>
      </w:tr>
      <w:tr>
        <w:tblPrEx>
          <w:tblCellMar>
            <w:top w:w="0" w:type="dxa"/>
            <w:left w:w="108" w:type="dxa"/>
            <w:bottom w:w="0" w:type="dxa"/>
            <w:right w:w="108" w:type="dxa"/>
          </w:tblCellMar>
        </w:tblPrEx>
        <w:trPr>
          <w:trHeight w:val="1360" w:hRule="atLeast"/>
        </w:trPr>
        <w:tc>
          <w:tcPr>
            <w:tcW w:w="9108" w:type="dxa"/>
            <w:gridSpan w:val="2"/>
            <w:tcBorders>
              <w:top w:val="single" w:color="auto" w:sz="4" w:space="0"/>
              <w:left w:val="single" w:color="auto" w:sz="4" w:space="0"/>
              <w:right w:val="single" w:color="auto" w:sz="4" w:space="0"/>
            </w:tcBorders>
          </w:tcPr>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4、其他具体事项：</w:t>
            </w:r>
          </w:p>
        </w:tc>
      </w:tr>
      <w:tr>
        <w:tblPrEx>
          <w:tblCellMar>
            <w:top w:w="0" w:type="dxa"/>
            <w:left w:w="108" w:type="dxa"/>
            <w:bottom w:w="0" w:type="dxa"/>
            <w:right w:w="108" w:type="dxa"/>
          </w:tblCellMar>
        </w:tblPrEx>
        <w:trPr>
          <w:trHeight w:val="1703" w:hRule="atLeast"/>
        </w:trPr>
        <w:tc>
          <w:tcPr>
            <w:tcW w:w="45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甲方（章）</w:t>
            </w:r>
          </w:p>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p>
          <w:p>
            <w:pPr>
              <w:snapToGrid w:val="0"/>
              <w:spacing w:line="400" w:lineRule="exact"/>
              <w:rPr>
                <w:rFonts w:hint="eastAsia" w:asciiTheme="minorEastAsia" w:hAnsiTheme="minorEastAsia" w:eastAsiaTheme="minorEastAsia" w:cstheme="minorEastAsia"/>
                <w:b/>
                <w:color w:val="auto"/>
                <w:sz w:val="21"/>
                <w:szCs w:val="21"/>
                <w:highlight w:val="none"/>
              </w:rPr>
            </w:pPr>
          </w:p>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年   月   日 </w:t>
            </w:r>
          </w:p>
        </w:tc>
        <w:tc>
          <w:tcPr>
            <w:tcW w:w="45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乙方（章）</w:t>
            </w:r>
          </w:p>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p>
          <w:p>
            <w:pPr>
              <w:snapToGrid w:val="0"/>
              <w:spacing w:line="400" w:lineRule="exact"/>
              <w:rPr>
                <w:rFonts w:hint="eastAsia" w:asciiTheme="minorEastAsia" w:hAnsiTheme="minorEastAsia" w:eastAsiaTheme="minorEastAsia" w:cstheme="minorEastAsia"/>
                <w:b/>
                <w:color w:val="auto"/>
                <w:sz w:val="21"/>
                <w:szCs w:val="21"/>
                <w:highlight w:val="none"/>
              </w:rPr>
            </w:pPr>
          </w:p>
          <w:p>
            <w:pPr>
              <w:snapToGrid w:val="0"/>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年   月   日</w:t>
            </w:r>
          </w:p>
        </w:tc>
      </w:tr>
    </w:tbl>
    <w:p>
      <w:pPr>
        <w:snapToGrid w:val="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注：售后服务事项填不下时可另加附页</w:t>
      </w:r>
    </w:p>
    <w:p>
      <w:pPr>
        <w:pStyle w:val="6"/>
        <w:rPr>
          <w:rFonts w:hint="eastAsia" w:asciiTheme="minorEastAsia" w:hAnsiTheme="minorEastAsia" w:eastAsiaTheme="minorEastAsia" w:cstheme="minorEastAsia"/>
          <w:color w:val="auto"/>
          <w:sz w:val="21"/>
          <w:szCs w:val="21"/>
          <w:highlight w:val="none"/>
        </w:rPr>
      </w:pPr>
    </w:p>
    <w:p>
      <w:pPr>
        <w:pStyle w:val="6"/>
        <w:rPr>
          <w:rFonts w:hint="eastAsia" w:asciiTheme="minorEastAsia" w:hAnsiTheme="minorEastAsia" w:eastAsiaTheme="minorEastAsia" w:cstheme="minorEastAsia"/>
          <w:color w:val="auto"/>
          <w:sz w:val="21"/>
          <w:szCs w:val="21"/>
          <w:highlight w:val="none"/>
        </w:rPr>
      </w:pPr>
    </w:p>
    <w:p>
      <w:pPr>
        <w:pStyle w:val="6"/>
        <w:rPr>
          <w:rFonts w:hint="eastAsia" w:asciiTheme="minorEastAsia" w:hAnsiTheme="minorEastAsia" w:eastAsiaTheme="minorEastAsia" w:cstheme="minorEastAsia"/>
          <w:color w:val="auto"/>
          <w:sz w:val="21"/>
          <w:szCs w:val="21"/>
          <w:highlight w:val="none"/>
        </w:rPr>
      </w:pPr>
    </w:p>
    <w:p>
      <w:pPr>
        <w:pStyle w:val="6"/>
        <w:rPr>
          <w:rFonts w:hint="eastAsia" w:asciiTheme="minorEastAsia" w:hAnsiTheme="minorEastAsia" w:eastAsiaTheme="minorEastAsia" w:cstheme="minorEastAsia"/>
          <w:color w:val="auto"/>
          <w:sz w:val="21"/>
          <w:szCs w:val="21"/>
          <w:highlight w:val="none"/>
        </w:rPr>
      </w:pPr>
    </w:p>
    <w:p>
      <w:pPr>
        <w:pStyle w:val="6"/>
        <w:rPr>
          <w:rFonts w:hint="eastAsia" w:asciiTheme="minorEastAsia" w:hAnsiTheme="minorEastAsia" w:eastAsiaTheme="minorEastAsia" w:cstheme="minorEastAsia"/>
          <w:color w:val="auto"/>
          <w:sz w:val="21"/>
          <w:szCs w:val="21"/>
          <w:highlight w:val="none"/>
        </w:rPr>
      </w:pPr>
    </w:p>
    <w:p>
      <w:pPr>
        <w:pStyle w:val="6"/>
        <w:rPr>
          <w:rFonts w:hint="eastAsia" w:asciiTheme="minorEastAsia" w:hAnsiTheme="minorEastAsia" w:eastAsiaTheme="minorEastAsia" w:cstheme="minorEastAsia"/>
          <w:color w:val="auto"/>
          <w:sz w:val="21"/>
          <w:szCs w:val="21"/>
          <w:highlight w:val="none"/>
        </w:rPr>
      </w:pPr>
    </w:p>
    <w:p>
      <w:pPr>
        <w:pStyle w:val="6"/>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br w:type="textWrapping"/>
      </w:r>
    </w:p>
    <w:p>
      <w:pPr>
        <w:pStyle w:val="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br w:type="page"/>
      </w:r>
      <w:r>
        <w:rPr>
          <w:rFonts w:hint="eastAsia" w:asciiTheme="minorEastAsia" w:hAnsiTheme="minorEastAsia" w:eastAsiaTheme="minorEastAsia" w:cstheme="minorEastAsia"/>
          <w:color w:val="auto"/>
          <w:sz w:val="21"/>
          <w:szCs w:val="21"/>
          <w:highlight w:val="none"/>
        </w:rPr>
        <w:t>第六章　投标文件格式</w:t>
      </w:r>
    </w:p>
    <w:p>
      <w:pPr>
        <w:jc w:val="center"/>
        <w:rPr>
          <w:rFonts w:hint="eastAsia" w:asciiTheme="minorEastAsia" w:hAnsiTheme="minorEastAsia" w:eastAsiaTheme="minorEastAsia" w:cstheme="minorEastAsia"/>
          <w:color w:val="auto"/>
          <w:szCs w:val="21"/>
          <w:highlight w:val="none"/>
        </w:rPr>
      </w:pPr>
    </w:p>
    <w:p>
      <w:pPr>
        <w:pStyle w:val="22"/>
        <w:spacing w:line="380" w:lineRule="exact"/>
        <w:ind w:firstLine="420"/>
        <w:jc w:val="center"/>
        <w:rPr>
          <w:rFonts w:hint="eastAsia" w:asciiTheme="minorEastAsia" w:hAnsiTheme="minorEastAsia" w:eastAsiaTheme="minorEastAsia" w:cstheme="minorEastAsia"/>
          <w:b/>
          <w:color w:val="auto"/>
          <w:sz w:val="21"/>
          <w:highlight w:val="none"/>
        </w:rPr>
      </w:pPr>
    </w:p>
    <w:p>
      <w:pPr>
        <w:snapToGrid w:val="0"/>
        <w:spacing w:beforeLines="50" w:after="50" w:line="440" w:lineRule="exact"/>
        <w:jc w:val="center"/>
        <w:outlineLvl w:val="1"/>
        <w:rPr>
          <w:rFonts w:hint="eastAsia" w:asciiTheme="minorEastAsia" w:hAnsiTheme="minorEastAsia" w:eastAsiaTheme="minorEastAsia" w:cstheme="minorEastAsia"/>
          <w:b/>
          <w:bCs/>
          <w:color w:val="auto"/>
          <w:szCs w:val="21"/>
          <w:highlight w:val="none"/>
        </w:rPr>
      </w:pPr>
      <w:bookmarkStart w:id="106" w:name="_Toc254970697"/>
      <w:bookmarkStart w:id="107" w:name="_Toc430110180"/>
      <w:bookmarkStart w:id="108" w:name="_Toc254970556"/>
      <w:r>
        <w:rPr>
          <w:rFonts w:hint="eastAsia" w:asciiTheme="minorEastAsia" w:hAnsiTheme="minorEastAsia" w:eastAsiaTheme="minorEastAsia" w:cstheme="minorEastAsia"/>
          <w:b/>
          <w:bCs/>
          <w:color w:val="auto"/>
          <w:szCs w:val="21"/>
          <w:highlight w:val="none"/>
        </w:rPr>
        <w:t>一、投标文件外层包装封面格式</w:t>
      </w:r>
      <w:bookmarkEnd w:id="106"/>
      <w:bookmarkEnd w:id="107"/>
      <w:bookmarkEnd w:id="108"/>
    </w:p>
    <w:p>
      <w:pPr>
        <w:snapToGrid w:val="0"/>
        <w:spacing w:beforeLines="50" w:after="50" w:line="44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1.所有投标文件的外包装封面格式：</w:t>
      </w: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 标 文 件</w:t>
      </w:r>
    </w:p>
    <w:p>
      <w:pPr>
        <w:snapToGrid w:val="0"/>
        <w:spacing w:beforeLines="50" w:after="50" w:line="440" w:lineRule="exact"/>
        <w:rPr>
          <w:rFonts w:hint="eastAsia" w:asciiTheme="minorEastAsia" w:hAnsiTheme="minorEastAsia" w:eastAsiaTheme="minorEastAsia" w:cstheme="minorEastAsia"/>
          <w:bCs/>
          <w:color w:val="auto"/>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项目编号： </w:t>
      </w:r>
    </w:p>
    <w:p>
      <w:pPr>
        <w:pStyle w:val="8"/>
        <w:snapToGrid w:val="0"/>
        <w:spacing w:before="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投标文件名称：资格审查文件、商务/技术文件、报价文件</w:t>
      </w:r>
    </w:p>
    <w:p>
      <w:pPr>
        <w:pStyle w:val="8"/>
        <w:snapToGrid w:val="0"/>
        <w:spacing w:before="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pStyle w:val="8"/>
        <w:snapToGrid w:val="0"/>
        <w:spacing w:before="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投标人地址：</w:t>
      </w:r>
    </w:p>
    <w:p>
      <w:pPr>
        <w:pStyle w:val="8"/>
        <w:snapToGrid w:val="0"/>
        <w:spacing w:before="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在       年  月  日  时  分之前不得启封</w:t>
      </w:r>
    </w:p>
    <w:p>
      <w:pPr>
        <w:pStyle w:val="8"/>
        <w:snapToGrid w:val="0"/>
        <w:spacing w:before="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开标时启封</w:t>
      </w:r>
    </w:p>
    <w:p>
      <w:pPr>
        <w:snapToGrid w:val="0"/>
        <w:spacing w:beforeLines="50" w:after="50" w:line="440" w:lineRule="exact"/>
        <w:ind w:firstLine="3570" w:firstLineChars="1700"/>
        <w:rPr>
          <w:rFonts w:hint="eastAsia" w:asciiTheme="minorEastAsia" w:hAnsiTheme="minorEastAsia" w:eastAsiaTheme="minorEastAsia" w:cstheme="minorEastAsia"/>
          <w:bCs/>
          <w:color w:val="auto"/>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年   月   日</w:t>
      </w: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snapToGrid w:val="0"/>
        <w:spacing w:beforeLines="50" w:after="50" w:line="440" w:lineRule="exact"/>
        <w:jc w:val="center"/>
        <w:outlineLvl w:val="1"/>
        <w:rPr>
          <w:rFonts w:hint="eastAsia" w:asciiTheme="minorEastAsia" w:hAnsiTheme="minorEastAsia" w:eastAsiaTheme="minorEastAsia" w:cstheme="minorEastAsia"/>
          <w:b/>
          <w:bCs/>
          <w:color w:val="auto"/>
          <w:szCs w:val="21"/>
          <w:highlight w:val="none"/>
        </w:rPr>
      </w:pPr>
      <w:bookmarkStart w:id="109" w:name="_Toc254970698"/>
      <w:bookmarkStart w:id="110" w:name="_Toc254970557"/>
      <w:bookmarkStart w:id="111" w:name="_Toc430110181"/>
      <w:r>
        <w:rPr>
          <w:rFonts w:hint="eastAsia" w:asciiTheme="minorEastAsia" w:hAnsiTheme="minorEastAsia" w:eastAsiaTheme="minorEastAsia" w:cstheme="minorEastAsia"/>
          <w:b/>
          <w:bCs/>
          <w:color w:val="auto"/>
          <w:szCs w:val="21"/>
          <w:highlight w:val="none"/>
        </w:rPr>
        <w:t>二、资信/商务文件格式</w:t>
      </w:r>
      <w:bookmarkEnd w:id="109"/>
      <w:bookmarkEnd w:id="110"/>
      <w:bookmarkEnd w:id="111"/>
    </w:p>
    <w:p>
      <w:pPr>
        <w:snapToGrid w:val="0"/>
        <w:spacing w:beforeLines="50" w:after="50" w:line="44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44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2.资格审查</w:t>
      </w:r>
      <w:r>
        <w:rPr>
          <w:rFonts w:hint="eastAsia" w:asciiTheme="minorEastAsia" w:hAnsiTheme="minorEastAsia" w:eastAsiaTheme="minorEastAsia" w:cstheme="minorEastAsia"/>
          <w:b/>
          <w:bCs/>
          <w:color w:val="auto"/>
          <w:szCs w:val="21"/>
          <w:highlight w:val="none"/>
        </w:rPr>
        <w:t>文件的外包装封面格式：</w:t>
      </w:r>
    </w:p>
    <w:p>
      <w:pPr>
        <w:snapToGrid w:val="0"/>
        <w:spacing w:beforeLines="50" w:after="50" w:line="440" w:lineRule="exact"/>
        <w:rPr>
          <w:rFonts w:hint="eastAsia" w:asciiTheme="minorEastAsia" w:hAnsiTheme="minorEastAsia" w:eastAsiaTheme="minorEastAsia" w:cstheme="minorEastAsia"/>
          <w:bCs/>
          <w:color w:val="auto"/>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资格审查文件</w:t>
      </w:r>
    </w:p>
    <w:p>
      <w:pPr>
        <w:snapToGrid w:val="0"/>
        <w:spacing w:beforeLines="50" w:after="50" w:line="440" w:lineRule="exact"/>
        <w:rPr>
          <w:rFonts w:hint="eastAsia" w:asciiTheme="minorEastAsia" w:hAnsiTheme="minorEastAsia" w:eastAsiaTheme="minorEastAsia" w:cstheme="minorEastAsia"/>
          <w:bCs/>
          <w:color w:val="auto"/>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项目编号： </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投标人地址：</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在      年  月  日  时  分之前不得启封</w:t>
      </w:r>
    </w:p>
    <w:p>
      <w:pPr>
        <w:pStyle w:val="8"/>
        <w:snapToGrid w:val="0"/>
        <w:spacing w:before="50" w:after="50" w:line="440" w:lineRule="exact"/>
        <w:ind w:firstLine="873" w:firstLineChars="416"/>
        <w:rPr>
          <w:rFonts w:hint="eastAsia" w:asciiTheme="minorEastAsia" w:hAnsiTheme="minorEastAsia" w:eastAsiaTheme="minorEastAsia" w:cstheme="minorEastAsia"/>
          <w:color w:val="auto"/>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3.资格审查文件封面格式： </w:t>
      </w:r>
    </w:p>
    <w:p>
      <w:pPr>
        <w:snapToGrid w:val="0"/>
        <w:spacing w:beforeLines="50" w:after="50" w:line="44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正本/或副本</w:t>
      </w: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资格审查文件</w:t>
      </w:r>
    </w:p>
    <w:p>
      <w:pPr>
        <w:snapToGrid w:val="0"/>
        <w:spacing w:beforeLines="50" w:after="50" w:line="440" w:lineRule="exact"/>
        <w:rPr>
          <w:rFonts w:hint="eastAsia" w:asciiTheme="minorEastAsia" w:hAnsiTheme="minorEastAsia" w:eastAsiaTheme="minorEastAsia" w:cstheme="minorEastAsia"/>
          <w:bCs/>
          <w:color w:val="auto"/>
          <w:szCs w:val="21"/>
          <w:highlight w:val="none"/>
        </w:rPr>
      </w:pP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项目编号： </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snapToGrid w:val="0"/>
        <w:spacing w:beforeLines="50" w:after="50" w:line="44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投标人地址：</w:t>
      </w:r>
    </w:p>
    <w:p>
      <w:pPr>
        <w:pStyle w:val="8"/>
        <w:snapToGrid w:val="0"/>
        <w:spacing w:before="50" w:after="50" w:line="440" w:lineRule="exact"/>
        <w:ind w:firstLine="840" w:firstLineChars="400"/>
        <w:rPr>
          <w:rFonts w:hint="eastAsia" w:asciiTheme="minorEastAsia" w:hAnsiTheme="minorEastAsia" w:eastAsiaTheme="minorEastAsia" w:cstheme="minorEastAsia"/>
          <w:bCs/>
          <w:color w:val="auto"/>
          <w:szCs w:val="21"/>
          <w:highlight w:val="none"/>
        </w:rPr>
      </w:pPr>
    </w:p>
    <w:p>
      <w:pPr>
        <w:pStyle w:val="8"/>
        <w:snapToGrid w:val="0"/>
        <w:spacing w:before="50" w:after="50" w:line="440" w:lineRule="exact"/>
        <w:ind w:firstLine="840" w:firstLineChars="400"/>
        <w:rPr>
          <w:rFonts w:hint="eastAsia" w:asciiTheme="minorEastAsia" w:hAnsiTheme="minorEastAsia" w:eastAsiaTheme="minorEastAsia" w:cstheme="minorEastAsia"/>
          <w:bCs/>
          <w:color w:val="auto"/>
          <w:szCs w:val="21"/>
          <w:highlight w:val="none"/>
        </w:rPr>
      </w:pPr>
    </w:p>
    <w:p>
      <w:pPr>
        <w:pStyle w:val="8"/>
        <w:snapToGrid w:val="0"/>
        <w:spacing w:before="50" w:after="50" w:line="440" w:lineRule="exact"/>
        <w:ind w:firstLine="840" w:firstLineChars="400"/>
        <w:rPr>
          <w:rFonts w:hint="eastAsia" w:asciiTheme="minorEastAsia" w:hAnsiTheme="minorEastAsia" w:eastAsiaTheme="minorEastAsia" w:cstheme="minorEastAsia"/>
          <w:bCs/>
          <w:color w:val="auto"/>
          <w:szCs w:val="21"/>
          <w:highlight w:val="none"/>
        </w:rPr>
      </w:pPr>
    </w:p>
    <w:p>
      <w:pPr>
        <w:snapToGrid w:val="0"/>
        <w:spacing w:beforeLines="50" w:after="50" w:line="440" w:lineRule="exact"/>
        <w:ind w:firstLine="645"/>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before="50" w:after="50" w:line="440" w:lineRule="exact"/>
        <w:rPr>
          <w:rFonts w:hint="eastAsia" w:asciiTheme="minorEastAsia" w:hAnsiTheme="minorEastAsia" w:eastAsiaTheme="minorEastAsia" w:cstheme="minorEastAsia"/>
          <w:color w:val="auto"/>
          <w:szCs w:val="21"/>
          <w:highlight w:val="none"/>
        </w:rPr>
      </w:pPr>
    </w:p>
    <w:p>
      <w:pPr>
        <w:snapToGrid w:val="0"/>
        <w:spacing w:line="400" w:lineRule="exact"/>
        <w:ind w:firstLine="420" w:firstLineChars="20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目录</w:t>
      </w:r>
    </w:p>
    <w:p>
      <w:pPr>
        <w:snapToGrid w:val="0"/>
        <w:spacing w:line="400" w:lineRule="exact"/>
        <w:ind w:firstLine="420" w:firstLineChars="200"/>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（自行编写页码）</w:t>
      </w:r>
    </w:p>
    <w:p>
      <w:pPr>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）投标声明书 (格式见附件)（必须提供）；</w:t>
      </w:r>
    </w:p>
    <w:p>
      <w:pPr>
        <w:snapToGrid w:val="0"/>
        <w:spacing w:line="34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）法定代表人（负责人）完整有效的身份证正反面复印件（必须提供）；</w:t>
      </w:r>
    </w:p>
    <w:p>
      <w:pPr>
        <w:snapToGrid w:val="0"/>
        <w:spacing w:line="34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）投标人法定代表人（负责人）授权委托书原件和委托代理人完整有效的身份证正反面复印件（委托代理时必须提供)；</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）企业营业执照副本复印件（要求清晰反映经营范围）；（必须提供）</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）提供信用中国网站（www.creditchina.gov.cn）“失信被执行人”、“重大税收违法案件当事人名单”及中国政府采购网（www.ccgp.gov.cn）“政府采购严重违法失信行为记录名单”的信用查询记录（必须提供）；</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）投标文件递交截止之日前半年内投标人连续三个月依法缴纳税收的凭证复印件。无纳税记录的，应提供投标人所在地税务部门出具的《依法纳税或依法免税证明》复印件（格式自拟）；</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）投标文件递交截止之日前半年内投标人连续三个月依法缴纳社会保障资金的凭证复印件。无缴费记录的，应提供投标人所在地社保部门出具的《依法缴纳或依法免缴社保费证明》复印件（格式自拟）；</w:t>
      </w:r>
    </w:p>
    <w:p>
      <w:pPr>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）2019年财务状况报告（可以是财务报表或银行资信证明）复印件或有效的第三方具备审计资质的机构出具的审计报告复印件（格式自拟）；（新成立不足2年的提供从成立起至今财务状况报告或审计报告）；</w:t>
      </w:r>
    </w:p>
    <w:p>
      <w:pPr>
        <w:snapToGrid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）招标文件要求必须提供的其他材料。</w:t>
      </w: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0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0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0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br w:type="page"/>
      </w:r>
    </w:p>
    <w:p>
      <w:pPr>
        <w:snapToGrid w:val="0"/>
        <w:spacing w:before="50" w:afterLines="50" w:line="40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1</w:t>
      </w:r>
      <w:r>
        <w:rPr>
          <w:rFonts w:hint="eastAsia" w:asciiTheme="minorEastAsia" w:hAnsiTheme="minorEastAsia" w:eastAsiaTheme="minorEastAsia" w:cstheme="minorEastAsia"/>
          <w:b/>
          <w:color w:val="auto"/>
          <w:szCs w:val="21"/>
          <w:highlight w:val="none"/>
        </w:rPr>
        <w:t>）投标声明书格式：</w:t>
      </w: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3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致：（招标采购单位名称）：</w:t>
      </w:r>
    </w:p>
    <w:p>
      <w:pPr>
        <w:snapToGrid w:val="0"/>
        <w:spacing w:beforeLines="50" w:after="50" w:line="360" w:lineRule="exact"/>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（投标人名称）系中华人民共和国合法企业，经营地址。</w:t>
      </w:r>
    </w:p>
    <w:p>
      <w:pPr>
        <w:snapToGrid w:val="0"/>
        <w:spacing w:beforeLines="50" w:after="50" w:line="360" w:lineRule="exact"/>
        <w:ind w:firstLine="64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我（姓名）系投标人名称）的法定代表人（负责人），我方愿意参加贵方组织的_____</w:t>
      </w:r>
      <w:r>
        <w:rPr>
          <w:rFonts w:hint="eastAsia" w:asciiTheme="minorEastAsia" w:hAnsiTheme="minorEastAsia" w:eastAsiaTheme="minorEastAsia" w:cstheme="minorEastAsia"/>
          <w:color w:val="auto"/>
          <w:szCs w:val="21"/>
          <w:highlight w:val="none"/>
          <w:u w:val="single"/>
        </w:rPr>
        <w:t>_              _     _</w:t>
      </w:r>
      <w:r>
        <w:rPr>
          <w:rFonts w:hint="eastAsia" w:asciiTheme="minorEastAsia" w:hAnsiTheme="minorEastAsia" w:eastAsiaTheme="minorEastAsia" w:cstheme="minorEastAsia"/>
          <w:color w:val="auto"/>
          <w:szCs w:val="21"/>
          <w:highlight w:val="none"/>
        </w:rPr>
        <w:t>_项目的投标，为便于贵方公正、择优地确定中标人及其投标产品和服务，我方就本次投标有关事项郑重声明如下：</w:t>
      </w:r>
    </w:p>
    <w:p>
      <w:pPr>
        <w:snapToGrid w:val="0"/>
        <w:spacing w:line="3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1.我方向贵方提交的所有投标文件、资料都是准确的和真实的。</w:t>
      </w:r>
    </w:p>
    <w:p>
      <w:pPr>
        <w:snapToGrid w:val="0"/>
        <w:spacing w:beforeLines="50" w:line="3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2.我方不是采购人的附属机构；在获知本项目采购信息后，与采购人聘请的为此项目提供咨询服务的公司及其附属机构没有任何联系。</w:t>
      </w:r>
    </w:p>
    <w:p>
      <w:pPr>
        <w:snapToGrid w:val="0"/>
        <w:spacing w:beforeLines="50" w:line="3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3.我方诚意提请贵方关注：近期有关该服务产品的服务内容方面的重大决策和事项有：</w:t>
      </w:r>
    </w:p>
    <w:p>
      <w:pPr>
        <w:snapToGrid w:val="0"/>
        <w:spacing w:beforeLines="50" w:line="36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　　　　　　　　　　　　　　　　　　　　　　　　　　　</w:t>
      </w:r>
    </w:p>
    <w:p>
      <w:pPr>
        <w:snapToGrid w:val="0"/>
        <w:spacing w:beforeLines="50" w:line="3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　　　　　　　　　　　　　　　　　　　　　　　　　　　</w:t>
      </w:r>
    </w:p>
    <w:p>
      <w:pPr>
        <w:pStyle w:val="19"/>
        <w:snapToGrid w:val="0"/>
        <w:spacing w:line="3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4.我方及由本人担任法定代表人（负责人）的其他机构最近三年内被通报或者被处罚的违法行为有：</w:t>
      </w:r>
    </w:p>
    <w:p>
      <w:pPr>
        <w:snapToGrid w:val="0"/>
        <w:spacing w:beforeLines="50" w:line="36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　　　　　　　　　　　　　　　　　　　　　　　　　　　</w:t>
      </w:r>
    </w:p>
    <w:p>
      <w:pPr>
        <w:snapToGrid w:val="0"/>
        <w:spacing w:beforeLines="50" w:line="36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　　　　　　　　　　　　　　　　　　　　　　　　　　　</w:t>
      </w:r>
    </w:p>
    <w:p>
      <w:pPr>
        <w:snapToGrid w:val="0"/>
        <w:spacing w:line="3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5.以上事项如有虚假或隐瞒，我方愿意承担一切后果，并不再寻求任何旨在减轻或免除法律责任的辩解。</w:t>
      </w:r>
    </w:p>
    <w:p>
      <w:pPr>
        <w:pStyle w:val="21"/>
        <w:tabs>
          <w:tab w:val="left" w:pos="939"/>
        </w:tabs>
        <w:snapToGrid w:val="0"/>
        <w:spacing w:line="360" w:lineRule="exact"/>
        <w:ind w:left="716" w:leftChars="150" w:hanging="401" w:hangingChars="191"/>
        <w:rPr>
          <w:rFonts w:hint="eastAsia" w:asciiTheme="minorEastAsia" w:hAnsiTheme="minorEastAsia" w:eastAsiaTheme="minorEastAsia" w:cstheme="minorEastAsia"/>
          <w:color w:val="auto"/>
          <w:sz w:val="21"/>
          <w:szCs w:val="21"/>
          <w:highlight w:val="none"/>
        </w:rPr>
      </w:pPr>
    </w:p>
    <w:p>
      <w:pPr>
        <w:pStyle w:val="87"/>
        <w:snapToGrid w:val="0"/>
        <w:spacing w:beforeLines="50" w:line="360" w:lineRule="exact"/>
        <w:ind w:firstLine="200"/>
        <w:rPr>
          <w:rFonts w:hint="eastAsia" w:asciiTheme="minorEastAsia" w:hAnsiTheme="minorEastAsia" w:eastAsiaTheme="minorEastAsia" w:cstheme="minorEastAsia"/>
          <w:color w:val="auto"/>
          <w:sz w:val="21"/>
          <w:szCs w:val="21"/>
          <w:highlight w:val="none"/>
        </w:rPr>
      </w:pPr>
    </w:p>
    <w:p>
      <w:pPr>
        <w:snapToGrid w:val="0"/>
        <w:spacing w:beforeLines="50" w:line="360" w:lineRule="exact"/>
        <w:ind w:firstLine="3509" w:firstLineChars="1671"/>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法定代表人（负责人）签字：</w:t>
      </w:r>
    </w:p>
    <w:p>
      <w:pPr>
        <w:snapToGrid w:val="0"/>
        <w:spacing w:beforeLines="50" w:after="50" w:line="360" w:lineRule="exact"/>
        <w:ind w:firstLine="3570" w:firstLineChars="17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投标人公章：</w:t>
      </w:r>
    </w:p>
    <w:p>
      <w:pPr>
        <w:snapToGrid w:val="0"/>
        <w:spacing w:beforeLines="50" w:after="50" w:line="360" w:lineRule="exact"/>
        <w:ind w:firstLine="210" w:firstLineChars="1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pStyle w:val="2"/>
        <w:rPr>
          <w:rFonts w:hint="eastAsia"/>
        </w:rPr>
      </w:pP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2</w:t>
      </w:r>
      <w:r>
        <w:rPr>
          <w:rFonts w:hint="eastAsia" w:asciiTheme="minorEastAsia" w:hAnsiTheme="minorEastAsia" w:eastAsiaTheme="minorEastAsia" w:cstheme="minorEastAsia"/>
          <w:b/>
          <w:color w:val="auto"/>
          <w:szCs w:val="21"/>
          <w:highlight w:val="none"/>
        </w:rPr>
        <w:t>）法定代表人（负责人）完整有效的身份证正反面复印件</w:t>
      </w:r>
    </w:p>
    <w:p>
      <w:pPr>
        <w:snapToGrid w:val="0"/>
        <w:spacing w:before="50" w:afterLines="50" w:line="440" w:lineRule="exact"/>
        <w:jc w:val="center"/>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center"/>
        <w:rPr>
          <w:rFonts w:hint="eastAsia" w:asciiTheme="minorEastAsia" w:hAnsiTheme="minorEastAsia" w:eastAsiaTheme="minorEastAsia" w:cstheme="minorEastAsia"/>
          <w:b/>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val="en-US" w:eastAsia="zh-CN"/>
        </w:rPr>
        <w:t>3</w:t>
      </w:r>
      <w:r>
        <w:rPr>
          <w:rFonts w:hint="eastAsia" w:asciiTheme="minorEastAsia" w:hAnsiTheme="minorEastAsia" w:eastAsiaTheme="minorEastAsia" w:cstheme="minorEastAsia"/>
          <w:b/>
          <w:color w:val="auto"/>
          <w:szCs w:val="21"/>
          <w:highlight w:val="none"/>
        </w:rPr>
        <w:t>）投标人法定代表人（负责人）授权委托书原件和委托代理人完整有效的身份证正反面复印件（委托代理时必须提供)：</w:t>
      </w:r>
    </w:p>
    <w:p>
      <w:pPr>
        <w:snapToGrid w:val="0"/>
        <w:spacing w:beforeLines="50" w:after="50" w:line="44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44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法定代表人（负责人）授权委托书</w:t>
      </w:r>
    </w:p>
    <w:p>
      <w:pPr>
        <w:snapToGrid w:val="0"/>
        <w:spacing w:beforeLines="50" w:after="50" w:line="440" w:lineRule="exact"/>
        <w:rPr>
          <w:rFonts w:hint="eastAsia" w:asciiTheme="minorEastAsia" w:hAnsiTheme="minorEastAsia" w:eastAsiaTheme="minorEastAsia" w:cstheme="minorEastAsia"/>
          <w:bCs/>
          <w:color w:val="auto"/>
          <w:szCs w:val="21"/>
          <w:highlight w:val="none"/>
        </w:rPr>
      </w:pPr>
    </w:p>
    <w:p>
      <w:pPr>
        <w:snapToGrid w:val="0"/>
        <w:spacing w:beforeLines="50" w:after="50" w:line="44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Cs/>
          <w:color w:val="auto"/>
          <w:szCs w:val="21"/>
          <w:highlight w:val="none"/>
        </w:rPr>
        <w:t>致：</w:t>
      </w:r>
      <w:r>
        <w:rPr>
          <w:rFonts w:hint="eastAsia" w:asciiTheme="minorEastAsia" w:hAnsiTheme="minorEastAsia" w:eastAsiaTheme="minorEastAsia" w:cstheme="minorEastAsia"/>
          <w:color w:val="auto"/>
          <w:szCs w:val="21"/>
          <w:highlight w:val="none"/>
        </w:rPr>
        <w:t>（招标采购单位名称）：</w:t>
      </w:r>
    </w:p>
    <w:p>
      <w:pPr>
        <w:snapToGrid w:val="0"/>
        <w:spacing w:beforeLines="50" w:after="50" w:line="440" w:lineRule="exact"/>
        <w:ind w:firstLine="630" w:firstLineChars="3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我______</w:t>
      </w:r>
      <w:r>
        <w:rPr>
          <w:rFonts w:hint="eastAsia" w:asciiTheme="minorEastAsia" w:hAnsiTheme="minorEastAsia" w:eastAsiaTheme="minorEastAsia" w:cstheme="minorEastAsia"/>
          <w:color w:val="auto"/>
          <w:szCs w:val="21"/>
          <w:highlight w:val="none"/>
          <w:u w:val="single"/>
        </w:rPr>
        <w:t>_     _</w:t>
      </w:r>
      <w:r>
        <w:rPr>
          <w:rFonts w:hint="eastAsia" w:asciiTheme="minorEastAsia" w:hAnsiTheme="minorEastAsia" w:eastAsiaTheme="minorEastAsia" w:cstheme="minorEastAsia"/>
          <w:color w:val="auto"/>
          <w:szCs w:val="21"/>
          <w:highlight w:val="none"/>
        </w:rPr>
        <w:t>_（姓名）系______</w:t>
      </w:r>
      <w:r>
        <w:rPr>
          <w:rFonts w:hint="eastAsia" w:asciiTheme="minorEastAsia" w:hAnsiTheme="minorEastAsia" w:eastAsiaTheme="minorEastAsia" w:cstheme="minorEastAsia"/>
          <w:color w:val="auto"/>
          <w:szCs w:val="21"/>
          <w:highlight w:val="none"/>
          <w:u w:val="single"/>
        </w:rPr>
        <w:t>_     _</w:t>
      </w:r>
      <w:r>
        <w:rPr>
          <w:rFonts w:hint="eastAsia" w:asciiTheme="minorEastAsia" w:hAnsiTheme="minorEastAsia" w:eastAsiaTheme="minorEastAsia" w:cstheme="minorEastAsia"/>
          <w:color w:val="auto"/>
          <w:szCs w:val="21"/>
          <w:highlight w:val="none"/>
        </w:rPr>
        <w:t>_（投标人名称）的法定代表人（负责人），现授权委托本单位在职职工 （姓名）以我方的名义参加项目的投标活动，并代表我方全权办理针对上述项目的投标、开标、评标、签约等具体事务和签署相关文件。</w:t>
      </w:r>
    </w:p>
    <w:p>
      <w:pPr>
        <w:snapToGrid w:val="0"/>
        <w:spacing w:beforeLines="50" w:after="50"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我方对被授权人的签名事项负全部责任。</w:t>
      </w:r>
    </w:p>
    <w:p>
      <w:pPr>
        <w:snapToGrid w:val="0"/>
        <w:spacing w:beforeLines="50" w:after="50" w:line="440" w:lineRule="exact"/>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在撤销授权的书面通知以前，本授权书一直有效。</w:t>
      </w:r>
      <w:r>
        <w:rPr>
          <w:rFonts w:hint="eastAsia" w:asciiTheme="minorEastAsia" w:hAnsiTheme="minorEastAsia" w:eastAsiaTheme="minorEastAsia" w:cstheme="minorEastAsia"/>
          <w:color w:val="auto"/>
          <w:szCs w:val="21"/>
          <w:highlight w:val="none"/>
        </w:rPr>
        <w:t>被授权人在授权书有效期内签署的所有文件不因授权的撤销而失效。</w:t>
      </w:r>
    </w:p>
    <w:p>
      <w:pPr>
        <w:snapToGrid w:val="0"/>
        <w:spacing w:beforeLines="50" w:after="50" w:line="440" w:lineRule="exact"/>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被授权人无转委托权，特此委托。</w:t>
      </w: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被授权人签名：                 法定代表人（负责人）签名：</w:t>
      </w:r>
    </w:p>
    <w:p>
      <w:pPr>
        <w:snapToGrid w:val="0"/>
        <w:spacing w:beforeLines="50" w:after="50"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所在部门职务：                          职务：</w:t>
      </w:r>
    </w:p>
    <w:p>
      <w:pPr>
        <w:snapToGrid w:val="0"/>
        <w:spacing w:beforeLines="50" w:after="50"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被授权人身份证号码：</w:t>
      </w: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ind w:firstLine="4620" w:firstLineChars="2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投标人公章：</w:t>
      </w:r>
    </w:p>
    <w:p>
      <w:pPr>
        <w:snapToGrid w:val="0"/>
        <w:spacing w:beforeLines="50" w:after="50" w:line="4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beforeLines="50" w:after="50" w:line="440" w:lineRule="exact"/>
        <w:rPr>
          <w:rFonts w:hint="eastAsia" w:asciiTheme="minorEastAsia" w:hAnsiTheme="minorEastAsia" w:eastAsiaTheme="minorEastAsia" w:cstheme="minorEastAsia"/>
          <w:color w:val="auto"/>
          <w:szCs w:val="21"/>
          <w:highlight w:val="none"/>
        </w:rPr>
      </w:pPr>
    </w:p>
    <w:p>
      <w:pPr>
        <w:snapToGrid w:val="0"/>
        <w:spacing w:line="400" w:lineRule="exact"/>
        <w:ind w:firstLine="413" w:firstLineChars="196"/>
        <w:jc w:val="left"/>
        <w:rPr>
          <w:rFonts w:hint="eastAsia" w:asciiTheme="minorEastAsia" w:hAnsiTheme="minorEastAsia" w:eastAsiaTheme="minorEastAsia" w:cstheme="minorEastAsia"/>
          <w:b/>
          <w:color w:val="auto"/>
          <w:szCs w:val="21"/>
          <w:highlight w:val="none"/>
        </w:rPr>
      </w:pPr>
    </w:p>
    <w:p>
      <w:pPr>
        <w:snapToGrid w:val="0"/>
        <w:spacing w:line="400" w:lineRule="exact"/>
        <w:ind w:firstLine="413" w:firstLineChars="196"/>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4</w:t>
      </w:r>
      <w:r>
        <w:rPr>
          <w:rFonts w:hint="eastAsia" w:asciiTheme="minorEastAsia" w:hAnsiTheme="minorEastAsia" w:eastAsiaTheme="minorEastAsia" w:cstheme="minorEastAsia"/>
          <w:b/>
          <w:bCs/>
          <w:color w:val="auto"/>
          <w:szCs w:val="21"/>
          <w:highlight w:val="none"/>
        </w:rPr>
        <w:t>）企业营业执照副本复印件（要求清晰反映经营范围）；（必须提供）</w:t>
      </w:r>
    </w:p>
    <w:p>
      <w:pPr>
        <w:snapToGrid w:val="0"/>
        <w:spacing w:line="400" w:lineRule="exact"/>
        <w:ind w:firstLine="413" w:firstLineChars="196"/>
        <w:jc w:val="left"/>
        <w:rPr>
          <w:rFonts w:hint="eastAsia" w:asciiTheme="minorEastAsia" w:hAnsiTheme="minorEastAsia" w:eastAsiaTheme="minorEastAsia" w:cstheme="minorEastAsia"/>
          <w:b/>
          <w:bCs/>
          <w:color w:val="auto"/>
          <w:szCs w:val="21"/>
          <w:highlight w:val="none"/>
        </w:rPr>
      </w:pPr>
    </w:p>
    <w:p>
      <w:pPr>
        <w:snapToGrid w:val="0"/>
        <w:spacing w:line="400" w:lineRule="exact"/>
        <w:jc w:val="left"/>
        <w:rPr>
          <w:rFonts w:hint="eastAsia" w:asciiTheme="minorEastAsia" w:hAnsiTheme="minorEastAsia" w:eastAsiaTheme="minorEastAsia" w:cstheme="minorEastAsia"/>
          <w:b/>
          <w:bCs/>
          <w:color w:val="auto"/>
          <w:szCs w:val="21"/>
          <w:highlight w:val="none"/>
        </w:rPr>
      </w:pPr>
    </w:p>
    <w:p>
      <w:pPr>
        <w:snapToGrid w:val="0"/>
        <w:spacing w:line="400" w:lineRule="exact"/>
        <w:ind w:firstLine="413" w:firstLineChars="196"/>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5</w:t>
      </w:r>
      <w:r>
        <w:rPr>
          <w:rFonts w:hint="eastAsia" w:asciiTheme="minorEastAsia" w:hAnsiTheme="minorEastAsia" w:eastAsiaTheme="minorEastAsia" w:cstheme="minorEastAsia"/>
          <w:b/>
          <w:bCs/>
          <w:color w:val="auto"/>
          <w:szCs w:val="21"/>
          <w:highlight w:val="none"/>
        </w:rPr>
        <w:t>）提供信用中国网站（www.creditchina.gov.cn）“失信被执行人”、“重大税收违法案件当事人名单”及中国政府采购网（www.ccgp.gov.cn）“政府采购严重违法失信行为记录名单”的信用查询记录（必须提供）；</w:t>
      </w:r>
    </w:p>
    <w:p>
      <w:pPr>
        <w:snapToGrid w:val="0"/>
        <w:spacing w:line="400" w:lineRule="exact"/>
        <w:jc w:val="left"/>
        <w:rPr>
          <w:rFonts w:hint="eastAsia" w:asciiTheme="minorEastAsia" w:hAnsiTheme="minorEastAsia" w:eastAsiaTheme="minorEastAsia" w:cstheme="minorEastAsia"/>
          <w:b/>
          <w:bCs/>
          <w:color w:val="auto"/>
          <w:szCs w:val="21"/>
          <w:highlight w:val="none"/>
        </w:rPr>
      </w:pPr>
    </w:p>
    <w:p>
      <w:pPr>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6</w:t>
      </w:r>
      <w:r>
        <w:rPr>
          <w:rFonts w:hint="eastAsia" w:asciiTheme="minorEastAsia" w:hAnsiTheme="minorEastAsia" w:eastAsiaTheme="minorEastAsia" w:cstheme="minorEastAsia"/>
          <w:b/>
          <w:bCs/>
          <w:color w:val="auto"/>
          <w:szCs w:val="21"/>
          <w:highlight w:val="none"/>
        </w:rPr>
        <w:t>）投标文件递交截止之日前半年内投标人连续三个月依法缴纳税收的凭证复印件。无纳税记录的，应提供投标人所在地税务部门出具的《依法纳税或依法免税证明》复印件（格式自拟，原件备查）；</w:t>
      </w: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7</w:t>
      </w:r>
      <w:r>
        <w:rPr>
          <w:rFonts w:hint="eastAsia" w:asciiTheme="minorEastAsia" w:hAnsiTheme="minorEastAsia" w:eastAsiaTheme="minorEastAsia" w:cstheme="minorEastAsia"/>
          <w:b/>
          <w:bCs/>
          <w:color w:val="auto"/>
          <w:szCs w:val="21"/>
          <w:highlight w:val="none"/>
        </w:rPr>
        <w:t>）投标文件递交截止之日前半年内投标人连续三个月依法缴纳社会保障资金的凭证复印件。无缴费记录的，应提供投标人所在地社保部门出具的《依法缴纳或依法免缴社保费证明》复印件（格式自拟，原件备查）；</w:t>
      </w: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cstheme="minorEastAsia"/>
          <w:b/>
          <w:bCs/>
          <w:color w:val="auto"/>
          <w:szCs w:val="21"/>
          <w:highlight w:val="none"/>
          <w:lang w:val="en-US" w:eastAsia="zh-CN"/>
        </w:rPr>
        <w:t>8</w:t>
      </w:r>
      <w:r>
        <w:rPr>
          <w:rFonts w:hint="eastAsia" w:asciiTheme="minorEastAsia" w:hAnsiTheme="minorEastAsia" w:eastAsiaTheme="minorEastAsia" w:cstheme="minorEastAsia"/>
          <w:b/>
          <w:bCs/>
          <w:color w:val="auto"/>
          <w:szCs w:val="21"/>
          <w:highlight w:val="none"/>
        </w:rPr>
        <w:t>）2019年财务状况报告（可以是财务报表或银行资信证明）复印件或有效的第三方具备审计资质的机构出具的审计报告复印件（格式自拟，原件备查）；（新成立不足2年的提供从成立起至今财务状况报告或审计报告）；</w:t>
      </w: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rPr>
          <w:rFonts w:hint="eastAsia" w:asciiTheme="minorEastAsia" w:hAnsiTheme="minorEastAsia" w:eastAsiaTheme="minorEastAsia" w:cstheme="minorEastAsia"/>
          <w:b/>
          <w:bCs/>
          <w:color w:val="auto"/>
          <w:szCs w:val="21"/>
          <w:highlight w:val="none"/>
        </w:rPr>
      </w:pPr>
    </w:p>
    <w:p>
      <w:pPr>
        <w:snapToGrid w:val="0"/>
        <w:spacing w:beforeLines="50" w:after="5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 xml:space="preserve">   （</w:t>
      </w:r>
      <w:r>
        <w:rPr>
          <w:rFonts w:hint="eastAsia" w:asciiTheme="minorEastAsia" w:hAnsiTheme="minorEastAsia" w:eastAsiaTheme="minorEastAsia" w:cstheme="minorEastAsia"/>
          <w:b/>
          <w:bCs/>
          <w:color w:val="auto"/>
          <w:szCs w:val="21"/>
          <w:highlight w:val="none"/>
          <w:lang w:val="en-US" w:eastAsia="zh-CN"/>
        </w:rPr>
        <w:t>9</w:t>
      </w:r>
      <w:r>
        <w:rPr>
          <w:rFonts w:hint="eastAsia" w:asciiTheme="minorEastAsia" w:hAnsiTheme="minorEastAsia" w:eastAsiaTheme="minorEastAsia" w:cstheme="minorEastAsia"/>
          <w:b/>
          <w:bCs/>
          <w:color w:val="auto"/>
          <w:szCs w:val="21"/>
          <w:highlight w:val="none"/>
        </w:rPr>
        <w:t>）招标文件要求必须提供的其他材料。</w:t>
      </w:r>
    </w:p>
    <w:p>
      <w:pPr>
        <w:autoSpaceDE w:val="0"/>
        <w:autoSpaceDN w:val="0"/>
        <w:snapToGrid w:val="0"/>
        <w:spacing w:before="50" w:afterLines="50"/>
        <w:jc w:val="left"/>
        <w:textAlignment w:val="bottom"/>
        <w:rPr>
          <w:rFonts w:hint="eastAsia" w:asciiTheme="minorEastAsia" w:hAnsiTheme="minorEastAsia" w:eastAsiaTheme="minorEastAsia" w:cstheme="minorEastAsia"/>
          <w:color w:val="auto"/>
          <w:sz w:val="21"/>
          <w:szCs w:val="21"/>
          <w:highlight w:val="none"/>
        </w:rPr>
        <w:sectPr>
          <w:footerReference r:id="rId6" w:type="first"/>
          <w:headerReference r:id="rId3" w:type="default"/>
          <w:footerReference r:id="rId4" w:type="default"/>
          <w:footerReference r:id="rId5" w:type="even"/>
          <w:pgSz w:w="11906" w:h="16838"/>
          <w:pgMar w:top="1134" w:right="1361" w:bottom="1134" w:left="1361" w:header="851" w:footer="992" w:gutter="0"/>
          <w:pgNumType w:start="0"/>
          <w:cols w:space="720" w:num="1"/>
          <w:titlePg/>
          <w:docGrid w:linePitch="312" w:charSpace="0"/>
        </w:sectPr>
      </w:pPr>
    </w:p>
    <w:p>
      <w:pPr>
        <w:snapToGrid w:val="0"/>
        <w:spacing w:beforeLines="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三、商务/技术文件格式</w:t>
      </w:r>
    </w:p>
    <w:p>
      <w:pPr>
        <w:snapToGrid w:val="0"/>
        <w:spacing w:beforeLines="50" w:after="50" w:line="34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1.商务/技术文件的外包装封面格式（不可缺）：</w:t>
      </w:r>
    </w:p>
    <w:p>
      <w:pPr>
        <w:snapToGrid w:val="0"/>
        <w:spacing w:beforeLines="50" w:after="50" w:line="340" w:lineRule="exact"/>
        <w:rPr>
          <w:rFonts w:hint="eastAsia" w:asciiTheme="minorEastAsia" w:hAnsiTheme="minorEastAsia" w:eastAsiaTheme="minorEastAsia" w:cstheme="minorEastAsia"/>
          <w:bCs/>
          <w:color w:val="auto"/>
          <w:szCs w:val="21"/>
          <w:highlight w:val="none"/>
        </w:rPr>
      </w:pPr>
    </w:p>
    <w:p>
      <w:pPr>
        <w:snapToGrid w:val="0"/>
        <w:spacing w:beforeLines="50" w:after="50" w:line="340" w:lineRule="exact"/>
        <w:jc w:val="center"/>
        <w:rPr>
          <w:rFonts w:hint="eastAsia" w:asciiTheme="minorEastAsia" w:hAnsiTheme="minorEastAsia" w:eastAsiaTheme="minorEastAsia" w:cstheme="minorEastAsia"/>
          <w:b/>
          <w:bCs/>
          <w:color w:val="auto"/>
          <w:szCs w:val="21"/>
          <w:highlight w:val="none"/>
        </w:rPr>
      </w:pPr>
    </w:p>
    <w:p>
      <w:pPr>
        <w:snapToGrid w:val="0"/>
        <w:spacing w:beforeLines="50" w:after="50" w:line="340" w:lineRule="exact"/>
        <w:jc w:val="center"/>
        <w:rPr>
          <w:rFonts w:hint="eastAsia" w:asciiTheme="minorEastAsia" w:hAnsiTheme="minorEastAsia" w:eastAsiaTheme="minorEastAsia" w:cstheme="minorEastAsia"/>
          <w:b/>
          <w:bCs/>
          <w:color w:val="auto"/>
          <w:szCs w:val="21"/>
          <w:highlight w:val="none"/>
        </w:rPr>
      </w:pPr>
    </w:p>
    <w:p>
      <w:pPr>
        <w:snapToGrid w:val="0"/>
        <w:spacing w:beforeLines="50" w:after="50" w:line="34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商务/</w:t>
      </w:r>
      <w:r>
        <w:rPr>
          <w:rFonts w:hint="eastAsia" w:asciiTheme="minorEastAsia" w:hAnsiTheme="minorEastAsia" w:eastAsiaTheme="minorEastAsia" w:cstheme="minorEastAsia"/>
          <w:b/>
          <w:bCs/>
          <w:color w:val="auto"/>
          <w:szCs w:val="21"/>
          <w:highlight w:val="none"/>
        </w:rPr>
        <w:t>技术文件</w:t>
      </w:r>
    </w:p>
    <w:p>
      <w:pPr>
        <w:snapToGrid w:val="0"/>
        <w:spacing w:beforeLines="50" w:after="50" w:line="340" w:lineRule="exact"/>
        <w:rPr>
          <w:rFonts w:hint="eastAsia" w:asciiTheme="minorEastAsia" w:hAnsiTheme="minorEastAsia" w:eastAsiaTheme="minorEastAsia" w:cstheme="minorEastAsia"/>
          <w:bCs/>
          <w:color w:val="auto"/>
          <w:szCs w:val="21"/>
          <w:highlight w:val="none"/>
        </w:rPr>
      </w:pPr>
    </w:p>
    <w:p>
      <w:pPr>
        <w:snapToGrid w:val="0"/>
        <w:spacing w:beforeLines="50" w:after="50" w:line="340" w:lineRule="exact"/>
        <w:rPr>
          <w:rFonts w:hint="eastAsia" w:asciiTheme="minorEastAsia" w:hAnsiTheme="minorEastAsia" w:eastAsiaTheme="minorEastAsia" w:cstheme="minorEastAsia"/>
          <w:bCs/>
          <w:color w:val="auto"/>
          <w:szCs w:val="21"/>
          <w:highlight w:val="none"/>
        </w:rPr>
      </w:pPr>
    </w:p>
    <w:p>
      <w:pPr>
        <w:snapToGrid w:val="0"/>
        <w:spacing w:beforeLines="50" w:after="50" w:line="340" w:lineRule="exact"/>
        <w:rPr>
          <w:rFonts w:hint="eastAsia" w:asciiTheme="minorEastAsia" w:hAnsiTheme="minorEastAsia" w:eastAsiaTheme="minorEastAsia" w:cstheme="minorEastAsia"/>
          <w:bCs/>
          <w:color w:val="auto"/>
          <w:szCs w:val="21"/>
          <w:highlight w:val="none"/>
        </w:rPr>
      </w:pPr>
    </w:p>
    <w:p>
      <w:pPr>
        <w:snapToGrid w:val="0"/>
        <w:spacing w:beforeLines="50" w:after="50" w:line="340" w:lineRule="exact"/>
        <w:rPr>
          <w:rFonts w:hint="eastAsia" w:asciiTheme="minorEastAsia" w:hAnsiTheme="minorEastAsia" w:eastAsiaTheme="minorEastAsia" w:cstheme="minorEastAsia"/>
          <w:bCs/>
          <w:color w:val="auto"/>
          <w:szCs w:val="21"/>
          <w:highlight w:val="none"/>
        </w:rPr>
      </w:pPr>
    </w:p>
    <w:p>
      <w:pPr>
        <w:snapToGrid w:val="0"/>
        <w:spacing w:beforeLines="50" w:after="50" w:line="340" w:lineRule="exact"/>
        <w:rPr>
          <w:rFonts w:hint="eastAsia" w:asciiTheme="minorEastAsia" w:hAnsiTheme="minorEastAsia" w:eastAsiaTheme="minorEastAsia" w:cstheme="minorEastAsia"/>
          <w:bCs/>
          <w:color w:val="auto"/>
          <w:szCs w:val="21"/>
          <w:highlight w:val="none"/>
        </w:rPr>
      </w:pPr>
    </w:p>
    <w:p>
      <w:pPr>
        <w:snapToGrid w:val="0"/>
        <w:spacing w:beforeLines="50" w:after="50" w:line="34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34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项目编号： </w:t>
      </w:r>
    </w:p>
    <w:p>
      <w:pPr>
        <w:pStyle w:val="8"/>
        <w:snapToGrid w:val="0"/>
        <w:spacing w:before="50" w:after="50" w:line="340" w:lineRule="exact"/>
        <w:ind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pStyle w:val="8"/>
        <w:snapToGrid w:val="0"/>
        <w:spacing w:before="50" w:after="50" w:line="340" w:lineRule="exact"/>
        <w:ind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投标人地址：</w:t>
      </w:r>
    </w:p>
    <w:p>
      <w:pPr>
        <w:pStyle w:val="8"/>
        <w:snapToGrid w:val="0"/>
        <w:spacing w:before="50" w:after="50" w:line="340" w:lineRule="exact"/>
        <w:ind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在  年  月  日  时  分之前不得启封</w:t>
      </w:r>
    </w:p>
    <w:p>
      <w:pPr>
        <w:snapToGrid w:val="0"/>
        <w:spacing w:beforeLines="50" w:after="50" w:line="340" w:lineRule="exact"/>
        <w:ind w:firstLine="645"/>
        <w:jc w:val="center"/>
        <w:rPr>
          <w:rFonts w:hint="eastAsia" w:asciiTheme="minorEastAsia" w:hAnsiTheme="minorEastAsia" w:eastAsiaTheme="minorEastAsia" w:cstheme="minorEastAsia"/>
          <w:color w:val="auto"/>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color w:val="auto"/>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color w:val="auto"/>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color w:val="auto"/>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color w:val="auto"/>
          <w:szCs w:val="21"/>
          <w:highlight w:val="none"/>
        </w:rPr>
      </w:pPr>
    </w:p>
    <w:p>
      <w:pPr>
        <w:snapToGrid w:val="0"/>
        <w:spacing w:beforeLines="50" w:after="50" w:line="340" w:lineRule="exact"/>
        <w:ind w:firstLine="645"/>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Lines="50" w:after="50"/>
        <w:rPr>
          <w:rFonts w:hint="eastAsia" w:asciiTheme="minorEastAsia" w:hAnsiTheme="minorEastAsia" w:eastAsiaTheme="minorEastAsia" w:cstheme="minorEastAsia"/>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p>
    <w:p>
      <w:pPr>
        <w:snapToGrid w:val="0"/>
        <w:spacing w:beforeLines="50" w:after="50" w:line="32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2.商务/文件封面格式： </w:t>
      </w:r>
    </w:p>
    <w:p>
      <w:pPr>
        <w:snapToGrid w:val="0"/>
        <w:spacing w:beforeLines="50" w:after="50" w:line="320" w:lineRule="exact"/>
        <w:rPr>
          <w:rFonts w:hint="eastAsia" w:asciiTheme="minorEastAsia" w:hAnsiTheme="minorEastAsia" w:eastAsiaTheme="minorEastAsia" w:cstheme="minorEastAsia"/>
          <w:color w:val="auto"/>
          <w:szCs w:val="21"/>
          <w:highlight w:val="none"/>
        </w:rPr>
      </w:pPr>
    </w:p>
    <w:p>
      <w:pPr>
        <w:snapToGrid w:val="0"/>
        <w:spacing w:beforeLines="50" w:after="50" w:line="32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正本/或副本</w:t>
      </w:r>
    </w:p>
    <w:p>
      <w:pPr>
        <w:snapToGrid w:val="0"/>
        <w:spacing w:beforeLines="50" w:after="50" w:line="320" w:lineRule="exact"/>
        <w:rPr>
          <w:rFonts w:hint="eastAsia" w:asciiTheme="minorEastAsia" w:hAnsiTheme="minorEastAsia" w:eastAsiaTheme="minorEastAsia" w:cstheme="minorEastAsia"/>
          <w:color w:val="auto"/>
          <w:szCs w:val="21"/>
          <w:highlight w:val="none"/>
        </w:rPr>
      </w:pPr>
    </w:p>
    <w:p>
      <w:pPr>
        <w:snapToGrid w:val="0"/>
        <w:spacing w:beforeLines="50" w:after="50" w:line="320" w:lineRule="exact"/>
        <w:jc w:val="center"/>
        <w:rPr>
          <w:rFonts w:hint="eastAsia" w:asciiTheme="minorEastAsia" w:hAnsiTheme="minorEastAsia" w:eastAsiaTheme="minorEastAsia" w:cstheme="minorEastAsia"/>
          <w:b/>
          <w:bCs/>
          <w:color w:val="auto"/>
          <w:szCs w:val="21"/>
          <w:highlight w:val="none"/>
        </w:rPr>
      </w:pPr>
    </w:p>
    <w:p>
      <w:pPr>
        <w:snapToGrid w:val="0"/>
        <w:spacing w:beforeLines="50" w:after="50" w:line="320" w:lineRule="exact"/>
        <w:jc w:val="center"/>
        <w:rPr>
          <w:rFonts w:hint="eastAsia" w:asciiTheme="minorEastAsia" w:hAnsiTheme="minorEastAsia" w:eastAsiaTheme="minorEastAsia" w:cstheme="minorEastAsia"/>
          <w:b/>
          <w:bCs/>
          <w:color w:val="auto"/>
          <w:szCs w:val="21"/>
          <w:highlight w:val="none"/>
        </w:rPr>
      </w:pPr>
    </w:p>
    <w:p>
      <w:pPr>
        <w:snapToGrid w:val="0"/>
        <w:spacing w:beforeLines="50" w:after="50"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商务/</w:t>
      </w:r>
      <w:r>
        <w:rPr>
          <w:rFonts w:hint="eastAsia" w:asciiTheme="minorEastAsia" w:hAnsiTheme="minorEastAsia" w:eastAsiaTheme="minorEastAsia" w:cstheme="minorEastAsia"/>
          <w:b/>
          <w:bCs/>
          <w:color w:val="auto"/>
          <w:szCs w:val="21"/>
          <w:highlight w:val="none"/>
        </w:rPr>
        <w:t>文件</w:t>
      </w:r>
    </w:p>
    <w:p>
      <w:pPr>
        <w:snapToGrid w:val="0"/>
        <w:spacing w:beforeLines="50" w:after="50" w:line="320" w:lineRule="exact"/>
        <w:rPr>
          <w:rFonts w:hint="eastAsia" w:asciiTheme="minorEastAsia" w:hAnsiTheme="minorEastAsia" w:eastAsiaTheme="minorEastAsia" w:cstheme="minorEastAsia"/>
          <w:bCs/>
          <w:color w:val="auto"/>
          <w:szCs w:val="21"/>
          <w:highlight w:val="none"/>
        </w:rPr>
      </w:pPr>
    </w:p>
    <w:p>
      <w:pPr>
        <w:snapToGrid w:val="0"/>
        <w:spacing w:beforeLines="50" w:after="50" w:line="320" w:lineRule="exact"/>
        <w:ind w:firstLine="420" w:firstLineChars="200"/>
        <w:rPr>
          <w:rFonts w:hint="eastAsia" w:asciiTheme="minorEastAsia" w:hAnsiTheme="minorEastAsia" w:eastAsiaTheme="minorEastAsia" w:cstheme="minorEastAsia"/>
          <w:bCs/>
          <w:color w:val="auto"/>
          <w:szCs w:val="21"/>
          <w:highlight w:val="none"/>
        </w:rPr>
      </w:pPr>
    </w:p>
    <w:p>
      <w:pPr>
        <w:snapToGrid w:val="0"/>
        <w:spacing w:beforeLines="50" w:after="50" w:line="320" w:lineRule="exact"/>
        <w:ind w:firstLine="420" w:firstLineChars="200"/>
        <w:rPr>
          <w:rFonts w:hint="eastAsia" w:asciiTheme="minorEastAsia" w:hAnsiTheme="minorEastAsia" w:eastAsiaTheme="minorEastAsia" w:cstheme="minorEastAsia"/>
          <w:bCs/>
          <w:color w:val="auto"/>
          <w:szCs w:val="21"/>
          <w:highlight w:val="none"/>
        </w:rPr>
      </w:pPr>
    </w:p>
    <w:p>
      <w:pPr>
        <w:snapToGrid w:val="0"/>
        <w:spacing w:beforeLines="50" w:after="50" w:line="32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32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项目编号：</w:t>
      </w:r>
    </w:p>
    <w:p>
      <w:pPr>
        <w:snapToGrid w:val="0"/>
        <w:spacing w:beforeLines="50" w:after="50" w:line="32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snapToGrid w:val="0"/>
        <w:spacing w:beforeLines="50" w:after="50" w:line="320" w:lineRule="exact"/>
        <w:ind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投标人地址：</w:t>
      </w:r>
    </w:p>
    <w:p>
      <w:pPr>
        <w:snapToGrid w:val="0"/>
        <w:spacing w:beforeLines="50" w:after="50" w:line="320" w:lineRule="exact"/>
        <w:ind w:firstLine="3570" w:firstLineChars="1700"/>
        <w:rPr>
          <w:rFonts w:hint="eastAsia" w:asciiTheme="minorEastAsia" w:hAnsiTheme="minorEastAsia" w:eastAsiaTheme="minorEastAsia" w:cstheme="minorEastAsia"/>
          <w:color w:val="auto"/>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color w:val="auto"/>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color w:val="auto"/>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color w:val="auto"/>
          <w:szCs w:val="21"/>
          <w:highlight w:val="none"/>
        </w:rPr>
      </w:pPr>
    </w:p>
    <w:p>
      <w:pPr>
        <w:snapToGrid w:val="0"/>
        <w:spacing w:beforeLines="50" w:after="50" w:line="320" w:lineRule="exact"/>
        <w:ind w:firstLine="3570" w:firstLineChars="1700"/>
        <w:rPr>
          <w:rFonts w:hint="eastAsia" w:asciiTheme="minorEastAsia" w:hAnsiTheme="minorEastAsia" w:eastAsiaTheme="minorEastAsia" w:cstheme="minorEastAsia"/>
          <w:color w:val="auto"/>
          <w:szCs w:val="21"/>
          <w:highlight w:val="none"/>
        </w:rPr>
      </w:pPr>
    </w:p>
    <w:p>
      <w:pPr>
        <w:snapToGrid w:val="0"/>
        <w:spacing w:beforeLines="50" w:after="50" w:line="320" w:lineRule="exact"/>
        <w:ind w:firstLine="645"/>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rPr>
          <w:rFonts w:hint="eastAsia" w:asciiTheme="minorEastAsia" w:hAnsiTheme="minorEastAsia" w:eastAsiaTheme="minorEastAsia" w:cstheme="minorEastAsia"/>
          <w:b/>
          <w:color w:val="auto"/>
          <w:szCs w:val="21"/>
          <w:highlight w:val="none"/>
        </w:rPr>
      </w:pPr>
    </w:p>
    <w:p>
      <w:pPr>
        <w:snapToGrid w:val="0"/>
        <w:spacing w:before="50" w:after="50" w:line="44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目录</w:t>
      </w:r>
    </w:p>
    <w:p>
      <w:pPr>
        <w:snapToGrid w:val="0"/>
        <w:spacing w:before="50" w:after="50" w:line="440" w:lineRule="exact"/>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（自行编写页码）</w:t>
      </w:r>
    </w:p>
    <w:p>
      <w:pPr>
        <w:adjustRightInd w:val="0"/>
        <w:snapToGrid w:val="0"/>
        <w:spacing w:line="400" w:lineRule="exact"/>
        <w:ind w:firstLine="411" w:firstLineChars="196"/>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（1）投标人情况介绍；</w:t>
      </w:r>
    </w:p>
    <w:p>
      <w:pPr>
        <w:snapToGrid w:val="0"/>
        <w:spacing w:line="320" w:lineRule="exact"/>
        <w:ind w:firstLine="210" w:firstLineChars="1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★（2）商务响应表（格式见附件）；（必须提供）</w:t>
      </w:r>
    </w:p>
    <w:p>
      <w:pPr>
        <w:adjustRightInd w:val="0"/>
        <w:snapToGrid w:val="0"/>
        <w:spacing w:line="400" w:lineRule="exact"/>
        <w:ind w:firstLine="210" w:firstLineChars="1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★（3）投标人针对本项目的方案（必须包含技术服务方案、工程施工方案、售后服务方案，自行编写，格式自拟）（必须提供）</w:t>
      </w:r>
    </w:p>
    <w:p>
      <w:pPr>
        <w:adjustRightInd w:val="0"/>
        <w:snapToGrid w:val="0"/>
        <w:spacing w:line="400" w:lineRule="exact"/>
        <w:ind w:firstLine="420" w:firstLineChars="200"/>
        <w:jc w:val="lef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（4）2017年1月1日至投标截止时间止投标人承接的同类项目业绩一览表（投标人同类项目实施情况一览表、合同复印件、用户验收报告、用户评价）；</w:t>
      </w:r>
    </w:p>
    <w:p>
      <w:pPr>
        <w:adjustRightInd w:val="0"/>
        <w:snapToGrid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★（5）设备配置清单（均不含报价）；（必须提供）</w:t>
      </w:r>
    </w:p>
    <w:p>
      <w:pPr>
        <w:adjustRightInd w:val="0"/>
        <w:snapToGrid w:val="0"/>
        <w:spacing w:line="400" w:lineRule="exact"/>
        <w:ind w:firstLine="210" w:firstLineChars="1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★（6）技术响应表；（必须提供）</w:t>
      </w: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（7）项目实施人员一览表；</w:t>
      </w: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（8）投标人需要说明的其他文件和说明。</w:t>
      </w: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adjustRightInd w:val="0"/>
        <w:snapToGrid w:val="0"/>
        <w:spacing w:line="400" w:lineRule="exact"/>
        <w:ind w:firstLine="413" w:firstLineChars="196"/>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（1）投标人情况介绍；</w:t>
      </w:r>
    </w:p>
    <w:p>
      <w:pPr>
        <w:snapToGrid w:val="0"/>
        <w:spacing w:line="320" w:lineRule="exact"/>
        <w:ind w:firstLine="210" w:firstLineChars="100"/>
        <w:jc w:val="left"/>
        <w:rPr>
          <w:rFonts w:hint="eastAsia" w:asciiTheme="minorEastAsia" w:hAnsiTheme="minorEastAsia" w:eastAsiaTheme="minorEastAsia" w:cstheme="minorEastAsia"/>
          <w:color w:val="auto"/>
          <w:szCs w:val="21"/>
          <w:highlight w:val="none"/>
        </w:rPr>
      </w:pPr>
    </w:p>
    <w:p>
      <w:pPr>
        <w:snapToGrid w:val="0"/>
        <w:spacing w:line="320" w:lineRule="exact"/>
        <w:ind w:firstLine="210" w:firstLineChars="100"/>
        <w:jc w:val="left"/>
        <w:rPr>
          <w:rFonts w:hint="eastAsia" w:asciiTheme="minorEastAsia" w:hAnsiTheme="minorEastAsia" w:eastAsiaTheme="minorEastAsia" w:cstheme="minorEastAsia"/>
          <w:color w:val="auto"/>
          <w:szCs w:val="21"/>
          <w:highlight w:val="none"/>
        </w:rPr>
      </w:pPr>
    </w:p>
    <w:p>
      <w:pPr>
        <w:snapToGrid w:val="0"/>
        <w:spacing w:line="320" w:lineRule="exact"/>
        <w:ind w:firstLine="210" w:firstLineChars="100"/>
        <w:jc w:val="left"/>
        <w:rPr>
          <w:rFonts w:hint="eastAsia" w:asciiTheme="minorEastAsia" w:hAnsiTheme="minorEastAsia" w:eastAsiaTheme="minorEastAsia" w:cstheme="minorEastAsia"/>
          <w:color w:val="auto"/>
          <w:szCs w:val="21"/>
          <w:highlight w:val="none"/>
        </w:rPr>
      </w:pPr>
    </w:p>
    <w:p>
      <w:pPr>
        <w:snapToGrid w:val="0"/>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（2）商务响应表；（必须提供）</w:t>
      </w: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beforeLines="50" w:after="5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商务响应表格式：</w:t>
      </w:r>
    </w:p>
    <w:tbl>
      <w:tblPr>
        <w:tblStyle w:val="3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1"/>
        <w:gridCol w:w="3037"/>
        <w:gridCol w:w="1443"/>
        <w:gridCol w:w="2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9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招标文件要求</w:t>
            </w: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质保期</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投标报价</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售后服务及其他要求</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hint="eastAsia" w:asciiTheme="minorEastAsia" w:hAnsiTheme="minorEastAsia" w:eastAsiaTheme="minorEastAsia" w:cstheme="minorEastAsia"/>
                <w:color w:val="auto"/>
                <w:sz w:val="21"/>
                <w:szCs w:val="21"/>
                <w:highlight w:val="none"/>
                <w:u w:val="singl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43"/>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43"/>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交货时间及地点</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签订合同日期</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付款条件</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Cs w:val="21"/>
                <w:highlight w:val="none"/>
              </w:rPr>
              <w:t>货物验收</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303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144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c>
          <w:tcPr>
            <w:tcW w:w="265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hint="eastAsia" w:asciiTheme="minorEastAsia" w:hAnsiTheme="minorEastAsia" w:eastAsiaTheme="minorEastAsia" w:cstheme="minorEastAsia"/>
                <w:color w:val="auto"/>
                <w:sz w:val="21"/>
                <w:szCs w:val="21"/>
                <w:highlight w:val="none"/>
              </w:rPr>
            </w:pPr>
          </w:p>
        </w:tc>
      </w:tr>
    </w:tbl>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法定代表人（负责人）或授权代表签名：</w:t>
      </w:r>
    </w:p>
    <w:p>
      <w:pPr>
        <w:snapToGrid w:val="0"/>
        <w:spacing w:line="44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投标人盖章：</w:t>
      </w:r>
    </w:p>
    <w:p>
      <w:pPr>
        <w:snapToGrid w:val="0"/>
        <w:spacing w:line="32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日期：</w:t>
      </w: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snapToGrid w:val="0"/>
        <w:spacing w:line="320" w:lineRule="exact"/>
        <w:jc w:val="left"/>
        <w:rPr>
          <w:rFonts w:hint="eastAsia" w:asciiTheme="minorEastAsia" w:hAnsiTheme="minorEastAsia" w:eastAsiaTheme="minorEastAsia" w:cstheme="minorEastAsia"/>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（3）投标人针对本项目的方案（必须包含技术服务方案、工程施工方案、售后服务方案，自行编写，格式自拟）（必须提供）</w:t>
      </w: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snapToGrid w:val="0"/>
        <w:spacing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法定代表人（负责人）或授权代表签名：</w:t>
      </w:r>
    </w:p>
    <w:p>
      <w:pPr>
        <w:snapToGrid w:val="0"/>
        <w:spacing w:line="44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投标人盖章：</w:t>
      </w:r>
    </w:p>
    <w:p>
      <w:pPr>
        <w:adjustRightInd w:val="0"/>
        <w:snapToGrid w:val="0"/>
        <w:spacing w:line="400" w:lineRule="exact"/>
        <w:ind w:firstLine="420" w:firstLineChars="2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日期：</w:t>
      </w: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（4）2017年1月1日至投标截止时间止投标人承接的同类项目业绩一览表（投标人同类项目实施情况一览表、中标通知书/合同复印件、用户验收报告、用户评价等）；</w:t>
      </w:r>
    </w:p>
    <w:p>
      <w:p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p>
    <w:tbl>
      <w:tblPr>
        <w:tblStyle w:val="35"/>
        <w:tblW w:w="97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3"/>
        <w:gridCol w:w="2384"/>
        <w:gridCol w:w="753"/>
        <w:gridCol w:w="754"/>
        <w:gridCol w:w="1004"/>
        <w:gridCol w:w="502"/>
        <w:gridCol w:w="502"/>
        <w:gridCol w:w="502"/>
        <w:gridCol w:w="1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18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采购单位名称</w:t>
            </w:r>
          </w:p>
        </w:tc>
        <w:tc>
          <w:tcPr>
            <w:tcW w:w="23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设备或项目名称</w:t>
            </w:r>
          </w:p>
        </w:tc>
        <w:tc>
          <w:tcPr>
            <w:tcW w:w="7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w:t>
            </w:r>
          </w:p>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单价</w:t>
            </w:r>
          </w:p>
        </w:tc>
        <w:tc>
          <w:tcPr>
            <w:tcW w:w="10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w:t>
            </w:r>
          </w:p>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（万元）</w:t>
            </w:r>
          </w:p>
        </w:tc>
        <w:tc>
          <w:tcPr>
            <w:tcW w:w="150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附件页码</w:t>
            </w:r>
          </w:p>
        </w:tc>
        <w:tc>
          <w:tcPr>
            <w:tcW w:w="15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采购单位联系人及</w:t>
            </w:r>
          </w:p>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trPr>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2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7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1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验收报告</w:t>
            </w:r>
          </w:p>
        </w:tc>
        <w:tc>
          <w:tcPr>
            <w:tcW w:w="50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用户评价</w:t>
            </w: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83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2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75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50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Theme="minorEastAsia" w:hAnsiTheme="minorEastAsia" w:eastAsiaTheme="minorEastAsia" w:cstheme="minorEastAsia"/>
                <w:color w:val="auto"/>
                <w:sz w:val="21"/>
                <w:szCs w:val="21"/>
                <w:highlight w:val="none"/>
              </w:rPr>
            </w:pPr>
          </w:p>
        </w:tc>
      </w:tr>
    </w:tbl>
    <w:p>
      <w:pPr>
        <w:pStyle w:val="14"/>
        <w:snapToGrid w:val="0"/>
        <w:rPr>
          <w:rFonts w:hint="eastAsia" w:asciiTheme="minorEastAsia" w:hAnsiTheme="minorEastAsia" w:eastAsiaTheme="minorEastAsia" w:cstheme="minorEastAsia"/>
          <w:color w:val="auto"/>
          <w:sz w:val="21"/>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（5）设备配置清单（均不含报价）；（必须提供）</w:t>
      </w:r>
    </w:p>
    <w:tbl>
      <w:tblPr>
        <w:tblStyle w:val="3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r>
    </w:tbl>
    <w:p>
      <w:pPr>
        <w:snapToGrid w:val="0"/>
        <w:spacing w:before="50" w:after="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p>
      <w:pPr>
        <w:snapToGrid w:val="0"/>
        <w:spacing w:before="50" w:after="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1、以上配置清单中“货物名称、品牌、规格型号、单位数量、产地”必须与“开标一览表”相对应一致，否则做无效投标处理。</w:t>
      </w: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snapToGrid w:val="0"/>
        <w:spacing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法定代表人（负责人）或授权代表签名：</w:t>
      </w:r>
    </w:p>
    <w:p>
      <w:pPr>
        <w:snapToGrid w:val="0"/>
        <w:spacing w:line="44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投标人盖章：</w:t>
      </w:r>
    </w:p>
    <w:p>
      <w:pPr>
        <w:adjustRightInd w:val="0"/>
        <w:snapToGrid w:val="0"/>
        <w:spacing w:line="400" w:lineRule="exact"/>
        <w:ind w:firstLine="420" w:firstLineChars="2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日期：</w:t>
      </w: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p>
    <w:p>
      <w:pPr>
        <w:adjustRightInd w:val="0"/>
        <w:snapToGrid w:val="0"/>
        <w:spacing w:line="400" w:lineRule="exact"/>
        <w:ind w:firstLine="211" w:firstLineChars="1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（6）技术响应表；（必须提供）</w:t>
      </w:r>
    </w:p>
    <w:p>
      <w:pPr>
        <w:snapToGrid w:val="0"/>
        <w:spacing w:before="50" w:afterLines="5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技术响应表（格式）</w:t>
      </w:r>
    </w:p>
    <w:tbl>
      <w:tblPr>
        <w:tblStyle w:val="35"/>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序号</w:t>
            </w:r>
          </w:p>
        </w:tc>
        <w:tc>
          <w:tcPr>
            <w:tcW w:w="2143"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货物名称</w:t>
            </w:r>
          </w:p>
        </w:tc>
        <w:tc>
          <w:tcPr>
            <w:tcW w:w="1834"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招标要求</w:t>
            </w:r>
          </w:p>
        </w:tc>
        <w:tc>
          <w:tcPr>
            <w:tcW w:w="2181"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投标规格</w:t>
            </w:r>
          </w:p>
        </w:tc>
        <w:tc>
          <w:tcPr>
            <w:tcW w:w="1934" w:type="dxa"/>
            <w:vAlign w:val="center"/>
          </w:tcPr>
          <w:p>
            <w:pPr>
              <w:pStyle w:val="22"/>
              <w:spacing w:line="400" w:lineRule="exact"/>
              <w:jc w:val="center"/>
              <w:rPr>
                <w:rFonts w:hint="eastAsia" w:asciiTheme="minorEastAsia" w:hAnsiTheme="minorEastAsia" w:eastAsiaTheme="minorEastAsia" w:cstheme="minorEastAsia"/>
                <w:color w:val="auto"/>
                <w:kern w:val="2"/>
                <w:sz w:val="21"/>
                <w:highlight w:val="none"/>
              </w:rPr>
            </w:pPr>
            <w:r>
              <w:rPr>
                <w:rFonts w:hint="eastAsia" w:asciiTheme="minorEastAsia" w:hAnsiTheme="minorEastAsia" w:eastAsiaTheme="minorEastAsia" w:cstheme="minorEastAsia"/>
                <w:color w:val="auto"/>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jc w:val="center"/>
              <w:rPr>
                <w:rFonts w:hint="eastAsia" w:asciiTheme="minorEastAsia" w:hAnsiTheme="minorEastAsia" w:eastAsiaTheme="minorEastAsia" w:cstheme="minorEastAsia"/>
                <w:color w:val="auto"/>
                <w:kern w:val="2"/>
                <w:sz w:val="21"/>
                <w:highlight w:val="none"/>
              </w:rPr>
            </w:pPr>
          </w:p>
        </w:tc>
        <w:tc>
          <w:tcPr>
            <w:tcW w:w="2143" w:type="dxa"/>
            <w:vAlign w:val="center"/>
          </w:tcPr>
          <w:p>
            <w:pPr>
              <w:pStyle w:val="22"/>
              <w:spacing w:line="600" w:lineRule="exact"/>
              <w:jc w:val="center"/>
              <w:rPr>
                <w:rFonts w:hint="eastAsia" w:asciiTheme="minorEastAsia" w:hAnsiTheme="minorEastAsia" w:eastAsiaTheme="minorEastAsia" w:cstheme="minorEastAsia"/>
                <w:color w:val="auto"/>
                <w:kern w:val="2"/>
                <w:sz w:val="21"/>
                <w:highlight w:val="none"/>
              </w:rPr>
            </w:pPr>
          </w:p>
        </w:tc>
        <w:tc>
          <w:tcPr>
            <w:tcW w:w="1834" w:type="dxa"/>
            <w:vAlign w:val="center"/>
          </w:tcPr>
          <w:p>
            <w:pPr>
              <w:pStyle w:val="22"/>
              <w:spacing w:line="600" w:lineRule="exact"/>
              <w:jc w:val="center"/>
              <w:rPr>
                <w:rFonts w:hint="eastAsia" w:asciiTheme="minorEastAsia" w:hAnsiTheme="minorEastAsia" w:eastAsiaTheme="minorEastAsia" w:cstheme="minorEastAsia"/>
                <w:color w:val="auto"/>
                <w:kern w:val="2"/>
                <w:sz w:val="21"/>
                <w:highlight w:val="none"/>
              </w:rPr>
            </w:pPr>
          </w:p>
        </w:tc>
        <w:tc>
          <w:tcPr>
            <w:tcW w:w="2181" w:type="dxa"/>
            <w:vAlign w:val="center"/>
          </w:tcPr>
          <w:p>
            <w:pPr>
              <w:pStyle w:val="22"/>
              <w:spacing w:line="600" w:lineRule="exact"/>
              <w:jc w:val="center"/>
              <w:rPr>
                <w:rFonts w:hint="eastAsia" w:asciiTheme="minorEastAsia" w:hAnsiTheme="minorEastAsia" w:eastAsiaTheme="minorEastAsia" w:cstheme="minorEastAsia"/>
                <w:color w:val="auto"/>
                <w:kern w:val="2"/>
                <w:sz w:val="21"/>
                <w:highlight w:val="none"/>
              </w:rPr>
            </w:pPr>
          </w:p>
        </w:tc>
        <w:tc>
          <w:tcPr>
            <w:tcW w:w="1934" w:type="dxa"/>
            <w:vAlign w:val="center"/>
          </w:tcPr>
          <w:p>
            <w:pPr>
              <w:pStyle w:val="22"/>
              <w:spacing w:line="600" w:lineRule="exact"/>
              <w:jc w:val="center"/>
              <w:rPr>
                <w:rFonts w:hint="eastAsia" w:asciiTheme="minorEastAsia" w:hAnsiTheme="minorEastAsia" w:eastAsiaTheme="minorEastAsia" w:cstheme="minorEastAsia"/>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2143"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1834"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2181" w:type="dxa"/>
          </w:tcPr>
          <w:p>
            <w:pPr>
              <w:pStyle w:val="22"/>
              <w:spacing w:line="600" w:lineRule="exact"/>
              <w:rPr>
                <w:rFonts w:hint="eastAsia" w:asciiTheme="minorEastAsia" w:hAnsiTheme="minorEastAsia" w:eastAsiaTheme="minorEastAsia" w:cstheme="minorEastAsia"/>
                <w:color w:val="auto"/>
                <w:kern w:val="2"/>
                <w:sz w:val="21"/>
                <w:highlight w:val="none"/>
              </w:rPr>
            </w:pPr>
          </w:p>
        </w:tc>
        <w:tc>
          <w:tcPr>
            <w:tcW w:w="1934" w:type="dxa"/>
          </w:tcPr>
          <w:p>
            <w:pPr>
              <w:pStyle w:val="22"/>
              <w:spacing w:line="600" w:lineRule="exact"/>
              <w:rPr>
                <w:rFonts w:hint="eastAsia" w:asciiTheme="minorEastAsia" w:hAnsiTheme="minorEastAsia" w:eastAsiaTheme="minorEastAsia" w:cstheme="minorEastAsia"/>
                <w:color w:val="auto"/>
                <w:kern w:val="2"/>
                <w:sz w:val="21"/>
                <w:highlight w:val="none"/>
              </w:rPr>
            </w:pPr>
          </w:p>
        </w:tc>
      </w:tr>
    </w:tbl>
    <w:p>
      <w:pPr>
        <w:pStyle w:val="1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注：投标人应根据投标设备的性能指标、对照招标文件要求在“偏离情况”栏注明“正偏离”、“负偏离”或“无偏离”。</w:t>
      </w:r>
    </w:p>
    <w:p>
      <w:pPr>
        <w:snapToGrid w:val="0"/>
        <w:spacing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法定代表人（负责人）或授权代表签名：</w:t>
      </w:r>
    </w:p>
    <w:p>
      <w:pPr>
        <w:snapToGrid w:val="0"/>
        <w:spacing w:line="44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投标人盖章：</w:t>
      </w:r>
    </w:p>
    <w:p>
      <w:pPr>
        <w:snapToGrid w:val="0"/>
        <w:spacing w:line="440" w:lineRule="exact"/>
        <w:jc w:val="lef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日期：</w:t>
      </w:r>
    </w:p>
    <w:p>
      <w:pPr>
        <w:snapToGrid w:val="0"/>
        <w:spacing w:before="50" w:afterLines="5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说明：若此表由多页构成，应逐页加盖投标人公章或由法定代表人（负责人）或授权代表签名。</w:t>
      </w: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p>
    <w:p>
      <w:pPr>
        <w:numPr>
          <w:ilvl w:val="0"/>
          <w:numId w:val="9"/>
        </w:numPr>
        <w:adjustRightInd w:val="0"/>
        <w:snapToGrid w:val="0"/>
        <w:spacing w:line="400" w:lineRule="exact"/>
        <w:ind w:firstLine="422" w:firstLineChars="200"/>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项目实施人员一览表；</w:t>
      </w:r>
    </w:p>
    <w:p>
      <w:pPr>
        <w:adjustRightInd w:val="0"/>
        <w:snapToGrid w:val="0"/>
        <w:spacing w:line="400" w:lineRule="exact"/>
        <w:jc w:val="left"/>
        <w:rPr>
          <w:rFonts w:hint="eastAsia" w:asciiTheme="minorEastAsia" w:hAnsiTheme="minorEastAsia" w:eastAsiaTheme="minorEastAsia" w:cstheme="minorEastAsia"/>
          <w:color w:val="auto"/>
          <w:szCs w:val="21"/>
          <w:highlight w:val="none"/>
        </w:rPr>
      </w:pPr>
    </w:p>
    <w:tbl>
      <w:tblPr>
        <w:tblStyle w:val="35"/>
        <w:tblW w:w="8792"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260"/>
        <w:gridCol w:w="1817"/>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专业技术资格</w:t>
            </w: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证书编号</w:t>
            </w: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181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hint="eastAsia" w:asciiTheme="minorEastAsia" w:hAnsiTheme="minorEastAsia" w:eastAsiaTheme="minorEastAsia" w:cstheme="minorEastAsia"/>
                <w:color w:val="auto"/>
                <w:szCs w:val="21"/>
                <w:highlight w:val="none"/>
              </w:rPr>
            </w:pPr>
          </w:p>
        </w:tc>
      </w:tr>
    </w:tbl>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注：在填写时，如本表格不适合投标单位的实际情况，可根据本表格式自行划表填写。</w:t>
      </w:r>
    </w:p>
    <w:p>
      <w:pPr>
        <w:snapToGrid w:val="0"/>
        <w:spacing w:before="50" w:after="50" w:line="320" w:lineRule="exact"/>
        <w:ind w:left="-2" w:right="-817" w:rightChars="-38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法定代表人（负责人）或授权代表（签字或盖章）：</w:t>
      </w: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投标人名称（公章）：</w:t>
      </w: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日期：    年   月   日</w:t>
      </w:r>
    </w:p>
    <w:p>
      <w:pPr>
        <w:adjustRightInd w:val="0"/>
        <w:snapToGrid w:val="0"/>
        <w:spacing w:line="400" w:lineRule="exact"/>
        <w:jc w:val="left"/>
        <w:rPr>
          <w:rFonts w:hint="eastAsia" w:asciiTheme="minorEastAsia" w:hAnsiTheme="minorEastAsia" w:eastAsiaTheme="minorEastAsia" w:cstheme="minorEastAsia"/>
          <w:color w:val="auto"/>
          <w:szCs w:val="21"/>
          <w:highlight w:val="none"/>
        </w:rPr>
      </w:pPr>
    </w:p>
    <w:p>
      <w:pPr>
        <w:adjustRightInd w:val="0"/>
        <w:snapToGrid w:val="0"/>
        <w:spacing w:line="40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（8）投标人需要说明的其他文件和说明。</w:t>
      </w:r>
    </w:p>
    <w:p>
      <w:pPr>
        <w:snapToGrid w:val="0"/>
        <w:spacing w:before="50" w:afterLines="50" w:line="440" w:lineRule="exact"/>
        <w:jc w:val="left"/>
        <w:rPr>
          <w:rFonts w:hint="eastAsia" w:asciiTheme="minorEastAsia" w:hAnsiTheme="minorEastAsia" w:eastAsiaTheme="minorEastAsia" w:cstheme="minorEastAsia"/>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50" w:afterLines="50"/>
        <w:jc w:val="left"/>
        <w:rPr>
          <w:rFonts w:hint="eastAsia" w:asciiTheme="minorEastAsia" w:hAnsiTheme="minorEastAsia" w:eastAsiaTheme="minorEastAsia" w:cstheme="minorEastAsia"/>
          <w:b/>
          <w:color w:val="auto"/>
          <w:szCs w:val="21"/>
          <w:highlight w:val="none"/>
        </w:rPr>
      </w:pPr>
    </w:p>
    <w:p>
      <w:pPr>
        <w:snapToGrid w:val="0"/>
        <w:spacing w:beforeLines="50" w:after="50" w:line="40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四、报价文件格式</w:t>
      </w:r>
    </w:p>
    <w:p>
      <w:pPr>
        <w:snapToGrid w:val="0"/>
        <w:spacing w:beforeLines="50" w:after="50" w:line="360" w:lineRule="exact"/>
        <w:rPr>
          <w:rFonts w:hint="eastAsia" w:asciiTheme="minorEastAsia" w:hAnsiTheme="minorEastAsia" w:eastAsiaTheme="minorEastAsia" w:cstheme="minorEastAsia"/>
          <w:b/>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1.报价文件的外包装封面格式（不可缺）：</w:t>
      </w: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报价文件</w:t>
      </w: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项目编号： </w:t>
      </w:r>
    </w:p>
    <w:p>
      <w:pPr>
        <w:pStyle w:val="8"/>
        <w:snapToGrid w:val="0"/>
        <w:spacing w:before="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pStyle w:val="8"/>
        <w:snapToGrid w:val="0"/>
        <w:spacing w:before="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投标人地址：</w:t>
      </w:r>
    </w:p>
    <w:p>
      <w:pPr>
        <w:pStyle w:val="8"/>
        <w:snapToGrid w:val="0"/>
        <w:spacing w:before="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在  年  月  日  时  分之前不得启封</w:t>
      </w:r>
    </w:p>
    <w:p>
      <w:pPr>
        <w:pStyle w:val="8"/>
        <w:snapToGrid w:val="0"/>
        <w:spacing w:before="50" w:after="50" w:line="360" w:lineRule="exact"/>
        <w:ind w:firstLine="873" w:firstLineChars="416"/>
        <w:rPr>
          <w:rFonts w:hint="eastAsia" w:asciiTheme="minorEastAsia" w:hAnsiTheme="minorEastAsia" w:eastAsiaTheme="minorEastAsia" w:cstheme="minorEastAsia"/>
          <w:color w:val="auto"/>
          <w:szCs w:val="21"/>
          <w:highlight w:val="none"/>
        </w:rPr>
      </w:pPr>
    </w:p>
    <w:p>
      <w:pPr>
        <w:pStyle w:val="8"/>
        <w:snapToGrid w:val="0"/>
        <w:spacing w:before="50" w:after="50" w:line="360" w:lineRule="exact"/>
        <w:ind w:firstLine="873" w:firstLineChars="416"/>
        <w:rPr>
          <w:rFonts w:hint="eastAsia" w:asciiTheme="minorEastAsia" w:hAnsiTheme="minorEastAsia" w:eastAsiaTheme="minorEastAsia" w:cstheme="minorEastAsia"/>
          <w:color w:val="auto"/>
          <w:szCs w:val="21"/>
          <w:highlight w:val="none"/>
        </w:rPr>
      </w:pPr>
    </w:p>
    <w:p>
      <w:pPr>
        <w:snapToGrid w:val="0"/>
        <w:spacing w:beforeLines="50" w:after="50" w:line="360" w:lineRule="exact"/>
        <w:ind w:firstLine="645"/>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Lines="50" w:after="50" w:line="360" w:lineRule="exact"/>
        <w:rPr>
          <w:rFonts w:hint="eastAsia" w:asciiTheme="minorEastAsia" w:hAnsiTheme="minorEastAsia" w:eastAsiaTheme="minorEastAsia" w:cstheme="minorEastAsia"/>
          <w:color w:val="auto"/>
          <w:szCs w:val="21"/>
          <w:highlight w:val="none"/>
        </w:rPr>
      </w:pPr>
    </w:p>
    <w:p>
      <w:pPr>
        <w:snapToGrid w:val="0"/>
        <w:spacing w:beforeLines="50" w:after="50" w:line="360" w:lineRule="exact"/>
        <w:rPr>
          <w:rFonts w:hint="eastAsia" w:asciiTheme="minorEastAsia" w:hAnsiTheme="minorEastAsia" w:eastAsiaTheme="minorEastAsia" w:cstheme="minorEastAsia"/>
          <w:color w:val="auto"/>
          <w:szCs w:val="21"/>
          <w:highlight w:val="none"/>
        </w:rPr>
      </w:pPr>
    </w:p>
    <w:p>
      <w:pPr>
        <w:snapToGrid w:val="0"/>
        <w:spacing w:beforeLines="50" w:after="50" w:line="360" w:lineRule="exact"/>
        <w:rPr>
          <w:rFonts w:hint="eastAsia" w:asciiTheme="minorEastAsia" w:hAnsiTheme="minorEastAsia" w:eastAsiaTheme="minorEastAsia" w:cstheme="minorEastAsia"/>
          <w:color w:val="auto"/>
          <w:szCs w:val="21"/>
          <w:highlight w:val="none"/>
        </w:rPr>
      </w:pPr>
    </w:p>
    <w:p>
      <w:pPr>
        <w:snapToGrid w:val="0"/>
        <w:spacing w:beforeLines="50" w:after="50" w:line="36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2.报价文件封面格式： </w:t>
      </w:r>
    </w:p>
    <w:p>
      <w:pPr>
        <w:snapToGrid w:val="0"/>
        <w:spacing w:beforeLines="50" w:after="50" w:line="360" w:lineRule="exact"/>
        <w:rPr>
          <w:rFonts w:hint="eastAsia" w:asciiTheme="minorEastAsia" w:hAnsiTheme="minorEastAsia" w:eastAsiaTheme="minorEastAsia" w:cstheme="minorEastAsia"/>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正本/或副本</w:t>
      </w: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Cs/>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报价文件</w:t>
      </w: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rPr>
          <w:rFonts w:hint="eastAsia" w:asciiTheme="minorEastAsia" w:hAnsiTheme="minorEastAsia" w:eastAsiaTheme="minorEastAsia" w:cstheme="minorEastAsia"/>
          <w:bCs/>
          <w:color w:val="auto"/>
          <w:szCs w:val="21"/>
          <w:highlight w:val="none"/>
        </w:rPr>
      </w:pPr>
    </w:p>
    <w:p>
      <w:pPr>
        <w:snapToGrid w:val="0"/>
        <w:spacing w:beforeLines="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项目名称： </w:t>
      </w:r>
    </w:p>
    <w:p>
      <w:pPr>
        <w:snapToGrid w:val="0"/>
        <w:spacing w:beforeLines="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项目编号： </w:t>
      </w:r>
    </w:p>
    <w:p>
      <w:pPr>
        <w:snapToGrid w:val="0"/>
        <w:spacing w:beforeLines="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p>
      <w:pPr>
        <w:snapToGrid w:val="0"/>
        <w:spacing w:beforeLines="50" w:after="50" w:line="360" w:lineRule="exact"/>
        <w:ind w:firstLine="630" w:firstLineChars="3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投标人地址：</w:t>
      </w: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  日</w:t>
      </w: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360" w:lineRule="exact"/>
        <w:jc w:val="center"/>
        <w:rPr>
          <w:rFonts w:hint="eastAsia" w:asciiTheme="minorEastAsia" w:hAnsiTheme="minorEastAsia" w:eastAsiaTheme="minorEastAsia" w:cstheme="minorEastAsia"/>
          <w:color w:val="auto"/>
          <w:szCs w:val="21"/>
          <w:highlight w:val="none"/>
        </w:rPr>
      </w:pPr>
    </w:p>
    <w:p>
      <w:pPr>
        <w:snapToGrid w:val="0"/>
        <w:spacing w:beforeLines="50" w:after="50" w:line="40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3.投标函格式：</w:t>
      </w:r>
    </w:p>
    <w:p>
      <w:pPr>
        <w:snapToGrid w:val="0"/>
        <w:spacing w:beforeLines="50" w:after="50" w:line="460" w:lineRule="exact"/>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 标 函</w:t>
      </w:r>
    </w:p>
    <w:p>
      <w:pPr>
        <w:snapToGrid w:val="0"/>
        <w:spacing w:beforeLines="50" w:after="50" w:line="460" w:lineRule="exact"/>
        <w:jc w:val="center"/>
        <w:rPr>
          <w:rFonts w:hint="eastAsia" w:asciiTheme="minorEastAsia" w:hAnsiTheme="minorEastAsia" w:eastAsiaTheme="minorEastAsia" w:cstheme="minorEastAsia"/>
          <w:b/>
          <w:color w:val="auto"/>
          <w:szCs w:val="21"/>
          <w:highlight w:val="none"/>
        </w:rPr>
      </w:pP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致：（招标采购单位名称）：</w:t>
      </w:r>
    </w:p>
    <w:p>
      <w:pPr>
        <w:snapToGrid w:val="0"/>
        <w:spacing w:line="460" w:lineRule="exact"/>
        <w:ind w:firstLine="48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根据贵方为项目的招标公告（项目编号：），签字代表（全名）经正式授权并代表投标人（投标人名称）提交资格审查文件、商务/技术文件、报价文件正本各一份、副本各四份。</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据此函，签字代表宣布同意如下：</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2.投标人在投标之前已经与贵方进行了充分的沟通，完全理解并接受招标文件的各项规定和要求，对招标文件的合理性、合法性不再有异议。</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3.本投标有效期自开标日起</w:t>
      </w:r>
      <w:r>
        <w:rPr>
          <w:rFonts w:hint="eastAsia" w:asciiTheme="minorEastAsia" w:hAnsiTheme="minorEastAsia" w:eastAsiaTheme="minorEastAsia" w:cstheme="minorEastAsia"/>
          <w:color w:val="auto"/>
          <w:szCs w:val="21"/>
          <w:highlight w:val="none"/>
          <w:u w:val="single"/>
        </w:rPr>
        <w:t xml:space="preserve">   天</w:t>
      </w:r>
      <w:r>
        <w:rPr>
          <w:rFonts w:hint="eastAsia" w:asciiTheme="minorEastAsia" w:hAnsiTheme="minorEastAsia" w:eastAsiaTheme="minorEastAsia" w:cstheme="minorEastAsia"/>
          <w:color w:val="auto"/>
          <w:szCs w:val="21"/>
          <w:highlight w:val="none"/>
        </w:rPr>
        <w:t>。</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4.如中标，本投标文件至本项目合同履行完毕止均保持有效，本投标人将按“招标文件”及政府采购法律、法规的规定履行合同责任和义务。</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5.投标人同意按照贵方要求提供与投标有关的一切数据或资料。</w:t>
      </w:r>
    </w:p>
    <w:p>
      <w:pPr>
        <w:snapToGrid w:val="0"/>
        <w:spacing w:line="46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6.与本投标有关的一切正式往来信函请寄：</w:t>
      </w: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地址：邮编：  电话：</w:t>
      </w: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传真：  投标人代表姓名  职务：</w:t>
      </w: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投标人名称(公章)：</w:t>
      </w: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   银行帐号：</w:t>
      </w: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法定代表人（负责人）或授权代表（签字或盖章）：</w:t>
      </w:r>
    </w:p>
    <w:p>
      <w:pPr>
        <w:snapToGrid w:val="0"/>
        <w:spacing w:line="46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日期：年月日</w:t>
      </w: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p>
    <w:p>
      <w:pPr>
        <w:snapToGrid w:val="0"/>
        <w:spacing w:line="460" w:lineRule="exact"/>
        <w:rPr>
          <w:rFonts w:hint="eastAsia" w:asciiTheme="minorEastAsia" w:hAnsiTheme="minorEastAsia" w:eastAsiaTheme="minorEastAsia" w:cstheme="minorEastAsia"/>
          <w:color w:val="auto"/>
          <w:szCs w:val="21"/>
          <w:highlight w:val="none"/>
        </w:rPr>
      </w:pPr>
    </w:p>
    <w:p>
      <w:pPr>
        <w:snapToGrid w:val="0"/>
        <w:spacing w:beforeLines="50" w:after="50" w:line="40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br w:type="page"/>
      </w:r>
      <w:r>
        <w:rPr>
          <w:rFonts w:hint="eastAsia" w:asciiTheme="minorEastAsia" w:hAnsiTheme="minorEastAsia" w:eastAsiaTheme="minorEastAsia" w:cstheme="minorEastAsia"/>
          <w:b/>
          <w:color w:val="auto"/>
          <w:szCs w:val="21"/>
          <w:highlight w:val="none"/>
        </w:rPr>
        <w:t>4.投标报价明细表格式</w:t>
      </w:r>
    </w:p>
    <w:p>
      <w:pPr>
        <w:pStyle w:val="22"/>
        <w:snapToGrid w:val="0"/>
        <w:spacing w:before="295" w:after="295" w:line="400" w:lineRule="exact"/>
        <w:jc w:val="center"/>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投标报价明细表</w:t>
      </w:r>
    </w:p>
    <w:p>
      <w:pPr>
        <w:pStyle w:val="22"/>
        <w:snapToGrid w:val="0"/>
        <w:spacing w:before="295" w:after="295" w:line="400" w:lineRule="exact"/>
        <w:ind w:firstLine="3570" w:firstLineChars="17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金额单位：人民币（元）</w:t>
      </w:r>
    </w:p>
    <w:tbl>
      <w:tblPr>
        <w:tblStyle w:val="35"/>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252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货物名称</w:t>
            </w: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技术参数</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1</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2</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w:t>
            </w: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25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4140" w:type="dxa"/>
            <w:gridSpan w:val="2"/>
            <w:tcBorders>
              <w:top w:val="single" w:color="auto" w:sz="4" w:space="0"/>
              <w:left w:val="single" w:color="auto" w:sz="4" w:space="0"/>
              <w:bottom w:val="single" w:color="auto" w:sz="4" w:space="0"/>
              <w:right w:val="single" w:color="auto" w:sz="4" w:space="0"/>
            </w:tcBorders>
          </w:tcPr>
          <w:p>
            <w:pPr>
              <w:pStyle w:val="87"/>
              <w:tabs>
                <w:tab w:val="left" w:pos="1418"/>
              </w:tabs>
              <w:snapToGrid w:val="0"/>
              <w:spacing w:before="50" w:after="50" w:line="400" w:lineRule="exact"/>
              <w:rPr>
                <w:rFonts w:hint="eastAsia" w:asciiTheme="minorEastAsia" w:hAnsiTheme="minorEastAsia" w:eastAsiaTheme="minorEastAsia" w:cstheme="minorEastAsia"/>
                <w:color w:val="auto"/>
                <w:spacing w:val="20"/>
                <w:sz w:val="21"/>
                <w:szCs w:val="21"/>
                <w:highlight w:val="none"/>
              </w:rPr>
            </w:pPr>
            <w:r>
              <w:rPr>
                <w:rFonts w:hint="eastAsia" w:asciiTheme="minorEastAsia" w:hAnsiTheme="minorEastAsia" w:eastAsiaTheme="minorEastAsia" w:cstheme="minorEastAsia"/>
                <w:color w:val="auto"/>
                <w:spacing w:val="20"/>
                <w:sz w:val="21"/>
                <w:szCs w:val="21"/>
                <w:highlight w:val="none"/>
              </w:rPr>
              <w:t>标书费、代理费</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4140" w:type="dxa"/>
            <w:gridSpan w:val="2"/>
            <w:tcBorders>
              <w:top w:val="single" w:color="auto" w:sz="4" w:space="0"/>
              <w:left w:val="single" w:color="auto" w:sz="4" w:space="0"/>
              <w:bottom w:val="single" w:color="auto" w:sz="4" w:space="0"/>
              <w:right w:val="single" w:color="auto" w:sz="4" w:space="0"/>
            </w:tcBorders>
          </w:tcPr>
          <w:p>
            <w:pPr>
              <w:pStyle w:val="87"/>
              <w:tabs>
                <w:tab w:val="left" w:pos="1418"/>
              </w:tabs>
              <w:snapToGrid w:val="0"/>
              <w:spacing w:before="50" w:after="50" w:line="400" w:lineRule="exact"/>
              <w:rPr>
                <w:rFonts w:hint="eastAsia" w:asciiTheme="minorEastAsia" w:hAnsiTheme="minorEastAsia" w:eastAsiaTheme="minorEastAsia" w:cstheme="minorEastAsia"/>
                <w:color w:val="auto"/>
                <w:spacing w:val="20"/>
                <w:sz w:val="21"/>
                <w:szCs w:val="21"/>
                <w:highlight w:val="none"/>
              </w:rPr>
            </w:pPr>
            <w:r>
              <w:rPr>
                <w:rFonts w:hint="eastAsia" w:asciiTheme="minorEastAsia" w:hAnsiTheme="minorEastAsia" w:eastAsiaTheme="minorEastAsia" w:cstheme="minorEastAsia"/>
                <w:color w:val="auto"/>
                <w:spacing w:val="20"/>
                <w:sz w:val="21"/>
                <w:szCs w:val="21"/>
                <w:highlight w:val="none"/>
              </w:rPr>
              <w:t>其他：</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4148"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税费及附加</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税费率：%</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c>
          <w:tcPr>
            <w:tcW w:w="4148"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项目毛利</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毛利率：%</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6"/>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投 标 总  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hint="eastAsia" w:asciiTheme="minorEastAsia" w:hAnsiTheme="minorEastAsia" w:eastAsiaTheme="minorEastAsia" w:cstheme="minorEastAsia"/>
                <w:color w:val="auto"/>
                <w:spacing w:val="20"/>
                <w:szCs w:val="21"/>
                <w:highlight w:val="none"/>
              </w:rPr>
            </w:pPr>
          </w:p>
        </w:tc>
      </w:tr>
    </w:tbl>
    <w:p>
      <w:pPr>
        <w:tabs>
          <w:tab w:val="left" w:pos="1418"/>
        </w:tabs>
        <w:snapToGrid w:val="0"/>
        <w:spacing w:before="50" w:after="50" w:line="400" w:lineRule="exact"/>
        <w:ind w:left="1418" w:hanging="567"/>
        <w:jc w:val="center"/>
        <w:rPr>
          <w:rFonts w:hint="eastAsia" w:asciiTheme="minorEastAsia" w:hAnsiTheme="minorEastAsia" w:eastAsiaTheme="minorEastAsia" w:cstheme="minorEastAsia"/>
          <w:color w:val="auto"/>
          <w:spacing w:val="20"/>
          <w:szCs w:val="21"/>
          <w:highlight w:val="none"/>
          <w:u w:val="single"/>
        </w:rPr>
      </w:pPr>
    </w:p>
    <w:p>
      <w:pPr>
        <w:snapToGrid w:val="0"/>
        <w:spacing w:before="50" w:after="50" w:line="320" w:lineRule="exact"/>
        <w:ind w:left="-2" w:right="-817" w:rightChars="-38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法定代表人（负责人）或授权代表（签字或盖章）：</w:t>
      </w: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投标人名称（公章）：</w:t>
      </w: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日期：年月日</w:t>
      </w: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p>
    <w:p>
      <w:pPr>
        <w:pStyle w:val="22"/>
        <w:snapToGrid w:val="0"/>
        <w:spacing w:before="295" w:after="295" w:line="400" w:lineRule="exact"/>
        <w:rPr>
          <w:rFonts w:hint="eastAsia" w:asciiTheme="minorEastAsia" w:hAnsiTheme="minorEastAsia" w:eastAsiaTheme="minorEastAsia" w:cstheme="minorEastAsia"/>
          <w:color w:val="auto"/>
          <w:sz w:val="21"/>
          <w:highlight w:val="none"/>
        </w:rPr>
      </w:pPr>
    </w:p>
    <w:p>
      <w:pPr>
        <w:snapToGrid w:val="0"/>
        <w:spacing w:beforeLines="50" w:after="50"/>
        <w:rPr>
          <w:rFonts w:hint="eastAsia" w:asciiTheme="minorEastAsia" w:hAnsiTheme="minorEastAsia" w:eastAsiaTheme="minorEastAsia" w:cstheme="minorEastAsia"/>
          <w:b/>
          <w:color w:val="auto"/>
          <w:szCs w:val="21"/>
          <w:highlight w:val="none"/>
        </w:rPr>
      </w:pPr>
    </w:p>
    <w:p>
      <w:pPr>
        <w:snapToGrid w:val="0"/>
        <w:spacing w:beforeLines="50" w:after="50"/>
        <w:rPr>
          <w:rFonts w:hint="eastAsia" w:asciiTheme="minorEastAsia" w:hAnsiTheme="minorEastAsia" w:eastAsiaTheme="minorEastAsia" w:cstheme="minorEastAsia"/>
          <w:b/>
          <w:color w:val="auto"/>
          <w:szCs w:val="21"/>
          <w:highlight w:val="none"/>
        </w:rPr>
      </w:pPr>
    </w:p>
    <w:p>
      <w:pPr>
        <w:snapToGrid w:val="0"/>
        <w:spacing w:beforeLines="50" w:after="50"/>
        <w:rPr>
          <w:rFonts w:hint="eastAsia" w:asciiTheme="minorEastAsia" w:hAnsiTheme="minorEastAsia" w:eastAsiaTheme="minorEastAsia" w:cstheme="minorEastAsia"/>
          <w:b/>
          <w:color w:val="auto"/>
          <w:szCs w:val="21"/>
          <w:highlight w:val="none"/>
        </w:rPr>
      </w:pPr>
    </w:p>
    <w:p>
      <w:pPr>
        <w:snapToGrid w:val="0"/>
        <w:spacing w:beforeLines="50" w:after="50"/>
        <w:rPr>
          <w:rFonts w:hint="eastAsia" w:asciiTheme="minorEastAsia" w:hAnsiTheme="minorEastAsia" w:eastAsiaTheme="minorEastAsia" w:cstheme="minorEastAsia"/>
          <w:b/>
          <w:color w:val="auto"/>
          <w:szCs w:val="21"/>
          <w:highlight w:val="none"/>
        </w:rPr>
      </w:pPr>
    </w:p>
    <w:p>
      <w:pPr>
        <w:snapToGrid w:val="0"/>
        <w:spacing w:beforeLines="50" w:after="50"/>
        <w:rPr>
          <w:rFonts w:hint="eastAsia" w:asciiTheme="minorEastAsia" w:hAnsiTheme="minorEastAsia" w:eastAsiaTheme="minorEastAsia" w:cstheme="minorEastAsia"/>
          <w:b/>
          <w:color w:val="auto"/>
          <w:szCs w:val="21"/>
          <w:highlight w:val="none"/>
        </w:rPr>
      </w:pPr>
    </w:p>
    <w:p>
      <w:pPr>
        <w:snapToGrid w:val="0"/>
        <w:spacing w:beforeLines="50" w:after="5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5.开标一览表信封封面格式（可以手写，密封）：</w:t>
      </w:r>
    </w:p>
    <w:p>
      <w:pPr>
        <w:snapToGrid w:val="0"/>
        <w:spacing w:before="50" w:after="50" w:line="380" w:lineRule="exact"/>
        <w:rPr>
          <w:rFonts w:hint="eastAsia" w:asciiTheme="minorEastAsia" w:hAnsiTheme="minorEastAsia" w:eastAsiaTheme="minorEastAsia" w:cstheme="minorEastAsia"/>
          <w:color w:val="auto"/>
          <w:szCs w:val="21"/>
          <w:highlight w:val="none"/>
        </w:rPr>
      </w:pPr>
    </w:p>
    <w:p>
      <w:pPr>
        <w:snapToGrid w:val="0"/>
        <w:spacing w:before="50" w:after="50" w:line="38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招标编号：              标项：</w:t>
      </w:r>
    </w:p>
    <w:p>
      <w:pPr>
        <w:snapToGrid w:val="0"/>
        <w:spacing w:before="50" w:after="50" w:line="380" w:lineRule="exact"/>
        <w:rPr>
          <w:rFonts w:hint="eastAsia" w:asciiTheme="minorEastAsia" w:hAnsiTheme="minorEastAsia" w:eastAsiaTheme="minorEastAsia" w:cstheme="minorEastAsia"/>
          <w:color w:val="auto"/>
          <w:szCs w:val="21"/>
          <w:highlight w:val="none"/>
        </w:rPr>
      </w:pPr>
    </w:p>
    <w:p>
      <w:pPr>
        <w:snapToGrid w:val="0"/>
        <w:spacing w:before="50" w:after="50" w:line="38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w:t>
      </w:r>
    </w:p>
    <w:p>
      <w:pPr>
        <w:snapToGrid w:val="0"/>
        <w:spacing w:before="50" w:after="50" w:line="380" w:lineRule="exact"/>
        <w:rPr>
          <w:rFonts w:hint="eastAsia" w:asciiTheme="minorEastAsia" w:hAnsiTheme="minorEastAsia" w:eastAsiaTheme="minorEastAsia" w:cstheme="minorEastAsia"/>
          <w:b/>
          <w:color w:val="auto"/>
          <w:szCs w:val="21"/>
          <w:highlight w:val="none"/>
        </w:rPr>
      </w:pPr>
    </w:p>
    <w:p>
      <w:pPr>
        <w:spacing w:line="380" w:lineRule="exact"/>
        <w:rPr>
          <w:rFonts w:hint="eastAsia" w:asciiTheme="minorEastAsia" w:hAnsiTheme="minorEastAsia" w:eastAsiaTheme="minorEastAsia" w:cstheme="minorEastAsia"/>
          <w:color w:val="auto"/>
          <w:szCs w:val="21"/>
          <w:highlight w:val="none"/>
        </w:rPr>
      </w:pPr>
    </w:p>
    <w:p>
      <w:pPr>
        <w:spacing w:line="380" w:lineRule="exact"/>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snapToGrid w:val="0"/>
        <w:spacing w:before="50" w:after="5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6.开标一览表 </w:t>
      </w:r>
    </w:p>
    <w:p>
      <w:pPr>
        <w:snapToGrid w:val="0"/>
        <w:spacing w:before="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开标一览表</w:t>
      </w:r>
    </w:p>
    <w:p>
      <w:pPr>
        <w:snapToGrid w:val="0"/>
        <w:spacing w:before="50" w:after="50"/>
        <w:jc w:val="center"/>
        <w:rPr>
          <w:rFonts w:hint="eastAsia" w:asciiTheme="minorEastAsia" w:hAnsiTheme="minorEastAsia" w:eastAsiaTheme="minorEastAsia" w:cstheme="minorEastAsia"/>
          <w:b/>
          <w:color w:val="auto"/>
          <w:szCs w:val="21"/>
          <w:highlight w:val="none"/>
        </w:rPr>
      </w:pPr>
    </w:p>
    <w:p>
      <w:pPr>
        <w:snapToGrid w:val="0"/>
        <w:spacing w:before="50" w:after="5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招标编号：</w:t>
      </w:r>
    </w:p>
    <w:p>
      <w:pPr>
        <w:snapToGrid w:val="0"/>
        <w:spacing w:before="50" w:after="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             单位：元</w:t>
      </w:r>
    </w:p>
    <w:tbl>
      <w:tblPr>
        <w:tblStyle w:val="35"/>
        <w:tblW w:w="84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1430"/>
        <w:gridCol w:w="1249"/>
        <w:gridCol w:w="2923"/>
        <w:gridCol w:w="960"/>
        <w:gridCol w:w="1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货物名称</w:t>
            </w: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数量/单位</w:t>
            </w:r>
          </w:p>
        </w:tc>
        <w:tc>
          <w:tcPr>
            <w:tcW w:w="2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技术参数</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单价</w:t>
            </w: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p>
            <w:pPr>
              <w:pStyle w:val="2"/>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430" w:type="dxa"/>
            <w:tcBorders>
              <w:top w:val="single" w:color="auto" w:sz="4" w:space="0"/>
              <w:left w:val="single" w:color="auto" w:sz="4" w:space="0"/>
              <w:right w:val="single" w:color="auto" w:sz="4" w:space="0"/>
            </w:tcBorders>
            <w:vAlign w:val="center"/>
          </w:tcPr>
          <w:p>
            <w:pPr>
              <w:snapToGrid w:val="0"/>
              <w:spacing w:before="50" w:after="50"/>
              <w:jc w:val="left"/>
              <w:rPr>
                <w:rFonts w:hint="eastAsia" w:asciiTheme="minorEastAsia" w:hAnsiTheme="minorEastAsia" w:eastAsiaTheme="minorEastAsia" w:cstheme="minorEastAsia"/>
                <w:bCs/>
                <w:color w:val="auto"/>
                <w:szCs w:val="21"/>
                <w:highlight w:val="none"/>
              </w:rPr>
            </w:pPr>
          </w:p>
        </w:tc>
        <w:tc>
          <w:tcPr>
            <w:tcW w:w="1249" w:type="dxa"/>
            <w:tcBorders>
              <w:top w:val="single" w:color="auto" w:sz="4" w:space="0"/>
              <w:left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2923" w:type="dxa"/>
            <w:tcBorders>
              <w:top w:val="single" w:color="auto" w:sz="4" w:space="0"/>
              <w:left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960" w:type="dxa"/>
            <w:tcBorders>
              <w:top w:val="single" w:color="auto" w:sz="4" w:space="0"/>
              <w:left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1125" w:type="dxa"/>
            <w:tcBorders>
              <w:top w:val="single" w:color="auto" w:sz="4" w:space="0"/>
              <w:left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Cs w:val="21"/>
                <w:highlight w:val="none"/>
              </w:rPr>
            </w:pP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2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Cs w:val="21"/>
                <w:highlight w:val="none"/>
              </w:rPr>
            </w:pP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Theme="minorEastAsia" w:hAnsiTheme="minorEastAsia" w:eastAsiaTheme="minorEastAsia" w:cstheme="minorEastAsia"/>
                <w:color w:val="auto"/>
                <w:szCs w:val="21"/>
                <w:highlight w:val="none"/>
              </w:rPr>
            </w:pPr>
          </w:p>
        </w:tc>
        <w:tc>
          <w:tcPr>
            <w:tcW w:w="29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399"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投标费用及利润</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4"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合计金额大写：                                ￥</w:t>
            </w:r>
          </w:p>
          <w:p>
            <w:pPr>
              <w:snapToGrid w:val="0"/>
              <w:spacing w:before="50" w:after="50"/>
              <w:rPr>
                <w:rFonts w:hint="eastAsia" w:asciiTheme="minorEastAsia" w:hAnsiTheme="minorEastAsia" w:eastAsiaTheme="minorEastAsia" w:cstheme="minorEastAsia"/>
                <w:color w:val="auto"/>
                <w:szCs w:val="21"/>
                <w:highlight w:val="none"/>
                <w:u w:val="single"/>
              </w:rPr>
            </w:pPr>
          </w:p>
        </w:tc>
      </w:tr>
    </w:tbl>
    <w:p>
      <w:pPr>
        <w:snapToGrid w:val="0"/>
        <w:spacing w:before="50" w:after="50" w:line="32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注：1.报价一经涂改，应在涂改处加盖单位公章或者由法定代表人（负责人）或授权委托人签字或盖章，否则其投标作无效标处理。</w:t>
      </w:r>
    </w:p>
    <w:p>
      <w:pPr>
        <w:snapToGrid w:val="0"/>
        <w:spacing w:before="50" w:after="50" w:line="32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2.投标费用包括项目实施所需的人工费、服务费、购买及制作标书费、税费及其他一切费用。</w:t>
      </w:r>
    </w:p>
    <w:p>
      <w:pPr>
        <w:snapToGrid w:val="0"/>
        <w:spacing w:before="50" w:after="50" w:line="32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3.以上报价应与“投标报价明细表”中的“投标总价”相一致。</w:t>
      </w:r>
    </w:p>
    <w:p>
      <w:pPr>
        <w:snapToGrid w:val="0"/>
        <w:spacing w:before="50" w:after="50" w:line="32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4.此表请单独装信封放入投标文件袋，信封封面请注明招标编号、标项、投标人名称及“开标一览表”字样。</w:t>
      </w:r>
    </w:p>
    <w:p>
      <w:pPr>
        <w:snapToGrid w:val="0"/>
        <w:spacing w:before="50" w:after="50" w:line="320" w:lineRule="exact"/>
        <w:ind w:firstLine="420" w:firstLineChars="200"/>
        <w:rPr>
          <w:rFonts w:hint="eastAsia" w:asciiTheme="minorEastAsia" w:hAnsiTheme="minorEastAsia" w:eastAsiaTheme="minorEastAsia" w:cstheme="minorEastAsia"/>
          <w:color w:val="auto"/>
          <w:szCs w:val="21"/>
          <w:highlight w:val="none"/>
        </w:rPr>
      </w:pPr>
    </w:p>
    <w:p>
      <w:pPr>
        <w:snapToGrid w:val="0"/>
        <w:spacing w:before="50" w:after="50" w:line="320" w:lineRule="exact"/>
        <w:ind w:firstLine="420" w:firstLineChars="200"/>
        <w:rPr>
          <w:rFonts w:hint="eastAsia" w:asciiTheme="minorEastAsia" w:hAnsiTheme="minorEastAsia" w:eastAsiaTheme="minorEastAsia" w:cstheme="minorEastAsia"/>
          <w:color w:val="auto"/>
          <w:szCs w:val="21"/>
          <w:highlight w:val="none"/>
        </w:rPr>
      </w:pPr>
    </w:p>
    <w:p>
      <w:pPr>
        <w:snapToGrid w:val="0"/>
        <w:spacing w:before="50" w:after="50" w:line="320" w:lineRule="exact"/>
        <w:ind w:firstLine="420" w:firstLineChars="200"/>
        <w:rPr>
          <w:rFonts w:hint="eastAsia" w:asciiTheme="minorEastAsia" w:hAnsiTheme="minorEastAsia" w:eastAsiaTheme="minorEastAsia" w:cstheme="minorEastAsia"/>
          <w:color w:val="auto"/>
          <w:szCs w:val="21"/>
          <w:highlight w:val="none"/>
        </w:rPr>
      </w:pPr>
    </w:p>
    <w:p>
      <w:pPr>
        <w:snapToGrid w:val="0"/>
        <w:spacing w:before="50" w:after="50" w:line="320" w:lineRule="exact"/>
        <w:ind w:left="-2" w:right="-817" w:rightChars="-389" w:firstLine="2205" w:firstLineChars="10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法定代表人（负责人）或授权代表（签字或盖章）：</w:t>
      </w:r>
    </w:p>
    <w:p>
      <w:pPr>
        <w:snapToGrid w:val="0"/>
        <w:spacing w:before="50" w:after="50" w:line="360" w:lineRule="exact"/>
        <w:ind w:right="-817" w:rightChars="-389" w:firstLine="2205" w:firstLineChars="10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投标人名称（公章）：</w:t>
      </w:r>
    </w:p>
    <w:p>
      <w:pPr>
        <w:snapToGrid w:val="0"/>
        <w:spacing w:before="50" w:after="50" w:line="360" w:lineRule="exact"/>
        <w:ind w:right="-817" w:rightChars="-389" w:firstLine="2205" w:firstLineChars="10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日期：年月日</w:t>
      </w:r>
    </w:p>
    <w:p>
      <w:pPr>
        <w:snapToGrid w:val="0"/>
        <w:spacing w:before="50" w:after="50"/>
        <w:rPr>
          <w:rFonts w:hint="eastAsia" w:asciiTheme="minorEastAsia" w:hAnsiTheme="minorEastAsia" w:eastAsiaTheme="minorEastAsia" w:cstheme="minorEastAsia"/>
          <w:b/>
          <w:color w:val="auto"/>
          <w:szCs w:val="21"/>
          <w:highlight w:val="none"/>
        </w:rPr>
      </w:pPr>
    </w:p>
    <w:p>
      <w:pPr>
        <w:snapToGrid w:val="0"/>
        <w:spacing w:before="50" w:after="50"/>
        <w:rPr>
          <w:rFonts w:hint="eastAsia" w:asciiTheme="minorEastAsia" w:hAnsiTheme="minorEastAsia" w:eastAsiaTheme="minorEastAsia" w:cstheme="minorEastAsia"/>
          <w:b/>
          <w:color w:val="auto"/>
          <w:szCs w:val="21"/>
          <w:highlight w:val="none"/>
        </w:rPr>
      </w:pPr>
    </w:p>
    <w:p>
      <w:pPr>
        <w:pStyle w:val="22"/>
        <w:spacing w:before="120" w:after="120"/>
        <w:outlineLvl w:val="0"/>
        <w:rPr>
          <w:rFonts w:hint="eastAsia" w:asciiTheme="minorEastAsia" w:hAnsiTheme="minorEastAsia" w:eastAsiaTheme="minorEastAsia" w:cstheme="minorEastAsia"/>
          <w:color w:val="auto"/>
          <w:sz w:val="21"/>
          <w:szCs w:val="21"/>
          <w:highlight w:val="none"/>
        </w:rPr>
      </w:pPr>
    </w:p>
    <w:p>
      <w:pPr>
        <w:snapToGrid w:val="0"/>
        <w:spacing w:beforeLines="50" w:after="50"/>
        <w:outlineLvl w:val="1"/>
        <w:rPr>
          <w:rFonts w:hint="eastAsia" w:asciiTheme="minorEastAsia" w:hAnsiTheme="minorEastAsia" w:eastAsiaTheme="minorEastAsia" w:cstheme="minorEastAsia"/>
          <w:b/>
          <w:bCs/>
          <w:color w:val="000000"/>
          <w:sz w:val="21"/>
          <w:szCs w:val="21"/>
          <w:highlight w:val="none"/>
        </w:rPr>
      </w:pPr>
      <w:bookmarkStart w:id="112" w:name="_Toc19686840"/>
      <w:r>
        <w:rPr>
          <w:rFonts w:hint="eastAsia" w:asciiTheme="minorEastAsia" w:hAnsiTheme="minorEastAsia" w:eastAsiaTheme="minorEastAsia" w:cstheme="minorEastAsia"/>
          <w:b/>
          <w:bCs/>
          <w:color w:val="000000"/>
          <w:sz w:val="21"/>
          <w:szCs w:val="21"/>
          <w:highlight w:val="none"/>
        </w:rPr>
        <w:t>7.其他文书、文件格式</w:t>
      </w:r>
      <w:bookmarkEnd w:id="112"/>
    </w:p>
    <w:p>
      <w:pPr>
        <w:snapToGrid w:val="0"/>
        <w:spacing w:beforeLines="50" w:after="50"/>
        <w:jc w:val="left"/>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z w:val="21"/>
          <w:szCs w:val="21"/>
          <w:highlight w:val="none"/>
        </w:rPr>
        <w:t>广西工业产品声明函格式</w:t>
      </w:r>
    </w:p>
    <w:p>
      <w:pPr>
        <w:rPr>
          <w:rFonts w:hint="eastAsia" w:asciiTheme="minorEastAsia" w:hAnsiTheme="minorEastAsia" w:eastAsiaTheme="minorEastAsia" w:cstheme="minorEastAsia"/>
          <w:color w:val="000000"/>
          <w:szCs w:val="21"/>
          <w:highlight w:val="none"/>
        </w:rPr>
      </w:pPr>
    </w:p>
    <w:p>
      <w:pPr>
        <w:spacing w:line="588" w:lineRule="exact"/>
        <w:jc w:val="center"/>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pacing w:val="6"/>
          <w:sz w:val="21"/>
          <w:szCs w:val="21"/>
          <w:highlight w:val="none"/>
        </w:rPr>
        <w:t>广西工业产品声明函</w:t>
      </w:r>
    </w:p>
    <w:p>
      <w:pPr>
        <w:rPr>
          <w:rFonts w:hint="eastAsia" w:asciiTheme="minorEastAsia" w:hAnsiTheme="minorEastAsia" w:eastAsiaTheme="minorEastAsia" w:cstheme="minorEastAsia"/>
          <w:color w:val="000000"/>
          <w:szCs w:val="21"/>
          <w:highlight w:val="none"/>
        </w:rPr>
      </w:pPr>
    </w:p>
    <w:p>
      <w:pPr>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本公司郑重声明，根据《招标采购促进广西工业产品产销对接实施细则》的规定，本公司在本次投标中提供的下述产品为广西工业产品，详情如下：</w:t>
      </w:r>
    </w:p>
    <w:p>
      <w:pPr>
        <w:rPr>
          <w:rFonts w:hint="eastAsia" w:asciiTheme="minorEastAsia" w:hAnsiTheme="minorEastAsia" w:eastAsiaTheme="minorEastAsia" w:cstheme="minorEastAsia"/>
          <w:color w:val="000000"/>
          <w:sz w:val="21"/>
          <w:szCs w:val="21"/>
          <w:highlight w:val="none"/>
        </w:rPr>
      </w:pPr>
    </w:p>
    <w:tbl>
      <w:tblPr>
        <w:tblStyle w:val="3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序号</w:t>
            </w:r>
          </w:p>
        </w:tc>
        <w:tc>
          <w:tcPr>
            <w:tcW w:w="1539"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产品名称</w:t>
            </w:r>
          </w:p>
        </w:tc>
        <w:tc>
          <w:tcPr>
            <w:tcW w:w="1417"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型号和规格</w:t>
            </w:r>
          </w:p>
        </w:tc>
        <w:tc>
          <w:tcPr>
            <w:tcW w:w="709"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数量</w:t>
            </w:r>
          </w:p>
        </w:tc>
        <w:tc>
          <w:tcPr>
            <w:tcW w:w="2268"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制造厂商及原产地</w:t>
            </w:r>
          </w:p>
        </w:tc>
        <w:tc>
          <w:tcPr>
            <w:tcW w:w="992"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投标价</w:t>
            </w:r>
          </w:p>
        </w:tc>
        <w:tc>
          <w:tcPr>
            <w:tcW w:w="851"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1</w:t>
            </w:r>
          </w:p>
        </w:tc>
        <w:tc>
          <w:tcPr>
            <w:tcW w:w="1539"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1417"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709"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2268"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992"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851" w:type="dxa"/>
            <w:vAlign w:val="center"/>
          </w:tcPr>
          <w:p>
            <w:pPr>
              <w:jc w:val="center"/>
              <w:rPr>
                <w:rFonts w:hint="eastAsia" w:asciiTheme="minorEastAsia" w:hAnsiTheme="minorEastAsia" w:eastAsiaTheme="minorEastAsia" w:cstheme="minor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w:t>
            </w:r>
          </w:p>
        </w:tc>
        <w:tc>
          <w:tcPr>
            <w:tcW w:w="1539"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1417"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709"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2268"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992"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851" w:type="dxa"/>
            <w:vAlign w:val="center"/>
          </w:tcPr>
          <w:p>
            <w:pPr>
              <w:jc w:val="center"/>
              <w:rPr>
                <w:rFonts w:hint="eastAsia" w:asciiTheme="minorEastAsia" w:hAnsiTheme="minorEastAsia" w:eastAsiaTheme="minorEastAsia" w:cstheme="minor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w:t>
            </w:r>
          </w:p>
        </w:tc>
        <w:tc>
          <w:tcPr>
            <w:tcW w:w="1539"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1417"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709"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2268"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992"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851" w:type="dxa"/>
            <w:vAlign w:val="center"/>
          </w:tcPr>
          <w:p>
            <w:pPr>
              <w:jc w:val="center"/>
              <w:rPr>
                <w:rFonts w:hint="eastAsia" w:asciiTheme="minorEastAsia" w:hAnsiTheme="minorEastAsia" w:eastAsiaTheme="minorEastAsia" w:cstheme="minorEastAsia"/>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Theme="minorEastAsia" w:hAnsiTheme="minorEastAsia" w:eastAsiaTheme="minorEastAsia" w:cstheme="minorEastAsia"/>
                <w:color w:val="000000"/>
                <w:sz w:val="21"/>
                <w:szCs w:val="21"/>
                <w:highlight w:val="none"/>
              </w:rPr>
            </w:pPr>
          </w:p>
        </w:tc>
        <w:tc>
          <w:tcPr>
            <w:tcW w:w="1539"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广西工业产品合计价格：</w:t>
            </w:r>
          </w:p>
        </w:tc>
        <w:tc>
          <w:tcPr>
            <w:tcW w:w="2126" w:type="dxa"/>
            <w:gridSpan w:val="2"/>
            <w:vAlign w:val="center"/>
          </w:tcPr>
          <w:p>
            <w:pPr>
              <w:jc w:val="center"/>
              <w:rPr>
                <w:rFonts w:hint="eastAsia" w:asciiTheme="minorEastAsia" w:hAnsiTheme="minorEastAsia" w:eastAsiaTheme="minorEastAsia" w:cstheme="minorEastAsia"/>
                <w:color w:val="000000"/>
                <w:sz w:val="21"/>
                <w:szCs w:val="21"/>
                <w:highlight w:val="none"/>
              </w:rPr>
            </w:pPr>
          </w:p>
        </w:tc>
        <w:tc>
          <w:tcPr>
            <w:tcW w:w="2268" w:type="dxa"/>
            <w:vAlign w:val="center"/>
          </w:tcPr>
          <w:p>
            <w:pPr>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占投标总价比例：</w:t>
            </w:r>
          </w:p>
        </w:tc>
        <w:tc>
          <w:tcPr>
            <w:tcW w:w="1843" w:type="dxa"/>
            <w:gridSpan w:val="2"/>
            <w:vAlign w:val="center"/>
          </w:tcPr>
          <w:p>
            <w:pPr>
              <w:jc w:val="center"/>
              <w:rPr>
                <w:rFonts w:hint="eastAsia" w:asciiTheme="minorEastAsia" w:hAnsiTheme="minorEastAsia" w:eastAsiaTheme="minorEastAsia" w:cstheme="minorEastAsia"/>
                <w:color w:val="000000"/>
                <w:sz w:val="21"/>
                <w:szCs w:val="21"/>
                <w:highlight w:val="none"/>
              </w:rPr>
            </w:pPr>
          </w:p>
        </w:tc>
      </w:tr>
    </w:tbl>
    <w:p>
      <w:pPr>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本公司对上述声明的真实性负责。如有虚假，将依法承担相应责任。</w:t>
      </w:r>
    </w:p>
    <w:p>
      <w:pPr>
        <w:ind w:firstLine="420" w:firstLineChars="200"/>
        <w:rPr>
          <w:rFonts w:hint="eastAsia" w:asciiTheme="minorEastAsia" w:hAnsiTheme="minorEastAsia" w:eastAsiaTheme="minorEastAsia" w:cstheme="minorEastAsia"/>
          <w:color w:val="000000"/>
          <w:sz w:val="21"/>
          <w:szCs w:val="21"/>
          <w:highlight w:val="none"/>
        </w:rPr>
      </w:pPr>
    </w:p>
    <w:p>
      <w:pPr>
        <w:ind w:firstLine="420" w:firstLineChars="200"/>
        <w:rPr>
          <w:rFonts w:hint="eastAsia" w:asciiTheme="minorEastAsia" w:hAnsiTheme="minorEastAsia" w:eastAsiaTheme="minorEastAsia" w:cstheme="minorEastAsia"/>
          <w:color w:val="000000"/>
          <w:sz w:val="21"/>
          <w:szCs w:val="21"/>
          <w:highlight w:val="none"/>
        </w:rPr>
      </w:pPr>
    </w:p>
    <w:p>
      <w:pPr>
        <w:ind w:firstLine="2520" w:firstLineChars="1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投标人盖公章：</w:t>
      </w:r>
    </w:p>
    <w:p>
      <w:pPr>
        <w:ind w:firstLine="1260" w:firstLineChars="6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法定代表人或委托代理人签字：        </w:t>
      </w:r>
    </w:p>
    <w:p>
      <w:pPr>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                           日 期：</w:t>
      </w:r>
    </w:p>
    <w:p>
      <w:pPr>
        <w:rPr>
          <w:rFonts w:hint="eastAsia" w:asciiTheme="minorEastAsia" w:hAnsiTheme="minorEastAsia" w:eastAsiaTheme="minorEastAsia" w:cstheme="minorEastAsia"/>
          <w:color w:val="000000"/>
          <w:szCs w:val="21"/>
          <w:highlight w:val="none"/>
        </w:rPr>
      </w:pPr>
    </w:p>
    <w:p>
      <w:pPr>
        <w:snapToGrid w:val="0"/>
        <w:spacing w:beforeLines="50" w:after="50"/>
        <w:jc w:val="left"/>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br w:type="page"/>
      </w:r>
      <w:r>
        <w:rPr>
          <w:rFonts w:hint="eastAsia" w:asciiTheme="minorEastAsia" w:hAnsiTheme="minorEastAsia" w:eastAsiaTheme="minorEastAsia" w:cstheme="minorEastAsia"/>
          <w:b/>
          <w:color w:val="000000"/>
          <w:sz w:val="21"/>
          <w:szCs w:val="21"/>
          <w:highlight w:val="none"/>
        </w:rPr>
        <w:t xml:space="preserve"> 中小企业声明函格式</w:t>
      </w:r>
    </w:p>
    <w:p>
      <w:pPr>
        <w:rPr>
          <w:rFonts w:hint="eastAsia" w:asciiTheme="minorEastAsia" w:hAnsiTheme="minorEastAsia" w:eastAsiaTheme="minorEastAsia" w:cstheme="minorEastAsia"/>
          <w:color w:val="000000"/>
          <w:szCs w:val="21"/>
          <w:highlight w:val="none"/>
        </w:rPr>
      </w:pPr>
    </w:p>
    <w:p>
      <w:pPr>
        <w:spacing w:line="588" w:lineRule="exact"/>
        <w:jc w:val="center"/>
        <w:rPr>
          <w:rFonts w:hint="eastAsia" w:asciiTheme="minorEastAsia" w:hAnsiTheme="minorEastAsia" w:eastAsiaTheme="minorEastAsia" w:cstheme="minorEastAsia"/>
          <w:b/>
          <w:color w:val="000000"/>
          <w:spacing w:val="6"/>
          <w:sz w:val="21"/>
          <w:szCs w:val="21"/>
          <w:highlight w:val="none"/>
        </w:rPr>
      </w:pPr>
      <w:r>
        <w:rPr>
          <w:rFonts w:hint="eastAsia" w:asciiTheme="minorEastAsia" w:hAnsiTheme="minorEastAsia" w:eastAsiaTheme="minorEastAsia" w:cstheme="minorEastAsia"/>
          <w:b/>
          <w:color w:val="000000"/>
          <w:spacing w:val="6"/>
          <w:sz w:val="21"/>
          <w:szCs w:val="21"/>
          <w:highlight w:val="none"/>
        </w:rPr>
        <w:t>中小企业声明函</w:t>
      </w:r>
    </w:p>
    <w:p>
      <w:pPr>
        <w:spacing w:line="588" w:lineRule="exact"/>
        <w:rPr>
          <w:rFonts w:hint="eastAsia" w:asciiTheme="minorEastAsia" w:hAnsiTheme="minorEastAsia" w:eastAsiaTheme="minorEastAsia" w:cstheme="minorEastAsia"/>
          <w:b/>
          <w:color w:val="000000"/>
          <w:spacing w:val="6"/>
          <w:sz w:val="21"/>
          <w:szCs w:val="21"/>
          <w:highlight w:val="none"/>
        </w:rPr>
      </w:pP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本公司郑重声明，根据《政府采购促进中小企业发展暂行办法》（财库[2011]181号）的规定，本公司为</w:t>
      </w:r>
      <w:bookmarkStart w:id="113" w:name="OLE_LINK5"/>
      <w:bookmarkStart w:id="114" w:name="OLE_LINK2"/>
      <w:r>
        <w:rPr>
          <w:rFonts w:hint="eastAsia" w:asciiTheme="minorEastAsia" w:hAnsiTheme="minorEastAsia" w:eastAsiaTheme="minorEastAsia" w:cstheme="minorEastAsia"/>
          <w:color w:val="000000"/>
          <w:spacing w:val="6"/>
          <w:sz w:val="21"/>
          <w:szCs w:val="21"/>
          <w:highlight w:val="none"/>
        </w:rPr>
        <w:t>______（请填写：中型、小型、微型）企业</w:t>
      </w:r>
      <w:bookmarkEnd w:id="113"/>
      <w:bookmarkEnd w:id="114"/>
      <w:r>
        <w:rPr>
          <w:rFonts w:hint="eastAsia" w:asciiTheme="minorEastAsia" w:hAnsiTheme="minorEastAsia" w:eastAsiaTheme="minorEastAsia" w:cstheme="minorEastAsia"/>
          <w:color w:val="000000"/>
          <w:spacing w:val="6"/>
          <w:sz w:val="21"/>
          <w:szCs w:val="21"/>
          <w:highlight w:val="none"/>
        </w:rPr>
        <w:t>。即本公司同时满足以下条件：</w:t>
      </w: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本公司对上述声明的真实性负责。如有虚假，将依法承担相应责任。</w:t>
      </w: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 xml:space="preserve">               企业名称（盖章）： </w:t>
      </w:r>
    </w:p>
    <w:p>
      <w:pP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pacing w:val="6"/>
          <w:sz w:val="21"/>
          <w:szCs w:val="21"/>
          <w:highlight w:val="none"/>
        </w:rPr>
        <w:t xml:space="preserve">                               日  期：         </w:t>
      </w:r>
    </w:p>
    <w:p>
      <w:pPr>
        <w:rPr>
          <w:rFonts w:hint="eastAsia" w:asciiTheme="minorEastAsia" w:hAnsiTheme="minorEastAsia" w:eastAsiaTheme="minorEastAsia" w:cstheme="minorEastAsia"/>
          <w:color w:val="000000"/>
          <w:sz w:val="21"/>
          <w:szCs w:val="21"/>
          <w:highlight w:val="none"/>
        </w:rPr>
      </w:pPr>
    </w:p>
    <w:p>
      <w:pPr>
        <w:rPr>
          <w:rFonts w:hint="eastAsia" w:asciiTheme="minorEastAsia" w:hAnsiTheme="minorEastAsia" w:eastAsiaTheme="minorEastAsia" w:cstheme="minorEastAsia"/>
          <w:color w:val="000000"/>
          <w:sz w:val="21"/>
          <w:szCs w:val="21"/>
          <w:highlight w:val="none"/>
        </w:rPr>
      </w:pPr>
    </w:p>
    <w:p>
      <w:pP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 w:val="21"/>
          <w:szCs w:val="21"/>
          <w:highlight w:val="none"/>
        </w:rPr>
        <w:t>注：请根据自己的真实情况出具《中小企业声明函》。依法享受中小企业优惠政策的，采购人或采购代理机构在公告中标结果时，同时公告其《中小企业声明函》，接受社会监督。</w:t>
      </w:r>
      <w:r>
        <w:rPr>
          <w:rFonts w:hint="eastAsia" w:asciiTheme="minorEastAsia" w:hAnsiTheme="minorEastAsia" w:eastAsiaTheme="minorEastAsia" w:cstheme="minorEastAsia"/>
          <w:color w:val="000000"/>
          <w:szCs w:val="21"/>
          <w:highlight w:val="none"/>
        </w:rPr>
        <w:br w:type="page"/>
      </w:r>
    </w:p>
    <w:p>
      <w:pPr>
        <w:snapToGrid w:val="0"/>
        <w:spacing w:beforeLines="50" w:after="50"/>
        <w:ind w:left="142"/>
        <w:jc w:val="left"/>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z w:val="21"/>
          <w:szCs w:val="21"/>
          <w:highlight w:val="none"/>
        </w:rPr>
        <w:t>残疾人福利性单位声明函格式</w:t>
      </w:r>
    </w:p>
    <w:p>
      <w:pPr>
        <w:spacing w:line="588" w:lineRule="exact"/>
        <w:jc w:val="center"/>
        <w:rPr>
          <w:rFonts w:hint="eastAsia" w:asciiTheme="minorEastAsia" w:hAnsiTheme="minorEastAsia" w:eastAsiaTheme="minorEastAsia" w:cstheme="minorEastAsia"/>
          <w:b/>
          <w:color w:val="000000"/>
          <w:spacing w:val="6"/>
          <w:sz w:val="21"/>
          <w:szCs w:val="21"/>
          <w:highlight w:val="none"/>
        </w:rPr>
      </w:pPr>
      <w:bookmarkStart w:id="115" w:name="OLE_LINK14"/>
      <w:bookmarkStart w:id="116" w:name="OLE_LINK13"/>
    </w:p>
    <w:p>
      <w:pPr>
        <w:spacing w:line="588" w:lineRule="exact"/>
        <w:jc w:val="center"/>
        <w:rPr>
          <w:rFonts w:hint="eastAsia" w:asciiTheme="minorEastAsia" w:hAnsiTheme="minorEastAsia" w:eastAsiaTheme="minorEastAsia" w:cstheme="minorEastAsia"/>
          <w:b/>
          <w:color w:val="000000"/>
          <w:spacing w:val="6"/>
          <w:sz w:val="21"/>
          <w:szCs w:val="21"/>
          <w:highlight w:val="none"/>
        </w:rPr>
      </w:pPr>
      <w:r>
        <w:rPr>
          <w:rFonts w:hint="eastAsia" w:asciiTheme="minorEastAsia" w:hAnsiTheme="minorEastAsia" w:eastAsiaTheme="minorEastAsia" w:cstheme="minorEastAsia"/>
          <w:b/>
          <w:color w:val="000000"/>
          <w:spacing w:val="6"/>
          <w:sz w:val="21"/>
          <w:szCs w:val="21"/>
          <w:highlight w:val="none"/>
        </w:rPr>
        <w:t>残疾人福利性单位声明函</w:t>
      </w:r>
    </w:p>
    <w:bookmarkEnd w:id="115"/>
    <w:bookmarkEnd w:id="116"/>
    <w:p>
      <w:pPr>
        <w:spacing w:line="588" w:lineRule="exact"/>
        <w:rPr>
          <w:rFonts w:hint="eastAsia" w:asciiTheme="minorEastAsia" w:hAnsiTheme="minorEastAsia" w:eastAsiaTheme="minorEastAsia" w:cstheme="minorEastAsia"/>
          <w:b/>
          <w:color w:val="000000"/>
          <w:spacing w:val="6"/>
          <w:sz w:val="21"/>
          <w:szCs w:val="21"/>
          <w:highlight w:val="none"/>
        </w:rPr>
      </w:pP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sz w:val="21"/>
          <w:szCs w:val="21"/>
          <w:highlight w:val="none"/>
        </w:rPr>
        <w:t>〔2017〕 141</w:t>
      </w:r>
      <w:r>
        <w:rPr>
          <w:rFonts w:hint="eastAsia" w:asciiTheme="minorEastAsia" w:hAnsiTheme="minorEastAsia" w:eastAsiaTheme="minorEastAsia" w:cstheme="minorEastAsia"/>
          <w:color w:val="000000"/>
          <w:spacing w:val="6"/>
          <w:sz w:val="21"/>
          <w:szCs w:val="21"/>
          <w:highlight w:val="none"/>
        </w:rPr>
        <w:t>号）的规定，本单位为符合条件的残疾人福利性单位，且本单位参加______单位的______项目采购活动提供本单位制造的货物（由本单位承担工程/提供服务），或者提供其他残</w:t>
      </w:r>
      <w:r>
        <w:rPr>
          <w:rFonts w:hint="eastAsia" w:asciiTheme="minorEastAsia" w:hAnsiTheme="minorEastAsia" w:eastAsiaTheme="minorEastAsia" w:cstheme="minorEastAsia"/>
          <w:color w:val="000000"/>
          <w:spacing w:val="-6"/>
          <w:sz w:val="21"/>
          <w:szCs w:val="21"/>
          <w:highlight w:val="none"/>
        </w:rPr>
        <w:t>疾人福利性单位制造的货物（不包括使用非残疾人福利性单位注册商标的货物）。</w:t>
      </w: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本单位对上述声明的真实性负责。如有虚假，将依法承担相应责任。</w:t>
      </w: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p>
    <w:p>
      <w:pPr>
        <w:spacing w:line="588" w:lineRule="exact"/>
        <w:ind w:firstLine="444" w:firstLineChars="200"/>
        <w:rPr>
          <w:rFonts w:hint="eastAsia" w:asciiTheme="minorEastAsia" w:hAnsiTheme="minorEastAsia" w:eastAsiaTheme="minorEastAsia" w:cstheme="minorEastAsia"/>
          <w:color w:val="000000"/>
          <w:spacing w:val="6"/>
          <w:sz w:val="21"/>
          <w:szCs w:val="21"/>
          <w:highlight w:val="none"/>
        </w:rPr>
      </w:pP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单位名称（盖章）：</w:t>
      </w:r>
    </w:p>
    <w:p>
      <w:pPr>
        <w:tabs>
          <w:tab w:val="left" w:pos="4860"/>
        </w:tabs>
        <w:spacing w:line="588" w:lineRule="exact"/>
        <w:ind w:right="1560" w:firstLine="444" w:firstLineChars="200"/>
        <w:jc w:val="center"/>
        <w:rPr>
          <w:rFonts w:hint="eastAsia" w:asciiTheme="minorEastAsia" w:hAnsiTheme="minorEastAsia" w:eastAsiaTheme="minorEastAsia" w:cstheme="minorEastAsia"/>
          <w:color w:val="000000"/>
          <w:spacing w:val="6"/>
          <w:sz w:val="21"/>
          <w:szCs w:val="21"/>
          <w:highlight w:val="none"/>
        </w:rPr>
      </w:pPr>
      <w:r>
        <w:rPr>
          <w:rFonts w:hint="eastAsia" w:asciiTheme="minorEastAsia" w:hAnsiTheme="minorEastAsia" w:eastAsiaTheme="minorEastAsia" w:cstheme="minorEastAsia"/>
          <w:color w:val="000000"/>
          <w:spacing w:val="6"/>
          <w:sz w:val="21"/>
          <w:szCs w:val="21"/>
          <w:highlight w:val="none"/>
        </w:rPr>
        <w:t>日  期：</w:t>
      </w:r>
    </w:p>
    <w:p>
      <w:pPr>
        <w:rPr>
          <w:rFonts w:hint="eastAsia" w:asciiTheme="minorEastAsia" w:hAnsiTheme="minorEastAsia" w:eastAsiaTheme="minorEastAsia" w:cstheme="minorEastAsia"/>
          <w:color w:val="000000"/>
          <w:sz w:val="21"/>
          <w:szCs w:val="21"/>
          <w:highlight w:val="none"/>
        </w:rPr>
      </w:pPr>
    </w:p>
    <w:p>
      <w:pPr>
        <w:rPr>
          <w:rFonts w:hint="eastAsia" w:asciiTheme="minorEastAsia" w:hAnsiTheme="minorEastAsia" w:eastAsiaTheme="minorEastAsia" w:cstheme="minorEastAsia"/>
          <w:color w:val="000000"/>
          <w:sz w:val="21"/>
          <w:szCs w:val="21"/>
          <w:highlight w:val="none"/>
        </w:rPr>
      </w:pPr>
    </w:p>
    <w:p>
      <w:pPr>
        <w:rPr>
          <w:rFonts w:hint="eastAsia" w:asciiTheme="minorEastAsia" w:hAnsiTheme="minorEastAsia" w:eastAsiaTheme="minorEastAsia" w:cstheme="minorEastAsia"/>
          <w:color w:val="000000"/>
          <w:sz w:val="21"/>
          <w:szCs w:val="21"/>
          <w:highlight w:val="none"/>
        </w:rPr>
      </w:pPr>
    </w:p>
    <w:p>
      <w:pPr>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 w:val="21"/>
          <w:szCs w:val="21"/>
          <w:highlight w:val="none"/>
        </w:rPr>
        <w:t>注：请根据自己的真实情况出具《残疾人福利性单位声明函》。依法享受中小企业优惠政策的，采购人或采购代理机构在公告中标结果时，同时公告其《残疾人福利性单位声明函》，接受社会监督。</w:t>
      </w: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p>
    <w:sectPr>
      <w:footerReference r:id="rId8" w:type="first"/>
      <w:footerReference r:id="rId7" w:type="even"/>
      <w:type w:val="nextColumn"/>
      <w:pgSz w:w="11906" w:h="16838"/>
      <w:pgMar w:top="1304" w:right="1418" w:bottom="130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dobe 仿宋 Std R">
    <w:altName w:val="微软雅黑"/>
    <w:panose1 w:val="000000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separate"/>
    </w:r>
    <w:r>
      <w:rPr>
        <w:rStyle w:val="39"/>
      </w:rPr>
      <w:t>31</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fldChar w:fldCharType="begin"/>
    </w:r>
    <w:r>
      <w:rPr>
        <w:rStyle w:val="39"/>
      </w:rPr>
      <w:instrText xml:space="preserve">PAGE  </w:instrText>
    </w:r>
    <w:r>
      <w:fldChar w:fldCharType="separate"/>
    </w:r>
    <w:r>
      <w:rPr>
        <w:rStyle w:val="39"/>
      </w:rPr>
      <w:t>28</w:t>
    </w:r>
    <w:r>
      <w:fldChar w:fldCharType="end"/>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9"/>
      </w:rPr>
    </w:pPr>
    <w:r>
      <w:fldChar w:fldCharType="begin"/>
    </w:r>
    <w:r>
      <w:rPr>
        <w:rStyle w:val="39"/>
      </w:rPr>
      <w:instrText xml:space="preserve">PAGE  </w:instrText>
    </w:r>
    <w:r>
      <w:fldChar w:fldCharType="separate"/>
    </w:r>
    <w:r>
      <w:rPr>
        <w:rStyle w:val="39"/>
      </w:rPr>
      <w:t>28</w:t>
    </w:r>
    <w:r>
      <w:fldChar w:fldCharType="end"/>
    </w:r>
  </w:p>
  <w:p>
    <w:pPr>
      <w:pStyle w:val="26"/>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3510C"/>
    <w:multiLevelType w:val="singleLevel"/>
    <w:tmpl w:val="AEF3510C"/>
    <w:lvl w:ilvl="0" w:tentative="0">
      <w:start w:val="1"/>
      <w:numFmt w:val="decimal"/>
      <w:suff w:val="nothing"/>
      <w:lvlText w:val="%1、"/>
      <w:lvlJc w:val="left"/>
    </w:lvl>
  </w:abstractNum>
  <w:abstractNum w:abstractNumId="1">
    <w:nsid w:val="B2E24B94"/>
    <w:multiLevelType w:val="singleLevel"/>
    <w:tmpl w:val="B2E24B94"/>
    <w:lvl w:ilvl="0" w:tentative="0">
      <w:start w:val="3"/>
      <w:numFmt w:val="decimal"/>
      <w:lvlText w:val="%1."/>
      <w:lvlJc w:val="left"/>
      <w:pPr>
        <w:tabs>
          <w:tab w:val="left" w:pos="312"/>
        </w:tabs>
        <w:ind w:left="420" w:firstLine="0"/>
      </w:pPr>
    </w:lvl>
  </w:abstractNum>
  <w:abstractNum w:abstractNumId="2">
    <w:nsid w:val="F9A2A2FA"/>
    <w:multiLevelType w:val="singleLevel"/>
    <w:tmpl w:val="F9A2A2FA"/>
    <w:lvl w:ilvl="0" w:tentative="0">
      <w:start w:val="7"/>
      <w:numFmt w:val="decimal"/>
      <w:suff w:val="nothing"/>
      <w:lvlText w:val="（%1）"/>
      <w:lvlJc w:val="left"/>
    </w:lvl>
  </w:abstractNum>
  <w:abstractNum w:abstractNumId="3">
    <w:nsid w:val="00000015"/>
    <w:multiLevelType w:val="multilevel"/>
    <w:tmpl w:val="00000015"/>
    <w:lvl w:ilvl="0" w:tentative="0">
      <w:start w:val="1"/>
      <w:numFmt w:val="decimal"/>
      <w:suff w:val="space"/>
      <w:lvlText w:val="第%1章"/>
      <w:lvlJc w:val="left"/>
      <w:pPr>
        <w:ind w:left="2977" w:firstLine="0"/>
      </w:pPr>
      <w:rPr>
        <w:rFonts w:hint="eastAsia" w:ascii="Times New Roman" w:hAnsi="Times New Roman" w:cs="Times New Roman"/>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90"/>
      <w:suff w:val="space"/>
      <w:lvlText w:val="%1.%2"/>
      <w:lvlJc w:val="left"/>
      <w:pPr>
        <w:ind w:left="0" w:firstLine="0"/>
      </w:pPr>
      <w:rPr>
        <w:rFonts w:hint="eastAsia" w:ascii="黑体" w:eastAsia="黑体"/>
        <w:b w:val="0"/>
        <w:i w:val="0"/>
      </w:rPr>
    </w:lvl>
    <w:lvl w:ilvl="2" w:tentative="0">
      <w:start w:val="1"/>
      <w:numFmt w:val="decimal"/>
      <w:pStyle w:val="75"/>
      <w:suff w:val="space"/>
      <w:lvlText w:val="%1.%2.%3"/>
      <w:lvlJc w:val="left"/>
      <w:pPr>
        <w:ind w:left="284" w:firstLine="0"/>
      </w:pPr>
      <w:rPr>
        <w:rFonts w:hint="eastAsia" w:ascii="黑体" w:eastAsia="黑体"/>
        <w:b w:val="0"/>
        <w:i w:val="0"/>
      </w:rPr>
    </w:lvl>
    <w:lvl w:ilvl="3" w:tentative="0">
      <w:start w:val="1"/>
      <w:numFmt w:val="decimal"/>
      <w:suff w:val="space"/>
      <w:lvlText w:val="%1.%2.%3.%4"/>
      <w:lvlJc w:val="left"/>
      <w:pPr>
        <w:ind w:left="710" w:firstLine="0"/>
      </w:pPr>
      <w:rPr>
        <w:rFonts w:hint="eastAsia" w:ascii="黑体" w:eastAsia="黑体"/>
        <w:b w:val="0"/>
        <w:i w:val="0"/>
      </w:rPr>
    </w:lvl>
    <w:lvl w:ilvl="4" w:tentative="0">
      <w:start w:val="1"/>
      <w:numFmt w:val="decimal"/>
      <w:suff w:val="space"/>
      <w:lvlText w:val="%1.%2.%3.%4.%5"/>
      <w:lvlJc w:val="left"/>
      <w:pPr>
        <w:ind w:left="1134"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EEEEE04"/>
    <w:multiLevelType w:val="singleLevel"/>
    <w:tmpl w:val="0EEEEE04"/>
    <w:lvl w:ilvl="0" w:tentative="0">
      <w:start w:val="1"/>
      <w:numFmt w:val="decimal"/>
      <w:suff w:val="nothing"/>
      <w:lvlText w:val="%1、"/>
      <w:lvlJc w:val="left"/>
    </w:lvl>
  </w:abstractNum>
  <w:abstractNum w:abstractNumId="5">
    <w:nsid w:val="1243515D"/>
    <w:multiLevelType w:val="multilevel"/>
    <w:tmpl w:val="1243515D"/>
    <w:lvl w:ilvl="0" w:tentative="0">
      <w:start w:val="1"/>
      <w:numFmt w:val="decimal"/>
      <w:pStyle w:val="2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2714F5E"/>
    <w:multiLevelType w:val="multilevel"/>
    <w:tmpl w:val="32714F5E"/>
    <w:lvl w:ilvl="0" w:tentative="0">
      <w:start w:val="1"/>
      <w:numFmt w:val="chineseCountingThousand"/>
      <w:suff w:val="nothing"/>
      <w:lvlText w:val="第%1章"/>
      <w:lvlJc w:val="left"/>
      <w:pPr>
        <w:ind w:left="0" w:firstLine="0"/>
      </w:pPr>
      <w:rPr>
        <w:rFonts w:hint="eastAsia" w:ascii="FangSong_GB2312" w:eastAsia="FangSong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7">
    <w:nsid w:val="68153940"/>
    <w:multiLevelType w:val="multilevel"/>
    <w:tmpl w:val="68153940"/>
    <w:lvl w:ilvl="0" w:tentative="0">
      <w:start w:val="1"/>
      <w:numFmt w:val="decimal"/>
      <w:lvlText w:val="第%1章"/>
      <w:lvlJc w:val="left"/>
      <w:pPr>
        <w:ind w:left="432" w:hanging="432"/>
      </w:pPr>
      <w:rPr>
        <w:rFonts w:hint="eastAsia" w:eastAsia="Adobe 仿宋 Std R" w:cs="Times New Roman"/>
        <w:b/>
        <w:bCs w:val="0"/>
        <w:i w:val="0"/>
        <w:iCs w:val="0"/>
        <w:caps w:val="0"/>
        <w:smallCaps w:val="0"/>
        <w:strike w:val="0"/>
        <w:dstrike w:val="0"/>
        <w:spacing w:val="0"/>
        <w:position w:val="0"/>
        <w:u w:val="none"/>
        <w:lang w:val="en-US"/>
      </w:rPr>
    </w:lvl>
    <w:lvl w:ilvl="1" w:tentative="0">
      <w:start w:val="1"/>
      <w:numFmt w:val="decimal"/>
      <w:lvlText w:val="%1.%2"/>
      <w:lvlJc w:val="left"/>
      <w:pPr>
        <w:ind w:left="576" w:hanging="576"/>
      </w:pPr>
      <w:rPr>
        <w:rFonts w:hint="eastAsia" w:eastAsia="Adobe 仿宋 Std R"/>
        <w:lang w:val="en-US"/>
      </w:rPr>
    </w:lvl>
    <w:lvl w:ilvl="2" w:tentative="0">
      <w:start w:val="1"/>
      <w:numFmt w:val="decimal"/>
      <w:pStyle w:val="85"/>
      <w:lvlText w:val="%1.%2.%3"/>
      <w:lvlJc w:val="left"/>
      <w:pPr>
        <w:ind w:left="720" w:hanging="720"/>
      </w:pPr>
      <w:rPr>
        <w:rFonts w:hint="eastAsia" w:eastAsia="Adobe 仿宋 Std R"/>
      </w:rPr>
    </w:lvl>
    <w:lvl w:ilvl="3" w:tentative="0">
      <w:start w:val="1"/>
      <w:numFmt w:val="decimal"/>
      <w:pStyle w:val="94"/>
      <w:lvlText w:val="%1.%2.%3.%4"/>
      <w:lvlJc w:val="left"/>
      <w:pPr>
        <w:ind w:left="1006"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eastAsia="Adobe 仿宋 Std R"/>
      </w:rPr>
    </w:lvl>
    <w:lvl w:ilvl="6" w:tentative="0">
      <w:start w:val="1"/>
      <w:numFmt w:val="decimal"/>
      <w:lvlText w:val="%1.%2.%3.%4.%5.%6.%7"/>
      <w:lvlJc w:val="left"/>
      <w:pPr>
        <w:ind w:left="1296" w:hanging="1296"/>
      </w:pPr>
      <w:rPr>
        <w:rFonts w:hint="eastAsia"/>
        <w:lang w:val="en-US"/>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8">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6"/>
  </w:num>
  <w:num w:numId="2">
    <w:abstractNumId w:val="5"/>
  </w:num>
  <w:num w:numId="3">
    <w:abstractNumId w:val="3"/>
  </w:num>
  <w:num w:numId="4">
    <w:abstractNumId w:val="7"/>
  </w:num>
  <w:num w:numId="5">
    <w:abstractNumId w:val="8"/>
    <w:lvlOverride w:ilvl="0">
      <w:startOverride w:val="1"/>
    </w:lvlOverride>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ED"/>
    <w:rsid w:val="00002273"/>
    <w:rsid w:val="0000406F"/>
    <w:rsid w:val="00016A67"/>
    <w:rsid w:val="000240D8"/>
    <w:rsid w:val="00027452"/>
    <w:rsid w:val="00036BF3"/>
    <w:rsid w:val="000425EE"/>
    <w:rsid w:val="00051021"/>
    <w:rsid w:val="00063656"/>
    <w:rsid w:val="0007110D"/>
    <w:rsid w:val="00076CED"/>
    <w:rsid w:val="000928B0"/>
    <w:rsid w:val="000A20A8"/>
    <w:rsid w:val="000C01F8"/>
    <w:rsid w:val="000D0C61"/>
    <w:rsid w:val="000E2259"/>
    <w:rsid w:val="000E68DE"/>
    <w:rsid w:val="000F4AF5"/>
    <w:rsid w:val="00103727"/>
    <w:rsid w:val="001051F5"/>
    <w:rsid w:val="001230E5"/>
    <w:rsid w:val="001237CC"/>
    <w:rsid w:val="00127381"/>
    <w:rsid w:val="00151F82"/>
    <w:rsid w:val="001563E5"/>
    <w:rsid w:val="00172267"/>
    <w:rsid w:val="00175CEE"/>
    <w:rsid w:val="001835A3"/>
    <w:rsid w:val="00186CA4"/>
    <w:rsid w:val="00191672"/>
    <w:rsid w:val="001922C2"/>
    <w:rsid w:val="001B4E8D"/>
    <w:rsid w:val="001C25ED"/>
    <w:rsid w:val="001D0D2D"/>
    <w:rsid w:val="001D558D"/>
    <w:rsid w:val="001E4E23"/>
    <w:rsid w:val="0020499B"/>
    <w:rsid w:val="0021323C"/>
    <w:rsid w:val="002167AB"/>
    <w:rsid w:val="002179C1"/>
    <w:rsid w:val="002370C7"/>
    <w:rsid w:val="002537A2"/>
    <w:rsid w:val="00265D46"/>
    <w:rsid w:val="00275AF3"/>
    <w:rsid w:val="00291B73"/>
    <w:rsid w:val="00292331"/>
    <w:rsid w:val="00294715"/>
    <w:rsid w:val="002A13A5"/>
    <w:rsid w:val="002A3596"/>
    <w:rsid w:val="002B2AEB"/>
    <w:rsid w:val="002B7971"/>
    <w:rsid w:val="002C404A"/>
    <w:rsid w:val="002C6A32"/>
    <w:rsid w:val="002D3B4D"/>
    <w:rsid w:val="002E18DB"/>
    <w:rsid w:val="002E3055"/>
    <w:rsid w:val="002E418E"/>
    <w:rsid w:val="002F2323"/>
    <w:rsid w:val="003037BA"/>
    <w:rsid w:val="00312E80"/>
    <w:rsid w:val="003210AE"/>
    <w:rsid w:val="00323658"/>
    <w:rsid w:val="00325780"/>
    <w:rsid w:val="00333042"/>
    <w:rsid w:val="00333916"/>
    <w:rsid w:val="00336DC1"/>
    <w:rsid w:val="00352BD2"/>
    <w:rsid w:val="00361D60"/>
    <w:rsid w:val="003635DD"/>
    <w:rsid w:val="0040519A"/>
    <w:rsid w:val="00407D1F"/>
    <w:rsid w:val="00414CE0"/>
    <w:rsid w:val="00417D72"/>
    <w:rsid w:val="00431220"/>
    <w:rsid w:val="00434422"/>
    <w:rsid w:val="004579DE"/>
    <w:rsid w:val="00465FF1"/>
    <w:rsid w:val="0047080D"/>
    <w:rsid w:val="00474A22"/>
    <w:rsid w:val="00486451"/>
    <w:rsid w:val="004A0E20"/>
    <w:rsid w:val="004A514D"/>
    <w:rsid w:val="004C5283"/>
    <w:rsid w:val="004C7D50"/>
    <w:rsid w:val="004D47A5"/>
    <w:rsid w:val="005102C5"/>
    <w:rsid w:val="00527B9B"/>
    <w:rsid w:val="0056250D"/>
    <w:rsid w:val="00564B92"/>
    <w:rsid w:val="00564CE2"/>
    <w:rsid w:val="0057293C"/>
    <w:rsid w:val="005A7BF1"/>
    <w:rsid w:val="005B1E9F"/>
    <w:rsid w:val="005B5AC4"/>
    <w:rsid w:val="005C1B08"/>
    <w:rsid w:val="005C1C50"/>
    <w:rsid w:val="005C2DF9"/>
    <w:rsid w:val="005D470E"/>
    <w:rsid w:val="005F5E8A"/>
    <w:rsid w:val="00606D62"/>
    <w:rsid w:val="00614AF1"/>
    <w:rsid w:val="00615A04"/>
    <w:rsid w:val="00620329"/>
    <w:rsid w:val="00622920"/>
    <w:rsid w:val="006232D3"/>
    <w:rsid w:val="006250BB"/>
    <w:rsid w:val="0065072E"/>
    <w:rsid w:val="00656FF1"/>
    <w:rsid w:val="00661D4B"/>
    <w:rsid w:val="00665038"/>
    <w:rsid w:val="006665D1"/>
    <w:rsid w:val="00674323"/>
    <w:rsid w:val="00675D33"/>
    <w:rsid w:val="00680E89"/>
    <w:rsid w:val="0069581E"/>
    <w:rsid w:val="006A36BF"/>
    <w:rsid w:val="006B0F7F"/>
    <w:rsid w:val="006C3DA1"/>
    <w:rsid w:val="006C66D1"/>
    <w:rsid w:val="006D049B"/>
    <w:rsid w:val="006D54DB"/>
    <w:rsid w:val="006F0A76"/>
    <w:rsid w:val="00700A33"/>
    <w:rsid w:val="00700B6F"/>
    <w:rsid w:val="007208C9"/>
    <w:rsid w:val="00732D67"/>
    <w:rsid w:val="007432DF"/>
    <w:rsid w:val="0074357E"/>
    <w:rsid w:val="00745455"/>
    <w:rsid w:val="0075377E"/>
    <w:rsid w:val="00753E7D"/>
    <w:rsid w:val="00766CB4"/>
    <w:rsid w:val="00770C5F"/>
    <w:rsid w:val="007829CB"/>
    <w:rsid w:val="00790072"/>
    <w:rsid w:val="00791773"/>
    <w:rsid w:val="007941D7"/>
    <w:rsid w:val="007A28A7"/>
    <w:rsid w:val="007B472C"/>
    <w:rsid w:val="007B5252"/>
    <w:rsid w:val="007D2437"/>
    <w:rsid w:val="007E62CE"/>
    <w:rsid w:val="007F39EB"/>
    <w:rsid w:val="007F47F5"/>
    <w:rsid w:val="008051B6"/>
    <w:rsid w:val="008141B0"/>
    <w:rsid w:val="0081472E"/>
    <w:rsid w:val="00814A67"/>
    <w:rsid w:val="00816A47"/>
    <w:rsid w:val="00826D1B"/>
    <w:rsid w:val="00835E53"/>
    <w:rsid w:val="00841848"/>
    <w:rsid w:val="00857250"/>
    <w:rsid w:val="008630DA"/>
    <w:rsid w:val="00873EC9"/>
    <w:rsid w:val="00881825"/>
    <w:rsid w:val="00894147"/>
    <w:rsid w:val="008B5D29"/>
    <w:rsid w:val="008C3307"/>
    <w:rsid w:val="008D5A79"/>
    <w:rsid w:val="008E1530"/>
    <w:rsid w:val="008E21C3"/>
    <w:rsid w:val="00933A31"/>
    <w:rsid w:val="00944589"/>
    <w:rsid w:val="009501E7"/>
    <w:rsid w:val="00952189"/>
    <w:rsid w:val="00952787"/>
    <w:rsid w:val="0095648C"/>
    <w:rsid w:val="00963B7E"/>
    <w:rsid w:val="00970038"/>
    <w:rsid w:val="00994AC4"/>
    <w:rsid w:val="009B509C"/>
    <w:rsid w:val="009C034C"/>
    <w:rsid w:val="009C21E8"/>
    <w:rsid w:val="009C7885"/>
    <w:rsid w:val="009D12FE"/>
    <w:rsid w:val="009D26F7"/>
    <w:rsid w:val="009E3F22"/>
    <w:rsid w:val="00A03A6D"/>
    <w:rsid w:val="00A24CE6"/>
    <w:rsid w:val="00A4147A"/>
    <w:rsid w:val="00A53F95"/>
    <w:rsid w:val="00A606B6"/>
    <w:rsid w:val="00A638F6"/>
    <w:rsid w:val="00A6392C"/>
    <w:rsid w:val="00A6638A"/>
    <w:rsid w:val="00A758B3"/>
    <w:rsid w:val="00A75AA3"/>
    <w:rsid w:val="00AA7CCC"/>
    <w:rsid w:val="00AB4157"/>
    <w:rsid w:val="00AE16B4"/>
    <w:rsid w:val="00AE439A"/>
    <w:rsid w:val="00AF3468"/>
    <w:rsid w:val="00AF6EF3"/>
    <w:rsid w:val="00B147D4"/>
    <w:rsid w:val="00B31D59"/>
    <w:rsid w:val="00B35362"/>
    <w:rsid w:val="00B525D1"/>
    <w:rsid w:val="00B64FE7"/>
    <w:rsid w:val="00B71B68"/>
    <w:rsid w:val="00B7382C"/>
    <w:rsid w:val="00B8350E"/>
    <w:rsid w:val="00B84E78"/>
    <w:rsid w:val="00B9299D"/>
    <w:rsid w:val="00BA5E01"/>
    <w:rsid w:val="00BC68C5"/>
    <w:rsid w:val="00BE6DBD"/>
    <w:rsid w:val="00BE7DC9"/>
    <w:rsid w:val="00BF362D"/>
    <w:rsid w:val="00BF6B3E"/>
    <w:rsid w:val="00C21A23"/>
    <w:rsid w:val="00C249C9"/>
    <w:rsid w:val="00C25DEF"/>
    <w:rsid w:val="00C35CF0"/>
    <w:rsid w:val="00C54850"/>
    <w:rsid w:val="00C70FDE"/>
    <w:rsid w:val="00C820F2"/>
    <w:rsid w:val="00C97BC8"/>
    <w:rsid w:val="00C97CBF"/>
    <w:rsid w:val="00CA0A21"/>
    <w:rsid w:val="00CA305E"/>
    <w:rsid w:val="00CA3D47"/>
    <w:rsid w:val="00CC5858"/>
    <w:rsid w:val="00CC75F6"/>
    <w:rsid w:val="00CD2B9F"/>
    <w:rsid w:val="00D045B0"/>
    <w:rsid w:val="00D12886"/>
    <w:rsid w:val="00D133E5"/>
    <w:rsid w:val="00D15780"/>
    <w:rsid w:val="00D32C1D"/>
    <w:rsid w:val="00D350C6"/>
    <w:rsid w:val="00D40415"/>
    <w:rsid w:val="00D42DF2"/>
    <w:rsid w:val="00D554CA"/>
    <w:rsid w:val="00D625EF"/>
    <w:rsid w:val="00D6496D"/>
    <w:rsid w:val="00D85B6B"/>
    <w:rsid w:val="00DD23B1"/>
    <w:rsid w:val="00DD2788"/>
    <w:rsid w:val="00DD512D"/>
    <w:rsid w:val="00DF52DB"/>
    <w:rsid w:val="00DF5EAE"/>
    <w:rsid w:val="00E0388D"/>
    <w:rsid w:val="00E06C20"/>
    <w:rsid w:val="00E06C60"/>
    <w:rsid w:val="00E07E35"/>
    <w:rsid w:val="00E159D5"/>
    <w:rsid w:val="00E15BEA"/>
    <w:rsid w:val="00E32E03"/>
    <w:rsid w:val="00E40705"/>
    <w:rsid w:val="00E43D35"/>
    <w:rsid w:val="00E7064A"/>
    <w:rsid w:val="00E75650"/>
    <w:rsid w:val="00E831BD"/>
    <w:rsid w:val="00EA6606"/>
    <w:rsid w:val="00EC336C"/>
    <w:rsid w:val="00ED0DA7"/>
    <w:rsid w:val="00ED2B9B"/>
    <w:rsid w:val="00EE4AA6"/>
    <w:rsid w:val="00EF5FC2"/>
    <w:rsid w:val="00EF77D7"/>
    <w:rsid w:val="00EF7F4C"/>
    <w:rsid w:val="00F016BB"/>
    <w:rsid w:val="00F03045"/>
    <w:rsid w:val="00F3078A"/>
    <w:rsid w:val="00F3785F"/>
    <w:rsid w:val="00F52E54"/>
    <w:rsid w:val="00F55239"/>
    <w:rsid w:val="00F634CA"/>
    <w:rsid w:val="00F723B4"/>
    <w:rsid w:val="00F76627"/>
    <w:rsid w:val="00F87DC0"/>
    <w:rsid w:val="00FC1614"/>
    <w:rsid w:val="00FC5790"/>
    <w:rsid w:val="00FD6FDB"/>
    <w:rsid w:val="00FE018A"/>
    <w:rsid w:val="00FE6733"/>
    <w:rsid w:val="00FE67AA"/>
    <w:rsid w:val="00FF3B29"/>
    <w:rsid w:val="0119734C"/>
    <w:rsid w:val="017C2592"/>
    <w:rsid w:val="019175FE"/>
    <w:rsid w:val="01B0409A"/>
    <w:rsid w:val="02EA1BB4"/>
    <w:rsid w:val="02ED4179"/>
    <w:rsid w:val="032319D6"/>
    <w:rsid w:val="03837148"/>
    <w:rsid w:val="03B052E4"/>
    <w:rsid w:val="03E53EC9"/>
    <w:rsid w:val="03F04C55"/>
    <w:rsid w:val="04053CDA"/>
    <w:rsid w:val="040F0BD4"/>
    <w:rsid w:val="043D36B4"/>
    <w:rsid w:val="046C2F44"/>
    <w:rsid w:val="04A85921"/>
    <w:rsid w:val="04B30153"/>
    <w:rsid w:val="050C2C39"/>
    <w:rsid w:val="05110E5B"/>
    <w:rsid w:val="055951D7"/>
    <w:rsid w:val="06B55FF7"/>
    <w:rsid w:val="06CB1D29"/>
    <w:rsid w:val="06CC743A"/>
    <w:rsid w:val="06E44EC2"/>
    <w:rsid w:val="077D675D"/>
    <w:rsid w:val="07A56879"/>
    <w:rsid w:val="07E9273F"/>
    <w:rsid w:val="07F449F8"/>
    <w:rsid w:val="07FF353C"/>
    <w:rsid w:val="081B22F6"/>
    <w:rsid w:val="08473349"/>
    <w:rsid w:val="08B93680"/>
    <w:rsid w:val="08CD6108"/>
    <w:rsid w:val="08E81211"/>
    <w:rsid w:val="0902357C"/>
    <w:rsid w:val="09155C01"/>
    <w:rsid w:val="098C6236"/>
    <w:rsid w:val="0A0E682D"/>
    <w:rsid w:val="0AD90BC8"/>
    <w:rsid w:val="0AF5269B"/>
    <w:rsid w:val="0B357BB3"/>
    <w:rsid w:val="0BDF41EF"/>
    <w:rsid w:val="0C011728"/>
    <w:rsid w:val="0C340984"/>
    <w:rsid w:val="0C9879EC"/>
    <w:rsid w:val="0C9E1BD9"/>
    <w:rsid w:val="0CB671FE"/>
    <w:rsid w:val="0CE543E4"/>
    <w:rsid w:val="0D014C1C"/>
    <w:rsid w:val="0D8A722A"/>
    <w:rsid w:val="0DA37263"/>
    <w:rsid w:val="0DAF078D"/>
    <w:rsid w:val="0DD512A6"/>
    <w:rsid w:val="0E244916"/>
    <w:rsid w:val="0E7E3578"/>
    <w:rsid w:val="0E8E3817"/>
    <w:rsid w:val="0ED462E4"/>
    <w:rsid w:val="0F396C0F"/>
    <w:rsid w:val="0F3B3B1D"/>
    <w:rsid w:val="0F873930"/>
    <w:rsid w:val="0FEA248F"/>
    <w:rsid w:val="106709A0"/>
    <w:rsid w:val="10F8725E"/>
    <w:rsid w:val="11035E2E"/>
    <w:rsid w:val="111123DE"/>
    <w:rsid w:val="117D5D2A"/>
    <w:rsid w:val="11951883"/>
    <w:rsid w:val="11A80648"/>
    <w:rsid w:val="12001BE9"/>
    <w:rsid w:val="12095CE0"/>
    <w:rsid w:val="1220726B"/>
    <w:rsid w:val="12852D73"/>
    <w:rsid w:val="12C40817"/>
    <w:rsid w:val="13EB49A8"/>
    <w:rsid w:val="14A86EE4"/>
    <w:rsid w:val="14B5220C"/>
    <w:rsid w:val="14C56363"/>
    <w:rsid w:val="14CB575C"/>
    <w:rsid w:val="14CC229D"/>
    <w:rsid w:val="14CD1891"/>
    <w:rsid w:val="14EC0469"/>
    <w:rsid w:val="151F3D36"/>
    <w:rsid w:val="158A6470"/>
    <w:rsid w:val="15AC5C51"/>
    <w:rsid w:val="15CB6CF5"/>
    <w:rsid w:val="15DA41F0"/>
    <w:rsid w:val="163C5FD5"/>
    <w:rsid w:val="16652B20"/>
    <w:rsid w:val="16A375DF"/>
    <w:rsid w:val="16D15E34"/>
    <w:rsid w:val="16D5043C"/>
    <w:rsid w:val="16EE29E9"/>
    <w:rsid w:val="16F04FBA"/>
    <w:rsid w:val="17203C5B"/>
    <w:rsid w:val="179870BF"/>
    <w:rsid w:val="17E516BB"/>
    <w:rsid w:val="17ED1DAE"/>
    <w:rsid w:val="180B3788"/>
    <w:rsid w:val="18627784"/>
    <w:rsid w:val="18851E73"/>
    <w:rsid w:val="18CE74C7"/>
    <w:rsid w:val="19260657"/>
    <w:rsid w:val="195E039A"/>
    <w:rsid w:val="1A0A31D8"/>
    <w:rsid w:val="1A0B64A9"/>
    <w:rsid w:val="1A605508"/>
    <w:rsid w:val="1AAB24C4"/>
    <w:rsid w:val="1AAE1B31"/>
    <w:rsid w:val="1ACB76FA"/>
    <w:rsid w:val="1AF06A9C"/>
    <w:rsid w:val="1AFC2F8F"/>
    <w:rsid w:val="1B3B05EB"/>
    <w:rsid w:val="1BB230E1"/>
    <w:rsid w:val="1BC535F5"/>
    <w:rsid w:val="1BE32867"/>
    <w:rsid w:val="1C6D12F7"/>
    <w:rsid w:val="1C7321DF"/>
    <w:rsid w:val="1CC3797E"/>
    <w:rsid w:val="1CF02A64"/>
    <w:rsid w:val="1D83195F"/>
    <w:rsid w:val="1D8A10FB"/>
    <w:rsid w:val="1DAF3CE7"/>
    <w:rsid w:val="1E485333"/>
    <w:rsid w:val="1E5063C0"/>
    <w:rsid w:val="1E8D0FE0"/>
    <w:rsid w:val="1EB618B9"/>
    <w:rsid w:val="1EDA7048"/>
    <w:rsid w:val="1EF86DA4"/>
    <w:rsid w:val="1F15051A"/>
    <w:rsid w:val="1F193124"/>
    <w:rsid w:val="1F1B6419"/>
    <w:rsid w:val="1FCE0714"/>
    <w:rsid w:val="1FD75A17"/>
    <w:rsid w:val="207C70DE"/>
    <w:rsid w:val="20A76483"/>
    <w:rsid w:val="20B11E7A"/>
    <w:rsid w:val="211814F3"/>
    <w:rsid w:val="21317C3A"/>
    <w:rsid w:val="214A1A5A"/>
    <w:rsid w:val="217F2AC9"/>
    <w:rsid w:val="22013D2E"/>
    <w:rsid w:val="22336B17"/>
    <w:rsid w:val="22407F8B"/>
    <w:rsid w:val="22AE61C8"/>
    <w:rsid w:val="22C8274D"/>
    <w:rsid w:val="231B29D6"/>
    <w:rsid w:val="236A3FD1"/>
    <w:rsid w:val="23EA4A18"/>
    <w:rsid w:val="23FE318D"/>
    <w:rsid w:val="24C84DFC"/>
    <w:rsid w:val="25190615"/>
    <w:rsid w:val="253A14F8"/>
    <w:rsid w:val="255E3046"/>
    <w:rsid w:val="25881E68"/>
    <w:rsid w:val="2594718E"/>
    <w:rsid w:val="261648D2"/>
    <w:rsid w:val="26361CD5"/>
    <w:rsid w:val="26885F81"/>
    <w:rsid w:val="26A24C78"/>
    <w:rsid w:val="26C3353D"/>
    <w:rsid w:val="26CF1CA7"/>
    <w:rsid w:val="273504A8"/>
    <w:rsid w:val="275D089C"/>
    <w:rsid w:val="27E27542"/>
    <w:rsid w:val="281D412E"/>
    <w:rsid w:val="28260757"/>
    <w:rsid w:val="282A7049"/>
    <w:rsid w:val="28781DFF"/>
    <w:rsid w:val="2888581E"/>
    <w:rsid w:val="28A169BD"/>
    <w:rsid w:val="28CE7F8C"/>
    <w:rsid w:val="28D878EF"/>
    <w:rsid w:val="28EA3F0C"/>
    <w:rsid w:val="28EF583B"/>
    <w:rsid w:val="28F12EB3"/>
    <w:rsid w:val="292A0CE1"/>
    <w:rsid w:val="296D1919"/>
    <w:rsid w:val="29B5428D"/>
    <w:rsid w:val="29D5474B"/>
    <w:rsid w:val="2A1B4874"/>
    <w:rsid w:val="2A3700C6"/>
    <w:rsid w:val="2AB65D96"/>
    <w:rsid w:val="2AD315AB"/>
    <w:rsid w:val="2B1718FD"/>
    <w:rsid w:val="2B74426C"/>
    <w:rsid w:val="2BC009FB"/>
    <w:rsid w:val="2BD469F5"/>
    <w:rsid w:val="2C133A48"/>
    <w:rsid w:val="2C3D0FDC"/>
    <w:rsid w:val="2CC444DD"/>
    <w:rsid w:val="2D0254CA"/>
    <w:rsid w:val="2D43119F"/>
    <w:rsid w:val="2D5E128C"/>
    <w:rsid w:val="2D923DC1"/>
    <w:rsid w:val="2DAD524F"/>
    <w:rsid w:val="2DDA6468"/>
    <w:rsid w:val="2DE77E60"/>
    <w:rsid w:val="2DEB4343"/>
    <w:rsid w:val="2DF42BF2"/>
    <w:rsid w:val="2E0F0AAD"/>
    <w:rsid w:val="2E111B60"/>
    <w:rsid w:val="2E4818E5"/>
    <w:rsid w:val="2E6236DD"/>
    <w:rsid w:val="2EAD6CA6"/>
    <w:rsid w:val="2EFF697A"/>
    <w:rsid w:val="2F76515D"/>
    <w:rsid w:val="2FA606FF"/>
    <w:rsid w:val="2FB31916"/>
    <w:rsid w:val="2FBC2A80"/>
    <w:rsid w:val="2FD24018"/>
    <w:rsid w:val="2FF04C73"/>
    <w:rsid w:val="301A3407"/>
    <w:rsid w:val="30317E11"/>
    <w:rsid w:val="305C0679"/>
    <w:rsid w:val="310C3B6A"/>
    <w:rsid w:val="314A4831"/>
    <w:rsid w:val="316438E3"/>
    <w:rsid w:val="319413AB"/>
    <w:rsid w:val="323148D4"/>
    <w:rsid w:val="32520EB0"/>
    <w:rsid w:val="325746D9"/>
    <w:rsid w:val="3357756A"/>
    <w:rsid w:val="33645968"/>
    <w:rsid w:val="337E6252"/>
    <w:rsid w:val="33E12305"/>
    <w:rsid w:val="34ED3235"/>
    <w:rsid w:val="35D17651"/>
    <w:rsid w:val="35E93A58"/>
    <w:rsid w:val="367E0119"/>
    <w:rsid w:val="368E77E9"/>
    <w:rsid w:val="36AF317A"/>
    <w:rsid w:val="36B06ED5"/>
    <w:rsid w:val="36E8088F"/>
    <w:rsid w:val="37EB11BA"/>
    <w:rsid w:val="38110AEC"/>
    <w:rsid w:val="381923E5"/>
    <w:rsid w:val="38972259"/>
    <w:rsid w:val="39261397"/>
    <w:rsid w:val="3A042BF1"/>
    <w:rsid w:val="3A51780D"/>
    <w:rsid w:val="3A8D22A6"/>
    <w:rsid w:val="3AEF75A4"/>
    <w:rsid w:val="3B0820B1"/>
    <w:rsid w:val="3B624AD7"/>
    <w:rsid w:val="3B6663E3"/>
    <w:rsid w:val="3BB609A2"/>
    <w:rsid w:val="3C066036"/>
    <w:rsid w:val="3C3E1B1F"/>
    <w:rsid w:val="3C650444"/>
    <w:rsid w:val="3C690CC6"/>
    <w:rsid w:val="3C9D4AEB"/>
    <w:rsid w:val="3C9E3281"/>
    <w:rsid w:val="3CD4512D"/>
    <w:rsid w:val="3CE31458"/>
    <w:rsid w:val="3D4E0EBA"/>
    <w:rsid w:val="3D790C3F"/>
    <w:rsid w:val="3D866DA2"/>
    <w:rsid w:val="3DC304BB"/>
    <w:rsid w:val="3DCC4800"/>
    <w:rsid w:val="3DF16D1A"/>
    <w:rsid w:val="3DFD0BF5"/>
    <w:rsid w:val="3E0403C0"/>
    <w:rsid w:val="3E2B70F8"/>
    <w:rsid w:val="3E511AF8"/>
    <w:rsid w:val="3E770242"/>
    <w:rsid w:val="3EC951CF"/>
    <w:rsid w:val="3F3738BB"/>
    <w:rsid w:val="3F47773C"/>
    <w:rsid w:val="3F505BD3"/>
    <w:rsid w:val="3F7E3435"/>
    <w:rsid w:val="3F9C5609"/>
    <w:rsid w:val="3FE31272"/>
    <w:rsid w:val="405F16AB"/>
    <w:rsid w:val="405F61DB"/>
    <w:rsid w:val="408641E4"/>
    <w:rsid w:val="40865093"/>
    <w:rsid w:val="40A55EA9"/>
    <w:rsid w:val="40B143CB"/>
    <w:rsid w:val="40E34516"/>
    <w:rsid w:val="41816645"/>
    <w:rsid w:val="41AF0C22"/>
    <w:rsid w:val="41C236CA"/>
    <w:rsid w:val="423B22D1"/>
    <w:rsid w:val="4250465F"/>
    <w:rsid w:val="427D7596"/>
    <w:rsid w:val="42A6354C"/>
    <w:rsid w:val="42D038B6"/>
    <w:rsid w:val="43045DB7"/>
    <w:rsid w:val="43683B90"/>
    <w:rsid w:val="437A13BD"/>
    <w:rsid w:val="43B17578"/>
    <w:rsid w:val="44E206E4"/>
    <w:rsid w:val="44FA789B"/>
    <w:rsid w:val="44FF6CF8"/>
    <w:rsid w:val="45667375"/>
    <w:rsid w:val="45886D9D"/>
    <w:rsid w:val="45D05760"/>
    <w:rsid w:val="46365757"/>
    <w:rsid w:val="465502AD"/>
    <w:rsid w:val="46677FED"/>
    <w:rsid w:val="469D7215"/>
    <w:rsid w:val="46C16F8A"/>
    <w:rsid w:val="46C70BB7"/>
    <w:rsid w:val="46F20697"/>
    <w:rsid w:val="472E621C"/>
    <w:rsid w:val="47D747CC"/>
    <w:rsid w:val="480A5D17"/>
    <w:rsid w:val="48361DF1"/>
    <w:rsid w:val="484D4AC7"/>
    <w:rsid w:val="48721DAB"/>
    <w:rsid w:val="4880019E"/>
    <w:rsid w:val="48851FAD"/>
    <w:rsid w:val="48A40FBC"/>
    <w:rsid w:val="49054DF7"/>
    <w:rsid w:val="4A0A0677"/>
    <w:rsid w:val="4A6271B1"/>
    <w:rsid w:val="4AF03F48"/>
    <w:rsid w:val="4B04184C"/>
    <w:rsid w:val="4B043F40"/>
    <w:rsid w:val="4B1D0E46"/>
    <w:rsid w:val="4B84110D"/>
    <w:rsid w:val="4BCB4C63"/>
    <w:rsid w:val="4C261561"/>
    <w:rsid w:val="4C8C2F31"/>
    <w:rsid w:val="4C944A54"/>
    <w:rsid w:val="4CDC0D9A"/>
    <w:rsid w:val="4D365169"/>
    <w:rsid w:val="4D8E276E"/>
    <w:rsid w:val="4D9F0A87"/>
    <w:rsid w:val="4DCE5C23"/>
    <w:rsid w:val="4DF0581D"/>
    <w:rsid w:val="4E545779"/>
    <w:rsid w:val="4E835525"/>
    <w:rsid w:val="4E9A79F2"/>
    <w:rsid w:val="4EA3257D"/>
    <w:rsid w:val="4F316AC6"/>
    <w:rsid w:val="4FCB3060"/>
    <w:rsid w:val="4FED2A6F"/>
    <w:rsid w:val="4FFD1FFA"/>
    <w:rsid w:val="50180650"/>
    <w:rsid w:val="50236201"/>
    <w:rsid w:val="508A287C"/>
    <w:rsid w:val="50AD52F8"/>
    <w:rsid w:val="50D335E5"/>
    <w:rsid w:val="50EC00EC"/>
    <w:rsid w:val="517501A3"/>
    <w:rsid w:val="51C5598C"/>
    <w:rsid w:val="52157C7A"/>
    <w:rsid w:val="523F3A6F"/>
    <w:rsid w:val="527E5F8F"/>
    <w:rsid w:val="52F02B58"/>
    <w:rsid w:val="532E4F4A"/>
    <w:rsid w:val="53515C86"/>
    <w:rsid w:val="53C233F2"/>
    <w:rsid w:val="542267C1"/>
    <w:rsid w:val="54414619"/>
    <w:rsid w:val="54561FA4"/>
    <w:rsid w:val="547827ED"/>
    <w:rsid w:val="54CC5F6E"/>
    <w:rsid w:val="55230C8F"/>
    <w:rsid w:val="55675E27"/>
    <w:rsid w:val="558C5D68"/>
    <w:rsid w:val="55E173D6"/>
    <w:rsid w:val="564C6C5E"/>
    <w:rsid w:val="568D20BA"/>
    <w:rsid w:val="570006C7"/>
    <w:rsid w:val="57404D35"/>
    <w:rsid w:val="57441858"/>
    <w:rsid w:val="57D3604F"/>
    <w:rsid w:val="582E3BDE"/>
    <w:rsid w:val="58400AA3"/>
    <w:rsid w:val="584D0A43"/>
    <w:rsid w:val="58723B96"/>
    <w:rsid w:val="58A159D4"/>
    <w:rsid w:val="58AA5211"/>
    <w:rsid w:val="58DA096A"/>
    <w:rsid w:val="5905760B"/>
    <w:rsid w:val="59096205"/>
    <w:rsid w:val="591658D4"/>
    <w:rsid w:val="595859E9"/>
    <w:rsid w:val="5A2C4F69"/>
    <w:rsid w:val="5A6402C1"/>
    <w:rsid w:val="5A652FA5"/>
    <w:rsid w:val="5A6821E2"/>
    <w:rsid w:val="5ACD2131"/>
    <w:rsid w:val="5B11668A"/>
    <w:rsid w:val="5B205295"/>
    <w:rsid w:val="5B4A37BB"/>
    <w:rsid w:val="5B515E0F"/>
    <w:rsid w:val="5B8A7493"/>
    <w:rsid w:val="5BA752AD"/>
    <w:rsid w:val="5BD946C9"/>
    <w:rsid w:val="5C54069A"/>
    <w:rsid w:val="5C8962CD"/>
    <w:rsid w:val="5CA62DE1"/>
    <w:rsid w:val="5CC242D5"/>
    <w:rsid w:val="5CED199B"/>
    <w:rsid w:val="5D2C0676"/>
    <w:rsid w:val="5E11731A"/>
    <w:rsid w:val="5E1E2371"/>
    <w:rsid w:val="5E9E1942"/>
    <w:rsid w:val="5EA32DE9"/>
    <w:rsid w:val="5ED41206"/>
    <w:rsid w:val="5EDA2C3E"/>
    <w:rsid w:val="5EEE57E6"/>
    <w:rsid w:val="5F115B53"/>
    <w:rsid w:val="5FF602D0"/>
    <w:rsid w:val="606D7F04"/>
    <w:rsid w:val="606E7BA9"/>
    <w:rsid w:val="60B34A5A"/>
    <w:rsid w:val="60C25BFE"/>
    <w:rsid w:val="60D75925"/>
    <w:rsid w:val="61DC6E5D"/>
    <w:rsid w:val="621967EB"/>
    <w:rsid w:val="627929CB"/>
    <w:rsid w:val="628B73EA"/>
    <w:rsid w:val="62FB58A2"/>
    <w:rsid w:val="631844AF"/>
    <w:rsid w:val="634031F2"/>
    <w:rsid w:val="63576583"/>
    <w:rsid w:val="63D52C35"/>
    <w:rsid w:val="63D856B6"/>
    <w:rsid w:val="63FB6976"/>
    <w:rsid w:val="64817EE3"/>
    <w:rsid w:val="64892DC1"/>
    <w:rsid w:val="64E95E0C"/>
    <w:rsid w:val="65404483"/>
    <w:rsid w:val="65440ED1"/>
    <w:rsid w:val="65AE2A1E"/>
    <w:rsid w:val="65D93D96"/>
    <w:rsid w:val="65F0671D"/>
    <w:rsid w:val="66305E2C"/>
    <w:rsid w:val="664F0A1D"/>
    <w:rsid w:val="66871035"/>
    <w:rsid w:val="670F41CD"/>
    <w:rsid w:val="672225AD"/>
    <w:rsid w:val="67394A04"/>
    <w:rsid w:val="67602501"/>
    <w:rsid w:val="67636346"/>
    <w:rsid w:val="6781235F"/>
    <w:rsid w:val="680C210A"/>
    <w:rsid w:val="68833C70"/>
    <w:rsid w:val="68AA0CD2"/>
    <w:rsid w:val="68E90704"/>
    <w:rsid w:val="6974143A"/>
    <w:rsid w:val="69D85FAA"/>
    <w:rsid w:val="6A2F7233"/>
    <w:rsid w:val="6A905FD3"/>
    <w:rsid w:val="6ABC6829"/>
    <w:rsid w:val="6B095C42"/>
    <w:rsid w:val="6B1A4C57"/>
    <w:rsid w:val="6B1D0576"/>
    <w:rsid w:val="6B6850D8"/>
    <w:rsid w:val="6B7919D9"/>
    <w:rsid w:val="6BDC11E4"/>
    <w:rsid w:val="6BE36BA8"/>
    <w:rsid w:val="6C265AE8"/>
    <w:rsid w:val="6C4B33D0"/>
    <w:rsid w:val="6C4C12DB"/>
    <w:rsid w:val="6C4F3F8D"/>
    <w:rsid w:val="6C7400A9"/>
    <w:rsid w:val="6D2A281F"/>
    <w:rsid w:val="6D735228"/>
    <w:rsid w:val="6D9C3893"/>
    <w:rsid w:val="6E0637D2"/>
    <w:rsid w:val="6E2A6374"/>
    <w:rsid w:val="6E6D3C97"/>
    <w:rsid w:val="6E8721E4"/>
    <w:rsid w:val="6ECB6CCA"/>
    <w:rsid w:val="6ED72B76"/>
    <w:rsid w:val="6F4B42A8"/>
    <w:rsid w:val="6FB5195B"/>
    <w:rsid w:val="6FC44DB9"/>
    <w:rsid w:val="700A4320"/>
    <w:rsid w:val="70C20E98"/>
    <w:rsid w:val="70E03F85"/>
    <w:rsid w:val="70E127D8"/>
    <w:rsid w:val="70E83967"/>
    <w:rsid w:val="70FF6335"/>
    <w:rsid w:val="716C0544"/>
    <w:rsid w:val="71D23344"/>
    <w:rsid w:val="72A7149E"/>
    <w:rsid w:val="72CA7A30"/>
    <w:rsid w:val="7343072A"/>
    <w:rsid w:val="73603795"/>
    <w:rsid w:val="736C0D58"/>
    <w:rsid w:val="73741D59"/>
    <w:rsid w:val="738469E4"/>
    <w:rsid w:val="73CA351D"/>
    <w:rsid w:val="743108E6"/>
    <w:rsid w:val="752B0F92"/>
    <w:rsid w:val="756033EF"/>
    <w:rsid w:val="75707059"/>
    <w:rsid w:val="75AA1480"/>
    <w:rsid w:val="75C31EA5"/>
    <w:rsid w:val="760C1BCE"/>
    <w:rsid w:val="762924C3"/>
    <w:rsid w:val="76432212"/>
    <w:rsid w:val="777951F6"/>
    <w:rsid w:val="77895633"/>
    <w:rsid w:val="778C29F4"/>
    <w:rsid w:val="77CE51B5"/>
    <w:rsid w:val="780F324D"/>
    <w:rsid w:val="7914208E"/>
    <w:rsid w:val="797F382B"/>
    <w:rsid w:val="79AD428D"/>
    <w:rsid w:val="79B14895"/>
    <w:rsid w:val="7A4055ED"/>
    <w:rsid w:val="7A7867BC"/>
    <w:rsid w:val="7AAE43AE"/>
    <w:rsid w:val="7AE0076C"/>
    <w:rsid w:val="7AF06E36"/>
    <w:rsid w:val="7B225000"/>
    <w:rsid w:val="7B5718EB"/>
    <w:rsid w:val="7B632886"/>
    <w:rsid w:val="7B6B55EB"/>
    <w:rsid w:val="7B7313DE"/>
    <w:rsid w:val="7B9D4AF2"/>
    <w:rsid w:val="7BB93B9F"/>
    <w:rsid w:val="7C612E07"/>
    <w:rsid w:val="7C9A35FC"/>
    <w:rsid w:val="7CAC4E8A"/>
    <w:rsid w:val="7CD1303A"/>
    <w:rsid w:val="7D1C0746"/>
    <w:rsid w:val="7E57147C"/>
    <w:rsid w:val="7E6279DC"/>
    <w:rsid w:val="7E9747D2"/>
    <w:rsid w:val="7EBD6085"/>
    <w:rsid w:val="7ECF0240"/>
    <w:rsid w:val="7F0C7EC5"/>
    <w:rsid w:val="7F19179E"/>
    <w:rsid w:val="7F255C0C"/>
    <w:rsid w:val="7F57461E"/>
    <w:rsid w:val="7F76147D"/>
    <w:rsid w:val="7F7D664F"/>
    <w:rsid w:val="7FE775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7"/>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1"/>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73"/>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51"/>
    <w:qFormat/>
    <w:uiPriority w:val="0"/>
    <w:pPr>
      <w:keepNext/>
      <w:keepLines/>
      <w:numPr>
        <w:ilvl w:val="4"/>
        <w:numId w:val="1"/>
      </w:numPr>
      <w:spacing w:before="280" w:after="290" w:line="376" w:lineRule="auto"/>
      <w:outlineLvl w:val="4"/>
    </w:pPr>
    <w:rPr>
      <w:b/>
      <w:kern w:val="0"/>
      <w:sz w:val="28"/>
    </w:rPr>
  </w:style>
  <w:style w:type="paragraph" w:styleId="9">
    <w:name w:val="heading 6"/>
    <w:basedOn w:val="1"/>
    <w:next w:val="8"/>
    <w:link w:val="59"/>
    <w:qFormat/>
    <w:uiPriority w:val="0"/>
    <w:pPr>
      <w:keepNext/>
      <w:keepLines/>
      <w:numPr>
        <w:ilvl w:val="5"/>
        <w:numId w:val="1"/>
      </w:numPr>
      <w:spacing w:before="240" w:after="64" w:line="320" w:lineRule="auto"/>
      <w:outlineLvl w:val="5"/>
    </w:pPr>
    <w:rPr>
      <w:rFonts w:ascii="Arial" w:hAnsi="Arial" w:eastAsia="黑体"/>
      <w:b/>
      <w:kern w:val="0"/>
      <w:sz w:val="24"/>
    </w:rPr>
  </w:style>
  <w:style w:type="paragraph" w:styleId="10">
    <w:name w:val="heading 7"/>
    <w:basedOn w:val="1"/>
    <w:next w:val="8"/>
    <w:link w:val="52"/>
    <w:qFormat/>
    <w:uiPriority w:val="0"/>
    <w:pPr>
      <w:keepNext/>
      <w:keepLines/>
      <w:numPr>
        <w:ilvl w:val="6"/>
        <w:numId w:val="1"/>
      </w:numPr>
      <w:spacing w:before="240" w:after="64" w:line="320" w:lineRule="auto"/>
      <w:outlineLvl w:val="6"/>
    </w:pPr>
    <w:rPr>
      <w:b/>
      <w:kern w:val="0"/>
      <w:sz w:val="24"/>
    </w:rPr>
  </w:style>
  <w:style w:type="paragraph" w:styleId="11">
    <w:name w:val="heading 8"/>
    <w:basedOn w:val="1"/>
    <w:next w:val="8"/>
    <w:link w:val="71"/>
    <w:qFormat/>
    <w:uiPriority w:val="0"/>
    <w:pPr>
      <w:keepNext/>
      <w:keepLines/>
      <w:numPr>
        <w:ilvl w:val="7"/>
        <w:numId w:val="1"/>
      </w:numPr>
      <w:spacing w:before="240" w:after="64" w:line="320" w:lineRule="auto"/>
      <w:outlineLvl w:val="7"/>
    </w:pPr>
    <w:rPr>
      <w:rFonts w:ascii="Arial" w:hAnsi="Arial" w:eastAsia="黑体"/>
      <w:kern w:val="0"/>
      <w:sz w:val="24"/>
    </w:rPr>
  </w:style>
  <w:style w:type="paragraph" w:styleId="12">
    <w:name w:val="heading 9"/>
    <w:basedOn w:val="1"/>
    <w:next w:val="8"/>
    <w:link w:val="62"/>
    <w:qFormat/>
    <w:uiPriority w:val="0"/>
    <w:pPr>
      <w:keepNext/>
      <w:keepLines/>
      <w:numPr>
        <w:ilvl w:val="8"/>
        <w:numId w:val="1"/>
      </w:numPr>
      <w:spacing w:before="240" w:after="64" w:line="320" w:lineRule="auto"/>
      <w:outlineLvl w:val="8"/>
    </w:pPr>
    <w:rPr>
      <w:rFonts w:ascii="Arial" w:hAnsi="Arial" w:eastAsia="黑体"/>
      <w:kern w:val="0"/>
      <w:sz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48"/>
    <w:semiHidden/>
    <w:qFormat/>
    <w:uiPriority w:val="0"/>
    <w:pPr>
      <w:shd w:val="clear" w:color="auto" w:fill="000080"/>
      <w:adjustRightInd w:val="0"/>
      <w:spacing w:line="312" w:lineRule="atLeast"/>
      <w:textAlignment w:val="baseline"/>
    </w:pPr>
    <w:rPr>
      <w:kern w:val="0"/>
      <w:sz w:val="20"/>
      <w:szCs w:val="20"/>
    </w:rPr>
  </w:style>
  <w:style w:type="paragraph" w:styleId="16">
    <w:name w:val="annotation text"/>
    <w:basedOn w:val="1"/>
    <w:link w:val="56"/>
    <w:unhideWhenUsed/>
    <w:qFormat/>
    <w:uiPriority w:val="99"/>
    <w:pPr>
      <w:jc w:val="left"/>
    </w:pPr>
    <w:rPr>
      <w:kern w:val="0"/>
      <w:sz w:val="20"/>
    </w:rPr>
  </w:style>
  <w:style w:type="paragraph" w:styleId="17">
    <w:name w:val="Body Text 3"/>
    <w:basedOn w:val="1"/>
    <w:link w:val="47"/>
    <w:qFormat/>
    <w:uiPriority w:val="0"/>
    <w:pPr>
      <w:spacing w:line="500" w:lineRule="exact"/>
    </w:pPr>
    <w:rPr>
      <w:b/>
      <w:bCs/>
      <w:kern w:val="0"/>
      <w:sz w:val="24"/>
    </w:rPr>
  </w:style>
  <w:style w:type="paragraph" w:styleId="18">
    <w:name w:val="Body Text"/>
    <w:basedOn w:val="1"/>
    <w:link w:val="46"/>
    <w:qFormat/>
    <w:uiPriority w:val="0"/>
    <w:pPr>
      <w:spacing w:line="380" w:lineRule="exact"/>
    </w:pPr>
    <w:rPr>
      <w:kern w:val="0"/>
      <w:sz w:val="24"/>
    </w:rPr>
  </w:style>
  <w:style w:type="paragraph" w:styleId="19">
    <w:name w:val="Body Text Indent"/>
    <w:basedOn w:val="1"/>
    <w:link w:val="66"/>
    <w:qFormat/>
    <w:uiPriority w:val="0"/>
    <w:pPr>
      <w:ind w:firstLine="830" w:firstLineChars="352"/>
    </w:pPr>
    <w:rPr>
      <w:rFonts w:ascii="FangSong_GB2312" w:eastAsia="FangSong_GB2312"/>
      <w:kern w:val="0"/>
      <w:sz w:val="32"/>
      <w:szCs w:val="20"/>
    </w:rPr>
  </w:style>
  <w:style w:type="paragraph" w:styleId="20">
    <w:name w:val="List Number 3"/>
    <w:basedOn w:val="1"/>
    <w:qFormat/>
    <w:uiPriority w:val="0"/>
    <w:pPr>
      <w:numPr>
        <w:ilvl w:val="0"/>
        <w:numId w:val="2"/>
      </w:numPr>
      <w:tabs>
        <w:tab w:val="left" w:pos="1200"/>
        <w:tab w:val="clear" w:pos="360"/>
      </w:tabs>
    </w:pPr>
  </w:style>
  <w:style w:type="paragraph" w:styleId="21">
    <w:name w:val="List 2"/>
    <w:basedOn w:val="1"/>
    <w:qFormat/>
    <w:uiPriority w:val="0"/>
    <w:pPr>
      <w:ind w:left="100" w:leftChars="200" w:hanging="200" w:hangingChars="200"/>
    </w:pPr>
    <w:rPr>
      <w:sz w:val="28"/>
    </w:rPr>
  </w:style>
  <w:style w:type="paragraph" w:styleId="22">
    <w:name w:val="Plain Text"/>
    <w:basedOn w:val="1"/>
    <w:link w:val="65"/>
    <w:qFormat/>
    <w:uiPriority w:val="0"/>
    <w:rPr>
      <w:rFonts w:ascii="宋体" w:hAnsi="Courier New"/>
      <w:kern w:val="0"/>
      <w:sz w:val="20"/>
      <w:szCs w:val="21"/>
    </w:rPr>
  </w:style>
  <w:style w:type="paragraph" w:styleId="23">
    <w:name w:val="Date"/>
    <w:basedOn w:val="1"/>
    <w:next w:val="1"/>
    <w:link w:val="69"/>
    <w:qFormat/>
    <w:uiPriority w:val="0"/>
    <w:pPr>
      <w:ind w:left="100" w:leftChars="2500"/>
    </w:pPr>
    <w:rPr>
      <w:rFonts w:ascii="宋体" w:hAnsi="Courier New"/>
      <w:kern w:val="0"/>
      <w:sz w:val="20"/>
      <w:szCs w:val="21"/>
    </w:rPr>
  </w:style>
  <w:style w:type="paragraph" w:styleId="24">
    <w:name w:val="Body Text Indent 2"/>
    <w:basedOn w:val="1"/>
    <w:link w:val="68"/>
    <w:qFormat/>
    <w:uiPriority w:val="0"/>
    <w:pPr>
      <w:ind w:firstLine="630"/>
    </w:pPr>
    <w:rPr>
      <w:kern w:val="0"/>
      <w:sz w:val="32"/>
      <w:szCs w:val="20"/>
    </w:rPr>
  </w:style>
  <w:style w:type="paragraph" w:styleId="25">
    <w:name w:val="Balloon Text"/>
    <w:basedOn w:val="1"/>
    <w:link w:val="49"/>
    <w:semiHidden/>
    <w:qFormat/>
    <w:uiPriority w:val="0"/>
    <w:rPr>
      <w:kern w:val="0"/>
      <w:sz w:val="18"/>
      <w:szCs w:val="18"/>
    </w:rPr>
  </w:style>
  <w:style w:type="paragraph" w:styleId="26">
    <w:name w:val="footer"/>
    <w:basedOn w:val="1"/>
    <w:link w:val="45"/>
    <w:unhideWhenUsed/>
    <w:qFormat/>
    <w:uiPriority w:val="99"/>
    <w:pPr>
      <w:tabs>
        <w:tab w:val="center" w:pos="4153"/>
        <w:tab w:val="right" w:pos="8306"/>
      </w:tabs>
      <w:snapToGrid w:val="0"/>
      <w:jc w:val="left"/>
    </w:pPr>
    <w:rPr>
      <w:kern w:val="0"/>
      <w:sz w:val="18"/>
      <w:szCs w:val="18"/>
    </w:rPr>
  </w:style>
  <w:style w:type="paragraph" w:styleId="27">
    <w:name w:val="header"/>
    <w:basedOn w:val="1"/>
    <w:link w:val="7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Body Text Indent 3"/>
    <w:basedOn w:val="1"/>
    <w:link w:val="72"/>
    <w:qFormat/>
    <w:uiPriority w:val="0"/>
    <w:pPr>
      <w:spacing w:after="120"/>
      <w:ind w:left="420" w:leftChars="200"/>
    </w:pPr>
    <w:rPr>
      <w:kern w:val="0"/>
      <w:sz w:val="16"/>
      <w:szCs w:val="16"/>
    </w:rPr>
  </w:style>
  <w:style w:type="paragraph" w:styleId="29">
    <w:name w:val="Body Text 2"/>
    <w:basedOn w:val="1"/>
    <w:link w:val="63"/>
    <w:qFormat/>
    <w:uiPriority w:val="0"/>
    <w:pPr>
      <w:spacing w:after="120" w:line="480" w:lineRule="auto"/>
    </w:pPr>
    <w:rPr>
      <w:kern w:val="0"/>
      <w:sz w:val="20"/>
    </w:rPr>
  </w:style>
  <w:style w:type="paragraph" w:styleId="30">
    <w:name w:val="HTML Preformatted"/>
    <w:basedOn w:val="1"/>
    <w:link w:val="5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1">
    <w:name w:val="Normal (Web)"/>
    <w:basedOn w:val="1"/>
    <w:unhideWhenUsed/>
    <w:qFormat/>
    <w:uiPriority w:val="0"/>
    <w:pPr>
      <w:spacing w:before="100" w:beforeAutospacing="1" w:after="100" w:afterAutospacing="1"/>
      <w:jc w:val="left"/>
    </w:pPr>
    <w:rPr>
      <w:kern w:val="0"/>
      <w:sz w:val="24"/>
    </w:rPr>
  </w:style>
  <w:style w:type="paragraph" w:styleId="32">
    <w:name w:val="Title"/>
    <w:basedOn w:val="1"/>
    <w:qFormat/>
    <w:uiPriority w:val="10"/>
    <w:pPr>
      <w:spacing w:before="240" w:after="60"/>
      <w:jc w:val="center"/>
      <w:outlineLvl w:val="0"/>
    </w:pPr>
    <w:rPr>
      <w:rFonts w:ascii="Arial" w:hAnsi="Arial" w:cs="Arial"/>
      <w:b/>
      <w:bCs/>
      <w:sz w:val="32"/>
      <w:szCs w:val="32"/>
    </w:rPr>
  </w:style>
  <w:style w:type="paragraph" w:styleId="33">
    <w:name w:val="annotation subject"/>
    <w:basedOn w:val="16"/>
    <w:next w:val="16"/>
    <w:link w:val="64"/>
    <w:semiHidden/>
    <w:qFormat/>
    <w:uiPriority w:val="0"/>
    <w:rPr>
      <w:b/>
      <w:bCs/>
    </w:rPr>
  </w:style>
  <w:style w:type="paragraph" w:styleId="34">
    <w:name w:val="Body Text First Indent"/>
    <w:basedOn w:val="18"/>
    <w:unhideWhenUsed/>
    <w:qFormat/>
    <w:uiPriority w:val="99"/>
    <w:pPr>
      <w:ind w:firstLine="420" w:firstLineChars="100"/>
    </w:p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22"/>
    <w:rPr>
      <w:b/>
      <w:sz w:val="24"/>
      <w:szCs w:val="24"/>
    </w:rPr>
  </w:style>
  <w:style w:type="character" w:styleId="39">
    <w:name w:val="page number"/>
    <w:basedOn w:val="37"/>
    <w:qFormat/>
    <w:uiPriority w:val="0"/>
  </w:style>
  <w:style w:type="character" w:styleId="40">
    <w:name w:val="FollowedHyperlink"/>
    <w:basedOn w:val="37"/>
    <w:semiHidden/>
    <w:unhideWhenUsed/>
    <w:qFormat/>
    <w:uiPriority w:val="0"/>
    <w:rPr>
      <w:color w:val="000000"/>
      <w:u w:val="none"/>
    </w:rPr>
  </w:style>
  <w:style w:type="character" w:styleId="41">
    <w:name w:val="Emphasis"/>
    <w:qFormat/>
    <w:uiPriority w:val="20"/>
    <w:rPr>
      <w:color w:val="CC0000"/>
      <w:sz w:val="24"/>
      <w:szCs w:val="24"/>
    </w:rPr>
  </w:style>
  <w:style w:type="character" w:styleId="42">
    <w:name w:val="Hyperlink"/>
    <w:basedOn w:val="37"/>
    <w:unhideWhenUsed/>
    <w:qFormat/>
    <w:uiPriority w:val="99"/>
    <w:rPr>
      <w:color w:val="000000"/>
      <w:u w:val="none"/>
    </w:rPr>
  </w:style>
  <w:style w:type="character" w:styleId="43">
    <w:name w:val="annotation reference"/>
    <w:unhideWhenUsed/>
    <w:qFormat/>
    <w:uiPriority w:val="0"/>
    <w:rPr>
      <w:sz w:val="21"/>
      <w:szCs w:val="21"/>
    </w:rPr>
  </w:style>
  <w:style w:type="character" w:styleId="44">
    <w:name w:val="HTML Cite"/>
    <w:unhideWhenUsed/>
    <w:qFormat/>
    <w:uiPriority w:val="99"/>
    <w:rPr>
      <w:sz w:val="24"/>
      <w:szCs w:val="24"/>
    </w:rPr>
  </w:style>
  <w:style w:type="character" w:customStyle="1" w:styleId="45">
    <w:name w:val="页脚 Char"/>
    <w:link w:val="26"/>
    <w:semiHidden/>
    <w:qFormat/>
    <w:uiPriority w:val="99"/>
    <w:rPr>
      <w:sz w:val="18"/>
      <w:szCs w:val="18"/>
    </w:rPr>
  </w:style>
  <w:style w:type="character" w:customStyle="1" w:styleId="46">
    <w:name w:val="正文文本 Char"/>
    <w:link w:val="18"/>
    <w:qFormat/>
    <w:uiPriority w:val="0"/>
    <w:rPr>
      <w:rFonts w:ascii="Times New Roman" w:hAnsi="Times New Roman" w:eastAsia="宋体" w:cs="Times New Roman"/>
      <w:sz w:val="24"/>
      <w:szCs w:val="24"/>
    </w:rPr>
  </w:style>
  <w:style w:type="character" w:customStyle="1" w:styleId="47">
    <w:name w:val="正文文本 3 Char"/>
    <w:link w:val="17"/>
    <w:qFormat/>
    <w:uiPriority w:val="0"/>
    <w:rPr>
      <w:rFonts w:ascii="Times New Roman" w:hAnsi="Times New Roman" w:eastAsia="宋体" w:cs="Times New Roman"/>
      <w:b/>
      <w:bCs/>
      <w:sz w:val="24"/>
      <w:szCs w:val="24"/>
    </w:rPr>
  </w:style>
  <w:style w:type="character" w:customStyle="1" w:styleId="48">
    <w:name w:val="文档结构图 Char"/>
    <w:link w:val="15"/>
    <w:semiHidden/>
    <w:qFormat/>
    <w:uiPriority w:val="0"/>
    <w:rPr>
      <w:rFonts w:ascii="Times New Roman" w:hAnsi="Times New Roman" w:eastAsia="宋体" w:cs="Times New Roman"/>
      <w:kern w:val="0"/>
      <w:szCs w:val="20"/>
      <w:shd w:val="clear" w:color="auto" w:fill="000080"/>
    </w:rPr>
  </w:style>
  <w:style w:type="character" w:customStyle="1" w:styleId="49">
    <w:name w:val="批注框文本 Char"/>
    <w:link w:val="25"/>
    <w:semiHidden/>
    <w:qFormat/>
    <w:uiPriority w:val="0"/>
    <w:rPr>
      <w:rFonts w:ascii="Times New Roman" w:hAnsi="Times New Roman" w:eastAsia="宋体" w:cs="Times New Roman"/>
      <w:sz w:val="18"/>
      <w:szCs w:val="18"/>
    </w:rPr>
  </w:style>
  <w:style w:type="character" w:customStyle="1" w:styleId="50">
    <w:name w:val="HTML 预设格式 Char"/>
    <w:link w:val="30"/>
    <w:qFormat/>
    <w:uiPriority w:val="99"/>
    <w:rPr>
      <w:rFonts w:ascii="黑体" w:hAnsi="Courier New" w:eastAsia="黑体" w:cs="Courier New"/>
      <w:kern w:val="0"/>
      <w:sz w:val="20"/>
      <w:szCs w:val="20"/>
    </w:rPr>
  </w:style>
  <w:style w:type="character" w:customStyle="1" w:styleId="51">
    <w:name w:val="标题 5 Char"/>
    <w:link w:val="7"/>
    <w:qFormat/>
    <w:uiPriority w:val="0"/>
    <w:rPr>
      <w:rFonts w:ascii="Times New Roman" w:hAnsi="Times New Roman" w:eastAsia="宋体" w:cs="Times New Roman"/>
      <w:b/>
      <w:sz w:val="28"/>
      <w:szCs w:val="24"/>
    </w:rPr>
  </w:style>
  <w:style w:type="character" w:customStyle="1" w:styleId="52">
    <w:name w:val="标题 7 Char"/>
    <w:link w:val="10"/>
    <w:qFormat/>
    <w:uiPriority w:val="0"/>
    <w:rPr>
      <w:rFonts w:ascii="Times New Roman" w:hAnsi="Times New Roman" w:eastAsia="宋体" w:cs="Times New Roman"/>
      <w:b/>
      <w:sz w:val="24"/>
      <w:szCs w:val="24"/>
    </w:rPr>
  </w:style>
  <w:style w:type="character" w:customStyle="1" w:styleId="53">
    <w:name w:val="1ji Char"/>
    <w:link w:val="54"/>
    <w:qFormat/>
    <w:uiPriority w:val="0"/>
    <w:rPr>
      <w:rFonts w:ascii="宋体" w:hAnsi="宋体" w:eastAsia="宋体" w:cs="Times New Roman"/>
      <w:b/>
      <w:bCs/>
      <w:kern w:val="44"/>
      <w:sz w:val="36"/>
      <w:szCs w:val="44"/>
    </w:rPr>
  </w:style>
  <w:style w:type="paragraph" w:customStyle="1" w:styleId="54">
    <w:name w:val="1ji"/>
    <w:basedOn w:val="3"/>
    <w:link w:val="53"/>
    <w:qFormat/>
    <w:uiPriority w:val="0"/>
    <w:pPr>
      <w:widowControl/>
      <w:spacing w:before="0" w:after="0" w:line="240" w:lineRule="auto"/>
      <w:jc w:val="center"/>
    </w:pPr>
    <w:rPr>
      <w:rFonts w:ascii="宋体" w:hAnsi="宋体"/>
      <w:sz w:val="36"/>
    </w:rPr>
  </w:style>
  <w:style w:type="character" w:customStyle="1" w:styleId="55">
    <w:name w:val="普通文字 Char Char2"/>
    <w:qFormat/>
    <w:uiPriority w:val="0"/>
    <w:rPr>
      <w:rFonts w:ascii="宋体" w:hAnsi="Courier New" w:eastAsia="宋体"/>
      <w:kern w:val="2"/>
      <w:sz w:val="21"/>
      <w:lang w:val="en-US" w:eastAsia="zh-CN" w:bidi="ar-SA"/>
    </w:rPr>
  </w:style>
  <w:style w:type="character" w:customStyle="1" w:styleId="56">
    <w:name w:val="批注文字 Char"/>
    <w:link w:val="16"/>
    <w:semiHidden/>
    <w:qFormat/>
    <w:uiPriority w:val="99"/>
    <w:rPr>
      <w:rFonts w:ascii="Times New Roman" w:hAnsi="Times New Roman" w:eastAsia="宋体" w:cs="Times New Roman"/>
      <w:szCs w:val="24"/>
    </w:rPr>
  </w:style>
  <w:style w:type="character" w:customStyle="1" w:styleId="57">
    <w:name w:val="样式 正文（缩进） Char"/>
    <w:link w:val="58"/>
    <w:qFormat/>
    <w:uiPriority w:val="0"/>
    <w:rPr>
      <w:rFonts w:ascii="宋体" w:hAnsi="宋体"/>
      <w:szCs w:val="24"/>
    </w:rPr>
  </w:style>
  <w:style w:type="paragraph" w:customStyle="1" w:styleId="58">
    <w:name w:val="样式 正文（缩进）"/>
    <w:basedOn w:val="1"/>
    <w:link w:val="57"/>
    <w:qFormat/>
    <w:uiPriority w:val="0"/>
    <w:pPr>
      <w:ind w:firstLine="480" w:firstLineChars="200"/>
    </w:pPr>
    <w:rPr>
      <w:rFonts w:ascii="宋体" w:hAnsi="宋体"/>
      <w:kern w:val="0"/>
      <w:sz w:val="20"/>
    </w:rPr>
  </w:style>
  <w:style w:type="character" w:customStyle="1" w:styleId="59">
    <w:name w:val="标题 6 Char"/>
    <w:link w:val="9"/>
    <w:qFormat/>
    <w:uiPriority w:val="0"/>
    <w:rPr>
      <w:rFonts w:ascii="Arial" w:hAnsi="Arial" w:eastAsia="黑体" w:cs="Times New Roman"/>
      <w:b/>
      <w:sz w:val="24"/>
      <w:szCs w:val="24"/>
    </w:rPr>
  </w:style>
  <w:style w:type="character" w:customStyle="1" w:styleId="60">
    <w:name w:val="标题 1 Char"/>
    <w:link w:val="3"/>
    <w:qFormat/>
    <w:uiPriority w:val="0"/>
    <w:rPr>
      <w:rFonts w:ascii="Times New Roman" w:hAnsi="Times New Roman" w:eastAsia="宋体" w:cs="Times New Roman"/>
      <w:b/>
      <w:bCs/>
      <w:kern w:val="44"/>
      <w:sz w:val="44"/>
      <w:szCs w:val="44"/>
    </w:rPr>
  </w:style>
  <w:style w:type="character" w:customStyle="1" w:styleId="61">
    <w:name w:val="标题 3 Char"/>
    <w:link w:val="5"/>
    <w:qFormat/>
    <w:uiPriority w:val="0"/>
    <w:rPr>
      <w:rFonts w:ascii="Times New Roman" w:hAnsi="Times New Roman" w:eastAsia="宋体" w:cs="Times New Roman"/>
      <w:b/>
      <w:bCs/>
      <w:sz w:val="32"/>
      <w:szCs w:val="32"/>
    </w:rPr>
  </w:style>
  <w:style w:type="character" w:customStyle="1" w:styleId="62">
    <w:name w:val="标题 9 Char"/>
    <w:link w:val="12"/>
    <w:qFormat/>
    <w:uiPriority w:val="0"/>
    <w:rPr>
      <w:rFonts w:ascii="Arial" w:hAnsi="Arial" w:eastAsia="黑体" w:cs="Times New Roman"/>
      <w:szCs w:val="24"/>
    </w:rPr>
  </w:style>
  <w:style w:type="character" w:customStyle="1" w:styleId="63">
    <w:name w:val="正文文本 2 Char"/>
    <w:link w:val="29"/>
    <w:qFormat/>
    <w:uiPriority w:val="0"/>
    <w:rPr>
      <w:rFonts w:ascii="Times New Roman" w:hAnsi="Times New Roman" w:eastAsia="宋体" w:cs="Times New Roman"/>
      <w:szCs w:val="24"/>
    </w:rPr>
  </w:style>
  <w:style w:type="character" w:customStyle="1" w:styleId="64">
    <w:name w:val="批注主题 Char"/>
    <w:link w:val="33"/>
    <w:semiHidden/>
    <w:qFormat/>
    <w:uiPriority w:val="0"/>
    <w:rPr>
      <w:rFonts w:ascii="Times New Roman" w:hAnsi="Times New Roman" w:eastAsia="宋体" w:cs="Times New Roman"/>
      <w:b/>
      <w:bCs/>
      <w:szCs w:val="24"/>
    </w:rPr>
  </w:style>
  <w:style w:type="character" w:customStyle="1" w:styleId="65">
    <w:name w:val="纯文本 Char"/>
    <w:link w:val="22"/>
    <w:qFormat/>
    <w:uiPriority w:val="0"/>
    <w:rPr>
      <w:rFonts w:ascii="宋体" w:hAnsi="Courier New" w:eastAsia="宋体" w:cs="Courier New"/>
      <w:szCs w:val="21"/>
    </w:rPr>
  </w:style>
  <w:style w:type="character" w:customStyle="1" w:styleId="66">
    <w:name w:val="正文文本缩进 Char"/>
    <w:link w:val="19"/>
    <w:qFormat/>
    <w:uiPriority w:val="0"/>
    <w:rPr>
      <w:rFonts w:ascii="FangSong_GB2312" w:hAnsi="Times New Roman" w:eastAsia="FangSong_GB2312" w:cs="Times New Roman"/>
      <w:sz w:val="32"/>
      <w:szCs w:val="20"/>
    </w:rPr>
  </w:style>
  <w:style w:type="character" w:customStyle="1" w:styleId="67">
    <w:name w:val="标题 2 Char"/>
    <w:link w:val="4"/>
    <w:qFormat/>
    <w:uiPriority w:val="0"/>
    <w:rPr>
      <w:rFonts w:ascii="Arial" w:hAnsi="Arial" w:eastAsia="黑体" w:cs="Times New Roman"/>
      <w:b/>
      <w:bCs/>
      <w:sz w:val="32"/>
      <w:szCs w:val="32"/>
    </w:rPr>
  </w:style>
  <w:style w:type="character" w:customStyle="1" w:styleId="68">
    <w:name w:val="正文文本缩进 2 Char"/>
    <w:link w:val="24"/>
    <w:qFormat/>
    <w:uiPriority w:val="0"/>
    <w:rPr>
      <w:rFonts w:ascii="Times New Roman" w:hAnsi="Times New Roman" w:eastAsia="宋体" w:cs="Times New Roman"/>
      <w:sz w:val="32"/>
      <w:szCs w:val="20"/>
    </w:rPr>
  </w:style>
  <w:style w:type="character" w:customStyle="1" w:styleId="69">
    <w:name w:val="日期 Char"/>
    <w:link w:val="23"/>
    <w:qFormat/>
    <w:uiPriority w:val="0"/>
    <w:rPr>
      <w:rFonts w:ascii="宋体" w:hAnsi="Courier New" w:eastAsia="宋体" w:cs="Courier New"/>
      <w:szCs w:val="21"/>
    </w:rPr>
  </w:style>
  <w:style w:type="character" w:customStyle="1" w:styleId="70">
    <w:name w:val="页眉 Char"/>
    <w:link w:val="27"/>
    <w:semiHidden/>
    <w:qFormat/>
    <w:uiPriority w:val="99"/>
    <w:rPr>
      <w:sz w:val="18"/>
      <w:szCs w:val="18"/>
    </w:rPr>
  </w:style>
  <w:style w:type="character" w:customStyle="1" w:styleId="71">
    <w:name w:val="标题 8 Char"/>
    <w:link w:val="11"/>
    <w:qFormat/>
    <w:uiPriority w:val="0"/>
    <w:rPr>
      <w:rFonts w:ascii="Arial" w:hAnsi="Arial" w:eastAsia="黑体" w:cs="Times New Roman"/>
      <w:sz w:val="24"/>
      <w:szCs w:val="24"/>
    </w:rPr>
  </w:style>
  <w:style w:type="character" w:customStyle="1" w:styleId="72">
    <w:name w:val="正文文本缩进 3 Char"/>
    <w:link w:val="28"/>
    <w:qFormat/>
    <w:uiPriority w:val="0"/>
    <w:rPr>
      <w:rFonts w:ascii="Times New Roman" w:hAnsi="Times New Roman" w:eastAsia="宋体" w:cs="Times New Roman"/>
      <w:sz w:val="16"/>
      <w:szCs w:val="16"/>
    </w:rPr>
  </w:style>
  <w:style w:type="character" w:customStyle="1" w:styleId="73">
    <w:name w:val="标题 4 Char"/>
    <w:link w:val="6"/>
    <w:qFormat/>
    <w:uiPriority w:val="0"/>
    <w:rPr>
      <w:rFonts w:ascii="Arial" w:hAnsi="Arial" w:eastAsia="黑体" w:cs="Times New Roman"/>
      <w:kern w:val="0"/>
      <w:sz w:val="28"/>
      <w:szCs w:val="20"/>
    </w:rPr>
  </w:style>
  <w:style w:type="character" w:customStyle="1" w:styleId="74">
    <w:name w:val="纯文本 字符"/>
    <w:qFormat/>
    <w:uiPriority w:val="0"/>
    <w:rPr>
      <w:rFonts w:ascii="宋体" w:hAnsi="Courier New" w:eastAsia="宋体" w:cs="Courier New"/>
      <w:szCs w:val="21"/>
    </w:rPr>
  </w:style>
  <w:style w:type="paragraph" w:customStyle="1" w:styleId="75">
    <w:name w:val="GP标题3"/>
    <w:basedOn w:val="76"/>
    <w:next w:val="77"/>
    <w:qFormat/>
    <w:uiPriority w:val="0"/>
    <w:pPr>
      <w:numPr>
        <w:ilvl w:val="2"/>
        <w:numId w:val="3"/>
      </w:numPr>
      <w:spacing w:beforeLines="50" w:afterLines="50" w:line="240" w:lineRule="auto"/>
      <w:outlineLvl w:val="2"/>
    </w:pPr>
    <w:rPr>
      <w:rFonts w:hAnsi="华文细黑"/>
      <w:b/>
      <w:color w:val="000000"/>
      <w:sz w:val="28"/>
    </w:rPr>
  </w:style>
  <w:style w:type="paragraph" w:customStyle="1" w:styleId="76">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77">
    <w:name w:val="GP正文(首行缩进)"/>
    <w:basedOn w:val="76"/>
    <w:qFormat/>
    <w:uiPriority w:val="0"/>
    <w:pPr>
      <w:ind w:firstLine="200" w:firstLineChars="200"/>
    </w:pPr>
  </w:style>
  <w:style w:type="paragraph" w:customStyle="1" w:styleId="78">
    <w:name w:val="List Paragraph1"/>
    <w:basedOn w:val="1"/>
    <w:qFormat/>
    <w:uiPriority w:val="0"/>
    <w:pPr>
      <w:spacing w:before="100" w:beforeAutospacing="1" w:after="100" w:afterAutospacing="1"/>
      <w:ind w:firstLine="420"/>
    </w:pPr>
  </w:style>
  <w:style w:type="paragraph" w:customStyle="1" w:styleId="79">
    <w:name w:val="列出段落1"/>
    <w:basedOn w:val="1"/>
    <w:qFormat/>
    <w:uiPriority w:val="0"/>
    <w:pPr>
      <w:ind w:firstLine="420"/>
    </w:pPr>
    <w:rPr>
      <w:rFonts w:ascii="Calibri" w:hAnsi="Calibri"/>
    </w:rPr>
  </w:style>
  <w:style w:type="paragraph" w:customStyle="1" w:styleId="80">
    <w:name w:val="L5目录"/>
    <w:basedOn w:val="1"/>
    <w:qFormat/>
    <w:uiPriority w:val="0"/>
    <w:pPr>
      <w:spacing w:line="360" w:lineRule="auto"/>
      <w:ind w:left="1008" w:hanging="1008"/>
      <w:outlineLvl w:val="4"/>
    </w:pPr>
    <w:rPr>
      <w:rFonts w:ascii="Calibri" w:hAnsi="Calibri" w:eastAsia="FangSong_GB2312"/>
      <w:b/>
      <w:kern w:val="0"/>
      <w:sz w:val="28"/>
    </w:rPr>
  </w:style>
  <w:style w:type="paragraph" w:customStyle="1" w:styleId="81">
    <w:name w:val="正文段"/>
    <w:basedOn w:val="1"/>
    <w:qFormat/>
    <w:uiPriority w:val="0"/>
    <w:pPr>
      <w:widowControl/>
      <w:snapToGrid w:val="0"/>
      <w:spacing w:afterLines="50"/>
      <w:ind w:firstLine="200" w:firstLineChars="200"/>
    </w:pPr>
    <w:rPr>
      <w:kern w:val="0"/>
      <w:sz w:val="24"/>
      <w:szCs w:val="20"/>
    </w:rPr>
  </w:style>
  <w:style w:type="paragraph" w:customStyle="1" w:styleId="82">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3">
    <w:name w:val="L6目录1"/>
    <w:basedOn w:val="80"/>
    <w:qFormat/>
    <w:uiPriority w:val="0"/>
    <w:pPr>
      <w:ind w:left="1152" w:hanging="1152"/>
      <w:outlineLvl w:val="5"/>
    </w:pPr>
  </w:style>
  <w:style w:type="paragraph" w:customStyle="1" w:styleId="8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5">
    <w:name w:val="L3目录"/>
    <w:basedOn w:val="79"/>
    <w:qFormat/>
    <w:uiPriority w:val="0"/>
    <w:pPr>
      <w:numPr>
        <w:ilvl w:val="2"/>
        <w:numId w:val="4"/>
      </w:numPr>
      <w:outlineLvl w:val="2"/>
    </w:pPr>
    <w:rPr>
      <w:b/>
      <w:sz w:val="32"/>
    </w:rPr>
  </w:style>
  <w:style w:type="paragraph" w:styleId="86">
    <w:name w:val="List Paragraph"/>
    <w:basedOn w:val="1"/>
    <w:qFormat/>
    <w:uiPriority w:val="34"/>
    <w:pPr>
      <w:ind w:firstLine="420"/>
    </w:pPr>
  </w:style>
  <w:style w:type="paragraph" w:customStyle="1" w:styleId="87">
    <w:name w:val="默认段落字体 Para Char Char Char Char Char Char Char Char Char1 Char Char Char Char"/>
    <w:basedOn w:val="1"/>
    <w:qFormat/>
    <w:uiPriority w:val="0"/>
    <w:rPr>
      <w:rFonts w:ascii="Tahoma" w:hAnsi="Tahoma"/>
      <w:sz w:val="24"/>
      <w:szCs w:val="20"/>
    </w:rPr>
  </w:style>
  <w:style w:type="paragraph" w:customStyle="1" w:styleId="8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9">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90">
    <w:name w:val="GP标题2"/>
    <w:basedOn w:val="76"/>
    <w:next w:val="1"/>
    <w:qFormat/>
    <w:uiPriority w:val="0"/>
    <w:pPr>
      <w:numPr>
        <w:ilvl w:val="1"/>
        <w:numId w:val="3"/>
      </w:numPr>
      <w:spacing w:beforeLines="50" w:afterLines="50"/>
      <w:outlineLvl w:val="1"/>
    </w:pPr>
    <w:rPr>
      <w:rFonts w:ascii="宋体" w:hAnsi="宋体"/>
      <w:b/>
      <w:sz w:val="28"/>
      <w:szCs w:val="28"/>
    </w:rPr>
  </w:style>
  <w:style w:type="paragraph" w:customStyle="1" w:styleId="91">
    <w:name w:val="CM7"/>
    <w:basedOn w:val="88"/>
    <w:next w:val="88"/>
    <w:qFormat/>
    <w:uiPriority w:val="99"/>
    <w:pPr>
      <w:spacing w:line="468" w:lineRule="atLeast"/>
    </w:pPr>
    <w:rPr>
      <w:rFonts w:cs="Times New Roman"/>
      <w:color w:val="auto"/>
    </w:rPr>
  </w:style>
  <w:style w:type="paragraph" w:customStyle="1" w:styleId="92">
    <w:name w:val="列出段落2"/>
    <w:basedOn w:val="1"/>
    <w:qFormat/>
    <w:uiPriority w:val="34"/>
    <w:pPr>
      <w:spacing w:line="360" w:lineRule="auto"/>
      <w:ind w:firstLine="420" w:firstLineChars="200"/>
      <w:jc w:val="left"/>
    </w:pPr>
    <w:rPr>
      <w:rFonts w:eastAsia="FangSong_GB2312"/>
      <w:sz w:val="24"/>
      <w:szCs w:val="21"/>
    </w:rPr>
  </w:style>
  <w:style w:type="paragraph" w:customStyle="1" w:styleId="93">
    <w:name w:val="【正文】"/>
    <w:basedOn w:val="1"/>
    <w:qFormat/>
    <w:uiPriority w:val="0"/>
    <w:pPr>
      <w:spacing w:line="360" w:lineRule="auto"/>
    </w:pPr>
    <w:rPr>
      <w:rFonts w:cs="黑体"/>
      <w:sz w:val="24"/>
    </w:rPr>
  </w:style>
  <w:style w:type="paragraph" w:customStyle="1" w:styleId="94">
    <w:name w:val="L4目录"/>
    <w:basedOn w:val="79"/>
    <w:qFormat/>
    <w:uiPriority w:val="0"/>
    <w:pPr>
      <w:numPr>
        <w:ilvl w:val="3"/>
        <w:numId w:val="4"/>
      </w:numPr>
      <w:outlineLvl w:val="3"/>
    </w:pPr>
    <w:rPr>
      <w:b/>
      <w:sz w:val="30"/>
    </w:rPr>
  </w:style>
  <w:style w:type="paragraph" w:customStyle="1" w:styleId="95">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6">
    <w:name w:val="1"/>
    <w:next w:val="22"/>
    <w:qFormat/>
    <w:uiPriority w:val="0"/>
    <w:pPr>
      <w:widowControl w:val="0"/>
      <w:jc w:val="both"/>
    </w:pPr>
    <w:rPr>
      <w:rFonts w:ascii="宋体" w:hAnsi="Courier New"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77DCB-C0FE-40D1-9F50-1F33DB6046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6518</Words>
  <Characters>37155</Characters>
  <Lines>309</Lines>
  <Paragraphs>87</Paragraphs>
  <TotalTime>0</TotalTime>
  <ScaleCrop>false</ScaleCrop>
  <LinksUpToDate>false</LinksUpToDate>
  <CharactersWithSpaces>43586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2020-03-12T00:59:00Z</dcterms:created>
  <dc:creator>飞鸷</dc:creator>
  <cp:lastModifiedBy>等待</cp:lastModifiedBy>
  <cp:lastPrinted>2020-03-23T02:22:00Z</cp:lastPrinted>
  <dcterms:modified xsi:type="dcterms:W3CDTF">2020-05-26T05:05:01Z</dcterms:modified>
  <dc:title>公开招标采购文件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GSEDS_HWMT_d46a6755">
    <vt:lpwstr>f2456066_mFV0yj84Kyk3OspPmHv/qql3Ouk=_8QYrr1ZNQU9SQbpSlweHzY5UnUjEjReqcE4skJpCYbcwG2Uj45zNRcdXtYb+L5Po6PHghVfPnsgsoRXmL1ucQy91lL/NRQ==_d9869ee9</vt:lpwstr>
  </property>
</Properties>
</file>