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2"/>
        <w:rPr>
          <w:rFonts w:ascii="Times New Roman"/>
          <w:color w:val="000000" w:themeColor="text1"/>
          <w:sz w:val="72"/>
          <w:szCs w:val="72"/>
          <w:highlight w:val="none"/>
          <w:lang w:val="en-US"/>
          <w14:textFill>
            <w14:solidFill>
              <w14:schemeClr w14:val="tx1"/>
            </w14:solidFill>
          </w14:textFill>
        </w:rPr>
      </w:pPr>
      <w:bookmarkStart w:id="0" w:name="_Hlk46406944"/>
      <w:bookmarkEnd w:id="0"/>
      <w:r>
        <w:rPr>
          <w:rFonts w:hint="eastAsia" w:ascii="Times New Roman"/>
          <w:color w:val="000000" w:themeColor="text1"/>
          <w:sz w:val="17"/>
          <w:highlight w:val="none"/>
          <w:lang w:val="en-US"/>
          <w14:textFill>
            <w14:solidFill>
              <w14:schemeClr w14:val="tx1"/>
            </w14:solidFill>
          </w14:textFill>
        </w:rPr>
        <w:t xml:space="preserve">                                       </w:t>
      </w:r>
    </w:p>
    <w:p>
      <w:pPr>
        <w:spacing w:before="61"/>
        <w:ind w:right="98"/>
        <w:jc w:val="center"/>
        <w:rPr>
          <w:rFonts w:hint="eastAsia" w:eastAsia="宋体"/>
          <w:b/>
          <w:color w:val="000000" w:themeColor="text1"/>
          <w:sz w:val="72"/>
          <w:szCs w:val="72"/>
          <w:highlight w:val="none"/>
          <w:lang w:eastAsia="zh-CN"/>
          <w14:textFill>
            <w14:solidFill>
              <w14:schemeClr w14:val="tx1"/>
            </w14:solidFill>
          </w14:textFill>
        </w:rPr>
      </w:pPr>
      <w:r>
        <w:rPr>
          <w:rFonts w:hint="eastAsia"/>
          <w:b/>
          <w:color w:val="000000" w:themeColor="text1"/>
          <w:sz w:val="72"/>
          <w:szCs w:val="72"/>
          <w:highlight w:val="none"/>
          <w:lang w:eastAsia="zh-CN"/>
          <w14:textFill>
            <w14:solidFill>
              <w14:schemeClr w14:val="tx1"/>
            </w14:solidFill>
          </w14:textFill>
        </w:rPr>
        <w:t>广西壮族自治区桂林生态环境监测中心实验室设备采购</w:t>
      </w: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r>
        <w:rPr>
          <w:color w:val="000000" w:themeColor="text1"/>
          <w:sz w:val="72"/>
          <w:szCs w:val="72"/>
          <w:highlight w:val="none"/>
          <w:lang w:val="en-US" w:bidi="ar-SA"/>
          <w14:textFill>
            <w14:solidFill>
              <w14:schemeClr w14:val="tx1"/>
            </w14:solidFill>
          </w14:textFill>
        </w:rPr>
        <mc:AlternateContent>
          <mc:Choice Requires="wps">
            <w:drawing>
              <wp:anchor distT="0" distB="0" distL="114300" distR="114300" simplePos="0" relativeHeight="245676032" behindDoc="1" locked="0" layoutInCell="1" allowOverlap="1">
                <wp:simplePos x="0" y="0"/>
                <wp:positionH relativeFrom="page">
                  <wp:posOffset>572770</wp:posOffset>
                </wp:positionH>
                <wp:positionV relativeFrom="paragraph">
                  <wp:posOffset>132080</wp:posOffset>
                </wp:positionV>
                <wp:extent cx="6188075" cy="62865"/>
                <wp:effectExtent l="0" t="0" r="3175" b="13335"/>
                <wp:wrapNone/>
                <wp:docPr id="1" name="任意多边形 2"/>
                <wp:cNvGraphicFramePr/>
                <a:graphic xmlns:a="http://schemas.openxmlformats.org/drawingml/2006/main">
                  <a:graphicData uri="http://schemas.microsoft.com/office/word/2010/wordprocessingShape">
                    <wps:wsp>
                      <wps:cNvSpPr/>
                      <wps:spPr>
                        <a:xfrm>
                          <a:off x="0" y="0"/>
                          <a:ext cx="6188075" cy="62865"/>
                        </a:xfrm>
                        <a:custGeom>
                          <a:avLst/>
                          <a:gdLst/>
                          <a:ahLst/>
                          <a:cxnLst/>
                          <a:rect l="0" t="0" r="0" b="0"/>
                          <a:pathLst>
                            <a:path w="9745" h="99">
                              <a:moveTo>
                                <a:pt x="0" y="27"/>
                              </a:moveTo>
                              <a:lnTo>
                                <a:pt x="0" y="9"/>
                              </a:lnTo>
                              <a:lnTo>
                                <a:pt x="9744" y="0"/>
                              </a:lnTo>
                              <a:lnTo>
                                <a:pt x="9744" y="18"/>
                              </a:lnTo>
                              <a:lnTo>
                                <a:pt x="0" y="27"/>
                              </a:lnTo>
                              <a:close/>
                              <a:moveTo>
                                <a:pt x="0" y="99"/>
                              </a:moveTo>
                              <a:lnTo>
                                <a:pt x="0" y="45"/>
                              </a:lnTo>
                              <a:lnTo>
                                <a:pt x="9744" y="36"/>
                              </a:lnTo>
                              <a:lnTo>
                                <a:pt x="9744" y="90"/>
                              </a:lnTo>
                              <a:lnTo>
                                <a:pt x="0" y="99"/>
                              </a:lnTo>
                              <a:close/>
                            </a:path>
                          </a:pathLst>
                        </a:custGeom>
                        <a:solidFill>
                          <a:srgbClr val="000000"/>
                        </a:solidFill>
                        <a:ln>
                          <a:noFill/>
                        </a:ln>
                      </wps:spPr>
                      <wps:bodyPr upright="1"/>
                    </wps:wsp>
                  </a:graphicData>
                </a:graphic>
              </wp:anchor>
            </w:drawing>
          </mc:Choice>
          <mc:Fallback>
            <w:pict>
              <v:shape id="任意多边形 2" o:spid="_x0000_s1026" o:spt="100" style="position:absolute;left:0pt;margin-left:45.1pt;margin-top:10.4pt;height:4.95pt;width:487.25pt;mso-position-horizontal-relative:page;z-index:-257640448;mso-width-relative:page;mso-height-relative:page;" fillcolor="#000000" filled="t" stroked="f" coordsize="9745,99" o:gfxdata="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hpmbXAAAACQEAAA8AAAAAAAAAAQAgAAAAIgAAAGRycy9kb3ducmV2LnhtbFBLAQIU&#10;ABQAAAAIAIdO4kCGm0s8LQIAAB0FAAAOAAAAAAAAAAEAIAAAACYBAABkcnMvZTJvRG9jLnhtbFBL&#10;BQYAAAAABgAGAFkBAADFBQAAAAA=&#10;" path="m0,27l0,9,9744,0,9744,18,0,27xm0,99l0,45,9744,36,9744,90,0,99xe">
                <v:fill on="t" focussize="0,0"/>
                <v:stroke on="f"/>
                <v:imagedata o:title=""/>
                <o:lock v:ext="edit" aspectratio="f"/>
              </v:shape>
            </w:pict>
          </mc:Fallback>
        </mc:AlternateContent>
      </w: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rPr>
          <w:rFonts w:hint="default" w:eastAsia="宋体"/>
          <w:b/>
          <w:color w:val="000000" w:themeColor="text1"/>
          <w:sz w:val="28"/>
          <w:highlight w:val="none"/>
          <w:lang w:val="en-US" w:eastAsia="zh-CN"/>
          <w14:textFill>
            <w14:solidFill>
              <w14:schemeClr w14:val="tx1"/>
            </w14:solidFill>
          </w14:textFill>
        </w:rPr>
      </w:pPr>
    </w:p>
    <w:p>
      <w:pPr>
        <w:pStyle w:val="13"/>
        <w:spacing w:before="12"/>
        <w:rPr>
          <w:b/>
          <w:color w:val="000000" w:themeColor="text1"/>
          <w:sz w:val="25"/>
          <w:highlight w:val="none"/>
          <w14:textFill>
            <w14:solidFill>
              <w14:schemeClr w14:val="tx1"/>
            </w14:solidFill>
          </w14:textFill>
        </w:rPr>
      </w:pPr>
    </w:p>
    <w:p>
      <w:pPr>
        <w:ind w:right="55"/>
        <w:jc w:val="center"/>
        <w:rPr>
          <w:b/>
          <w:color w:val="000000" w:themeColor="text1"/>
          <w:sz w:val="72"/>
          <w:highlight w:val="none"/>
          <w14:textFill>
            <w14:solidFill>
              <w14:schemeClr w14:val="tx1"/>
            </w14:solidFill>
          </w14:textFill>
        </w:rPr>
      </w:pPr>
      <w:r>
        <w:rPr>
          <w:b/>
          <w:color w:val="000000" w:themeColor="text1"/>
          <w:sz w:val="72"/>
          <w:highlight w:val="none"/>
          <w14:textFill>
            <w14:solidFill>
              <w14:schemeClr w14:val="tx1"/>
            </w14:solidFill>
          </w14:textFill>
        </w:rPr>
        <w:t>招标文件</w:t>
      </w:r>
    </w:p>
    <w:p>
      <w:pPr>
        <w:spacing w:before="172"/>
        <w:ind w:right="97"/>
        <w:jc w:val="center"/>
        <w:rPr>
          <w:b/>
          <w:color w:val="000000" w:themeColor="text1"/>
          <w:sz w:val="30"/>
          <w:highlight w:val="none"/>
          <w14:textFill>
            <w14:solidFill>
              <w14:schemeClr w14:val="tx1"/>
            </w14:solidFill>
          </w14:textFill>
        </w:rPr>
      </w:pPr>
    </w:p>
    <w:p>
      <w:pPr>
        <w:spacing w:before="172"/>
        <w:ind w:right="97"/>
        <w:jc w:val="center"/>
        <w:rPr>
          <w:b/>
          <w:color w:val="000000" w:themeColor="text1"/>
          <w:sz w:val="30"/>
          <w:highlight w:val="none"/>
          <w14:textFill>
            <w14:solidFill>
              <w14:schemeClr w14:val="tx1"/>
            </w14:solidFill>
          </w14:textFill>
        </w:rPr>
      </w:pPr>
      <w:r>
        <w:rPr>
          <w:b/>
          <w:color w:val="000000" w:themeColor="text1"/>
          <w:sz w:val="30"/>
          <w:highlight w:val="none"/>
          <w14:textFill>
            <w14:solidFill>
              <w14:schemeClr w14:val="tx1"/>
            </w14:solidFill>
          </w14:textFill>
        </w:rPr>
        <w:t>项目编号：</w:t>
      </w:r>
      <w:r>
        <w:rPr>
          <w:rFonts w:hint="eastAsia"/>
          <w:b/>
          <w:color w:val="000000" w:themeColor="text1"/>
          <w:sz w:val="30"/>
          <w:highlight w:val="none"/>
          <w14:textFill>
            <w14:solidFill>
              <w14:schemeClr w14:val="tx1"/>
            </w14:solidFill>
          </w14:textFill>
        </w:rPr>
        <w:t>GXZC2020-G1-002945-GXZC</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tabs>
          <w:tab w:val="left" w:pos="1057"/>
        </w:tabs>
        <w:rPr>
          <w:rFonts w:hint="default" w:eastAsia="宋体"/>
          <w:b/>
          <w:color w:val="000000" w:themeColor="text1"/>
          <w:sz w:val="20"/>
          <w:highlight w:val="none"/>
          <w:lang w:val="en-US" w:eastAsia="zh-CN"/>
          <w14:textFill>
            <w14:solidFill>
              <w14:schemeClr w14:val="tx1"/>
            </w14:solidFill>
          </w14:textFill>
        </w:rPr>
      </w:pPr>
      <w:r>
        <w:rPr>
          <w:rFonts w:hint="eastAsia"/>
          <w:b/>
          <w:color w:val="000000" w:themeColor="text1"/>
          <w:sz w:val="20"/>
          <w:highlight w:val="none"/>
          <w:lang w:eastAsia="zh-CN"/>
          <w14:textFill>
            <w14:solidFill>
              <w14:schemeClr w14:val="tx1"/>
            </w14:solidFill>
          </w14:textFill>
        </w:rPr>
        <w:tab/>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6"/>
        <w:rPr>
          <w:b/>
          <w:color w:val="000000" w:themeColor="text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58240" behindDoc="1" locked="0" layoutInCell="1" allowOverlap="1">
                <wp:simplePos x="0" y="0"/>
                <wp:positionH relativeFrom="page">
                  <wp:posOffset>765810</wp:posOffset>
                </wp:positionH>
                <wp:positionV relativeFrom="paragraph">
                  <wp:posOffset>199390</wp:posOffset>
                </wp:positionV>
                <wp:extent cx="6031865" cy="74295"/>
                <wp:effectExtent l="0" t="0" r="6985" b="1905"/>
                <wp:wrapTopAndBottom/>
                <wp:docPr id="3" name="任意多边形 3"/>
                <wp:cNvGraphicFramePr/>
                <a:graphic xmlns:a="http://schemas.openxmlformats.org/drawingml/2006/main">
                  <a:graphicData uri="http://schemas.microsoft.com/office/word/2010/wordprocessingShape">
                    <wps:wsp>
                      <wps:cNvSpPr/>
                      <wps:spPr>
                        <a:xfrm>
                          <a:off x="0" y="0"/>
                          <a:ext cx="6031865" cy="74295"/>
                        </a:xfrm>
                        <a:custGeom>
                          <a:avLst/>
                          <a:gdLst/>
                          <a:ahLst/>
                          <a:cxnLst/>
                          <a:rect l="0" t="0" r="0" b="0"/>
                          <a:pathLst>
                            <a:path w="9499" h="117">
                              <a:moveTo>
                                <a:pt x="0" y="45"/>
                              </a:moveTo>
                              <a:lnTo>
                                <a:pt x="0" y="27"/>
                              </a:lnTo>
                              <a:lnTo>
                                <a:pt x="9498" y="0"/>
                              </a:lnTo>
                              <a:lnTo>
                                <a:pt x="9498" y="18"/>
                              </a:lnTo>
                              <a:lnTo>
                                <a:pt x="0" y="45"/>
                              </a:lnTo>
                              <a:close/>
                              <a:moveTo>
                                <a:pt x="0" y="117"/>
                              </a:moveTo>
                              <a:lnTo>
                                <a:pt x="0" y="63"/>
                              </a:lnTo>
                              <a:lnTo>
                                <a:pt x="9498" y="36"/>
                              </a:lnTo>
                              <a:lnTo>
                                <a:pt x="9498" y="90"/>
                              </a:lnTo>
                              <a:lnTo>
                                <a:pt x="0" y="11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3pt;margin-top:15.7pt;height:5.85pt;width:474.95pt;mso-position-horizontal-relative:page;mso-wrap-distance-bottom:0pt;mso-wrap-distance-top:0pt;z-index:-251658240;mso-width-relative:page;mso-height-relative:page;" fillcolor="#000000" filled="t" stroked="f" coordsize="9499,117" o:gfxdata="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iCNh1wAAAAoBAAAPAAAAAAAAAAEAIAAAACIAAABkcnMvZG93bnJldi54bWxQSwEC&#10;FAAUAAAACACHTuJAU9iHYy4CAAAhBQAADgAAAAAAAAABACAAAAAmAQAAZHJzL2Uyb0RvYy54bWxQ&#10;SwUGAAAAAAYABgBZAQAAxgUAAAAA&#10;" path="m0,45l0,27,9498,0,9498,18,0,45xm0,117l0,63,9498,36,9498,90,0,117xe">
                <v:fill on="t" focussize="0,0"/>
                <v:stroke on="f"/>
                <v:imagedata o:title=""/>
                <o:lock v:ext="edit" aspectratio="f"/>
                <w10:wrap type="topAndBottom"/>
              </v:shape>
            </w:pict>
          </mc:Fallback>
        </mc:AlternateContent>
      </w:r>
    </w:p>
    <w:p>
      <w:pPr>
        <w:pStyle w:val="13"/>
        <w:spacing w:before="6"/>
        <w:rPr>
          <w:b/>
          <w:color w:val="000000" w:themeColor="text1"/>
          <w:sz w:val="33"/>
          <w:highlight w:val="none"/>
          <w14:textFill>
            <w14:solidFill>
              <w14:schemeClr w14:val="tx1"/>
            </w14:solidFill>
          </w14:textFill>
        </w:rPr>
      </w:pPr>
    </w:p>
    <w:p>
      <w:pPr>
        <w:pStyle w:val="2"/>
        <w:spacing w:before="0" w:line="400" w:lineRule="exact"/>
        <w:ind w:left="215"/>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r>
        <w:rPr>
          <w:rFonts w:hint="eastAsia"/>
          <w:color w:val="000000" w:themeColor="text1"/>
          <w:highlight w:val="none"/>
          <w14:textFill>
            <w14:solidFill>
              <w14:schemeClr w14:val="tx1"/>
            </w14:solidFill>
          </w14:textFill>
        </w:rPr>
        <w:t>广西壮族自治区桂林生态环境监测中心</w:t>
      </w:r>
    </w:p>
    <w:p>
      <w:pPr>
        <w:spacing w:line="400" w:lineRule="exact"/>
        <w:ind w:left="215"/>
        <w:rPr>
          <w:b/>
          <w:color w:val="000000" w:themeColor="text1"/>
          <w:spacing w:val="-12"/>
          <w:w w:val="95"/>
          <w:sz w:val="32"/>
          <w:highlight w:val="none"/>
          <w14:textFill>
            <w14:solidFill>
              <w14:schemeClr w14:val="tx1"/>
            </w14:solidFill>
          </w14:textFill>
        </w:rPr>
      </w:pPr>
    </w:p>
    <w:p>
      <w:pPr>
        <w:spacing w:line="400" w:lineRule="exact"/>
        <w:ind w:left="215"/>
        <w:rPr>
          <w:b/>
          <w:color w:val="000000" w:themeColor="text1"/>
          <w:spacing w:val="-12"/>
          <w:w w:val="95"/>
          <w:sz w:val="32"/>
          <w:highlight w:val="none"/>
          <w14:textFill>
            <w14:solidFill>
              <w14:schemeClr w14:val="tx1"/>
            </w14:solidFill>
          </w14:textFill>
        </w:rPr>
      </w:pPr>
      <w:r>
        <w:rPr>
          <w:b/>
          <w:color w:val="000000" w:themeColor="text1"/>
          <w:spacing w:val="-12"/>
          <w:w w:val="95"/>
          <w:sz w:val="32"/>
          <w:highlight w:val="none"/>
          <w14:textFill>
            <w14:solidFill>
              <w14:schemeClr w14:val="tx1"/>
            </w14:solidFill>
          </w14:textFill>
        </w:rPr>
        <w:t>招标代理机构：</w:t>
      </w:r>
      <w:r>
        <w:rPr>
          <w:rFonts w:hint="eastAsia"/>
          <w:b/>
          <w:color w:val="000000" w:themeColor="text1"/>
          <w:spacing w:val="-12"/>
          <w:w w:val="95"/>
          <w:sz w:val="32"/>
          <w:highlight w:val="none"/>
          <w14:textFill>
            <w14:solidFill>
              <w14:schemeClr w14:val="tx1"/>
            </w14:solidFill>
          </w14:textFill>
        </w:rPr>
        <w:t>广西真诚工程咨询有限公司</w:t>
      </w:r>
    </w:p>
    <w:p>
      <w:pPr>
        <w:spacing w:line="400" w:lineRule="exact"/>
        <w:ind w:left="215"/>
        <w:rPr>
          <w:b/>
          <w:color w:val="000000" w:themeColor="text1"/>
          <w:spacing w:val="-9"/>
          <w:sz w:val="32"/>
          <w:highlight w:val="none"/>
          <w14:textFill>
            <w14:solidFill>
              <w14:schemeClr w14:val="tx1"/>
            </w14:solidFill>
          </w14:textFill>
        </w:rPr>
      </w:pPr>
    </w:p>
    <w:p>
      <w:pPr>
        <w:spacing w:line="400" w:lineRule="exact"/>
        <w:ind w:left="215"/>
        <w:rPr>
          <w:b/>
          <w:color w:val="000000" w:themeColor="text1"/>
          <w:sz w:val="32"/>
          <w:highlight w:val="none"/>
          <w14:textFill>
            <w14:solidFill>
              <w14:schemeClr w14:val="tx1"/>
            </w14:solidFill>
          </w14:textFill>
        </w:rPr>
      </w:pPr>
      <w:r>
        <w:rPr>
          <w:b/>
          <w:color w:val="000000" w:themeColor="text1"/>
          <w:spacing w:val="-9"/>
          <w:sz w:val="32"/>
          <w:highlight w:val="none"/>
          <w14:textFill>
            <w14:solidFill>
              <w14:schemeClr w14:val="tx1"/>
            </w14:solidFill>
          </w14:textFill>
        </w:rPr>
        <w:t>日期：</w:t>
      </w:r>
      <w:r>
        <w:rPr>
          <w:b/>
          <w:color w:val="000000" w:themeColor="text1"/>
          <w:spacing w:val="-5"/>
          <w:sz w:val="32"/>
          <w:highlight w:val="none"/>
          <w14:textFill>
            <w14:solidFill>
              <w14:schemeClr w14:val="tx1"/>
            </w14:solidFill>
          </w14:textFill>
        </w:rPr>
        <w:t>2020</w:t>
      </w:r>
      <w:r>
        <w:rPr>
          <w:b/>
          <w:color w:val="000000" w:themeColor="text1"/>
          <w:spacing w:val="-62"/>
          <w:sz w:val="32"/>
          <w:highlight w:val="none"/>
          <w14:textFill>
            <w14:solidFill>
              <w14:schemeClr w14:val="tx1"/>
            </w14:solidFill>
          </w14:textFill>
        </w:rPr>
        <w:t xml:space="preserve"> 年 </w:t>
      </w:r>
      <w:r>
        <w:rPr>
          <w:rFonts w:hint="eastAsia"/>
          <w:b/>
          <w:color w:val="000000" w:themeColor="text1"/>
          <w:spacing w:val="-62"/>
          <w:sz w:val="32"/>
          <w:highlight w:val="none"/>
          <w:lang w:val="en-US"/>
          <w14:textFill>
            <w14:solidFill>
              <w14:schemeClr w14:val="tx1"/>
            </w14:solidFill>
          </w14:textFill>
        </w:rPr>
        <w:t xml:space="preserve">   </w:t>
      </w:r>
      <w:r>
        <w:rPr>
          <w:rFonts w:hint="eastAsia"/>
          <w:b/>
          <w:color w:val="000000" w:themeColor="text1"/>
          <w:sz w:val="32"/>
          <w:highlight w:val="none"/>
          <w:lang w:val="en-US" w:eastAsia="zh-CN"/>
          <w14:textFill>
            <w14:solidFill>
              <w14:schemeClr w14:val="tx1"/>
            </w14:solidFill>
          </w14:textFill>
        </w:rPr>
        <w:t>8</w:t>
      </w:r>
      <w:r>
        <w:rPr>
          <w:b/>
          <w:color w:val="000000" w:themeColor="text1"/>
          <w:spacing w:val="-46"/>
          <w:sz w:val="32"/>
          <w:highlight w:val="none"/>
          <w14:textFill>
            <w14:solidFill>
              <w14:schemeClr w14:val="tx1"/>
            </w14:solidFill>
          </w14:textFill>
        </w:rPr>
        <w:t xml:space="preserve"> 月</w:t>
      </w:r>
    </w:p>
    <w:p>
      <w:pPr>
        <w:spacing w:line="388" w:lineRule="auto"/>
        <w:rPr>
          <w:color w:val="000000" w:themeColor="text1"/>
          <w:sz w:val="32"/>
          <w:highlight w:val="none"/>
          <w14:textFill>
            <w14:solidFill>
              <w14:schemeClr w14:val="tx1"/>
            </w14:solidFill>
          </w14:textFill>
        </w:rPr>
        <w:sectPr>
          <w:type w:val="continuous"/>
          <w:pgSz w:w="11910" w:h="16840"/>
          <w:pgMar w:top="1580" w:right="1140" w:bottom="280" w:left="1200" w:header="720" w:footer="720" w:gutter="0"/>
          <w:cols w:space="720" w:num="1"/>
        </w:sectPr>
      </w:pPr>
    </w:p>
    <w:p>
      <w:pPr>
        <w:pStyle w:val="13"/>
        <w:spacing w:before="2"/>
        <w:rPr>
          <w:b/>
          <w:color w:val="000000" w:themeColor="text1"/>
          <w:sz w:val="24"/>
          <w:highlight w:val="none"/>
          <w14:textFill>
            <w14:solidFill>
              <w14:schemeClr w14:val="tx1"/>
            </w14:solidFill>
          </w14:textFill>
        </w:rPr>
      </w:pPr>
    </w:p>
    <w:p>
      <w:pPr>
        <w:spacing w:before="51"/>
        <w:ind w:right="98"/>
        <w:jc w:val="center"/>
        <w:rPr>
          <w:color w:val="000000" w:themeColor="text1"/>
          <w:sz w:val="28"/>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目</w:t>
      </w:r>
      <w:r>
        <w:rPr>
          <w:rFonts w:hint="eastAsia"/>
          <w:b/>
          <w:bCs/>
          <w:color w:val="000000" w:themeColor="text1"/>
          <w:sz w:val="36"/>
          <w:szCs w:val="36"/>
          <w:highlight w:val="none"/>
          <w:lang w:val="en-US" w:eastAsia="zh-CN"/>
          <w14:textFill>
            <w14:solidFill>
              <w14:schemeClr w14:val="tx1"/>
            </w14:solidFill>
          </w14:textFill>
        </w:rPr>
        <w:t xml:space="preserve">  </w:t>
      </w:r>
      <w:r>
        <w:rPr>
          <w:b/>
          <w:bCs/>
          <w:color w:val="000000" w:themeColor="text1"/>
          <w:sz w:val="36"/>
          <w:szCs w:val="36"/>
          <w:highlight w:val="none"/>
          <w14:textFill>
            <w14:solidFill>
              <w14:schemeClr w14:val="tx1"/>
            </w14:solidFill>
          </w14:textFill>
        </w:rPr>
        <w:t>录</w:t>
      </w:r>
    </w:p>
    <w:p>
      <w:pPr>
        <w:jc w:val="center"/>
        <w:rPr>
          <w:color w:val="000000" w:themeColor="text1"/>
          <w:sz w:val="28"/>
          <w:highlight w:val="none"/>
          <w14:textFill>
            <w14:solidFill>
              <w14:schemeClr w14:val="tx1"/>
            </w14:solidFill>
          </w14:textFill>
        </w:rPr>
      </w:pPr>
    </w:p>
    <w:p>
      <w:pPr>
        <w:pStyle w:val="2"/>
        <w:rPr>
          <w:highlight w:val="none"/>
        </w:rPr>
        <w:sectPr>
          <w:footerReference r:id="rId3" w:type="default"/>
          <w:pgSz w:w="11910" w:h="16840"/>
          <w:pgMar w:top="1500" w:right="1140" w:bottom="1468" w:left="1200" w:header="0" w:footer="640" w:gutter="0"/>
          <w:cols w:space="720" w:num="1"/>
        </w:sectPr>
      </w:pPr>
    </w:p>
    <w:sdt>
      <w:sdtPr>
        <w:rPr>
          <w:color w:val="000000" w:themeColor="text1"/>
          <w:sz w:val="21"/>
          <w:highlight w:val="none"/>
          <w14:textFill>
            <w14:solidFill>
              <w14:schemeClr w14:val="tx1"/>
            </w14:solidFill>
          </w14:textFill>
        </w:rPr>
        <w:id w:val="147454031"/>
        <w:docPartObj>
          <w:docPartGallery w:val="Table of Contents"/>
          <w:docPartUnique/>
        </w:docPartObj>
      </w:sdtPr>
      <w:sdtEndPr>
        <w:rPr>
          <w:rFonts w:ascii="Times New Roman" w:eastAsia="Times New Roman"/>
          <w:color w:val="000000" w:themeColor="text1"/>
          <w:sz w:val="22"/>
          <w:highlight w:val="none"/>
          <w14:textFill>
            <w14:solidFill>
              <w14:schemeClr w14:val="tx1"/>
            </w14:solidFill>
          </w14:textFill>
        </w:rPr>
      </w:sdtEndPr>
      <w:sdtContent>
        <w:p>
          <w:pPr>
            <w:jc w:val="center"/>
            <w:rPr>
              <w:color w:val="000000" w:themeColor="text1"/>
              <w:highlight w:val="none"/>
              <w14:textFill>
                <w14:solidFill>
                  <w14:schemeClr w14:val="tx1"/>
                </w14:solidFill>
              </w14:textFill>
            </w:rPr>
          </w:pPr>
        </w:p>
        <w:p>
          <w:pPr>
            <w:pStyle w:val="155"/>
            <w:tabs>
              <w:tab w:val="right" w:pos="2800"/>
              <w:tab w:val="right" w:leader="dot" w:pos="9570"/>
            </w:tabs>
            <w:ind w:left="440"/>
            <w:rPr>
              <w:color w:val="000000" w:themeColor="text1"/>
              <w:sz w:val="28"/>
              <w:szCs w:val="28"/>
              <w:highlight w:val="none"/>
              <w14:textFill>
                <w14:solidFill>
                  <w14:schemeClr w14:val="tx1"/>
                </w14:solidFill>
              </w14:textFill>
            </w:rPr>
          </w:pPr>
          <w:r>
            <w:rPr>
              <w:rFonts w:eastAsia="Times New Roman"/>
              <w:color w:val="000000" w:themeColor="text1"/>
              <w:highlight w:val="none"/>
              <w14:textFill>
                <w14:solidFill>
                  <w14:schemeClr w14:val="tx1"/>
                </w14:solidFill>
              </w14:textFill>
            </w:rPr>
            <w:fldChar w:fldCharType="begin"/>
          </w:r>
          <w:r>
            <w:rPr>
              <w:rFonts w:eastAsia="Times New Roman"/>
              <w:color w:val="000000" w:themeColor="text1"/>
              <w:highlight w:val="none"/>
              <w14:textFill>
                <w14:solidFill>
                  <w14:schemeClr w14:val="tx1"/>
                </w14:solidFill>
              </w14:textFill>
            </w:rPr>
            <w:instrText xml:space="preserve">TOC \o "1-3" \h \u </w:instrText>
          </w:r>
          <w:r>
            <w:rPr>
              <w:rFonts w:eastAsia="Times New Roman"/>
              <w:color w:val="000000" w:themeColor="text1"/>
              <w:highlight w:val="none"/>
              <w14:textFill>
                <w14:solidFill>
                  <w14:schemeClr w14:val="tx1"/>
                </w14:solidFill>
              </w14:textFill>
            </w:rPr>
            <w:fldChar w:fldCharType="separate"/>
          </w:r>
          <w:r>
            <w:rPr>
              <w:sz w:val="28"/>
              <w:szCs w:val="28"/>
              <w:highlight w:val="none"/>
            </w:rPr>
            <w:fldChar w:fldCharType="begin"/>
          </w:r>
          <w:r>
            <w:rPr>
              <w:sz w:val="28"/>
              <w:szCs w:val="28"/>
              <w:highlight w:val="none"/>
            </w:rPr>
            <w:instrText xml:space="preserve"> HYPERLINK \l "_Toc16102" </w:instrText>
          </w:r>
          <w:r>
            <w:rPr>
              <w:sz w:val="28"/>
              <w:szCs w:val="28"/>
              <w:highlight w:val="none"/>
            </w:rPr>
            <w:fldChar w:fldCharType="separate"/>
          </w:r>
          <w:r>
            <w:rPr>
              <w:color w:val="000000" w:themeColor="text1"/>
              <w:sz w:val="28"/>
              <w:szCs w:val="28"/>
              <w:highlight w:val="none"/>
              <w14:textFill>
                <w14:solidFill>
                  <w14:schemeClr w14:val="tx1"/>
                </w14:solidFill>
              </w14:textFill>
            </w:rPr>
            <w:t>第一章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公开招标公告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p>
        <w:p>
          <w:pPr>
            <w:pStyle w:val="154"/>
            <w:tabs>
              <w:tab w:val="right" w:leader="dot" w:pos="9570"/>
            </w:tabs>
            <w:rPr>
              <w:color w:val="000000" w:themeColor="text1"/>
              <w:sz w:val="28"/>
              <w:szCs w:val="28"/>
              <w:highlight w:val="none"/>
              <w14:textFill>
                <w14:solidFill>
                  <w14:schemeClr w14:val="tx1"/>
                </w14:solidFill>
              </w14:textFill>
            </w:rPr>
          </w:pPr>
        </w:p>
        <w:p>
          <w:pPr>
            <w:pStyle w:val="155"/>
            <w:tabs>
              <w:tab w:val="right" w:pos="2800"/>
              <w:tab w:val="right" w:leader="dot" w:pos="9570"/>
            </w:tabs>
            <w:ind w:left="440"/>
            <w:rPr>
              <w:color w:val="000000" w:themeColor="text1"/>
              <w:sz w:val="28"/>
              <w:szCs w:val="28"/>
              <w:highlight w:val="none"/>
              <w14:textFill>
                <w14:solidFill>
                  <w14:schemeClr w14:val="tx1"/>
                </w14:solidFill>
              </w14:textFill>
            </w:rPr>
          </w:pPr>
          <w:r>
            <w:rPr>
              <w:sz w:val="28"/>
              <w:szCs w:val="28"/>
              <w:highlight w:val="none"/>
            </w:rPr>
            <w:fldChar w:fldCharType="begin"/>
          </w:r>
          <w:r>
            <w:rPr>
              <w:sz w:val="28"/>
              <w:szCs w:val="28"/>
              <w:highlight w:val="none"/>
            </w:rPr>
            <w:instrText xml:space="preserve"> HYPERLINK \l "_Toc17815" </w:instrText>
          </w:r>
          <w:r>
            <w:rPr>
              <w:sz w:val="28"/>
              <w:szCs w:val="28"/>
              <w:highlight w:val="none"/>
            </w:rPr>
            <w:fldChar w:fldCharType="separate"/>
          </w:r>
          <w:r>
            <w:rPr>
              <w:color w:val="000000" w:themeColor="text1"/>
              <w:sz w:val="28"/>
              <w:szCs w:val="28"/>
              <w:highlight w:val="none"/>
              <w14:textFill>
                <w14:solidFill>
                  <w14:schemeClr w14:val="tx1"/>
                </w14:solidFill>
              </w14:textFill>
            </w:rPr>
            <w:t>第二章</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投标人须知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4</w:t>
          </w:r>
          <w:r>
            <w:rPr>
              <w:rFonts w:hint="eastAsia"/>
              <w:color w:val="000000" w:themeColor="text1"/>
              <w:sz w:val="28"/>
              <w:szCs w:val="28"/>
              <w:highlight w:val="none"/>
              <w14:textFill>
                <w14:solidFill>
                  <w14:schemeClr w14:val="tx1"/>
                </w14:solidFill>
              </w14:textFill>
            </w:rPr>
            <w:fldChar w:fldCharType="end"/>
          </w:r>
        </w:p>
        <w:p>
          <w:pPr>
            <w:pStyle w:val="155"/>
            <w:tabs>
              <w:tab w:val="right" w:leader="dot" w:pos="9570"/>
            </w:tabs>
            <w:ind w:left="440"/>
            <w:rPr>
              <w:color w:val="000000" w:themeColor="text1"/>
              <w:sz w:val="28"/>
              <w:szCs w:val="28"/>
              <w:highlight w:val="none"/>
              <w14:textFill>
                <w14:solidFill>
                  <w14:schemeClr w14:val="tx1"/>
                </w14:solidFill>
              </w14:textFill>
            </w:rPr>
          </w:pPr>
        </w:p>
        <w:p>
          <w:pPr>
            <w:pStyle w:val="155"/>
            <w:tabs>
              <w:tab w:val="right" w:leader="dot" w:pos="9570"/>
            </w:tabs>
            <w:ind w:left="440"/>
            <w:rPr>
              <w:rFonts w:hint="default" w:eastAsia="宋体"/>
              <w:color w:val="000000" w:themeColor="text1"/>
              <w:sz w:val="28"/>
              <w:szCs w:val="28"/>
              <w:highlight w:val="none"/>
              <w:lang w:val="en-US" w:eastAsia="zh-CN"/>
              <w14:textFill>
                <w14:solidFill>
                  <w14:schemeClr w14:val="tx1"/>
                </w14:solidFill>
              </w14:textFill>
            </w:rPr>
          </w:pPr>
          <w:r>
            <w:rPr>
              <w:sz w:val="28"/>
              <w:szCs w:val="28"/>
              <w:highlight w:val="none"/>
            </w:rPr>
            <w:fldChar w:fldCharType="begin"/>
          </w:r>
          <w:r>
            <w:rPr>
              <w:sz w:val="28"/>
              <w:szCs w:val="28"/>
              <w:highlight w:val="none"/>
            </w:rPr>
            <w:instrText xml:space="preserve"> HYPERLINK \l "_Toc2618" </w:instrText>
          </w:r>
          <w:r>
            <w:rPr>
              <w:sz w:val="28"/>
              <w:szCs w:val="28"/>
              <w:highlight w:val="none"/>
            </w:rPr>
            <w:fldChar w:fldCharType="separate"/>
          </w:r>
          <w:r>
            <w:rPr>
              <w:color w:val="000000" w:themeColor="text1"/>
              <w:sz w:val="28"/>
              <w:szCs w:val="28"/>
              <w:highlight w:val="none"/>
              <w14:textFill>
                <w14:solidFill>
                  <w14:schemeClr w14:val="tx1"/>
                </w14:solidFill>
              </w14:textFill>
            </w:rPr>
            <w:t xml:space="preserve">第三章 </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25</w:t>
          </w:r>
        </w:p>
        <w:p>
          <w:pPr>
            <w:pStyle w:val="155"/>
            <w:tabs>
              <w:tab w:val="right" w:leader="dot" w:pos="9570"/>
            </w:tabs>
            <w:ind w:left="440"/>
            <w:rPr>
              <w:color w:val="000000" w:themeColor="text1"/>
              <w:sz w:val="28"/>
              <w:szCs w:val="28"/>
              <w:highlight w:val="none"/>
              <w14:textFill>
                <w14:solidFill>
                  <w14:schemeClr w14:val="tx1"/>
                </w14:solidFill>
              </w14:textFill>
            </w:rPr>
          </w:pPr>
        </w:p>
        <w:p>
          <w:pPr>
            <w:pStyle w:val="155"/>
            <w:tabs>
              <w:tab w:val="right" w:leader="dot" w:pos="9570"/>
            </w:tabs>
            <w:ind w:left="440"/>
            <w:rPr>
              <w:rFonts w:hint="default" w:eastAsia="宋体"/>
              <w:color w:val="000000" w:themeColor="text1"/>
              <w:sz w:val="28"/>
              <w:szCs w:val="28"/>
              <w:highlight w:val="none"/>
              <w:lang w:val="en-US" w:eastAsia="zh-CN"/>
              <w14:textFill>
                <w14:solidFill>
                  <w14:schemeClr w14:val="tx1"/>
                </w14:solidFill>
              </w14:textFill>
            </w:rPr>
          </w:pPr>
          <w:r>
            <w:rPr>
              <w:sz w:val="28"/>
              <w:szCs w:val="28"/>
              <w:highlight w:val="none"/>
            </w:rPr>
            <w:fldChar w:fldCharType="begin"/>
          </w:r>
          <w:r>
            <w:rPr>
              <w:sz w:val="28"/>
              <w:szCs w:val="28"/>
              <w:highlight w:val="none"/>
            </w:rPr>
            <w:instrText xml:space="preserve"> HYPERLINK \l "_Toc24130" </w:instrText>
          </w:r>
          <w:r>
            <w:rPr>
              <w:sz w:val="28"/>
              <w:szCs w:val="28"/>
              <w:highlight w:val="none"/>
            </w:rPr>
            <w:fldChar w:fldCharType="separate"/>
          </w:r>
          <w:r>
            <w:rPr>
              <w:color w:val="000000" w:themeColor="text1"/>
              <w:sz w:val="28"/>
              <w:szCs w:val="28"/>
              <w:highlight w:val="none"/>
              <w14:textFill>
                <w14:solidFill>
                  <w14:schemeClr w14:val="tx1"/>
                </w14:solidFill>
              </w14:textFill>
            </w:rPr>
            <w:t xml:space="preserve">第四章 </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评标办法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40</w:t>
          </w:r>
        </w:p>
        <w:p>
          <w:pPr>
            <w:pStyle w:val="155"/>
            <w:tabs>
              <w:tab w:val="right" w:leader="dot" w:pos="9570"/>
            </w:tabs>
            <w:ind w:left="440"/>
            <w:rPr>
              <w:color w:val="000000" w:themeColor="text1"/>
              <w:sz w:val="28"/>
              <w:szCs w:val="28"/>
              <w:highlight w:val="none"/>
              <w14:textFill>
                <w14:solidFill>
                  <w14:schemeClr w14:val="tx1"/>
                </w14:solidFill>
              </w14:textFill>
            </w:rPr>
          </w:pPr>
        </w:p>
        <w:p>
          <w:pPr>
            <w:pStyle w:val="155"/>
            <w:tabs>
              <w:tab w:val="right" w:leader="dot" w:pos="9570"/>
            </w:tabs>
            <w:ind w:left="440"/>
            <w:rPr>
              <w:rFonts w:hint="default" w:eastAsia="宋体"/>
              <w:color w:val="000000" w:themeColor="text1"/>
              <w:sz w:val="28"/>
              <w:szCs w:val="28"/>
              <w:highlight w:val="none"/>
              <w:lang w:val="en-US" w:eastAsia="zh-CN"/>
              <w14:textFill>
                <w14:solidFill>
                  <w14:schemeClr w14:val="tx1"/>
                </w14:solidFill>
              </w14:textFill>
            </w:rPr>
          </w:pPr>
          <w:r>
            <w:rPr>
              <w:sz w:val="28"/>
              <w:szCs w:val="28"/>
              <w:highlight w:val="none"/>
            </w:rPr>
            <w:fldChar w:fldCharType="begin"/>
          </w:r>
          <w:r>
            <w:rPr>
              <w:sz w:val="28"/>
              <w:szCs w:val="28"/>
              <w:highlight w:val="none"/>
            </w:rPr>
            <w:instrText xml:space="preserve"> HYPERLINK \l "_Toc14163" </w:instrText>
          </w:r>
          <w:r>
            <w:rPr>
              <w:sz w:val="28"/>
              <w:szCs w:val="28"/>
              <w:highlight w:val="none"/>
            </w:rPr>
            <w:fldChar w:fldCharType="separate"/>
          </w:r>
          <w:r>
            <w:rPr>
              <w:color w:val="000000" w:themeColor="text1"/>
              <w:sz w:val="28"/>
              <w:szCs w:val="28"/>
              <w:highlight w:val="none"/>
              <w14:textFill>
                <w14:solidFill>
                  <w14:schemeClr w14:val="tx1"/>
                </w14:solidFill>
              </w14:textFill>
            </w:rPr>
            <w:t xml:space="preserve">第五章 </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采购合同（合同主要条款及格式）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45</w:t>
          </w:r>
        </w:p>
        <w:p>
          <w:pPr>
            <w:pStyle w:val="156"/>
            <w:tabs>
              <w:tab w:val="right" w:leader="dot" w:pos="9570"/>
            </w:tabs>
            <w:ind w:left="880"/>
            <w:rPr>
              <w:color w:val="000000" w:themeColor="text1"/>
              <w:sz w:val="28"/>
              <w:szCs w:val="28"/>
              <w:highlight w:val="none"/>
              <w14:textFill>
                <w14:solidFill>
                  <w14:schemeClr w14:val="tx1"/>
                </w14:solidFill>
              </w14:textFill>
            </w:rPr>
          </w:pPr>
        </w:p>
        <w:p>
          <w:pPr>
            <w:pStyle w:val="155"/>
            <w:tabs>
              <w:tab w:val="right" w:leader="dot" w:pos="9570"/>
            </w:tabs>
            <w:ind w:left="440"/>
            <w:rPr>
              <w:rFonts w:hint="default" w:eastAsia="宋体"/>
              <w:color w:val="000000" w:themeColor="text1"/>
              <w:sz w:val="28"/>
              <w:szCs w:val="28"/>
              <w:highlight w:val="none"/>
              <w:lang w:val="en-US" w:eastAsia="zh-CN"/>
              <w14:textFill>
                <w14:solidFill>
                  <w14:schemeClr w14:val="tx1"/>
                </w14:solidFill>
              </w14:textFill>
            </w:rPr>
          </w:pPr>
          <w:r>
            <w:rPr>
              <w:sz w:val="28"/>
              <w:szCs w:val="28"/>
              <w:highlight w:val="none"/>
            </w:rPr>
            <w:fldChar w:fldCharType="begin"/>
          </w:r>
          <w:r>
            <w:rPr>
              <w:sz w:val="28"/>
              <w:szCs w:val="28"/>
              <w:highlight w:val="none"/>
            </w:rPr>
            <w:instrText xml:space="preserve"> HYPERLINK \l "_Toc3970" </w:instrText>
          </w:r>
          <w:r>
            <w:rPr>
              <w:sz w:val="28"/>
              <w:szCs w:val="28"/>
              <w:highlight w:val="none"/>
            </w:rPr>
            <w:fldChar w:fldCharType="separate"/>
          </w:r>
          <w:r>
            <w:rPr>
              <w:color w:val="000000" w:themeColor="text1"/>
              <w:sz w:val="28"/>
              <w:szCs w:val="28"/>
              <w:highlight w:val="none"/>
              <w14:textFill>
                <w14:solidFill>
                  <w14:schemeClr w14:val="tx1"/>
                </w14:solidFill>
              </w14:textFill>
            </w:rPr>
            <w:t xml:space="preserve">第六章 </w:t>
          </w:r>
          <w:r>
            <w:rPr>
              <w:rFonts w:hint="eastAsia"/>
              <w:color w:val="000000" w:themeColor="text1"/>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55</w:t>
          </w:r>
        </w:p>
        <w:p>
          <w:pPr>
            <w:pStyle w:val="154"/>
            <w:tabs>
              <w:tab w:val="right" w:leader="dot" w:pos="9570"/>
            </w:tabs>
            <w:rPr>
              <w:color w:val="000000" w:themeColor="text1"/>
              <w:highlight w:val="none"/>
              <w14:textFill>
                <w14:solidFill>
                  <w14:schemeClr w14:val="tx1"/>
                </w14:solidFill>
              </w14:textFill>
            </w:rPr>
          </w:pPr>
        </w:p>
        <w:p>
          <w:pPr>
            <w:rPr>
              <w:rFonts w:ascii="Times New Roman" w:eastAsia="Times New Roman"/>
              <w:color w:val="000000" w:themeColor="text1"/>
              <w:highlight w:val="none"/>
              <w14:textFill>
                <w14:solidFill>
                  <w14:schemeClr w14:val="tx1"/>
                </w14:solidFill>
              </w14:textFill>
            </w:rPr>
            <w:sectPr>
              <w:type w:val="continuous"/>
              <w:pgSz w:w="11910" w:h="16840"/>
              <w:pgMar w:top="1400" w:right="1140" w:bottom="1468" w:left="1200" w:header="720" w:footer="720" w:gutter="0"/>
              <w:cols w:space="720" w:num="1"/>
            </w:sectPr>
          </w:pPr>
          <w:r>
            <w:rPr>
              <w:rFonts w:ascii="Times New Roman" w:eastAsia="Times New Roman"/>
              <w:color w:val="000000" w:themeColor="text1"/>
              <w:highlight w:val="none"/>
              <w14:textFill>
                <w14:solidFill>
                  <w14:schemeClr w14:val="tx1"/>
                </w14:solidFill>
              </w14:textFill>
            </w:rPr>
            <w:fldChar w:fldCharType="end"/>
          </w:r>
        </w:p>
      </w:sdtContent>
    </w:sdt>
    <w:p>
      <w:pPr>
        <w:pStyle w:val="4"/>
        <w:tabs>
          <w:tab w:val="left" w:pos="1766"/>
        </w:tabs>
        <w:spacing w:before="274"/>
        <w:rPr>
          <w:color w:val="000000" w:themeColor="text1"/>
          <w:highlight w:val="none"/>
          <w14:textFill>
            <w14:solidFill>
              <w14:schemeClr w14:val="tx1"/>
            </w14:solidFill>
          </w14:textFill>
        </w:rPr>
      </w:pPr>
      <w:bookmarkStart w:id="1" w:name="_Toc16102"/>
      <w:r>
        <w:rPr>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公开招标公告</w:t>
      </w:r>
      <w:bookmarkEnd w:id="1"/>
    </w:p>
    <w:p>
      <w:pPr>
        <w:pStyle w:val="13"/>
        <w:spacing w:before="7"/>
        <w:rPr>
          <w:b/>
          <w:color w:val="000000" w:themeColor="text1"/>
          <w:sz w:val="10"/>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845185</wp:posOffset>
                </wp:positionH>
                <wp:positionV relativeFrom="paragraph">
                  <wp:posOffset>113665</wp:posOffset>
                </wp:positionV>
                <wp:extent cx="5842000" cy="1229360"/>
                <wp:effectExtent l="4445" t="4445" r="20955" b="23495"/>
                <wp:wrapTopAndBottom/>
                <wp:docPr id="4" name="文本框 4"/>
                <wp:cNvGraphicFramePr/>
                <a:graphic xmlns:a="http://schemas.openxmlformats.org/drawingml/2006/main">
                  <a:graphicData uri="http://schemas.microsoft.com/office/word/2010/wordprocessingShape">
                    <wps:wsp>
                      <wps:cNvSpPr txBox="1"/>
                      <wps:spPr>
                        <a:xfrm>
                          <a:off x="0" y="0"/>
                          <a:ext cx="5842000" cy="1229360"/>
                        </a:xfrm>
                        <a:prstGeom prst="rect">
                          <a:avLst/>
                        </a:prstGeom>
                        <a:noFill/>
                        <a:ln w="6096" cap="flat" cmpd="sng">
                          <a:solidFill>
                            <a:srgbClr val="000000"/>
                          </a:solidFill>
                          <a:prstDash val="solid"/>
                          <a:miter/>
                          <a:headEnd type="none" w="med" len="med"/>
                          <a:tailEnd type="none" w="med" len="med"/>
                        </a:ln>
                      </wps:spPr>
                      <wps:txbx>
                        <w:txbxContent>
                          <w:p>
                            <w:pPr>
                              <w:pStyle w:val="13"/>
                              <w:spacing w:before="134"/>
                              <w:ind w:left="499"/>
                            </w:pPr>
                            <w:r>
                              <w:t>项目概况</w:t>
                            </w:r>
                          </w:p>
                          <w:p>
                            <w:pPr>
                              <w:pStyle w:val="13"/>
                              <w:spacing w:before="7"/>
                              <w:rPr>
                                <w:b/>
                                <w:sz w:val="17"/>
                              </w:rPr>
                            </w:pPr>
                          </w:p>
                          <w:p>
                            <w:pPr>
                              <w:pStyle w:val="13"/>
                              <w:spacing w:line="444" w:lineRule="auto"/>
                              <w:ind w:left="79" w:right="75" w:firstLine="420"/>
                              <w:rPr>
                                <w:rFonts w:hint="eastAsia" w:eastAsia="宋体"/>
                                <w:lang w:val="en-US" w:eastAsia="zh-CN"/>
                              </w:rPr>
                            </w:pPr>
                            <w:r>
                              <w:rPr>
                                <w:rFonts w:hint="eastAsia"/>
                                <w:spacing w:val="1"/>
                                <w:u w:val="single"/>
                                <w:lang w:eastAsia="zh-CN"/>
                              </w:rPr>
                              <w:t>广西壮族自治区桂林生态环境监测中心实验室设备采购</w:t>
                            </w:r>
                            <w:r>
                              <w:rPr>
                                <w:spacing w:val="1"/>
                                <w:u w:val="single"/>
                              </w:rPr>
                              <w:t xml:space="preserve"> </w:t>
                            </w:r>
                            <w:r>
                              <w:t>招标项目的潜在投标人应在桂林市公共资源交易中心网（</w:t>
                            </w:r>
                            <w:r>
                              <w:fldChar w:fldCharType="begin"/>
                            </w:r>
                            <w:r>
                              <w:instrText xml:space="preserve"> HYPERLINK "http://glggzy.org.cn/gxglzbw/" \h </w:instrText>
                            </w:r>
                            <w:r>
                              <w:fldChar w:fldCharType="separate"/>
                            </w:r>
                            <w:r>
                              <w:t>http://glggzy.org.cn/gxglzbw/</w:t>
                            </w:r>
                            <w:r>
                              <w:fldChar w:fldCharType="end"/>
                            </w:r>
                            <w:r>
                              <w:t>）获取招标文件，并于 2020 年</w:t>
                            </w:r>
                            <w:r>
                              <w:rPr>
                                <w:rFonts w:hint="eastAsia"/>
                                <w:lang w:val="en-US" w:eastAsia="zh-CN"/>
                              </w:rPr>
                              <w:t>9</w:t>
                            </w:r>
                            <w:r>
                              <w:t>月</w:t>
                            </w:r>
                            <w:r>
                              <w:rPr>
                                <w:rFonts w:hint="eastAsia"/>
                                <w:lang w:val="en-US" w:eastAsia="zh-CN"/>
                              </w:rPr>
                              <w:t>1</w:t>
                            </w:r>
                            <w:r>
                              <w:t>日</w:t>
                            </w:r>
                            <w:r>
                              <w:rPr>
                                <w:rFonts w:hint="eastAsia"/>
                                <w:lang w:val="en-US" w:eastAsia="zh-CN"/>
                              </w:rPr>
                              <w:t>9</w:t>
                            </w:r>
                            <w:r>
                              <w:t>点</w:t>
                            </w:r>
                            <w:r>
                              <w:rPr>
                                <w:rFonts w:hint="eastAsia"/>
                                <w:lang w:val="en-US" w:eastAsia="zh-CN"/>
                              </w:rPr>
                              <w:t>30</w:t>
                            </w:r>
                            <w:r>
                              <w:t>分（北京时间）前递交投标文</w:t>
                            </w:r>
                            <w:r>
                              <w:rPr>
                                <w:rFonts w:hint="eastAsia"/>
                                <w:lang w:eastAsia="zh-CN"/>
                              </w:rPr>
                              <w:t>件。</w:t>
                            </w:r>
                          </w:p>
                        </w:txbxContent>
                      </wps:txbx>
                      <wps:bodyPr lIns="0" tIns="0" rIns="0" bIns="0" upright="1"/>
                    </wps:wsp>
                  </a:graphicData>
                </a:graphic>
              </wp:anchor>
            </w:drawing>
          </mc:Choice>
          <mc:Fallback>
            <w:pict>
              <v:shape id="_x0000_s1026" o:spid="_x0000_s1026" o:spt="202" type="#_x0000_t202" style="position:absolute;left:0pt;margin-left:66.55pt;margin-top:8.95pt;height:96.8pt;width:460pt;mso-position-horizontal-relative:page;mso-wrap-distance-bottom:0pt;mso-wrap-distance-top:0pt;z-index:-251656192;mso-width-relative:page;mso-height-relative:page;" filled="f" stroked="t" coordsize="21600,21600" o:gfxdata="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4PXXXAAAACwEAAA8AAAAAAAAAAQAgAAAAIgAAAGRycy9kb3ducmV2Lnht&#10;bFBLAQIUABQAAAAIAIdO4kD6guTo+gEAAOQDAAAOAAAAAAAAAAEAIAAAACYBAABkcnMvZTJvRG9j&#10;LnhtbFBLBQYAAAAABgAGAFkBAACSBQAAAAA=&#10;">
                <v:fill on="f" focussize="0,0"/>
                <v:stroke weight="0.48pt" color="#000000" joinstyle="miter"/>
                <v:imagedata o:title=""/>
                <o:lock v:ext="edit" aspectratio="f"/>
                <v:textbox inset="0mm,0mm,0mm,0mm">
                  <w:txbxContent>
                    <w:p>
                      <w:pPr>
                        <w:pStyle w:val="13"/>
                        <w:spacing w:before="134"/>
                        <w:ind w:left="499"/>
                      </w:pPr>
                      <w:r>
                        <w:t>项目概况</w:t>
                      </w:r>
                    </w:p>
                    <w:p>
                      <w:pPr>
                        <w:pStyle w:val="13"/>
                        <w:spacing w:before="7"/>
                        <w:rPr>
                          <w:b/>
                          <w:sz w:val="17"/>
                        </w:rPr>
                      </w:pPr>
                    </w:p>
                    <w:p>
                      <w:pPr>
                        <w:pStyle w:val="13"/>
                        <w:spacing w:line="444" w:lineRule="auto"/>
                        <w:ind w:left="79" w:right="75" w:firstLine="420"/>
                        <w:rPr>
                          <w:rFonts w:hint="eastAsia" w:eastAsia="宋体"/>
                          <w:lang w:val="en-US" w:eastAsia="zh-CN"/>
                        </w:rPr>
                      </w:pPr>
                      <w:r>
                        <w:rPr>
                          <w:rFonts w:hint="eastAsia"/>
                          <w:spacing w:val="1"/>
                          <w:u w:val="single"/>
                          <w:lang w:eastAsia="zh-CN"/>
                        </w:rPr>
                        <w:t>广西壮族自治区桂林生态环境监测中心实验室设备采购</w:t>
                      </w:r>
                      <w:r>
                        <w:rPr>
                          <w:spacing w:val="1"/>
                          <w:u w:val="single"/>
                        </w:rPr>
                        <w:t xml:space="preserve"> </w:t>
                      </w:r>
                      <w:r>
                        <w:t>招标项目的潜在投标人应在桂林市公共资源交易中心网（</w:t>
                      </w:r>
                      <w:r>
                        <w:fldChar w:fldCharType="begin"/>
                      </w:r>
                      <w:r>
                        <w:instrText xml:space="preserve"> HYPERLINK "http://glggzy.org.cn/gxglzbw/" \h </w:instrText>
                      </w:r>
                      <w:r>
                        <w:fldChar w:fldCharType="separate"/>
                      </w:r>
                      <w:r>
                        <w:t>http://glggzy.org.cn/gxglzbw/</w:t>
                      </w:r>
                      <w:r>
                        <w:fldChar w:fldCharType="end"/>
                      </w:r>
                      <w:r>
                        <w:t>）获取招标文件，并于 2020 年</w:t>
                      </w:r>
                      <w:r>
                        <w:rPr>
                          <w:rFonts w:hint="eastAsia"/>
                          <w:lang w:val="en-US" w:eastAsia="zh-CN"/>
                        </w:rPr>
                        <w:t>9</w:t>
                      </w:r>
                      <w:r>
                        <w:t>月</w:t>
                      </w:r>
                      <w:r>
                        <w:rPr>
                          <w:rFonts w:hint="eastAsia"/>
                          <w:lang w:val="en-US" w:eastAsia="zh-CN"/>
                        </w:rPr>
                        <w:t>1</w:t>
                      </w:r>
                      <w:r>
                        <w:t>日</w:t>
                      </w:r>
                      <w:r>
                        <w:rPr>
                          <w:rFonts w:hint="eastAsia"/>
                          <w:lang w:val="en-US" w:eastAsia="zh-CN"/>
                        </w:rPr>
                        <w:t>9</w:t>
                      </w:r>
                      <w:r>
                        <w:t>点</w:t>
                      </w:r>
                      <w:r>
                        <w:rPr>
                          <w:rFonts w:hint="eastAsia"/>
                          <w:lang w:val="en-US" w:eastAsia="zh-CN"/>
                        </w:rPr>
                        <w:t>30</w:t>
                      </w:r>
                      <w:r>
                        <w:t>分（北京时间）前递交投标文</w:t>
                      </w:r>
                      <w:r>
                        <w:rPr>
                          <w:rFonts w:hint="eastAsia"/>
                          <w:lang w:eastAsia="zh-CN"/>
                        </w:rPr>
                        <w:t>件。</w:t>
                      </w:r>
                    </w:p>
                  </w:txbxContent>
                </v:textbox>
                <w10:wrap type="topAndBottom"/>
              </v:shape>
            </w:pict>
          </mc:Fallback>
        </mc:AlternateContent>
      </w:r>
    </w:p>
    <w:p>
      <w:pPr>
        <w:pStyle w:val="7"/>
        <w:spacing w:before="86"/>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一、项目基本情况</w:t>
      </w:r>
    </w:p>
    <w:p>
      <w:pPr>
        <w:pStyle w:val="13"/>
        <w:spacing w:before="7"/>
        <w:rPr>
          <w:b/>
          <w:color w:val="000000" w:themeColor="text1"/>
          <w:sz w:val="17"/>
          <w:highlight w:val="none"/>
          <w14:textFill>
            <w14:solidFill>
              <w14:schemeClr w14:val="tx1"/>
            </w14:solidFill>
          </w14:textFill>
        </w:rPr>
      </w:pPr>
    </w:p>
    <w:p>
      <w:pPr>
        <w:pStyle w:val="13"/>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rFonts w:hint="eastAsia"/>
          <w:color w:val="000000" w:themeColor="text1"/>
          <w:highlight w:val="none"/>
          <w14:textFill>
            <w14:solidFill>
              <w14:schemeClr w14:val="tx1"/>
            </w14:solidFill>
          </w14:textFill>
        </w:rPr>
        <w:t>GXZC2020-G1-002945-GXZC</w:t>
      </w:r>
    </w:p>
    <w:p>
      <w:pPr>
        <w:pStyle w:val="13"/>
        <w:spacing w:before="10"/>
        <w:rPr>
          <w:color w:val="000000" w:themeColor="text1"/>
          <w:sz w:val="17"/>
          <w:highlight w:val="none"/>
          <w14:textFill>
            <w14:solidFill>
              <w14:schemeClr w14:val="tx1"/>
            </w14:solidFill>
          </w14:textFill>
        </w:rPr>
      </w:pPr>
    </w:p>
    <w:p>
      <w:pPr>
        <w:pStyle w:val="13"/>
        <w:spacing w:line="444" w:lineRule="auto"/>
        <w:ind w:left="635" w:right="1777"/>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广西壮族自治区桂林生态环境监测中心实验室设备采购</w:t>
      </w:r>
    </w:p>
    <w:p>
      <w:pPr>
        <w:pStyle w:val="13"/>
        <w:spacing w:line="444" w:lineRule="auto"/>
        <w:ind w:left="635" w:right="1777"/>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采购方式：公开招标</w:t>
      </w:r>
    </w:p>
    <w:p>
      <w:pPr>
        <w:pStyle w:val="13"/>
        <w:spacing w:line="444" w:lineRule="auto"/>
        <w:ind w:left="635" w:right="1777"/>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预算金额：</w:t>
      </w:r>
      <w:r>
        <w:rPr>
          <w:rFonts w:hint="eastAsia"/>
          <w:color w:val="000000" w:themeColor="text1"/>
          <w:highlight w:val="none"/>
          <w:lang w:val="en-US"/>
          <w14:textFill>
            <w14:solidFill>
              <w14:schemeClr w14:val="tx1"/>
            </w14:solidFill>
          </w14:textFill>
        </w:rPr>
        <w:t>414.9万元</w:t>
      </w:r>
      <w:bookmarkStart w:id="148" w:name="_GoBack"/>
      <w:bookmarkEnd w:id="148"/>
    </w:p>
    <w:p>
      <w:pPr>
        <w:pStyle w:val="13"/>
        <w:spacing w:line="444" w:lineRule="auto"/>
        <w:ind w:left="635" w:right="2420"/>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最高限价（如有）：</w:t>
      </w:r>
      <w:r>
        <w:rPr>
          <w:rFonts w:hint="eastAsia"/>
          <w:color w:val="000000" w:themeColor="text1"/>
          <w:highlight w:val="none"/>
          <w:lang w:val="en-US"/>
          <w14:textFill>
            <w14:solidFill>
              <w14:schemeClr w14:val="tx1"/>
            </w14:solidFill>
          </w14:textFill>
        </w:rPr>
        <w:t>414.9万元</w:t>
      </w:r>
    </w:p>
    <w:p>
      <w:pPr>
        <w:pStyle w:val="13"/>
        <w:spacing w:line="444" w:lineRule="auto"/>
        <w:ind w:left="635" w:right="2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采购需求：</w:t>
      </w:r>
    </w:p>
    <w:tbl>
      <w:tblPr>
        <w:tblStyle w:val="23"/>
        <w:tblpPr w:leftFromText="180" w:rightFromText="180" w:vertAnchor="text" w:horzAnchor="page" w:tblpX="1762" w:tblpY="275"/>
        <w:tblOverlap w:val="never"/>
        <w:tblW w:w="83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6"/>
        <w:gridCol w:w="3109"/>
        <w:gridCol w:w="861"/>
        <w:gridCol w:w="1484"/>
        <w:gridCol w:w="22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656" w:type="dxa"/>
          </w:tcPr>
          <w:p>
            <w:pPr>
              <w:pStyle w:val="32"/>
              <w:spacing w:before="112"/>
              <w:ind w:left="97" w:right="7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项号</w:t>
            </w:r>
          </w:p>
        </w:tc>
        <w:tc>
          <w:tcPr>
            <w:tcW w:w="3109" w:type="dxa"/>
          </w:tcPr>
          <w:p>
            <w:pPr>
              <w:pStyle w:val="32"/>
              <w:spacing w:before="112"/>
              <w:ind w:left="480" w:right="46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货物名称</w:t>
            </w:r>
          </w:p>
        </w:tc>
        <w:tc>
          <w:tcPr>
            <w:tcW w:w="861" w:type="dxa"/>
          </w:tcPr>
          <w:p>
            <w:pPr>
              <w:pStyle w:val="32"/>
              <w:spacing w:before="112"/>
              <w:ind w:left="198" w:right="18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w:t>
            </w:r>
          </w:p>
        </w:tc>
        <w:tc>
          <w:tcPr>
            <w:tcW w:w="1484" w:type="dxa"/>
          </w:tcPr>
          <w:p>
            <w:pPr>
              <w:pStyle w:val="32"/>
              <w:spacing w:before="112"/>
              <w:ind w:right="511"/>
              <w:jc w:val="right"/>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数量</w:t>
            </w:r>
          </w:p>
        </w:tc>
        <w:tc>
          <w:tcPr>
            <w:tcW w:w="2217" w:type="dxa"/>
          </w:tcPr>
          <w:p>
            <w:pPr>
              <w:pStyle w:val="32"/>
              <w:spacing w:before="112"/>
              <w:ind w:left="455" w:right="44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简要规格描述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656" w:type="dxa"/>
          </w:tcPr>
          <w:p>
            <w:pPr>
              <w:pStyle w:val="32"/>
              <w:spacing w:before="114"/>
              <w:ind w:left="17"/>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3109" w:type="dxa"/>
          </w:tcPr>
          <w:p>
            <w:pPr>
              <w:pStyle w:val="32"/>
              <w:spacing w:before="114"/>
              <w:ind w:left="480" w:right="466"/>
              <w:jc w:val="center"/>
              <w:rPr>
                <w:color w:val="000000" w:themeColor="text1"/>
                <w:sz w:val="2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实验台柜系统</w:t>
            </w:r>
          </w:p>
        </w:tc>
        <w:tc>
          <w:tcPr>
            <w:tcW w:w="861" w:type="dxa"/>
          </w:tcPr>
          <w:p>
            <w:pPr>
              <w:pStyle w:val="32"/>
              <w:spacing w:before="114"/>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4"/>
              <w:ind w:right="670"/>
              <w:jc w:val="right"/>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restart"/>
          </w:tcPr>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spacing w:before="8"/>
              <w:rPr>
                <w:color w:val="000000" w:themeColor="text1"/>
                <w:sz w:val="29"/>
                <w:highlight w:val="none"/>
                <w14:textFill>
                  <w14:solidFill>
                    <w14:schemeClr w14:val="tx1"/>
                  </w14:solidFill>
                </w14:textFill>
              </w:rPr>
            </w:pPr>
          </w:p>
          <w:p>
            <w:pPr>
              <w:pStyle w:val="32"/>
              <w:ind w:left="47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详见招标文件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3"/>
              <w:ind w:left="17"/>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2</w:t>
            </w:r>
          </w:p>
        </w:tc>
        <w:tc>
          <w:tcPr>
            <w:tcW w:w="3109" w:type="dxa"/>
          </w:tcPr>
          <w:p>
            <w:pPr>
              <w:pStyle w:val="32"/>
              <w:spacing w:before="113"/>
              <w:ind w:left="480" w:right="466"/>
              <w:jc w:val="center"/>
              <w:rPr>
                <w:color w:val="000000" w:themeColor="text1"/>
                <w:sz w:val="2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集中供气系统</w:t>
            </w:r>
          </w:p>
        </w:tc>
        <w:tc>
          <w:tcPr>
            <w:tcW w:w="861" w:type="dxa"/>
          </w:tcPr>
          <w:p>
            <w:pPr>
              <w:pStyle w:val="32"/>
              <w:spacing w:before="113"/>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3"/>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3"/>
              <w:ind w:left="17"/>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3</w:t>
            </w:r>
          </w:p>
        </w:tc>
        <w:tc>
          <w:tcPr>
            <w:tcW w:w="3109" w:type="dxa"/>
          </w:tcPr>
          <w:p>
            <w:pPr>
              <w:pStyle w:val="32"/>
              <w:spacing w:before="113"/>
              <w:ind w:left="480" w:right="46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通风系统废气处理系统</w:t>
            </w:r>
          </w:p>
        </w:tc>
        <w:tc>
          <w:tcPr>
            <w:tcW w:w="861" w:type="dxa"/>
          </w:tcPr>
          <w:p>
            <w:pPr>
              <w:pStyle w:val="32"/>
              <w:spacing w:before="113"/>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3"/>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3"/>
              <w:ind w:left="17"/>
              <w:jc w:val="center"/>
              <w:rPr>
                <w:color w:val="000000" w:themeColor="text1"/>
                <w:w w:val="99"/>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4</w:t>
            </w:r>
          </w:p>
        </w:tc>
        <w:tc>
          <w:tcPr>
            <w:tcW w:w="3109" w:type="dxa"/>
          </w:tcPr>
          <w:p>
            <w:pPr>
              <w:pStyle w:val="32"/>
              <w:spacing w:before="113"/>
              <w:ind w:left="480" w:right="46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实验室废水处理系统</w:t>
            </w:r>
          </w:p>
        </w:tc>
        <w:tc>
          <w:tcPr>
            <w:tcW w:w="861" w:type="dxa"/>
          </w:tcPr>
          <w:p>
            <w:pPr>
              <w:pStyle w:val="32"/>
              <w:spacing w:before="113"/>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3"/>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2"/>
              <w:ind w:left="17"/>
              <w:jc w:val="center"/>
              <w:rPr>
                <w:color w:val="000000" w:themeColor="text1"/>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5</w:t>
            </w:r>
          </w:p>
        </w:tc>
        <w:tc>
          <w:tcPr>
            <w:tcW w:w="3109" w:type="dxa"/>
          </w:tcPr>
          <w:p>
            <w:pPr>
              <w:pStyle w:val="32"/>
              <w:spacing w:before="112"/>
              <w:ind w:left="480" w:right="46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实验室隔断装修及净化空调系统</w:t>
            </w:r>
          </w:p>
        </w:tc>
        <w:tc>
          <w:tcPr>
            <w:tcW w:w="861" w:type="dxa"/>
          </w:tcPr>
          <w:p>
            <w:pPr>
              <w:pStyle w:val="32"/>
              <w:spacing w:before="112"/>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2"/>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4"/>
              <w:ind w:left="17"/>
              <w:jc w:val="center"/>
              <w:rPr>
                <w:color w:val="000000" w:themeColor="text1"/>
                <w:w w:val="99"/>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6</w:t>
            </w:r>
          </w:p>
        </w:tc>
        <w:tc>
          <w:tcPr>
            <w:tcW w:w="3109" w:type="dxa"/>
          </w:tcPr>
          <w:p>
            <w:pPr>
              <w:pStyle w:val="32"/>
              <w:spacing w:before="112"/>
              <w:ind w:left="480" w:right="46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实验室电气系统</w:t>
            </w:r>
          </w:p>
        </w:tc>
        <w:tc>
          <w:tcPr>
            <w:tcW w:w="861" w:type="dxa"/>
          </w:tcPr>
          <w:p>
            <w:pPr>
              <w:pStyle w:val="32"/>
              <w:spacing w:before="112"/>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2"/>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4"/>
              <w:ind w:left="17"/>
              <w:jc w:val="center"/>
              <w:rPr>
                <w:color w:val="000000" w:themeColor="text1"/>
                <w:w w:val="99"/>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7</w:t>
            </w:r>
          </w:p>
        </w:tc>
        <w:tc>
          <w:tcPr>
            <w:tcW w:w="3109" w:type="dxa"/>
          </w:tcPr>
          <w:p>
            <w:pPr>
              <w:pStyle w:val="32"/>
              <w:spacing w:before="112"/>
              <w:ind w:left="480" w:right="46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实验室给排水系统</w:t>
            </w:r>
          </w:p>
        </w:tc>
        <w:tc>
          <w:tcPr>
            <w:tcW w:w="861" w:type="dxa"/>
          </w:tcPr>
          <w:p>
            <w:pPr>
              <w:pStyle w:val="32"/>
              <w:spacing w:before="112"/>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2"/>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656" w:type="dxa"/>
          </w:tcPr>
          <w:p>
            <w:pPr>
              <w:pStyle w:val="32"/>
              <w:spacing w:before="114"/>
              <w:ind w:left="17"/>
              <w:jc w:val="center"/>
              <w:rPr>
                <w:color w:val="000000" w:themeColor="text1"/>
                <w:w w:val="99"/>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8</w:t>
            </w:r>
          </w:p>
        </w:tc>
        <w:tc>
          <w:tcPr>
            <w:tcW w:w="3109" w:type="dxa"/>
          </w:tcPr>
          <w:p>
            <w:pPr>
              <w:pStyle w:val="32"/>
              <w:spacing w:before="112"/>
              <w:ind w:left="480" w:right="46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实验室纯水系统</w:t>
            </w:r>
          </w:p>
        </w:tc>
        <w:tc>
          <w:tcPr>
            <w:tcW w:w="861" w:type="dxa"/>
          </w:tcPr>
          <w:p>
            <w:pPr>
              <w:pStyle w:val="32"/>
              <w:spacing w:before="112"/>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2"/>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656" w:type="dxa"/>
          </w:tcPr>
          <w:p>
            <w:pPr>
              <w:pStyle w:val="32"/>
              <w:spacing w:before="114"/>
              <w:ind w:left="17"/>
              <w:jc w:val="center"/>
              <w:rPr>
                <w:color w:val="000000" w:themeColor="text1"/>
                <w:w w:val="99"/>
                <w:sz w:val="21"/>
                <w:highlight w:val="none"/>
                <w14:textFill>
                  <w14:solidFill>
                    <w14:schemeClr w14:val="tx1"/>
                  </w14:solidFill>
                </w14:textFill>
              </w:rPr>
            </w:pPr>
            <w:r>
              <w:rPr>
                <w:rFonts w:hint="eastAsia"/>
                <w:color w:val="000000" w:themeColor="text1"/>
                <w:w w:val="99"/>
                <w:sz w:val="21"/>
                <w:highlight w:val="none"/>
                <w14:textFill>
                  <w14:solidFill>
                    <w14:schemeClr w14:val="tx1"/>
                  </w14:solidFill>
                </w14:textFill>
              </w:rPr>
              <w:t>9</w:t>
            </w:r>
          </w:p>
        </w:tc>
        <w:tc>
          <w:tcPr>
            <w:tcW w:w="3109" w:type="dxa"/>
          </w:tcPr>
          <w:p>
            <w:pPr>
              <w:pStyle w:val="20"/>
              <w:spacing w:before="112"/>
              <w:ind w:left="480" w:right="466"/>
              <w:jc w:val="left"/>
              <w:rPr>
                <w:rFonts w:ascii="宋体" w:hAnsi="宋体" w:eastAsia="宋体" w:cs="宋体"/>
                <w:b w:val="0"/>
                <w:bCs w:val="0"/>
                <w:color w:val="000000" w:themeColor="text1"/>
                <w:kern w:val="0"/>
                <w:sz w:val="21"/>
                <w:szCs w:val="22"/>
                <w:highlight w:val="none"/>
                <w:lang w:val="zh-CN" w:bidi="zh-CN"/>
                <w14:textFill>
                  <w14:solidFill>
                    <w14:schemeClr w14:val="tx1"/>
                  </w14:solidFill>
                </w14:textFill>
              </w:rPr>
            </w:pPr>
            <w:bookmarkStart w:id="2" w:name="_Toc764"/>
            <w:r>
              <w:rPr>
                <w:rFonts w:hint="eastAsia" w:ascii="宋体" w:hAnsi="宋体" w:eastAsia="宋体" w:cs="宋体"/>
                <w:b w:val="0"/>
                <w:bCs w:val="0"/>
                <w:color w:val="000000" w:themeColor="text1"/>
                <w:kern w:val="0"/>
                <w:sz w:val="21"/>
                <w:szCs w:val="22"/>
                <w:highlight w:val="none"/>
                <w:lang w:val="zh-CN" w:bidi="zh-CN"/>
                <w14:textFill>
                  <w14:solidFill>
                    <w14:schemeClr w14:val="tx1"/>
                  </w14:solidFill>
                </w14:textFill>
              </w:rPr>
              <w:t>实验室监控及门禁系统</w:t>
            </w:r>
            <w:bookmarkEnd w:id="2"/>
          </w:p>
        </w:tc>
        <w:tc>
          <w:tcPr>
            <w:tcW w:w="861" w:type="dxa"/>
          </w:tcPr>
          <w:p>
            <w:pPr>
              <w:pStyle w:val="32"/>
              <w:spacing w:before="114"/>
              <w:ind w:left="19"/>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套</w:t>
            </w:r>
          </w:p>
        </w:tc>
        <w:tc>
          <w:tcPr>
            <w:tcW w:w="1484" w:type="dxa"/>
          </w:tcPr>
          <w:p>
            <w:pPr>
              <w:pStyle w:val="32"/>
              <w:spacing w:before="114"/>
              <w:ind w:left="563" w:right="546"/>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1</w:t>
            </w:r>
          </w:p>
        </w:tc>
        <w:tc>
          <w:tcPr>
            <w:tcW w:w="2217" w:type="dxa"/>
            <w:vMerge w:val="continue"/>
            <w:tcBorders>
              <w:top w:val="nil"/>
            </w:tcBorders>
          </w:tcPr>
          <w:p>
            <w:pPr>
              <w:rPr>
                <w:color w:val="000000" w:themeColor="text1"/>
                <w:sz w:val="2"/>
                <w:szCs w:val="2"/>
                <w:highlight w:val="none"/>
                <w14:textFill>
                  <w14:solidFill>
                    <w14:schemeClr w14:val="tx1"/>
                  </w14:solidFill>
                </w14:textFill>
              </w:rPr>
            </w:pPr>
          </w:p>
        </w:tc>
      </w:tr>
    </w:tbl>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spacing w:line="444" w:lineRule="auto"/>
        <w:rPr>
          <w:color w:val="000000" w:themeColor="text1"/>
          <w:highlight w:val="none"/>
          <w14:textFill>
            <w14:solidFill>
              <w14:schemeClr w14:val="tx1"/>
            </w14:solidFill>
          </w14:textFill>
        </w:rPr>
      </w:pPr>
    </w:p>
    <w:p>
      <w:pPr>
        <w:pStyle w:val="13"/>
        <w:spacing w:before="113"/>
        <w:ind w:firstLine="630" w:firstLineChars="300"/>
        <w:rPr>
          <w:color w:val="000000" w:themeColor="text1"/>
          <w:highlight w:val="none"/>
          <w14:textFill>
            <w14:solidFill>
              <w14:schemeClr w14:val="tx1"/>
            </w14:solidFill>
          </w14:textFill>
        </w:rPr>
      </w:pPr>
    </w:p>
    <w:p>
      <w:pPr>
        <w:pStyle w:val="13"/>
        <w:spacing w:before="113"/>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如需进一步了解详细内容，详见招标文件。</w:t>
      </w:r>
    </w:p>
    <w:p>
      <w:pPr>
        <w:pStyle w:val="13"/>
        <w:spacing w:before="8"/>
        <w:rPr>
          <w:color w:val="000000" w:themeColor="text1"/>
          <w:sz w:val="17"/>
          <w:highlight w:val="none"/>
          <w14:textFill>
            <w14:solidFill>
              <w14:schemeClr w14:val="tx1"/>
            </w14:solidFill>
          </w14:textFill>
        </w:rPr>
      </w:pPr>
    </w:p>
    <w:p>
      <w:pPr>
        <w:pStyle w:val="13"/>
        <w:spacing w:line="444" w:lineRule="auto"/>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合同履行期限：自签订合同之日起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 xml:space="preserve">  50  </w:t>
      </w:r>
      <w:r>
        <w:rPr>
          <w:color w:val="000000" w:themeColor="text1"/>
          <w:highlight w:val="none"/>
          <w14:textFill>
            <w14:solidFill>
              <w14:schemeClr w14:val="tx1"/>
            </w14:solidFill>
          </w14:textFill>
        </w:rPr>
        <w:t>个日历日内全部安装调试合格完毕并交付使用。</w:t>
      </w:r>
    </w:p>
    <w:p>
      <w:pPr>
        <w:pStyle w:val="13"/>
        <w:spacing w:line="444" w:lineRule="auto"/>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本项目不接受联合体投标。</w:t>
      </w:r>
    </w:p>
    <w:p>
      <w:pPr>
        <w:pStyle w:val="7"/>
        <w:spacing w:line="267" w:lineRule="exact"/>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二、申请人的资格要求：</w:t>
      </w:r>
    </w:p>
    <w:p>
      <w:pPr>
        <w:pStyle w:val="13"/>
        <w:spacing w:before="10"/>
        <w:rPr>
          <w:b/>
          <w:color w:val="000000" w:themeColor="text1"/>
          <w:sz w:val="17"/>
          <w:highlight w:val="none"/>
          <w14:textFill>
            <w14:solidFill>
              <w14:schemeClr w14:val="tx1"/>
            </w14:solidFill>
          </w14:textFill>
        </w:rPr>
      </w:pPr>
    </w:p>
    <w:p>
      <w:pPr>
        <w:pStyle w:val="31"/>
        <w:numPr>
          <w:ilvl w:val="0"/>
          <w:numId w:val="1"/>
        </w:numPr>
        <w:tabs>
          <w:tab w:val="left" w:pos="848"/>
        </w:tabs>
        <w:spacing w:before="0"/>
        <w:ind w:hanging="213"/>
        <w:rPr>
          <w:color w:val="000000" w:themeColor="text1"/>
          <w:sz w:val="19"/>
          <w:highlight w:val="none"/>
          <w14:textFill>
            <w14:solidFill>
              <w14:schemeClr w14:val="tx1"/>
            </w14:solidFill>
          </w14:textFill>
        </w:rPr>
      </w:pPr>
      <w:r>
        <w:rPr>
          <w:color w:val="000000" w:themeColor="text1"/>
          <w:sz w:val="21"/>
          <w:highlight w:val="none"/>
          <w14:textFill>
            <w14:solidFill>
              <w14:schemeClr w14:val="tx1"/>
            </w14:solidFill>
          </w14:textFill>
        </w:rPr>
        <w:t>符合《中华人民共和国政府采购法》第二十二条规定，具备合法资格的投标人；</w:t>
      </w:r>
    </w:p>
    <w:p>
      <w:pPr>
        <w:pStyle w:val="13"/>
        <w:spacing w:before="9"/>
        <w:rPr>
          <w:color w:val="000000" w:themeColor="text1"/>
          <w:sz w:val="17"/>
          <w:highlight w:val="none"/>
          <w14:textFill>
            <w14:solidFill>
              <w14:schemeClr w14:val="tx1"/>
            </w14:solidFill>
          </w14:textFill>
        </w:rPr>
      </w:pPr>
    </w:p>
    <w:p>
      <w:pPr>
        <w:pStyle w:val="31"/>
        <w:numPr>
          <w:ilvl w:val="0"/>
          <w:numId w:val="1"/>
        </w:numPr>
        <w:tabs>
          <w:tab w:val="left" w:pos="795"/>
        </w:tabs>
        <w:spacing w:before="1"/>
        <w:ind w:left="794" w:hanging="160"/>
        <w:rPr>
          <w:rFonts w:ascii="Times New Roman" w:eastAsia="Times New Roman"/>
          <w:color w:val="000000" w:themeColor="text1"/>
          <w:sz w:val="19"/>
          <w:highlight w:val="none"/>
          <w14:textFill>
            <w14:solidFill>
              <w14:schemeClr w14:val="tx1"/>
            </w14:solidFill>
          </w14:textFill>
        </w:rPr>
      </w:pPr>
      <w:r>
        <w:rPr>
          <w:color w:val="000000" w:themeColor="text1"/>
          <w:sz w:val="21"/>
          <w:highlight w:val="none"/>
          <w14:textFill>
            <w14:solidFill>
              <w14:schemeClr w14:val="tx1"/>
            </w14:solidFill>
          </w14:textFill>
        </w:rPr>
        <w:t>本项目需要落实的政府采购政策：</w:t>
      </w:r>
    </w:p>
    <w:p>
      <w:pPr>
        <w:pStyle w:val="13"/>
        <w:spacing w:before="9"/>
        <w:rPr>
          <w:color w:val="000000" w:themeColor="text1"/>
          <w:sz w:val="17"/>
          <w:highlight w:val="none"/>
          <w14:textFill>
            <w14:solidFill>
              <w14:schemeClr w14:val="tx1"/>
            </w14:solidFill>
          </w14:textFill>
        </w:rPr>
      </w:pPr>
    </w:p>
    <w:p>
      <w:pPr>
        <w:pStyle w:val="31"/>
        <w:numPr>
          <w:ilvl w:val="1"/>
          <w:numId w:val="1"/>
        </w:numPr>
        <w:tabs>
          <w:tab w:val="left" w:pos="953"/>
        </w:tabs>
        <w:spacing w:before="1"/>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《中华人民共和国政府采购法》。</w:t>
      </w:r>
    </w:p>
    <w:p>
      <w:pPr>
        <w:pStyle w:val="13"/>
        <w:spacing w:before="9"/>
        <w:rPr>
          <w:color w:val="000000" w:themeColor="text1"/>
          <w:sz w:val="17"/>
          <w:highlight w:val="none"/>
          <w14:textFill>
            <w14:solidFill>
              <w14:schemeClr w14:val="tx1"/>
            </w14:solidFill>
          </w14:textFill>
        </w:rPr>
      </w:pPr>
    </w:p>
    <w:p>
      <w:pPr>
        <w:pStyle w:val="31"/>
        <w:numPr>
          <w:ilvl w:val="1"/>
          <w:numId w:val="1"/>
        </w:numPr>
        <w:tabs>
          <w:tab w:val="left" w:pos="953"/>
        </w:tabs>
        <w:spacing w:before="1"/>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《中华人民共和国政府采购法实施条例》。</w:t>
      </w:r>
    </w:p>
    <w:p>
      <w:pPr>
        <w:pStyle w:val="13"/>
        <w:spacing w:before="9"/>
        <w:rPr>
          <w:color w:val="000000" w:themeColor="text1"/>
          <w:sz w:val="17"/>
          <w:highlight w:val="none"/>
          <w14:textFill>
            <w14:solidFill>
              <w14:schemeClr w14:val="tx1"/>
            </w14:solidFill>
          </w14:textFill>
        </w:rPr>
      </w:pPr>
    </w:p>
    <w:p>
      <w:pPr>
        <w:pStyle w:val="31"/>
        <w:numPr>
          <w:ilvl w:val="1"/>
          <w:numId w:val="1"/>
        </w:numPr>
        <w:tabs>
          <w:tab w:val="left" w:pos="953"/>
        </w:tabs>
        <w:spacing w:before="0"/>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《政府采购促进中小企业发展暂行办法》（财库[2011]181</w:t>
      </w:r>
      <w:r>
        <w:rPr>
          <w:color w:val="000000" w:themeColor="text1"/>
          <w:spacing w:val="-27"/>
          <w:sz w:val="21"/>
          <w:highlight w:val="none"/>
          <w14:textFill>
            <w14:solidFill>
              <w14:schemeClr w14:val="tx1"/>
            </w14:solidFill>
          </w14:textFill>
        </w:rPr>
        <w:t xml:space="preserve"> 号</w:t>
      </w:r>
      <w:r>
        <w:rPr>
          <w:color w:val="000000" w:themeColor="text1"/>
          <w:sz w:val="21"/>
          <w:highlight w:val="none"/>
          <w14:textFill>
            <w14:solidFill>
              <w14:schemeClr w14:val="tx1"/>
            </w14:solidFill>
          </w14:textFill>
        </w:rPr>
        <w:t>）。</w:t>
      </w:r>
    </w:p>
    <w:p>
      <w:pPr>
        <w:pStyle w:val="31"/>
        <w:numPr>
          <w:ilvl w:val="1"/>
          <w:numId w:val="1"/>
        </w:numPr>
        <w:tabs>
          <w:tab w:val="left" w:pos="953"/>
        </w:tabs>
        <w:spacing w:before="53"/>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《关于政府采购支持监狱企业发展有关问题的通知》(财库[2014]68</w:t>
      </w:r>
      <w:r>
        <w:rPr>
          <w:color w:val="000000" w:themeColor="text1"/>
          <w:spacing w:val="-15"/>
          <w:sz w:val="21"/>
          <w:highlight w:val="none"/>
          <w14:textFill>
            <w14:solidFill>
              <w14:schemeClr w14:val="tx1"/>
            </w14:solidFill>
          </w14:textFill>
        </w:rPr>
        <w:t xml:space="preserve"> 号)。</w:t>
      </w:r>
    </w:p>
    <w:p>
      <w:pPr>
        <w:pStyle w:val="13"/>
        <w:spacing w:before="7"/>
        <w:rPr>
          <w:color w:val="000000" w:themeColor="text1"/>
          <w:sz w:val="17"/>
          <w:highlight w:val="none"/>
          <w14:textFill>
            <w14:solidFill>
              <w14:schemeClr w14:val="tx1"/>
            </w14:solidFill>
          </w14:textFill>
        </w:rPr>
      </w:pPr>
    </w:p>
    <w:p>
      <w:pPr>
        <w:pStyle w:val="31"/>
        <w:numPr>
          <w:ilvl w:val="1"/>
          <w:numId w:val="1"/>
        </w:numPr>
        <w:tabs>
          <w:tab w:val="left" w:pos="953"/>
        </w:tabs>
        <w:spacing w:before="0"/>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《关于促进残疾人就业政府采购政策的通知》（财库〔2017〕141</w:t>
      </w:r>
      <w:r>
        <w:rPr>
          <w:color w:val="000000" w:themeColor="text1"/>
          <w:spacing w:val="-28"/>
          <w:sz w:val="21"/>
          <w:highlight w:val="none"/>
          <w14:textFill>
            <w14:solidFill>
              <w14:schemeClr w14:val="tx1"/>
            </w14:solidFill>
          </w14:textFill>
        </w:rPr>
        <w:t xml:space="preserve"> 号</w:t>
      </w:r>
      <w:r>
        <w:rPr>
          <w:color w:val="000000" w:themeColor="text1"/>
          <w:sz w:val="21"/>
          <w:highlight w:val="none"/>
          <w14:textFill>
            <w14:solidFill>
              <w14:schemeClr w14:val="tx1"/>
            </w14:solidFill>
          </w14:textFill>
        </w:rPr>
        <w:t>）。</w:t>
      </w:r>
    </w:p>
    <w:p>
      <w:pPr>
        <w:pStyle w:val="13"/>
        <w:spacing w:before="10"/>
        <w:rPr>
          <w:color w:val="000000" w:themeColor="text1"/>
          <w:sz w:val="17"/>
          <w:highlight w:val="none"/>
          <w14:textFill>
            <w14:solidFill>
              <w14:schemeClr w14:val="tx1"/>
            </w14:solidFill>
          </w14:textFill>
        </w:rPr>
      </w:pPr>
    </w:p>
    <w:p>
      <w:pPr>
        <w:pStyle w:val="31"/>
        <w:numPr>
          <w:ilvl w:val="1"/>
          <w:numId w:val="2"/>
        </w:numPr>
        <w:tabs>
          <w:tab w:val="left" w:pos="1059"/>
        </w:tabs>
        <w:spacing w:before="0"/>
        <w:ind w:hanging="42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《环保总局关于环境标志产品政府采购实施的意见》（财库〔2006〕90</w:t>
      </w:r>
      <w:r>
        <w:rPr>
          <w:color w:val="000000" w:themeColor="text1"/>
          <w:spacing w:val="-27"/>
          <w:sz w:val="21"/>
          <w:highlight w:val="none"/>
          <w14:textFill>
            <w14:solidFill>
              <w14:schemeClr w14:val="tx1"/>
            </w14:solidFill>
          </w14:textFill>
        </w:rPr>
        <w:t xml:space="preserve"> 号</w:t>
      </w:r>
      <w:r>
        <w:rPr>
          <w:color w:val="000000" w:themeColor="text1"/>
          <w:sz w:val="21"/>
          <w:highlight w:val="none"/>
          <w14:textFill>
            <w14:solidFill>
              <w14:schemeClr w14:val="tx1"/>
            </w14:solidFill>
          </w14:textFill>
        </w:rPr>
        <w:t>）。</w:t>
      </w:r>
    </w:p>
    <w:p>
      <w:pPr>
        <w:pStyle w:val="13"/>
        <w:spacing w:before="10"/>
        <w:rPr>
          <w:color w:val="000000" w:themeColor="text1"/>
          <w:sz w:val="17"/>
          <w:highlight w:val="none"/>
          <w14:textFill>
            <w14:solidFill>
              <w14:schemeClr w14:val="tx1"/>
            </w14:solidFill>
          </w14:textFill>
        </w:rPr>
      </w:pPr>
    </w:p>
    <w:p>
      <w:pPr>
        <w:pStyle w:val="31"/>
        <w:numPr>
          <w:ilvl w:val="1"/>
          <w:numId w:val="2"/>
        </w:numPr>
        <w:tabs>
          <w:tab w:val="left" w:pos="1059"/>
        </w:tabs>
        <w:spacing w:before="0"/>
        <w:ind w:hanging="424"/>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《节能产品政府采购实施的意见》（财库〔2004）185</w:t>
      </w:r>
      <w:r>
        <w:rPr>
          <w:color w:val="000000" w:themeColor="text1"/>
          <w:spacing w:val="-28"/>
          <w:sz w:val="21"/>
          <w:highlight w:val="none"/>
          <w14:textFill>
            <w14:solidFill>
              <w14:schemeClr w14:val="tx1"/>
            </w14:solidFill>
          </w14:textFill>
        </w:rPr>
        <w:t xml:space="preserve"> 号</w:t>
      </w:r>
      <w:r>
        <w:rPr>
          <w:color w:val="000000" w:themeColor="text1"/>
          <w:sz w:val="21"/>
          <w:highlight w:val="none"/>
          <w14:textFill>
            <w14:solidFill>
              <w14:schemeClr w14:val="tx1"/>
            </w14:solidFill>
          </w14:textFill>
        </w:rPr>
        <w:t>）等政府采购相关政策。</w:t>
      </w:r>
    </w:p>
    <w:p>
      <w:pPr>
        <w:pStyle w:val="13"/>
        <w:spacing w:before="10"/>
        <w:rPr>
          <w:color w:val="000000" w:themeColor="text1"/>
          <w:sz w:val="17"/>
          <w:highlight w:val="none"/>
          <w14:textFill>
            <w14:solidFill>
              <w14:schemeClr w14:val="tx1"/>
            </w14:solidFill>
          </w14:textFill>
        </w:rPr>
      </w:pPr>
    </w:p>
    <w:p>
      <w:pPr>
        <w:pStyle w:val="31"/>
        <w:numPr>
          <w:ilvl w:val="0"/>
          <w:numId w:val="1"/>
        </w:numPr>
        <w:tabs>
          <w:tab w:val="left" w:pos="848"/>
        </w:tabs>
        <w:spacing w:before="0" w:line="444" w:lineRule="auto"/>
        <w:ind w:left="215" w:right="316" w:firstLine="420"/>
        <w:jc w:val="both"/>
        <w:rPr>
          <w:color w:val="000000" w:themeColor="text1"/>
          <w:sz w:val="19"/>
          <w:highlight w:val="none"/>
          <w14:textFill>
            <w14:solidFill>
              <w14:schemeClr w14:val="tx1"/>
            </w14:solidFill>
          </w14:textFill>
        </w:rPr>
      </w:pPr>
      <w:r>
        <w:rPr>
          <w:color w:val="000000" w:themeColor="text1"/>
          <w:sz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pStyle w:val="31"/>
        <w:numPr>
          <w:ilvl w:val="0"/>
          <w:numId w:val="1"/>
        </w:numPr>
        <w:tabs>
          <w:tab w:val="left" w:pos="848"/>
        </w:tabs>
        <w:spacing w:before="0" w:line="444" w:lineRule="auto"/>
        <w:ind w:left="215" w:right="212" w:firstLine="420"/>
        <w:rPr>
          <w:color w:val="000000" w:themeColor="text1"/>
          <w:sz w:val="19"/>
          <w:highlight w:val="none"/>
          <w14:textFill>
            <w14:solidFill>
              <w14:schemeClr w14:val="tx1"/>
            </w14:solidFill>
          </w14:textFill>
        </w:rPr>
      </w:pPr>
      <w:r>
        <w:rPr>
          <w:color w:val="000000" w:themeColor="text1"/>
          <w:sz w:val="21"/>
          <w:highlight w:val="none"/>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w:t>
      </w:r>
      <w:r>
        <w:rPr>
          <w:color w:val="000000" w:themeColor="text1"/>
          <w:spacing w:val="-8"/>
          <w:w w:val="95"/>
          <w:sz w:val="21"/>
          <w:highlight w:val="none"/>
          <w14:textFill>
            <w14:solidFill>
              <w14:schemeClr w14:val="tx1"/>
            </w14:solidFill>
          </w14:textFill>
        </w:rPr>
        <w:t xml:space="preserve">   </w:t>
      </w:r>
      <w:r>
        <w:rPr>
          <w:color w:val="000000" w:themeColor="text1"/>
          <w:spacing w:val="-8"/>
          <w:sz w:val="21"/>
          <w:highlight w:val="none"/>
          <w14:textFill>
            <w14:solidFill>
              <w14:schemeClr w14:val="tx1"/>
            </w14:solidFill>
          </w14:textFill>
        </w:rPr>
        <w:t>检测等服务的投标人，不得再参加该采购项目的其他采购活动。</w:t>
      </w:r>
    </w:p>
    <w:p>
      <w:pPr>
        <w:pStyle w:val="7"/>
        <w:spacing w:line="266" w:lineRule="exact"/>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三、获取招标文件：</w:t>
      </w:r>
    </w:p>
    <w:p>
      <w:pPr>
        <w:pStyle w:val="13"/>
        <w:spacing w:before="4"/>
        <w:rPr>
          <w:b/>
          <w:color w:val="000000" w:themeColor="text1"/>
          <w:sz w:val="17"/>
          <w:highlight w:val="none"/>
          <w14:textFill>
            <w14:solidFill>
              <w14:schemeClr w14:val="tx1"/>
            </w14:solidFill>
          </w14:textFill>
        </w:rPr>
      </w:pPr>
    </w:p>
    <w:p>
      <w:pPr>
        <w:pStyle w:val="13"/>
        <w:spacing w:before="1"/>
        <w:ind w:left="7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时间：</w:t>
      </w:r>
      <w:r>
        <w:rPr>
          <w:color w:val="000000" w:themeColor="text1"/>
          <w:highlight w:val="none"/>
          <w:u w:val="single"/>
          <w14:textFill>
            <w14:solidFill>
              <w14:schemeClr w14:val="tx1"/>
            </w14:solidFill>
          </w14:textFill>
        </w:rPr>
        <w:t>2020 年</w:t>
      </w:r>
      <w:r>
        <w:rPr>
          <w:rFonts w:hint="eastAsia"/>
          <w:color w:val="000000" w:themeColor="text1"/>
          <w:highlight w:val="none"/>
          <w:u w:val="single"/>
          <w:lang w:val="en-US" w:eastAsia="zh-CN"/>
          <w14:textFill>
            <w14:solidFill>
              <w14:schemeClr w14:val="tx1"/>
            </w14:solidFill>
          </w14:textFill>
        </w:rPr>
        <w:t>8</w:t>
      </w:r>
      <w:r>
        <w:rPr>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11</w:t>
      </w:r>
      <w:r>
        <w:rPr>
          <w:color w:val="000000" w:themeColor="text1"/>
          <w:highlight w:val="none"/>
          <w:u w:val="single"/>
          <w14:textFill>
            <w14:solidFill>
              <w14:schemeClr w14:val="tx1"/>
            </w14:solidFill>
          </w14:textFill>
        </w:rPr>
        <w:t>日</w:t>
      </w:r>
      <w:r>
        <w:rPr>
          <w:color w:val="000000" w:themeColor="text1"/>
          <w:highlight w:val="none"/>
          <w14:textFill>
            <w14:solidFill>
              <w14:schemeClr w14:val="tx1"/>
            </w14:solidFill>
          </w14:textFill>
        </w:rPr>
        <w:t xml:space="preserve">至 </w:t>
      </w:r>
      <w:r>
        <w:rPr>
          <w:color w:val="000000" w:themeColor="text1"/>
          <w:highlight w:val="none"/>
          <w:u w:val="single"/>
          <w14:textFill>
            <w14:solidFill>
              <w14:schemeClr w14:val="tx1"/>
            </w14:solidFill>
          </w14:textFill>
        </w:rPr>
        <w:t>2020 年</w:t>
      </w:r>
      <w:r>
        <w:rPr>
          <w:rFonts w:hint="eastAsia"/>
          <w:color w:val="000000" w:themeColor="text1"/>
          <w:highlight w:val="none"/>
          <w:u w:val="single"/>
          <w:lang w:val="en-US" w:eastAsia="zh-CN"/>
          <w14:textFill>
            <w14:solidFill>
              <w14:schemeClr w14:val="tx1"/>
            </w14:solidFill>
          </w14:textFill>
        </w:rPr>
        <w:t>8</w:t>
      </w:r>
      <w:r>
        <w:rPr>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31</w:t>
      </w:r>
      <w:r>
        <w:rPr>
          <w:color w:val="000000" w:themeColor="text1"/>
          <w:highlight w:val="none"/>
          <w:u w:val="single"/>
          <w14:textFill>
            <w14:solidFill>
              <w14:schemeClr w14:val="tx1"/>
            </w14:solidFill>
          </w14:textFill>
        </w:rPr>
        <w:t>日</w:t>
      </w:r>
    </w:p>
    <w:p>
      <w:pPr>
        <w:pStyle w:val="13"/>
        <w:spacing w:before="4"/>
        <w:rPr>
          <w:color w:val="000000" w:themeColor="text1"/>
          <w:sz w:val="12"/>
          <w:highlight w:val="none"/>
          <w14:textFill>
            <w14:solidFill>
              <w14:schemeClr w14:val="tx1"/>
            </w14:solidFill>
          </w14:textFill>
        </w:rPr>
      </w:pPr>
    </w:p>
    <w:p>
      <w:pPr>
        <w:pStyle w:val="13"/>
        <w:spacing w:before="70"/>
        <w:ind w:left="7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地点：桂林市公共资源交易中心网（</w:t>
      </w:r>
      <w:r>
        <w:rPr>
          <w:highlight w:val="none"/>
        </w:rPr>
        <w:fldChar w:fldCharType="begin"/>
      </w:r>
      <w:r>
        <w:rPr>
          <w:highlight w:val="none"/>
        </w:rPr>
        <w:instrText xml:space="preserve"> HYPERLINK "http://glggzy.org.cn/gxglzbw/" \h </w:instrText>
      </w:r>
      <w:r>
        <w:rPr>
          <w:highlight w:val="none"/>
        </w:rPr>
        <w:fldChar w:fldCharType="separate"/>
      </w:r>
      <w:r>
        <w:rPr>
          <w:color w:val="000000" w:themeColor="text1"/>
          <w:highlight w:val="none"/>
          <w14:textFill>
            <w14:solidFill>
              <w14:schemeClr w14:val="tx1"/>
            </w14:solidFill>
          </w14:textFill>
        </w:rPr>
        <w:t>http://glggzy.org.cn/gxglzbw/</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p>
    <w:p>
      <w:pPr>
        <w:pStyle w:val="13"/>
        <w:spacing w:before="9"/>
        <w:rPr>
          <w:color w:val="000000" w:themeColor="text1"/>
          <w:sz w:val="17"/>
          <w:highlight w:val="none"/>
          <w14:textFill>
            <w14:solidFill>
              <w14:schemeClr w14:val="tx1"/>
            </w14:solidFill>
          </w14:textFill>
        </w:rPr>
      </w:pPr>
    </w:p>
    <w:p>
      <w:pPr>
        <w:pStyle w:val="13"/>
        <w:spacing w:line="400" w:lineRule="exact"/>
        <w:ind w:left="7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方 式 ： 电子招标文件下载网址桂林市公共资源交易中心网（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"http://glggzy.org.cn/gxglzbw/"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http://glggzy.org.cn/gxg</w:t>
      </w:r>
    </w:p>
    <w:p>
      <w:pPr>
        <w:pStyle w:val="13"/>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lzbw/</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p>
    <w:p>
      <w:pPr>
        <w:pStyle w:val="13"/>
        <w:spacing w:line="400" w:lineRule="exact"/>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售价：免费领取。</w:t>
      </w:r>
    </w:p>
    <w:p>
      <w:pPr>
        <w:pStyle w:val="7"/>
        <w:spacing w:before="4"/>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四、提交投标文件截止时间、开标时间和地点：</w:t>
      </w:r>
    </w:p>
    <w:p>
      <w:pPr>
        <w:pStyle w:val="13"/>
        <w:spacing w:before="7"/>
        <w:rPr>
          <w:b/>
          <w:color w:val="000000" w:themeColor="text1"/>
          <w:sz w:val="17"/>
          <w:highlight w:val="none"/>
          <w14:textFill>
            <w14:solidFill>
              <w14:schemeClr w14:val="tx1"/>
            </w14:solidFill>
          </w14:textFill>
        </w:rPr>
      </w:pPr>
    </w:p>
    <w:p>
      <w:pPr>
        <w:ind w:left="635"/>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提交投标文件截止时间：</w:t>
      </w:r>
      <w:r>
        <w:rPr>
          <w:color w:val="000000" w:themeColor="text1"/>
          <w:sz w:val="21"/>
          <w:highlight w:val="none"/>
          <w:u w:val="single"/>
          <w14:textFill>
            <w14:solidFill>
              <w14:schemeClr w14:val="tx1"/>
            </w14:solidFill>
          </w14:textFill>
        </w:rPr>
        <w:t>2020 年</w:t>
      </w:r>
      <w:r>
        <w:rPr>
          <w:rFonts w:hint="eastAsia"/>
          <w:color w:val="000000" w:themeColor="text1"/>
          <w:sz w:val="21"/>
          <w:highlight w:val="none"/>
          <w:u w:val="single"/>
          <w:lang w:val="en-US" w:eastAsia="zh-CN"/>
          <w14:textFill>
            <w14:solidFill>
              <w14:schemeClr w14:val="tx1"/>
            </w14:solidFill>
          </w14:textFill>
        </w:rPr>
        <w:t>9</w:t>
      </w:r>
      <w:r>
        <w:rPr>
          <w:color w:val="000000" w:themeColor="text1"/>
          <w:sz w:val="21"/>
          <w:highlight w:val="none"/>
          <w:u w:val="single"/>
          <w14:textFill>
            <w14:solidFill>
              <w14:schemeClr w14:val="tx1"/>
            </w14:solidFill>
          </w14:textFill>
        </w:rPr>
        <w:t>月</w:t>
      </w:r>
      <w:r>
        <w:rPr>
          <w:rFonts w:hint="eastAsia"/>
          <w:color w:val="000000" w:themeColor="text1"/>
          <w:sz w:val="21"/>
          <w:highlight w:val="none"/>
          <w:u w:val="single"/>
          <w:lang w:val="en-US" w:eastAsia="zh-CN"/>
          <w14:textFill>
            <w14:solidFill>
              <w14:schemeClr w14:val="tx1"/>
            </w14:solidFill>
          </w14:textFill>
        </w:rPr>
        <w:t>1</w:t>
      </w:r>
      <w:r>
        <w:rPr>
          <w:color w:val="000000" w:themeColor="text1"/>
          <w:sz w:val="21"/>
          <w:highlight w:val="none"/>
          <w:u w:val="single"/>
          <w14:textFill>
            <w14:solidFill>
              <w14:schemeClr w14:val="tx1"/>
            </w14:solidFill>
          </w14:textFill>
        </w:rPr>
        <w:t>日</w:t>
      </w:r>
      <w:r>
        <w:rPr>
          <w:rFonts w:hint="eastAsia"/>
          <w:color w:val="000000" w:themeColor="text1"/>
          <w:sz w:val="21"/>
          <w:highlight w:val="none"/>
          <w:u w:val="single"/>
          <w:lang w:val="en-US" w:eastAsia="zh-CN"/>
          <w14:textFill>
            <w14:solidFill>
              <w14:schemeClr w14:val="tx1"/>
            </w14:solidFill>
          </w14:textFill>
        </w:rPr>
        <w:t xml:space="preserve"> 9</w:t>
      </w:r>
      <w:r>
        <w:rPr>
          <w:color w:val="000000" w:themeColor="text1"/>
          <w:sz w:val="21"/>
          <w:highlight w:val="none"/>
          <w:u w:val="single"/>
          <w14:textFill>
            <w14:solidFill>
              <w14:schemeClr w14:val="tx1"/>
            </w14:solidFill>
          </w14:textFill>
        </w:rPr>
        <w:t xml:space="preserve"> 时</w:t>
      </w:r>
      <w:r>
        <w:rPr>
          <w:rFonts w:hint="eastAsia"/>
          <w:color w:val="000000" w:themeColor="text1"/>
          <w:sz w:val="21"/>
          <w:highlight w:val="none"/>
          <w:u w:val="single"/>
          <w:lang w:val="en-US" w:eastAsia="zh-CN"/>
          <w14:textFill>
            <w14:solidFill>
              <w14:schemeClr w14:val="tx1"/>
            </w14:solidFill>
          </w14:textFill>
        </w:rPr>
        <w:t>30</w:t>
      </w:r>
      <w:r>
        <w:rPr>
          <w:color w:val="000000" w:themeColor="text1"/>
          <w:sz w:val="21"/>
          <w:highlight w:val="none"/>
          <w:u w:val="single"/>
          <w14:textFill>
            <w14:solidFill>
              <w14:schemeClr w14:val="tx1"/>
            </w14:solidFill>
          </w14:textFill>
        </w:rPr>
        <w:t>分（北京时间）。</w:t>
      </w:r>
    </w:p>
    <w:p>
      <w:pPr>
        <w:pStyle w:val="13"/>
        <w:spacing w:before="5"/>
        <w:rPr>
          <w:color w:val="000000" w:themeColor="text1"/>
          <w:sz w:val="12"/>
          <w:highlight w:val="none"/>
          <w14:textFill>
            <w14:solidFill>
              <w14:schemeClr w14:val="tx1"/>
            </w14:solidFill>
          </w14:textFill>
        </w:rPr>
      </w:pPr>
    </w:p>
    <w:p>
      <w:pPr>
        <w:pStyle w:val="13"/>
        <w:spacing w:before="69"/>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地点：</w:t>
      </w:r>
      <w:r>
        <w:rPr>
          <w:color w:val="000000" w:themeColor="text1"/>
          <w:highlight w:val="none"/>
          <w:u w:val="single"/>
          <w14:textFill>
            <w14:solidFill>
              <w14:schemeClr w14:val="tx1"/>
            </w14:solidFill>
          </w14:textFill>
        </w:rPr>
        <w:t>桂林市公共资源交易中心（临桂新区西城中路 69 号西辅楼四楼）</w:t>
      </w:r>
      <w:r>
        <w:rPr>
          <w:rFonts w:hint="eastAsia"/>
          <w:color w:val="000000" w:themeColor="text1"/>
          <w:highlight w:val="none"/>
          <w:u w:val="single"/>
          <w:lang w:val="en-US" w:eastAsia="zh-CN"/>
          <w14:textFill>
            <w14:solidFill>
              <w14:schemeClr w14:val="tx1"/>
            </w14:solidFill>
          </w14:textFill>
        </w:rPr>
        <w:t xml:space="preserve">7 </w:t>
      </w:r>
      <w:r>
        <w:rPr>
          <w:color w:val="000000" w:themeColor="text1"/>
          <w:highlight w:val="none"/>
          <w:u w:val="single"/>
          <w14:textFill>
            <w14:solidFill>
              <w14:schemeClr w14:val="tx1"/>
            </w14:solidFill>
          </w14:textFill>
        </w:rPr>
        <w:t>号开标室。</w:t>
      </w:r>
    </w:p>
    <w:p>
      <w:pPr>
        <w:pStyle w:val="13"/>
        <w:spacing w:before="5"/>
        <w:rPr>
          <w:color w:val="000000" w:themeColor="text1"/>
          <w:sz w:val="12"/>
          <w:highlight w:val="none"/>
          <w14:textFill>
            <w14:solidFill>
              <w14:schemeClr w14:val="tx1"/>
            </w14:solidFill>
          </w14:textFill>
        </w:rPr>
      </w:pPr>
    </w:p>
    <w:p>
      <w:pPr>
        <w:spacing w:before="69" w:line="444" w:lineRule="auto"/>
        <w:ind w:left="215" w:right="5360" w:firstLine="420"/>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开标时间：同提交投标文件截止时间。</w:t>
      </w:r>
      <w:r>
        <w:rPr>
          <w:b/>
          <w:bCs/>
          <w:color w:val="000000" w:themeColor="text1"/>
          <w:sz w:val="21"/>
          <w:szCs w:val="21"/>
          <w:highlight w:val="none"/>
          <w14:textFill>
            <w14:solidFill>
              <w14:schemeClr w14:val="tx1"/>
            </w14:solidFill>
          </w14:textFill>
        </w:rPr>
        <w:t>五、公告期限：</w:t>
      </w:r>
    </w:p>
    <w:p>
      <w:pPr>
        <w:spacing w:line="444" w:lineRule="auto"/>
        <w:ind w:left="215" w:right="5779" w:firstLine="420"/>
        <w:rPr>
          <w:b/>
          <w:bCs/>
          <w:color w:val="000000" w:themeColor="text1"/>
          <w:sz w:val="21"/>
          <w:szCs w:val="21"/>
          <w:highlight w:val="none"/>
          <w14:textFill>
            <w14:solidFill>
              <w14:schemeClr w14:val="tx1"/>
            </w14:solidFill>
          </w14:textFill>
        </w:rPr>
      </w:pPr>
      <w:r>
        <w:rPr>
          <w:color w:val="000000" w:themeColor="text1"/>
          <w:spacing w:val="-6"/>
          <w:sz w:val="21"/>
          <w:highlight w:val="none"/>
          <w14:textFill>
            <w14:solidFill>
              <w14:schemeClr w14:val="tx1"/>
            </w14:solidFill>
          </w14:textFill>
        </w:rPr>
        <w:t xml:space="preserve">自本公告发布之日起 </w:t>
      </w:r>
      <w:r>
        <w:rPr>
          <w:color w:val="000000" w:themeColor="text1"/>
          <w:sz w:val="21"/>
          <w:highlight w:val="none"/>
          <w14:textFill>
            <w14:solidFill>
              <w14:schemeClr w14:val="tx1"/>
            </w14:solidFill>
          </w14:textFill>
        </w:rPr>
        <w:t>5</w:t>
      </w:r>
      <w:r>
        <w:rPr>
          <w:color w:val="000000" w:themeColor="text1"/>
          <w:spacing w:val="-12"/>
          <w:sz w:val="21"/>
          <w:highlight w:val="none"/>
          <w14:textFill>
            <w14:solidFill>
              <w14:schemeClr w14:val="tx1"/>
            </w14:solidFill>
          </w14:textFill>
        </w:rPr>
        <w:t xml:space="preserve"> 个工作日。</w:t>
      </w:r>
      <w:r>
        <w:rPr>
          <w:b/>
          <w:bCs/>
          <w:color w:val="000000" w:themeColor="text1"/>
          <w:sz w:val="21"/>
          <w:szCs w:val="21"/>
          <w:highlight w:val="none"/>
          <w14:textFill>
            <w14:solidFill>
              <w14:schemeClr w14:val="tx1"/>
            </w14:solidFill>
          </w14:textFill>
        </w:rPr>
        <w:t>六、其他补充事宜：</w:t>
      </w:r>
    </w:p>
    <w:p>
      <w:pPr>
        <w:pStyle w:val="7"/>
        <w:spacing w:line="265" w:lineRule="exact"/>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信息公告发布媒体</w:t>
      </w:r>
      <w:r>
        <w:rPr>
          <w:b w:val="0"/>
          <w:color w:val="000000" w:themeColor="text1"/>
          <w:highlight w:val="none"/>
          <w14:textFill>
            <w14:solidFill>
              <w14:schemeClr w14:val="tx1"/>
            </w14:solidFill>
          </w14:textFill>
        </w:rPr>
        <w:t>：</w:t>
      </w:r>
    </w:p>
    <w:p>
      <w:pPr>
        <w:pStyle w:val="13"/>
        <w:spacing w:before="11"/>
        <w:rPr>
          <w:color w:val="000000" w:themeColor="text1"/>
          <w:sz w:val="17"/>
          <w:highlight w:val="none"/>
          <w14:textFill>
            <w14:solidFill>
              <w14:schemeClr w14:val="tx1"/>
            </w14:solidFill>
          </w14:textFill>
        </w:rPr>
      </w:pPr>
    </w:p>
    <w:p>
      <w:pPr>
        <w:pStyle w:val="13"/>
        <w:ind w:left="635"/>
        <w:rPr>
          <w:color w:val="000000" w:themeColor="text1"/>
          <w:highlight w:val="none"/>
          <w14:textFill>
            <w14:solidFill>
              <w14:schemeClr w14:val="tx1"/>
            </w14:solidFill>
          </w14:textFill>
        </w:rPr>
      </w:pPr>
      <w:r>
        <w:rPr>
          <w:color w:val="000000" w:themeColor="text1"/>
          <w:spacing w:val="-18"/>
          <w:highlight w:val="none"/>
          <w14:textFill>
            <w14:solidFill>
              <w14:schemeClr w14:val="tx1"/>
            </w14:solidFill>
          </w14:textFill>
        </w:rPr>
        <w:t xml:space="preserve">中 国 政 府 采 购 网 </w:t>
      </w:r>
      <w:r>
        <w:rPr>
          <w:color w:val="000000" w:themeColor="text1"/>
          <w:highlight w:val="none"/>
          <w14:textFill>
            <w14:solidFill>
              <w14:schemeClr w14:val="tx1"/>
            </w14:solidFill>
          </w14:textFill>
        </w:rPr>
        <w:t xml:space="preserve">（ </w:t>
      </w:r>
      <w:r>
        <w:rPr>
          <w:highlight w:val="none"/>
        </w:rPr>
        <w:fldChar w:fldCharType="begin"/>
      </w:r>
      <w:r>
        <w:rPr>
          <w:highlight w:val="none"/>
        </w:rPr>
        <w:instrText xml:space="preserve"> HYPERLINK "http://www.ccgp.gov.cn/" \h </w:instrText>
      </w:r>
      <w:r>
        <w:rPr>
          <w:highlight w:val="none"/>
        </w:rPr>
        <w:fldChar w:fldCharType="separate"/>
      </w:r>
      <w:r>
        <w:rPr>
          <w:color w:val="000000" w:themeColor="text1"/>
          <w:highlight w:val="none"/>
          <w14:textFill>
            <w14:solidFill>
              <w14:schemeClr w14:val="tx1"/>
            </w14:solidFill>
          </w14:textFill>
        </w:rPr>
        <w:t xml:space="preserve">http://www.ccgp.gov.cn </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r>
        <w:rPr>
          <w:color w:val="000000" w:themeColor="text1"/>
          <w:spacing w:val="-22"/>
          <w:highlight w:val="none"/>
          <w14:textFill>
            <w14:solidFill>
              <w14:schemeClr w14:val="tx1"/>
            </w14:solidFill>
          </w14:textFill>
        </w:rPr>
        <w:t xml:space="preserve"> 、 广 西 壮 族 自 治 区 政 府 采 购 网</w:t>
      </w:r>
    </w:p>
    <w:p>
      <w:pPr>
        <w:pStyle w:val="13"/>
        <w:spacing w:before="7"/>
        <w:rPr>
          <w:color w:val="000000" w:themeColor="text1"/>
          <w:sz w:val="17"/>
          <w:highlight w:val="none"/>
          <w14:textFill>
            <w14:solidFill>
              <w14:schemeClr w14:val="tx1"/>
            </w14:solidFill>
          </w14:textFill>
        </w:rPr>
      </w:pPr>
    </w:p>
    <w:p>
      <w:pPr>
        <w:spacing w:line="444" w:lineRule="auto"/>
        <w:ind w:left="215" w:right="107"/>
        <w:rPr>
          <w:color w:val="000000" w:themeColor="text1"/>
          <w:spacing w:val="-22"/>
          <w:sz w:val="21"/>
          <w:szCs w:val="21"/>
          <w:highlight w:val="none"/>
          <w14:textFill>
            <w14:solidFill>
              <w14:schemeClr w14:val="tx1"/>
            </w14:solidFill>
          </w14:textFill>
        </w:rPr>
      </w:pPr>
      <w:r>
        <w:rPr>
          <w:color w:val="000000" w:themeColor="text1"/>
          <w:spacing w:val="-22"/>
          <w:sz w:val="21"/>
          <w:szCs w:val="21"/>
          <w:highlight w:val="none"/>
          <w14:textFill>
            <w14:solidFill>
              <w14:schemeClr w14:val="tx1"/>
            </w14:solidFill>
          </w14:textFill>
        </w:rPr>
        <w:t>（</w:t>
      </w:r>
      <w:r>
        <w:rPr>
          <w:highlight w:val="none"/>
        </w:rPr>
        <w:fldChar w:fldCharType="begin"/>
      </w:r>
      <w:r>
        <w:rPr>
          <w:highlight w:val="none"/>
        </w:rPr>
        <w:instrText xml:space="preserve"> HYPERLINK "http://zfcg.gxzf.gov.cn/" \h </w:instrText>
      </w:r>
      <w:r>
        <w:rPr>
          <w:highlight w:val="none"/>
        </w:rPr>
        <w:fldChar w:fldCharType="separate"/>
      </w:r>
      <w:r>
        <w:rPr>
          <w:color w:val="000000" w:themeColor="text1"/>
          <w:spacing w:val="-22"/>
          <w:sz w:val="21"/>
          <w:szCs w:val="21"/>
          <w:highlight w:val="none"/>
          <w14:textFill>
            <w14:solidFill>
              <w14:schemeClr w14:val="tx1"/>
            </w14:solidFill>
          </w14:textFill>
        </w:rPr>
        <w:t>http://zfcg.gxzf.gov.cn/</w:t>
      </w:r>
      <w:r>
        <w:rPr>
          <w:color w:val="000000" w:themeColor="text1"/>
          <w:spacing w:val="-22"/>
          <w:sz w:val="21"/>
          <w:szCs w:val="21"/>
          <w:highlight w:val="none"/>
          <w14:textFill>
            <w14:solidFill>
              <w14:schemeClr w14:val="tx1"/>
            </w14:solidFill>
          </w14:textFill>
        </w:rPr>
        <w:fldChar w:fldCharType="end"/>
      </w:r>
      <w:r>
        <w:rPr>
          <w:color w:val="000000" w:themeColor="text1"/>
          <w:spacing w:val="-22"/>
          <w:sz w:val="21"/>
          <w:szCs w:val="21"/>
          <w:highlight w:val="none"/>
          <w14:textFill>
            <w14:solidFill>
              <w14:schemeClr w14:val="tx1"/>
            </w14:solidFill>
          </w14:textFill>
        </w:rPr>
        <w:t>）</w:t>
      </w:r>
      <w:r>
        <w:rPr>
          <w:color w:val="000000" w:themeColor="text1"/>
          <w:spacing w:val="0"/>
          <w:sz w:val="21"/>
          <w:szCs w:val="21"/>
          <w:highlight w:val="none"/>
          <w14:textFill>
            <w14:solidFill>
              <w14:schemeClr w14:val="tx1"/>
            </w14:solidFill>
          </w14:textFill>
        </w:rPr>
        <w:t>、桂林市公共资源交易中心网（</w:t>
      </w:r>
      <w:r>
        <w:rPr>
          <w:spacing w:val="0"/>
          <w:highlight w:val="none"/>
        </w:rPr>
        <w:fldChar w:fldCharType="begin"/>
      </w:r>
      <w:r>
        <w:rPr>
          <w:spacing w:val="0"/>
          <w:highlight w:val="none"/>
        </w:rPr>
        <w:instrText xml:space="preserve"> HYPERLINK "http://glggzy.org.cn/gxglzbw/" \h </w:instrText>
      </w:r>
      <w:r>
        <w:rPr>
          <w:spacing w:val="0"/>
          <w:highlight w:val="none"/>
        </w:rPr>
        <w:fldChar w:fldCharType="separate"/>
      </w:r>
      <w:r>
        <w:rPr>
          <w:color w:val="000000" w:themeColor="text1"/>
          <w:spacing w:val="0"/>
          <w:sz w:val="21"/>
          <w:szCs w:val="21"/>
          <w:highlight w:val="none"/>
          <w14:textFill>
            <w14:solidFill>
              <w14:schemeClr w14:val="tx1"/>
            </w14:solidFill>
          </w14:textFill>
        </w:rPr>
        <w:t>http://glggzy.org.cn/gxglzbw/</w:t>
      </w:r>
      <w:r>
        <w:rPr>
          <w:color w:val="000000" w:themeColor="text1"/>
          <w:spacing w:val="0"/>
          <w:sz w:val="21"/>
          <w:szCs w:val="21"/>
          <w:highlight w:val="none"/>
          <w14:textFill>
            <w14:solidFill>
              <w14:schemeClr w14:val="tx1"/>
            </w14:solidFill>
          </w14:textFill>
        </w:rPr>
        <w:fldChar w:fldCharType="end"/>
      </w:r>
      <w:r>
        <w:rPr>
          <w:color w:val="000000" w:themeColor="text1"/>
          <w:spacing w:val="-22"/>
          <w:sz w:val="21"/>
          <w:szCs w:val="21"/>
          <w:highlight w:val="none"/>
          <w14:textFill>
            <w14:solidFill>
              <w14:schemeClr w14:val="tx1"/>
            </w14:solidFill>
          </w14:textFill>
        </w:rPr>
        <w:t xml:space="preserve">）。   </w:t>
      </w:r>
    </w:p>
    <w:p>
      <w:pPr>
        <w:spacing w:line="444" w:lineRule="auto"/>
        <w:ind w:left="215" w:right="107"/>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七、对本次招标提出询问，请按以下方式联系。</w:t>
      </w:r>
    </w:p>
    <w:p>
      <w:pPr>
        <w:pStyle w:val="13"/>
        <w:spacing w:line="267" w:lineRule="exact"/>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1.采购人信息</w:t>
      </w:r>
    </w:p>
    <w:p>
      <w:pPr>
        <w:pStyle w:val="13"/>
        <w:spacing w:before="53"/>
        <w:ind w:left="635"/>
        <w:rPr>
          <w:color w:val="000000" w:themeColor="text1"/>
          <w:highlight w:val="none"/>
          <w14:textFill>
            <w14:solidFill>
              <w14:schemeClr w14:val="tx1"/>
            </w14:solidFill>
          </w14:textFill>
        </w:rPr>
      </w:pPr>
      <w:bookmarkStart w:id="3" w:name="第二章__投标人须知"/>
      <w:bookmarkEnd w:id="3"/>
      <w:r>
        <w:rPr>
          <w:color w:val="000000" w:themeColor="text1"/>
          <w:highlight w:val="none"/>
          <w14:textFill>
            <w14:solidFill>
              <w14:schemeClr w14:val="tx1"/>
            </w14:solidFill>
          </w14:textFill>
        </w:rPr>
        <w:t>名 称：</w:t>
      </w:r>
      <w:r>
        <w:rPr>
          <w:rFonts w:hint="eastAsia"/>
          <w:color w:val="000000" w:themeColor="text1"/>
          <w:highlight w:val="none"/>
          <w14:textFill>
            <w14:solidFill>
              <w14:schemeClr w14:val="tx1"/>
            </w14:solidFill>
          </w14:textFill>
        </w:rPr>
        <w:t>广西壮族自治区桂林生态环境监测中心</w:t>
      </w:r>
    </w:p>
    <w:p>
      <w:pPr>
        <w:pStyle w:val="13"/>
        <w:spacing w:before="7"/>
        <w:rPr>
          <w:color w:val="000000" w:themeColor="text1"/>
          <w:sz w:val="17"/>
          <w:highlight w:val="none"/>
          <w14:textFill>
            <w14:solidFill>
              <w14:schemeClr w14:val="tx1"/>
            </w14:solidFill>
          </w14:textFill>
        </w:rPr>
      </w:pPr>
    </w:p>
    <w:p>
      <w:pPr>
        <w:pStyle w:val="13"/>
        <w:ind w:left="635"/>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地址：</w:t>
      </w:r>
      <w:r>
        <w:rPr>
          <w:rFonts w:hint="eastAsia"/>
          <w:color w:val="000000" w:themeColor="text1"/>
          <w:highlight w:val="none"/>
          <w14:textFill>
            <w14:solidFill>
              <w14:schemeClr w14:val="tx1"/>
            </w14:solidFill>
          </w14:textFill>
        </w:rPr>
        <w:t>广西桂林市中山南路</w:t>
      </w:r>
      <w:r>
        <w:rPr>
          <w:rFonts w:hint="eastAsia"/>
          <w:color w:val="000000" w:themeColor="text1"/>
          <w:highlight w:val="none"/>
          <w:lang w:val="en-US"/>
          <w14:textFill>
            <w14:solidFill>
              <w14:schemeClr w14:val="tx1"/>
            </w14:solidFill>
          </w14:textFill>
        </w:rPr>
        <w:t>102号</w:t>
      </w:r>
    </w:p>
    <w:p>
      <w:pPr>
        <w:pStyle w:val="13"/>
        <w:spacing w:before="10"/>
        <w:rPr>
          <w:color w:val="000000" w:themeColor="text1"/>
          <w:sz w:val="17"/>
          <w:highlight w:val="none"/>
          <w14:textFill>
            <w14:solidFill>
              <w14:schemeClr w14:val="tx1"/>
            </w14:solidFill>
          </w14:textFill>
        </w:rPr>
      </w:pPr>
    </w:p>
    <w:p>
      <w:pPr>
        <w:pStyle w:val="13"/>
        <w:tabs>
          <w:tab w:val="left" w:pos="2527"/>
        </w:tabs>
        <w:spacing w:line="444" w:lineRule="auto"/>
        <w:ind w:left="635" w:right="4935"/>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联系方式：</w:t>
      </w:r>
      <w:r>
        <w:rPr>
          <w:rFonts w:hint="eastAsia"/>
          <w:color w:val="000000" w:themeColor="text1"/>
          <w:highlight w:val="none"/>
          <w14:textFill>
            <w14:solidFill>
              <w14:schemeClr w14:val="tx1"/>
            </w14:solidFill>
          </w14:textFill>
        </w:rPr>
        <w:t>谭先生</w:t>
      </w:r>
      <w:r>
        <w:rPr>
          <w:rFonts w:hint="eastAsia"/>
          <w:color w:val="000000" w:themeColor="text1"/>
          <w:highlight w:val="none"/>
          <w:lang w:val="en-US"/>
          <w14:textFill>
            <w14:solidFill>
              <w14:schemeClr w14:val="tx1"/>
            </w14:solidFill>
          </w14:textFill>
        </w:rPr>
        <w:t xml:space="preserve"> 0773-3832029</w:t>
      </w:r>
    </w:p>
    <w:p>
      <w:pPr>
        <w:pStyle w:val="13"/>
        <w:tabs>
          <w:tab w:val="left" w:pos="2527"/>
        </w:tabs>
        <w:spacing w:line="444" w:lineRule="auto"/>
        <w:ind w:left="635" w:right="49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2.采购代理机构信息</w:t>
      </w:r>
    </w:p>
    <w:p>
      <w:pPr>
        <w:pStyle w:val="13"/>
        <w:spacing w:line="267" w:lineRule="exact"/>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 称：</w:t>
      </w:r>
      <w:r>
        <w:rPr>
          <w:rFonts w:hint="eastAsia"/>
          <w:color w:val="000000" w:themeColor="text1"/>
          <w:highlight w:val="none"/>
          <w14:textFill>
            <w14:solidFill>
              <w14:schemeClr w14:val="tx1"/>
            </w14:solidFill>
          </w14:textFill>
        </w:rPr>
        <w:t>广西真诚工程咨询有限公司</w:t>
      </w:r>
    </w:p>
    <w:p>
      <w:pPr>
        <w:pStyle w:val="13"/>
        <w:spacing w:before="10"/>
        <w:rPr>
          <w:color w:val="000000" w:themeColor="text1"/>
          <w:sz w:val="17"/>
          <w:highlight w:val="none"/>
          <w14:textFill>
            <w14:solidFill>
              <w14:schemeClr w14:val="tx1"/>
            </w14:solidFill>
          </w14:textFill>
        </w:rPr>
      </w:pPr>
    </w:p>
    <w:p>
      <w:pPr>
        <w:pStyle w:val="13"/>
        <w:tabs>
          <w:tab w:val="left" w:pos="1055"/>
        </w:tabs>
        <w:spacing w:line="444" w:lineRule="auto"/>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hint="eastAsia"/>
          <w:color w:val="000000" w:themeColor="text1"/>
          <w:highlight w:val="none"/>
          <w:lang w:val="en-US"/>
          <w14:textFill>
            <w14:solidFill>
              <w14:schemeClr w14:val="tx1"/>
            </w14:solidFill>
          </w14:textFill>
        </w:rPr>
        <w:t>桂林市七星区七星路68号七星旅游商品批发城二期综合楼6栋2-11-1号</w:t>
      </w:r>
    </w:p>
    <w:p>
      <w:pPr>
        <w:pStyle w:val="13"/>
        <w:tabs>
          <w:tab w:val="left" w:pos="1055"/>
        </w:tabs>
        <w:spacing w:line="444" w:lineRule="auto"/>
        <w:ind w:left="635" w:right="504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联系方式：</w:t>
      </w:r>
      <w:r>
        <w:rPr>
          <w:rFonts w:hint="eastAsia"/>
          <w:color w:val="000000" w:themeColor="text1"/>
          <w:highlight w:val="none"/>
          <w14:textFill>
            <w14:solidFill>
              <w14:schemeClr w14:val="tx1"/>
            </w14:solidFill>
          </w14:textFill>
        </w:rPr>
        <w:t>陈工</w:t>
      </w:r>
      <w:r>
        <w:rPr>
          <w:color w:val="000000" w:themeColor="text1"/>
          <w:highlight w:val="none"/>
          <w14:textFill>
            <w14:solidFill>
              <w14:schemeClr w14:val="tx1"/>
            </w14:solidFill>
          </w14:textFill>
        </w:rPr>
        <w:t>、0773-</w:t>
      </w:r>
      <w:r>
        <w:rPr>
          <w:rFonts w:hint="eastAsia"/>
          <w:color w:val="000000" w:themeColor="text1"/>
          <w:highlight w:val="none"/>
          <w14:textFill>
            <w14:solidFill>
              <w14:schemeClr w14:val="tx1"/>
            </w14:solidFill>
          </w14:textFill>
        </w:rPr>
        <w:t>8991358</w:t>
      </w:r>
    </w:p>
    <w:p>
      <w:pPr>
        <w:pStyle w:val="13"/>
        <w:spacing w:line="265" w:lineRule="exact"/>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3.项目联系方式</w:t>
      </w:r>
    </w:p>
    <w:p>
      <w:pPr>
        <w:pStyle w:val="13"/>
        <w:spacing w:before="12"/>
        <w:rPr>
          <w:color w:val="000000" w:themeColor="text1"/>
          <w:sz w:val="17"/>
          <w:highlight w:val="none"/>
          <w14:textFill>
            <w14:solidFill>
              <w14:schemeClr w14:val="tx1"/>
            </w14:solidFill>
          </w14:textFill>
        </w:rPr>
      </w:pPr>
    </w:p>
    <w:p>
      <w:pPr>
        <w:pStyle w:val="13"/>
        <w:tabs>
          <w:tab w:val="left" w:pos="1055"/>
        </w:tabs>
        <w:spacing w:line="441" w:lineRule="auto"/>
        <w:ind w:left="635" w:right="68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陈工</w:t>
      </w:r>
      <w:r>
        <w:rPr>
          <w:color w:val="000000" w:themeColor="text1"/>
          <w:highlight w:val="none"/>
          <w14:textFill>
            <w14:solidFill>
              <w14:schemeClr w14:val="tx1"/>
            </w14:solidFill>
          </w14:textFill>
        </w:rPr>
        <w:t xml:space="preserve"> </w:t>
      </w:r>
    </w:p>
    <w:p>
      <w:pPr>
        <w:pStyle w:val="13"/>
        <w:tabs>
          <w:tab w:val="left" w:pos="1055"/>
        </w:tabs>
        <w:spacing w:line="441" w:lineRule="auto"/>
        <w:ind w:left="635" w:right="68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话：0773-</w:t>
      </w:r>
      <w:r>
        <w:rPr>
          <w:rFonts w:hint="eastAsia"/>
          <w:color w:val="000000" w:themeColor="text1"/>
          <w:highlight w:val="none"/>
          <w14:textFill>
            <w14:solidFill>
              <w14:schemeClr w14:val="tx1"/>
            </w14:solidFill>
          </w14:textFill>
        </w:rPr>
        <w:t>8991358</w:t>
      </w:r>
    </w:p>
    <w:p>
      <w:pPr>
        <w:pStyle w:val="13"/>
        <w:spacing w:before="7"/>
        <w:rPr>
          <w:color w:val="000000" w:themeColor="text1"/>
          <w:sz w:val="28"/>
          <w:highlight w:val="none"/>
          <w14:textFill>
            <w14:solidFill>
              <w14:schemeClr w14:val="tx1"/>
            </w14:solidFill>
          </w14:textFill>
        </w:rPr>
      </w:pPr>
    </w:p>
    <w:p>
      <w:pPr>
        <w:pStyle w:val="13"/>
        <w:spacing w:before="1"/>
        <w:ind w:right="316"/>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采购人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广西壮族自治区桂林生态环境监测中心</w:t>
      </w:r>
    </w:p>
    <w:p>
      <w:pPr>
        <w:pStyle w:val="13"/>
        <w:spacing w:before="1"/>
        <w:ind w:right="316"/>
        <w:jc w:val="center"/>
        <w:rPr>
          <w:color w:val="000000" w:themeColor="text1"/>
          <w:highlight w:val="none"/>
          <w14:textFill>
            <w14:solidFill>
              <w14:schemeClr w14:val="tx1"/>
            </w14:solidFill>
          </w14:textFill>
        </w:rPr>
      </w:pPr>
    </w:p>
    <w:p>
      <w:pPr>
        <w:pStyle w:val="13"/>
        <w:spacing w:before="1"/>
        <w:ind w:right="316"/>
        <w:jc w:val="cente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招标代理机构：</w:t>
      </w:r>
      <w:r>
        <w:rPr>
          <w:rFonts w:hint="eastAsia"/>
          <w:color w:val="000000" w:themeColor="text1"/>
          <w:highlight w:val="none"/>
          <w14:textFill>
            <w14:solidFill>
              <w14:schemeClr w14:val="tx1"/>
            </w14:solidFill>
          </w14:textFill>
        </w:rPr>
        <w:t>广西真诚工程咨询有限公司</w:t>
      </w:r>
    </w:p>
    <w:p>
      <w:pPr>
        <w:pStyle w:val="13"/>
        <w:spacing w:before="1"/>
        <w:ind w:right="316"/>
        <w:jc w:val="right"/>
        <w:rPr>
          <w:color w:val="000000" w:themeColor="text1"/>
          <w:highlight w:val="none"/>
          <w14:textFill>
            <w14:solidFill>
              <w14:schemeClr w14:val="tx1"/>
            </w14:solidFill>
          </w14:textFill>
        </w:rPr>
      </w:pPr>
    </w:p>
    <w:p>
      <w:pPr>
        <w:pStyle w:val="13"/>
        <w:spacing w:before="1"/>
        <w:ind w:right="316"/>
        <w:jc w:val="center"/>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2020</w:t>
      </w:r>
      <w:r>
        <w:rPr>
          <w:color w:val="000000" w:themeColor="text1"/>
          <w:spacing w:val="-19"/>
          <w:highlight w:val="none"/>
          <w14:textFill>
            <w14:solidFill>
              <w14:schemeClr w14:val="tx1"/>
            </w14:solidFill>
          </w14:textFill>
        </w:rPr>
        <w:t xml:space="preserve"> 年</w:t>
      </w:r>
      <w:r>
        <w:rPr>
          <w:rFonts w:hint="eastAsia"/>
          <w:color w:val="000000" w:themeColor="text1"/>
          <w:spacing w:val="-19"/>
          <w:highlight w:val="none"/>
          <w:lang w:val="en-US" w:eastAsia="zh-CN"/>
          <w14:textFill>
            <w14:solidFill>
              <w14:schemeClr w14:val="tx1"/>
            </w14:solidFill>
          </w14:textFill>
        </w:rPr>
        <w:t xml:space="preserve"> 8 </w:t>
      </w:r>
      <w:r>
        <w:rPr>
          <w:color w:val="000000" w:themeColor="text1"/>
          <w:spacing w:val="-2"/>
          <w:highlight w:val="none"/>
          <w14:textFill>
            <w14:solidFill>
              <w14:schemeClr w14:val="tx1"/>
            </w14:solidFill>
          </w14:textFill>
        </w:rPr>
        <w:t>月</w:t>
      </w:r>
      <w:r>
        <w:rPr>
          <w:rFonts w:hint="eastAsia"/>
          <w:color w:val="000000" w:themeColor="text1"/>
          <w:spacing w:val="-2"/>
          <w:highlight w:val="none"/>
          <w:lang w:val="en-US" w:eastAsia="zh-CN"/>
          <w14:textFill>
            <w14:solidFill>
              <w14:schemeClr w14:val="tx1"/>
            </w14:solidFill>
          </w14:textFill>
        </w:rPr>
        <w:t xml:space="preserve"> 11 </w:t>
      </w:r>
      <w:r>
        <w:rPr>
          <w:color w:val="000000" w:themeColor="text1"/>
          <w:highlight w:val="none"/>
          <w14:textFill>
            <w14:solidFill>
              <w14:schemeClr w14:val="tx1"/>
            </w14:solidFill>
          </w14:textFill>
        </w:rPr>
        <w:t>日</w:t>
      </w:r>
    </w:p>
    <w:p>
      <w:pPr>
        <w:jc w:val="right"/>
        <w:rPr>
          <w:color w:val="000000" w:themeColor="text1"/>
          <w:highlight w:val="none"/>
          <w14:textFill>
            <w14:solidFill>
              <w14:schemeClr w14:val="tx1"/>
            </w14:solidFill>
          </w14:textFill>
        </w:rPr>
        <w:sectPr>
          <w:footerReference r:id="rId4" w:type="default"/>
          <w:pgSz w:w="11910" w:h="16840"/>
          <w:pgMar w:top="1460" w:right="1140" w:bottom="900" w:left="1200" w:header="0" w:footer="640" w:gutter="0"/>
          <w:pgNumType w:start="1"/>
          <w:cols w:space="720" w:num="1"/>
        </w:sectPr>
      </w:pPr>
    </w:p>
    <w:p>
      <w:pPr>
        <w:pStyle w:val="4"/>
        <w:tabs>
          <w:tab w:val="left" w:pos="1766"/>
        </w:tabs>
        <w:spacing w:before="15"/>
        <w:rPr>
          <w:color w:val="000000" w:themeColor="text1"/>
          <w:highlight w:val="none"/>
          <w14:textFill>
            <w14:solidFill>
              <w14:schemeClr w14:val="tx1"/>
            </w14:solidFill>
          </w14:textFill>
        </w:rPr>
      </w:pPr>
      <w:bookmarkStart w:id="4" w:name="_Toc17815"/>
      <w:r>
        <w:rPr>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投标人须知</w:t>
      </w:r>
      <w:bookmarkEnd w:id="4"/>
    </w:p>
    <w:p>
      <w:pPr>
        <w:pStyle w:val="2"/>
        <w:spacing w:before="246"/>
        <w:ind w:right="96"/>
        <w:rPr>
          <w:color w:val="000000" w:themeColor="text1"/>
          <w:highlight w:val="none"/>
          <w14:textFill>
            <w14:solidFill>
              <w14:schemeClr w14:val="tx1"/>
            </w14:solidFill>
          </w14:textFill>
        </w:rPr>
      </w:pPr>
      <w:bookmarkStart w:id="5" w:name="投_标_人_须_知_前_附_表"/>
      <w:bookmarkEnd w:id="5"/>
      <w:r>
        <w:rPr>
          <w:color w:val="000000" w:themeColor="text1"/>
          <w:highlight w:val="none"/>
          <w14:textFill>
            <w14:solidFill>
              <w14:schemeClr w14:val="tx1"/>
            </w14:solidFill>
          </w14:textFill>
        </w:rPr>
        <w:t>投 标 人 须 知 前 附 表</w:t>
      </w:r>
    </w:p>
    <w:p>
      <w:pPr>
        <w:pStyle w:val="13"/>
        <w:spacing w:before="9" w:after="1"/>
        <w:rPr>
          <w:b/>
          <w:color w:val="000000" w:themeColor="text1"/>
          <w:sz w:val="9"/>
          <w:highlight w:val="none"/>
          <w14:textFill>
            <w14:solidFill>
              <w14:schemeClr w14:val="tx1"/>
            </w14:solidFill>
          </w14:textFill>
        </w:rPr>
      </w:pPr>
    </w:p>
    <w:tbl>
      <w:tblPr>
        <w:tblStyle w:val="23"/>
        <w:tblpPr w:leftFromText="180" w:rightFromText="180" w:vertAnchor="text" w:horzAnchor="page" w:tblpX="1286" w:tblpY="38"/>
        <w:tblOverlap w:val="never"/>
        <w:tblW w:w="94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56"/>
        <w:gridCol w:w="1720"/>
        <w:gridCol w:w="6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14" w:type="dxa"/>
          </w:tcPr>
          <w:p>
            <w:pPr>
              <w:pStyle w:val="32"/>
              <w:spacing w:before="6"/>
              <w:rPr>
                <w:b/>
                <w:color w:val="000000" w:themeColor="text1"/>
                <w:sz w:val="17"/>
                <w:highlight w:val="none"/>
                <w14:textFill>
                  <w14:solidFill>
                    <w14:schemeClr w14:val="tx1"/>
                  </w14:solidFill>
                </w14:textFill>
              </w:rPr>
            </w:pPr>
          </w:p>
          <w:p>
            <w:pPr>
              <w:pStyle w:val="32"/>
              <w:spacing w:before="1"/>
              <w:ind w:left="126" w:right="11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序号</w:t>
            </w:r>
          </w:p>
        </w:tc>
        <w:tc>
          <w:tcPr>
            <w:tcW w:w="856" w:type="dxa"/>
          </w:tcPr>
          <w:p>
            <w:pPr>
              <w:pStyle w:val="32"/>
              <w:spacing w:before="6"/>
              <w:rPr>
                <w:b/>
                <w:color w:val="000000" w:themeColor="text1"/>
                <w:sz w:val="17"/>
                <w:highlight w:val="none"/>
                <w14:textFill>
                  <w14:solidFill>
                    <w14:schemeClr w14:val="tx1"/>
                  </w14:solidFill>
                </w14:textFill>
              </w:rPr>
            </w:pPr>
          </w:p>
          <w:p>
            <w:pPr>
              <w:pStyle w:val="32"/>
              <w:spacing w:before="1"/>
              <w:ind w:left="91" w:right="8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条款号</w:t>
            </w:r>
          </w:p>
        </w:tc>
        <w:tc>
          <w:tcPr>
            <w:tcW w:w="1720" w:type="dxa"/>
          </w:tcPr>
          <w:p>
            <w:pPr>
              <w:pStyle w:val="32"/>
              <w:spacing w:before="6"/>
              <w:rPr>
                <w:b/>
                <w:color w:val="000000" w:themeColor="text1"/>
                <w:sz w:val="17"/>
                <w:highlight w:val="none"/>
                <w14:textFill>
                  <w14:solidFill>
                    <w14:schemeClr w14:val="tx1"/>
                  </w14:solidFill>
                </w14:textFill>
              </w:rPr>
            </w:pPr>
          </w:p>
          <w:p>
            <w:pPr>
              <w:pStyle w:val="32"/>
              <w:spacing w:before="1"/>
              <w:ind w:left="89" w:right="8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条款名称</w:t>
            </w:r>
          </w:p>
        </w:tc>
        <w:tc>
          <w:tcPr>
            <w:tcW w:w="6180" w:type="dxa"/>
          </w:tcPr>
          <w:p>
            <w:pPr>
              <w:pStyle w:val="32"/>
              <w:spacing w:before="6"/>
              <w:rPr>
                <w:b/>
                <w:color w:val="000000" w:themeColor="text1"/>
                <w:sz w:val="17"/>
                <w:highlight w:val="none"/>
                <w14:textFill>
                  <w14:solidFill>
                    <w14:schemeClr w14:val="tx1"/>
                  </w14:solidFill>
                </w14:textFill>
              </w:rPr>
            </w:pPr>
          </w:p>
          <w:p>
            <w:pPr>
              <w:pStyle w:val="32"/>
              <w:spacing w:before="1"/>
              <w:ind w:left="2241" w:right="223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14" w:type="dxa"/>
          </w:tcPr>
          <w:p>
            <w:pPr>
              <w:pStyle w:val="32"/>
              <w:rPr>
                <w:b/>
                <w:color w:val="000000" w:themeColor="text1"/>
                <w:sz w:val="20"/>
                <w:highlight w:val="none"/>
                <w14:textFill>
                  <w14:solidFill>
                    <w14:schemeClr w14:val="tx1"/>
                  </w14:solidFill>
                </w14:textFill>
              </w:rPr>
            </w:pPr>
          </w:p>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856" w:type="dxa"/>
          </w:tcPr>
          <w:p>
            <w:pPr>
              <w:pStyle w:val="32"/>
              <w:spacing w:before="4"/>
              <w:rPr>
                <w:b/>
                <w:color w:val="000000" w:themeColor="text1"/>
                <w:sz w:val="25"/>
                <w:highlight w:val="none"/>
                <w14:textFill>
                  <w14:solidFill>
                    <w14:schemeClr w14:val="tx1"/>
                  </w14:solidFill>
                </w14:textFill>
              </w:rPr>
            </w:pPr>
          </w:p>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1720" w:type="dxa"/>
          </w:tcPr>
          <w:p>
            <w:pPr>
              <w:pStyle w:val="32"/>
              <w:spacing w:line="393" w:lineRule="auto"/>
              <w:ind w:left="225" w:right="111" w:hanging="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采购项目名称及采购项目编号</w:t>
            </w:r>
          </w:p>
        </w:tc>
        <w:tc>
          <w:tcPr>
            <w:tcW w:w="6180" w:type="dxa"/>
          </w:tcPr>
          <w:p>
            <w:pPr>
              <w:pStyle w:val="32"/>
              <w:spacing w:before="1"/>
              <w:ind w:left="106"/>
              <w:rPr>
                <w:rFonts w:hint="eastAsia" w:eastAsia="宋体"/>
                <w:color w:val="000000" w:themeColor="text1"/>
                <w:sz w:val="21"/>
                <w:highlight w:val="none"/>
                <w:lang w:val="en-US" w:eastAsia="zh-CN"/>
                <w14:textFill>
                  <w14:solidFill>
                    <w14:schemeClr w14:val="tx1"/>
                  </w14:solidFill>
                </w14:textFill>
              </w:rPr>
            </w:pPr>
            <w:r>
              <w:rPr>
                <w:color w:val="000000" w:themeColor="text1"/>
                <w:sz w:val="21"/>
                <w:highlight w:val="none"/>
                <w14:textFill>
                  <w14:solidFill>
                    <w14:schemeClr w14:val="tx1"/>
                  </w14:solidFill>
                </w14:textFill>
              </w:rPr>
              <w:t>采购项目名称</w:t>
            </w:r>
            <w:r>
              <w:rPr>
                <w:rFonts w:hint="eastAsia"/>
                <w:color w:val="000000" w:themeColor="text1"/>
                <w:sz w:val="21"/>
                <w:highlight w:val="none"/>
                <w:lang w:val="en-US"/>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广西壮族自治区桂林生态环境监测中心实验室设备采购</w:t>
            </w:r>
          </w:p>
          <w:p>
            <w:pPr>
              <w:pStyle w:val="32"/>
              <w:spacing w:before="1"/>
              <w:ind w:left="106"/>
              <w:rPr>
                <w:color w:val="000000" w:themeColor="text1"/>
                <w:sz w:val="21"/>
                <w:highlight w:val="none"/>
                <w14:textFill>
                  <w14:solidFill>
                    <w14:schemeClr w14:val="tx1"/>
                  </w14:solidFill>
                </w14:textFill>
              </w:rPr>
            </w:pPr>
          </w:p>
          <w:p>
            <w:pPr>
              <w:pStyle w:val="32"/>
              <w:spacing w:before="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采购项目编号：</w:t>
            </w:r>
            <w:r>
              <w:rPr>
                <w:rFonts w:hint="eastAsia"/>
                <w:color w:val="000000" w:themeColor="text1"/>
                <w:sz w:val="21"/>
                <w:highlight w:val="none"/>
                <w14:textFill>
                  <w14:solidFill>
                    <w14:schemeClr w14:val="tx1"/>
                  </w14:solidFill>
                </w14:textFill>
              </w:rPr>
              <w:t>GXZC2020-G1-002945-GXZC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0" w:hRule="atLeast"/>
        </w:trPr>
        <w:tc>
          <w:tcPr>
            <w:tcW w:w="714"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17"/>
                <w:highlight w:val="none"/>
                <w14:textFill>
                  <w14:solidFill>
                    <w14:schemeClr w14:val="tx1"/>
                  </w14:solidFill>
                </w14:textFill>
              </w:rPr>
            </w:pPr>
          </w:p>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2</w:t>
            </w:r>
          </w:p>
        </w:tc>
        <w:tc>
          <w:tcPr>
            <w:tcW w:w="856"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17"/>
                <w:highlight w:val="none"/>
                <w14:textFill>
                  <w14:solidFill>
                    <w14:schemeClr w14:val="tx1"/>
                  </w14:solidFill>
                </w14:textFill>
              </w:rPr>
            </w:pPr>
          </w:p>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5</w:t>
            </w:r>
          </w:p>
        </w:tc>
        <w:tc>
          <w:tcPr>
            <w:tcW w:w="172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17"/>
                <w:highlight w:val="none"/>
                <w14:textFill>
                  <w14:solidFill>
                    <w14:schemeClr w14:val="tx1"/>
                  </w14:solidFill>
                </w14:textFill>
              </w:rPr>
            </w:pPr>
          </w:p>
          <w:p>
            <w:pPr>
              <w:pStyle w:val="32"/>
              <w:ind w:left="89"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投标人资格</w:t>
            </w:r>
          </w:p>
        </w:tc>
        <w:tc>
          <w:tcPr>
            <w:tcW w:w="6180" w:type="dxa"/>
          </w:tcPr>
          <w:p>
            <w:pPr>
              <w:pStyle w:val="32"/>
              <w:numPr>
                <w:ilvl w:val="0"/>
                <w:numId w:val="3"/>
              </w:numPr>
              <w:tabs>
                <w:tab w:val="left" w:pos="318"/>
              </w:tabs>
              <w:spacing w:before="141" w:line="391" w:lineRule="auto"/>
              <w:ind w:right="97" w:firstLine="0"/>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符合《中华人民共和国政府采购法》第二十二条规定，具 备合法资格的投标人；</w:t>
            </w:r>
          </w:p>
          <w:p>
            <w:pPr>
              <w:pStyle w:val="32"/>
              <w:numPr>
                <w:ilvl w:val="0"/>
                <w:numId w:val="3"/>
              </w:numPr>
              <w:tabs>
                <w:tab w:val="left" w:pos="318"/>
              </w:tabs>
              <w:spacing w:before="2" w:line="393" w:lineRule="auto"/>
              <w:ind w:right="97" w:firstLine="0"/>
              <w:jc w:val="both"/>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 xml:space="preserve">对在“信用中国”网站(www.creditchina.gov.cn)、中国 政府采购网(www.ccgp.gov.cn)等渠道列入失信被执行人、重大税收违法案件当事人名单、政府采购严重违法失信行为 记录名单及其他不符合《中华人民共和国政府采购法》第二 </w:t>
            </w:r>
            <w:r>
              <w:rPr>
                <w:color w:val="000000" w:themeColor="text1"/>
                <w:spacing w:val="-16"/>
                <w:sz w:val="21"/>
                <w:highlight w:val="none"/>
                <w14:textFill>
                  <w14:solidFill>
                    <w14:schemeClr w14:val="tx1"/>
                  </w14:solidFill>
                </w14:textFill>
              </w:rPr>
              <w:t>十二条规定条件的投标人，不得参与政府采购活动。</w:t>
            </w:r>
          </w:p>
          <w:p>
            <w:pPr>
              <w:pStyle w:val="32"/>
              <w:numPr>
                <w:ilvl w:val="0"/>
                <w:numId w:val="3"/>
              </w:numPr>
              <w:tabs>
                <w:tab w:val="left" w:pos="318"/>
              </w:tabs>
              <w:spacing w:line="391" w:lineRule="auto"/>
              <w:ind w:right="97" w:firstLine="0"/>
              <w:jc w:val="both"/>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 xml:space="preserve">单位负责人为同一人或者存在直接控股、管理关系的不同 投标人，不得参加同一合同项下的政府采购活动。除单一来 源采购项目外，为采购项目提供整体设计、规范编制或者项 目管理、监理、检测等服务的投标人，不得再参加该采购项 </w:t>
            </w:r>
            <w:r>
              <w:rPr>
                <w:color w:val="000000" w:themeColor="text1"/>
                <w:spacing w:val="-13"/>
                <w:sz w:val="21"/>
                <w:highlight w:val="none"/>
                <w14:textFill>
                  <w14:solidFill>
                    <w14:schemeClr w14:val="tx1"/>
                  </w14:solidFill>
                </w14:textFill>
              </w:rPr>
              <w:t>目的其他采购活动。</w:t>
            </w:r>
          </w:p>
          <w:p>
            <w:pPr>
              <w:pStyle w:val="32"/>
              <w:numPr>
                <w:ilvl w:val="0"/>
                <w:numId w:val="3"/>
              </w:numPr>
              <w:tabs>
                <w:tab w:val="left" w:pos="318"/>
              </w:tabs>
              <w:spacing w:before="2"/>
              <w:ind w:left="31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14" w:type="dxa"/>
            <w:vAlign w:val="center"/>
          </w:tcPr>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3</w:t>
            </w:r>
          </w:p>
        </w:tc>
        <w:tc>
          <w:tcPr>
            <w:tcW w:w="856" w:type="dxa"/>
            <w:vAlign w:val="center"/>
          </w:tcPr>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6</w:t>
            </w:r>
          </w:p>
        </w:tc>
        <w:tc>
          <w:tcPr>
            <w:tcW w:w="1720" w:type="dxa"/>
            <w:vAlign w:val="center"/>
          </w:tcPr>
          <w:p>
            <w:pPr>
              <w:pStyle w:val="32"/>
              <w:ind w:left="89" w:right="8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投标费用</w:t>
            </w:r>
          </w:p>
        </w:tc>
        <w:tc>
          <w:tcPr>
            <w:tcW w:w="6180" w:type="dxa"/>
            <w:vAlign w:val="center"/>
          </w:tcPr>
          <w:p>
            <w:pPr>
              <w:pStyle w:val="32"/>
              <w:ind w:left="108"/>
              <w:jc w:val="center"/>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不论投标结果如何，投标人均应自行承担所有与投标有关的</w:t>
            </w:r>
            <w:r>
              <w:rPr>
                <w:color w:val="000000" w:themeColor="text1"/>
                <w:sz w:val="21"/>
                <w:highlight w:val="none"/>
                <w14:textFill>
                  <w14:solidFill>
                    <w14:schemeClr w14:val="tx1"/>
                  </w14:solidFill>
                </w14:textFill>
              </w:rPr>
              <w:t>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14" w:type="dxa"/>
            <w:vAlign w:val="center"/>
          </w:tcPr>
          <w:p>
            <w:pPr>
              <w:pStyle w:val="3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4</w:t>
            </w:r>
          </w:p>
        </w:tc>
        <w:tc>
          <w:tcPr>
            <w:tcW w:w="856" w:type="dxa"/>
            <w:vAlign w:val="center"/>
          </w:tcPr>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9.5</w:t>
            </w:r>
          </w:p>
        </w:tc>
        <w:tc>
          <w:tcPr>
            <w:tcW w:w="1720" w:type="dxa"/>
            <w:vAlign w:val="center"/>
          </w:tcPr>
          <w:p>
            <w:pPr>
              <w:pStyle w:val="32"/>
              <w:ind w:left="76" w:right="9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踏勘现场</w:t>
            </w:r>
          </w:p>
        </w:tc>
        <w:tc>
          <w:tcPr>
            <w:tcW w:w="6180" w:type="dxa"/>
            <w:vAlign w:val="center"/>
          </w:tcPr>
          <w:p>
            <w:pPr>
              <w:pStyle w:val="32"/>
              <w:spacing w:before="26"/>
              <w:ind w:left="106"/>
              <w:jc w:val="both"/>
              <w:rPr>
                <w:color w:val="000000" w:themeColor="text1"/>
                <w:sz w:val="21"/>
                <w:highlight w:val="none"/>
                <w14:textFill>
                  <w14:solidFill>
                    <w14:schemeClr w14:val="tx1"/>
                  </w14:solidFill>
                </w14:textFill>
              </w:rPr>
            </w:pPr>
            <w:r>
              <w:rPr>
                <w:rFonts w:hint="eastAsia"/>
                <w:color w:val="000000" w:themeColor="text1"/>
                <w:spacing w:val="-10"/>
                <w:sz w:val="21"/>
                <w:highlight w:val="none"/>
                <w14:textFill>
                  <w14:solidFill>
                    <w14:schemeClr w14:val="tx1"/>
                  </w14:solidFill>
                </w14:textFill>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14"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7"/>
              <w:rPr>
                <w:b/>
                <w:color w:val="000000" w:themeColor="text1"/>
                <w:sz w:val="29"/>
                <w:highlight w:val="none"/>
                <w14:textFill>
                  <w14:solidFill>
                    <w14:schemeClr w14:val="tx1"/>
                  </w14:solidFill>
                </w14:textFill>
              </w:rPr>
            </w:pPr>
          </w:p>
          <w:p>
            <w:pPr>
              <w:pStyle w:val="32"/>
              <w:spacing w:before="1"/>
              <w:ind w:right="294"/>
              <w:jc w:val="right"/>
              <w:rPr>
                <w:color w:val="000000" w:themeColor="text1"/>
                <w:w w:val="99"/>
                <w:sz w:val="21"/>
                <w:highlight w:val="none"/>
                <w14:textFill>
                  <w14:solidFill>
                    <w14:schemeClr w14:val="tx1"/>
                  </w14:solidFill>
                </w14:textFill>
              </w:rPr>
            </w:pPr>
            <w:r>
              <w:rPr>
                <w:color w:val="000000" w:themeColor="text1"/>
                <w:w w:val="99"/>
                <w:sz w:val="21"/>
                <w:highlight w:val="none"/>
                <w14:textFill>
                  <w14:solidFill>
                    <w14:schemeClr w14:val="tx1"/>
                  </w14:solidFill>
                </w14:textFill>
              </w:rPr>
              <w:t>5</w:t>
            </w:r>
          </w:p>
        </w:tc>
        <w:tc>
          <w:tcPr>
            <w:tcW w:w="856"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7"/>
              <w:rPr>
                <w:b/>
                <w:color w:val="000000" w:themeColor="text1"/>
                <w:sz w:val="29"/>
                <w:highlight w:val="none"/>
                <w14:textFill>
                  <w14:solidFill>
                    <w14:schemeClr w14:val="tx1"/>
                  </w14:solidFill>
                </w14:textFill>
              </w:rPr>
            </w:pPr>
          </w:p>
          <w:p>
            <w:pPr>
              <w:pStyle w:val="32"/>
              <w:spacing w:before="1"/>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13.3</w:t>
            </w:r>
          </w:p>
        </w:tc>
        <w:tc>
          <w:tcPr>
            <w:tcW w:w="172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25"/>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投标文件电子版</w:t>
            </w:r>
          </w:p>
        </w:tc>
        <w:tc>
          <w:tcPr>
            <w:tcW w:w="6180" w:type="dxa"/>
          </w:tcPr>
          <w:p>
            <w:pPr>
              <w:pStyle w:val="32"/>
              <w:spacing w:before="1" w:line="364" w:lineRule="auto"/>
              <w:ind w:left="106" w:right="418"/>
              <w:rPr>
                <w:color w:val="000000" w:themeColor="text1"/>
                <w:w w:val="95"/>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投标人在递交投标文件时，同时递交投标文件电子版</w:t>
            </w:r>
            <w:r>
              <w:rPr>
                <w:color w:val="000000" w:themeColor="text1"/>
                <w:w w:val="95"/>
                <w:sz w:val="21"/>
                <w:highlight w:val="none"/>
                <w14:textFill>
                  <w14:solidFill>
                    <w14:schemeClr w14:val="tx1"/>
                  </w14:solidFill>
                </w14:textFill>
              </w:rPr>
              <w:t xml:space="preserve">。 </w:t>
            </w:r>
          </w:p>
          <w:p>
            <w:pPr>
              <w:pStyle w:val="32"/>
              <w:spacing w:before="1" w:line="364" w:lineRule="auto"/>
              <w:ind w:left="106" w:right="4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投标文件电子版内容：全套投标文件。</w:t>
            </w:r>
          </w:p>
          <w:p>
            <w:pPr>
              <w:pStyle w:val="32"/>
              <w:spacing w:line="267" w:lineRule="exact"/>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投标文件电子版份数：1 份。</w:t>
            </w:r>
          </w:p>
          <w:p>
            <w:pPr>
              <w:pStyle w:val="32"/>
              <w:spacing w:before="139"/>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投标文件电子版形式：可编辑的 word 文档格式。</w:t>
            </w:r>
          </w:p>
          <w:p>
            <w:pPr>
              <w:pStyle w:val="32"/>
              <w:spacing w:line="410" w:lineRule="atLeast"/>
              <w:ind w:left="106" w:right="99"/>
              <w:rPr>
                <w:color w:val="000000" w:themeColor="text1"/>
                <w:spacing w:val="-10"/>
                <w:sz w:val="21"/>
                <w:highlight w:val="none"/>
                <w14:textFill>
                  <w14:solidFill>
                    <w14:schemeClr w14:val="tx1"/>
                  </w14:solidFill>
                </w14:textFill>
              </w:rPr>
            </w:pPr>
            <w:r>
              <w:rPr>
                <w:color w:val="000000" w:themeColor="text1"/>
                <w:spacing w:val="-12"/>
                <w:sz w:val="21"/>
                <w:highlight w:val="none"/>
                <w14:textFill>
                  <w14:solidFill>
                    <w14:schemeClr w14:val="tx1"/>
                  </w14:solidFill>
                </w14:textFill>
              </w:rPr>
              <w:t xml:space="preserve">投标文件电子版密封方式：投标文件电子版 </w:t>
            </w:r>
            <w:r>
              <w:rPr>
                <w:color w:val="000000" w:themeColor="text1"/>
                <w:sz w:val="21"/>
                <w:highlight w:val="none"/>
                <w14:textFill>
                  <w14:solidFill>
                    <w14:schemeClr w14:val="tx1"/>
                  </w14:solidFill>
                </w14:textFill>
              </w:rPr>
              <w:t>U</w:t>
            </w:r>
            <w:r>
              <w:rPr>
                <w:color w:val="000000" w:themeColor="text1"/>
                <w:spacing w:val="-9"/>
                <w:sz w:val="21"/>
                <w:highlight w:val="none"/>
                <w14:textFill>
                  <w14:solidFill>
                    <w14:schemeClr w14:val="tx1"/>
                  </w14:solidFill>
                </w14:textFill>
              </w:rPr>
              <w:t xml:space="preserve"> 盘与纸质版投标文件一并装入</w:t>
            </w:r>
            <w:r>
              <w:rPr>
                <w:rFonts w:hint="eastAsia"/>
                <w:color w:val="000000" w:themeColor="text1"/>
                <w:spacing w:val="-9"/>
                <w:sz w:val="21"/>
                <w:highlight w:val="none"/>
                <w14:textFill>
                  <w14:solidFill>
                    <w14:schemeClr w14:val="tx1"/>
                  </w14:solidFill>
                </w14:textFill>
              </w:rPr>
              <w:t>资信及商务文件</w:t>
            </w:r>
            <w:r>
              <w:rPr>
                <w:color w:val="000000" w:themeColor="text1"/>
                <w:spacing w:val="-9"/>
                <w:sz w:val="21"/>
                <w:highlight w:val="none"/>
                <w14:textFill>
                  <w14:solidFill>
                    <w14:schemeClr w14:val="tx1"/>
                  </w14:solidFill>
                </w14:textFill>
              </w:rPr>
              <w:t>投标文件袋中。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14"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14"/>
                <w:highlight w:val="none"/>
                <w14:textFill>
                  <w14:solidFill>
                    <w14:schemeClr w14:val="tx1"/>
                  </w14:solidFill>
                </w14:textFill>
              </w:rPr>
            </w:pPr>
          </w:p>
          <w:p>
            <w:pPr>
              <w:pStyle w:val="32"/>
              <w:spacing w:before="1"/>
              <w:ind w:right="294"/>
              <w:jc w:val="right"/>
              <w:rPr>
                <w:color w:val="000000" w:themeColor="text1"/>
                <w:w w:val="99"/>
                <w:sz w:val="21"/>
                <w:highlight w:val="none"/>
                <w14:textFill>
                  <w14:solidFill>
                    <w14:schemeClr w14:val="tx1"/>
                  </w14:solidFill>
                </w14:textFill>
              </w:rPr>
            </w:pPr>
            <w:r>
              <w:rPr>
                <w:color w:val="000000" w:themeColor="text1"/>
                <w:w w:val="99"/>
                <w:sz w:val="21"/>
                <w:highlight w:val="none"/>
                <w14:textFill>
                  <w14:solidFill>
                    <w14:schemeClr w14:val="tx1"/>
                  </w14:solidFill>
                </w14:textFill>
              </w:rPr>
              <w:t>6</w:t>
            </w:r>
          </w:p>
        </w:tc>
        <w:tc>
          <w:tcPr>
            <w:tcW w:w="856"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9"/>
              <w:rPr>
                <w:b/>
                <w:color w:val="000000" w:themeColor="text1"/>
                <w:sz w:val="15"/>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15</w:t>
            </w:r>
          </w:p>
        </w:tc>
        <w:tc>
          <w:tcPr>
            <w:tcW w:w="172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14"/>
                <w:highlight w:val="none"/>
                <w14:textFill>
                  <w14:solidFill>
                    <w14:schemeClr w14:val="tx1"/>
                  </w14:solidFill>
                </w14:textFill>
              </w:rPr>
            </w:pPr>
          </w:p>
          <w:p>
            <w:pPr>
              <w:pStyle w:val="32"/>
              <w:spacing w:before="1"/>
              <w:ind w:left="89" w:right="8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6180" w:type="dxa"/>
          </w:tcPr>
          <w:p>
            <w:pPr>
              <w:pStyle w:val="32"/>
              <w:numPr>
                <w:ilvl w:val="1"/>
                <w:numId w:val="4"/>
              </w:numPr>
              <w:tabs>
                <w:tab w:val="left" w:pos="633"/>
              </w:tabs>
              <w:spacing w:before="2" w:line="391" w:lineRule="auto"/>
              <w:ind w:right="97" w:firstLine="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本项目采购预算金额（人民币）：</w:t>
            </w:r>
            <w:r>
              <w:rPr>
                <w:rFonts w:hint="eastAsia"/>
                <w:color w:val="000000" w:themeColor="text1"/>
                <w:sz w:val="21"/>
                <w:highlight w:val="none"/>
                <w:lang w:val="en-US"/>
                <w14:textFill>
                  <w14:solidFill>
                    <w14:schemeClr w14:val="tx1"/>
                  </w14:solidFill>
                </w14:textFill>
              </w:rPr>
              <w:t>414.9万元</w:t>
            </w:r>
          </w:p>
          <w:p>
            <w:pPr>
              <w:pStyle w:val="32"/>
              <w:spacing w:line="391" w:lineRule="auto"/>
              <w:ind w:left="106" w:right="77"/>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备注：投标人的投标报价不得高于该采购预算金额，否则做无效标处理。</w:t>
            </w:r>
          </w:p>
          <w:p>
            <w:pPr>
              <w:pStyle w:val="32"/>
              <w:numPr>
                <w:ilvl w:val="1"/>
                <w:numId w:val="4"/>
              </w:numPr>
              <w:tabs>
                <w:tab w:val="left" w:pos="633"/>
              </w:tabs>
              <w:spacing w:before="2" w:line="391" w:lineRule="auto"/>
              <w:ind w:right="97" w:firstLine="0"/>
              <w:rPr>
                <w:color w:val="000000" w:themeColor="text1"/>
                <w:spacing w:val="-12"/>
                <w:sz w:val="21"/>
                <w:highlight w:val="none"/>
                <w14:textFill>
                  <w14:solidFill>
                    <w14:schemeClr w14:val="tx1"/>
                  </w14:solidFill>
                </w14:textFill>
              </w:rPr>
            </w:pPr>
            <w:r>
              <w:rPr>
                <w:color w:val="000000" w:themeColor="text1"/>
                <w:sz w:val="21"/>
                <w:highlight w:val="none"/>
                <w14:textFill>
                  <w14:solidFill>
                    <w14:schemeClr w14:val="tx1"/>
                  </w14:solidFill>
                </w14:textFill>
              </w:rPr>
              <w:t>投标人必须就“采购需求”中所投的所有内容作完整唯一报价，否则，其投标将被拒绝。投标文件只允许有一个报价。</w:t>
            </w:r>
          </w:p>
        </w:tc>
      </w:tr>
    </w:tbl>
    <w:p>
      <w:pPr>
        <w:jc w:val="both"/>
        <w:rPr>
          <w:color w:val="000000" w:themeColor="text1"/>
          <w:sz w:val="21"/>
          <w:highlight w:val="none"/>
          <w14:textFill>
            <w14:solidFill>
              <w14:schemeClr w14:val="tx1"/>
            </w14:solidFill>
          </w14:textFill>
        </w:rPr>
        <w:sectPr>
          <w:pgSz w:w="11910" w:h="16840"/>
          <w:pgMar w:top="1500" w:right="1140" w:bottom="900" w:left="1200" w:header="0" w:footer="640" w:gutter="0"/>
          <w:cols w:space="720" w:num="1"/>
        </w:sectPr>
      </w:pPr>
    </w:p>
    <w:tbl>
      <w:tblPr>
        <w:tblStyle w:val="23"/>
        <w:tblW w:w="9465"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840"/>
        <w:gridCol w:w="1725"/>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5" w:type="dxa"/>
          </w:tcPr>
          <w:p>
            <w:pPr>
              <w:pStyle w:val="32"/>
              <w:spacing w:before="143"/>
              <w:ind w:right="294"/>
              <w:jc w:val="right"/>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7</w:t>
            </w:r>
          </w:p>
        </w:tc>
        <w:tc>
          <w:tcPr>
            <w:tcW w:w="840" w:type="dxa"/>
          </w:tcPr>
          <w:p>
            <w:pPr>
              <w:pStyle w:val="32"/>
              <w:spacing w:before="143"/>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16.1</w:t>
            </w:r>
          </w:p>
        </w:tc>
        <w:tc>
          <w:tcPr>
            <w:tcW w:w="1725" w:type="dxa"/>
          </w:tcPr>
          <w:p>
            <w:pPr>
              <w:pStyle w:val="32"/>
              <w:spacing w:before="143"/>
              <w:ind w:left="89"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6195" w:type="dxa"/>
          </w:tcPr>
          <w:p>
            <w:pPr>
              <w:pStyle w:val="32"/>
              <w:spacing w:before="143"/>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5" w:type="dxa"/>
          </w:tcPr>
          <w:p>
            <w:pPr>
              <w:pStyle w:val="32"/>
              <w:spacing w:before="141"/>
              <w:ind w:right="294"/>
              <w:jc w:val="right"/>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8</w:t>
            </w:r>
          </w:p>
        </w:tc>
        <w:tc>
          <w:tcPr>
            <w:tcW w:w="840" w:type="dxa"/>
          </w:tcPr>
          <w:p>
            <w:pPr>
              <w:pStyle w:val="32"/>
              <w:spacing w:before="141"/>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17.1</w:t>
            </w:r>
          </w:p>
        </w:tc>
        <w:tc>
          <w:tcPr>
            <w:tcW w:w="1725" w:type="dxa"/>
          </w:tcPr>
          <w:p>
            <w:pPr>
              <w:pStyle w:val="32"/>
              <w:spacing w:before="141"/>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投标文件份数</w:t>
            </w:r>
          </w:p>
        </w:tc>
        <w:tc>
          <w:tcPr>
            <w:tcW w:w="6195" w:type="dxa"/>
          </w:tcPr>
          <w:p>
            <w:pPr>
              <w:pStyle w:val="32"/>
              <w:spacing w:before="14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正本壹份，副本</w:t>
            </w:r>
            <w:r>
              <w:rPr>
                <w:color w:val="000000" w:themeColor="text1"/>
                <w:sz w:val="21"/>
                <w:highlight w:val="none"/>
                <w:u w:val="single"/>
                <w14:textFill>
                  <w14:solidFill>
                    <w14:schemeClr w14:val="tx1"/>
                  </w14:solidFill>
                </w14:textFill>
              </w:rPr>
              <w:t>肆份</w:t>
            </w:r>
            <w:r>
              <w:rPr>
                <w:color w:val="000000" w:themeColor="text1"/>
                <w:sz w:val="21"/>
                <w:highlight w:val="none"/>
                <w14:textFill>
                  <w14:solidFill>
                    <w14:schemeClr w14:val="tx1"/>
                  </w14:solidFill>
                </w14:textFill>
              </w:rPr>
              <w:t>，须完整提交。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5"/>
              <w:rPr>
                <w:b/>
                <w:color w:val="000000" w:themeColor="text1"/>
                <w:sz w:val="28"/>
                <w:highlight w:val="none"/>
                <w14:textFill>
                  <w14:solidFill>
                    <w14:schemeClr w14:val="tx1"/>
                  </w14:solidFill>
                </w14:textFill>
              </w:rPr>
            </w:pPr>
          </w:p>
          <w:p>
            <w:pPr>
              <w:pStyle w:val="32"/>
              <w:ind w:right="294"/>
              <w:jc w:val="right"/>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9</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5"/>
              <w:rPr>
                <w:b/>
                <w:color w:val="000000" w:themeColor="text1"/>
                <w:sz w:val="28"/>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17.2</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5"/>
              <w:rPr>
                <w:b/>
                <w:color w:val="000000" w:themeColor="text1"/>
                <w:sz w:val="28"/>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投标文件装订</w:t>
            </w:r>
          </w:p>
        </w:tc>
        <w:tc>
          <w:tcPr>
            <w:tcW w:w="6195" w:type="dxa"/>
          </w:tcPr>
          <w:p>
            <w:pPr>
              <w:pStyle w:val="32"/>
              <w:spacing w:before="143" w:line="391" w:lineRule="auto"/>
              <w:ind w:left="106" w:right="97"/>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 xml:space="preserve">投标人应按投标人须知第 </w:t>
            </w:r>
            <w:r>
              <w:rPr>
                <w:color w:val="000000" w:themeColor="text1"/>
                <w:sz w:val="21"/>
                <w:highlight w:val="none"/>
                <w14:textFill>
                  <w14:solidFill>
                    <w14:schemeClr w14:val="tx1"/>
                  </w14:solidFill>
                </w14:textFill>
              </w:rPr>
              <w:t>13.1</w:t>
            </w:r>
            <w:r>
              <w:rPr>
                <w:color w:val="000000" w:themeColor="text1"/>
                <w:spacing w:val="-8"/>
                <w:sz w:val="21"/>
                <w:highlight w:val="none"/>
                <w14:textFill>
                  <w14:solidFill>
                    <w14:schemeClr w14:val="tx1"/>
                  </w14:solidFill>
                </w14:textFill>
              </w:rPr>
              <w:t xml:space="preserve"> 条“投标文件组成”规定的顺序自编目录及页码，且投标文件应按以下要求装订：</w:t>
            </w:r>
          </w:p>
          <w:p>
            <w:pPr>
              <w:pStyle w:val="32"/>
              <w:numPr>
                <w:ilvl w:val="0"/>
                <w:numId w:val="5"/>
              </w:numPr>
              <w:tabs>
                <w:tab w:val="left" w:pos="318"/>
              </w:tabs>
              <w:spacing w:before="1" w:line="393" w:lineRule="auto"/>
              <w:ind w:right="2307" w:firstLine="0"/>
              <w:rPr>
                <w:color w:val="000000" w:themeColor="text1"/>
                <w:sz w:val="21"/>
                <w:highlight w:val="none"/>
                <w14:textFill>
                  <w14:solidFill>
                    <w14:schemeClr w14:val="tx1"/>
                  </w14:solidFill>
                </w14:textFill>
              </w:rPr>
            </w:pPr>
            <w:r>
              <w:rPr>
                <w:color w:val="000000" w:themeColor="text1"/>
                <w:spacing w:val="-8"/>
                <w:sz w:val="21"/>
                <w:highlight w:val="none"/>
                <w14:textFill>
                  <w14:solidFill>
                    <w14:schemeClr w14:val="tx1"/>
                  </w14:solidFill>
                </w14:textFill>
              </w:rPr>
              <w:t xml:space="preserve">分册装订，共分 </w:t>
            </w:r>
            <w:r>
              <w:rPr>
                <w:color w:val="000000" w:themeColor="text1"/>
                <w:sz w:val="21"/>
                <w:highlight w:val="none"/>
                <w14:textFill>
                  <w14:solidFill>
                    <w14:schemeClr w14:val="tx1"/>
                  </w14:solidFill>
                </w14:textFill>
              </w:rPr>
              <w:t>2</w:t>
            </w:r>
            <w:r>
              <w:rPr>
                <w:color w:val="000000" w:themeColor="text1"/>
                <w:spacing w:val="-9"/>
                <w:sz w:val="21"/>
                <w:highlight w:val="none"/>
                <w14:textFill>
                  <w14:solidFill>
                    <w14:schemeClr w14:val="tx1"/>
                  </w14:solidFill>
                </w14:textFill>
              </w:rPr>
              <w:t xml:space="preserve"> 册，分别为： </w:t>
            </w:r>
          </w:p>
          <w:p>
            <w:pPr>
              <w:pStyle w:val="32"/>
              <w:tabs>
                <w:tab w:val="left" w:pos="318"/>
              </w:tabs>
              <w:spacing w:before="1" w:line="393" w:lineRule="auto"/>
              <w:ind w:left="106" w:right="2307"/>
              <w:rPr>
                <w:color w:val="000000" w:themeColor="text1"/>
                <w:sz w:val="21"/>
                <w:highlight w:val="none"/>
                <w14:textFill>
                  <w14:solidFill>
                    <w14:schemeClr w14:val="tx1"/>
                  </w14:solidFill>
                </w14:textFill>
              </w:rPr>
            </w:pPr>
            <w:r>
              <w:rPr>
                <w:color w:val="000000" w:themeColor="text1"/>
                <w:spacing w:val="-9"/>
                <w:sz w:val="21"/>
                <w:highlight w:val="none"/>
                <w14:textFill>
                  <w14:solidFill>
                    <w14:schemeClr w14:val="tx1"/>
                  </w14:solidFill>
                </w14:textFill>
              </w:rPr>
              <w:t>1、资格文件</w:t>
            </w:r>
          </w:p>
          <w:p>
            <w:pPr>
              <w:pStyle w:val="32"/>
              <w:spacing w:line="267" w:lineRule="exact"/>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2、资信及商务文件</w:t>
            </w:r>
          </w:p>
          <w:p>
            <w:pPr>
              <w:pStyle w:val="32"/>
              <w:spacing w:before="170" w:line="393" w:lineRule="auto"/>
              <w:ind w:left="106" w:right="-15"/>
              <w:jc w:val="both"/>
              <w:rPr>
                <w:color w:val="000000" w:themeColor="text1"/>
                <w:sz w:val="21"/>
                <w:highlight w:val="none"/>
                <w14:textFill>
                  <w14:solidFill>
                    <w14:schemeClr w14:val="tx1"/>
                  </w14:solidFill>
                </w14:textFill>
              </w:rPr>
            </w:pPr>
            <w:r>
              <w:rPr>
                <w:color w:val="000000" w:themeColor="text1"/>
                <w:spacing w:val="-11"/>
                <w:sz w:val="21"/>
                <w:highlight w:val="none"/>
                <w14:textFill>
                  <w14:solidFill>
                    <w14:schemeClr w14:val="tx1"/>
                  </w14:solidFill>
                </w14:textFill>
              </w:rPr>
              <w:t>投标文件的“正本”、“副本”应当单独装订成册并标注页</w:t>
            </w:r>
            <w:r>
              <w:rPr>
                <w:color w:val="000000" w:themeColor="text1"/>
                <w:spacing w:val="-1"/>
                <w:sz w:val="21"/>
                <w:highlight w:val="none"/>
                <w14:textFill>
                  <w14:solidFill>
                    <w14:schemeClr w14:val="tx1"/>
                  </w14:solidFill>
                </w14:textFill>
              </w:rPr>
              <w:t>码，装订应牢固，不易拆散和换页</w:t>
            </w:r>
            <w:r>
              <w:rPr>
                <w:color w:val="000000" w:themeColor="text1"/>
                <w:sz w:val="21"/>
                <w:highlight w:val="none"/>
                <w14:textFill>
                  <w14:solidFill>
                    <w14:schemeClr w14:val="tx1"/>
                  </w14:solidFill>
                </w14:textFill>
              </w:rPr>
              <w:t>（A4</w:t>
            </w:r>
            <w:r>
              <w:rPr>
                <w:color w:val="000000" w:themeColor="text1"/>
                <w:spacing w:val="-8"/>
                <w:sz w:val="21"/>
                <w:highlight w:val="none"/>
                <w14:textFill>
                  <w14:solidFill>
                    <w14:schemeClr w14:val="tx1"/>
                  </w14:solidFill>
                </w14:textFill>
              </w:rPr>
              <w:t xml:space="preserve"> 标准纸装订</w:t>
            </w:r>
            <w:r>
              <w:rPr>
                <w:color w:val="000000" w:themeColor="text1"/>
                <w:spacing w:val="4"/>
                <w:sz w:val="21"/>
                <w:highlight w:val="none"/>
                <w14:textFill>
                  <w14:solidFill>
                    <w14:schemeClr w14:val="tx1"/>
                  </w14:solidFill>
                </w14:textFill>
              </w:rPr>
              <w:t>）</w:t>
            </w:r>
            <w:r>
              <w:rPr>
                <w:color w:val="000000" w:themeColor="text1"/>
                <w:sz w:val="21"/>
                <w:highlight w:val="none"/>
                <w14:textFill>
                  <w14:solidFill>
                    <w14:schemeClr w14:val="tx1"/>
                  </w14:solidFill>
                </w14:textFill>
              </w:rPr>
              <w:t>。封</w:t>
            </w:r>
            <w:r>
              <w:rPr>
                <w:color w:val="000000" w:themeColor="text1"/>
                <w:spacing w:val="-11"/>
                <w:sz w:val="21"/>
                <w:highlight w:val="none"/>
                <w14:textFill>
                  <w14:solidFill>
                    <w14:schemeClr w14:val="tx1"/>
                  </w14:solidFill>
                </w14:textFill>
              </w:rPr>
              <w:t>面应注明“正本”、“副本”字样，每册采用粘结方式装订，</w:t>
            </w:r>
            <w:r>
              <w:rPr>
                <w:color w:val="000000" w:themeColor="text1"/>
                <w:sz w:val="21"/>
                <w:highlight w:val="none"/>
                <w14:textFill>
                  <w14:solidFill>
                    <w14:schemeClr w14:val="tx1"/>
                  </w14:solidFill>
                </w14:textFill>
              </w:rPr>
              <w:t>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1"/>
              <w:rPr>
                <w:b/>
                <w:color w:val="000000" w:themeColor="text1"/>
                <w:sz w:val="19"/>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1"/>
              <w:rPr>
                <w:b/>
                <w:color w:val="000000" w:themeColor="text1"/>
                <w:sz w:val="19"/>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17.6</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1"/>
              <w:rPr>
                <w:b/>
                <w:color w:val="000000" w:themeColor="text1"/>
                <w:sz w:val="19"/>
                <w:highlight w:val="none"/>
                <w14:textFill>
                  <w14:solidFill>
                    <w14:schemeClr w14:val="tx1"/>
                  </w14:solidFill>
                </w14:textFill>
              </w:rPr>
            </w:pPr>
          </w:p>
          <w:p>
            <w:pPr>
              <w:pStyle w:val="32"/>
              <w:ind w:left="89"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投标人公章</w:t>
            </w:r>
          </w:p>
        </w:tc>
        <w:tc>
          <w:tcPr>
            <w:tcW w:w="6195" w:type="dxa"/>
          </w:tcPr>
          <w:p>
            <w:pPr>
              <w:pStyle w:val="32"/>
              <w:spacing w:before="142" w:line="393" w:lineRule="auto"/>
              <w:ind w:left="106" w:right="-15"/>
              <w:rPr>
                <w:color w:val="000000" w:themeColor="text1"/>
                <w:sz w:val="21"/>
                <w:highlight w:val="none"/>
                <w14:textFill>
                  <w14:solidFill>
                    <w14:schemeClr w14:val="tx1"/>
                  </w14:solidFill>
                </w14:textFill>
              </w:rPr>
            </w:pPr>
            <w:r>
              <w:rPr>
                <w:color w:val="000000" w:themeColor="text1"/>
                <w:spacing w:val="-8"/>
                <w:sz w:val="21"/>
                <w:highlight w:val="none"/>
                <w14:textFill>
                  <w14:solidFill>
                    <w14:schemeClr w14:val="tx1"/>
                  </w14:solidFill>
                </w14:textFill>
              </w:rPr>
              <w:t>本招标文件中描述投标人的“公章”是指根据我国对公章的</w:t>
            </w:r>
            <w:r>
              <w:rPr>
                <w:color w:val="000000" w:themeColor="text1"/>
                <w:spacing w:val="-12"/>
                <w:sz w:val="21"/>
                <w:highlight w:val="none"/>
                <w14:textFill>
                  <w14:solidFill>
                    <w14:schemeClr w14:val="tx1"/>
                  </w14:solidFill>
                </w14:textFill>
              </w:rPr>
              <w:t>管理规定，用投标人法定主体行为名称制作的印章，除本招</w:t>
            </w:r>
            <w:r>
              <w:rPr>
                <w:color w:val="000000" w:themeColor="text1"/>
                <w:spacing w:val="-20"/>
                <w:sz w:val="21"/>
                <w:highlight w:val="none"/>
                <w14:textFill>
                  <w14:solidFill>
                    <w14:schemeClr w14:val="tx1"/>
                  </w14:solidFill>
                </w14:textFill>
              </w:rPr>
              <w:t>标文件有特殊规定外，投标人的财务章、部门章、分公司章、</w:t>
            </w:r>
            <w:r>
              <w:rPr>
                <w:color w:val="000000" w:themeColor="text1"/>
                <w:spacing w:val="-14"/>
                <w:sz w:val="21"/>
                <w:highlight w:val="none"/>
                <w14:textFill>
                  <w14:solidFill>
                    <w14:schemeClr w14:val="tx1"/>
                  </w14:solidFill>
                </w14:textFill>
              </w:rPr>
              <w:t>工会章、合同章、投标专用章、业务专用章等其它形式印章</w:t>
            </w:r>
            <w:r>
              <w:rPr>
                <w:color w:val="000000" w:themeColor="text1"/>
                <w:sz w:val="21"/>
                <w:highlight w:val="none"/>
                <w14:textFill>
                  <w14:solidFill>
                    <w14:schemeClr w14:val="tx1"/>
                  </w14:solidFill>
                </w14:textFill>
              </w:rPr>
              <w:t>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43"/>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11</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43"/>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17.7</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14"/>
                <w:highlight w:val="none"/>
                <w14:textFill>
                  <w14:solidFill>
                    <w14:schemeClr w14:val="tx1"/>
                  </w14:solidFill>
                </w14:textFill>
              </w:rPr>
            </w:pPr>
          </w:p>
          <w:p>
            <w:pPr>
              <w:pStyle w:val="32"/>
              <w:spacing w:before="1" w:line="391" w:lineRule="auto"/>
              <w:ind w:left="108" w:right="12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投标文件包装、密封</w:t>
            </w:r>
          </w:p>
        </w:tc>
        <w:tc>
          <w:tcPr>
            <w:tcW w:w="6195" w:type="dxa"/>
          </w:tcPr>
          <w:p>
            <w:pPr>
              <w:pStyle w:val="32"/>
              <w:spacing w:before="14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投标文件包装、密封：分两个包封。</w:t>
            </w:r>
          </w:p>
          <w:p>
            <w:pPr>
              <w:pStyle w:val="32"/>
              <w:spacing w:before="170"/>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第一个包封：资格文件“正本”、“副本”</w:t>
            </w:r>
          </w:p>
          <w:p>
            <w:pPr>
              <w:pStyle w:val="32"/>
              <w:spacing w:before="170"/>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第二个包封：资信及商务文件“正本”、“副本”</w:t>
            </w:r>
          </w:p>
          <w:p>
            <w:pPr>
              <w:pStyle w:val="32"/>
              <w:spacing w:before="172" w:line="391" w:lineRule="auto"/>
              <w:ind w:left="108"/>
              <w:rPr>
                <w:b/>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投标人按上述要求将相应的投标文件分别装入两个投标文件袋（盒、箱）中密封，</w:t>
            </w:r>
            <w:r>
              <w:rPr>
                <w:b/>
                <w:color w:val="000000" w:themeColor="text1"/>
                <w:sz w:val="21"/>
                <w:highlight w:val="none"/>
                <w14:textFill>
                  <w14:solidFill>
                    <w14:schemeClr w14:val="tx1"/>
                  </w14:solidFill>
                </w14:textFill>
              </w:rPr>
              <w:t>包装须密封并加盖密封章。（注： 密封章指：“密封”或“密封章”字样的印章。）</w:t>
            </w:r>
          </w:p>
          <w:p>
            <w:pPr>
              <w:pStyle w:val="32"/>
              <w:spacing w:before="4"/>
              <w:ind w:left="108"/>
              <w:rPr>
                <w:color w:val="000000" w:themeColor="text1"/>
                <w:spacing w:val="-8"/>
                <w:sz w:val="21"/>
                <w:highlight w:val="none"/>
                <w14:textFill>
                  <w14:solidFill>
                    <w14:schemeClr w14:val="tx1"/>
                  </w14:solidFill>
                </w14:textFill>
              </w:rPr>
            </w:pPr>
            <w:r>
              <w:rPr>
                <w:b/>
                <w:color w:val="000000" w:themeColor="text1"/>
                <w:sz w:val="21"/>
                <w:highlight w:val="none"/>
                <w14:textFill>
                  <w14:solidFill>
                    <w14:schemeClr w14:val="tx1"/>
                  </w14:solidFill>
                </w14:textFill>
              </w:rPr>
              <w:t>未按要求密封的投标文件，招标人、招标代理机构应当拒收。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7"/>
              <w:rPr>
                <w:b/>
                <w:color w:val="000000" w:themeColor="text1"/>
                <w:sz w:val="28"/>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12</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7"/>
              <w:rPr>
                <w:b/>
                <w:color w:val="000000" w:themeColor="text1"/>
                <w:sz w:val="28"/>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17.8</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7"/>
              <w:rPr>
                <w:b/>
                <w:color w:val="000000" w:themeColor="text1"/>
                <w:sz w:val="28"/>
                <w:highlight w:val="none"/>
                <w14:textFill>
                  <w14:solidFill>
                    <w14:schemeClr w14:val="tx1"/>
                  </w14:solidFill>
                </w14:textFill>
              </w:rPr>
            </w:pPr>
          </w:p>
          <w:p>
            <w:pPr>
              <w:pStyle w:val="32"/>
              <w:ind w:left="78" w:right="9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投标文件袋标记</w:t>
            </w:r>
          </w:p>
        </w:tc>
        <w:tc>
          <w:tcPr>
            <w:tcW w:w="6195" w:type="dxa"/>
          </w:tcPr>
          <w:p>
            <w:pPr>
              <w:pStyle w:val="32"/>
              <w:tabs>
                <w:tab w:val="left" w:pos="4097"/>
              </w:tabs>
              <w:spacing w:before="126" w:line="374" w:lineRule="auto"/>
              <w:ind w:left="106" w:right="1465"/>
              <w:jc w:val="both"/>
              <w:rPr>
                <w:color w:val="000000" w:themeColor="text1"/>
                <w:w w:val="95"/>
                <w:sz w:val="21"/>
                <w:highlight w:val="none"/>
                <w:u w:val="single"/>
                <w14:textFill>
                  <w14:solidFill>
                    <w14:schemeClr w14:val="tx1"/>
                  </w14:solidFill>
                </w14:textFill>
              </w:rPr>
            </w:pPr>
            <w:r>
              <w:rPr>
                <w:color w:val="000000" w:themeColor="text1"/>
                <w:sz w:val="21"/>
                <w:highlight w:val="none"/>
                <w14:textFill>
                  <w14:solidFill>
                    <w14:schemeClr w14:val="tx1"/>
                  </w14:solidFill>
                </w14:textFill>
              </w:rPr>
              <w:t>采购项目名称：</w:t>
            </w:r>
            <w:r>
              <w:rPr>
                <w:color w:val="000000" w:themeColor="text1"/>
                <w:w w:val="95"/>
                <w:sz w:val="21"/>
                <w:highlight w:val="none"/>
                <w:u w:val="single"/>
                <w14:textFill>
                  <w14:solidFill>
                    <w14:schemeClr w14:val="tx1"/>
                  </w14:solidFill>
                </w14:textFill>
              </w:rPr>
              <w:tab/>
            </w:r>
            <w:r>
              <w:rPr>
                <w:color w:val="000000" w:themeColor="text1"/>
                <w:w w:val="95"/>
                <w:sz w:val="21"/>
                <w:highlight w:val="none"/>
                <w:u w:val="single"/>
                <w14:textFill>
                  <w14:solidFill>
                    <w14:schemeClr w14:val="tx1"/>
                  </w14:solidFill>
                </w14:textFill>
              </w:rPr>
              <w:t xml:space="preserve">                        </w:t>
            </w:r>
            <w:r>
              <w:rPr>
                <w:color w:val="000000" w:themeColor="text1"/>
                <w:sz w:val="21"/>
                <w:highlight w:val="none"/>
                <w14:textFill>
                  <w14:solidFill>
                    <w14:schemeClr w14:val="tx1"/>
                  </w14:solidFill>
                </w14:textFill>
              </w:rPr>
              <w:t>采购项目编号：</w:t>
            </w:r>
            <w:r>
              <w:rPr>
                <w:color w:val="000000" w:themeColor="text1"/>
                <w:w w:val="95"/>
                <w:sz w:val="21"/>
                <w:highlight w:val="none"/>
                <w:u w:val="single"/>
                <w14:textFill>
                  <w14:solidFill>
                    <w14:schemeClr w14:val="tx1"/>
                  </w14:solidFill>
                </w14:textFill>
              </w:rPr>
              <w:tab/>
            </w:r>
            <w:r>
              <w:rPr>
                <w:color w:val="000000" w:themeColor="text1"/>
                <w:w w:val="95"/>
                <w:sz w:val="21"/>
                <w:highlight w:val="none"/>
                <w:u w:val="single"/>
                <w14:textFill>
                  <w14:solidFill>
                    <w14:schemeClr w14:val="tx1"/>
                  </w14:solidFill>
                </w14:textFill>
              </w:rPr>
              <w:t xml:space="preserve"> </w:t>
            </w:r>
          </w:p>
          <w:p>
            <w:pPr>
              <w:pStyle w:val="32"/>
              <w:tabs>
                <w:tab w:val="left" w:pos="4097"/>
              </w:tabs>
              <w:spacing w:before="126" w:line="374" w:lineRule="auto"/>
              <w:ind w:left="106" w:right="1465"/>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w:t>
            </w:r>
            <w:r>
              <w:rPr>
                <w:rFonts w:hint="eastAsia"/>
                <w:color w:val="000000" w:themeColor="text1"/>
                <w:sz w:val="21"/>
                <w:highlight w:val="none"/>
                <w:u w:val="single"/>
                <w14:textFill>
                  <w14:solidFill>
                    <w14:schemeClr w14:val="tx1"/>
                  </w14:solidFill>
                </w14:textFill>
              </w:rPr>
              <w:t>广西真诚工程咨询有限公司</w:t>
            </w:r>
          </w:p>
          <w:p>
            <w:pPr>
              <w:pStyle w:val="32"/>
              <w:tabs>
                <w:tab w:val="left" w:pos="3937"/>
              </w:tabs>
              <w:spacing w:before="1"/>
              <w:ind w:left="106"/>
              <w:rPr>
                <w:rFonts w:ascii="Times New Roman" w:eastAsia="Times New Roman"/>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r>
              <w:rPr>
                <w:rFonts w:ascii="Times New Roman" w:eastAsia="Times New Roman"/>
                <w:color w:val="000000" w:themeColor="text1"/>
                <w:w w:val="95"/>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p>
          <w:p>
            <w:pPr>
              <w:pStyle w:val="32"/>
              <w:tabs>
                <w:tab w:val="left" w:pos="525"/>
                <w:tab w:val="left" w:pos="1157"/>
                <w:tab w:val="left" w:pos="1577"/>
                <w:tab w:val="left" w:pos="2208"/>
                <w:tab w:val="left" w:pos="2733"/>
                <w:tab w:val="left" w:pos="5145"/>
              </w:tabs>
              <w:spacing w:line="420" w:lineRule="atLeast"/>
              <w:ind w:left="106" w:right="97"/>
              <w:rPr>
                <w:color w:val="000000" w:themeColor="text1"/>
                <w:w w:val="95"/>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投标文件内容</w:t>
            </w:r>
            <w:r>
              <w:rPr>
                <w:color w:val="000000" w:themeColor="text1"/>
                <w:sz w:val="21"/>
                <w:highlight w:val="none"/>
                <w:u w:val="single"/>
                <w14:textFill>
                  <w14:solidFill>
                    <w14:schemeClr w14:val="tx1"/>
                  </w14:solidFill>
                </w14:textFill>
              </w:rPr>
              <w:t>：“资格文件”或“资信及商务文件”</w:t>
            </w:r>
            <w:r>
              <w:rPr>
                <w:color w:val="000000" w:themeColor="text1"/>
                <w:w w:val="95"/>
                <w:sz w:val="21"/>
                <w:highlight w:val="none"/>
                <w:u w:val="single"/>
                <w14:textFill>
                  <w14:solidFill>
                    <w14:schemeClr w14:val="tx1"/>
                  </w14:solidFill>
                </w14:textFill>
              </w:rPr>
              <w:tab/>
            </w:r>
            <w:r>
              <w:rPr>
                <w:color w:val="000000" w:themeColor="text1"/>
                <w:w w:val="95"/>
                <w:sz w:val="21"/>
                <w:highlight w:val="none"/>
                <w14:textFill>
                  <w14:solidFill>
                    <w14:schemeClr w14:val="tx1"/>
                  </w14:solidFill>
                </w14:textFill>
              </w:rPr>
              <w:t xml:space="preserve"> </w:t>
            </w:r>
          </w:p>
          <w:p>
            <w:pPr>
              <w:pStyle w:val="32"/>
              <w:tabs>
                <w:tab w:val="left" w:pos="525"/>
                <w:tab w:val="left" w:pos="1157"/>
                <w:tab w:val="left" w:pos="1577"/>
                <w:tab w:val="left" w:pos="2208"/>
                <w:tab w:val="left" w:pos="2733"/>
                <w:tab w:val="left" w:pos="5145"/>
              </w:tabs>
              <w:spacing w:line="420" w:lineRule="atLeast"/>
              <w:ind w:left="106" w:right="97"/>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w:t>
            </w:r>
            <w:r>
              <w:rPr>
                <w:color w:val="000000" w:themeColor="text1"/>
                <w:sz w:val="21"/>
                <w:highlight w:val="none"/>
                <w14:textFill>
                  <w14:solidFill>
                    <w14:schemeClr w14:val="tx1"/>
                  </w14:solidFill>
                </w14:textFill>
              </w:rPr>
              <w:tab/>
            </w:r>
            <w:r>
              <w:rPr>
                <w:color w:val="000000" w:themeColor="text1"/>
                <w:sz w:val="21"/>
                <w:highlight w:val="none"/>
                <w:u w:val="single"/>
                <w14:textFill>
                  <w14:solidFill>
                    <w14:schemeClr w14:val="tx1"/>
                  </w14:solidFill>
                </w14:textFill>
              </w:rPr>
              <w:t xml:space="preserve"> 年</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月</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日</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时</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分前不得开启（此处投标人</w:t>
            </w:r>
            <w:r>
              <w:rPr>
                <w:color w:val="000000" w:themeColor="text1"/>
                <w:spacing w:val="-11"/>
                <w:sz w:val="21"/>
                <w:highlight w:val="none"/>
                <w14:textFill>
                  <w14:solidFill>
                    <w14:schemeClr w14:val="tx1"/>
                  </w14:solidFill>
                </w14:textFill>
              </w:rPr>
              <w:t>填</w:t>
            </w:r>
            <w:r>
              <w:rPr>
                <w:color w:val="000000" w:themeColor="text1"/>
                <w:sz w:val="21"/>
                <w:highlight w:val="none"/>
                <w14:textFill>
                  <w14:solidFill>
                    <w14:schemeClr w14:val="tx1"/>
                  </w14:solidFill>
                </w14:textFill>
              </w:rPr>
              <w:t>写投标截止时间）</w:t>
            </w:r>
          </w:p>
        </w:tc>
      </w:tr>
    </w:tbl>
    <w:p>
      <w:pPr>
        <w:spacing w:line="263" w:lineRule="exact"/>
        <w:rPr>
          <w:color w:val="000000" w:themeColor="text1"/>
          <w:sz w:val="21"/>
          <w:highlight w:val="none"/>
          <w14:textFill>
            <w14:solidFill>
              <w14:schemeClr w14:val="tx1"/>
            </w14:solidFill>
          </w14:textFill>
        </w:rPr>
        <w:sectPr>
          <w:footerReference r:id="rId5" w:type="default"/>
          <w:pgSz w:w="11910" w:h="16840"/>
          <w:pgMar w:top="1400" w:right="1140" w:bottom="820" w:left="1200" w:header="0" w:footer="640" w:gutter="0"/>
          <w:pgNumType w:start="10"/>
          <w:cols w:space="720" w:num="1"/>
        </w:sectPr>
      </w:pPr>
    </w:p>
    <w:tbl>
      <w:tblPr>
        <w:tblStyle w:val="23"/>
        <w:tblW w:w="9465"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840"/>
        <w:gridCol w:w="1725"/>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705" w:type="dxa"/>
          </w:tcPr>
          <w:p>
            <w:pPr>
              <w:pStyle w:val="32"/>
              <w:rPr>
                <w:b/>
                <w:color w:val="000000" w:themeColor="text1"/>
                <w:sz w:val="20"/>
                <w:highlight w:val="none"/>
                <w14:textFill>
                  <w14:solidFill>
                    <w14:schemeClr w14:val="tx1"/>
                  </w14:solidFill>
                </w14:textFill>
              </w:rPr>
            </w:pPr>
          </w:p>
          <w:p>
            <w:pPr>
              <w:pStyle w:val="32"/>
              <w:spacing w:before="5"/>
              <w:rPr>
                <w:b/>
                <w:color w:val="000000" w:themeColor="text1"/>
                <w:sz w:val="25"/>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13</w:t>
            </w:r>
          </w:p>
        </w:tc>
        <w:tc>
          <w:tcPr>
            <w:tcW w:w="840" w:type="dxa"/>
          </w:tcPr>
          <w:p>
            <w:pPr>
              <w:pStyle w:val="32"/>
              <w:rPr>
                <w:b/>
                <w:color w:val="000000" w:themeColor="text1"/>
                <w:sz w:val="20"/>
                <w:highlight w:val="none"/>
                <w14:textFill>
                  <w14:solidFill>
                    <w14:schemeClr w14:val="tx1"/>
                  </w14:solidFill>
                </w14:textFill>
              </w:rPr>
            </w:pPr>
          </w:p>
          <w:p>
            <w:pPr>
              <w:pStyle w:val="32"/>
              <w:spacing w:before="5"/>
              <w:rPr>
                <w:b/>
                <w:color w:val="000000" w:themeColor="text1"/>
                <w:sz w:val="25"/>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19.1</w:t>
            </w:r>
          </w:p>
        </w:tc>
        <w:tc>
          <w:tcPr>
            <w:tcW w:w="1725" w:type="dxa"/>
          </w:tcPr>
          <w:p>
            <w:pPr>
              <w:pStyle w:val="32"/>
              <w:spacing w:line="440" w:lineRule="exact"/>
              <w:ind w:left="120" w:right="111"/>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投标文件递交起止时间及投标截止时间</w:t>
            </w:r>
          </w:p>
        </w:tc>
        <w:tc>
          <w:tcPr>
            <w:tcW w:w="6195" w:type="dxa"/>
          </w:tcPr>
          <w:p>
            <w:pPr>
              <w:pStyle w:val="32"/>
              <w:spacing w:before="142"/>
              <w:ind w:left="106"/>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投标文件递交起止时间：</w:t>
            </w:r>
            <w:r>
              <w:rPr>
                <w:rFonts w:hint="eastAsia"/>
                <w:color w:val="000000" w:themeColor="text1"/>
                <w:sz w:val="21"/>
                <w:highlight w:val="none"/>
                <w:lang w:val="en-US" w:eastAsia="zh-CN"/>
                <w14:textFill>
                  <w14:solidFill>
                    <w14:schemeClr w14:val="tx1"/>
                  </w14:solidFill>
                </w14:textFill>
              </w:rPr>
              <w:t>2020</w:t>
            </w:r>
            <w:r>
              <w:rPr>
                <w:color w:val="000000" w:themeColor="text1"/>
                <w:spacing w:val="-19"/>
                <w:sz w:val="21"/>
                <w:highlight w:val="none"/>
                <w14:textFill>
                  <w14:solidFill>
                    <w14:schemeClr w14:val="tx1"/>
                  </w14:solidFill>
                </w14:textFill>
              </w:rPr>
              <w:t>年</w:t>
            </w:r>
            <w:r>
              <w:rPr>
                <w:rFonts w:hint="eastAsia"/>
                <w:color w:val="000000" w:themeColor="text1"/>
                <w:spacing w:val="-19"/>
                <w:sz w:val="21"/>
                <w:highlight w:val="none"/>
                <w:lang w:val="en-US" w:eastAsia="zh-CN"/>
                <w14:textFill>
                  <w14:solidFill>
                    <w14:schemeClr w14:val="tx1"/>
                  </w14:solidFill>
                </w14:textFill>
              </w:rPr>
              <w:t xml:space="preserve"> 9 </w:t>
            </w:r>
            <w:r>
              <w:rPr>
                <w:color w:val="000000" w:themeColor="text1"/>
                <w:sz w:val="21"/>
                <w:highlight w:val="none"/>
                <w14:textFill>
                  <w14:solidFill>
                    <w14:schemeClr w14:val="tx1"/>
                  </w14:solidFill>
                </w14:textFill>
              </w:rPr>
              <w:t>月</w:t>
            </w:r>
            <w:r>
              <w:rPr>
                <w:rFonts w:hint="eastAsia"/>
                <w:color w:val="000000" w:themeColor="text1"/>
                <w:sz w:val="21"/>
                <w:highlight w:val="none"/>
                <w:lang w:val="en-US" w:eastAsia="zh-CN"/>
                <w14:textFill>
                  <w14:solidFill>
                    <w14:schemeClr w14:val="tx1"/>
                  </w14:solidFill>
                </w14:textFill>
              </w:rPr>
              <w:t xml:space="preserve"> 1 </w:t>
            </w:r>
            <w:r>
              <w:rPr>
                <w:color w:val="000000" w:themeColor="text1"/>
                <w:spacing w:val="-1"/>
                <w:sz w:val="21"/>
                <w:highlight w:val="none"/>
                <w14:textFill>
                  <w14:solidFill>
                    <w14:schemeClr w14:val="tx1"/>
                  </w14:solidFill>
                </w14:textFill>
              </w:rPr>
              <w:t>日</w:t>
            </w:r>
            <w:r>
              <w:rPr>
                <w:rFonts w:hint="eastAsia"/>
                <w:color w:val="000000" w:themeColor="text1"/>
                <w:spacing w:val="-1"/>
                <w:sz w:val="21"/>
                <w:highlight w:val="none"/>
                <w:lang w:val="en-US" w:eastAsia="zh-CN"/>
                <w14:textFill>
                  <w14:solidFill>
                    <w14:schemeClr w14:val="tx1"/>
                  </w14:solidFill>
                </w14:textFill>
              </w:rPr>
              <w:t xml:space="preserve">9 </w:t>
            </w:r>
            <w:r>
              <w:rPr>
                <w:color w:val="000000" w:themeColor="text1"/>
                <w:spacing w:val="-36"/>
                <w:sz w:val="21"/>
                <w:highlight w:val="none"/>
                <w14:textFill>
                  <w14:solidFill>
                    <w14:schemeClr w14:val="tx1"/>
                  </w14:solidFill>
                </w14:textFill>
              </w:rPr>
              <w:t>时</w:t>
            </w:r>
            <w:r>
              <w:rPr>
                <w:rFonts w:hint="eastAsia"/>
                <w:color w:val="000000" w:themeColor="text1"/>
                <w:spacing w:val="-36"/>
                <w:sz w:val="21"/>
                <w:highlight w:val="none"/>
                <w:lang w:val="en-US" w:eastAsia="zh-CN"/>
                <w14:textFill>
                  <w14:solidFill>
                    <w14:schemeClr w14:val="tx1"/>
                  </w14:solidFill>
                </w14:textFill>
              </w:rPr>
              <w:t xml:space="preserve">  00 </w:t>
            </w:r>
            <w:r>
              <w:rPr>
                <w:color w:val="000000" w:themeColor="text1"/>
                <w:spacing w:val="-18"/>
                <w:sz w:val="21"/>
                <w:highlight w:val="none"/>
                <w14:textFill>
                  <w14:solidFill>
                    <w14:schemeClr w14:val="tx1"/>
                  </w14:solidFill>
                </w14:textFill>
              </w:rPr>
              <w:t>分至</w:t>
            </w:r>
            <w:r>
              <w:rPr>
                <w:rFonts w:hint="eastAsia"/>
                <w:color w:val="000000" w:themeColor="text1"/>
                <w:spacing w:val="-18"/>
                <w:sz w:val="21"/>
                <w:highlight w:val="none"/>
                <w:lang w:val="en-US" w:eastAsia="zh-CN"/>
                <w14:textFill>
                  <w14:solidFill>
                    <w14:schemeClr w14:val="tx1"/>
                  </w14:solidFill>
                </w14:textFill>
              </w:rPr>
              <w:t xml:space="preserve"> </w:t>
            </w:r>
            <w:r>
              <w:rPr>
                <w:rFonts w:hint="eastAsia"/>
                <w:color w:val="000000" w:themeColor="text1"/>
                <w:sz w:val="21"/>
                <w:highlight w:val="none"/>
                <w:lang w:val="en-US" w:eastAsia="zh-CN"/>
                <w14:textFill>
                  <w14:solidFill>
                    <w14:schemeClr w14:val="tx1"/>
                  </w14:solidFill>
                </w14:textFill>
              </w:rPr>
              <w:t xml:space="preserve">9 </w:t>
            </w:r>
            <w:r>
              <w:rPr>
                <w:color w:val="000000" w:themeColor="text1"/>
                <w:sz w:val="21"/>
                <w:highlight w:val="none"/>
                <w14:textFill>
                  <w14:solidFill>
                    <w14:schemeClr w14:val="tx1"/>
                  </w14:solidFill>
                </w14:textFill>
              </w:rPr>
              <w:t>时</w:t>
            </w:r>
            <w:r>
              <w:rPr>
                <w:rFonts w:hint="eastAsia"/>
                <w:color w:val="000000" w:themeColor="text1"/>
                <w:sz w:val="21"/>
                <w:highlight w:val="none"/>
                <w:lang w:val="en-US" w:eastAsia="zh-CN"/>
                <w14:textFill>
                  <w14:solidFill>
                    <w14:schemeClr w14:val="tx1"/>
                  </w14:solidFill>
                </w14:textFill>
              </w:rPr>
              <w:t xml:space="preserve"> 30 </w:t>
            </w:r>
            <w:r>
              <w:rPr>
                <w:color w:val="000000" w:themeColor="text1"/>
                <w:sz w:val="21"/>
                <w:highlight w:val="none"/>
                <w14:textFill>
                  <w14:solidFill>
                    <w14:schemeClr w14:val="tx1"/>
                  </w14:solidFill>
                </w14:textFill>
              </w:rPr>
              <w:t>分</w:t>
            </w:r>
          </w:p>
          <w:p>
            <w:pPr>
              <w:pStyle w:val="32"/>
              <w:spacing w:before="171"/>
              <w:ind w:left="106"/>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投标截止时间：</w:t>
            </w:r>
            <w:r>
              <w:rPr>
                <w:rFonts w:hint="eastAsia"/>
                <w:color w:val="000000" w:themeColor="text1"/>
                <w:sz w:val="21"/>
                <w:highlight w:val="none"/>
                <w:lang w:val="en-US" w:eastAsia="zh-CN"/>
                <w14:textFill>
                  <w14:solidFill>
                    <w14:schemeClr w14:val="tx1"/>
                  </w14:solidFill>
                </w14:textFill>
              </w:rPr>
              <w:t>2020</w:t>
            </w:r>
            <w:r>
              <w:rPr>
                <w:color w:val="000000" w:themeColor="text1"/>
                <w:sz w:val="21"/>
                <w:highlight w:val="none"/>
                <w14:textFill>
                  <w14:solidFill>
                    <w14:schemeClr w14:val="tx1"/>
                  </w14:solidFill>
                </w14:textFill>
              </w:rPr>
              <w:t>年</w:t>
            </w:r>
            <w:r>
              <w:rPr>
                <w:rFonts w:hint="eastAsia"/>
                <w:color w:val="000000" w:themeColor="text1"/>
                <w:sz w:val="21"/>
                <w:highlight w:val="none"/>
                <w:lang w:val="en-US" w:eastAsia="zh-CN"/>
                <w14:textFill>
                  <w14:solidFill>
                    <w14:schemeClr w14:val="tx1"/>
                  </w14:solidFill>
                </w14:textFill>
              </w:rPr>
              <w:t xml:space="preserve">9 </w:t>
            </w:r>
            <w:r>
              <w:rPr>
                <w:color w:val="000000" w:themeColor="text1"/>
                <w:sz w:val="21"/>
                <w:highlight w:val="none"/>
                <w14:textFill>
                  <w14:solidFill>
                    <w14:schemeClr w14:val="tx1"/>
                  </w14:solidFill>
                </w14:textFill>
              </w:rPr>
              <w:t>月</w:t>
            </w:r>
            <w:r>
              <w:rPr>
                <w:rFonts w:hint="eastAsia"/>
                <w:color w:val="000000" w:themeColor="text1"/>
                <w:sz w:val="21"/>
                <w:highlight w:val="none"/>
                <w:lang w:val="en-US" w:eastAsia="zh-CN"/>
                <w14:textFill>
                  <w14:solidFill>
                    <w14:schemeClr w14:val="tx1"/>
                  </w14:solidFill>
                </w14:textFill>
              </w:rPr>
              <w:t xml:space="preserve"> 1 </w:t>
            </w:r>
            <w:r>
              <w:rPr>
                <w:color w:val="000000" w:themeColor="text1"/>
                <w:sz w:val="21"/>
                <w:highlight w:val="none"/>
                <w14:textFill>
                  <w14:solidFill>
                    <w14:schemeClr w14:val="tx1"/>
                  </w14:solidFill>
                </w14:textFill>
              </w:rPr>
              <w:t>日</w:t>
            </w:r>
            <w:r>
              <w:rPr>
                <w:rFonts w:hint="eastAsia"/>
                <w:color w:val="000000" w:themeColor="text1"/>
                <w:sz w:val="21"/>
                <w:highlight w:val="none"/>
                <w:lang w:val="en-US" w:eastAsia="zh-CN"/>
                <w14:textFill>
                  <w14:solidFill>
                    <w14:schemeClr w14:val="tx1"/>
                  </w14:solidFill>
                </w14:textFill>
              </w:rPr>
              <w:t xml:space="preserve"> 9 </w:t>
            </w:r>
            <w:r>
              <w:rPr>
                <w:color w:val="000000" w:themeColor="text1"/>
                <w:sz w:val="21"/>
                <w:highlight w:val="none"/>
                <w14:textFill>
                  <w14:solidFill>
                    <w14:schemeClr w14:val="tx1"/>
                  </w14:solidFill>
                </w14:textFill>
              </w:rPr>
              <w:t>时</w:t>
            </w:r>
            <w:r>
              <w:rPr>
                <w:rFonts w:hint="eastAsia"/>
                <w:color w:val="000000" w:themeColor="text1"/>
                <w:sz w:val="21"/>
                <w:highlight w:val="none"/>
                <w:lang w:val="en-US" w:eastAsia="zh-CN"/>
                <w14:textFill>
                  <w14:solidFill>
                    <w14:schemeClr w14:val="tx1"/>
                  </w14:solidFill>
                </w14:textFill>
              </w:rPr>
              <w:t xml:space="preserve"> 30 </w:t>
            </w:r>
            <w:r>
              <w:rPr>
                <w:color w:val="000000" w:themeColor="text1"/>
                <w:sz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05" w:type="dxa"/>
          </w:tcPr>
          <w:p>
            <w:pPr>
              <w:pStyle w:val="32"/>
              <w:spacing w:before="4"/>
              <w:rPr>
                <w:b/>
                <w:color w:val="000000" w:themeColor="text1"/>
                <w:sz w:val="28"/>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14</w:t>
            </w:r>
          </w:p>
        </w:tc>
        <w:tc>
          <w:tcPr>
            <w:tcW w:w="840" w:type="dxa"/>
          </w:tcPr>
          <w:p>
            <w:pPr>
              <w:pStyle w:val="32"/>
              <w:spacing w:before="4"/>
              <w:rPr>
                <w:b/>
                <w:color w:val="000000" w:themeColor="text1"/>
                <w:sz w:val="28"/>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19.2</w:t>
            </w:r>
          </w:p>
        </w:tc>
        <w:tc>
          <w:tcPr>
            <w:tcW w:w="1725" w:type="dxa"/>
          </w:tcPr>
          <w:p>
            <w:pPr>
              <w:pStyle w:val="32"/>
              <w:spacing w:line="440" w:lineRule="exact"/>
              <w:ind w:left="751" w:right="111" w:hanging="6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投标文件递交地点</w:t>
            </w:r>
          </w:p>
        </w:tc>
        <w:tc>
          <w:tcPr>
            <w:tcW w:w="6195" w:type="dxa"/>
          </w:tcPr>
          <w:p>
            <w:pPr>
              <w:pStyle w:val="32"/>
              <w:spacing w:line="440" w:lineRule="exact"/>
              <w:ind w:left="106" w:right="9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桂林市公共资源交易中心（</w:t>
            </w:r>
            <w:r>
              <w:rPr>
                <w:color w:val="000000" w:themeColor="text1"/>
                <w:spacing w:val="-5"/>
                <w:sz w:val="21"/>
                <w:highlight w:val="none"/>
                <w14:textFill>
                  <w14:solidFill>
                    <w14:schemeClr w14:val="tx1"/>
                  </w14:solidFill>
                </w14:textFill>
              </w:rPr>
              <w:t xml:space="preserve">桂林市临桂区西城中路 </w:t>
            </w:r>
            <w:r>
              <w:rPr>
                <w:color w:val="000000" w:themeColor="text1"/>
                <w:sz w:val="21"/>
                <w:highlight w:val="none"/>
                <w14:textFill>
                  <w14:solidFill>
                    <w14:schemeClr w14:val="tx1"/>
                  </w14:solidFill>
                </w14:textFill>
              </w:rPr>
              <w:t>69</w:t>
            </w:r>
            <w:r>
              <w:rPr>
                <w:color w:val="000000" w:themeColor="text1"/>
                <w:spacing w:val="-20"/>
                <w:sz w:val="21"/>
                <w:highlight w:val="none"/>
                <w14:textFill>
                  <w14:solidFill>
                    <w14:schemeClr w14:val="tx1"/>
                  </w14:solidFill>
                </w14:textFill>
              </w:rPr>
              <w:t xml:space="preserve"> 号创</w:t>
            </w:r>
            <w:r>
              <w:rPr>
                <w:color w:val="000000" w:themeColor="text1"/>
                <w:spacing w:val="-25"/>
                <w:sz w:val="21"/>
                <w:highlight w:val="none"/>
                <w14:textFill>
                  <w14:solidFill>
                    <w14:schemeClr w14:val="tx1"/>
                  </w14:solidFill>
                </w14:textFill>
              </w:rPr>
              <w:t xml:space="preserve">业大厦西辅楼 </w:t>
            </w:r>
            <w:r>
              <w:rPr>
                <w:color w:val="000000" w:themeColor="text1"/>
                <w:sz w:val="21"/>
                <w:highlight w:val="none"/>
                <w14:textFill>
                  <w14:solidFill>
                    <w14:schemeClr w14:val="tx1"/>
                  </w14:solidFill>
                </w14:textFill>
              </w:rPr>
              <w:t>4</w:t>
            </w:r>
            <w:r>
              <w:rPr>
                <w:color w:val="000000" w:themeColor="text1"/>
                <w:spacing w:val="-26"/>
                <w:sz w:val="21"/>
                <w:highlight w:val="none"/>
                <w14:textFill>
                  <w14:solidFill>
                    <w14:schemeClr w14:val="tx1"/>
                  </w14:solidFill>
                </w14:textFill>
              </w:rPr>
              <w:t xml:space="preserve"> 楼</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r>
              <w:rPr>
                <w:rFonts w:hint="eastAsia"/>
                <w:color w:val="000000" w:themeColor="text1"/>
                <w:sz w:val="21"/>
                <w:highlight w:val="none"/>
                <w:u w:val="single"/>
                <w:lang w:val="en-US"/>
                <w14:textFill>
                  <w14:solidFill>
                    <w14:schemeClr w14:val="tx1"/>
                  </w14:solidFill>
                </w14:textFill>
              </w:rPr>
              <w:t xml:space="preserve"> </w:t>
            </w:r>
            <w:r>
              <w:rPr>
                <w:rFonts w:hint="eastAsia"/>
                <w:color w:val="000000" w:themeColor="text1"/>
                <w:sz w:val="21"/>
                <w:highlight w:val="none"/>
                <w:u w:val="single"/>
                <w:lang w:val="en-US" w:eastAsia="zh-CN"/>
                <w14:textFill>
                  <w14:solidFill>
                    <w14:schemeClr w14:val="tx1"/>
                  </w14:solidFill>
                </w14:textFill>
              </w:rPr>
              <w:t>7</w:t>
            </w:r>
            <w:r>
              <w:rPr>
                <w:color w:val="000000" w:themeColor="text1"/>
                <w:spacing w:val="-1"/>
                <w:sz w:val="21"/>
                <w:highlight w:val="none"/>
                <w:u w:val="single"/>
                <w14:textFill>
                  <w14:solidFill>
                    <w14:schemeClr w14:val="tx1"/>
                  </w14:solidFill>
                </w14:textFill>
              </w:rPr>
              <w:t xml:space="preserve"> 号</w:t>
            </w:r>
            <w:r>
              <w:rPr>
                <w:color w:val="000000" w:themeColor="text1"/>
                <w:sz w:val="21"/>
                <w:highlight w:val="none"/>
                <w14:textFill>
                  <w14:solidFill>
                    <w14:schemeClr w14:val="tx1"/>
                  </w14:solidFill>
                </w14:textFill>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8"/>
              <w:rPr>
                <w:b/>
                <w:color w:val="000000" w:themeColor="text1"/>
                <w:sz w:val="19"/>
                <w:highlight w:val="none"/>
                <w14:textFill>
                  <w14:solidFill>
                    <w14:schemeClr w14:val="tx1"/>
                  </w14:solidFill>
                </w14:textFill>
              </w:rPr>
            </w:pPr>
          </w:p>
          <w:p>
            <w:pPr>
              <w:pStyle w:val="32"/>
              <w:spacing w:before="1"/>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15</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8"/>
              <w:rPr>
                <w:b/>
                <w:color w:val="000000" w:themeColor="text1"/>
                <w:sz w:val="19"/>
                <w:highlight w:val="none"/>
                <w14:textFill>
                  <w14:solidFill>
                    <w14:schemeClr w14:val="tx1"/>
                  </w14:solidFill>
                </w14:textFill>
              </w:rPr>
            </w:pPr>
          </w:p>
          <w:p>
            <w:pPr>
              <w:pStyle w:val="32"/>
              <w:spacing w:before="1"/>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8"/>
              <w:rPr>
                <w:b/>
                <w:color w:val="000000" w:themeColor="text1"/>
                <w:sz w:val="19"/>
                <w:highlight w:val="none"/>
                <w14:textFill>
                  <w14:solidFill>
                    <w14:schemeClr w14:val="tx1"/>
                  </w14:solidFill>
                </w14:textFill>
              </w:rPr>
            </w:pPr>
          </w:p>
          <w:p>
            <w:pPr>
              <w:pStyle w:val="32"/>
              <w:spacing w:before="1"/>
              <w:ind w:left="78" w:right="9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评标委员会组成</w:t>
            </w:r>
          </w:p>
        </w:tc>
        <w:tc>
          <w:tcPr>
            <w:tcW w:w="6195" w:type="dxa"/>
          </w:tcPr>
          <w:p>
            <w:pPr>
              <w:pStyle w:val="32"/>
              <w:spacing w:before="142" w:line="391" w:lineRule="auto"/>
              <w:ind w:left="106" w:right="97"/>
              <w:jc w:val="both"/>
              <w:rPr>
                <w:color w:val="000000" w:themeColor="text1"/>
                <w:sz w:val="21"/>
                <w:highlight w:val="none"/>
                <w14:textFill>
                  <w14:solidFill>
                    <w14:schemeClr w14:val="tx1"/>
                  </w14:solidFill>
                </w14:textFill>
              </w:rPr>
            </w:pPr>
            <w:r>
              <w:rPr>
                <w:color w:val="000000" w:themeColor="text1"/>
                <w:spacing w:val="-6"/>
                <w:sz w:val="21"/>
                <w:highlight w:val="none"/>
                <w14:textFill>
                  <w14:solidFill>
                    <w14:schemeClr w14:val="tx1"/>
                  </w14:solidFill>
                </w14:textFill>
              </w:rPr>
              <w:t xml:space="preserve">评标委员会由招标人代表和有关技术、经济等方面的专家共 </w:t>
            </w:r>
            <w:r>
              <w:rPr>
                <w:color w:val="000000" w:themeColor="text1"/>
                <w:spacing w:val="-6"/>
                <w:w w:val="95"/>
                <w:sz w:val="21"/>
                <w:highlight w:val="none"/>
                <w14:textFill>
                  <w14:solidFill>
                    <w14:schemeClr w14:val="tx1"/>
                  </w14:solidFill>
                </w14:textFill>
              </w:rPr>
              <w:t xml:space="preserve"> </w:t>
            </w:r>
            <w:r>
              <w:rPr>
                <w:color w:val="000000" w:themeColor="text1"/>
                <w:spacing w:val="-6"/>
                <w:sz w:val="21"/>
                <w:highlight w:val="none"/>
                <w:u w:val="single"/>
                <w14:textFill>
                  <w14:solidFill>
                    <w14:schemeClr w14:val="tx1"/>
                  </w14:solidFill>
                </w14:textFill>
              </w:rPr>
              <w:t>5</w:t>
            </w:r>
            <w:r>
              <w:rPr>
                <w:color w:val="000000" w:themeColor="text1"/>
                <w:spacing w:val="-6"/>
                <w:sz w:val="21"/>
                <w:highlight w:val="none"/>
                <w14:textFill>
                  <w14:solidFill>
                    <w14:schemeClr w14:val="tx1"/>
                  </w14:solidFill>
                </w14:textFill>
              </w:rPr>
              <w:t xml:space="preserve"> 人组成，其中招标人代表</w:t>
            </w:r>
            <w:r>
              <w:rPr>
                <w:color w:val="000000" w:themeColor="text1"/>
                <w:spacing w:val="-6"/>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 xml:space="preserve">1 </w:t>
            </w:r>
            <w:r>
              <w:rPr>
                <w:color w:val="000000" w:themeColor="text1"/>
                <w:sz w:val="21"/>
                <w:highlight w:val="none"/>
                <w14:textFill>
                  <w14:solidFill>
                    <w14:schemeClr w14:val="tx1"/>
                  </w14:solidFill>
                </w14:textFill>
              </w:rPr>
              <w:t>人</w:t>
            </w:r>
            <w:r>
              <w:rPr>
                <w:color w:val="000000" w:themeColor="text1"/>
                <w:spacing w:val="4"/>
                <w:sz w:val="21"/>
                <w:highlight w:val="none"/>
                <w14:textFill>
                  <w14:solidFill>
                    <w14:schemeClr w14:val="tx1"/>
                  </w14:solidFill>
                </w14:textFill>
              </w:rPr>
              <w:t>（</w:t>
            </w:r>
            <w:r>
              <w:rPr>
                <w:color w:val="000000" w:themeColor="text1"/>
                <w:spacing w:val="1"/>
                <w:sz w:val="21"/>
                <w:highlight w:val="none"/>
                <w14:textFill>
                  <w14:solidFill>
                    <w14:schemeClr w14:val="tx1"/>
                  </w14:solidFill>
                </w14:textFill>
              </w:rPr>
              <w:t>技术类</w:t>
            </w:r>
            <w:r>
              <w:rPr>
                <w:color w:val="000000" w:themeColor="text1"/>
                <w:spacing w:val="3"/>
                <w:sz w:val="21"/>
                <w:highlight w:val="none"/>
                <w14:textFill>
                  <w14:solidFill>
                    <w14:schemeClr w14:val="tx1"/>
                  </w14:solidFill>
                </w14:textFill>
              </w:rPr>
              <w:t>）</w:t>
            </w:r>
            <w:r>
              <w:rPr>
                <w:color w:val="000000" w:themeColor="text1"/>
                <w:sz w:val="21"/>
                <w:highlight w:val="none"/>
                <w14:textFill>
                  <w14:solidFill>
                    <w14:schemeClr w14:val="tx1"/>
                  </w14:solidFill>
                </w14:textFill>
              </w:rPr>
              <w:t>，技术、经济等专家</w:t>
            </w:r>
            <w:r>
              <w:rPr>
                <w:color w:val="000000" w:themeColor="text1"/>
                <w:sz w:val="21"/>
                <w:highlight w:val="none"/>
                <w:u w:val="single"/>
                <w14:textFill>
                  <w14:solidFill>
                    <w14:schemeClr w14:val="tx1"/>
                  </w14:solidFill>
                </w14:textFill>
              </w:rPr>
              <w:t xml:space="preserve"> 4</w:t>
            </w:r>
            <w:r>
              <w:rPr>
                <w:color w:val="000000" w:themeColor="text1"/>
                <w:spacing w:val="-18"/>
                <w:sz w:val="21"/>
                <w:highlight w:val="none"/>
                <w14:textFill>
                  <w14:solidFill>
                    <w14:schemeClr w14:val="tx1"/>
                  </w14:solidFill>
                </w14:textFill>
              </w:rPr>
              <w:t xml:space="preserve"> 人。</w:t>
            </w:r>
          </w:p>
          <w:p>
            <w:pPr>
              <w:pStyle w:val="32"/>
              <w:spacing w:before="5"/>
              <w:ind w:left="106"/>
              <w:rPr>
                <w:color w:val="000000" w:themeColor="text1"/>
                <w:sz w:val="21"/>
                <w:highlight w:val="none"/>
                <w14:textFill>
                  <w14:solidFill>
                    <w14:schemeClr w14:val="tx1"/>
                  </w14:solidFill>
                </w14:textFill>
              </w:rPr>
            </w:pPr>
            <w:r>
              <w:rPr>
                <w:color w:val="000000" w:themeColor="text1"/>
                <w:spacing w:val="-11"/>
                <w:sz w:val="21"/>
                <w:highlight w:val="none"/>
                <w14:textFill>
                  <w14:solidFill>
                    <w14:schemeClr w14:val="tx1"/>
                  </w14:solidFill>
                </w14:textFill>
              </w:rPr>
              <w:t>专家确定方式：评审前由招标代理机构从广西壮族自治区政</w:t>
            </w:r>
            <w:r>
              <w:rPr>
                <w:color w:val="000000" w:themeColor="text1"/>
                <w:sz w:val="21"/>
                <w:highlight w:val="none"/>
                <w14:textFill>
                  <w14:solidFill>
                    <w14:schemeClr w14:val="tx1"/>
                  </w14:solidFill>
                </w14:textFill>
              </w:rPr>
              <w:t>府采购评审专家库系统设立的专家库中通过电脑随机抽取。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5" w:type="dxa"/>
          </w:tcPr>
          <w:p>
            <w:pPr>
              <w:pStyle w:val="32"/>
              <w:spacing w:before="143"/>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16</w:t>
            </w:r>
          </w:p>
        </w:tc>
        <w:tc>
          <w:tcPr>
            <w:tcW w:w="840" w:type="dxa"/>
          </w:tcPr>
          <w:p>
            <w:pPr>
              <w:pStyle w:val="32"/>
              <w:spacing w:before="143"/>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23.2</w:t>
            </w:r>
          </w:p>
        </w:tc>
        <w:tc>
          <w:tcPr>
            <w:tcW w:w="1725" w:type="dxa"/>
          </w:tcPr>
          <w:p>
            <w:pPr>
              <w:pStyle w:val="32"/>
              <w:spacing w:before="143"/>
              <w:ind w:left="89" w:right="8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评标办法</w:t>
            </w:r>
          </w:p>
        </w:tc>
        <w:tc>
          <w:tcPr>
            <w:tcW w:w="6195" w:type="dxa"/>
          </w:tcPr>
          <w:p>
            <w:pPr>
              <w:pStyle w:val="32"/>
              <w:spacing w:before="143"/>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0"/>
              <w:rPr>
                <w:b/>
                <w:color w:val="000000" w:themeColor="text1"/>
                <w:sz w:val="19"/>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17</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0"/>
              <w:rPr>
                <w:b/>
                <w:color w:val="000000" w:themeColor="text1"/>
                <w:sz w:val="19"/>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30</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0"/>
              <w:rPr>
                <w:b/>
                <w:color w:val="000000" w:themeColor="text1"/>
                <w:sz w:val="19"/>
                <w:highlight w:val="none"/>
                <w14:textFill>
                  <w14:solidFill>
                    <w14:schemeClr w14:val="tx1"/>
                  </w14:solidFill>
                </w14:textFill>
              </w:rPr>
            </w:pPr>
          </w:p>
          <w:p>
            <w:pPr>
              <w:pStyle w:val="32"/>
              <w:ind w:left="89" w:right="8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信用查询</w:t>
            </w:r>
          </w:p>
        </w:tc>
        <w:tc>
          <w:tcPr>
            <w:tcW w:w="6195" w:type="dxa"/>
          </w:tcPr>
          <w:p>
            <w:pPr>
              <w:pStyle w:val="32"/>
              <w:spacing w:before="141" w:line="393" w:lineRule="auto"/>
              <w:ind w:left="106" w:right="-15"/>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投标截止时间后由招标人或招标代理机构在对供应商资格审查时，在“信用中国”网站(www.creditchina.gov.cn)、中国政府采购网(www.ccgp.gov.cn)进行信用查询，并直接</w:t>
            </w:r>
            <w:r>
              <w:rPr>
                <w:color w:val="000000" w:themeColor="text1"/>
                <w:spacing w:val="-7"/>
                <w:sz w:val="21"/>
                <w:highlight w:val="none"/>
                <w14:textFill>
                  <w14:solidFill>
                    <w14:schemeClr w14:val="tx1"/>
                  </w14:solidFill>
                </w14:textFill>
              </w:rPr>
              <w:t>打印查询记录，打印材料作为评审资料保存。对在“信用中</w:t>
            </w:r>
            <w:r>
              <w:rPr>
                <w:color w:val="000000" w:themeColor="text1"/>
                <w:spacing w:val="1"/>
                <w:sz w:val="21"/>
                <w:highlight w:val="none"/>
                <w14:textFill>
                  <w14:solidFill>
                    <w14:schemeClr w14:val="tx1"/>
                  </w14:solidFill>
                </w14:textFill>
              </w:rPr>
              <w:t>国” 网站</w:t>
            </w:r>
            <w:r>
              <w:rPr>
                <w:color w:val="000000" w:themeColor="text1"/>
                <w:sz w:val="21"/>
                <w:highlight w:val="none"/>
                <w14:textFill>
                  <w14:solidFill>
                    <w14:schemeClr w14:val="tx1"/>
                  </w14:solidFill>
                </w14:textFill>
              </w:rPr>
              <w:t>(www.credit</w:t>
            </w:r>
          </w:p>
          <w:p>
            <w:pPr>
              <w:pStyle w:val="32"/>
              <w:spacing w:before="141" w:line="393" w:lineRule="auto"/>
              <w:ind w:left="106" w:right="-1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china.gov.cn</w:t>
            </w:r>
            <w:r>
              <w:rPr>
                <w:color w:val="000000" w:themeColor="text1"/>
                <w:spacing w:val="19"/>
                <w:sz w:val="21"/>
                <w:highlight w:val="none"/>
                <w14:textFill>
                  <w14:solidFill>
                    <w14:schemeClr w14:val="tx1"/>
                  </w14:solidFill>
                </w14:textFill>
              </w:rPr>
              <w:t>)、中国政府采购网</w:t>
            </w:r>
            <w:r>
              <w:rPr>
                <w:color w:val="000000" w:themeColor="text1"/>
                <w:sz w:val="21"/>
                <w:highlight w:val="none"/>
                <w14:textFill>
                  <w14:solidFill>
                    <w14:schemeClr w14:val="tx1"/>
                  </w14:solidFill>
                </w14:textFill>
              </w:rPr>
              <w:t>(www.ccgp.gov.cn)被列入失信被执行人、重大税收违法案</w:t>
            </w:r>
            <w:r>
              <w:rPr>
                <w:color w:val="000000" w:themeColor="text1"/>
                <w:spacing w:val="-6"/>
                <w:sz w:val="21"/>
                <w:highlight w:val="none"/>
                <w14:textFill>
                  <w14:solidFill>
                    <w14:schemeClr w14:val="tx1"/>
                  </w14:solidFill>
                </w14:textFill>
              </w:rPr>
              <w:t>件当事人名单、政府采购严重违法失信行为记录名单及其他 不符合《中华人民共和国政府采购法》第二十二条规定条件</w:t>
            </w:r>
            <w:r>
              <w:rPr>
                <w:color w:val="000000" w:themeColor="text1"/>
                <w:sz w:val="21"/>
                <w:highlight w:val="none"/>
                <w14:textFill>
                  <w14:solidFill>
                    <w14:schemeClr w14:val="tx1"/>
                  </w14:solidFill>
                </w14:textFill>
              </w:rPr>
              <w:t>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6"/>
              <w:rPr>
                <w:b/>
                <w:color w:val="000000" w:themeColor="text1"/>
                <w:sz w:val="28"/>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18</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6"/>
              <w:rPr>
                <w:b/>
                <w:color w:val="000000" w:themeColor="text1"/>
                <w:sz w:val="28"/>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31</w:t>
            </w:r>
          </w:p>
        </w:tc>
        <w:tc>
          <w:tcPr>
            <w:tcW w:w="172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44" w:line="391" w:lineRule="auto"/>
              <w:ind w:left="540" w:right="111" w:hanging="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中标公告及中标通知书</w:t>
            </w:r>
          </w:p>
        </w:tc>
        <w:tc>
          <w:tcPr>
            <w:tcW w:w="6195" w:type="dxa"/>
          </w:tcPr>
          <w:p>
            <w:pPr>
              <w:pStyle w:val="32"/>
              <w:numPr>
                <w:ilvl w:val="1"/>
                <w:numId w:val="6"/>
              </w:numPr>
              <w:tabs>
                <w:tab w:val="left" w:pos="633"/>
              </w:tabs>
              <w:spacing w:before="141" w:line="393" w:lineRule="auto"/>
              <w:ind w:right="97" w:firstLine="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招标代理机构于评标结束后两个工作日内将评审报告</w:t>
            </w:r>
            <w:r>
              <w:rPr>
                <w:color w:val="000000" w:themeColor="text1"/>
                <w:spacing w:val="-6"/>
                <w:sz w:val="21"/>
                <w:highlight w:val="none"/>
                <w14:textFill>
                  <w14:solidFill>
                    <w14:schemeClr w14:val="tx1"/>
                  </w14:solidFill>
                </w14:textFill>
              </w:rPr>
              <w:t>送交招标人，招标人应当自收到评标报告五个工作日内在评 标报告推荐的中标候选人中按顺序确定中标人，招标代理机 构在中标人确定之日起两个工作日内发出中标通知书，并在</w:t>
            </w:r>
            <w:r>
              <w:rPr>
                <w:color w:val="000000" w:themeColor="text1"/>
                <w:spacing w:val="-20"/>
                <w:w w:val="95"/>
                <w:sz w:val="21"/>
                <w:highlight w:val="none"/>
                <w14:textFill>
                  <w14:solidFill>
                    <w14:schemeClr w14:val="tx1"/>
                  </w14:solidFill>
                </w14:textFill>
              </w:rPr>
              <w:t xml:space="preserve"> </w:t>
            </w:r>
            <w:r>
              <w:rPr>
                <w:color w:val="000000" w:themeColor="text1"/>
                <w:spacing w:val="-20"/>
                <w:sz w:val="21"/>
                <w:highlight w:val="none"/>
                <w14:textFill>
                  <w14:solidFill>
                    <w14:schemeClr w14:val="tx1"/>
                  </w14:solidFill>
                </w14:textFill>
              </w:rPr>
              <w:t>指定媒体上公告中标信息。</w:t>
            </w:r>
          </w:p>
          <w:p>
            <w:pPr>
              <w:pStyle w:val="32"/>
              <w:numPr>
                <w:ilvl w:val="1"/>
                <w:numId w:val="6"/>
              </w:numPr>
              <w:tabs>
                <w:tab w:val="left" w:pos="633"/>
              </w:tabs>
              <w:spacing w:line="393" w:lineRule="auto"/>
              <w:ind w:right="97" w:firstLine="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中标人应自接到代理机构电话通知之日起七个工作日</w:t>
            </w:r>
            <w:r>
              <w:rPr>
                <w:color w:val="000000" w:themeColor="text1"/>
                <w:spacing w:val="-6"/>
                <w:sz w:val="21"/>
                <w:highlight w:val="none"/>
                <w14:textFill>
                  <w14:solidFill>
                    <w14:schemeClr w14:val="tx1"/>
                  </w14:solidFill>
                </w14:textFill>
              </w:rPr>
              <w:t>内，办理中标通知书领取手续，如不按期办理领取手续，视 为自动放弃中标资格。并从评标委员会推荐的中标候选人中</w:t>
            </w:r>
            <w:r>
              <w:rPr>
                <w:color w:val="000000" w:themeColor="text1"/>
                <w:sz w:val="21"/>
                <w:highlight w:val="none"/>
                <w14:textFill>
                  <w14:solidFill>
                    <w14:schemeClr w14:val="tx1"/>
                  </w14:solidFill>
                </w14:textFill>
              </w:rPr>
              <w:t>按顺序重新确定中标人。</w:t>
            </w:r>
          </w:p>
        </w:tc>
      </w:tr>
    </w:tbl>
    <w:p>
      <w:pPr>
        <w:spacing w:line="263" w:lineRule="exact"/>
        <w:rPr>
          <w:color w:val="000000" w:themeColor="text1"/>
          <w:sz w:val="21"/>
          <w:highlight w:val="none"/>
          <w14:textFill>
            <w14:solidFill>
              <w14:schemeClr w14:val="tx1"/>
            </w14:solidFill>
          </w14:textFill>
        </w:rPr>
        <w:sectPr>
          <w:pgSz w:w="11910" w:h="16840"/>
          <w:pgMar w:top="1400" w:right="1140" w:bottom="820" w:left="1200" w:header="0" w:footer="640" w:gutter="0"/>
          <w:cols w:space="720" w:num="1"/>
        </w:sectPr>
      </w:pPr>
    </w:p>
    <w:tbl>
      <w:tblPr>
        <w:tblStyle w:val="23"/>
        <w:tblW w:w="946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840"/>
        <w:gridCol w:w="1982"/>
        <w:gridCol w:w="5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05" w:type="dxa"/>
          </w:tcPr>
          <w:p>
            <w:pPr>
              <w:pStyle w:val="32"/>
              <w:rPr>
                <w:b/>
                <w:color w:val="000000" w:themeColor="text1"/>
                <w:sz w:val="20"/>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19</w:t>
            </w:r>
          </w:p>
        </w:tc>
        <w:tc>
          <w:tcPr>
            <w:tcW w:w="840" w:type="dxa"/>
          </w:tcPr>
          <w:p>
            <w:pPr>
              <w:pStyle w:val="32"/>
              <w:spacing w:before="6"/>
              <w:rPr>
                <w:b/>
                <w:color w:val="000000" w:themeColor="text1"/>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32.1</w:t>
            </w:r>
          </w:p>
        </w:tc>
        <w:tc>
          <w:tcPr>
            <w:tcW w:w="1982" w:type="dxa"/>
          </w:tcPr>
          <w:p>
            <w:pPr>
              <w:pStyle w:val="32"/>
              <w:rPr>
                <w:b/>
                <w:color w:val="000000" w:themeColor="text1"/>
                <w:sz w:val="20"/>
                <w:highlight w:val="none"/>
                <w14:textFill>
                  <w14:solidFill>
                    <w14:schemeClr w14:val="tx1"/>
                  </w14:solidFill>
                </w14:textFill>
              </w:rPr>
            </w:pPr>
          </w:p>
          <w:p>
            <w:pPr>
              <w:pStyle w:val="32"/>
              <w:ind w:left="89"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履约保证金</w:t>
            </w:r>
          </w:p>
        </w:tc>
        <w:tc>
          <w:tcPr>
            <w:tcW w:w="5938" w:type="dxa"/>
            <w:vAlign w:val="center"/>
          </w:tcPr>
          <w:p>
            <w:pPr>
              <w:pStyle w:val="13"/>
              <w:spacing w:line="391" w:lineRule="auto"/>
              <w:ind w:right="314"/>
              <w:jc w:val="both"/>
              <w:rPr>
                <w:color w:val="000000" w:themeColor="text1"/>
                <w:sz w:val="21"/>
                <w:highlight w:val="none"/>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合同金额5%，履约保证形式和提交时间等双方自行约定。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5" w:type="dxa"/>
          </w:tcPr>
          <w:p>
            <w:pPr>
              <w:pStyle w:val="32"/>
              <w:spacing w:before="14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20</w:t>
            </w:r>
          </w:p>
        </w:tc>
        <w:tc>
          <w:tcPr>
            <w:tcW w:w="840" w:type="dxa"/>
          </w:tcPr>
          <w:p>
            <w:pPr>
              <w:pStyle w:val="32"/>
              <w:spacing w:before="14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33.1</w:t>
            </w:r>
          </w:p>
        </w:tc>
        <w:tc>
          <w:tcPr>
            <w:tcW w:w="1982" w:type="dxa"/>
          </w:tcPr>
          <w:p>
            <w:pPr>
              <w:pStyle w:val="32"/>
              <w:spacing w:before="14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签订合同时间</w:t>
            </w:r>
          </w:p>
        </w:tc>
        <w:tc>
          <w:tcPr>
            <w:tcW w:w="5938" w:type="dxa"/>
          </w:tcPr>
          <w:p>
            <w:pPr>
              <w:pStyle w:val="32"/>
              <w:spacing w:before="14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中标通知书发出之日起</w:t>
            </w:r>
            <w:r>
              <w:rPr>
                <w:rFonts w:hint="eastAsia"/>
                <w:color w:val="000000" w:themeColor="text1"/>
                <w:sz w:val="21"/>
                <w:highlight w:val="none"/>
                <w14:textFill>
                  <w14:solidFill>
                    <w14:schemeClr w14:val="tx1"/>
                  </w14:solidFill>
                </w14:textFill>
              </w:rPr>
              <w:t>二十五</w:t>
            </w:r>
            <w:r>
              <w:rPr>
                <w:color w:val="000000" w:themeColor="text1"/>
                <w:sz w:val="21"/>
                <w:highlight w:val="none"/>
                <w14:textFill>
                  <w14:solidFill>
                    <w14:schemeClr w14:val="tx1"/>
                  </w14:solidFill>
                </w14:textFill>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705"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9"/>
              <w:rPr>
                <w:b/>
                <w:color w:val="000000" w:themeColor="text1"/>
                <w:sz w:val="19"/>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21</w:t>
            </w:r>
          </w:p>
        </w:tc>
        <w:tc>
          <w:tcPr>
            <w:tcW w:w="840"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9"/>
              <w:rPr>
                <w:b/>
                <w:color w:val="000000" w:themeColor="text1"/>
                <w:sz w:val="19"/>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33.3</w:t>
            </w:r>
          </w:p>
        </w:tc>
        <w:tc>
          <w:tcPr>
            <w:tcW w:w="1982" w:type="dxa"/>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9"/>
              <w:rPr>
                <w:b/>
                <w:color w:val="000000" w:themeColor="text1"/>
                <w:sz w:val="19"/>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合同备案存档</w:t>
            </w:r>
          </w:p>
        </w:tc>
        <w:tc>
          <w:tcPr>
            <w:tcW w:w="5938" w:type="dxa"/>
          </w:tcPr>
          <w:p>
            <w:pPr>
              <w:pStyle w:val="32"/>
              <w:spacing w:before="141" w:line="393" w:lineRule="auto"/>
              <w:ind w:left="106" w:right="97"/>
              <w:jc w:val="both"/>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 xml:space="preserve">政府采购合同双方自签订之日起 </w:t>
            </w:r>
            <w:r>
              <w:rPr>
                <w:color w:val="000000" w:themeColor="text1"/>
                <w:sz w:val="21"/>
                <w:highlight w:val="none"/>
                <w14:textFill>
                  <w14:solidFill>
                    <w14:schemeClr w14:val="tx1"/>
                  </w14:solidFill>
                </w14:textFill>
              </w:rPr>
              <w:t>1</w:t>
            </w:r>
            <w:r>
              <w:rPr>
                <w:color w:val="000000" w:themeColor="text1"/>
                <w:spacing w:val="-3"/>
                <w:sz w:val="21"/>
                <w:highlight w:val="none"/>
                <w14:textFill>
                  <w14:solidFill>
                    <w14:schemeClr w14:val="tx1"/>
                  </w14:solidFill>
                </w14:textFill>
              </w:rPr>
              <w:t xml:space="preserve"> 个工作日内将合同原件</w:t>
            </w:r>
            <w:r>
              <w:rPr>
                <w:color w:val="000000" w:themeColor="text1"/>
                <w:sz w:val="21"/>
                <w:highlight w:val="none"/>
                <w14:textFill>
                  <w14:solidFill>
                    <w14:schemeClr w14:val="tx1"/>
                  </w14:solidFill>
                </w14:textFill>
              </w:rPr>
              <w:t>两份交招标代理机构。招标代理机构将政府采购合同在省级 以上人民政府财政部门指定媒体上公告并于合同签订之日起七个工作日内将一份合同原件送广西壮族自治区财政厅政府采购监督管理处备案，一份由招标代理机构存档。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5" w:type="dxa"/>
            <w:vAlign w:val="center"/>
          </w:tcPr>
          <w:p>
            <w:pPr>
              <w:pStyle w:val="32"/>
              <w:jc w:val="center"/>
              <w:rPr>
                <w:b/>
                <w:color w:val="000000" w:themeColor="text1"/>
                <w:sz w:val="20"/>
                <w:highlight w:val="none"/>
                <w14:textFill>
                  <w14:solidFill>
                    <w14:schemeClr w14:val="tx1"/>
                  </w14:solidFill>
                </w14:textFill>
              </w:rPr>
            </w:pPr>
          </w:p>
          <w:p>
            <w:pPr>
              <w:pStyle w:val="32"/>
              <w:ind w:right="23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w:t>
            </w:r>
          </w:p>
        </w:tc>
        <w:tc>
          <w:tcPr>
            <w:tcW w:w="840" w:type="dxa"/>
            <w:vAlign w:val="center"/>
          </w:tcPr>
          <w:p>
            <w:pPr>
              <w:pStyle w:val="32"/>
              <w:jc w:val="center"/>
              <w:rPr>
                <w:b/>
                <w:color w:val="000000" w:themeColor="text1"/>
                <w:sz w:val="20"/>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34</w:t>
            </w:r>
          </w:p>
        </w:tc>
        <w:tc>
          <w:tcPr>
            <w:tcW w:w="1982" w:type="dxa"/>
            <w:vAlign w:val="center"/>
          </w:tcPr>
          <w:p>
            <w:pPr>
              <w:pStyle w:val="32"/>
              <w:jc w:val="center"/>
              <w:rPr>
                <w:b/>
                <w:color w:val="000000" w:themeColor="text1"/>
                <w:sz w:val="20"/>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招标代理服务费</w:t>
            </w:r>
          </w:p>
        </w:tc>
        <w:tc>
          <w:tcPr>
            <w:tcW w:w="5938" w:type="dxa"/>
          </w:tcPr>
          <w:p>
            <w:pPr>
              <w:pStyle w:val="32"/>
              <w:spacing w:line="400" w:lineRule="exact"/>
              <w:ind w:left="108"/>
              <w:rPr>
                <w:color w:val="000000" w:themeColor="text1"/>
                <w:spacing w:val="-2"/>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中标人领取中标通知书前，向招标代理机构一次性付清招标 代理服务费，本项目的招标代理服务收费标准参照计价格[2002]</w:t>
            </w:r>
          </w:p>
          <w:p>
            <w:pPr>
              <w:pStyle w:val="32"/>
              <w:spacing w:line="400" w:lineRule="exact"/>
              <w:ind w:left="108"/>
              <w:rPr>
                <w:color w:val="000000" w:themeColor="text1"/>
                <w:spacing w:val="-2"/>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1980 号《招标代理服务收费管理暂行办法》。</w:t>
            </w:r>
          </w:p>
          <w:p>
            <w:pPr>
              <w:pStyle w:val="158"/>
              <w:snapToGrid w:val="0"/>
              <w:spacing w:line="380" w:lineRule="exact"/>
              <w:rPr>
                <w:rFonts w:hAnsi="宋体"/>
                <w:color w:val="000000" w:themeColor="text1"/>
                <w:spacing w:val="-2"/>
                <w:sz w:val="21"/>
                <w:szCs w:val="22"/>
                <w:highlight w:val="none"/>
                <w14:textFill>
                  <w14:solidFill>
                    <w14:schemeClr w14:val="tx1"/>
                  </w14:solidFill>
                </w14:textFill>
              </w:rPr>
            </w:pPr>
            <w:r>
              <w:rPr>
                <w:rFonts w:hint="eastAsia" w:hAnsi="宋体"/>
                <w:color w:val="000000" w:themeColor="text1"/>
                <w:spacing w:val="-2"/>
                <w:sz w:val="21"/>
                <w:szCs w:val="22"/>
                <w:highlight w:val="none"/>
                <w14:textFill>
                  <w14:solidFill>
                    <w14:schemeClr w14:val="tx1"/>
                  </w14:solidFill>
                </w14:textFill>
              </w:rPr>
              <w:t>账户名称：广西真诚工程咨询有限公司桂林分公司</w:t>
            </w:r>
          </w:p>
          <w:p>
            <w:pPr>
              <w:spacing w:line="320" w:lineRule="exact"/>
              <w:rPr>
                <w:color w:val="000000" w:themeColor="text1"/>
                <w:szCs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 xml:space="preserve">开户银行：广西桂林漓江农村合作银行和平支行  </w:t>
            </w:r>
            <w:r>
              <w:rPr>
                <w:rFonts w:hint="eastAsia"/>
                <w:color w:val="000000" w:themeColor="text1"/>
                <w:szCs w:val="21"/>
                <w:highlight w:val="none"/>
                <w14:textFill>
                  <w14:solidFill>
                    <w14:schemeClr w14:val="tx1"/>
                  </w14:solidFill>
                </w14:textFill>
              </w:rPr>
              <w:t xml:space="preserve"> </w:t>
            </w:r>
          </w:p>
          <w:p>
            <w:pPr>
              <w:pStyle w:val="13"/>
              <w:spacing w:before="126"/>
              <w:rPr>
                <w:color w:val="000000" w:themeColor="text1"/>
                <w:spacing w:val="-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银行账号：3635 1201 0105 5067 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05" w:type="dxa"/>
            <w:vAlign w:val="center"/>
          </w:tcPr>
          <w:p>
            <w:pPr>
              <w:pStyle w:val="32"/>
              <w:spacing w:before="4"/>
              <w:jc w:val="center"/>
              <w:rPr>
                <w:b/>
                <w:color w:val="000000" w:themeColor="text1"/>
                <w:sz w:val="25"/>
                <w:highlight w:val="none"/>
                <w14:textFill>
                  <w14:solidFill>
                    <w14:schemeClr w14:val="tx1"/>
                  </w14:solidFill>
                </w14:textFill>
              </w:rPr>
            </w:pPr>
          </w:p>
          <w:p>
            <w:pPr>
              <w:pStyle w:val="32"/>
              <w:ind w:right="23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23</w:t>
            </w:r>
          </w:p>
        </w:tc>
        <w:tc>
          <w:tcPr>
            <w:tcW w:w="840" w:type="dxa"/>
            <w:vAlign w:val="center"/>
          </w:tcPr>
          <w:p>
            <w:pPr>
              <w:pStyle w:val="32"/>
              <w:ind w:left="91" w:right="80"/>
              <w:jc w:val="center"/>
              <w:rPr>
                <w:color w:val="000000" w:themeColor="text1"/>
                <w:sz w:val="21"/>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36</w:t>
            </w:r>
          </w:p>
        </w:tc>
        <w:tc>
          <w:tcPr>
            <w:tcW w:w="1982" w:type="dxa"/>
            <w:vAlign w:val="center"/>
          </w:tcPr>
          <w:p>
            <w:pPr>
              <w:pStyle w:val="32"/>
              <w:jc w:val="center"/>
              <w:rPr>
                <w:b/>
                <w:color w:val="000000" w:themeColor="text1"/>
                <w:sz w:val="20"/>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解释权</w:t>
            </w:r>
          </w:p>
        </w:tc>
        <w:tc>
          <w:tcPr>
            <w:tcW w:w="5938" w:type="dxa"/>
          </w:tcPr>
          <w:p>
            <w:pPr>
              <w:pStyle w:val="32"/>
              <w:spacing w:before="4" w:line="400" w:lineRule="exact"/>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本招标文件是根据《中华人民共和国政府采购法》、《中华 人民共和国政府采购法实施条例》和政府采购管理有关规定编制，本招标文件的解释权属于招标代理机构。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05" w:type="dxa"/>
          </w:tcPr>
          <w:p>
            <w:pPr>
              <w:pStyle w:val="32"/>
              <w:rPr>
                <w:b/>
                <w:color w:val="000000" w:themeColor="text1"/>
                <w:sz w:val="20"/>
                <w:highlight w:val="none"/>
                <w14:textFill>
                  <w14:solidFill>
                    <w14:schemeClr w14:val="tx1"/>
                  </w14:solidFill>
                </w14:textFill>
              </w:rPr>
            </w:pPr>
          </w:p>
          <w:p>
            <w:pPr>
              <w:pStyle w:val="32"/>
              <w:ind w:right="239"/>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24</w:t>
            </w:r>
          </w:p>
        </w:tc>
        <w:tc>
          <w:tcPr>
            <w:tcW w:w="840" w:type="dxa"/>
          </w:tcPr>
          <w:p>
            <w:pPr>
              <w:pStyle w:val="32"/>
              <w:rPr>
                <w:b/>
                <w:color w:val="000000" w:themeColor="text1"/>
                <w:sz w:val="20"/>
                <w:highlight w:val="none"/>
                <w14:textFill>
                  <w14:solidFill>
                    <w14:schemeClr w14:val="tx1"/>
                  </w14:solidFill>
                </w14:textFill>
              </w:rPr>
            </w:pPr>
          </w:p>
          <w:p>
            <w:pPr>
              <w:pStyle w:val="32"/>
              <w:ind w:left="91" w:right="8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37</w:t>
            </w:r>
          </w:p>
        </w:tc>
        <w:tc>
          <w:tcPr>
            <w:tcW w:w="1982" w:type="dxa"/>
          </w:tcPr>
          <w:p>
            <w:pPr>
              <w:pStyle w:val="32"/>
              <w:rPr>
                <w:b/>
                <w:color w:val="000000" w:themeColor="text1"/>
                <w:sz w:val="20"/>
                <w:highlight w:val="none"/>
                <w14:textFill>
                  <w14:solidFill>
                    <w14:schemeClr w14:val="tx1"/>
                  </w14:solidFill>
                </w14:textFill>
              </w:rPr>
            </w:pPr>
          </w:p>
          <w:p>
            <w:pPr>
              <w:pStyle w:val="32"/>
              <w:ind w:left="89"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监督管理部门</w:t>
            </w:r>
          </w:p>
        </w:tc>
        <w:tc>
          <w:tcPr>
            <w:tcW w:w="5938" w:type="dxa"/>
          </w:tcPr>
          <w:p>
            <w:pPr>
              <w:pStyle w:val="32"/>
              <w:spacing w:before="142" w:line="391" w:lineRule="auto"/>
              <w:ind w:left="106" w:right="97"/>
              <w:rPr>
                <w:rFonts w:hint="eastAsia"/>
                <w:color w:val="000000" w:themeColor="text1"/>
                <w:spacing w:val="-9"/>
                <w:sz w:val="21"/>
                <w:highlight w:val="none"/>
                <w:lang w:val="en-US"/>
                <w14:textFill>
                  <w14:solidFill>
                    <w14:schemeClr w14:val="tx1"/>
                  </w14:solidFill>
                </w14:textFill>
              </w:rPr>
            </w:pPr>
            <w:r>
              <w:rPr>
                <w:color w:val="000000" w:themeColor="text1"/>
                <w:spacing w:val="-9"/>
                <w:sz w:val="21"/>
                <w:highlight w:val="none"/>
                <w14:textFill>
                  <w14:solidFill>
                    <w14:schemeClr w14:val="tx1"/>
                  </w14:solidFill>
                </w14:textFill>
              </w:rPr>
              <w:t>广西壮族自治区财政厅政府采购监督管理处</w:t>
            </w:r>
            <w:r>
              <w:rPr>
                <w:rFonts w:hint="eastAsia"/>
                <w:color w:val="000000" w:themeColor="text1"/>
                <w:spacing w:val="-9"/>
                <w:sz w:val="21"/>
                <w:highlight w:val="none"/>
                <w:lang w:val="en-US"/>
                <w14:textFill>
                  <w14:solidFill>
                    <w14:schemeClr w14:val="tx1"/>
                  </w14:solidFill>
                </w14:textFill>
              </w:rPr>
              <w:t xml:space="preserve">   </w:t>
            </w:r>
          </w:p>
          <w:p>
            <w:pPr>
              <w:pStyle w:val="32"/>
              <w:spacing w:before="142" w:line="391" w:lineRule="auto"/>
              <w:ind w:left="106" w:right="9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联系电话：0771-5331544</w:t>
            </w:r>
          </w:p>
        </w:tc>
      </w:tr>
    </w:tbl>
    <w:p>
      <w:pPr>
        <w:rPr>
          <w:color w:val="000000" w:themeColor="text1"/>
          <w:sz w:val="21"/>
          <w:highlight w:val="none"/>
          <w14:textFill>
            <w14:solidFill>
              <w14:schemeClr w14:val="tx1"/>
            </w14:solidFill>
          </w14:textFill>
        </w:rPr>
        <w:sectPr>
          <w:pgSz w:w="11910" w:h="16840"/>
          <w:pgMar w:top="1400" w:right="1140" w:bottom="820" w:left="1200" w:header="0" w:footer="640" w:gutter="0"/>
          <w:cols w:space="720" w:num="1"/>
        </w:sectPr>
      </w:pPr>
    </w:p>
    <w:p>
      <w:pPr>
        <w:spacing w:before="55"/>
        <w:ind w:right="101"/>
        <w:jc w:val="center"/>
        <w:outlineLvl w:val="1"/>
        <w:rPr>
          <w:b/>
          <w:color w:val="000000" w:themeColor="text1"/>
          <w:sz w:val="32"/>
          <w:highlight w:val="none"/>
          <w14:textFill>
            <w14:solidFill>
              <w14:schemeClr w14:val="tx1"/>
            </w14:solidFill>
          </w14:textFill>
        </w:rPr>
      </w:pPr>
      <w:bookmarkStart w:id="6" w:name="一、总则"/>
      <w:bookmarkEnd w:id="6"/>
      <w:bookmarkStart w:id="7" w:name="_Toc16674"/>
      <w:r>
        <w:rPr>
          <w:b/>
          <w:color w:val="000000" w:themeColor="text1"/>
          <w:sz w:val="32"/>
          <w:highlight w:val="none"/>
          <w14:textFill>
            <w14:solidFill>
              <w14:schemeClr w14:val="tx1"/>
            </w14:solidFill>
          </w14:textFill>
        </w:rPr>
        <w:t>一、总则</w:t>
      </w:r>
      <w:bookmarkEnd w:id="7"/>
    </w:p>
    <w:p>
      <w:pPr>
        <w:pStyle w:val="13"/>
        <w:rPr>
          <w:b/>
          <w:color w:val="000000" w:themeColor="text1"/>
          <w:sz w:val="20"/>
          <w:highlight w:val="none"/>
          <w14:textFill>
            <w14:solidFill>
              <w14:schemeClr w14:val="tx1"/>
            </w14:solidFill>
          </w14:textFill>
        </w:rPr>
      </w:pPr>
    </w:p>
    <w:p>
      <w:pPr>
        <w:pStyle w:val="13"/>
        <w:spacing w:before="7"/>
        <w:rPr>
          <w:b/>
          <w:color w:val="000000" w:themeColor="text1"/>
          <w:sz w:val="15"/>
          <w:highlight w:val="none"/>
          <w14:textFill>
            <w14:solidFill>
              <w14:schemeClr w14:val="tx1"/>
            </w14:solidFill>
          </w14:textFill>
        </w:rPr>
      </w:pPr>
    </w:p>
    <w:p>
      <w:pPr>
        <w:pStyle w:val="31"/>
        <w:numPr>
          <w:ilvl w:val="0"/>
          <w:numId w:val="7"/>
        </w:numPr>
        <w:tabs>
          <w:tab w:val="left" w:pos="946"/>
        </w:tabs>
        <w:spacing w:before="70" w:line="391" w:lineRule="auto"/>
        <w:ind w:right="5879" w:firstLine="0"/>
        <w:rPr>
          <w:color w:val="000000" w:themeColor="text1"/>
          <w:sz w:val="21"/>
          <w:highlight w:val="none"/>
          <w14:textFill>
            <w14:solidFill>
              <w14:schemeClr w14:val="tx1"/>
            </w14:solidFill>
          </w14:textFill>
        </w:rPr>
      </w:pPr>
      <w:r>
        <w:rPr>
          <w:b/>
          <w:color w:val="000000" w:themeColor="text1"/>
          <w:spacing w:val="-1"/>
          <w:sz w:val="21"/>
          <w:highlight w:val="none"/>
          <w14:textFill>
            <w14:solidFill>
              <w14:schemeClr w14:val="tx1"/>
            </w14:solidFill>
          </w14:textFill>
        </w:rPr>
        <w:t>采购项目名称及采购项目编号</w:t>
      </w:r>
      <w:r>
        <w:rPr>
          <w:color w:val="000000" w:themeColor="text1"/>
          <w:sz w:val="21"/>
          <w:highlight w:val="none"/>
          <w14:textFill>
            <w14:solidFill>
              <w14:schemeClr w14:val="tx1"/>
            </w14:solidFill>
          </w14:textFill>
        </w:rPr>
        <w:t>详见投标人须知前附表</w:t>
      </w:r>
    </w:p>
    <w:p>
      <w:pPr>
        <w:pStyle w:val="7"/>
        <w:numPr>
          <w:ilvl w:val="0"/>
          <w:numId w:val="7"/>
        </w:numPr>
        <w:tabs>
          <w:tab w:val="left" w:pos="946"/>
        </w:tabs>
        <w:spacing w:before="4"/>
        <w:ind w:left="945"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适应范围</w:t>
      </w:r>
    </w:p>
    <w:p>
      <w:pPr>
        <w:pStyle w:val="13"/>
        <w:spacing w:before="170" w:line="391" w:lineRule="auto"/>
        <w:ind w:left="215" w:right="302" w:firstLine="436"/>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 xml:space="preserve">本招标文件适用本招标采购项目的招标、投标、评标、合同履约、验收、付款等行为（法律、 </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法规另有规定的，从其规定）。</w:t>
      </w:r>
    </w:p>
    <w:p>
      <w:pPr>
        <w:pStyle w:val="7"/>
        <w:numPr>
          <w:ilvl w:val="0"/>
          <w:numId w:val="7"/>
        </w:numPr>
        <w:tabs>
          <w:tab w:val="left" w:pos="970"/>
        </w:tabs>
        <w:spacing w:before="3"/>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定义</w:t>
      </w:r>
    </w:p>
    <w:p>
      <w:pPr>
        <w:pStyle w:val="31"/>
        <w:numPr>
          <w:ilvl w:val="1"/>
          <w:numId w:val="7"/>
        </w:numPr>
        <w:tabs>
          <w:tab w:val="left" w:pos="970"/>
        </w:tabs>
        <w:spacing w:before="171"/>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“招标采购人”是指组织本次招标的招标人。</w:t>
      </w:r>
    </w:p>
    <w:p>
      <w:pPr>
        <w:pStyle w:val="31"/>
        <w:numPr>
          <w:ilvl w:val="1"/>
          <w:numId w:val="7"/>
        </w:numPr>
        <w:tabs>
          <w:tab w:val="left" w:pos="970"/>
        </w:tabs>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“投标人”是指向招标方提交投标文件的投标人。</w:t>
      </w:r>
    </w:p>
    <w:p>
      <w:pPr>
        <w:pStyle w:val="31"/>
        <w:numPr>
          <w:ilvl w:val="1"/>
          <w:numId w:val="7"/>
        </w:numPr>
        <w:tabs>
          <w:tab w:val="left" w:pos="970"/>
        </w:tabs>
        <w:spacing w:before="172" w:line="391" w:lineRule="auto"/>
        <w:ind w:left="215" w:right="319" w:firstLine="4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“货物”系指按招标文件规定，投标人须向招标人提供的一切设备、保险、税金、备品备件、工具、手册及其它有关技术资料和材料。</w:t>
      </w:r>
    </w:p>
    <w:p>
      <w:pPr>
        <w:pStyle w:val="31"/>
        <w:numPr>
          <w:ilvl w:val="1"/>
          <w:numId w:val="7"/>
        </w:numPr>
        <w:tabs>
          <w:tab w:val="left" w:pos="970"/>
        </w:tabs>
        <w:spacing w:before="1" w:line="393" w:lineRule="auto"/>
        <w:ind w:left="215" w:right="319" w:firstLine="4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“服务”系指招标文件规定，投标人须承担的安装、调试、技术协助、校准、培训、技术指导以及其他类似的义务。</w:t>
      </w:r>
    </w:p>
    <w:p>
      <w:pPr>
        <w:pStyle w:val="31"/>
        <w:numPr>
          <w:ilvl w:val="1"/>
          <w:numId w:val="7"/>
        </w:numPr>
        <w:tabs>
          <w:tab w:val="left" w:pos="970"/>
        </w:tabs>
        <w:spacing w:before="0" w:line="267" w:lineRule="exact"/>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“项目”系指投标人按招标文件规定向招标人提供的货物和服务。</w:t>
      </w:r>
    </w:p>
    <w:p>
      <w:pPr>
        <w:pStyle w:val="31"/>
        <w:numPr>
          <w:ilvl w:val="1"/>
          <w:numId w:val="7"/>
        </w:numPr>
        <w:tabs>
          <w:tab w:val="left" w:pos="970"/>
        </w:tabs>
        <w:spacing w:before="171"/>
        <w:ind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“书面形式”包括信函、传真、电报。</w:t>
      </w:r>
    </w:p>
    <w:p>
      <w:pPr>
        <w:pStyle w:val="31"/>
        <w:numPr>
          <w:ilvl w:val="0"/>
          <w:numId w:val="7"/>
        </w:numPr>
        <w:tabs>
          <w:tab w:val="left" w:pos="970"/>
        </w:tabs>
        <w:spacing w:before="172" w:line="391" w:lineRule="auto"/>
        <w:ind w:left="652" w:right="7442" w:firstLine="0"/>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 xml:space="preserve">招标方式  </w:t>
      </w:r>
      <w:r>
        <w:rPr>
          <w:color w:val="000000" w:themeColor="text1"/>
          <w:spacing w:val="-2"/>
          <w:sz w:val="21"/>
          <w:highlight w:val="none"/>
          <w14:textFill>
            <w14:solidFill>
              <w14:schemeClr w14:val="tx1"/>
            </w14:solidFill>
          </w14:textFill>
        </w:rPr>
        <w:t>公开招标方式。</w:t>
      </w:r>
    </w:p>
    <w:p>
      <w:pPr>
        <w:pStyle w:val="7"/>
        <w:numPr>
          <w:ilvl w:val="0"/>
          <w:numId w:val="7"/>
        </w:numPr>
        <w:tabs>
          <w:tab w:val="left" w:pos="970"/>
        </w:tabs>
        <w:spacing w:before="1"/>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投标人资格</w:t>
      </w:r>
    </w:p>
    <w:p>
      <w:pPr>
        <w:pStyle w:val="13"/>
        <w:spacing w:before="173"/>
        <w:ind w:left="6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详见投标人须知前附表</w:t>
      </w:r>
    </w:p>
    <w:p>
      <w:pPr>
        <w:pStyle w:val="7"/>
        <w:numPr>
          <w:ilvl w:val="0"/>
          <w:numId w:val="7"/>
        </w:numPr>
        <w:tabs>
          <w:tab w:val="left" w:pos="970"/>
        </w:tabs>
        <w:spacing w:before="170"/>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投标费用</w:t>
      </w:r>
    </w:p>
    <w:p>
      <w:pPr>
        <w:pStyle w:val="13"/>
        <w:spacing w:before="170"/>
        <w:ind w:left="6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详见投标人须知前附表</w:t>
      </w:r>
    </w:p>
    <w:p>
      <w:pPr>
        <w:pStyle w:val="7"/>
        <w:numPr>
          <w:ilvl w:val="0"/>
          <w:numId w:val="7"/>
        </w:numPr>
        <w:tabs>
          <w:tab w:val="left" w:pos="970"/>
        </w:tabs>
        <w:spacing w:before="173"/>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联合体投标要求</w:t>
      </w:r>
    </w:p>
    <w:p>
      <w:pPr>
        <w:pStyle w:val="13"/>
        <w:spacing w:before="1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本项目不接受联合体投标。</w:t>
      </w:r>
    </w:p>
    <w:p>
      <w:pPr>
        <w:pStyle w:val="7"/>
        <w:numPr>
          <w:ilvl w:val="0"/>
          <w:numId w:val="7"/>
        </w:numPr>
        <w:tabs>
          <w:tab w:val="left" w:pos="970"/>
        </w:tabs>
        <w:spacing w:before="170"/>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转包与分包</w:t>
      </w:r>
    </w:p>
    <w:p>
      <w:pPr>
        <w:pStyle w:val="31"/>
        <w:numPr>
          <w:ilvl w:val="1"/>
          <w:numId w:val="7"/>
        </w:numPr>
        <w:tabs>
          <w:tab w:val="left" w:pos="1020"/>
        </w:tabs>
        <w:spacing w:before="173"/>
        <w:ind w:left="1020" w:hanging="36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本项目不允许转包。</w:t>
      </w:r>
    </w:p>
    <w:p>
      <w:pPr>
        <w:pStyle w:val="31"/>
        <w:numPr>
          <w:ilvl w:val="1"/>
          <w:numId w:val="7"/>
        </w:numPr>
        <w:tabs>
          <w:tab w:val="left" w:pos="1020"/>
        </w:tabs>
        <w:spacing w:before="173"/>
        <w:ind w:left="1020" w:hanging="36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本项目不可以分包。</w:t>
      </w:r>
    </w:p>
    <w:p>
      <w:pPr>
        <w:pStyle w:val="7"/>
        <w:numPr>
          <w:ilvl w:val="0"/>
          <w:numId w:val="7"/>
        </w:numPr>
        <w:tabs>
          <w:tab w:val="left" w:pos="970"/>
        </w:tabs>
        <w:spacing w:before="170"/>
        <w:ind w:left="969" w:hanging="3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特别说明</w:t>
      </w:r>
    </w:p>
    <w:p>
      <w:pPr>
        <w:pStyle w:val="31"/>
        <w:numPr>
          <w:ilvl w:val="1"/>
          <w:numId w:val="7"/>
        </w:numPr>
        <w:tabs>
          <w:tab w:val="left" w:pos="1020"/>
        </w:tabs>
        <w:spacing w:before="172"/>
        <w:ind w:left="1020" w:hanging="36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关联投标人不得参加同一合同项下政府采购活动，否则投标文件将被视为无效：</w:t>
      </w:r>
    </w:p>
    <w:p>
      <w:pPr>
        <w:pStyle w:val="31"/>
        <w:numPr>
          <w:ilvl w:val="0"/>
          <w:numId w:val="8"/>
        </w:numPr>
        <w:tabs>
          <w:tab w:val="left" w:pos="1163"/>
        </w:tabs>
        <w:spacing w:line="391" w:lineRule="auto"/>
        <w:ind w:left="224" w:right="316" w:firstLine="420"/>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单位负责人为同一人或者存在直接控股、管理关系的，不得参加同一合同项下的政府采购活动。</w:t>
      </w:r>
    </w:p>
    <w:p>
      <w:pPr>
        <w:spacing w:line="391" w:lineRule="auto"/>
        <w:rPr>
          <w:color w:val="000000" w:themeColor="text1"/>
          <w:sz w:val="21"/>
          <w:highlight w:val="none"/>
          <w14:textFill>
            <w14:solidFill>
              <w14:schemeClr w14:val="tx1"/>
            </w14:solidFill>
          </w14:textFill>
        </w:rPr>
        <w:sectPr>
          <w:pgSz w:w="11910" w:h="16840"/>
          <w:pgMar w:top="1580" w:right="1140" w:bottom="820" w:left="1200" w:header="0" w:footer="640" w:gutter="0"/>
          <w:cols w:space="720" w:num="1"/>
        </w:sectPr>
      </w:pPr>
    </w:p>
    <w:p>
      <w:pPr>
        <w:pStyle w:val="31"/>
        <w:keepNext w:val="0"/>
        <w:keepLines w:val="0"/>
        <w:pageBreakBefore w:val="0"/>
        <w:widowControl w:val="0"/>
        <w:numPr>
          <w:ilvl w:val="0"/>
          <w:numId w:val="8"/>
        </w:numPr>
        <w:tabs>
          <w:tab w:val="left" w:pos="1275"/>
        </w:tabs>
        <w:kinsoku/>
        <w:wordWrap/>
        <w:overflowPunct/>
        <w:topLinePunct w:val="0"/>
        <w:autoSpaceDE w:val="0"/>
        <w:autoSpaceDN w:val="0"/>
        <w:bidi w:val="0"/>
        <w:adjustRightInd/>
        <w:snapToGrid/>
        <w:spacing w:before="42" w:line="391" w:lineRule="auto"/>
        <w:ind w:left="221" w:right="0" w:firstLine="437"/>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生产厂商授权给投标人后自己不得参加同一合同项下的政府采购活动；生产厂商对同一  </w:t>
      </w:r>
      <w:r>
        <w:rPr>
          <w:color w:val="000000" w:themeColor="text1"/>
          <w:spacing w:val="-1"/>
          <w:sz w:val="21"/>
          <w:highlight w:val="none"/>
          <w14:textFill>
            <w14:solidFill>
              <w14:schemeClr w14:val="tx1"/>
            </w14:solidFill>
          </w14:textFill>
        </w:rPr>
        <w:t>品牌同一型号的货物，仅能委托一个代理商参加投标。</w:t>
      </w:r>
    </w:p>
    <w:p>
      <w:pPr>
        <w:pStyle w:val="31"/>
        <w:keepNext w:val="0"/>
        <w:keepLines w:val="0"/>
        <w:pageBreakBefore w:val="0"/>
        <w:widowControl w:val="0"/>
        <w:numPr>
          <w:ilvl w:val="0"/>
          <w:numId w:val="8"/>
        </w:numPr>
        <w:tabs>
          <w:tab w:val="left" w:pos="1184"/>
        </w:tabs>
        <w:kinsoku/>
        <w:wordWrap/>
        <w:overflowPunct/>
        <w:topLinePunct w:val="0"/>
        <w:autoSpaceDE w:val="0"/>
        <w:autoSpaceDN w:val="0"/>
        <w:bidi w:val="0"/>
        <w:adjustRightInd/>
        <w:snapToGrid/>
        <w:spacing w:before="1" w:line="393" w:lineRule="auto"/>
        <w:ind w:left="221" w:right="0" w:firstLine="437"/>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为本采购项目提供整体设计、规范编制或者项目管理、监理、检测等服务的投标人，不得再参加本次采购活动。</w:t>
      </w:r>
    </w:p>
    <w:p>
      <w:pPr>
        <w:pStyle w:val="7"/>
        <w:numPr>
          <w:ilvl w:val="0"/>
          <w:numId w:val="8"/>
        </w:numPr>
        <w:tabs>
          <w:tab w:val="left" w:pos="1184"/>
        </w:tabs>
        <w:spacing w:line="393" w:lineRule="auto"/>
        <w:ind w:left="224" w:right="213" w:firstLine="436"/>
        <w:jc w:val="both"/>
        <w:rPr>
          <w:color w:val="000000" w:themeColor="text1"/>
          <w:spacing w:val="-5"/>
          <w:highlight w:val="none"/>
          <w14:textFill>
            <w14:solidFill>
              <w14:schemeClr w14:val="tx1"/>
            </w14:solidFill>
          </w14:textFill>
        </w:rPr>
      </w:pPr>
      <w:r>
        <w:rPr>
          <w:color w:val="000000" w:themeColor="text1"/>
          <w:spacing w:val="-15"/>
          <w:highlight w:val="none"/>
          <w14:textFill>
            <w14:solidFill>
              <w14:schemeClr w14:val="tx1"/>
            </w14:solidFill>
          </w14:textFill>
        </w:rPr>
        <w:t>提供的</w:t>
      </w:r>
      <w:r>
        <w:rPr>
          <w:rFonts w:hint="eastAsia"/>
          <w:color w:val="000000" w:themeColor="text1"/>
          <w:spacing w:val="-15"/>
          <w:highlight w:val="none"/>
          <w:lang w:val="en-US"/>
          <w14:textFill>
            <w14:solidFill>
              <w14:schemeClr w14:val="tx1"/>
            </w14:solidFill>
          </w14:textFill>
        </w:rPr>
        <w:t xml:space="preserve"> 1</w:t>
      </w:r>
      <w:r>
        <w:rPr>
          <w:color w:val="000000" w:themeColor="text1"/>
          <w:spacing w:val="-5"/>
          <w:highlight w:val="none"/>
          <w14:textFill>
            <w14:solidFill>
              <w14:schemeClr w14:val="tx1"/>
            </w14:solidFill>
          </w14:textFill>
        </w:rPr>
        <w:t xml:space="preserve"> 个核心产品的品牌完全相同且通过资格审查、符合性审查的不同投标人参加同一合同项下投标的，按一家投标人计算，评审后得分最高的同品牌投标人获得中标人推荐资格；评</w:t>
      </w:r>
      <w:r>
        <w:rPr>
          <w:color w:val="000000" w:themeColor="text1"/>
          <w:spacing w:val="-6"/>
          <w:highlight w:val="none"/>
          <w14:textFill>
            <w14:solidFill>
              <w14:schemeClr w14:val="tx1"/>
            </w14:solidFill>
          </w14:textFill>
        </w:rPr>
        <w:t>审得分相同的，由采购人或者采购人委托评标委员会按照招标文件规定的方式确定一个投标人获得</w:t>
      </w:r>
      <w:r>
        <w:rPr>
          <w:color w:val="000000" w:themeColor="text1"/>
          <w:spacing w:val="-5"/>
          <w:highlight w:val="none"/>
          <w14:textFill>
            <w14:solidFill>
              <w14:schemeClr w14:val="tx1"/>
            </w14:solidFill>
          </w14:textFill>
        </w:rPr>
        <w:t>中标人推荐资格，招标文件未规定的采取随机抽取方式确定，其他同品牌投标人不作为中标候选人。</w:t>
      </w:r>
    </w:p>
    <w:p>
      <w:pPr>
        <w:pStyle w:val="31"/>
        <w:keepNext w:val="0"/>
        <w:keepLines w:val="0"/>
        <w:pageBreakBefore w:val="0"/>
        <w:widowControl w:val="0"/>
        <w:numPr>
          <w:ilvl w:val="1"/>
          <w:numId w:val="7"/>
        </w:numPr>
        <w:tabs>
          <w:tab w:val="left" w:pos="1020"/>
        </w:tabs>
        <w:kinsoku/>
        <w:wordWrap/>
        <w:overflowPunct/>
        <w:topLinePunct w:val="0"/>
        <w:autoSpaceDE w:val="0"/>
        <w:autoSpaceDN w:val="0"/>
        <w:bidi w:val="0"/>
        <w:adjustRightInd/>
        <w:snapToGrid/>
        <w:spacing w:before="0" w:line="394" w:lineRule="auto"/>
        <w:ind w:left="215" w:right="0" w:firstLine="437"/>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投标人投标所使用的资格、信誉、荣誉、业绩与企业认证必须为本法人所拥有，投标人投标所使用的采购项目实施人员必须为投标人员工。</w:t>
      </w:r>
    </w:p>
    <w:p>
      <w:pPr>
        <w:pStyle w:val="31"/>
        <w:keepNext w:val="0"/>
        <w:keepLines w:val="0"/>
        <w:pageBreakBefore w:val="0"/>
        <w:widowControl w:val="0"/>
        <w:numPr>
          <w:ilvl w:val="1"/>
          <w:numId w:val="7"/>
        </w:numPr>
        <w:tabs>
          <w:tab w:val="left" w:pos="1020"/>
        </w:tabs>
        <w:kinsoku/>
        <w:wordWrap/>
        <w:overflowPunct/>
        <w:topLinePunct w:val="0"/>
        <w:autoSpaceDE w:val="0"/>
        <w:autoSpaceDN w:val="0"/>
        <w:bidi w:val="0"/>
        <w:adjustRightInd/>
        <w:snapToGrid/>
        <w:spacing w:before="0" w:line="392" w:lineRule="auto"/>
        <w:ind w:left="215" w:right="0" w:firstLine="437"/>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投标人应仔细阅读招标文件的所有内容，按照招标文件的要求提交投标文件，并对所提供的全部资料的真实性承担法律责任。</w:t>
      </w:r>
    </w:p>
    <w:p>
      <w:pPr>
        <w:pStyle w:val="31"/>
        <w:numPr>
          <w:ilvl w:val="1"/>
          <w:numId w:val="7"/>
        </w:numPr>
        <w:tabs>
          <w:tab w:val="left" w:pos="1020"/>
        </w:tabs>
        <w:spacing w:before="0" w:line="391" w:lineRule="auto"/>
        <w:ind w:left="215" w:right="208" w:firstLine="4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投标人在投标活动中提供任何虚假材料，其投标无效，并报监管部门查处；中标后发现的， </w:t>
      </w:r>
      <w:r>
        <w:rPr>
          <w:color w:val="000000" w:themeColor="text1"/>
          <w:spacing w:val="-4"/>
          <w:w w:val="95"/>
          <w:sz w:val="21"/>
          <w:highlight w:val="none"/>
          <w14:textFill>
            <w14:solidFill>
              <w14:schemeClr w14:val="tx1"/>
            </w14:solidFill>
          </w14:textFill>
        </w:rPr>
        <w:t xml:space="preserve">  </w:t>
      </w:r>
      <w:r>
        <w:rPr>
          <w:color w:val="000000" w:themeColor="text1"/>
          <w:spacing w:val="-11"/>
          <w:sz w:val="21"/>
          <w:highlight w:val="none"/>
          <w14:textFill>
            <w14:solidFill>
              <w14:schemeClr w14:val="tx1"/>
            </w14:solidFill>
          </w14:textFill>
        </w:rPr>
        <w:t xml:space="preserve">中标人须依照《中华人民共和国消费者权益保护法》第 </w:t>
      </w:r>
      <w:r>
        <w:rPr>
          <w:color w:val="000000" w:themeColor="text1"/>
          <w:sz w:val="21"/>
          <w:highlight w:val="none"/>
          <w14:textFill>
            <w14:solidFill>
              <w14:schemeClr w14:val="tx1"/>
            </w14:solidFill>
          </w14:textFill>
        </w:rPr>
        <w:t>49</w:t>
      </w:r>
      <w:r>
        <w:rPr>
          <w:color w:val="000000" w:themeColor="text1"/>
          <w:spacing w:val="-10"/>
          <w:sz w:val="21"/>
          <w:highlight w:val="none"/>
          <w14:textFill>
            <w14:solidFill>
              <w14:schemeClr w14:val="tx1"/>
            </w14:solidFill>
          </w14:textFill>
        </w:rPr>
        <w:t xml:space="preserve"> 条之规定双倍赔偿招标人，且民事赔偿并不免除违法投标人的行政与刑事责任。</w:t>
      </w:r>
    </w:p>
    <w:p>
      <w:pPr>
        <w:pStyle w:val="31"/>
        <w:numPr>
          <w:ilvl w:val="1"/>
          <w:numId w:val="7"/>
        </w:numPr>
        <w:tabs>
          <w:tab w:val="left" w:pos="1020"/>
        </w:tabs>
        <w:spacing w:before="0"/>
        <w:ind w:left="1020" w:hanging="36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踏勘现场</w:t>
      </w:r>
      <w:r>
        <w:rPr>
          <w:rFonts w:hint="eastAsia"/>
          <w:color w:val="000000" w:themeColor="text1"/>
          <w:sz w:val="21"/>
          <w:highlight w:val="none"/>
          <w:lang w:val="en-US"/>
          <w14:textFill>
            <w14:solidFill>
              <w14:schemeClr w14:val="tx1"/>
            </w14:solidFill>
          </w14:textFill>
        </w:rPr>
        <w:t xml:space="preserve">   不组织</w:t>
      </w:r>
    </w:p>
    <w:p>
      <w:pPr>
        <w:pStyle w:val="7"/>
        <w:numPr>
          <w:ilvl w:val="0"/>
          <w:numId w:val="7"/>
        </w:numPr>
        <w:tabs>
          <w:tab w:val="left" w:pos="1052"/>
        </w:tabs>
        <w:spacing w:before="170"/>
        <w:ind w:left="1051"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质疑、投诉和招标文件的澄清</w:t>
      </w:r>
    </w:p>
    <w:p>
      <w:pPr>
        <w:pStyle w:val="31"/>
        <w:numPr>
          <w:ilvl w:val="1"/>
          <w:numId w:val="7"/>
        </w:numPr>
        <w:tabs>
          <w:tab w:val="left" w:pos="1124"/>
        </w:tabs>
        <w:ind w:left="1123" w:hanging="472"/>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投标人提出质疑</w:t>
      </w:r>
    </w:p>
    <w:p>
      <w:pPr>
        <w:pStyle w:val="31"/>
        <w:numPr>
          <w:ilvl w:val="2"/>
          <w:numId w:val="7"/>
        </w:numPr>
        <w:tabs>
          <w:tab w:val="left" w:pos="1320"/>
        </w:tabs>
        <w:spacing w:before="173" w:line="391" w:lineRule="auto"/>
        <w:ind w:left="218" w:right="319"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投标人对政府采购活动事项有疑问的，可以向招标人或招标代理机构项目负责人提出询</w:t>
      </w:r>
      <w:r>
        <w:rPr>
          <w:color w:val="000000" w:themeColor="text1"/>
          <w:spacing w:val="-3"/>
          <w:sz w:val="21"/>
          <w:highlight w:val="none"/>
          <w14:textFill>
            <w14:solidFill>
              <w14:schemeClr w14:val="tx1"/>
            </w14:solidFill>
          </w14:textFill>
        </w:rPr>
        <w:t>问；</w:t>
      </w:r>
    </w:p>
    <w:p>
      <w:pPr>
        <w:pStyle w:val="31"/>
        <w:numPr>
          <w:ilvl w:val="2"/>
          <w:numId w:val="7"/>
        </w:numPr>
        <w:tabs>
          <w:tab w:val="left" w:pos="1320"/>
        </w:tabs>
        <w:spacing w:before="173" w:line="391" w:lineRule="auto"/>
        <w:ind w:left="218" w:right="319"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如认为招标文件或招标过程和中标结果使自己的权益受到损害的，可以在知道或者应知其权益受到损害之日起七个工作日内以书面形式向招标代理机构提出质疑。质疑书的提交地点和质疑受理电话见投标人须知前附表。针对同一采购程序环节的质疑必须在法定质疑期内一次性提出。</w:t>
      </w:r>
    </w:p>
    <w:p>
      <w:pPr>
        <w:pStyle w:val="31"/>
        <w:numPr>
          <w:ilvl w:val="2"/>
          <w:numId w:val="7"/>
        </w:numPr>
        <w:tabs>
          <w:tab w:val="left" w:pos="1320"/>
        </w:tabs>
        <w:spacing w:before="173" w:line="391" w:lineRule="auto"/>
        <w:ind w:left="218" w:right="319"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投标人质疑实行实名制，其质疑应当有具体的质疑事项及事实根据，不得进行虚假、恶</w:t>
      </w:r>
      <w:r>
        <w:rPr>
          <w:color w:val="000000" w:themeColor="text1"/>
          <w:spacing w:val="-4"/>
          <w:sz w:val="21"/>
          <w:highlight w:val="none"/>
          <w14:textFill>
            <w14:solidFill>
              <w14:schemeClr w14:val="tx1"/>
            </w14:solidFill>
          </w14:textFill>
        </w:rPr>
        <w:t>意质疑。</w:t>
      </w:r>
    </w:p>
    <w:p>
      <w:pPr>
        <w:pStyle w:val="31"/>
        <w:numPr>
          <w:ilvl w:val="2"/>
          <w:numId w:val="7"/>
        </w:numPr>
        <w:tabs>
          <w:tab w:val="left" w:pos="1337"/>
        </w:tabs>
        <w:spacing w:before="0" w:line="393" w:lineRule="auto"/>
        <w:ind w:left="215" w:right="314" w:firstLine="436"/>
        <w:jc w:val="both"/>
        <w:rPr>
          <w:color w:val="000000" w:themeColor="text1"/>
          <w:sz w:val="21"/>
          <w:highlight w:val="none"/>
          <w14:textFill>
            <w14:solidFill>
              <w14:schemeClr w14:val="tx1"/>
            </w14:solidFill>
          </w14:textFill>
        </w:rPr>
      </w:pPr>
      <w:r>
        <w:rPr>
          <w:rFonts w:hint="eastAsia"/>
          <w:color w:val="000000" w:themeColor="text1"/>
          <w:spacing w:val="-8"/>
          <w:sz w:val="21"/>
          <w:highlight w:val="none"/>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color w:val="000000" w:themeColor="text1"/>
          <w:spacing w:val="-8"/>
          <w:sz w:val="21"/>
          <w:highlight w:val="none"/>
          <w14:textFill>
            <w14:solidFill>
              <w14:schemeClr w14:val="tx1"/>
            </w14:solidFill>
          </w14:textFill>
        </w:rPr>
        <w:t>。</w:t>
      </w:r>
    </w:p>
    <w:p>
      <w:pPr>
        <w:pStyle w:val="31"/>
        <w:numPr>
          <w:ilvl w:val="2"/>
          <w:numId w:val="7"/>
        </w:numPr>
        <w:tabs>
          <w:tab w:val="left" w:pos="1320"/>
        </w:tabs>
        <w:spacing w:before="42"/>
        <w:ind w:left="1320" w:hanging="682"/>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投标人提出质疑应当提交质疑函和必要的证明材料。质疑函应当包括下列内容：</w:t>
      </w:r>
    </w:p>
    <w:p>
      <w:pPr>
        <w:pStyle w:val="31"/>
        <w:numPr>
          <w:ilvl w:val="0"/>
          <w:numId w:val="9"/>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投标人的姓名或者名称、地址、邮编、联系人及联系电话；</w:t>
      </w:r>
    </w:p>
    <w:p>
      <w:pPr>
        <w:pStyle w:val="31"/>
        <w:numPr>
          <w:ilvl w:val="0"/>
          <w:numId w:val="9"/>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质疑项目的名称、编号；</w:t>
      </w:r>
    </w:p>
    <w:p>
      <w:pPr>
        <w:pStyle w:val="31"/>
        <w:numPr>
          <w:ilvl w:val="0"/>
          <w:numId w:val="9"/>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具体、明确的质疑事项和与质疑事项相关的请求；</w:t>
      </w:r>
    </w:p>
    <w:p>
      <w:pPr>
        <w:pStyle w:val="31"/>
        <w:numPr>
          <w:ilvl w:val="0"/>
          <w:numId w:val="9"/>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事实依据；</w:t>
      </w:r>
    </w:p>
    <w:p>
      <w:pPr>
        <w:pStyle w:val="31"/>
        <w:numPr>
          <w:ilvl w:val="0"/>
          <w:numId w:val="9"/>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必要的法律依据</w:t>
      </w:r>
      <w:r>
        <w:rPr>
          <w:color w:val="000000" w:themeColor="text1"/>
          <w:w w:val="95"/>
          <w:sz w:val="21"/>
          <w:highlight w:val="none"/>
          <w14:textFill>
            <w14:solidFill>
              <w14:schemeClr w14:val="tx1"/>
            </w14:solidFill>
          </w14:textFill>
        </w:rPr>
        <w:t>；</w:t>
      </w:r>
    </w:p>
    <w:p>
      <w:pPr>
        <w:pStyle w:val="31"/>
        <w:numPr>
          <w:ilvl w:val="0"/>
          <w:numId w:val="9"/>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提出质疑的日期</w:t>
      </w:r>
      <w:r>
        <w:rPr>
          <w:color w:val="000000" w:themeColor="text1"/>
          <w:w w:val="95"/>
          <w:sz w:val="21"/>
          <w:highlight w:val="none"/>
          <w14:textFill>
            <w14:solidFill>
              <w14:schemeClr w14:val="tx1"/>
            </w14:solidFill>
          </w14:textFill>
        </w:rPr>
        <w:t>。</w:t>
      </w:r>
    </w:p>
    <w:p>
      <w:pPr>
        <w:pStyle w:val="13"/>
        <w:spacing w:before="170" w:line="391" w:lineRule="auto"/>
        <w:ind w:left="215" w:right="319" w:firstLine="420"/>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投标人为自然人的，应当由本人签字；投标人为法人或者其他组织的，应当由法定代表人、主</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要负责人，或者其授权代表签字或者盖章，并加盖公章。</w:t>
      </w:r>
    </w:p>
    <w:p>
      <w:pPr>
        <w:pStyle w:val="31"/>
        <w:numPr>
          <w:ilvl w:val="2"/>
          <w:numId w:val="7"/>
        </w:numPr>
        <w:tabs>
          <w:tab w:val="left" w:pos="1320"/>
        </w:tabs>
        <w:spacing w:before="4" w:line="391" w:lineRule="auto"/>
        <w:ind w:left="215" w:right="316"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质疑人可以委托代理人办理质疑事务。委托代理人应为质疑人的正式员工并熟悉相关业务情况。代理人办理质疑事务时，除提交质疑书外，还应当提交质疑人的授权委托书，授权委托书</w:t>
      </w:r>
      <w:r>
        <w:rPr>
          <w:color w:val="000000" w:themeColor="text1"/>
          <w:spacing w:val="-3"/>
          <w:sz w:val="21"/>
          <w:highlight w:val="none"/>
          <w14:textFill>
            <w14:solidFill>
              <w14:schemeClr w14:val="tx1"/>
            </w14:solidFill>
          </w14:textFill>
        </w:rPr>
        <w:t>应当载明委托代理的具体权限和事项。</w:t>
      </w:r>
    </w:p>
    <w:p>
      <w:pPr>
        <w:pStyle w:val="31"/>
        <w:numPr>
          <w:ilvl w:val="2"/>
          <w:numId w:val="7"/>
        </w:numPr>
        <w:tabs>
          <w:tab w:val="left" w:pos="1320"/>
        </w:tabs>
        <w:spacing w:before="4"/>
        <w:ind w:left="1320" w:hanging="685"/>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质疑人提起质疑应当符合下列条件：</w:t>
      </w:r>
    </w:p>
    <w:p>
      <w:pPr>
        <w:pStyle w:val="31"/>
        <w:numPr>
          <w:ilvl w:val="0"/>
          <w:numId w:val="1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质疑人是参与所质疑政府采购活动的投标人；</w:t>
      </w:r>
    </w:p>
    <w:p>
      <w:pPr>
        <w:pStyle w:val="31"/>
        <w:numPr>
          <w:ilvl w:val="0"/>
          <w:numId w:val="1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质疑书内容符合相关规定；</w:t>
      </w:r>
    </w:p>
    <w:p>
      <w:pPr>
        <w:pStyle w:val="31"/>
        <w:numPr>
          <w:ilvl w:val="0"/>
          <w:numId w:val="10"/>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在质疑有效期限内提起质疑；</w:t>
      </w:r>
    </w:p>
    <w:p>
      <w:pPr>
        <w:pStyle w:val="31"/>
        <w:numPr>
          <w:ilvl w:val="0"/>
          <w:numId w:val="1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属于所质疑的招标人或招标人委托的招标代理机构组织的招标活动；</w:t>
      </w:r>
    </w:p>
    <w:p>
      <w:pPr>
        <w:pStyle w:val="31"/>
        <w:numPr>
          <w:ilvl w:val="0"/>
          <w:numId w:val="1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同一质疑事项未经招标人或招标人委托的招标代理机构质疑处理；</w:t>
      </w:r>
    </w:p>
    <w:p>
      <w:pPr>
        <w:pStyle w:val="31"/>
        <w:numPr>
          <w:ilvl w:val="0"/>
          <w:numId w:val="10"/>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财政部门规定的其他条件。</w:t>
      </w:r>
    </w:p>
    <w:p>
      <w:pPr>
        <w:pStyle w:val="31"/>
        <w:numPr>
          <w:ilvl w:val="2"/>
          <w:numId w:val="7"/>
        </w:numPr>
        <w:tabs>
          <w:tab w:val="left" w:pos="1320"/>
        </w:tabs>
        <w:spacing w:line="391"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招标人或招标人委托的招标代理机构自受理质疑之日起七个工作日内，对质疑事项作出</w:t>
      </w:r>
      <w:r>
        <w:rPr>
          <w:color w:val="000000" w:themeColor="text1"/>
          <w:spacing w:val="-2"/>
          <w:w w:val="95"/>
          <w:sz w:val="21"/>
          <w:highlight w:val="none"/>
          <w14:textFill>
            <w14:solidFill>
              <w14:schemeClr w14:val="tx1"/>
            </w14:solidFill>
          </w14:textFill>
        </w:rPr>
        <w:t xml:space="preserve">  </w:t>
      </w:r>
      <w:r>
        <w:rPr>
          <w:color w:val="000000" w:themeColor="text1"/>
          <w:spacing w:val="-2"/>
          <w:sz w:val="21"/>
          <w:highlight w:val="none"/>
          <w14:textFill>
            <w14:solidFill>
              <w14:schemeClr w14:val="tx1"/>
            </w14:solidFill>
          </w14:textFill>
        </w:rPr>
        <w:t>答复，并以书面形式通知质疑人及其他有关投标人。</w:t>
      </w:r>
    </w:p>
    <w:p>
      <w:pPr>
        <w:pStyle w:val="31"/>
        <w:numPr>
          <w:ilvl w:val="1"/>
          <w:numId w:val="7"/>
        </w:numPr>
        <w:tabs>
          <w:tab w:val="left" w:pos="1124"/>
        </w:tabs>
        <w:spacing w:before="4"/>
        <w:ind w:left="1123" w:hanging="47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招标文件的澄清</w:t>
      </w:r>
    </w:p>
    <w:p>
      <w:pPr>
        <w:pStyle w:val="31"/>
        <w:numPr>
          <w:ilvl w:val="2"/>
          <w:numId w:val="7"/>
        </w:numPr>
        <w:tabs>
          <w:tab w:val="left" w:pos="1390"/>
        </w:tabs>
        <w:spacing w:line="393" w:lineRule="auto"/>
        <w:ind w:left="215" w:right="208" w:firstLine="4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投标人应仔细阅读和检查招标文件的全部内容。如发现缺页或附件不全，应及时向招</w:t>
      </w:r>
      <w:r>
        <w:rPr>
          <w:color w:val="000000" w:themeColor="text1"/>
          <w:spacing w:val="-9"/>
          <w:w w:val="95"/>
          <w:sz w:val="21"/>
          <w:highlight w:val="none"/>
          <w14:textFill>
            <w14:solidFill>
              <w14:schemeClr w14:val="tx1"/>
            </w14:solidFill>
          </w14:textFill>
        </w:rPr>
        <w:t>标</w:t>
      </w:r>
      <w:r>
        <w:rPr>
          <w:color w:val="000000" w:themeColor="text1"/>
          <w:sz w:val="21"/>
          <w:highlight w:val="none"/>
          <w14:textFill>
            <w14:solidFill>
              <w14:schemeClr w14:val="tx1"/>
            </w14:solidFill>
          </w14:textFill>
        </w:rPr>
        <w:t>人提出，以便补齐。如有疑问，应在“投标人须知前附表”规定的时间前以书面形式（包括信函、</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电报、传真等可以有形地表现所载内容的形式，下同），要求招标人对招标文件予以澄清。</w:t>
      </w:r>
    </w:p>
    <w:p>
      <w:pPr>
        <w:pStyle w:val="31"/>
        <w:numPr>
          <w:ilvl w:val="2"/>
          <w:numId w:val="7"/>
        </w:numPr>
        <w:tabs>
          <w:tab w:val="left" w:pos="1335"/>
        </w:tabs>
        <w:spacing w:before="0" w:line="391" w:lineRule="auto"/>
        <w:ind w:left="215" w:right="314" w:firstLine="436"/>
        <w:rPr>
          <w:color w:val="000000" w:themeColor="text1"/>
          <w:highlight w:val="none"/>
          <w14:textFill>
            <w14:solidFill>
              <w14:schemeClr w14:val="tx1"/>
            </w14:solidFill>
          </w14:textFill>
        </w:rPr>
      </w:pPr>
      <w:r>
        <w:rPr>
          <w:color w:val="000000" w:themeColor="text1"/>
          <w:spacing w:val="-2"/>
          <w:sz w:val="21"/>
          <w:highlight w:val="none"/>
          <w14:textFill>
            <w14:solidFill>
              <w14:schemeClr w14:val="tx1"/>
            </w14:solidFill>
          </w14:textFill>
        </w:rPr>
        <w:t xml:space="preserve">招标文件的澄清将在投标人须知前附表规定的投标截止时间 </w:t>
      </w:r>
      <w:r>
        <w:rPr>
          <w:color w:val="000000" w:themeColor="text1"/>
          <w:sz w:val="21"/>
          <w:highlight w:val="none"/>
          <w14:textFill>
            <w14:solidFill>
              <w14:schemeClr w14:val="tx1"/>
            </w14:solidFill>
          </w14:textFill>
        </w:rPr>
        <w:t>15</w:t>
      </w:r>
      <w:r>
        <w:rPr>
          <w:color w:val="000000" w:themeColor="text1"/>
          <w:spacing w:val="-7"/>
          <w:sz w:val="21"/>
          <w:highlight w:val="none"/>
          <w14:textFill>
            <w14:solidFill>
              <w14:schemeClr w14:val="tx1"/>
            </w14:solidFill>
          </w14:textFill>
        </w:rPr>
        <w:t xml:space="preserve"> 天前在桂林市公共资源</w:t>
      </w:r>
      <w:r>
        <w:rPr>
          <w:color w:val="000000" w:themeColor="text1"/>
          <w:spacing w:val="21"/>
          <w:sz w:val="21"/>
          <w:highlight w:val="none"/>
          <w14:textFill>
            <w14:solidFill>
              <w14:schemeClr w14:val="tx1"/>
            </w14:solidFill>
          </w14:textFill>
        </w:rPr>
        <w:t>交易中心网上公示，投标人自行登录桂林市公共资源交易中心网站</w:t>
      </w:r>
      <w:r>
        <w:rPr>
          <w:color w:val="000000" w:themeColor="text1"/>
          <w:highlight w:val="none"/>
          <w14:textFill>
            <w14:solidFill>
              <w14:schemeClr w14:val="tx1"/>
            </w14:solidFill>
          </w14:textFill>
        </w:rPr>
        <w:t>（</w:t>
      </w:r>
      <w:r>
        <w:rPr>
          <w:color w:val="000000" w:themeColor="text1"/>
          <w:sz w:val="21"/>
          <w:highlight w:val="none"/>
          <w14:textFill>
            <w14:solidFill>
              <w14:schemeClr w14:val="tx1"/>
            </w14:solidFill>
          </w14:textFill>
        </w:rPr>
        <w:fldChar w:fldCharType="begin"/>
      </w:r>
      <w:r>
        <w:rPr>
          <w:color w:val="000000" w:themeColor="text1"/>
          <w:sz w:val="21"/>
          <w:highlight w:val="none"/>
          <w14:textFill>
            <w14:solidFill>
              <w14:schemeClr w14:val="tx1"/>
            </w14:solidFill>
          </w14:textFill>
        </w:rPr>
        <w:instrText xml:space="preserve"> HYPERLINK "http://glggzy.org.cn/gxglzbw/" \h </w:instrText>
      </w:r>
      <w:r>
        <w:rPr>
          <w:color w:val="000000" w:themeColor="text1"/>
          <w:sz w:val="21"/>
          <w:highlight w:val="none"/>
          <w14:textFill>
            <w14:solidFill>
              <w14:schemeClr w14:val="tx1"/>
            </w14:solidFill>
          </w14:textFill>
        </w:rPr>
        <w:fldChar w:fldCharType="separate"/>
      </w:r>
      <w:r>
        <w:rPr>
          <w:color w:val="000000" w:themeColor="text1"/>
          <w:sz w:val="21"/>
          <w:highlight w:val="none"/>
          <w14:textFill>
            <w14:solidFill>
              <w14:schemeClr w14:val="tx1"/>
            </w14:solidFill>
          </w14:textFill>
        </w:rPr>
        <w:t>http://glggzy</w:t>
      </w:r>
    </w:p>
    <w:p>
      <w:pPr>
        <w:pStyle w:val="31"/>
        <w:numPr>
          <w:ilvl w:val="0"/>
          <w:numId w:val="0"/>
        </w:numPr>
        <w:tabs>
          <w:tab w:val="left" w:pos="1335"/>
        </w:tabs>
        <w:spacing w:before="0" w:line="391" w:lineRule="auto"/>
        <w:ind w:right="314" w:rightChars="0"/>
        <w:rPr>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.org.cn/gxglzbw/</w:t>
      </w:r>
      <w:r>
        <w:rPr>
          <w:color w:val="000000" w:themeColor="text1"/>
          <w:sz w:val="21"/>
          <w:highlight w:val="none"/>
          <w14:textFill>
            <w14:solidFill>
              <w14:schemeClr w14:val="tx1"/>
            </w14:solidFill>
          </w14:textFill>
        </w:rPr>
        <w:fldChar w:fldCharType="end"/>
      </w:r>
      <w:r>
        <w:rPr>
          <w:color w:val="000000" w:themeColor="text1"/>
          <w:sz w:val="21"/>
          <w:highlight w:val="none"/>
          <w14:textFill>
            <w14:solidFill>
              <w14:schemeClr w14:val="tx1"/>
            </w14:solidFill>
          </w14:textFill>
        </w:rPr>
        <w:t>）查询，以便将澄清和补遗内容考虑在投标文件中。如果澄清发出的</w:t>
      </w:r>
      <w:r>
        <w:rPr>
          <w:rFonts w:hint="eastAsia"/>
          <w:color w:val="000000" w:themeColor="text1"/>
          <w:sz w:val="21"/>
          <w:highlight w:val="none"/>
          <w:lang w:val="en-US"/>
          <w14:textFill>
            <w14:solidFill>
              <w14:schemeClr w14:val="tx1"/>
            </w14:solidFill>
          </w14:textFill>
        </w:rPr>
        <w:t xml:space="preserve"> </w:t>
      </w:r>
      <w:r>
        <w:rPr>
          <w:color w:val="000000" w:themeColor="text1"/>
          <w:sz w:val="21"/>
          <w:highlight w:val="none"/>
          <w14:textFill>
            <w14:solidFill>
              <w14:schemeClr w14:val="tx1"/>
            </w14:solidFill>
          </w14:textFill>
        </w:rPr>
        <w:t>时间距投标截止时间不足 15 天，且招标文件的澄清内容可能影响投标文件编制的，相应延长投标截止时间。</w:t>
      </w:r>
    </w:p>
    <w:p>
      <w:pPr>
        <w:pStyle w:val="31"/>
        <w:numPr>
          <w:ilvl w:val="2"/>
          <w:numId w:val="7"/>
        </w:numPr>
        <w:tabs>
          <w:tab w:val="left" w:pos="1337"/>
        </w:tabs>
        <w:spacing w:before="4"/>
        <w:ind w:left="1336" w:hanging="685"/>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招标人在桂林市公共资源交易中心网站（</w:t>
      </w:r>
      <w:r>
        <w:rPr>
          <w:highlight w:val="none"/>
        </w:rPr>
        <w:fldChar w:fldCharType="begin"/>
      </w:r>
      <w:r>
        <w:rPr>
          <w:highlight w:val="none"/>
        </w:rPr>
        <w:instrText xml:space="preserve"> HYPERLINK "http://glggzy.org.cn/gxglzbw/" \h </w:instrText>
      </w:r>
      <w:r>
        <w:rPr>
          <w:highlight w:val="none"/>
        </w:rPr>
        <w:fldChar w:fldCharType="separate"/>
      </w:r>
      <w:r>
        <w:rPr>
          <w:color w:val="000000" w:themeColor="text1"/>
          <w:sz w:val="21"/>
          <w:highlight w:val="none"/>
          <w14:textFill>
            <w14:solidFill>
              <w14:schemeClr w14:val="tx1"/>
            </w14:solidFill>
          </w14:textFill>
        </w:rPr>
        <w:t>http://glggzy.org.cn/gxglzbw/</w:t>
      </w:r>
      <w:r>
        <w:rPr>
          <w:color w:val="000000" w:themeColor="text1"/>
          <w:sz w:val="21"/>
          <w:highlight w:val="none"/>
          <w14:textFill>
            <w14:solidFill>
              <w14:schemeClr w14:val="tx1"/>
            </w14:solidFill>
          </w14:textFill>
        </w:rPr>
        <w:fldChar w:fldCharType="end"/>
      </w:r>
      <w:r>
        <w:rPr>
          <w:color w:val="000000" w:themeColor="text1"/>
          <w:sz w:val="21"/>
          <w:highlight w:val="none"/>
          <w14:textFill>
            <w14:solidFill>
              <w14:schemeClr w14:val="tx1"/>
            </w14:solidFill>
          </w14:textFill>
        </w:rPr>
        <w:t>）发布的同</w:t>
      </w:r>
    </w:p>
    <w:p>
      <w:pPr>
        <w:pStyle w:val="13"/>
        <w:spacing w:before="42" w:line="391" w:lineRule="auto"/>
        <w:ind w:left="215" w:right="2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时，视同投标人已知晓招标文件的澄清内容，投标人应将澄清内容考虑在投标文件中，投标人在投</w:t>
      </w:r>
      <w:r>
        <w:rPr>
          <w:color w:val="000000" w:themeColor="text1"/>
          <w:szCs w:val="22"/>
          <w:highlight w:val="none"/>
          <w14:textFill>
            <w14:solidFill>
              <w14:schemeClr w14:val="tx1"/>
            </w14:solidFill>
          </w14:textFill>
        </w:rPr>
        <w:t>标截止前未登录桂林市公共资源交易中心网站（</w:t>
      </w:r>
      <w:r>
        <w:rPr>
          <w:highlight w:val="none"/>
        </w:rPr>
        <w:fldChar w:fldCharType="begin"/>
      </w:r>
      <w:r>
        <w:rPr>
          <w:highlight w:val="none"/>
        </w:rPr>
        <w:instrText xml:space="preserve"> HYPERLINK "http://glggzy.org.cn/gxglzbw/" \h </w:instrText>
      </w:r>
      <w:r>
        <w:rPr>
          <w:highlight w:val="none"/>
        </w:rPr>
        <w:fldChar w:fldCharType="separate"/>
      </w:r>
      <w:r>
        <w:rPr>
          <w:color w:val="000000" w:themeColor="text1"/>
          <w:szCs w:val="22"/>
          <w:highlight w:val="none"/>
          <w14:textFill>
            <w14:solidFill>
              <w14:schemeClr w14:val="tx1"/>
            </w14:solidFill>
          </w14:textFill>
        </w:rPr>
        <w:t>http://glggzy.org.cn/gxglzbw/</w:t>
      </w:r>
      <w:r>
        <w:rPr>
          <w:color w:val="000000" w:themeColor="text1"/>
          <w:szCs w:val="22"/>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t>）查看澄清和答疑，</w:t>
      </w:r>
      <w:r>
        <w:rPr>
          <w:color w:val="000000" w:themeColor="text1"/>
          <w:spacing w:val="-1"/>
          <w:highlight w:val="none"/>
          <w14:textFill>
            <w14:solidFill>
              <w14:schemeClr w14:val="tx1"/>
            </w14:solidFill>
          </w14:textFill>
        </w:rPr>
        <w:t>造成投标人的投标文件不符合招标文件要求或废标的，由投标人自行承担责任。</w:t>
      </w:r>
    </w:p>
    <w:p>
      <w:pPr>
        <w:pStyle w:val="31"/>
        <w:numPr>
          <w:ilvl w:val="1"/>
          <w:numId w:val="7"/>
        </w:numPr>
        <w:tabs>
          <w:tab w:val="left" w:pos="1124"/>
        </w:tabs>
        <w:spacing w:before="4"/>
        <w:ind w:left="1123" w:hanging="47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w:t>
      </w:r>
    </w:p>
    <w:p>
      <w:pPr>
        <w:pStyle w:val="31"/>
        <w:numPr>
          <w:ilvl w:val="2"/>
          <w:numId w:val="7"/>
        </w:numPr>
        <w:tabs>
          <w:tab w:val="left" w:pos="1320"/>
        </w:tabs>
        <w:spacing w:line="393" w:lineRule="auto"/>
        <w:ind w:left="218" w:right="212" w:firstLine="420"/>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投标人认为招标文件、采购过程、中标和成交结果使自己的合法权益受到损害的，应当</w:t>
      </w:r>
      <w:r>
        <w:rPr>
          <w:color w:val="000000" w:themeColor="text1"/>
          <w:spacing w:val="-8"/>
          <w:w w:val="95"/>
          <w:sz w:val="21"/>
          <w:highlight w:val="none"/>
          <w14:textFill>
            <w14:solidFill>
              <w14:schemeClr w14:val="tx1"/>
            </w14:solidFill>
          </w14:textFill>
        </w:rPr>
        <w:t>首</w:t>
      </w:r>
      <w:r>
        <w:rPr>
          <w:color w:val="000000" w:themeColor="text1"/>
          <w:sz w:val="21"/>
          <w:highlight w:val="none"/>
          <w14:textFill>
            <w14:solidFill>
              <w14:schemeClr w14:val="tx1"/>
            </w14:solidFill>
          </w14:textFill>
        </w:rPr>
        <w:t>先依法向招标人或招标人委托的招标代理机构提出质疑。对招标人、招标代理机构的答复不满意，</w:t>
      </w:r>
      <w:r>
        <w:rPr>
          <w:color w:val="000000" w:themeColor="text1"/>
          <w:spacing w:val="-8"/>
          <w:w w:val="95"/>
          <w:sz w:val="21"/>
          <w:highlight w:val="none"/>
          <w14:textFill>
            <w14:solidFill>
              <w14:schemeClr w14:val="tx1"/>
            </w14:solidFill>
          </w14:textFill>
        </w:rPr>
        <w:t xml:space="preserve">   </w:t>
      </w:r>
      <w:r>
        <w:rPr>
          <w:color w:val="000000" w:themeColor="text1"/>
          <w:spacing w:val="-8"/>
          <w:sz w:val="21"/>
          <w:highlight w:val="none"/>
          <w14:textFill>
            <w14:solidFill>
              <w14:schemeClr w14:val="tx1"/>
            </w14:solidFill>
          </w14:textFill>
        </w:rPr>
        <w:t>或者招标人、招标代理机构未在规定期限内做出答复的，投标人可以在答复期满后十五个工作日内向同级政府采购监督管理部门提起投诉。</w:t>
      </w:r>
    </w:p>
    <w:p>
      <w:pPr>
        <w:pStyle w:val="31"/>
        <w:numPr>
          <w:ilvl w:val="2"/>
          <w:numId w:val="7"/>
        </w:numPr>
        <w:tabs>
          <w:tab w:val="left" w:pos="1320"/>
        </w:tabs>
        <w:spacing w:before="0" w:line="393" w:lineRule="auto"/>
        <w:ind w:left="218" w:right="316"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投诉人投诉时,应当提交投诉书和必要的证明材料，并按照被投诉招标人、招标代理机构（以下简称被投诉人）和与投诉事项有关的投标人数量提供投诉书的副本。投诉书应当包括下列</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内容：</w:t>
      </w:r>
    </w:p>
    <w:p>
      <w:pPr>
        <w:pStyle w:val="31"/>
        <w:numPr>
          <w:ilvl w:val="0"/>
          <w:numId w:val="11"/>
        </w:numPr>
        <w:tabs>
          <w:tab w:val="left" w:pos="1163"/>
        </w:tabs>
        <w:spacing w:before="0" w:line="265" w:lineRule="exact"/>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投诉人和被投诉人的姓名或者名称、通讯地址、邮编、联系人及联系电话；</w:t>
      </w:r>
    </w:p>
    <w:p>
      <w:pPr>
        <w:pStyle w:val="31"/>
        <w:numPr>
          <w:ilvl w:val="0"/>
          <w:numId w:val="11"/>
        </w:numPr>
        <w:tabs>
          <w:tab w:val="left" w:pos="1163"/>
        </w:tabs>
        <w:spacing w:before="167"/>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质疑和质疑答复情况说明及相关证明材料；</w:t>
      </w:r>
    </w:p>
    <w:p>
      <w:pPr>
        <w:pStyle w:val="31"/>
        <w:numPr>
          <w:ilvl w:val="0"/>
          <w:numId w:val="11"/>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具体、明确的投诉事项和与投诉事项相关的投诉请求；</w:t>
      </w:r>
    </w:p>
    <w:p>
      <w:pPr>
        <w:pStyle w:val="31"/>
        <w:numPr>
          <w:ilvl w:val="0"/>
          <w:numId w:val="11"/>
        </w:numPr>
        <w:tabs>
          <w:tab w:val="left" w:pos="1163"/>
        </w:tabs>
        <w:spacing w:before="167"/>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事实依据；</w:t>
      </w:r>
    </w:p>
    <w:p>
      <w:pPr>
        <w:pStyle w:val="31"/>
        <w:numPr>
          <w:ilvl w:val="0"/>
          <w:numId w:val="11"/>
        </w:numPr>
        <w:tabs>
          <w:tab w:val="left" w:pos="1163"/>
        </w:tabs>
        <w:spacing w:before="167"/>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法律依据；</w:t>
      </w:r>
    </w:p>
    <w:p>
      <w:pPr>
        <w:pStyle w:val="31"/>
        <w:numPr>
          <w:ilvl w:val="0"/>
          <w:numId w:val="11"/>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提起投诉的日期。</w:t>
      </w:r>
    </w:p>
    <w:p>
      <w:pPr>
        <w:pStyle w:val="13"/>
        <w:keepNext w:val="0"/>
        <w:keepLines w:val="0"/>
        <w:pageBreakBefore w:val="0"/>
        <w:widowControl w:val="0"/>
        <w:kinsoku/>
        <w:wordWrap/>
        <w:overflowPunct/>
        <w:topLinePunct w:val="0"/>
        <w:autoSpaceDE w:val="0"/>
        <w:autoSpaceDN w:val="0"/>
        <w:bidi w:val="0"/>
        <w:adjustRightInd/>
        <w:snapToGrid/>
        <w:spacing w:before="170" w:line="394" w:lineRule="auto"/>
        <w:ind w:left="215" w:right="0" w:firstLine="420"/>
        <w:textAlignment w:val="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投诉人为自然人的，应当由本人签字；投诉人为法人或者其他组织的，应当由法定代表人、主</w:t>
      </w:r>
      <w:r>
        <w:rPr>
          <w:color w:val="000000" w:themeColor="text1"/>
          <w:highlight w:val="none"/>
          <w14:textFill>
            <w14:solidFill>
              <w14:schemeClr w14:val="tx1"/>
            </w14:solidFill>
          </w14:textFill>
        </w:rPr>
        <w:t>要负责人，或者其授权代表签字或者盖章，并加盖公章。</w:t>
      </w:r>
    </w:p>
    <w:p>
      <w:pPr>
        <w:pStyle w:val="31"/>
        <w:keepNext w:val="0"/>
        <w:keepLines w:val="0"/>
        <w:pageBreakBefore w:val="0"/>
        <w:widowControl w:val="0"/>
        <w:numPr>
          <w:ilvl w:val="2"/>
          <w:numId w:val="7"/>
        </w:numPr>
        <w:tabs>
          <w:tab w:val="left" w:pos="1320"/>
        </w:tabs>
        <w:kinsoku/>
        <w:wordWrap/>
        <w:overflowPunct/>
        <w:topLinePunct w:val="0"/>
        <w:autoSpaceDE w:val="0"/>
        <w:autoSpaceDN w:val="0"/>
        <w:bidi w:val="0"/>
        <w:adjustRightInd/>
        <w:snapToGrid/>
        <w:spacing w:before="0" w:line="391"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投诉人可以委托代理人办理投诉事务。代理人办理投诉事务时，除提交投诉书外，还应</w:t>
      </w:r>
      <w:r>
        <w:rPr>
          <w:color w:val="000000" w:themeColor="text1"/>
          <w:spacing w:val="-3"/>
          <w:sz w:val="21"/>
          <w:highlight w:val="none"/>
          <w14:textFill>
            <w14:solidFill>
              <w14:schemeClr w14:val="tx1"/>
            </w14:solidFill>
          </w14:textFill>
        </w:rPr>
        <w:t>当提交投诉人的授权委托书，授权委托书应当载明委托代理的具体权限和事项。</w:t>
      </w:r>
    </w:p>
    <w:p>
      <w:pPr>
        <w:pStyle w:val="31"/>
        <w:keepNext w:val="0"/>
        <w:keepLines w:val="0"/>
        <w:pageBreakBefore w:val="0"/>
        <w:widowControl w:val="0"/>
        <w:numPr>
          <w:ilvl w:val="2"/>
          <w:numId w:val="7"/>
        </w:numPr>
        <w:tabs>
          <w:tab w:val="left" w:pos="1320"/>
        </w:tabs>
        <w:kinsoku/>
        <w:wordWrap/>
        <w:overflowPunct/>
        <w:topLinePunct w:val="0"/>
        <w:autoSpaceDE w:val="0"/>
        <w:autoSpaceDN w:val="0"/>
        <w:bidi w:val="0"/>
        <w:adjustRightInd/>
        <w:snapToGrid/>
        <w:spacing w:before="2"/>
        <w:ind w:left="1320" w:right="0" w:hanging="685"/>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投诉人提起投诉应当符合下列条件：</w:t>
      </w:r>
    </w:p>
    <w:p>
      <w:pPr>
        <w:pStyle w:val="31"/>
        <w:numPr>
          <w:ilvl w:val="0"/>
          <w:numId w:val="12"/>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投诉人是参与所投诉政府采购活动的投标人；</w:t>
      </w:r>
    </w:p>
    <w:p>
      <w:pPr>
        <w:pStyle w:val="31"/>
        <w:numPr>
          <w:ilvl w:val="0"/>
          <w:numId w:val="12"/>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提起投诉前已依法进行质疑；</w:t>
      </w:r>
    </w:p>
    <w:p>
      <w:pPr>
        <w:pStyle w:val="31"/>
        <w:numPr>
          <w:ilvl w:val="0"/>
          <w:numId w:val="12"/>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在投诉有效期限内提起投诉；</w:t>
      </w:r>
    </w:p>
    <w:p>
      <w:pPr>
        <w:pStyle w:val="31"/>
        <w:numPr>
          <w:ilvl w:val="0"/>
          <w:numId w:val="12"/>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属于同级政府采购监督管理部门管辖；</w:t>
      </w:r>
    </w:p>
    <w:p>
      <w:pPr>
        <w:pStyle w:val="31"/>
        <w:numPr>
          <w:ilvl w:val="0"/>
          <w:numId w:val="12"/>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同一投诉事项未经同级政府采购监督管理部门投诉处理；</w:t>
      </w:r>
    </w:p>
    <w:p>
      <w:pPr>
        <w:pStyle w:val="31"/>
        <w:numPr>
          <w:ilvl w:val="0"/>
          <w:numId w:val="12"/>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国务院财政部门规定的其他条件。</w:t>
      </w:r>
    </w:p>
    <w:p>
      <w:pPr>
        <w:pStyle w:val="31"/>
        <w:numPr>
          <w:ilvl w:val="2"/>
          <w:numId w:val="7"/>
        </w:numPr>
        <w:tabs>
          <w:tab w:val="left" w:pos="1320"/>
        </w:tabs>
        <w:spacing w:line="391"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同级政府采购监督管理部门自受理投诉之日起三十个工作日内，对投诉事项作出处理决</w:t>
      </w:r>
      <w:r>
        <w:rPr>
          <w:color w:val="000000" w:themeColor="text1"/>
          <w:spacing w:val="-2"/>
          <w:w w:val="95"/>
          <w:sz w:val="21"/>
          <w:highlight w:val="none"/>
          <w14:textFill>
            <w14:solidFill>
              <w14:schemeClr w14:val="tx1"/>
            </w14:solidFill>
          </w14:textFill>
        </w:rPr>
        <w:t xml:space="preserve">  </w:t>
      </w:r>
      <w:r>
        <w:rPr>
          <w:color w:val="000000" w:themeColor="text1"/>
          <w:spacing w:val="-2"/>
          <w:sz w:val="21"/>
          <w:highlight w:val="none"/>
          <w14:textFill>
            <w14:solidFill>
              <w14:schemeClr w14:val="tx1"/>
            </w14:solidFill>
          </w14:textFill>
        </w:rPr>
        <w:t>定，并以书面形式通知投诉人、被投诉人及其他与投诉处理结果有利害关系的政府采购当事人。</w:t>
      </w:r>
    </w:p>
    <w:p>
      <w:pPr>
        <w:pStyle w:val="31"/>
        <w:numPr>
          <w:ilvl w:val="2"/>
          <w:numId w:val="7"/>
        </w:numPr>
        <w:tabs>
          <w:tab w:val="left" w:pos="1320"/>
        </w:tabs>
        <w:spacing w:before="4"/>
        <w:ind w:left="1320" w:hanging="68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政府采购监督管理部门在处理投诉事项期间，可以视具体情况暂停采购活动。</w:t>
      </w:r>
    </w:p>
    <w:p>
      <w:pPr>
        <w:pStyle w:val="2"/>
        <w:spacing w:before="25"/>
        <w:ind w:right="103"/>
        <w:rPr>
          <w:color w:val="000000" w:themeColor="text1"/>
          <w:highlight w:val="none"/>
          <w14:textFill>
            <w14:solidFill>
              <w14:schemeClr w14:val="tx1"/>
            </w14:solidFill>
          </w14:textFill>
        </w:rPr>
      </w:pPr>
      <w:bookmarkStart w:id="8" w:name="二、招标文件"/>
      <w:bookmarkEnd w:id="8"/>
      <w:bookmarkStart w:id="9" w:name="_Toc29847"/>
    </w:p>
    <w:p>
      <w:pPr>
        <w:pStyle w:val="2"/>
        <w:spacing w:before="25"/>
        <w:ind w:right="10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二、招标文件</w:t>
      </w:r>
      <w:bookmarkEnd w:id="9"/>
    </w:p>
    <w:p>
      <w:pPr>
        <w:pStyle w:val="13"/>
        <w:rPr>
          <w:b/>
          <w:color w:val="000000" w:themeColor="text1"/>
          <w:sz w:val="20"/>
          <w:highlight w:val="none"/>
          <w14:textFill>
            <w14:solidFill>
              <w14:schemeClr w14:val="tx1"/>
            </w14:solidFill>
          </w14:textFill>
        </w:rPr>
      </w:pPr>
    </w:p>
    <w:p>
      <w:pPr>
        <w:pStyle w:val="13"/>
        <w:spacing w:before="10"/>
        <w:rPr>
          <w:b/>
          <w:color w:val="000000" w:themeColor="text1"/>
          <w:sz w:val="15"/>
          <w:highlight w:val="none"/>
          <w14:textFill>
            <w14:solidFill>
              <w14:schemeClr w14:val="tx1"/>
            </w14:solidFill>
          </w14:textFill>
        </w:rPr>
      </w:pPr>
    </w:p>
    <w:p>
      <w:pPr>
        <w:pStyle w:val="7"/>
        <w:numPr>
          <w:ilvl w:val="0"/>
          <w:numId w:val="7"/>
        </w:numPr>
        <w:tabs>
          <w:tab w:val="left" w:pos="1076"/>
        </w:tabs>
        <w:spacing w:before="70"/>
        <w:ind w:left="1075" w:hanging="42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招标文件的构成</w:t>
      </w:r>
    </w:p>
    <w:p>
      <w:pPr>
        <w:pStyle w:val="31"/>
        <w:numPr>
          <w:ilvl w:val="0"/>
          <w:numId w:val="13"/>
        </w:numPr>
        <w:tabs>
          <w:tab w:val="left" w:pos="1180"/>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招标公告；</w:t>
      </w:r>
    </w:p>
    <w:p>
      <w:pPr>
        <w:pStyle w:val="31"/>
        <w:numPr>
          <w:ilvl w:val="0"/>
          <w:numId w:val="13"/>
        </w:numPr>
        <w:tabs>
          <w:tab w:val="left" w:pos="1180"/>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投标人须知；</w:t>
      </w:r>
    </w:p>
    <w:p>
      <w:pPr>
        <w:pStyle w:val="31"/>
        <w:numPr>
          <w:ilvl w:val="0"/>
          <w:numId w:val="13"/>
        </w:numPr>
        <w:tabs>
          <w:tab w:val="left" w:pos="1180"/>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货物采购需求（“货物采购需求”中标注★号项的要求为实质性要求）；</w:t>
      </w:r>
    </w:p>
    <w:p>
      <w:pPr>
        <w:pStyle w:val="31"/>
        <w:numPr>
          <w:ilvl w:val="0"/>
          <w:numId w:val="13"/>
        </w:numPr>
        <w:tabs>
          <w:tab w:val="left" w:pos="1180"/>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评标办法；</w:t>
      </w:r>
    </w:p>
    <w:p>
      <w:pPr>
        <w:pStyle w:val="31"/>
        <w:numPr>
          <w:ilvl w:val="0"/>
          <w:numId w:val="13"/>
        </w:numPr>
        <w:tabs>
          <w:tab w:val="left" w:pos="1180"/>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采购合同（合同主要条款及格式）；</w:t>
      </w:r>
    </w:p>
    <w:p>
      <w:pPr>
        <w:pStyle w:val="31"/>
        <w:numPr>
          <w:ilvl w:val="0"/>
          <w:numId w:val="13"/>
        </w:numPr>
        <w:tabs>
          <w:tab w:val="left" w:pos="1180"/>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投标文件格式。</w:t>
      </w:r>
    </w:p>
    <w:p>
      <w:pPr>
        <w:pStyle w:val="7"/>
        <w:numPr>
          <w:ilvl w:val="0"/>
          <w:numId w:val="7"/>
        </w:numPr>
        <w:tabs>
          <w:tab w:val="left" w:pos="1076"/>
        </w:tabs>
        <w:spacing w:before="170"/>
        <w:ind w:left="1075" w:hanging="42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招标文件的澄清与修改</w:t>
      </w:r>
    </w:p>
    <w:p>
      <w:pPr>
        <w:pStyle w:val="31"/>
        <w:numPr>
          <w:ilvl w:val="1"/>
          <w:numId w:val="7"/>
        </w:numPr>
        <w:tabs>
          <w:tab w:val="left" w:pos="1126"/>
        </w:tabs>
        <w:spacing w:before="171" w:line="393" w:lineRule="auto"/>
        <w:ind w:left="215" w:right="316" w:firstLine="436"/>
        <w:jc w:val="both"/>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投标人应认真阅读招标文件，发现其中有误或有不合理要求的，投标人必须在购买招标文</w:t>
      </w:r>
      <w:r>
        <w:rPr>
          <w:color w:val="000000" w:themeColor="text1"/>
          <w:spacing w:val="-15"/>
          <w:sz w:val="21"/>
          <w:highlight w:val="none"/>
          <w14:textFill>
            <w14:solidFill>
              <w14:schemeClr w14:val="tx1"/>
            </w14:solidFill>
          </w14:textFill>
        </w:rPr>
        <w:t xml:space="preserve">件之日起 </w:t>
      </w:r>
      <w:r>
        <w:rPr>
          <w:color w:val="000000" w:themeColor="text1"/>
          <w:sz w:val="21"/>
          <w:highlight w:val="none"/>
          <w14:textFill>
            <w14:solidFill>
              <w14:schemeClr w14:val="tx1"/>
            </w14:solidFill>
          </w14:textFill>
        </w:rPr>
        <w:t>7</w:t>
      </w:r>
      <w:r>
        <w:rPr>
          <w:color w:val="000000" w:themeColor="text1"/>
          <w:spacing w:val="-8"/>
          <w:sz w:val="21"/>
          <w:highlight w:val="none"/>
          <w14:textFill>
            <w14:solidFill>
              <w14:schemeClr w14:val="tx1"/>
            </w14:solidFill>
          </w14:textFill>
        </w:rPr>
        <w:t xml:space="preserve"> 个工作日内以书面形式要求招标代理机构澄清。</w:t>
      </w:r>
    </w:p>
    <w:p>
      <w:pPr>
        <w:pStyle w:val="31"/>
        <w:numPr>
          <w:ilvl w:val="1"/>
          <w:numId w:val="7"/>
        </w:numPr>
        <w:tabs>
          <w:tab w:val="left" w:pos="1126"/>
        </w:tabs>
        <w:spacing w:before="0" w:line="393" w:lineRule="auto"/>
        <w:ind w:left="215" w:right="314" w:firstLine="4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招标代理机构可以对已发出的招标文件进行必要澄清、修改。澄清或者修改的内容可能影</w:t>
      </w:r>
      <w:r>
        <w:rPr>
          <w:color w:val="000000" w:themeColor="text1"/>
          <w:spacing w:val="-4"/>
          <w:sz w:val="21"/>
          <w:highlight w:val="none"/>
          <w14:textFill>
            <w14:solidFill>
              <w14:schemeClr w14:val="tx1"/>
            </w14:solidFill>
          </w14:textFill>
        </w:rPr>
        <w:t>响投标文件编制的，代理机构应当在投标截止时间至少十五日前在本招标项目招标公告发布的同一媒体上发布更正公告；不足十五日的，招标代理机构应当顺延投标文件的截止时间。</w:t>
      </w:r>
    </w:p>
    <w:p>
      <w:pPr>
        <w:pStyle w:val="31"/>
        <w:numPr>
          <w:ilvl w:val="1"/>
          <w:numId w:val="7"/>
        </w:numPr>
        <w:tabs>
          <w:tab w:val="left" w:pos="1126"/>
        </w:tabs>
        <w:spacing w:before="0" w:line="393" w:lineRule="auto"/>
        <w:ind w:left="215" w:right="316" w:firstLine="4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投标人购买招标文件后应实时关注相关网站了解澄清、修改等与项目有关的内容，如因投标人未及时登录相关网站了解澄清、修改等与项目有关的内容，从而导致投标无效的，由投标人自</w:t>
      </w:r>
      <w:r>
        <w:rPr>
          <w:color w:val="000000" w:themeColor="text1"/>
          <w:spacing w:val="-3"/>
          <w:sz w:val="21"/>
          <w:highlight w:val="none"/>
          <w14:textFill>
            <w14:solidFill>
              <w14:schemeClr w14:val="tx1"/>
            </w14:solidFill>
          </w14:textFill>
        </w:rPr>
        <w:t>行承担责任。</w:t>
      </w:r>
    </w:p>
    <w:p>
      <w:pPr>
        <w:pStyle w:val="31"/>
        <w:numPr>
          <w:ilvl w:val="1"/>
          <w:numId w:val="7"/>
        </w:numPr>
        <w:tabs>
          <w:tab w:val="left" w:pos="1126"/>
        </w:tabs>
        <w:spacing w:before="0" w:line="391" w:lineRule="auto"/>
        <w:ind w:left="215" w:right="316" w:firstLine="4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必要的澄清、修改的内容为招标文件的组成部分。当澄清、修改通知就同一内容的表述不</w:t>
      </w:r>
      <w:r>
        <w:rPr>
          <w:color w:val="000000" w:themeColor="text1"/>
          <w:spacing w:val="-6"/>
          <w:sz w:val="21"/>
          <w:highlight w:val="none"/>
          <w14:textFill>
            <w14:solidFill>
              <w14:schemeClr w14:val="tx1"/>
            </w14:solidFill>
          </w14:textFill>
        </w:rPr>
        <w:t>一致时，以最后发出的文件为准。</w:t>
      </w:r>
    </w:p>
    <w:p>
      <w:pPr>
        <w:pStyle w:val="31"/>
        <w:numPr>
          <w:ilvl w:val="1"/>
          <w:numId w:val="7"/>
        </w:numPr>
        <w:tabs>
          <w:tab w:val="left" w:pos="1126"/>
        </w:tabs>
        <w:spacing w:before="0" w:line="391" w:lineRule="auto"/>
        <w:ind w:left="215" w:right="248" w:firstLine="4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招标文件的澄清、修改都应该通过招标代理机构以法定形式发布，招标人非通过本机构，   不得擅自澄清、修改招标文件。</w:t>
      </w:r>
    </w:p>
    <w:p>
      <w:pPr>
        <w:pStyle w:val="13"/>
        <w:spacing w:before="10"/>
        <w:rPr>
          <w:color w:val="000000" w:themeColor="text1"/>
          <w:sz w:val="18"/>
          <w:highlight w:val="none"/>
          <w14:textFill>
            <w14:solidFill>
              <w14:schemeClr w14:val="tx1"/>
            </w14:solidFill>
          </w14:textFill>
        </w:rPr>
      </w:pPr>
    </w:p>
    <w:p>
      <w:pPr>
        <w:pStyle w:val="2"/>
        <w:spacing w:before="0"/>
        <w:ind w:right="98"/>
        <w:rPr>
          <w:color w:val="000000" w:themeColor="text1"/>
          <w:highlight w:val="none"/>
          <w14:textFill>
            <w14:solidFill>
              <w14:schemeClr w14:val="tx1"/>
            </w14:solidFill>
          </w14:textFill>
        </w:rPr>
      </w:pPr>
      <w:bookmarkStart w:id="10" w:name="三、投标文件的编制"/>
      <w:bookmarkEnd w:id="10"/>
      <w:bookmarkStart w:id="11" w:name="_Toc22378"/>
      <w:r>
        <w:rPr>
          <w:color w:val="000000" w:themeColor="text1"/>
          <w:highlight w:val="none"/>
          <w14:textFill>
            <w14:solidFill>
              <w14:schemeClr w14:val="tx1"/>
            </w14:solidFill>
          </w14:textFill>
        </w:rPr>
        <w:t>三、投标文件的编制</w:t>
      </w:r>
      <w:bookmarkEnd w:id="11"/>
    </w:p>
    <w:p>
      <w:pPr>
        <w:pStyle w:val="13"/>
        <w:spacing w:before="2"/>
        <w:rPr>
          <w:b/>
          <w:color w:val="000000" w:themeColor="text1"/>
          <w:sz w:val="41"/>
          <w:highlight w:val="none"/>
          <w14:textFill>
            <w14:solidFill>
              <w14:schemeClr w14:val="tx1"/>
            </w14:solidFill>
          </w14:textFill>
        </w:rPr>
      </w:pPr>
    </w:p>
    <w:p>
      <w:pPr>
        <w:pStyle w:val="7"/>
        <w:numPr>
          <w:ilvl w:val="0"/>
          <w:numId w:val="7"/>
        </w:numPr>
        <w:tabs>
          <w:tab w:val="left" w:pos="1059"/>
        </w:tabs>
        <w:ind w:left="1058" w:hanging="42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投标文件的组成及要求</w:t>
      </w:r>
    </w:p>
    <w:p>
      <w:pPr>
        <w:pStyle w:val="31"/>
        <w:numPr>
          <w:ilvl w:val="1"/>
          <w:numId w:val="7"/>
        </w:numPr>
        <w:tabs>
          <w:tab w:val="left" w:pos="1124"/>
        </w:tabs>
        <w:spacing w:before="171"/>
        <w:ind w:left="1123" w:hanging="472"/>
        <w:outlineLvl w:val="2"/>
        <w:rPr>
          <w:b/>
          <w:color w:val="000000" w:themeColor="text1"/>
          <w:sz w:val="21"/>
          <w:highlight w:val="none"/>
          <w14:textFill>
            <w14:solidFill>
              <w14:schemeClr w14:val="tx1"/>
            </w14:solidFill>
          </w14:textFill>
        </w:rPr>
      </w:pPr>
      <w:bookmarkStart w:id="12" w:name="_Toc10509"/>
      <w:r>
        <w:rPr>
          <w:b/>
          <w:color w:val="000000" w:themeColor="text1"/>
          <w:sz w:val="21"/>
          <w:highlight w:val="none"/>
          <w14:textFill>
            <w14:solidFill>
              <w14:schemeClr w14:val="tx1"/>
            </w14:solidFill>
          </w14:textFill>
        </w:rPr>
        <w:t>投标文件的组成【格式见第六章“投标文件格式”】</w:t>
      </w:r>
      <w:bookmarkEnd w:id="12"/>
    </w:p>
    <w:p>
      <w:pPr>
        <w:pStyle w:val="31"/>
        <w:numPr>
          <w:ilvl w:val="2"/>
          <w:numId w:val="7"/>
        </w:numPr>
        <w:tabs>
          <w:tab w:val="left" w:pos="1325"/>
        </w:tabs>
        <w:spacing w:before="172"/>
        <w:ind w:left="1324" w:hanging="690"/>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资格文件</w:t>
      </w:r>
    </w:p>
    <w:p>
      <w:pPr>
        <w:pStyle w:val="31"/>
        <w:numPr>
          <w:ilvl w:val="0"/>
          <w:numId w:val="14"/>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投标人相应的法定代表人或负责人或自然人身份证正反面复印件（</w:t>
      </w:r>
      <w:r>
        <w:rPr>
          <w:b/>
          <w:color w:val="000000" w:themeColor="text1"/>
          <w:sz w:val="21"/>
          <w:highlight w:val="none"/>
          <w14:textFill>
            <w14:solidFill>
              <w14:schemeClr w14:val="tx1"/>
            </w14:solidFill>
          </w14:textFill>
        </w:rPr>
        <w:t>必须提供</w:t>
      </w:r>
      <w:r>
        <w:rPr>
          <w:color w:val="000000" w:themeColor="text1"/>
          <w:sz w:val="21"/>
          <w:highlight w:val="none"/>
          <w14:textFill>
            <w14:solidFill>
              <w14:schemeClr w14:val="tx1"/>
            </w14:solidFill>
          </w14:textFill>
        </w:rPr>
        <w:t>）；</w:t>
      </w:r>
    </w:p>
    <w:p>
      <w:pPr>
        <w:pStyle w:val="31"/>
        <w:numPr>
          <w:ilvl w:val="0"/>
          <w:numId w:val="14"/>
        </w:numPr>
        <w:tabs>
          <w:tab w:val="left" w:pos="1163"/>
        </w:tabs>
        <w:spacing w:line="393" w:lineRule="auto"/>
        <w:ind w:left="215" w:right="316" w:firstLine="420"/>
        <w:jc w:val="both"/>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投标人的授权委托书原件、委托代理人身份证正反面复印件以及由县级以上</w:t>
      </w:r>
      <w:r>
        <w:rPr>
          <w:color w:val="000000" w:themeColor="text1"/>
          <w:sz w:val="21"/>
          <w:highlight w:val="none"/>
          <w14:textFill>
            <w14:solidFill>
              <w14:schemeClr w14:val="tx1"/>
            </w14:solidFill>
          </w14:textFill>
        </w:rPr>
        <w:t>（含县级</w:t>
      </w:r>
      <w:r>
        <w:rPr>
          <w:color w:val="000000" w:themeColor="text1"/>
          <w:spacing w:val="-25"/>
          <w:sz w:val="21"/>
          <w:highlight w:val="none"/>
          <w14:textFill>
            <w14:solidFill>
              <w14:schemeClr w14:val="tx1"/>
            </w14:solidFill>
          </w14:textFill>
        </w:rPr>
        <w:t xml:space="preserve">） </w:t>
      </w:r>
      <w:r>
        <w:rPr>
          <w:color w:val="000000" w:themeColor="text1"/>
          <w:spacing w:val="-4"/>
          <w:sz w:val="21"/>
          <w:highlight w:val="none"/>
          <w14:textFill>
            <w14:solidFill>
              <w14:schemeClr w14:val="tx1"/>
            </w14:solidFill>
          </w14:textFill>
        </w:rPr>
        <w:t>社会养老保险经办机构出具的投标人为委托代理人交纳的社保证明（投标截止日当月的前六个月中任意连续三个月）复印件【自然人投标的应提供由县级以上（含县级）社会养老保险经办机构出具</w:t>
      </w:r>
      <w:r>
        <w:rPr>
          <w:color w:val="000000" w:themeColor="text1"/>
          <w:sz w:val="21"/>
          <w:highlight w:val="none"/>
          <w14:textFill>
            <w14:solidFill>
              <w14:schemeClr w14:val="tx1"/>
            </w14:solidFill>
          </w14:textFill>
        </w:rPr>
        <w:t>的自然人本人及委托代理人所交纳的社保证明复印件】</w:t>
      </w:r>
      <w:r>
        <w:rPr>
          <w:b/>
          <w:color w:val="000000" w:themeColor="text1"/>
          <w:sz w:val="21"/>
          <w:highlight w:val="none"/>
          <w14:textFill>
            <w14:solidFill>
              <w14:schemeClr w14:val="tx1"/>
            </w14:solidFill>
          </w14:textFill>
        </w:rPr>
        <w:t>（委托代理时必须提供）</w:t>
      </w:r>
      <w:r>
        <w:rPr>
          <w:color w:val="000000" w:themeColor="text1"/>
          <w:sz w:val="21"/>
          <w:highlight w:val="none"/>
          <w14:textFill>
            <w14:solidFill>
              <w14:schemeClr w14:val="tx1"/>
            </w14:solidFill>
          </w14:textFill>
        </w:rPr>
        <w:t>；</w:t>
      </w:r>
    </w:p>
    <w:p>
      <w:pPr>
        <w:pStyle w:val="31"/>
        <w:keepNext w:val="0"/>
        <w:keepLines w:val="0"/>
        <w:pageBreakBefore w:val="0"/>
        <w:widowControl w:val="0"/>
        <w:numPr>
          <w:ilvl w:val="0"/>
          <w:numId w:val="14"/>
        </w:numPr>
        <w:tabs>
          <w:tab w:val="left" w:pos="1172"/>
        </w:tabs>
        <w:kinsoku/>
        <w:wordWrap/>
        <w:overflowPunct/>
        <w:topLinePunct w:val="0"/>
        <w:autoSpaceDE w:val="0"/>
        <w:autoSpaceDN w:val="0"/>
        <w:bidi w:val="0"/>
        <w:adjustRightInd/>
        <w:snapToGrid/>
        <w:spacing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 xml:space="preserve">投标人参加政府采购活动前 </w:t>
      </w:r>
      <w:r>
        <w:rPr>
          <w:color w:val="000000" w:themeColor="text1"/>
          <w:sz w:val="21"/>
          <w:highlight w:val="none"/>
          <w14:textFill>
            <w14:solidFill>
              <w14:schemeClr w14:val="tx1"/>
            </w14:solidFill>
          </w14:textFill>
        </w:rPr>
        <w:t>3</w:t>
      </w:r>
      <w:r>
        <w:rPr>
          <w:color w:val="000000" w:themeColor="text1"/>
          <w:spacing w:val="-5"/>
          <w:sz w:val="21"/>
          <w:highlight w:val="none"/>
          <w14:textFill>
            <w14:solidFill>
              <w14:schemeClr w14:val="tx1"/>
            </w14:solidFill>
          </w14:textFill>
        </w:rPr>
        <w:t xml:space="preserve"> 年内在经营活动中没有重大违法记录的书面声明</w:t>
      </w:r>
      <w:r>
        <w:rPr>
          <w:b/>
          <w:color w:val="000000" w:themeColor="text1"/>
          <w:spacing w:val="4"/>
          <w:sz w:val="21"/>
          <w:highlight w:val="none"/>
          <w14:textFill>
            <w14:solidFill>
              <w14:schemeClr w14:val="tx1"/>
            </w14:solidFill>
          </w14:textFill>
        </w:rPr>
        <w:t>（</w:t>
      </w:r>
      <w:r>
        <w:rPr>
          <w:b/>
          <w:color w:val="000000" w:themeColor="text1"/>
          <w:spacing w:val="2"/>
          <w:sz w:val="21"/>
          <w:highlight w:val="none"/>
          <w14:textFill>
            <w14:solidFill>
              <w14:schemeClr w14:val="tx1"/>
            </w14:solidFill>
          </w14:textFill>
        </w:rPr>
        <w:t>必须提供）</w:t>
      </w:r>
      <w:r>
        <w:rPr>
          <w:color w:val="000000" w:themeColor="text1"/>
          <w:spacing w:val="2"/>
          <w:sz w:val="21"/>
          <w:highlight w:val="none"/>
          <w14:textFill>
            <w14:solidFill>
              <w14:schemeClr w14:val="tx1"/>
            </w14:solidFill>
          </w14:textFill>
        </w:rPr>
        <w:t>；</w:t>
      </w:r>
    </w:p>
    <w:p>
      <w:pPr>
        <w:pStyle w:val="31"/>
        <w:numPr>
          <w:ilvl w:val="0"/>
          <w:numId w:val="14"/>
        </w:numPr>
        <w:tabs>
          <w:tab w:val="left" w:pos="1163"/>
        </w:tabs>
        <w:spacing w:before="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投标人的法人或者其他组织营业执照等证明文件</w:t>
      </w:r>
      <w:r>
        <w:rPr>
          <w:b/>
          <w:color w:val="000000" w:themeColor="text1"/>
          <w:sz w:val="21"/>
          <w:highlight w:val="none"/>
          <w14:textFill>
            <w14:solidFill>
              <w14:schemeClr w14:val="tx1"/>
            </w14:solidFill>
          </w14:textFill>
        </w:rPr>
        <w:t>（必须提供，自然人除外）</w:t>
      </w:r>
      <w:r>
        <w:rPr>
          <w:color w:val="000000" w:themeColor="text1"/>
          <w:sz w:val="21"/>
          <w:highlight w:val="none"/>
          <w14:textFill>
            <w14:solidFill>
              <w14:schemeClr w14:val="tx1"/>
            </w14:solidFill>
          </w14:textFill>
        </w:rPr>
        <w:t>；</w:t>
      </w:r>
    </w:p>
    <w:p>
      <w:pPr>
        <w:pStyle w:val="7"/>
        <w:keepNext w:val="0"/>
        <w:keepLines w:val="0"/>
        <w:pageBreakBefore w:val="0"/>
        <w:widowControl w:val="0"/>
        <w:kinsoku/>
        <w:wordWrap/>
        <w:overflowPunct/>
        <w:topLinePunct w:val="0"/>
        <w:autoSpaceDE w:val="0"/>
        <w:autoSpaceDN w:val="0"/>
        <w:bidi w:val="0"/>
        <w:adjustRightInd/>
        <w:snapToGrid/>
        <w:spacing w:before="170" w:line="392" w:lineRule="auto"/>
        <w:ind w:left="215" w:right="0" w:firstLine="420"/>
        <w:textAlignment w:val="auto"/>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注：①法人包括企业法人、机关法人、事业单位法人和社会团体法人；其他组织主要包括合伙</w:t>
      </w:r>
      <w:r>
        <w:rPr>
          <w:color w:val="000000" w:themeColor="text1"/>
          <w:spacing w:val="-9"/>
          <w:w w:val="95"/>
          <w:highlight w:val="none"/>
          <w14:textFill>
            <w14:solidFill>
              <w14:schemeClr w14:val="tx1"/>
            </w14:solidFill>
          </w14:textFill>
        </w:rPr>
        <w:t>企业、非企业专业服务机构、个体工商户、农村承包经营户。②如投标人为企业</w:t>
      </w:r>
      <w:r>
        <w:rPr>
          <w:color w:val="000000" w:themeColor="text1"/>
          <w:w w:val="95"/>
          <w:highlight w:val="none"/>
          <w14:textFill>
            <w14:solidFill>
              <w14:schemeClr w14:val="tx1"/>
            </w14:solidFill>
          </w14:textFill>
        </w:rPr>
        <w:t>（包括合伙企业</w:t>
      </w:r>
      <w:r>
        <w:rPr>
          <w:color w:val="000000" w:themeColor="text1"/>
          <w:spacing w:val="-9"/>
          <w:w w:val="95"/>
          <w:highlight w:val="none"/>
          <w14:textFill>
            <w14:solidFill>
              <w14:schemeClr w14:val="tx1"/>
            </w14:solidFill>
          </w14:textFill>
        </w:rPr>
        <w:t>），</w:t>
      </w:r>
      <w:r>
        <w:rPr>
          <w:color w:val="000000" w:themeColor="text1"/>
          <w:spacing w:val="-4"/>
          <w:highlight w:val="none"/>
          <w14:textFill>
            <w14:solidFill>
              <w14:schemeClr w14:val="tx1"/>
            </w14:solidFill>
          </w14:textFill>
        </w:rPr>
        <w:t>应提供工商部门注册的有效“企业法人营业执照”或“营业执照；投标人为事业单位，应提供有效</w:t>
      </w:r>
      <w:r>
        <w:rPr>
          <w:color w:val="000000" w:themeColor="text1"/>
          <w:spacing w:val="-5"/>
          <w:highlight w:val="none"/>
          <w14:textFill>
            <w14:solidFill>
              <w14:schemeClr w14:val="tx1"/>
            </w14:solidFill>
          </w14:textFill>
        </w:rPr>
        <w:t>的“事业单位法人证书”；投标人为非企业专业服务机构的，应提供执业许可证等证明文件；投标人为个体工商户，应提供有效的“个体工商户营业执照”。</w:t>
      </w:r>
    </w:p>
    <w:p>
      <w:pPr>
        <w:pStyle w:val="31"/>
        <w:keepNext w:val="0"/>
        <w:keepLines w:val="0"/>
        <w:pageBreakBefore w:val="0"/>
        <w:widowControl w:val="0"/>
        <w:numPr>
          <w:ilvl w:val="0"/>
          <w:numId w:val="14"/>
        </w:numPr>
        <w:tabs>
          <w:tab w:val="left" w:pos="1163"/>
        </w:tabs>
        <w:kinsoku/>
        <w:wordWrap/>
        <w:overflowPunct/>
        <w:topLinePunct w:val="0"/>
        <w:autoSpaceDE w:val="0"/>
        <w:autoSpaceDN w:val="0"/>
        <w:bidi w:val="0"/>
        <w:adjustRightInd/>
        <w:snapToGrid/>
        <w:spacing w:before="8"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投标人有效的组织机构代码证复印件、投标人的税务登记证复印件</w:t>
      </w:r>
      <w:r>
        <w:rPr>
          <w:b/>
          <w:color w:val="000000" w:themeColor="text1"/>
          <w:spacing w:val="4"/>
          <w:w w:val="95"/>
          <w:sz w:val="21"/>
          <w:highlight w:val="none"/>
          <w14:textFill>
            <w14:solidFill>
              <w14:schemeClr w14:val="tx1"/>
            </w14:solidFill>
          </w14:textFill>
        </w:rPr>
        <w:t>（</w:t>
      </w:r>
      <w:r>
        <w:rPr>
          <w:b/>
          <w:color w:val="000000" w:themeColor="text1"/>
          <w:spacing w:val="3"/>
          <w:w w:val="95"/>
          <w:sz w:val="21"/>
          <w:highlight w:val="none"/>
          <w14:textFill>
            <w14:solidFill>
              <w14:schemeClr w14:val="tx1"/>
            </w14:solidFill>
          </w14:textFill>
        </w:rPr>
        <w:t>必须提供，已经取</w:t>
      </w:r>
      <w:r>
        <w:rPr>
          <w:b/>
          <w:color w:val="000000" w:themeColor="text1"/>
          <w:spacing w:val="3"/>
          <w:sz w:val="21"/>
          <w:highlight w:val="none"/>
          <w14:textFill>
            <w14:solidFill>
              <w14:schemeClr w14:val="tx1"/>
            </w14:solidFill>
          </w14:textFill>
        </w:rPr>
        <w:t>得“三证合一”的或为自然人的除外）</w:t>
      </w:r>
      <w:r>
        <w:rPr>
          <w:color w:val="000000" w:themeColor="text1"/>
          <w:spacing w:val="3"/>
          <w:sz w:val="21"/>
          <w:highlight w:val="none"/>
          <w14:textFill>
            <w14:solidFill>
              <w14:schemeClr w14:val="tx1"/>
            </w14:solidFill>
          </w14:textFill>
        </w:rPr>
        <w:t>；</w:t>
      </w:r>
    </w:p>
    <w:p>
      <w:pPr>
        <w:pStyle w:val="7"/>
        <w:numPr>
          <w:ilvl w:val="2"/>
          <w:numId w:val="7"/>
        </w:numPr>
        <w:tabs>
          <w:tab w:val="left" w:pos="1325"/>
        </w:tabs>
        <w:spacing w:before="2"/>
        <w:ind w:left="1324" w:hanging="6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资信及商务文件</w:t>
      </w:r>
    </w:p>
    <w:p>
      <w:pPr>
        <w:pStyle w:val="31"/>
        <w:numPr>
          <w:ilvl w:val="0"/>
          <w:numId w:val="15"/>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w:t>
      </w:r>
      <w:r>
        <w:rPr>
          <w:b/>
          <w:color w:val="000000" w:themeColor="text1"/>
          <w:sz w:val="21"/>
          <w:highlight w:val="none"/>
          <w14:textFill>
            <w14:solidFill>
              <w14:schemeClr w14:val="tx1"/>
            </w14:solidFill>
          </w14:textFill>
        </w:rPr>
        <w:t>必须提供</w:t>
      </w:r>
      <w:r>
        <w:rPr>
          <w:color w:val="000000" w:themeColor="text1"/>
          <w:sz w:val="21"/>
          <w:highlight w:val="none"/>
          <w14:textFill>
            <w14:solidFill>
              <w14:schemeClr w14:val="tx1"/>
            </w14:solidFill>
          </w14:textFill>
        </w:rPr>
        <w:t>）；</w:t>
      </w:r>
    </w:p>
    <w:p>
      <w:pPr>
        <w:pStyle w:val="31"/>
        <w:numPr>
          <w:ilvl w:val="0"/>
          <w:numId w:val="15"/>
        </w:numPr>
        <w:tabs>
          <w:tab w:val="left" w:pos="1163"/>
        </w:tabs>
        <w:ind w:hanging="528"/>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投标报价表</w:t>
      </w:r>
      <w:r>
        <w:rPr>
          <w:b/>
          <w:color w:val="000000" w:themeColor="text1"/>
          <w:sz w:val="21"/>
          <w:highlight w:val="none"/>
          <w14:textFill>
            <w14:solidFill>
              <w14:schemeClr w14:val="tx1"/>
            </w14:solidFill>
          </w14:textFill>
        </w:rPr>
        <w:t>（必须提供）；</w:t>
      </w:r>
    </w:p>
    <w:p>
      <w:pPr>
        <w:pStyle w:val="31"/>
        <w:numPr>
          <w:ilvl w:val="0"/>
          <w:numId w:val="15"/>
        </w:numPr>
        <w:tabs>
          <w:tab w:val="left" w:pos="1163"/>
        </w:tabs>
        <w:ind w:hanging="528"/>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技术规格偏离表</w:t>
      </w:r>
      <w:r>
        <w:rPr>
          <w:b/>
          <w:color w:val="000000" w:themeColor="text1"/>
          <w:sz w:val="21"/>
          <w:highlight w:val="none"/>
          <w14:textFill>
            <w14:solidFill>
              <w14:schemeClr w14:val="tx1"/>
            </w14:solidFill>
          </w14:textFill>
        </w:rPr>
        <w:t>（必须提供）；</w:t>
      </w:r>
    </w:p>
    <w:p>
      <w:pPr>
        <w:pStyle w:val="31"/>
        <w:numPr>
          <w:ilvl w:val="0"/>
          <w:numId w:val="15"/>
        </w:numPr>
        <w:tabs>
          <w:tab w:val="left" w:pos="1163"/>
        </w:tabs>
        <w:spacing w:before="173"/>
        <w:ind w:hanging="528"/>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项目技术设计实施方案</w:t>
      </w:r>
      <w:r>
        <w:rPr>
          <w:b/>
          <w:color w:val="000000" w:themeColor="text1"/>
          <w:sz w:val="21"/>
          <w:highlight w:val="none"/>
          <w14:textFill>
            <w14:solidFill>
              <w14:schemeClr w14:val="tx1"/>
            </w14:solidFill>
          </w14:textFill>
        </w:rPr>
        <w:t>（如有，请提供）；</w:t>
      </w:r>
    </w:p>
    <w:p>
      <w:pPr>
        <w:pStyle w:val="31"/>
        <w:numPr>
          <w:ilvl w:val="0"/>
          <w:numId w:val="15"/>
        </w:numPr>
        <w:tabs>
          <w:tab w:val="left" w:pos="1163"/>
        </w:tabs>
        <w:ind w:hanging="528"/>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投标人相关获奖证书、认证证书等复印件</w:t>
      </w:r>
      <w:r>
        <w:rPr>
          <w:b/>
          <w:color w:val="000000" w:themeColor="text1"/>
          <w:sz w:val="21"/>
          <w:highlight w:val="none"/>
          <w14:textFill>
            <w14:solidFill>
              <w14:schemeClr w14:val="tx1"/>
            </w14:solidFill>
          </w14:textFill>
        </w:rPr>
        <w:t>（如有，请提供）；</w:t>
      </w:r>
    </w:p>
    <w:p>
      <w:pPr>
        <w:pStyle w:val="31"/>
        <w:keepNext w:val="0"/>
        <w:keepLines w:val="0"/>
        <w:pageBreakBefore w:val="0"/>
        <w:widowControl w:val="0"/>
        <w:numPr>
          <w:ilvl w:val="0"/>
          <w:numId w:val="15"/>
        </w:numPr>
        <w:tabs>
          <w:tab w:val="left" w:pos="1163"/>
        </w:tabs>
        <w:kinsoku/>
        <w:wordWrap/>
        <w:overflowPunct/>
        <w:topLinePunct w:val="0"/>
        <w:autoSpaceDE w:val="0"/>
        <w:autoSpaceDN w:val="0"/>
        <w:bidi w:val="0"/>
        <w:adjustRightInd/>
        <w:snapToGrid/>
        <w:spacing w:line="394" w:lineRule="auto"/>
        <w:ind w:left="215" w:right="0" w:firstLine="420"/>
        <w:textAlignment w:val="auto"/>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投标人具有同类产品的销售业绩【无不良记录，以中标（成交）通知书、签订的销售合同</w:t>
      </w:r>
      <w:r>
        <w:rPr>
          <w:color w:val="000000" w:themeColor="text1"/>
          <w:spacing w:val="-4"/>
          <w:sz w:val="21"/>
          <w:highlight w:val="none"/>
          <w14:textFill>
            <w14:solidFill>
              <w14:schemeClr w14:val="tx1"/>
            </w14:solidFill>
          </w14:textFill>
        </w:rPr>
        <w:t>和用户评价为准，并能清晰反映所销售的货物名称、种类、金额、数量】</w:t>
      </w:r>
      <w:r>
        <w:rPr>
          <w:b/>
          <w:color w:val="000000" w:themeColor="text1"/>
          <w:spacing w:val="-4"/>
          <w:sz w:val="21"/>
          <w:highlight w:val="none"/>
          <w14:textFill>
            <w14:solidFill>
              <w14:schemeClr w14:val="tx1"/>
            </w14:solidFill>
          </w14:textFill>
        </w:rPr>
        <w:t>（如有，请提供）；</w:t>
      </w:r>
    </w:p>
    <w:p>
      <w:pPr>
        <w:pStyle w:val="31"/>
        <w:numPr>
          <w:ilvl w:val="0"/>
          <w:numId w:val="15"/>
        </w:numPr>
        <w:tabs>
          <w:tab w:val="left" w:pos="1163"/>
        </w:tabs>
        <w:spacing w:before="0" w:line="267" w:lineRule="exact"/>
        <w:ind w:hanging="528"/>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售后服务方案（格式自拟）</w:t>
      </w:r>
      <w:r>
        <w:rPr>
          <w:b/>
          <w:color w:val="000000" w:themeColor="text1"/>
          <w:sz w:val="21"/>
          <w:highlight w:val="none"/>
          <w14:textFill>
            <w14:solidFill>
              <w14:schemeClr w14:val="tx1"/>
            </w14:solidFill>
          </w14:textFill>
        </w:rPr>
        <w:t>（如有，请提供）；</w:t>
      </w:r>
    </w:p>
    <w:p>
      <w:pPr>
        <w:pStyle w:val="31"/>
        <w:keepNext w:val="0"/>
        <w:keepLines w:val="0"/>
        <w:pageBreakBefore w:val="0"/>
        <w:widowControl w:val="0"/>
        <w:numPr>
          <w:ilvl w:val="0"/>
          <w:numId w:val="15"/>
        </w:numPr>
        <w:tabs>
          <w:tab w:val="left" w:pos="1163"/>
        </w:tabs>
        <w:kinsoku/>
        <w:wordWrap/>
        <w:overflowPunct/>
        <w:topLinePunct w:val="0"/>
        <w:autoSpaceDE w:val="0"/>
        <w:autoSpaceDN w:val="0"/>
        <w:bidi w:val="0"/>
        <w:adjustRightInd/>
        <w:snapToGrid/>
        <w:spacing w:line="394" w:lineRule="auto"/>
        <w:ind w:left="215" w:right="0" w:firstLine="420"/>
        <w:textAlignment w:val="auto"/>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投标人的售后服务承诺书（含交付使用期、免费保修期、技术服务、技术培训、售后服务</w:t>
      </w:r>
      <w:r>
        <w:rPr>
          <w:color w:val="000000" w:themeColor="text1"/>
          <w:spacing w:val="-6"/>
          <w:sz w:val="21"/>
          <w:highlight w:val="none"/>
          <w14:textFill>
            <w14:solidFill>
              <w14:schemeClr w14:val="tx1"/>
            </w14:solidFill>
          </w14:textFill>
        </w:rPr>
        <w:t>的内容和措施等）</w:t>
      </w:r>
      <w:r>
        <w:rPr>
          <w:b/>
          <w:color w:val="000000" w:themeColor="text1"/>
          <w:spacing w:val="-6"/>
          <w:sz w:val="21"/>
          <w:highlight w:val="none"/>
          <w14:textFill>
            <w14:solidFill>
              <w14:schemeClr w14:val="tx1"/>
            </w14:solidFill>
          </w14:textFill>
        </w:rPr>
        <w:t>（必须提供）；</w:t>
      </w:r>
    </w:p>
    <w:p>
      <w:pPr>
        <w:pStyle w:val="7"/>
        <w:numPr>
          <w:ilvl w:val="0"/>
          <w:numId w:val="15"/>
        </w:numPr>
        <w:tabs>
          <w:tab w:val="left" w:pos="1172"/>
        </w:tabs>
        <w:spacing w:line="393" w:lineRule="auto"/>
        <w:ind w:left="215" w:right="285" w:firstLine="420"/>
        <w:jc w:val="both"/>
        <w:rPr>
          <w:color w:val="000000" w:themeColor="text1"/>
          <w:highlight w:val="none"/>
          <w14:textFill>
            <w14:solidFill>
              <w14:schemeClr w14:val="tx1"/>
            </w14:solidFill>
          </w14:textFill>
        </w:rPr>
      </w:pPr>
      <w:r>
        <w:rPr>
          <w:b w:val="0"/>
          <w:bCs w:val="0"/>
          <w:color w:val="000000" w:themeColor="text1"/>
          <w:szCs w:val="22"/>
          <w:highlight w:val="none"/>
          <w14:textFill>
            <w14:solidFill>
              <w14:schemeClr w14:val="tx1"/>
            </w14:solidFill>
          </w14:textFill>
        </w:rPr>
        <w:t>项目实施人员一览表</w:t>
      </w:r>
      <w:r>
        <w:rPr>
          <w:color w:val="000000" w:themeColor="text1"/>
          <w:spacing w:val="3"/>
          <w:w w:val="95"/>
          <w:highlight w:val="none"/>
          <w14:textFill>
            <w14:solidFill>
              <w14:schemeClr w14:val="tx1"/>
            </w14:solidFill>
          </w14:textFill>
        </w:rPr>
        <w:t>【如有，请提供</w:t>
      </w:r>
      <w:r>
        <w:rPr>
          <w:color w:val="000000" w:themeColor="text1"/>
          <w:highlight w:val="none"/>
          <w14:textFill>
            <w14:solidFill>
              <w14:schemeClr w14:val="tx1"/>
            </w14:solidFill>
          </w14:textFill>
        </w:rPr>
        <w:t>】；</w:t>
      </w:r>
    </w:p>
    <w:p>
      <w:pPr>
        <w:pStyle w:val="31"/>
        <w:numPr>
          <w:ilvl w:val="0"/>
          <w:numId w:val="15"/>
        </w:numPr>
        <w:tabs>
          <w:tab w:val="left" w:pos="1266"/>
        </w:tabs>
        <w:spacing w:before="0" w:line="265" w:lineRule="exact"/>
        <w:ind w:left="1266"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节能方面的资质证书复印件</w:t>
      </w:r>
      <w:r>
        <w:rPr>
          <w:b/>
          <w:bCs/>
          <w:color w:val="000000" w:themeColor="text1"/>
          <w:w w:val="95"/>
          <w:sz w:val="21"/>
          <w:highlight w:val="none"/>
          <w14:textFill>
            <w14:solidFill>
              <w14:schemeClr w14:val="tx1"/>
            </w14:solidFill>
          </w14:textFill>
        </w:rPr>
        <w:t>（如有，请提供）</w:t>
      </w:r>
      <w:r>
        <w:rPr>
          <w:color w:val="000000" w:themeColor="text1"/>
          <w:w w:val="95"/>
          <w:sz w:val="21"/>
          <w:highlight w:val="none"/>
          <w14:textFill>
            <w14:solidFill>
              <w14:schemeClr w14:val="tx1"/>
            </w14:solidFill>
          </w14:textFill>
        </w:rPr>
        <w:t>；</w:t>
      </w:r>
    </w:p>
    <w:p>
      <w:pPr>
        <w:pStyle w:val="31"/>
        <w:numPr>
          <w:ilvl w:val="0"/>
          <w:numId w:val="15"/>
        </w:numPr>
        <w:tabs>
          <w:tab w:val="left" w:pos="1266"/>
        </w:tabs>
        <w:spacing w:before="169"/>
        <w:ind w:left="1266"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环保方面的资质证书复印件</w:t>
      </w:r>
      <w:r>
        <w:rPr>
          <w:b/>
          <w:bCs/>
          <w:color w:val="000000" w:themeColor="text1"/>
          <w:w w:val="95"/>
          <w:sz w:val="21"/>
          <w:highlight w:val="none"/>
          <w14:textFill>
            <w14:solidFill>
              <w14:schemeClr w14:val="tx1"/>
            </w14:solidFill>
          </w14:textFill>
        </w:rPr>
        <w:t>（如有，请提供）</w:t>
      </w:r>
      <w:r>
        <w:rPr>
          <w:color w:val="000000" w:themeColor="text1"/>
          <w:w w:val="95"/>
          <w:sz w:val="21"/>
          <w:highlight w:val="none"/>
          <w14:textFill>
            <w14:solidFill>
              <w14:schemeClr w14:val="tx1"/>
            </w14:solidFill>
          </w14:textFill>
        </w:rPr>
        <w:t>；</w:t>
      </w:r>
    </w:p>
    <w:p>
      <w:pPr>
        <w:pStyle w:val="31"/>
        <w:keepNext w:val="0"/>
        <w:keepLines w:val="0"/>
        <w:pageBreakBefore w:val="0"/>
        <w:widowControl w:val="0"/>
        <w:numPr>
          <w:ilvl w:val="0"/>
          <w:numId w:val="15"/>
        </w:numPr>
        <w:tabs>
          <w:tab w:val="left" w:pos="1266"/>
        </w:tabs>
        <w:kinsoku/>
        <w:wordWrap/>
        <w:overflowPunct/>
        <w:topLinePunct w:val="0"/>
        <w:autoSpaceDE w:val="0"/>
        <w:autoSpaceDN w:val="0"/>
        <w:bidi w:val="0"/>
        <w:adjustRightInd/>
        <w:snapToGrid/>
        <w:spacing w:before="17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14"/>
          <w:sz w:val="21"/>
          <w:highlight w:val="none"/>
          <w14:textFill>
            <w14:solidFill>
              <w14:schemeClr w14:val="tx1"/>
            </w14:solidFill>
          </w14:textFill>
        </w:rPr>
        <w:t xml:space="preserve">投标人 </w:t>
      </w:r>
      <w:r>
        <w:rPr>
          <w:color w:val="000000" w:themeColor="text1"/>
          <w:sz w:val="21"/>
          <w:highlight w:val="none"/>
          <w14:textFill>
            <w14:solidFill>
              <w14:schemeClr w14:val="tx1"/>
            </w14:solidFill>
          </w14:textFill>
        </w:rPr>
        <w:t>2018</w:t>
      </w:r>
      <w:r>
        <w:rPr>
          <w:color w:val="000000" w:themeColor="text1"/>
          <w:spacing w:val="-10"/>
          <w:sz w:val="21"/>
          <w:highlight w:val="none"/>
          <w14:textFill>
            <w14:solidFill>
              <w14:schemeClr w14:val="tx1"/>
            </w14:solidFill>
          </w14:textFill>
        </w:rPr>
        <w:t xml:space="preserve"> 年度以来通过中介第三方审计的有效财务审计报告复印件、企业缴纳税费证明材料</w:t>
      </w:r>
      <w:r>
        <w:rPr>
          <w:b/>
          <w:color w:val="000000" w:themeColor="text1"/>
          <w:spacing w:val="-10"/>
          <w:sz w:val="21"/>
          <w:highlight w:val="none"/>
          <w14:textFill>
            <w14:solidFill>
              <w14:schemeClr w14:val="tx1"/>
            </w14:solidFill>
          </w14:textFill>
        </w:rPr>
        <w:t>（如有，请提供）</w:t>
      </w:r>
      <w:r>
        <w:rPr>
          <w:color w:val="000000" w:themeColor="text1"/>
          <w:spacing w:val="-10"/>
          <w:sz w:val="21"/>
          <w:highlight w:val="none"/>
          <w14:textFill>
            <w14:solidFill>
              <w14:schemeClr w14:val="tx1"/>
            </w14:solidFill>
          </w14:textFill>
        </w:rPr>
        <w:t>；</w:t>
      </w:r>
    </w:p>
    <w:p>
      <w:pPr>
        <w:pStyle w:val="31"/>
        <w:numPr>
          <w:ilvl w:val="0"/>
          <w:numId w:val="15"/>
        </w:numPr>
        <w:tabs>
          <w:tab w:val="left" w:pos="1268"/>
        </w:tabs>
        <w:spacing w:before="2"/>
        <w:ind w:left="1267" w:hanging="633"/>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“货物采购需求”需提供的有效证明文件</w:t>
      </w:r>
      <w:r>
        <w:rPr>
          <w:b/>
          <w:color w:val="000000" w:themeColor="text1"/>
          <w:sz w:val="21"/>
          <w:highlight w:val="none"/>
          <w14:textFill>
            <w14:solidFill>
              <w14:schemeClr w14:val="tx1"/>
            </w14:solidFill>
          </w14:textFill>
        </w:rPr>
        <w:t>（按采购需求详细列明）（必须提供）；</w:t>
      </w:r>
    </w:p>
    <w:p>
      <w:pPr>
        <w:pStyle w:val="31"/>
        <w:numPr>
          <w:ilvl w:val="0"/>
          <w:numId w:val="15"/>
        </w:numPr>
        <w:tabs>
          <w:tab w:val="left" w:pos="1266"/>
        </w:tabs>
        <w:spacing w:before="172"/>
        <w:ind w:left="1266"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其他有效证明文件的复印件（如有，请提供）；</w:t>
      </w:r>
    </w:p>
    <w:p>
      <w:pPr>
        <w:pStyle w:val="31"/>
        <w:numPr>
          <w:ilvl w:val="0"/>
          <w:numId w:val="15"/>
        </w:numPr>
        <w:tabs>
          <w:tab w:val="left" w:pos="1268"/>
        </w:tabs>
        <w:spacing w:before="42"/>
        <w:ind w:left="1267" w:hanging="63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《残疾人福利性单位声明函》（如有，请提供）；</w:t>
      </w:r>
    </w:p>
    <w:p>
      <w:pPr>
        <w:pStyle w:val="31"/>
        <w:numPr>
          <w:ilvl w:val="0"/>
          <w:numId w:val="15"/>
        </w:numPr>
        <w:tabs>
          <w:tab w:val="left" w:pos="1266"/>
        </w:tabs>
        <w:ind w:left="1266"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投标人可结合本项目的评标办法视自身情况自行提交相关证明材料。</w:t>
      </w:r>
    </w:p>
    <w:p>
      <w:pPr>
        <w:pStyle w:val="7"/>
        <w:keepNext w:val="0"/>
        <w:keepLines w:val="0"/>
        <w:pageBreakBefore w:val="0"/>
        <w:widowControl w:val="0"/>
        <w:kinsoku/>
        <w:wordWrap/>
        <w:overflowPunct/>
        <w:topLinePunct w:val="0"/>
        <w:autoSpaceDE w:val="0"/>
        <w:autoSpaceDN w:val="0"/>
        <w:bidi w:val="0"/>
        <w:adjustRightInd/>
        <w:snapToGrid/>
        <w:spacing w:before="26" w:line="442" w:lineRule="exact"/>
        <w:ind w:left="215" w:right="0" w:firstLine="420"/>
        <w:textAlignment w:val="auto"/>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投标人提供的相关材料应真实有效，属于“必须提供”的文件应加盖投标人公章（扫描公章无</w:t>
      </w:r>
      <w:r>
        <w:rPr>
          <w:color w:val="000000" w:themeColor="text1"/>
          <w:highlight w:val="none"/>
          <w14:textFill>
            <w14:solidFill>
              <w14:schemeClr w14:val="tx1"/>
            </w14:solidFill>
          </w14:textFill>
        </w:rPr>
        <w:t>效，自然人除外）。</w:t>
      </w:r>
    </w:p>
    <w:p>
      <w:pPr>
        <w:pStyle w:val="31"/>
        <w:numPr>
          <w:ilvl w:val="1"/>
          <w:numId w:val="7"/>
        </w:numPr>
        <w:tabs>
          <w:tab w:val="left" w:pos="1109"/>
        </w:tabs>
        <w:spacing w:before="28"/>
        <w:ind w:left="1108" w:hanging="474"/>
        <w:outlineLvl w:val="2"/>
        <w:rPr>
          <w:color w:val="000000" w:themeColor="text1"/>
          <w:sz w:val="21"/>
          <w:highlight w:val="none"/>
          <w14:textFill>
            <w14:solidFill>
              <w14:schemeClr w14:val="tx1"/>
            </w14:solidFill>
          </w14:textFill>
        </w:rPr>
      </w:pPr>
      <w:bookmarkStart w:id="13" w:name="_Toc12474"/>
      <w:r>
        <w:rPr>
          <w:color w:val="000000" w:themeColor="text1"/>
          <w:sz w:val="21"/>
          <w:highlight w:val="none"/>
          <w14:textFill>
            <w14:solidFill>
              <w14:schemeClr w14:val="tx1"/>
            </w14:solidFill>
          </w14:textFill>
        </w:rPr>
        <w:t>投标人应按招标文件第六章“投标文件格式”编制投标文件。</w:t>
      </w:r>
      <w:bookmarkEnd w:id="13"/>
    </w:p>
    <w:p>
      <w:pPr>
        <w:pStyle w:val="31"/>
        <w:numPr>
          <w:ilvl w:val="1"/>
          <w:numId w:val="7"/>
        </w:numPr>
        <w:tabs>
          <w:tab w:val="left" w:pos="1109"/>
        </w:tabs>
        <w:spacing w:before="175"/>
        <w:ind w:left="1108" w:hanging="474"/>
        <w:outlineLvl w:val="2"/>
        <w:rPr>
          <w:color w:val="000000" w:themeColor="text1"/>
          <w:sz w:val="21"/>
          <w:highlight w:val="none"/>
          <w14:textFill>
            <w14:solidFill>
              <w14:schemeClr w14:val="tx1"/>
            </w14:solidFill>
          </w14:textFill>
        </w:rPr>
      </w:pPr>
      <w:bookmarkStart w:id="14" w:name="_Toc8995"/>
      <w:r>
        <w:rPr>
          <w:color w:val="000000" w:themeColor="text1"/>
          <w:sz w:val="21"/>
          <w:highlight w:val="none"/>
          <w14:textFill>
            <w14:solidFill>
              <w14:schemeClr w14:val="tx1"/>
            </w14:solidFill>
          </w14:textFill>
        </w:rPr>
        <w:t>投标文件电子版：详见投标人须知前附表。</w:t>
      </w:r>
      <w:bookmarkEnd w:id="14"/>
    </w:p>
    <w:p>
      <w:pPr>
        <w:pStyle w:val="7"/>
        <w:numPr>
          <w:ilvl w:val="0"/>
          <w:numId w:val="7"/>
        </w:numPr>
        <w:tabs>
          <w:tab w:val="left" w:pos="1059"/>
        </w:tabs>
        <w:spacing w:before="170"/>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投标文件的语言及计量</w:t>
      </w:r>
    </w:p>
    <w:p>
      <w:pPr>
        <w:pStyle w:val="31"/>
        <w:keepNext w:val="0"/>
        <w:keepLines w:val="0"/>
        <w:pageBreakBefore w:val="0"/>
        <w:widowControl w:val="0"/>
        <w:numPr>
          <w:ilvl w:val="1"/>
          <w:numId w:val="7"/>
        </w:numPr>
        <w:tabs>
          <w:tab w:val="left" w:pos="1114"/>
        </w:tabs>
        <w:kinsoku/>
        <w:wordWrap/>
        <w:overflowPunct/>
        <w:topLinePunct w:val="0"/>
        <w:autoSpaceDE w:val="0"/>
        <w:autoSpaceDN w:val="0"/>
        <w:bidi w:val="0"/>
        <w:adjustRightInd/>
        <w:snapToGrid/>
        <w:spacing w:before="17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投标文件以及投标人与招标采购人就有关投标事宜的所有来往函电，均应以中文汉语书</w:t>
      </w:r>
      <w:r>
        <w:rPr>
          <w:color w:val="000000" w:themeColor="text1"/>
          <w:spacing w:val="-9"/>
          <w:w w:val="95"/>
          <w:sz w:val="21"/>
          <w:highlight w:val="none"/>
          <w14:textFill>
            <w14:solidFill>
              <w14:schemeClr w14:val="tx1"/>
            </w14:solidFill>
          </w14:textFill>
        </w:rPr>
        <w:t>写。</w:t>
      </w:r>
      <w:r>
        <w:rPr>
          <w:color w:val="000000" w:themeColor="text1"/>
          <w:sz w:val="21"/>
          <w:highlight w:val="none"/>
          <w14:textFill>
            <w14:solidFill>
              <w14:schemeClr w14:val="tx1"/>
            </w14:solidFill>
          </w14:textFill>
        </w:rPr>
        <w:t>投标人提交的支持文件和印刷的文献可以使用别的语言，但其相应内容必须附有中文翻译文本，</w:t>
      </w:r>
      <w:r>
        <w:rPr>
          <w:color w:val="000000" w:themeColor="text1"/>
          <w:spacing w:val="-9"/>
          <w:sz w:val="21"/>
          <w:highlight w:val="none"/>
          <w14:textFill>
            <w14:solidFill>
              <w14:schemeClr w14:val="tx1"/>
            </w14:solidFill>
          </w14:textFill>
        </w:rPr>
        <w:t>在解释投标文件时以中文翻译文本为主。</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5"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投标计量单位，招标文件已有明确规定的，使用招标文件规定的计量单位；招标文件没有</w:t>
      </w:r>
      <w:r>
        <w:rPr>
          <w:color w:val="000000" w:themeColor="text1"/>
          <w:spacing w:val="-5"/>
          <w:sz w:val="21"/>
          <w:highlight w:val="none"/>
          <w14:textFill>
            <w14:solidFill>
              <w14:schemeClr w14:val="tx1"/>
            </w14:solidFill>
          </w14:textFill>
        </w:rPr>
        <w:t>规定的，应采用中华人民共和国法定计量单位（货币单位：人民币元），否则视同未响应。</w:t>
      </w:r>
    </w:p>
    <w:p>
      <w:pPr>
        <w:pStyle w:val="7"/>
        <w:numPr>
          <w:ilvl w:val="0"/>
          <w:numId w:val="7"/>
        </w:numPr>
        <w:tabs>
          <w:tab w:val="left" w:pos="1059"/>
        </w:tabs>
        <w:spacing w:before="1"/>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17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投标报价应按招标文件中第六章“投标文件格式”填写，投标报价超过采购预算金额的，</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投标文件按无效处理。</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2" w:line="393"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投标人必须就“采购需求”中所投的所有内容作完整唯一报价，否则，其投标将被拒绝。</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投标文件只允许有一个报价。</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0" w:line="391"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投标报价应包括但不限于本次招标采购范围内货物货款、货物标准附件、备品备件、专用</w:t>
      </w:r>
      <w:r>
        <w:rPr>
          <w:color w:val="000000" w:themeColor="text1"/>
          <w:sz w:val="21"/>
          <w:highlight w:val="none"/>
          <w14:textFill>
            <w14:solidFill>
              <w14:schemeClr w14:val="tx1"/>
            </w14:solidFill>
          </w14:textFill>
        </w:rPr>
        <w:t>工具、包装、运输、装卸、保险、税金、货到就位以及安装、调试、培训、保修等一切税金和费用。</w:t>
      </w:r>
    </w:p>
    <w:p>
      <w:pPr>
        <w:pStyle w:val="7"/>
        <w:numPr>
          <w:ilvl w:val="0"/>
          <w:numId w:val="7"/>
        </w:numPr>
        <w:tabs>
          <w:tab w:val="left" w:pos="1059"/>
        </w:tabs>
        <w:spacing w:before="2"/>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w:t>
      </w:r>
    </w:p>
    <w:p>
      <w:pPr>
        <w:pStyle w:val="31"/>
        <w:numPr>
          <w:ilvl w:val="1"/>
          <w:numId w:val="7"/>
        </w:numPr>
        <w:tabs>
          <w:tab w:val="left" w:pos="1102"/>
        </w:tabs>
        <w:ind w:left="1101"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投标有效期：详见投标人须知前附表</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line="394"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出现特殊情况，需要延长投标有效期的，招标代理机构以书面形式通知投标人延长投标有</w:t>
      </w:r>
      <w:r>
        <w:rPr>
          <w:color w:val="000000" w:themeColor="text1"/>
          <w:spacing w:val="-6"/>
          <w:sz w:val="21"/>
          <w:highlight w:val="none"/>
          <w14:textFill>
            <w14:solidFill>
              <w14:schemeClr w14:val="tx1"/>
            </w14:solidFill>
          </w14:textFill>
        </w:rPr>
        <w:t>效期。投标人同意延长的，但不能修改投标文件。投标人拒绝延长的，其投标无效。</w:t>
      </w:r>
    </w:p>
    <w:p>
      <w:pPr>
        <w:pStyle w:val="7"/>
        <w:numPr>
          <w:ilvl w:val="0"/>
          <w:numId w:val="7"/>
        </w:numPr>
        <w:tabs>
          <w:tab w:val="left" w:pos="1059"/>
        </w:tabs>
        <w:spacing w:line="267" w:lineRule="exact"/>
        <w:ind w:left="1058" w:hanging="424"/>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投标文件的份数、装订、签署和包装、密封</w:t>
      </w:r>
    </w:p>
    <w:p>
      <w:pPr>
        <w:pStyle w:val="31"/>
        <w:numPr>
          <w:ilvl w:val="1"/>
          <w:numId w:val="7"/>
        </w:numPr>
        <w:tabs>
          <w:tab w:val="left" w:pos="1109"/>
        </w:tabs>
        <w:ind w:left="1108" w:hanging="474"/>
        <w:rPr>
          <w:b/>
          <w:color w:val="000000" w:themeColor="text1"/>
          <w:sz w:val="21"/>
          <w:highlight w:val="none"/>
          <w14:textFill>
            <w14:solidFill>
              <w14:schemeClr w14:val="tx1"/>
            </w14:solidFill>
          </w14:textFill>
        </w:rPr>
      </w:pPr>
      <w:r>
        <w:rPr>
          <w:b/>
          <w:color w:val="000000" w:themeColor="text1"/>
          <w:w w:val="95"/>
          <w:sz w:val="21"/>
          <w:highlight w:val="none"/>
          <w14:textFill>
            <w14:solidFill>
              <w14:schemeClr w14:val="tx1"/>
            </w14:solidFill>
          </w14:textFill>
        </w:rPr>
        <w:t>投标文件份数：详见投标人须知前附表</w:t>
      </w:r>
    </w:p>
    <w:p>
      <w:pPr>
        <w:pStyle w:val="31"/>
        <w:numPr>
          <w:ilvl w:val="1"/>
          <w:numId w:val="7"/>
        </w:numPr>
        <w:tabs>
          <w:tab w:val="left" w:pos="1109"/>
        </w:tabs>
        <w:spacing w:before="173"/>
        <w:ind w:left="1108" w:hanging="474"/>
        <w:jc w:val="both"/>
        <w:rPr>
          <w:b/>
          <w:color w:val="000000" w:themeColor="text1"/>
          <w:sz w:val="21"/>
          <w:highlight w:val="none"/>
          <w14:textFill>
            <w14:solidFill>
              <w14:schemeClr w14:val="tx1"/>
            </w14:solidFill>
          </w14:textFill>
        </w:rPr>
      </w:pPr>
      <w:r>
        <w:rPr>
          <w:b/>
          <w:color w:val="000000" w:themeColor="text1"/>
          <w:w w:val="95"/>
          <w:sz w:val="21"/>
          <w:highlight w:val="none"/>
          <w14:textFill>
            <w14:solidFill>
              <w14:schemeClr w14:val="tx1"/>
            </w14:solidFill>
          </w14:textFill>
        </w:rPr>
        <w:t>投标文件装订：详见投标人须知前附表</w:t>
      </w:r>
    </w:p>
    <w:p>
      <w:pPr>
        <w:pStyle w:val="31"/>
        <w:numPr>
          <w:ilvl w:val="1"/>
          <w:numId w:val="7"/>
        </w:numPr>
        <w:tabs>
          <w:tab w:val="left" w:pos="1109"/>
        </w:tabs>
        <w:spacing w:line="391" w:lineRule="auto"/>
        <w:ind w:left="215" w:right="316"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投标文件的正本需打印或用不褪色的墨水填写，投标文件正本除本招标文件中规定的可提</w:t>
      </w:r>
      <w:r>
        <w:rPr>
          <w:color w:val="000000" w:themeColor="text1"/>
          <w:spacing w:val="-3"/>
          <w:sz w:val="21"/>
          <w:highlight w:val="none"/>
          <w14:textFill>
            <w14:solidFill>
              <w14:schemeClr w14:val="tx1"/>
            </w14:solidFill>
          </w14:textFill>
        </w:rPr>
        <w:t>供复印件外均须提供原件。</w:t>
      </w:r>
    </w:p>
    <w:p>
      <w:pPr>
        <w:pStyle w:val="31"/>
        <w:numPr>
          <w:ilvl w:val="1"/>
          <w:numId w:val="7"/>
        </w:numPr>
        <w:tabs>
          <w:tab w:val="left" w:pos="1109"/>
        </w:tabs>
        <w:spacing w:before="3" w:line="391" w:lineRule="auto"/>
        <w:ind w:left="215" w:right="314"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须由投标人在规定位置盖投标人公章（扫描公章无效，自然人除外）并由法定代表人、负责人、自然人或相应的授权委托代理人签字，投标人应写全称，投标文件副本可以是加盖公章的正本的复印件，当正本与副本不一致时，以正本为准。</w:t>
      </w:r>
    </w:p>
    <w:p>
      <w:pPr>
        <w:pStyle w:val="31"/>
        <w:numPr>
          <w:ilvl w:val="1"/>
          <w:numId w:val="7"/>
        </w:numPr>
        <w:tabs>
          <w:tab w:val="left" w:pos="1109"/>
        </w:tabs>
        <w:spacing w:before="5"/>
        <w:ind w:left="1108" w:hanging="474"/>
        <w:jc w:val="both"/>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投标文件不得涂改，若有修改，须在修改处加盖投标人公章</w:t>
      </w:r>
      <w:r>
        <w:rPr>
          <w:color w:val="000000" w:themeColor="text1"/>
          <w:sz w:val="21"/>
          <w:highlight w:val="none"/>
          <w14:textFill>
            <w14:solidFill>
              <w14:schemeClr w14:val="tx1"/>
            </w14:solidFill>
          </w14:textFill>
        </w:rPr>
        <w:t>（自然人除外</w:t>
      </w:r>
      <w:r>
        <w:rPr>
          <w:color w:val="000000" w:themeColor="text1"/>
          <w:spacing w:val="-13"/>
          <w:sz w:val="21"/>
          <w:highlight w:val="none"/>
          <w14:textFill>
            <w14:solidFill>
              <w14:schemeClr w14:val="tx1"/>
            </w14:solidFill>
          </w14:textFill>
        </w:rPr>
        <w:t>）</w:t>
      </w:r>
      <w:r>
        <w:rPr>
          <w:color w:val="000000" w:themeColor="text1"/>
          <w:sz w:val="21"/>
          <w:highlight w:val="none"/>
          <w14:textFill>
            <w14:solidFill>
              <w14:schemeClr w14:val="tx1"/>
            </w14:solidFill>
          </w14:textFill>
        </w:rPr>
        <w:t>及法定代表人</w:t>
      </w:r>
    </w:p>
    <w:p>
      <w:pPr>
        <w:pStyle w:val="13"/>
        <w:spacing w:before="42" w:line="391" w:lineRule="auto"/>
        <w:ind w:left="215" w:right="319"/>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 xml:space="preserve">或负责人或自然人或相应的授权委托代理人签字。投标文件因字迹潦草或表达不清所引起的后果由 </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投标人负责。</w:t>
      </w:r>
    </w:p>
    <w:p>
      <w:pPr>
        <w:pStyle w:val="31"/>
        <w:numPr>
          <w:ilvl w:val="1"/>
          <w:numId w:val="7"/>
        </w:numPr>
        <w:tabs>
          <w:tab w:val="left" w:pos="1109"/>
        </w:tabs>
        <w:spacing w:before="1"/>
        <w:ind w:left="1108" w:hanging="474"/>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投标人公章：</w:t>
      </w:r>
      <w:r>
        <w:rPr>
          <w:color w:val="000000" w:themeColor="text1"/>
          <w:sz w:val="21"/>
          <w:highlight w:val="none"/>
          <w14:textFill>
            <w14:solidFill>
              <w14:schemeClr w14:val="tx1"/>
            </w14:solidFill>
          </w14:textFill>
        </w:rPr>
        <w:t>详见投标人须知前附表</w:t>
      </w:r>
    </w:p>
    <w:p>
      <w:pPr>
        <w:pStyle w:val="31"/>
        <w:numPr>
          <w:ilvl w:val="1"/>
          <w:numId w:val="7"/>
        </w:numPr>
        <w:tabs>
          <w:tab w:val="left" w:pos="1109"/>
        </w:tabs>
        <w:spacing w:before="172" w:line="391" w:lineRule="auto"/>
        <w:ind w:left="215" w:right="308" w:firstLine="420"/>
        <w:rPr>
          <w:color w:val="000000" w:themeColor="text1"/>
          <w:sz w:val="21"/>
          <w:highlight w:val="none"/>
          <w14:textFill>
            <w14:solidFill>
              <w14:schemeClr w14:val="tx1"/>
            </w14:solidFill>
          </w14:textFill>
        </w:rPr>
      </w:pPr>
      <w:r>
        <w:rPr>
          <w:b/>
          <w:color w:val="000000" w:themeColor="text1"/>
          <w:spacing w:val="-4"/>
          <w:sz w:val="21"/>
          <w:highlight w:val="none"/>
          <w14:textFill>
            <w14:solidFill>
              <w14:schemeClr w14:val="tx1"/>
            </w14:solidFill>
          </w14:textFill>
        </w:rPr>
        <w:t>投标文件包装、密封：</w:t>
      </w:r>
      <w:r>
        <w:rPr>
          <w:color w:val="000000" w:themeColor="text1"/>
          <w:spacing w:val="-3"/>
          <w:sz w:val="21"/>
          <w:highlight w:val="none"/>
          <w14:textFill>
            <w14:solidFill>
              <w14:schemeClr w14:val="tx1"/>
            </w14:solidFill>
          </w14:textFill>
        </w:rPr>
        <w:t>详见投标人须知前附表。投标文件包封及封套标识不得有涂改，且</w:t>
      </w:r>
      <w:r>
        <w:rPr>
          <w:color w:val="000000" w:themeColor="text1"/>
          <w:spacing w:val="-8"/>
          <w:sz w:val="21"/>
          <w:highlight w:val="none"/>
          <w14:textFill>
            <w14:solidFill>
              <w14:schemeClr w14:val="tx1"/>
            </w14:solidFill>
          </w14:textFill>
        </w:rPr>
        <w:t xml:space="preserve">不得随意增加本章第 </w:t>
      </w:r>
      <w:r>
        <w:rPr>
          <w:color w:val="000000" w:themeColor="text1"/>
          <w:sz w:val="21"/>
          <w:highlight w:val="none"/>
          <w14:textFill>
            <w14:solidFill>
              <w14:schemeClr w14:val="tx1"/>
            </w14:solidFill>
          </w14:textFill>
        </w:rPr>
        <w:t>17.7</w:t>
      </w:r>
      <w:r>
        <w:rPr>
          <w:color w:val="000000" w:themeColor="text1"/>
          <w:spacing w:val="-8"/>
          <w:sz w:val="21"/>
          <w:highlight w:val="none"/>
          <w14:textFill>
            <w14:solidFill>
              <w14:schemeClr w14:val="tx1"/>
            </w14:solidFill>
          </w14:textFill>
        </w:rPr>
        <w:t xml:space="preserve"> 项要求以外的标识内容，否则投标文件不予受理。</w:t>
      </w:r>
    </w:p>
    <w:p>
      <w:pPr>
        <w:pStyle w:val="31"/>
        <w:numPr>
          <w:ilvl w:val="1"/>
          <w:numId w:val="7"/>
        </w:numPr>
        <w:tabs>
          <w:tab w:val="left" w:pos="1109"/>
        </w:tabs>
        <w:spacing w:before="2" w:line="393" w:lineRule="auto"/>
        <w:ind w:left="215" w:right="309" w:firstLine="420"/>
        <w:rPr>
          <w:color w:val="000000" w:themeColor="text1"/>
          <w:sz w:val="21"/>
          <w:highlight w:val="none"/>
          <w14:textFill>
            <w14:solidFill>
              <w14:schemeClr w14:val="tx1"/>
            </w14:solidFill>
          </w14:textFill>
        </w:rPr>
      </w:pPr>
      <w:r>
        <w:rPr>
          <w:b/>
          <w:color w:val="000000" w:themeColor="text1"/>
          <w:spacing w:val="-3"/>
          <w:sz w:val="21"/>
          <w:highlight w:val="none"/>
          <w14:textFill>
            <w14:solidFill>
              <w14:schemeClr w14:val="tx1"/>
            </w14:solidFill>
          </w14:textFill>
        </w:rPr>
        <w:t>投标文件袋标记：</w:t>
      </w:r>
      <w:r>
        <w:rPr>
          <w:color w:val="000000" w:themeColor="text1"/>
          <w:spacing w:val="-3"/>
          <w:sz w:val="21"/>
          <w:highlight w:val="none"/>
          <w14:textFill>
            <w14:solidFill>
              <w14:schemeClr w14:val="tx1"/>
            </w14:solidFill>
          </w14:textFill>
        </w:rPr>
        <w:t>详见投标人须知前附表。投标文件袋标记不得有涂改，且不得随意增加</w:t>
      </w:r>
      <w:r>
        <w:rPr>
          <w:color w:val="000000" w:themeColor="text1"/>
          <w:spacing w:val="-15"/>
          <w:sz w:val="21"/>
          <w:highlight w:val="none"/>
          <w14:textFill>
            <w14:solidFill>
              <w14:schemeClr w14:val="tx1"/>
            </w14:solidFill>
          </w14:textFill>
        </w:rPr>
        <w:t xml:space="preserve">本章第 </w:t>
      </w:r>
      <w:r>
        <w:rPr>
          <w:color w:val="000000" w:themeColor="text1"/>
          <w:sz w:val="21"/>
          <w:highlight w:val="none"/>
          <w14:textFill>
            <w14:solidFill>
              <w14:schemeClr w14:val="tx1"/>
            </w14:solidFill>
          </w14:textFill>
        </w:rPr>
        <w:t>17.8</w:t>
      </w:r>
      <w:r>
        <w:rPr>
          <w:color w:val="000000" w:themeColor="text1"/>
          <w:spacing w:val="-8"/>
          <w:sz w:val="21"/>
          <w:highlight w:val="none"/>
          <w14:textFill>
            <w14:solidFill>
              <w14:schemeClr w14:val="tx1"/>
            </w14:solidFill>
          </w14:textFill>
        </w:rPr>
        <w:t xml:space="preserve"> 项要求以外的标识内容，否则投标文件不予受理。</w:t>
      </w:r>
    </w:p>
    <w:p>
      <w:pPr>
        <w:pStyle w:val="7"/>
        <w:numPr>
          <w:ilvl w:val="0"/>
          <w:numId w:val="7"/>
        </w:numPr>
        <w:tabs>
          <w:tab w:val="left" w:pos="1059"/>
        </w:tabs>
        <w:spacing w:line="267" w:lineRule="exact"/>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投标文件的修改和撤回</w:t>
      </w:r>
    </w:p>
    <w:p>
      <w:pPr>
        <w:pStyle w:val="13"/>
        <w:keepNext w:val="0"/>
        <w:keepLines w:val="0"/>
        <w:pageBreakBefore w:val="0"/>
        <w:widowControl w:val="0"/>
        <w:kinsoku/>
        <w:wordWrap/>
        <w:overflowPunct/>
        <w:topLinePunct w:val="0"/>
        <w:autoSpaceDE w:val="0"/>
        <w:autoSpaceDN w:val="0"/>
        <w:bidi w:val="0"/>
        <w:adjustRightInd/>
        <w:snapToGrid/>
        <w:spacing w:before="170" w:line="394" w:lineRule="auto"/>
        <w:ind w:left="215" w:right="0" w:firstLine="437"/>
        <w:textAlignment w:val="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投标人在投标截止时间之前，可以对已递交的投标文件进行修改或撤回，并书面通知招标代理</w:t>
      </w:r>
      <w:r>
        <w:rPr>
          <w:color w:val="000000" w:themeColor="text1"/>
          <w:spacing w:val="-2"/>
          <w:highlight w:val="none"/>
          <w14:textFill>
            <w14:solidFill>
              <w14:schemeClr w14:val="tx1"/>
            </w14:solidFill>
          </w14:textFill>
        </w:rPr>
        <w:t>机构。</w:t>
      </w:r>
    </w:p>
    <w:p>
      <w:pPr>
        <w:pStyle w:val="7"/>
        <w:numPr>
          <w:ilvl w:val="0"/>
          <w:numId w:val="7"/>
        </w:numPr>
        <w:tabs>
          <w:tab w:val="left" w:pos="1059"/>
        </w:tabs>
        <w:spacing w:line="267" w:lineRule="exact"/>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投标文件的递交</w:t>
      </w:r>
    </w:p>
    <w:p>
      <w:pPr>
        <w:pStyle w:val="31"/>
        <w:numPr>
          <w:ilvl w:val="1"/>
          <w:numId w:val="7"/>
        </w:numPr>
        <w:tabs>
          <w:tab w:val="left" w:pos="1109"/>
        </w:tabs>
        <w:ind w:left="1108"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投标文件递交起止时间及投标截止时间：详见投标人须知前附表</w:t>
      </w:r>
    </w:p>
    <w:p>
      <w:pPr>
        <w:pStyle w:val="31"/>
        <w:numPr>
          <w:ilvl w:val="1"/>
          <w:numId w:val="7"/>
        </w:numPr>
        <w:tabs>
          <w:tab w:val="left" w:pos="1124"/>
        </w:tabs>
        <w:spacing w:before="172"/>
        <w:ind w:left="1123" w:hanging="47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投标文件递交地点：详见投标人须知前附表</w:t>
      </w:r>
    </w:p>
    <w:p>
      <w:pPr>
        <w:pStyle w:val="31"/>
        <w:numPr>
          <w:ilvl w:val="1"/>
          <w:numId w:val="7"/>
        </w:numPr>
        <w:tabs>
          <w:tab w:val="left" w:pos="1124"/>
        </w:tabs>
        <w:ind w:left="1123" w:hanging="47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除招标文件另有规定外，投标人所递交的投标文件不予退还。</w:t>
      </w:r>
    </w:p>
    <w:p>
      <w:pPr>
        <w:pStyle w:val="31"/>
        <w:numPr>
          <w:ilvl w:val="1"/>
          <w:numId w:val="7"/>
        </w:numPr>
        <w:tabs>
          <w:tab w:val="left" w:pos="1124"/>
        </w:tabs>
        <w:spacing w:before="171"/>
        <w:ind w:left="1123" w:hanging="47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逾期送达的或者未送达指定地点的投标文件，招标代理机构将予以拒收。</w:t>
      </w:r>
    </w:p>
    <w:p>
      <w:pPr>
        <w:pStyle w:val="13"/>
        <w:rPr>
          <w:color w:val="000000" w:themeColor="text1"/>
          <w:sz w:val="20"/>
          <w:highlight w:val="none"/>
          <w14:textFill>
            <w14:solidFill>
              <w14:schemeClr w14:val="tx1"/>
            </w14:solidFill>
          </w14:textFill>
        </w:rPr>
      </w:pPr>
    </w:p>
    <w:p>
      <w:pPr>
        <w:pStyle w:val="2"/>
        <w:spacing w:before="161"/>
        <w:ind w:right="101"/>
        <w:rPr>
          <w:color w:val="000000" w:themeColor="text1"/>
          <w:highlight w:val="none"/>
          <w14:textFill>
            <w14:solidFill>
              <w14:schemeClr w14:val="tx1"/>
            </w14:solidFill>
          </w14:textFill>
        </w:rPr>
      </w:pPr>
      <w:bookmarkStart w:id="15" w:name="四、开标"/>
      <w:bookmarkEnd w:id="15"/>
      <w:bookmarkStart w:id="16" w:name="_Toc29199"/>
      <w:r>
        <w:rPr>
          <w:color w:val="000000" w:themeColor="text1"/>
          <w:highlight w:val="none"/>
          <w14:textFill>
            <w14:solidFill>
              <w14:schemeClr w14:val="tx1"/>
            </w14:solidFill>
          </w14:textFill>
        </w:rPr>
        <w:t>四、开标</w:t>
      </w:r>
      <w:bookmarkEnd w:id="16"/>
    </w:p>
    <w:p>
      <w:pPr>
        <w:pStyle w:val="13"/>
        <w:rPr>
          <w:b/>
          <w:color w:val="000000" w:themeColor="text1"/>
          <w:sz w:val="41"/>
          <w:highlight w:val="none"/>
          <w14:textFill>
            <w14:solidFill>
              <w14:schemeClr w14:val="tx1"/>
            </w14:solidFill>
          </w14:textFill>
        </w:rPr>
      </w:pPr>
    </w:p>
    <w:p>
      <w:pPr>
        <w:pStyle w:val="7"/>
        <w:numPr>
          <w:ilvl w:val="0"/>
          <w:numId w:val="7"/>
        </w:numPr>
        <w:tabs>
          <w:tab w:val="left" w:pos="1059"/>
        </w:tabs>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开标时间及地点</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171" w:line="394"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开标时间及地点：</w:t>
      </w:r>
      <w:r>
        <w:rPr>
          <w:b/>
          <w:color w:val="000000" w:themeColor="text1"/>
          <w:spacing w:val="-3"/>
          <w:sz w:val="21"/>
          <w:highlight w:val="none"/>
          <w14:textFill>
            <w14:solidFill>
              <w14:schemeClr w14:val="tx1"/>
            </w14:solidFill>
          </w14:textFill>
        </w:rPr>
        <w:t>详见投标人须知前附表；</w:t>
      </w:r>
      <w:r>
        <w:rPr>
          <w:color w:val="000000" w:themeColor="text1"/>
          <w:sz w:val="21"/>
          <w:highlight w:val="none"/>
          <w14:textFill>
            <w14:solidFill>
              <w14:schemeClr w14:val="tx1"/>
            </w14:solidFill>
          </w14:textFill>
        </w:rPr>
        <w:t>招标代理机构按以上规定的开标时间和地点进行公开开标，投标人由法定代表人或负责人或自然人或其委托代理人（委托时提供授权委托书原件）</w:t>
      </w:r>
      <w:r>
        <w:rPr>
          <w:b/>
          <w:color w:val="000000" w:themeColor="text1"/>
          <w:sz w:val="21"/>
          <w:highlight w:val="none"/>
          <w14:textFill>
            <w14:solidFill>
              <w14:schemeClr w14:val="tx1"/>
            </w14:solidFill>
          </w14:textFill>
        </w:rPr>
        <w:t>（不须密封，单独提交）</w:t>
      </w:r>
      <w:r>
        <w:rPr>
          <w:color w:val="000000" w:themeColor="text1"/>
          <w:sz w:val="21"/>
          <w:highlight w:val="none"/>
          <w14:textFill>
            <w14:solidFill>
              <w14:schemeClr w14:val="tx1"/>
            </w14:solidFill>
          </w14:textFill>
        </w:rPr>
        <w:t>准时参加开标会并签字，未按时参加开标会或未按时签字的，视同认可开标结果。</w:t>
      </w:r>
    </w:p>
    <w:p>
      <w:pPr>
        <w:pStyle w:val="31"/>
        <w:numPr>
          <w:ilvl w:val="1"/>
          <w:numId w:val="7"/>
        </w:numPr>
        <w:tabs>
          <w:tab w:val="left" w:pos="1109"/>
        </w:tabs>
        <w:spacing w:before="1"/>
        <w:ind w:left="1108" w:hanging="474"/>
        <w:rPr>
          <w:color w:val="000000" w:themeColor="text1"/>
          <w:sz w:val="21"/>
          <w:highlight w:val="none"/>
          <w14:textFill>
            <w14:solidFill>
              <w14:schemeClr w14:val="tx1"/>
            </w14:solidFill>
          </w14:textFill>
        </w:rPr>
      </w:pPr>
      <w:r>
        <w:rPr>
          <w:color w:val="000000" w:themeColor="text1"/>
          <w:spacing w:val="-9"/>
          <w:sz w:val="21"/>
          <w:highlight w:val="none"/>
          <w14:textFill>
            <w14:solidFill>
              <w14:schemeClr w14:val="tx1"/>
            </w14:solidFill>
          </w14:textFill>
        </w:rPr>
        <w:t xml:space="preserve">投标人少于 </w:t>
      </w:r>
      <w:r>
        <w:rPr>
          <w:color w:val="000000" w:themeColor="text1"/>
          <w:sz w:val="21"/>
          <w:highlight w:val="none"/>
          <w14:textFill>
            <w14:solidFill>
              <w14:schemeClr w14:val="tx1"/>
            </w14:solidFill>
          </w14:textFill>
        </w:rPr>
        <w:t>3</w:t>
      </w:r>
      <w:r>
        <w:rPr>
          <w:color w:val="000000" w:themeColor="text1"/>
          <w:spacing w:val="-8"/>
          <w:sz w:val="21"/>
          <w:highlight w:val="none"/>
          <w14:textFill>
            <w14:solidFill>
              <w14:schemeClr w14:val="tx1"/>
            </w14:solidFill>
          </w14:textFill>
        </w:rPr>
        <w:t xml:space="preserve"> 家的，不得开标，招标采购人应当重新组织采购。</w:t>
      </w:r>
    </w:p>
    <w:p>
      <w:pPr>
        <w:pStyle w:val="7"/>
        <w:numPr>
          <w:ilvl w:val="0"/>
          <w:numId w:val="7"/>
        </w:numPr>
        <w:tabs>
          <w:tab w:val="left" w:pos="1059"/>
        </w:tabs>
        <w:spacing w:before="171"/>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开标程序</w:t>
      </w:r>
    </w:p>
    <w:p>
      <w:pPr>
        <w:pStyle w:val="31"/>
        <w:numPr>
          <w:ilvl w:val="0"/>
          <w:numId w:val="16"/>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招标代理机构组织投标人签到，接收投标文件。</w:t>
      </w:r>
    </w:p>
    <w:p>
      <w:pPr>
        <w:pStyle w:val="31"/>
        <w:keepNext w:val="0"/>
        <w:keepLines w:val="0"/>
        <w:pageBreakBefore w:val="0"/>
        <w:widowControl w:val="0"/>
        <w:numPr>
          <w:ilvl w:val="0"/>
          <w:numId w:val="16"/>
        </w:numPr>
        <w:tabs>
          <w:tab w:val="left" w:pos="1163"/>
        </w:tabs>
        <w:kinsoku/>
        <w:wordWrap/>
        <w:overflowPunct/>
        <w:topLinePunct w:val="0"/>
        <w:autoSpaceDE w:val="0"/>
        <w:autoSpaceDN w:val="0"/>
        <w:bidi w:val="0"/>
        <w:adjustRightInd/>
        <w:snapToGrid/>
        <w:spacing w:before="17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在投标文件递交截止时间由主持人宣布开标会正式开始，介绍项目情况和到会人员，宣布开标纪律；</w:t>
      </w:r>
    </w:p>
    <w:p>
      <w:pPr>
        <w:pStyle w:val="31"/>
        <w:numPr>
          <w:ilvl w:val="0"/>
          <w:numId w:val="16"/>
        </w:numPr>
        <w:tabs>
          <w:tab w:val="left" w:pos="1163"/>
        </w:tabs>
        <w:spacing w:before="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投标人代表交叉检查投标文件的密封情况并签字确认；</w:t>
      </w:r>
    </w:p>
    <w:p>
      <w:pPr>
        <w:pStyle w:val="31"/>
        <w:numPr>
          <w:ilvl w:val="0"/>
          <w:numId w:val="16"/>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按各投标人提交投标文件时间的先后顺序启封投标文件；</w:t>
      </w:r>
    </w:p>
    <w:p>
      <w:pPr>
        <w:pStyle w:val="31"/>
        <w:numPr>
          <w:ilvl w:val="0"/>
          <w:numId w:val="16"/>
        </w:numPr>
        <w:tabs>
          <w:tab w:val="left" w:pos="1163"/>
        </w:tabs>
        <w:spacing w:line="391" w:lineRule="auto"/>
        <w:ind w:left="215" w:right="212" w:firstLine="420"/>
        <w:rPr>
          <w:color w:val="000000" w:themeColor="text1"/>
          <w:sz w:val="21"/>
          <w:highlight w:val="none"/>
          <w14:textFill>
            <w14:solidFill>
              <w14:schemeClr w14:val="tx1"/>
            </w14:solidFill>
          </w14:textFill>
        </w:rPr>
      </w:pPr>
      <w:r>
        <w:rPr>
          <w:color w:val="000000" w:themeColor="text1"/>
          <w:spacing w:val="-12"/>
          <w:sz w:val="21"/>
          <w:highlight w:val="none"/>
          <w14:textFill>
            <w14:solidFill>
              <w14:schemeClr w14:val="tx1"/>
            </w14:solidFill>
          </w14:textFill>
        </w:rPr>
        <w:t>唱标；宣读投标截止时间前接收的所有投标文件的投标人名称，投标函的投标报价、折扣，只有在开标时唱出的报价、折扣等实质性内容，评标时才予以采纳；</w:t>
      </w:r>
    </w:p>
    <w:p>
      <w:pPr>
        <w:pStyle w:val="31"/>
        <w:keepNext w:val="0"/>
        <w:keepLines w:val="0"/>
        <w:pageBreakBefore w:val="0"/>
        <w:widowControl w:val="0"/>
        <w:numPr>
          <w:ilvl w:val="0"/>
          <w:numId w:val="16"/>
        </w:numPr>
        <w:tabs>
          <w:tab w:val="left" w:pos="1163"/>
        </w:tabs>
        <w:kinsoku/>
        <w:wordWrap/>
        <w:overflowPunct/>
        <w:topLinePunct w:val="0"/>
        <w:autoSpaceDE w:val="0"/>
        <w:autoSpaceDN w:val="0"/>
        <w:bidi w:val="0"/>
        <w:adjustRightInd/>
        <w:snapToGrid/>
        <w:spacing w:before="4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招标代理机构做开标记录，投标人代表对开标记录进行当场校核及勘误并签字确认；同时由记录人、监督人（如有）当场签字确认；</w:t>
      </w:r>
    </w:p>
    <w:p>
      <w:pPr>
        <w:pStyle w:val="31"/>
        <w:numPr>
          <w:ilvl w:val="0"/>
          <w:numId w:val="16"/>
        </w:numPr>
        <w:tabs>
          <w:tab w:val="left" w:pos="1222"/>
        </w:tabs>
        <w:spacing w:before="1"/>
        <w:ind w:left="1221"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勘误修正原则</w:t>
      </w:r>
    </w:p>
    <w:p>
      <w:pPr>
        <w:pStyle w:val="13"/>
        <w:keepNext w:val="0"/>
        <w:keepLines w:val="0"/>
        <w:pageBreakBefore w:val="0"/>
        <w:widowControl w:val="0"/>
        <w:kinsoku/>
        <w:wordWrap/>
        <w:overflowPunct/>
        <w:topLinePunct w:val="0"/>
        <w:autoSpaceDE w:val="0"/>
        <w:autoSpaceDN w:val="0"/>
        <w:bidi w:val="0"/>
        <w:adjustRightInd/>
        <w:snapToGrid/>
        <w:spacing w:before="172" w:line="392" w:lineRule="auto"/>
        <w:ind w:left="215" w:right="0" w:firstLine="420"/>
        <w:jc w:val="both"/>
        <w:textAlignment w:val="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投标文件如果出现计算或表达上的错误，修正错误的原则如下：投标文件中投标函内容与投标   文件中投标报价表内容不一致的，以投标函为准；投标文件的大写金额和小写金额不一致的，以大   写金额为准；总价金额与按单价汇总金额不一致的，以单价金额计算结果为准；单价金额小数点明   显错位的，应以总价为准，并修改单价；对不同文字文本投标文件的解释发生异议的，以中文文本</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为准。</w:t>
      </w:r>
    </w:p>
    <w:p>
      <w:pPr>
        <w:pStyle w:val="13"/>
        <w:spacing w:before="6"/>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按上述勘误修正原则及方法调整或修正投标文件的投标报价，投标人签字确认。</w:t>
      </w:r>
    </w:p>
    <w:p>
      <w:pPr>
        <w:pStyle w:val="31"/>
        <w:keepNext w:val="0"/>
        <w:keepLines w:val="0"/>
        <w:pageBreakBefore w:val="0"/>
        <w:widowControl w:val="0"/>
        <w:numPr>
          <w:ilvl w:val="0"/>
          <w:numId w:val="16"/>
        </w:numPr>
        <w:tabs>
          <w:tab w:val="left" w:pos="1163"/>
        </w:tabs>
        <w:kinsoku/>
        <w:wordWrap/>
        <w:overflowPunct/>
        <w:topLinePunct w:val="0"/>
        <w:autoSpaceDE w:val="0"/>
        <w:autoSpaceDN w:val="0"/>
        <w:bidi w:val="0"/>
        <w:adjustRightInd/>
        <w:snapToGrid/>
        <w:spacing w:before="172"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7"/>
          <w:sz w:val="21"/>
          <w:highlight w:val="none"/>
          <w14:textFill>
            <w14:solidFill>
              <w14:schemeClr w14:val="tx1"/>
            </w14:solidFill>
          </w14:textFill>
        </w:rPr>
        <w:t>宣布开标结束，招标人、投标人和有关方面代表退场，由工作人员将投标文件等材料移交评标室。</w:t>
      </w:r>
    </w:p>
    <w:p>
      <w:pPr>
        <w:pStyle w:val="13"/>
        <w:spacing w:before="3"/>
        <w:rPr>
          <w:color w:val="000000" w:themeColor="text1"/>
          <w:sz w:val="19"/>
          <w:highlight w:val="none"/>
          <w14:textFill>
            <w14:solidFill>
              <w14:schemeClr w14:val="tx1"/>
            </w14:solidFill>
          </w14:textFill>
        </w:rPr>
      </w:pPr>
    </w:p>
    <w:p>
      <w:pPr>
        <w:pStyle w:val="2"/>
        <w:spacing w:before="0"/>
        <w:ind w:right="101"/>
        <w:rPr>
          <w:color w:val="000000" w:themeColor="text1"/>
          <w:highlight w:val="none"/>
          <w14:textFill>
            <w14:solidFill>
              <w14:schemeClr w14:val="tx1"/>
            </w14:solidFill>
          </w14:textFill>
        </w:rPr>
      </w:pPr>
      <w:bookmarkStart w:id="17" w:name="五、评标"/>
      <w:bookmarkEnd w:id="17"/>
      <w:bookmarkStart w:id="18" w:name="_Toc2950"/>
      <w:r>
        <w:rPr>
          <w:color w:val="000000" w:themeColor="text1"/>
          <w:highlight w:val="none"/>
          <w14:textFill>
            <w14:solidFill>
              <w14:schemeClr w14:val="tx1"/>
            </w14:solidFill>
          </w14:textFill>
        </w:rPr>
        <w:t>五、评标</w:t>
      </w:r>
      <w:bookmarkEnd w:id="18"/>
    </w:p>
    <w:p>
      <w:pPr>
        <w:pStyle w:val="13"/>
        <w:spacing w:before="3"/>
        <w:rPr>
          <w:b/>
          <w:color w:val="000000" w:themeColor="text1"/>
          <w:sz w:val="41"/>
          <w:highlight w:val="none"/>
          <w14:textFill>
            <w14:solidFill>
              <w14:schemeClr w14:val="tx1"/>
            </w14:solidFill>
          </w14:textFill>
        </w:rPr>
      </w:pPr>
    </w:p>
    <w:p>
      <w:pPr>
        <w:pStyle w:val="7"/>
        <w:numPr>
          <w:ilvl w:val="0"/>
          <w:numId w:val="7"/>
        </w:numPr>
        <w:tabs>
          <w:tab w:val="left" w:pos="1059"/>
        </w:tabs>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评标委员会组成</w:t>
      </w:r>
    </w:p>
    <w:p>
      <w:pPr>
        <w:pStyle w:val="13"/>
        <w:spacing w:before="170" w:line="391" w:lineRule="auto"/>
        <w:ind w:left="635" w:right="1370"/>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评标工作由招标代理机构负责组织，具体评标工作由依法组建的评标委员会负责</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评标委员会的组成：</w:t>
      </w:r>
      <w:r>
        <w:rPr>
          <w:b/>
          <w:color w:val="000000" w:themeColor="text1"/>
          <w:highlight w:val="none"/>
          <w14:textFill>
            <w14:solidFill>
              <w14:schemeClr w14:val="tx1"/>
            </w14:solidFill>
          </w14:textFill>
        </w:rPr>
        <w:t>详见投标人须知前附表</w:t>
      </w:r>
      <w:r>
        <w:rPr>
          <w:color w:val="000000" w:themeColor="text1"/>
          <w:highlight w:val="none"/>
          <w14:textFill>
            <w14:solidFill>
              <w14:schemeClr w14:val="tx1"/>
            </w14:solidFill>
          </w14:textFill>
        </w:rPr>
        <w:t>。</w:t>
      </w:r>
    </w:p>
    <w:p>
      <w:pPr>
        <w:pStyle w:val="7"/>
        <w:numPr>
          <w:ilvl w:val="0"/>
          <w:numId w:val="7"/>
        </w:numPr>
        <w:tabs>
          <w:tab w:val="left" w:pos="1001"/>
        </w:tabs>
        <w:spacing w:before="4"/>
        <w:ind w:left="1000" w:hanging="4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评标原则和评标办法</w:t>
      </w:r>
    </w:p>
    <w:p>
      <w:pPr>
        <w:pStyle w:val="31"/>
        <w:numPr>
          <w:ilvl w:val="1"/>
          <w:numId w:val="7"/>
        </w:numPr>
        <w:tabs>
          <w:tab w:val="left" w:pos="1109"/>
        </w:tabs>
        <w:ind w:left="1108"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评标委员会必须坚持公平、公正、科学和择优的原则。</w:t>
      </w:r>
    </w:p>
    <w:p>
      <w:pPr>
        <w:pStyle w:val="31"/>
        <w:numPr>
          <w:ilvl w:val="1"/>
          <w:numId w:val="7"/>
        </w:numPr>
        <w:tabs>
          <w:tab w:val="left" w:pos="1109"/>
        </w:tabs>
        <w:ind w:left="1108"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评标办法：具体评标内容及标准详见第四章：评标办法。</w:t>
      </w:r>
    </w:p>
    <w:p>
      <w:pPr>
        <w:pStyle w:val="31"/>
        <w:numPr>
          <w:ilvl w:val="1"/>
          <w:numId w:val="7"/>
        </w:numPr>
        <w:tabs>
          <w:tab w:val="left" w:pos="1109"/>
        </w:tabs>
        <w:spacing w:before="173"/>
        <w:ind w:left="1108"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评标委员会应按招标文件进行评标，不得擅自更改评标办法。</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在评标过程中，评标委员会任何人不得对某个投标人发表任何倾向性意见，不得向其他专</w:t>
      </w:r>
      <w:r>
        <w:rPr>
          <w:color w:val="000000" w:themeColor="text1"/>
          <w:spacing w:val="-5"/>
          <w:w w:val="95"/>
          <w:sz w:val="21"/>
          <w:highlight w:val="none"/>
          <w14:textFill>
            <w14:solidFill>
              <w14:schemeClr w14:val="tx1"/>
            </w14:solidFill>
          </w14:textFill>
        </w:rPr>
        <w:t xml:space="preserve">   </w:t>
      </w:r>
      <w:r>
        <w:rPr>
          <w:color w:val="000000" w:themeColor="text1"/>
          <w:spacing w:val="-5"/>
          <w:sz w:val="21"/>
          <w:highlight w:val="none"/>
          <w14:textFill>
            <w14:solidFill>
              <w14:schemeClr w14:val="tx1"/>
            </w14:solidFill>
          </w14:textFill>
        </w:rPr>
        <w:t>家评委明示或者暗示自己的评审意见。</w:t>
      </w:r>
    </w:p>
    <w:p>
      <w:pPr>
        <w:pStyle w:val="31"/>
        <w:keepNext w:val="0"/>
        <w:keepLines w:val="0"/>
        <w:pageBreakBefore w:val="0"/>
        <w:widowControl w:val="0"/>
        <w:numPr>
          <w:ilvl w:val="1"/>
          <w:numId w:val="7"/>
        </w:numPr>
        <w:tabs>
          <w:tab w:val="left" w:pos="1162"/>
        </w:tabs>
        <w:kinsoku/>
        <w:wordWrap/>
        <w:overflowPunct/>
        <w:topLinePunct w:val="0"/>
        <w:autoSpaceDE w:val="0"/>
        <w:autoSpaceDN w:val="0"/>
        <w:bidi w:val="0"/>
        <w:adjustRightInd/>
        <w:snapToGrid/>
        <w:spacing w:before="3" w:line="392"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评标委员会成员对需要共同认定的事项存在争议的，按照少数服从多数的原则作出结论。</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持不同意见的评标委员会成员应当在评标报告上签署不同意见并说明理由，否则视为同意。</w:t>
      </w:r>
    </w:p>
    <w:p>
      <w:pPr>
        <w:pStyle w:val="7"/>
        <w:numPr>
          <w:ilvl w:val="0"/>
          <w:numId w:val="7"/>
        </w:numPr>
        <w:tabs>
          <w:tab w:val="left" w:pos="1059"/>
        </w:tabs>
        <w:spacing w:before="2"/>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评标程序及要求</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172" w:line="391"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组织评标专家、招标人代表及相关监督人员签到，核实身份并发放标识证件，告知回避要</w:t>
      </w:r>
      <w:r>
        <w:rPr>
          <w:color w:val="000000" w:themeColor="text1"/>
          <w:spacing w:val="-5"/>
          <w:sz w:val="21"/>
          <w:highlight w:val="none"/>
          <w14:textFill>
            <w14:solidFill>
              <w14:schemeClr w14:val="tx1"/>
            </w14:solidFill>
          </w14:textFill>
        </w:rPr>
        <w:t>求，统一保管通讯工具或相关电子设备，宣布评标工作纪律和程序，推选评标委员会组长。</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2" w:line="393"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招标人或招标代理机构依据法律法规和招标文件的规定，对投标文件进行资格性审查，以</w:t>
      </w:r>
      <w:r>
        <w:rPr>
          <w:color w:val="000000" w:themeColor="text1"/>
          <w:spacing w:val="-2"/>
          <w:sz w:val="21"/>
          <w:highlight w:val="none"/>
          <w14:textFill>
            <w14:solidFill>
              <w14:schemeClr w14:val="tx1"/>
            </w14:solidFill>
          </w14:textFill>
        </w:rPr>
        <w:t>确定投标人是否具备投标资格。</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0" w:line="391" w:lineRule="auto"/>
        <w:ind w:left="215" w:right="0" w:firstLine="42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评标委员会依据招标文件的规定，从投标文件的有效性、完整性和对招标文件的响应程度</w:t>
      </w:r>
      <w:r>
        <w:rPr>
          <w:color w:val="000000" w:themeColor="text1"/>
          <w:spacing w:val="-3"/>
          <w:sz w:val="21"/>
          <w:highlight w:val="none"/>
          <w14:textFill>
            <w14:solidFill>
              <w14:schemeClr w14:val="tx1"/>
            </w14:solidFill>
          </w14:textFill>
        </w:rPr>
        <w:t>进行符合性审查，以确定是否对招标文件的实质性要求作出响应。</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42" w:line="391" w:lineRule="auto"/>
        <w:ind w:left="215" w:right="0" w:firstLine="420"/>
        <w:jc w:val="both"/>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评标委员会按招标文件中规定的评标办法，对资格性审查和符合性审查合格的投标文件进</w:t>
      </w:r>
      <w:r>
        <w:rPr>
          <w:color w:val="000000" w:themeColor="text1"/>
          <w:spacing w:val="-3"/>
          <w:sz w:val="21"/>
          <w:highlight w:val="none"/>
          <w14:textFill>
            <w14:solidFill>
              <w14:schemeClr w14:val="tx1"/>
            </w14:solidFill>
          </w14:textFill>
        </w:rPr>
        <w:t>行商务和技术评估，综合比较与评价。</w:t>
      </w:r>
    </w:p>
    <w:p>
      <w:pPr>
        <w:pStyle w:val="31"/>
        <w:keepNext w:val="0"/>
        <w:keepLines w:val="0"/>
        <w:pageBreakBefore w:val="0"/>
        <w:widowControl w:val="0"/>
        <w:numPr>
          <w:ilvl w:val="1"/>
          <w:numId w:val="7"/>
        </w:numPr>
        <w:tabs>
          <w:tab w:val="left" w:pos="1102"/>
        </w:tabs>
        <w:kinsoku/>
        <w:wordWrap/>
        <w:overflowPunct/>
        <w:topLinePunct w:val="0"/>
        <w:autoSpaceDE w:val="0"/>
        <w:autoSpaceDN w:val="0"/>
        <w:bidi w:val="0"/>
        <w:adjustRightInd/>
        <w:snapToGrid/>
        <w:spacing w:before="1" w:line="393" w:lineRule="auto"/>
        <w:ind w:left="215" w:right="0" w:firstLine="412"/>
        <w:jc w:val="both"/>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招标代理机构对评标数据进行校对、核对，对畸高、畸低的重大差异评分提示评标委员会</w:t>
      </w:r>
      <w:r>
        <w:rPr>
          <w:color w:val="000000" w:themeColor="text1"/>
          <w:spacing w:val="-3"/>
          <w:sz w:val="21"/>
          <w:highlight w:val="none"/>
          <w14:textFill>
            <w14:solidFill>
              <w14:schemeClr w14:val="tx1"/>
            </w14:solidFill>
          </w14:textFill>
        </w:rPr>
        <w:t>复核或书面说明理由。</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0" w:line="393" w:lineRule="auto"/>
        <w:ind w:left="215" w:right="0" w:firstLine="420"/>
        <w:jc w:val="both"/>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招标代理机构发现评标委员会有明显的违规倾向或歧视现象，或不按评标办法进行，或其他不正常行为的，应当及时制止。如制止无效，应及时向广西壮族自治区财政厅政府采购监督管理</w:t>
      </w:r>
      <w:r>
        <w:rPr>
          <w:color w:val="000000" w:themeColor="text1"/>
          <w:spacing w:val="-2"/>
          <w:sz w:val="21"/>
          <w:highlight w:val="none"/>
          <w14:textFill>
            <w14:solidFill>
              <w14:schemeClr w14:val="tx1"/>
            </w14:solidFill>
          </w14:textFill>
        </w:rPr>
        <w:t>处报告。</w:t>
      </w:r>
    </w:p>
    <w:p>
      <w:pPr>
        <w:pStyle w:val="7"/>
        <w:keepNext w:val="0"/>
        <w:keepLines w:val="0"/>
        <w:pageBreakBefore w:val="0"/>
        <w:widowControl w:val="0"/>
        <w:numPr>
          <w:ilvl w:val="0"/>
          <w:numId w:val="7"/>
        </w:numPr>
        <w:tabs>
          <w:tab w:val="left" w:pos="1049"/>
        </w:tabs>
        <w:kinsoku/>
        <w:wordWrap/>
        <w:overflowPunct/>
        <w:topLinePunct w:val="0"/>
        <w:autoSpaceDE w:val="0"/>
        <w:autoSpaceDN w:val="0"/>
        <w:bidi w:val="0"/>
        <w:adjustRightInd/>
        <w:snapToGrid/>
        <w:spacing w:line="265" w:lineRule="exact"/>
        <w:ind w:left="1048" w:right="0" w:hanging="421"/>
        <w:jc w:val="both"/>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澄清问题的形式</w:t>
      </w:r>
    </w:p>
    <w:p>
      <w:pPr>
        <w:pStyle w:val="13"/>
        <w:keepNext w:val="0"/>
        <w:keepLines w:val="0"/>
        <w:pageBreakBefore w:val="0"/>
        <w:widowControl w:val="0"/>
        <w:kinsoku/>
        <w:wordWrap/>
        <w:overflowPunct/>
        <w:topLinePunct w:val="0"/>
        <w:autoSpaceDE w:val="0"/>
        <w:autoSpaceDN w:val="0"/>
        <w:bidi w:val="0"/>
        <w:adjustRightInd/>
        <w:snapToGrid/>
        <w:spacing w:before="168" w:line="394" w:lineRule="auto"/>
        <w:ind w:left="215" w:right="0" w:firstLine="420"/>
        <w:jc w:val="both"/>
        <w:textAlignment w:val="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 xml:space="preserve">对投标文件中含义不明确、同类问题表述不一致或者有明显文字和计算错误的内容，评标委员   会可以书面形式要求投标人作出必要的澄清、说明或者纠正。投标人的澄清、说明或者纠正应当采   用书面形式，由法定代表人、负责人、自然人或相应的委托代理人签字或盖章确认，并不得超出投 </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标文件的范围或者改变投标文件实质性内容。</w:t>
      </w:r>
    </w:p>
    <w:p>
      <w:pPr>
        <w:pStyle w:val="7"/>
        <w:numPr>
          <w:ilvl w:val="0"/>
          <w:numId w:val="7"/>
        </w:numPr>
        <w:tabs>
          <w:tab w:val="left" w:pos="1059"/>
        </w:tabs>
        <w:spacing w:line="266" w:lineRule="exact"/>
        <w:ind w:left="1058" w:hanging="42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推荐中标候选人原则</w:t>
      </w:r>
    </w:p>
    <w:p>
      <w:pPr>
        <w:pStyle w:val="31"/>
        <w:keepNext w:val="0"/>
        <w:keepLines w:val="0"/>
        <w:pageBreakBefore w:val="0"/>
        <w:widowControl w:val="0"/>
        <w:tabs>
          <w:tab w:val="left" w:pos="1163"/>
        </w:tabs>
        <w:kinsoku/>
        <w:wordWrap/>
        <w:overflowPunct/>
        <w:topLinePunct w:val="0"/>
        <w:autoSpaceDE w:val="0"/>
        <w:autoSpaceDN w:val="0"/>
        <w:bidi w:val="0"/>
        <w:adjustRightInd/>
        <w:snapToGrid/>
        <w:spacing w:line="391" w:lineRule="auto"/>
        <w:ind w:left="0" w:right="0" w:firstLine="392" w:firstLineChars="200"/>
        <w:textAlignment w:val="auto"/>
        <w:rPr>
          <w:color w:val="000000" w:themeColor="text1"/>
          <w:sz w:val="21"/>
          <w:highlight w:val="none"/>
          <w14:textFill>
            <w14:solidFill>
              <w14:schemeClr w14:val="tx1"/>
            </w14:solidFill>
          </w14:textFill>
        </w:rPr>
      </w:pPr>
      <w:r>
        <w:rPr>
          <w:rFonts w:hint="eastAsia"/>
          <w:color w:val="000000" w:themeColor="text1"/>
          <w:spacing w:val="-7"/>
          <w:sz w:val="21"/>
          <w:highlight w:val="none"/>
          <w14:textFill>
            <w14:solidFill>
              <w14:schemeClr w14:val="tx1"/>
            </w14:solidFill>
          </w14:textFill>
        </w:rPr>
        <w:t>（</w:t>
      </w:r>
      <w:r>
        <w:rPr>
          <w:rFonts w:hint="eastAsia"/>
          <w:color w:val="000000" w:themeColor="text1"/>
          <w:spacing w:val="-7"/>
          <w:sz w:val="21"/>
          <w:highlight w:val="none"/>
          <w:lang w:val="en-US"/>
          <w14:textFill>
            <w14:solidFill>
              <w14:schemeClr w14:val="tx1"/>
            </w14:solidFill>
          </w14:textFill>
        </w:rPr>
        <w:t>1）</w:t>
      </w:r>
      <w:r>
        <w:rPr>
          <w:color w:val="000000" w:themeColor="text1"/>
          <w:spacing w:val="-7"/>
          <w:sz w:val="21"/>
          <w:highlight w:val="none"/>
          <w14:textFill>
            <w14:solidFill>
              <w14:schemeClr w14:val="tx1"/>
            </w14:solidFill>
          </w14:textFill>
        </w:rPr>
        <w:t>评标委员会根据综合得分由高到低排列次序，若得分相同时，按评标价由低到高顺序排列；得分相同且评标价也相同的，按技术分及售后服务分由高到低顺序排列并推荐中标候选人。</w:t>
      </w:r>
    </w:p>
    <w:p>
      <w:pPr>
        <w:pStyle w:val="31"/>
        <w:keepNext w:val="0"/>
        <w:keepLines w:val="0"/>
        <w:pageBreakBefore w:val="0"/>
        <w:widowControl w:val="0"/>
        <w:tabs>
          <w:tab w:val="left" w:pos="1163"/>
        </w:tabs>
        <w:kinsoku/>
        <w:wordWrap/>
        <w:overflowPunct/>
        <w:topLinePunct w:val="0"/>
        <w:autoSpaceDE w:val="0"/>
        <w:autoSpaceDN w:val="0"/>
        <w:bidi w:val="0"/>
        <w:adjustRightInd/>
        <w:snapToGrid/>
        <w:spacing w:before="4" w:line="391" w:lineRule="auto"/>
        <w:ind w:left="0" w:right="0" w:firstLine="408" w:firstLineChars="200"/>
        <w:textAlignment w:val="auto"/>
        <w:rPr>
          <w:color w:val="000000" w:themeColor="text1"/>
          <w:sz w:val="21"/>
          <w:highlight w:val="none"/>
          <w14:textFill>
            <w14:solidFill>
              <w14:schemeClr w14:val="tx1"/>
            </w14:solidFill>
          </w14:textFill>
        </w:rPr>
      </w:pPr>
      <w:r>
        <w:rPr>
          <w:rFonts w:hint="eastAsia"/>
          <w:color w:val="000000" w:themeColor="text1"/>
          <w:spacing w:val="-3"/>
          <w:sz w:val="21"/>
          <w:highlight w:val="none"/>
          <w14:textFill>
            <w14:solidFill>
              <w14:schemeClr w14:val="tx1"/>
            </w14:solidFill>
          </w14:textFill>
        </w:rPr>
        <w:t>（</w:t>
      </w:r>
      <w:r>
        <w:rPr>
          <w:rFonts w:hint="eastAsia"/>
          <w:color w:val="000000" w:themeColor="text1"/>
          <w:spacing w:val="-3"/>
          <w:sz w:val="21"/>
          <w:highlight w:val="none"/>
          <w:lang w:val="en-US"/>
          <w14:textFill>
            <w14:solidFill>
              <w14:schemeClr w14:val="tx1"/>
            </w14:solidFill>
          </w14:textFill>
        </w:rPr>
        <w:t>2）</w:t>
      </w:r>
      <w:r>
        <w:rPr>
          <w:color w:val="000000" w:themeColor="text1"/>
          <w:spacing w:val="-3"/>
          <w:sz w:val="21"/>
          <w:highlight w:val="none"/>
          <w14:textFill>
            <w14:solidFill>
              <w14:schemeClr w14:val="tx1"/>
            </w14:solidFill>
          </w14:textFill>
        </w:rPr>
        <w:t>评标委员会可推荐前三名为中标候选人，招标人应当确定评标委员会推荐排名第一的中标候选人为中标人。</w:t>
      </w:r>
    </w:p>
    <w:p>
      <w:pPr>
        <w:pStyle w:val="31"/>
        <w:keepNext w:val="0"/>
        <w:keepLines w:val="0"/>
        <w:pageBreakBefore w:val="0"/>
        <w:widowControl w:val="0"/>
        <w:tabs>
          <w:tab w:val="left" w:pos="1193"/>
        </w:tabs>
        <w:kinsoku/>
        <w:wordWrap/>
        <w:overflowPunct/>
        <w:topLinePunct w:val="0"/>
        <w:autoSpaceDE w:val="0"/>
        <w:autoSpaceDN w:val="0"/>
        <w:bidi w:val="0"/>
        <w:adjustRightInd/>
        <w:snapToGrid/>
        <w:spacing w:before="1" w:line="393" w:lineRule="auto"/>
        <w:ind w:left="0" w:right="0" w:firstLineChars="200"/>
        <w:jc w:val="both"/>
        <w:textAlignment w:val="auto"/>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w:t>
      </w:r>
      <w:r>
        <w:rPr>
          <w:rFonts w:hint="eastAsia"/>
          <w:color w:val="000000" w:themeColor="text1"/>
          <w:sz w:val="21"/>
          <w:highlight w:val="none"/>
          <w:lang w:val="en-US"/>
          <w14:textFill>
            <w14:solidFill>
              <w14:schemeClr w14:val="tx1"/>
            </w14:solidFill>
          </w14:textFill>
        </w:rPr>
        <w:t>3）</w:t>
      </w:r>
      <w:r>
        <w:rPr>
          <w:color w:val="000000" w:themeColor="text1"/>
          <w:sz w:val="21"/>
          <w:highlight w:val="none"/>
          <w14:textFill>
            <w14:solidFill>
              <w14:schemeClr w14:val="tx1"/>
            </w14:solidFill>
          </w14:textFill>
        </w:rPr>
        <w:t>排名第一的中标候选人放弃中标、因不可抗力提出不能履行合同，或者招标文件规定应当提交履约保证金而在规定的期限内未能提交的，或因失信行为被取消中标候选人资格的，招标人可以确定排名第二的中标候选人为中标人。</w:t>
      </w:r>
    </w:p>
    <w:p>
      <w:pPr>
        <w:pStyle w:val="7"/>
        <w:numPr>
          <w:ilvl w:val="0"/>
          <w:numId w:val="7"/>
        </w:numPr>
        <w:tabs>
          <w:tab w:val="left" w:pos="1085"/>
        </w:tabs>
        <w:spacing w:line="265" w:lineRule="exact"/>
        <w:ind w:left="1084" w:hanging="421"/>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属于下列情况之一者，投标无效：</w:t>
      </w:r>
    </w:p>
    <w:p>
      <w:pPr>
        <w:pStyle w:val="31"/>
        <w:numPr>
          <w:ilvl w:val="0"/>
          <w:numId w:val="17"/>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未按照招标文件规定完整提交投标文件或未按要求密封、签字、盖章的；</w:t>
      </w:r>
    </w:p>
    <w:p>
      <w:pPr>
        <w:pStyle w:val="31"/>
        <w:numPr>
          <w:ilvl w:val="0"/>
          <w:numId w:val="17"/>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超越了行政审批的经营范围的；</w:t>
      </w:r>
    </w:p>
    <w:p>
      <w:pPr>
        <w:pStyle w:val="31"/>
        <w:numPr>
          <w:ilvl w:val="0"/>
          <w:numId w:val="17"/>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不具备招标文件中规定的资格要求的；</w:t>
      </w:r>
    </w:p>
    <w:p>
      <w:pPr>
        <w:pStyle w:val="31"/>
        <w:numPr>
          <w:ilvl w:val="0"/>
          <w:numId w:val="17"/>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投标文件未按招标文件的内容和要求编制，或提供虚假或无效材料的；</w:t>
      </w:r>
    </w:p>
    <w:p>
      <w:pPr>
        <w:pStyle w:val="31"/>
        <w:numPr>
          <w:ilvl w:val="0"/>
          <w:numId w:val="17"/>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投标有效期、交付使用期、免费保修期、售后服务不能满足招标文件要求的；</w:t>
      </w:r>
    </w:p>
    <w:p>
      <w:pPr>
        <w:pStyle w:val="31"/>
        <w:numPr>
          <w:ilvl w:val="0"/>
          <w:numId w:val="17"/>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投标人未就“货物采购需求”中所投的所有内容作完整唯一报价的；</w:t>
      </w:r>
    </w:p>
    <w:p>
      <w:pPr>
        <w:pStyle w:val="31"/>
        <w:numPr>
          <w:ilvl w:val="0"/>
          <w:numId w:val="17"/>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不满足“货物采购需求”中标注★号的实质性要求的；</w:t>
      </w:r>
    </w:p>
    <w:p>
      <w:pPr>
        <w:pStyle w:val="31"/>
        <w:numPr>
          <w:ilvl w:val="0"/>
          <w:numId w:val="17"/>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未全部实质性响应招标文件要求或者投标文件有招标人不能接受的附加条件的；</w:t>
      </w:r>
    </w:p>
    <w:p>
      <w:pPr>
        <w:pStyle w:val="31"/>
        <w:numPr>
          <w:ilvl w:val="0"/>
          <w:numId w:val="17"/>
        </w:numPr>
        <w:tabs>
          <w:tab w:val="left" w:pos="1163"/>
        </w:tabs>
        <w:spacing w:before="171"/>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未按规定向招标代理机构购买本项目招标文件的（有文件规定除外）；</w:t>
      </w:r>
    </w:p>
    <w:p>
      <w:pPr>
        <w:pStyle w:val="31"/>
        <w:numPr>
          <w:ilvl w:val="0"/>
          <w:numId w:val="17"/>
        </w:numPr>
        <w:tabs>
          <w:tab w:val="left" w:pos="1266"/>
        </w:tabs>
        <w:spacing w:before="172"/>
        <w:ind w:left="1266" w:hanging="6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不符合法律、法规和招标文件规定的其他实质性要求和条件的。</w:t>
      </w:r>
    </w:p>
    <w:p>
      <w:pPr>
        <w:pStyle w:val="31"/>
        <w:keepNext w:val="0"/>
        <w:keepLines w:val="0"/>
        <w:pageBreakBefore w:val="0"/>
        <w:widowControl w:val="0"/>
        <w:numPr>
          <w:ilvl w:val="0"/>
          <w:numId w:val="17"/>
        </w:numPr>
        <w:tabs>
          <w:tab w:val="left" w:pos="1268"/>
        </w:tabs>
        <w:kinsoku/>
        <w:wordWrap/>
        <w:overflowPunct/>
        <w:topLinePunct w:val="0"/>
        <w:autoSpaceDE w:val="0"/>
        <w:autoSpaceDN w:val="0"/>
        <w:bidi w:val="0"/>
        <w:adjustRightInd/>
        <w:snapToGrid/>
        <w:spacing w:before="42" w:line="394" w:lineRule="auto"/>
        <w:ind w:left="215" w:right="0" w:firstLine="420"/>
        <w:jc w:val="both"/>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在进行资格性审查时，评审委员会将进入《国家企业信用信息公示系统》对企业股东及   出资等信息进行查询，对存在《中华人民共和国政府采购法实施条例》第十八条第一款情形的，即   单位负责人为同一人或者存在直接控股、管理关系的不同投标人，不得参加同一合同项下的政府采</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购活动，其投标文件将被视为无效文件。</w:t>
      </w:r>
    </w:p>
    <w:p>
      <w:pPr>
        <w:pStyle w:val="7"/>
        <w:spacing w:line="263" w:lineRule="exact"/>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投标人有下列情形之一的，视为串通投标，投标文件将被视为无效：</w:t>
      </w:r>
    </w:p>
    <w:p>
      <w:pPr>
        <w:pStyle w:val="31"/>
        <w:numPr>
          <w:ilvl w:val="0"/>
          <w:numId w:val="18"/>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不同投标人的投标文件由同一单位或者个人编制</w:t>
      </w:r>
      <w:r>
        <w:rPr>
          <w:color w:val="000000" w:themeColor="text1"/>
          <w:w w:val="95"/>
          <w:sz w:val="21"/>
          <w:highlight w:val="none"/>
          <w14:textFill>
            <w14:solidFill>
              <w14:schemeClr w14:val="tx1"/>
            </w14:solidFill>
          </w14:textFill>
        </w:rPr>
        <w:t>；</w:t>
      </w:r>
    </w:p>
    <w:p>
      <w:pPr>
        <w:pStyle w:val="31"/>
        <w:numPr>
          <w:ilvl w:val="0"/>
          <w:numId w:val="18"/>
        </w:numPr>
        <w:tabs>
          <w:tab w:val="left" w:pos="1163"/>
        </w:tabs>
        <w:spacing w:before="172"/>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不同投标人委托同一单位或者个人办理投标事宜</w:t>
      </w:r>
      <w:r>
        <w:rPr>
          <w:color w:val="000000" w:themeColor="text1"/>
          <w:w w:val="95"/>
          <w:sz w:val="21"/>
          <w:highlight w:val="none"/>
          <w14:textFill>
            <w14:solidFill>
              <w14:schemeClr w14:val="tx1"/>
            </w14:solidFill>
          </w14:textFill>
        </w:rPr>
        <w:t>；</w:t>
      </w:r>
    </w:p>
    <w:p>
      <w:pPr>
        <w:pStyle w:val="31"/>
        <w:numPr>
          <w:ilvl w:val="0"/>
          <w:numId w:val="18"/>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不同的投标人的投标文件载明的项目管理员为同一个人；</w:t>
      </w:r>
    </w:p>
    <w:p>
      <w:pPr>
        <w:pStyle w:val="31"/>
        <w:numPr>
          <w:ilvl w:val="0"/>
          <w:numId w:val="18"/>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不同投标人的投标文件异常一致或投标报价呈规律性差异；</w:t>
      </w:r>
    </w:p>
    <w:p>
      <w:pPr>
        <w:pStyle w:val="31"/>
        <w:numPr>
          <w:ilvl w:val="0"/>
          <w:numId w:val="18"/>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不同投标人的投标文件相互混装；</w:t>
      </w:r>
    </w:p>
    <w:p>
      <w:pPr>
        <w:pStyle w:val="7"/>
        <w:numPr>
          <w:ilvl w:val="0"/>
          <w:numId w:val="7"/>
        </w:numPr>
        <w:tabs>
          <w:tab w:val="left" w:pos="1061"/>
        </w:tabs>
        <w:spacing w:before="170" w:line="391" w:lineRule="auto"/>
        <w:ind w:left="215" w:right="283" w:firstLine="420"/>
        <w:rPr>
          <w:color w:val="000000" w:themeColor="text1"/>
          <w:highlight w:val="none"/>
          <w14:textFill>
            <w14:solidFill>
              <w14:schemeClr w14:val="tx1"/>
            </w14:solidFill>
          </w14:textFill>
        </w:rPr>
      </w:pPr>
      <w:r>
        <w:rPr>
          <w:color w:val="000000" w:themeColor="text1"/>
          <w:spacing w:val="-3"/>
          <w:w w:val="95"/>
          <w:highlight w:val="none"/>
          <w14:textFill>
            <w14:solidFill>
              <w14:schemeClr w14:val="tx1"/>
            </w14:solidFill>
          </w14:textFill>
        </w:rPr>
        <w:t>出现下列情形之一的，招标人或者招标代理机构应当终止采购活动，发布项目终止公告并</w:t>
      </w:r>
      <w:r>
        <w:rPr>
          <w:color w:val="000000" w:themeColor="text1"/>
          <w:spacing w:val="-3"/>
          <w:highlight w:val="none"/>
          <w14:textFill>
            <w14:solidFill>
              <w14:schemeClr w14:val="tx1"/>
            </w14:solidFill>
          </w14:textFill>
        </w:rPr>
        <w:t>说明原因，重新开展采购活动：</w:t>
      </w:r>
    </w:p>
    <w:p>
      <w:pPr>
        <w:pStyle w:val="31"/>
        <w:numPr>
          <w:ilvl w:val="0"/>
          <w:numId w:val="19"/>
        </w:numPr>
        <w:tabs>
          <w:tab w:val="left" w:pos="1163"/>
        </w:tabs>
        <w:spacing w:before="4"/>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符合专业条件的投标人或者对招标文件作实质响应的投标人不足三家的；</w:t>
      </w:r>
    </w:p>
    <w:p>
      <w:pPr>
        <w:pStyle w:val="31"/>
        <w:numPr>
          <w:ilvl w:val="0"/>
          <w:numId w:val="19"/>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出现影响采购公正的违法、违规行为的；</w:t>
      </w:r>
    </w:p>
    <w:p>
      <w:pPr>
        <w:pStyle w:val="31"/>
        <w:numPr>
          <w:ilvl w:val="0"/>
          <w:numId w:val="19"/>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投标人的报价均超过了采购预算，招标人不能支付的；</w:t>
      </w:r>
    </w:p>
    <w:p>
      <w:pPr>
        <w:pStyle w:val="31"/>
        <w:numPr>
          <w:ilvl w:val="0"/>
          <w:numId w:val="19"/>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因重大变故，采购任务取消的。</w:t>
      </w:r>
    </w:p>
    <w:p>
      <w:pPr>
        <w:pStyle w:val="7"/>
        <w:numPr>
          <w:ilvl w:val="0"/>
          <w:numId w:val="7"/>
        </w:numPr>
        <w:tabs>
          <w:tab w:val="left" w:pos="1052"/>
        </w:tabs>
        <w:spacing w:before="170"/>
        <w:ind w:left="1051"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评标过程的监控</w:t>
      </w:r>
    </w:p>
    <w:p>
      <w:pPr>
        <w:pStyle w:val="13"/>
        <w:keepNext w:val="0"/>
        <w:keepLines w:val="0"/>
        <w:pageBreakBefore w:val="0"/>
        <w:widowControl w:val="0"/>
        <w:kinsoku/>
        <w:wordWrap/>
        <w:overflowPunct/>
        <w:topLinePunct w:val="0"/>
        <w:autoSpaceDE w:val="0"/>
        <w:autoSpaceDN w:val="0"/>
        <w:bidi w:val="0"/>
        <w:adjustRightInd/>
        <w:snapToGrid/>
        <w:spacing w:before="170" w:line="394" w:lineRule="auto"/>
        <w:ind w:left="215" w:right="0" w:firstLine="414"/>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7"/>
        <w:numPr>
          <w:ilvl w:val="0"/>
          <w:numId w:val="7"/>
        </w:numPr>
        <w:tabs>
          <w:tab w:val="left" w:pos="1059"/>
        </w:tabs>
        <w:spacing w:line="246" w:lineRule="exact"/>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信用查询</w:t>
      </w:r>
    </w:p>
    <w:p>
      <w:pPr>
        <w:pStyle w:val="13"/>
        <w:spacing w:before="12"/>
        <w:rPr>
          <w:b/>
          <w:color w:val="000000" w:themeColor="text1"/>
          <w:sz w:val="14"/>
          <w:highlight w:val="none"/>
          <w14:textFill>
            <w14:solidFill>
              <w14:schemeClr w14:val="tx1"/>
            </w14:solidFill>
          </w14:textFill>
        </w:rPr>
      </w:pPr>
    </w:p>
    <w:p>
      <w:pPr>
        <w:ind w:left="635"/>
        <w:rPr>
          <w:b/>
          <w:color w:val="000000" w:themeColor="text1"/>
          <w:sz w:val="21"/>
          <w:highlight w:val="none"/>
          <w14:textFill>
            <w14:solidFill>
              <w14:schemeClr w14:val="tx1"/>
            </w14:solidFill>
          </w14:textFill>
        </w:rPr>
      </w:pPr>
      <w:r>
        <w:rPr>
          <w:b/>
          <w:color w:val="000000" w:themeColor="text1"/>
          <w:w w:val="95"/>
          <w:sz w:val="21"/>
          <w:highlight w:val="none"/>
          <w14:textFill>
            <w14:solidFill>
              <w14:schemeClr w14:val="tx1"/>
            </w14:solidFill>
          </w14:textFill>
        </w:rPr>
        <w:t>详见投标人须知前附表</w:t>
      </w:r>
    </w:p>
    <w:p>
      <w:pPr>
        <w:pStyle w:val="31"/>
        <w:numPr>
          <w:ilvl w:val="0"/>
          <w:numId w:val="7"/>
        </w:numPr>
        <w:tabs>
          <w:tab w:val="left" w:pos="1052"/>
        </w:tabs>
        <w:spacing w:before="173" w:line="391" w:lineRule="auto"/>
        <w:ind w:left="635" w:right="6405" w:hanging="8"/>
        <w:rPr>
          <w:b/>
          <w:color w:val="000000" w:themeColor="text1"/>
          <w:sz w:val="21"/>
          <w:highlight w:val="none"/>
          <w14:textFill>
            <w14:solidFill>
              <w14:schemeClr w14:val="tx1"/>
            </w14:solidFill>
          </w14:textFill>
        </w:rPr>
      </w:pPr>
      <w:r>
        <w:rPr>
          <w:b/>
          <w:color w:val="000000" w:themeColor="text1"/>
          <w:spacing w:val="-2"/>
          <w:sz w:val="21"/>
          <w:highlight w:val="none"/>
          <w14:textFill>
            <w14:solidFill>
              <w14:schemeClr w14:val="tx1"/>
            </w14:solidFill>
          </w14:textFill>
        </w:rPr>
        <w:t>中标公告及中标通知书</w:t>
      </w:r>
      <w:r>
        <w:rPr>
          <w:b/>
          <w:color w:val="000000" w:themeColor="text1"/>
          <w:sz w:val="21"/>
          <w:highlight w:val="none"/>
          <w14:textFill>
            <w14:solidFill>
              <w14:schemeClr w14:val="tx1"/>
            </w14:solidFill>
          </w14:textFill>
        </w:rPr>
        <w:t>详见投标人须知前附表</w:t>
      </w:r>
    </w:p>
    <w:p>
      <w:pPr>
        <w:pStyle w:val="13"/>
        <w:spacing w:before="3"/>
        <w:rPr>
          <w:b/>
          <w:color w:val="000000" w:themeColor="text1"/>
          <w:sz w:val="19"/>
          <w:highlight w:val="none"/>
          <w14:textFill>
            <w14:solidFill>
              <w14:schemeClr w14:val="tx1"/>
            </w14:solidFill>
          </w14:textFill>
        </w:rPr>
      </w:pPr>
    </w:p>
    <w:p>
      <w:pPr>
        <w:ind w:right="101"/>
        <w:jc w:val="center"/>
        <w:outlineLvl w:val="1"/>
        <w:rPr>
          <w:b/>
          <w:color w:val="000000" w:themeColor="text1"/>
          <w:sz w:val="32"/>
          <w:highlight w:val="none"/>
          <w14:textFill>
            <w14:solidFill>
              <w14:schemeClr w14:val="tx1"/>
            </w14:solidFill>
          </w14:textFill>
        </w:rPr>
      </w:pPr>
      <w:bookmarkStart w:id="19" w:name="六、履约保证金及签订合同"/>
      <w:bookmarkEnd w:id="19"/>
      <w:bookmarkStart w:id="20" w:name="_Toc603"/>
      <w:r>
        <w:rPr>
          <w:b/>
          <w:color w:val="000000" w:themeColor="text1"/>
          <w:sz w:val="32"/>
          <w:highlight w:val="none"/>
          <w14:textFill>
            <w14:solidFill>
              <w14:schemeClr w14:val="tx1"/>
            </w14:solidFill>
          </w14:textFill>
        </w:rPr>
        <w:t>六、履约保证金及签订合同</w:t>
      </w:r>
      <w:bookmarkEnd w:id="20"/>
    </w:p>
    <w:p>
      <w:pPr>
        <w:pStyle w:val="13"/>
        <w:spacing w:before="2"/>
        <w:rPr>
          <w:b/>
          <w:color w:val="000000" w:themeColor="text1"/>
          <w:sz w:val="41"/>
          <w:highlight w:val="none"/>
          <w14:textFill>
            <w14:solidFill>
              <w14:schemeClr w14:val="tx1"/>
            </w14:solidFill>
          </w14:textFill>
        </w:rPr>
      </w:pPr>
    </w:p>
    <w:p>
      <w:pPr>
        <w:pStyle w:val="31"/>
        <w:numPr>
          <w:ilvl w:val="0"/>
          <w:numId w:val="7"/>
        </w:numPr>
        <w:tabs>
          <w:tab w:val="left" w:pos="1059"/>
        </w:tabs>
        <w:spacing w:before="0"/>
        <w:ind w:left="1058" w:hanging="424"/>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履约保证金</w:t>
      </w:r>
    </w:p>
    <w:p>
      <w:pPr>
        <w:pStyle w:val="31"/>
        <w:numPr>
          <w:ilvl w:val="1"/>
          <w:numId w:val="7"/>
        </w:numPr>
        <w:tabs>
          <w:tab w:val="left" w:pos="1112"/>
        </w:tabs>
        <w:spacing w:before="171"/>
        <w:ind w:left="1111" w:hanging="47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详见投标人须知前附表。</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line="393" w:lineRule="auto"/>
        <w:ind w:left="215" w:right="0" w:firstLine="420"/>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 xml:space="preserve">如果中标人没能按上述第 </w:t>
      </w:r>
      <w:r>
        <w:rPr>
          <w:color w:val="000000" w:themeColor="text1"/>
          <w:sz w:val="21"/>
          <w:highlight w:val="none"/>
          <w14:textFill>
            <w14:solidFill>
              <w14:schemeClr w14:val="tx1"/>
            </w14:solidFill>
          </w14:textFill>
        </w:rPr>
        <w:t>32.1</w:t>
      </w:r>
      <w:r>
        <w:rPr>
          <w:color w:val="000000" w:themeColor="text1"/>
          <w:spacing w:val="-7"/>
          <w:sz w:val="21"/>
          <w:highlight w:val="none"/>
          <w14:textFill>
            <w14:solidFill>
              <w14:schemeClr w14:val="tx1"/>
            </w14:solidFill>
          </w14:textFill>
        </w:rPr>
        <w:t xml:space="preserve"> 款规定执行，招标代理机构将上报广西壮族自治区政府采购监督管理机构，并有权授予第二中标候选人为中标人资格或重新组织招标。</w:t>
      </w:r>
    </w:p>
    <w:p>
      <w:pPr>
        <w:pStyle w:val="31"/>
        <w:keepNext w:val="0"/>
        <w:keepLines w:val="0"/>
        <w:pageBreakBefore w:val="0"/>
        <w:widowControl w:val="0"/>
        <w:numPr>
          <w:ilvl w:val="1"/>
          <w:numId w:val="7"/>
        </w:numPr>
        <w:tabs>
          <w:tab w:val="left" w:pos="1109"/>
        </w:tabs>
        <w:kinsoku/>
        <w:wordWrap/>
        <w:overflowPunct/>
        <w:topLinePunct w:val="0"/>
        <w:autoSpaceDE w:val="0"/>
        <w:autoSpaceDN w:val="0"/>
        <w:bidi w:val="0"/>
        <w:adjustRightInd/>
        <w:snapToGrid/>
        <w:spacing w:before="0" w:line="391" w:lineRule="auto"/>
        <w:ind w:left="215" w:right="0" w:firstLine="420"/>
        <w:textAlignment w:val="auto"/>
        <w:rPr>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项目验收合格后，中标人凭《验收报告单》和履约保证金收据原件办理履约保证金退款手续,招标人在十五个工作日内将履约保证金（无息）退还给中标人。如中标人不按双方签订的合同规</w:t>
      </w:r>
      <w:r>
        <w:rPr>
          <w:color w:val="000000" w:themeColor="text1"/>
          <w:highlight w:val="none"/>
          <w14:textFill>
            <w14:solidFill>
              <w14:schemeClr w14:val="tx1"/>
            </w14:solidFill>
          </w14:textFill>
        </w:rPr>
        <w:t>定履约，则没收其全部履约保证金，履约保证金不足以赔偿损失的，按实际损失赔偿。</w:t>
      </w:r>
    </w:p>
    <w:p>
      <w:pPr>
        <w:pStyle w:val="31"/>
        <w:keepNext w:val="0"/>
        <w:keepLines w:val="0"/>
        <w:pageBreakBefore w:val="0"/>
        <w:widowControl w:val="0"/>
        <w:numPr>
          <w:ilvl w:val="1"/>
          <w:numId w:val="7"/>
        </w:numPr>
        <w:tabs>
          <w:tab w:val="left" w:pos="1112"/>
        </w:tabs>
        <w:kinsoku/>
        <w:wordWrap/>
        <w:overflowPunct/>
        <w:topLinePunct w:val="0"/>
        <w:autoSpaceDE w:val="0"/>
        <w:autoSpaceDN w:val="0"/>
        <w:bidi w:val="0"/>
        <w:adjustRightInd w:val="0"/>
        <w:snapToGrid/>
        <w:spacing w:line="391" w:lineRule="auto"/>
        <w:ind w:left="218" w:right="0" w:firstLine="420"/>
        <w:jc w:val="both"/>
        <w:textAlignment w:val="auto"/>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在履约保证金到期退还前，若中标人的开户名称、开户银行、账号有变动的，以书面形式</w:t>
      </w:r>
      <w:r>
        <w:rPr>
          <w:color w:val="000000" w:themeColor="text1"/>
          <w:spacing w:val="-5"/>
          <w:sz w:val="21"/>
          <w:highlight w:val="none"/>
          <w14:textFill>
            <w14:solidFill>
              <w14:schemeClr w14:val="tx1"/>
            </w14:solidFill>
          </w14:textFill>
        </w:rPr>
        <w:t>通知招标人，否则由此产生的后果由中标人自负。</w:t>
      </w:r>
    </w:p>
    <w:p>
      <w:pPr>
        <w:pStyle w:val="7"/>
        <w:keepNext w:val="0"/>
        <w:keepLines w:val="0"/>
        <w:pageBreakBefore w:val="0"/>
        <w:widowControl w:val="0"/>
        <w:numPr>
          <w:ilvl w:val="0"/>
          <w:numId w:val="7"/>
        </w:numPr>
        <w:tabs>
          <w:tab w:val="left" w:pos="1059"/>
        </w:tabs>
        <w:kinsoku/>
        <w:wordWrap/>
        <w:overflowPunct/>
        <w:topLinePunct w:val="0"/>
        <w:autoSpaceDE w:val="0"/>
        <w:autoSpaceDN w:val="0"/>
        <w:bidi w:val="0"/>
        <w:adjustRightInd w:val="0"/>
        <w:snapToGrid/>
        <w:spacing w:before="3"/>
        <w:ind w:left="1058" w:right="0" w:hanging="424"/>
        <w:jc w:val="both"/>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签订合同</w:t>
      </w:r>
    </w:p>
    <w:p>
      <w:pPr>
        <w:pStyle w:val="31"/>
        <w:keepNext w:val="0"/>
        <w:keepLines w:val="0"/>
        <w:pageBreakBefore w:val="0"/>
        <w:widowControl w:val="0"/>
        <w:numPr>
          <w:ilvl w:val="1"/>
          <w:numId w:val="7"/>
        </w:numPr>
        <w:tabs>
          <w:tab w:val="left" w:pos="1112"/>
        </w:tabs>
        <w:kinsoku/>
        <w:wordWrap/>
        <w:overflowPunct/>
        <w:topLinePunct w:val="0"/>
        <w:autoSpaceDE w:val="0"/>
        <w:autoSpaceDN w:val="0"/>
        <w:bidi w:val="0"/>
        <w:adjustRightInd w:val="0"/>
        <w:snapToGrid/>
        <w:spacing w:line="391" w:lineRule="auto"/>
        <w:ind w:left="218" w:right="0" w:firstLine="420"/>
        <w:jc w:val="both"/>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签订合同时间：中标通知书发出之日起</w:t>
      </w:r>
      <w:r>
        <w:rPr>
          <w:rFonts w:hint="eastAsia"/>
          <w:color w:val="000000" w:themeColor="text1"/>
          <w:spacing w:val="-4"/>
          <w:sz w:val="21"/>
          <w:highlight w:val="none"/>
          <w14:textFill>
            <w14:solidFill>
              <w14:schemeClr w14:val="tx1"/>
            </w14:solidFill>
          </w14:textFill>
        </w:rPr>
        <w:t>二十五日</w:t>
      </w:r>
      <w:r>
        <w:rPr>
          <w:color w:val="000000" w:themeColor="text1"/>
          <w:spacing w:val="-4"/>
          <w:sz w:val="21"/>
          <w:highlight w:val="none"/>
          <w14:textFill>
            <w14:solidFill>
              <w14:schemeClr w14:val="tx1"/>
            </w14:solidFill>
          </w14:textFill>
        </w:rPr>
        <w:t>内。中标人领取中标通知书后，应按规定与</w:t>
      </w:r>
      <w:r>
        <w:rPr>
          <w:color w:val="000000" w:themeColor="text1"/>
          <w:spacing w:val="-5"/>
          <w:w w:val="95"/>
          <w:sz w:val="21"/>
          <w:highlight w:val="none"/>
          <w14:textFill>
            <w14:solidFill>
              <w14:schemeClr w14:val="tx1"/>
            </w14:solidFill>
          </w14:textFill>
        </w:rPr>
        <w:t xml:space="preserve">   </w:t>
      </w:r>
      <w:r>
        <w:rPr>
          <w:color w:val="000000" w:themeColor="text1"/>
          <w:spacing w:val="-5"/>
          <w:sz w:val="21"/>
          <w:highlight w:val="none"/>
          <w14:textFill>
            <w14:solidFill>
              <w14:schemeClr w14:val="tx1"/>
            </w14:solidFill>
          </w14:textFill>
        </w:rPr>
        <w:t>招标人签订合同。</w:t>
      </w:r>
    </w:p>
    <w:p>
      <w:pPr>
        <w:pStyle w:val="31"/>
        <w:keepNext w:val="0"/>
        <w:keepLines w:val="0"/>
        <w:pageBreakBefore w:val="0"/>
        <w:widowControl w:val="0"/>
        <w:numPr>
          <w:ilvl w:val="1"/>
          <w:numId w:val="7"/>
        </w:numPr>
        <w:tabs>
          <w:tab w:val="left" w:pos="1112"/>
        </w:tabs>
        <w:kinsoku/>
        <w:wordWrap/>
        <w:overflowPunct/>
        <w:topLinePunct w:val="0"/>
        <w:autoSpaceDE w:val="0"/>
        <w:autoSpaceDN w:val="0"/>
        <w:bidi w:val="0"/>
        <w:adjustRightInd w:val="0"/>
        <w:snapToGrid/>
        <w:spacing w:before="4" w:line="391" w:lineRule="auto"/>
        <w:ind w:left="218" w:right="0" w:firstLine="420"/>
        <w:jc w:val="both"/>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如中标人有下列情形之一的，情节严重的，由财政部门将其列入不良行为记录名单，在一至三年内禁止参加政府采购活动，并予以通报。招标采购人可从评标委员会推荐的中标候选人中按顺序重新确定中标人或重新组织招标。</w:t>
      </w:r>
    </w:p>
    <w:p>
      <w:pPr>
        <w:pStyle w:val="31"/>
        <w:numPr>
          <w:ilvl w:val="0"/>
          <w:numId w:val="20"/>
        </w:numPr>
        <w:tabs>
          <w:tab w:val="left" w:pos="1058"/>
        </w:tabs>
        <w:spacing w:before="4"/>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中标后不与招标人签订合同的（不可抗力除外）；</w:t>
      </w:r>
    </w:p>
    <w:p>
      <w:pPr>
        <w:pStyle w:val="31"/>
        <w:keepNext w:val="0"/>
        <w:keepLines w:val="0"/>
        <w:pageBreakBefore w:val="0"/>
        <w:widowControl w:val="0"/>
        <w:numPr>
          <w:ilvl w:val="0"/>
          <w:numId w:val="20"/>
        </w:numPr>
        <w:tabs>
          <w:tab w:val="left" w:pos="1060"/>
        </w:tabs>
        <w:kinsoku/>
        <w:wordWrap/>
        <w:overflowPunct/>
        <w:topLinePunct w:val="0"/>
        <w:autoSpaceDE w:val="0"/>
        <w:autoSpaceDN w:val="0"/>
        <w:bidi w:val="0"/>
        <w:adjustRightInd/>
        <w:snapToGrid/>
        <w:spacing w:before="171" w:line="392" w:lineRule="auto"/>
        <w:ind w:left="215" w:right="0" w:firstLine="312"/>
        <w:textAlignment w:val="auto"/>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将中标项目转让给他人，或者在投标文件中未说明，且未经招标人同意，将中标项目分包</w:t>
      </w:r>
      <w:r>
        <w:rPr>
          <w:color w:val="000000" w:themeColor="text1"/>
          <w:sz w:val="21"/>
          <w:highlight w:val="none"/>
          <w14:textFill>
            <w14:solidFill>
              <w14:schemeClr w14:val="tx1"/>
            </w14:solidFill>
          </w14:textFill>
        </w:rPr>
        <w:t>给他人的；</w:t>
      </w:r>
    </w:p>
    <w:p>
      <w:pPr>
        <w:pStyle w:val="31"/>
        <w:numPr>
          <w:ilvl w:val="0"/>
          <w:numId w:val="20"/>
        </w:numPr>
        <w:tabs>
          <w:tab w:val="left" w:pos="1058"/>
        </w:tabs>
        <w:spacing w:before="3"/>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拒绝履行合同义务的。</w:t>
      </w:r>
    </w:p>
    <w:p>
      <w:pPr>
        <w:pStyle w:val="31"/>
        <w:keepNext w:val="0"/>
        <w:keepLines w:val="0"/>
        <w:pageBreakBefore w:val="0"/>
        <w:widowControl w:val="0"/>
        <w:numPr>
          <w:ilvl w:val="1"/>
          <w:numId w:val="7"/>
        </w:numPr>
        <w:tabs>
          <w:tab w:val="left" w:pos="1112"/>
        </w:tabs>
        <w:kinsoku/>
        <w:wordWrap/>
        <w:overflowPunct/>
        <w:topLinePunct w:val="0"/>
        <w:autoSpaceDE w:val="0"/>
        <w:autoSpaceDN w:val="0"/>
        <w:bidi w:val="0"/>
        <w:adjustRightInd/>
        <w:snapToGrid/>
        <w:spacing w:line="394" w:lineRule="auto"/>
        <w:ind w:left="215" w:right="0" w:firstLine="420"/>
        <w:jc w:val="both"/>
        <w:textAlignment w:val="auto"/>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 xml:space="preserve">合同备案存档：政府采购合同双方自签订之日起 </w:t>
      </w:r>
      <w:r>
        <w:rPr>
          <w:color w:val="000000" w:themeColor="text1"/>
          <w:sz w:val="21"/>
          <w:highlight w:val="none"/>
          <w14:textFill>
            <w14:solidFill>
              <w14:schemeClr w14:val="tx1"/>
            </w14:solidFill>
          </w14:textFill>
        </w:rPr>
        <w:t>1</w:t>
      </w:r>
      <w:r>
        <w:rPr>
          <w:color w:val="000000" w:themeColor="text1"/>
          <w:spacing w:val="-8"/>
          <w:sz w:val="21"/>
          <w:highlight w:val="none"/>
          <w14:textFill>
            <w14:solidFill>
              <w14:schemeClr w14:val="tx1"/>
            </w14:solidFill>
          </w14:textFill>
        </w:rPr>
        <w:t xml:space="preserve"> 个工作日内将合同原件两份交招标代理</w:t>
      </w:r>
      <w:r>
        <w:rPr>
          <w:color w:val="000000" w:themeColor="text1"/>
          <w:spacing w:val="-4"/>
          <w:sz w:val="21"/>
          <w:highlight w:val="none"/>
          <w14:textFill>
            <w14:solidFill>
              <w14:schemeClr w14:val="tx1"/>
            </w14:solidFill>
          </w14:textFill>
        </w:rPr>
        <w:t>机构。招标代理机构将政府采购合同在省级以上人民政府财政部门指定媒体上公告并于合同签订之</w:t>
      </w:r>
      <w:r>
        <w:rPr>
          <w:color w:val="000000" w:themeColor="text1"/>
          <w:spacing w:val="-26"/>
          <w:sz w:val="21"/>
          <w:highlight w:val="none"/>
          <w14:textFill>
            <w14:solidFill>
              <w14:schemeClr w14:val="tx1"/>
            </w14:solidFill>
          </w14:textFill>
        </w:rPr>
        <w:t xml:space="preserve">日起 </w:t>
      </w:r>
      <w:r>
        <w:rPr>
          <w:color w:val="000000" w:themeColor="text1"/>
          <w:sz w:val="21"/>
          <w:highlight w:val="none"/>
          <w14:textFill>
            <w14:solidFill>
              <w14:schemeClr w14:val="tx1"/>
            </w14:solidFill>
          </w14:textFill>
        </w:rPr>
        <w:t>7</w:t>
      </w:r>
      <w:r>
        <w:rPr>
          <w:color w:val="000000" w:themeColor="text1"/>
          <w:spacing w:val="-8"/>
          <w:sz w:val="21"/>
          <w:highlight w:val="none"/>
          <w14:textFill>
            <w14:solidFill>
              <w14:schemeClr w14:val="tx1"/>
            </w14:solidFill>
          </w14:textFill>
        </w:rPr>
        <w:t xml:space="preserve"> 个工作日内将一份合同原件送广西壮族自治区财政厅政府采购监督管理处备案，一份由招标代理机构存档。</w:t>
      </w:r>
    </w:p>
    <w:p>
      <w:pPr>
        <w:pStyle w:val="13"/>
        <w:spacing w:before="9"/>
        <w:rPr>
          <w:color w:val="000000" w:themeColor="text1"/>
          <w:sz w:val="18"/>
          <w:highlight w:val="none"/>
          <w14:textFill>
            <w14:solidFill>
              <w14:schemeClr w14:val="tx1"/>
            </w14:solidFill>
          </w14:textFill>
        </w:rPr>
      </w:pPr>
    </w:p>
    <w:p>
      <w:pPr>
        <w:pStyle w:val="2"/>
        <w:spacing w:before="0"/>
        <w:ind w:right="103"/>
        <w:rPr>
          <w:color w:val="000000" w:themeColor="text1"/>
          <w:highlight w:val="none"/>
          <w14:textFill>
            <w14:solidFill>
              <w14:schemeClr w14:val="tx1"/>
            </w14:solidFill>
          </w14:textFill>
        </w:rPr>
      </w:pPr>
      <w:bookmarkStart w:id="21" w:name="七、其他事项"/>
      <w:bookmarkEnd w:id="21"/>
      <w:bookmarkStart w:id="22" w:name="_Toc4703"/>
      <w:r>
        <w:rPr>
          <w:color w:val="000000" w:themeColor="text1"/>
          <w:highlight w:val="none"/>
          <w14:textFill>
            <w14:solidFill>
              <w14:schemeClr w14:val="tx1"/>
            </w14:solidFill>
          </w14:textFill>
        </w:rPr>
        <w:t>七、其他事项</w:t>
      </w:r>
      <w:bookmarkEnd w:id="22"/>
    </w:p>
    <w:p>
      <w:pPr>
        <w:pStyle w:val="13"/>
        <w:spacing w:before="5"/>
        <w:rPr>
          <w:b/>
          <w:color w:val="000000" w:themeColor="text1"/>
          <w:sz w:val="32"/>
          <w:highlight w:val="none"/>
          <w14:textFill>
            <w14:solidFill>
              <w14:schemeClr w14:val="tx1"/>
            </w14:solidFill>
          </w14:textFill>
        </w:rPr>
      </w:pPr>
    </w:p>
    <w:p>
      <w:pPr>
        <w:pStyle w:val="7"/>
        <w:numPr>
          <w:ilvl w:val="0"/>
          <w:numId w:val="7"/>
        </w:numPr>
        <w:tabs>
          <w:tab w:val="left" w:pos="1059"/>
        </w:tabs>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招标代理服务费：详见投标人须知前附表</w:t>
      </w:r>
    </w:p>
    <w:p>
      <w:pPr>
        <w:pStyle w:val="31"/>
        <w:keepNext w:val="0"/>
        <w:keepLines w:val="0"/>
        <w:pageBreakBefore w:val="0"/>
        <w:widowControl w:val="0"/>
        <w:numPr>
          <w:ilvl w:val="0"/>
          <w:numId w:val="7"/>
        </w:numPr>
        <w:tabs>
          <w:tab w:val="left" w:pos="1061"/>
        </w:tabs>
        <w:kinsoku/>
        <w:wordWrap/>
        <w:overflowPunct/>
        <w:topLinePunct w:val="0"/>
        <w:autoSpaceDE w:val="0"/>
        <w:autoSpaceDN w:val="0"/>
        <w:bidi w:val="0"/>
        <w:adjustRightInd/>
        <w:snapToGrid/>
        <w:spacing w:before="175" w:line="392" w:lineRule="auto"/>
        <w:ind w:left="215" w:right="0" w:firstLine="420"/>
        <w:textAlignment w:val="auto"/>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解释权：</w:t>
      </w:r>
      <w:r>
        <w:rPr>
          <w:color w:val="000000" w:themeColor="text1"/>
          <w:sz w:val="21"/>
          <w:highlight w:val="none"/>
          <w14:textFill>
            <w14:solidFill>
              <w14:schemeClr w14:val="tx1"/>
            </w14:solidFill>
          </w14:textFill>
        </w:rPr>
        <w:t>本招标文件是根据《中华人民共和国政府采购法》、《中华人民共和国政府采购法实施条例》和政府采购管理有关规定编制，本招标文件的解释权属于招标代理机构。</w:t>
      </w:r>
    </w:p>
    <w:p>
      <w:pPr>
        <w:pStyle w:val="7"/>
        <w:numPr>
          <w:ilvl w:val="0"/>
          <w:numId w:val="7"/>
        </w:numPr>
        <w:tabs>
          <w:tab w:val="left" w:pos="1059"/>
        </w:tabs>
        <w:spacing w:before="1"/>
        <w:ind w:left="1058" w:hanging="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监督管理机构：</w:t>
      </w:r>
      <w:r>
        <w:rPr>
          <w:color w:val="000000" w:themeColor="text1"/>
          <w:spacing w:val="-4"/>
          <w:szCs w:val="22"/>
          <w:highlight w:val="none"/>
          <w14:textFill>
            <w14:solidFill>
              <w14:schemeClr w14:val="tx1"/>
            </w14:solidFill>
          </w14:textFill>
        </w:rPr>
        <w:t xml:space="preserve">广西壮族自治区财政厅政府采购监督管理处  </w:t>
      </w:r>
      <w:r>
        <w:rPr>
          <w:color w:val="000000" w:themeColor="text1"/>
          <w:highlight w:val="none"/>
          <w14:textFill>
            <w14:solidFill>
              <w14:schemeClr w14:val="tx1"/>
            </w14:solidFill>
          </w14:textFill>
        </w:rPr>
        <w:t>联系电话：0771-5331544</w:t>
      </w:r>
    </w:p>
    <w:p>
      <w:pPr>
        <w:spacing w:line="391" w:lineRule="auto"/>
        <w:rPr>
          <w:color w:val="000000" w:themeColor="text1"/>
          <w:highlight w:val="none"/>
          <w14:textFill>
            <w14:solidFill>
              <w14:schemeClr w14:val="tx1"/>
            </w14:solidFill>
          </w14:textFill>
        </w:rPr>
        <w:sectPr>
          <w:footerReference r:id="rId6" w:type="default"/>
          <w:pgSz w:w="11910" w:h="16840"/>
          <w:pgMar w:top="1500" w:right="1140" w:bottom="900" w:left="1200" w:header="0" w:footer="640"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after="0" w:afterLines="50"/>
        <w:ind w:right="96"/>
        <w:textAlignment w:val="auto"/>
        <w:rPr>
          <w:b/>
          <w:bCs/>
          <w:color w:val="000000" w:themeColor="text1"/>
          <w:highlight w:val="none"/>
          <w14:textFill>
            <w14:solidFill>
              <w14:schemeClr w14:val="tx1"/>
            </w14:solidFill>
          </w14:textFill>
        </w:rPr>
      </w:pPr>
      <w:bookmarkStart w:id="23" w:name="第三章_货物采购需求"/>
      <w:bookmarkEnd w:id="23"/>
      <w:bookmarkStart w:id="24" w:name="_Toc2618"/>
      <w:r>
        <w:rPr>
          <w:color w:val="000000" w:themeColor="text1"/>
          <w:highlight w:val="none"/>
          <w14:textFill>
            <w14:solidFill>
              <w14:schemeClr w14:val="tx1"/>
            </w14:solidFill>
          </w14:textFill>
        </w:rPr>
        <w:t xml:space="preserve">第三章 </w:t>
      </w:r>
      <w:r>
        <w:rPr>
          <w:rFonts w:hint="eastAsia"/>
          <w:color w:val="000000" w:themeColor="text1"/>
          <w:highlight w:val="none"/>
          <w14:textFill>
            <w14:solidFill>
              <w14:schemeClr w14:val="tx1"/>
            </w14:solidFill>
          </w14:textFill>
        </w:rPr>
        <w:t>采</w:t>
      </w:r>
      <w:r>
        <w:rPr>
          <w:color w:val="000000" w:themeColor="text1"/>
          <w:highlight w:val="none"/>
          <w14:textFill>
            <w14:solidFill>
              <w14:schemeClr w14:val="tx1"/>
            </w14:solidFill>
          </w14:textFill>
        </w:rPr>
        <w:t>购需求</w:t>
      </w:r>
      <w:bookmarkEnd w:id="24"/>
    </w:p>
    <w:p>
      <w:pPr>
        <w:spacing w:line="600" w:lineRule="exac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w:t>
      </w:r>
      <w:r>
        <w:rPr>
          <w:b/>
          <w:bCs/>
          <w:color w:val="000000" w:themeColor="text1"/>
          <w:highlight w:val="none"/>
          <w14:textFill>
            <w14:solidFill>
              <w14:schemeClr w14:val="tx1"/>
            </w14:solidFill>
          </w14:textFill>
        </w:rPr>
        <w:t>、采购需求表中，</w:t>
      </w:r>
      <w:r>
        <w:rPr>
          <w:rFonts w:hint="eastAsia"/>
          <w:b/>
          <w:bCs/>
          <w:color w:val="000000" w:themeColor="text1"/>
          <w:highlight w:val="none"/>
          <w14:textFill>
            <w14:solidFill>
              <w14:schemeClr w14:val="tx1"/>
            </w14:solidFill>
          </w14:textFill>
        </w:rPr>
        <w:t>以上“招标需求（项目要求及技术需求）”中的“★”及表述为“须”或“必须”系指实质性要求，若有任意一项负偏离，作投标无效处理</w:t>
      </w:r>
      <w:r>
        <w:rPr>
          <w:b/>
          <w:bCs/>
          <w:color w:val="000000" w:themeColor="text1"/>
          <w:highlight w:val="none"/>
          <w14:textFill>
            <w14:solidFill>
              <w14:schemeClr w14:val="tx1"/>
            </w14:solidFill>
          </w14:textFill>
        </w:rPr>
        <w:t>；标注“</w:t>
      </w:r>
      <w:r>
        <w:rPr>
          <w:rFonts w:hint="eastAsia"/>
          <w:b/>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”号的功能目标及技术指标为关键指标或要求 ， 有负偏离（或未作响应）达5项（含）以上的投标无效。未标注“</w:t>
      </w:r>
      <w:r>
        <w:rPr>
          <w:rFonts w:hint="eastAsia"/>
          <w:b/>
          <w:color w:val="000000" w:themeColor="text1"/>
          <w:szCs w:val="21"/>
          <w:highlight w:val="none"/>
          <w14:textFill>
            <w14:solidFill>
              <w14:schemeClr w14:val="tx1"/>
            </w14:solidFill>
          </w14:textFill>
        </w:rPr>
        <w:t>▲</w:t>
      </w:r>
      <w:r>
        <w:rPr>
          <w:b/>
          <w:bCs/>
          <w:color w:val="000000" w:themeColor="text1"/>
          <w:highlight w:val="none"/>
          <w14:textFill>
            <w14:solidFill>
              <w14:schemeClr w14:val="tx1"/>
            </w14:solidFill>
          </w14:textFill>
        </w:rPr>
        <w:t>”号的功能目标及技术指标负偏离（或未作响应）达10项（含）以上的投标无效。</w:t>
      </w:r>
    </w:p>
    <w:p>
      <w:pPr>
        <w:spacing w:line="6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color w:val="000000" w:themeColor="text1"/>
          <w:highlight w:val="none"/>
          <w14:textFill>
            <w14:solidFill>
              <w14:schemeClr w14:val="tx1"/>
            </w14:solidFill>
          </w14:textFill>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6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 xml:space="preserve">、提供的核心产品的品牌完全相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spacing w:line="6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、本项目不接受进口产品投标。（即通过中国海关报关验放进入中国境内且产自关境外的产品）参与投标，如有此类产品参与投标的作无效投标处理。</w:t>
      </w:r>
    </w:p>
    <w:p>
      <w:pPr>
        <w:spacing w:line="6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color w:val="000000" w:themeColor="text1"/>
          <w:highlight w:val="none"/>
          <w14:textFill>
            <w14:solidFill>
              <w14:schemeClr w14:val="tx1"/>
            </w14:solidFill>
          </w14:textFill>
        </w:rPr>
        <w:t>设备为《节能产品政府采购品目清单》中政府强制采购节能产品，采购人拟采购的产品属于政府强制采购产品的，供应商投标时必须针对该产品出具依据国家确定的认证机构出具</w:t>
      </w:r>
      <w:r>
        <w:rPr>
          <w:rFonts w:hint="eastAsia"/>
          <w:color w:val="000000" w:themeColor="text1"/>
          <w:highlight w:val="none"/>
          <w14:textFill>
            <w14:solidFill>
              <w14:schemeClr w14:val="tx1"/>
            </w14:solidFill>
          </w14:textFill>
        </w:rPr>
        <w:t>的、处于有效期之内的节能产品认证证书复印件，并加盖供应商公章，否则投标无效。</w:t>
      </w:r>
    </w:p>
    <w:p>
      <w:pPr>
        <w:pStyle w:val="2"/>
        <w:keepNext w:val="0"/>
        <w:keepLines w:val="0"/>
        <w:pageBreakBefore w:val="0"/>
        <w:widowControl w:val="0"/>
        <w:numPr>
          <w:ilvl w:val="0"/>
          <w:numId w:val="21"/>
        </w:numPr>
        <w:kinsoku/>
        <w:wordWrap/>
        <w:overflowPunct/>
        <w:topLinePunct w:val="0"/>
        <w:autoSpaceDE w:val="0"/>
        <w:autoSpaceDN w:val="0"/>
        <w:bidi w:val="0"/>
        <w:adjustRightInd/>
        <w:snapToGrid/>
        <w:spacing w:before="0" w:line="360" w:lineRule="auto"/>
        <w:ind w:right="96" w:firstLine="482" w:firstLineChars="200"/>
        <w:jc w:val="left"/>
        <w:textAlignment w:val="auto"/>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采购详细清单及指标要求</w:t>
      </w:r>
    </w:p>
    <w:tbl>
      <w:tblPr>
        <w:tblStyle w:val="23"/>
        <w:tblpPr w:leftFromText="180" w:rightFromText="180" w:vertAnchor="text" w:horzAnchor="page" w:tblpX="1227" w:tblpY="229"/>
        <w:tblW w:w="5057" w:type="pct"/>
        <w:tblInd w:w="0" w:type="dxa"/>
        <w:tblLayout w:type="fixed"/>
        <w:tblCellMar>
          <w:top w:w="0" w:type="dxa"/>
          <w:left w:w="108" w:type="dxa"/>
          <w:bottom w:w="0" w:type="dxa"/>
          <w:right w:w="108" w:type="dxa"/>
        </w:tblCellMar>
      </w:tblPr>
      <w:tblGrid>
        <w:gridCol w:w="519"/>
        <w:gridCol w:w="657"/>
        <w:gridCol w:w="779"/>
        <w:gridCol w:w="798"/>
        <w:gridCol w:w="6410"/>
        <w:gridCol w:w="404"/>
        <w:gridCol w:w="502"/>
      </w:tblGrid>
      <w:tr>
        <w:tblPrEx>
          <w:tblCellMar>
            <w:top w:w="0" w:type="dxa"/>
            <w:left w:w="108" w:type="dxa"/>
            <w:bottom w:w="0" w:type="dxa"/>
            <w:right w:w="108" w:type="dxa"/>
          </w:tblCellMar>
        </w:tblPrEx>
        <w:trPr>
          <w:trHeight w:val="300" w:hRule="atLeast"/>
        </w:trPr>
        <w:tc>
          <w:tcPr>
            <w:tcW w:w="5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b/>
                <w:bCs/>
                <w:color w:val="000000" w:themeColor="text1"/>
                <w:sz w:val="21"/>
                <w:szCs w:val="21"/>
                <w:highlight w:val="none"/>
                <w:lang w:val="en-US" w:bidi="ar-SA"/>
                <w14:textFill>
                  <w14:solidFill>
                    <w14:schemeClr w14:val="tx1"/>
                  </w14:solidFill>
                </w14:textFill>
              </w:rPr>
            </w:pPr>
          </w:p>
        </w:tc>
        <w:tc>
          <w:tcPr>
            <w:tcW w:w="782" w:type="pct"/>
            <w:gridSpan w:val="2"/>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设备名称</w:t>
            </w:r>
          </w:p>
        </w:tc>
        <w:tc>
          <w:tcPr>
            <w:tcW w:w="3183" w:type="pct"/>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规格参数</w:t>
            </w:r>
          </w:p>
        </w:tc>
        <w:tc>
          <w:tcPr>
            <w:tcW w:w="200"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单位</w:t>
            </w:r>
          </w:p>
        </w:tc>
        <w:tc>
          <w:tcPr>
            <w:tcW w:w="249"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数量</w:t>
            </w:r>
          </w:p>
        </w:tc>
      </w:tr>
      <w:tr>
        <w:tblPrEx>
          <w:tblCellMar>
            <w:top w:w="0" w:type="dxa"/>
            <w:left w:w="108" w:type="dxa"/>
            <w:bottom w:w="0" w:type="dxa"/>
            <w:right w:w="108" w:type="dxa"/>
          </w:tblCellMar>
        </w:tblPrEx>
        <w:trPr>
          <w:trHeight w:val="46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一、实验台柜系统：1套</w:t>
            </w:r>
          </w:p>
        </w:tc>
      </w:tr>
      <w:tr>
        <w:tblPrEx>
          <w:tblCellMar>
            <w:top w:w="0" w:type="dxa"/>
            <w:left w:w="108" w:type="dxa"/>
            <w:bottom w:w="0" w:type="dxa"/>
            <w:right w:w="108" w:type="dxa"/>
          </w:tblCellMar>
        </w:tblPrEx>
        <w:trPr>
          <w:trHeight w:val="9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实验台柜系统</w:t>
            </w:r>
            <w:r>
              <w:rPr>
                <w:rFonts w:hint="eastAsia"/>
                <w:color w:val="000000" w:themeColor="text1"/>
                <w:sz w:val="21"/>
                <w:szCs w:val="21"/>
                <w:highlight w:val="none"/>
                <w:lang w:val="en-US" w:bidi="ar-SA"/>
                <w14:textFill>
                  <w14:solidFill>
                    <w14:schemeClr w14:val="tx1"/>
                  </w14:solidFill>
                </w14:textFill>
              </w:rPr>
              <w:t>ICP-AES室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single" w:color="000000" w:sz="8"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1.规格：5500*900*850  （±5mm）。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文件柜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原子吸收罩</w:t>
            </w: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1.规格：定制。</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ICP-MS室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single" w:color="000000" w:sz="8"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1.规格：5500*900*850mm（±5mm）。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文件柜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原子吸收罩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1.规格：定制。</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9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auto" w:sz="4"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auto" w:sz="4"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auto" w:sz="4"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257"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3.1</w:t>
            </w:r>
          </w:p>
        </w:tc>
        <w:tc>
          <w:tcPr>
            <w:tcW w:w="386" w:type="pct"/>
            <w:tcBorders>
              <w:top w:val="nil"/>
              <w:left w:val="single" w:color="000000" w:sz="8" w:space="0"/>
              <w:bottom w:val="single" w:color="auto" w:sz="4"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气瓶室</w:t>
            </w:r>
          </w:p>
        </w:tc>
        <w:tc>
          <w:tcPr>
            <w:tcW w:w="396" w:type="pct"/>
            <w:tcBorders>
              <w:top w:val="nil"/>
              <w:left w:val="single" w:color="000000" w:sz="8" w:space="0"/>
              <w:bottom w:val="single" w:color="auto" w:sz="4"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气瓶柜</w:t>
            </w:r>
          </w:p>
        </w:tc>
        <w:tc>
          <w:tcPr>
            <w:tcW w:w="3183" w:type="pct"/>
            <w:tcBorders>
              <w:top w:val="nil"/>
              <w:left w:val="nil"/>
              <w:bottom w:val="single" w:color="auto" w:sz="4" w:space="0"/>
              <w:right w:val="single" w:color="000000" w:sz="8" w:space="0"/>
            </w:tcBorders>
            <w:shd w:val="clear" w:color="auto" w:fill="auto"/>
            <w:vAlign w:val="center"/>
          </w:tcPr>
          <w:p>
            <w:pPr>
              <w:widowControl/>
              <w:numPr>
                <w:ilvl w:val="0"/>
                <w:numId w:val="22"/>
              </w:numPr>
              <w:autoSpaceDE/>
              <w:autoSpaceDN/>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规格：900*450*1900。</w:t>
            </w:r>
          </w:p>
          <w:p>
            <w:pPr>
              <w:pStyle w:val="3"/>
              <w:jc w:val="both"/>
              <w:rPr>
                <w:color w:val="000000" w:themeColor="text1"/>
                <w:highlight w:val="none"/>
                <w:lang w:val="en-US"/>
                <w14:textFill>
                  <w14:solidFill>
                    <w14:schemeClr w14:val="tx1"/>
                  </w14:solidFill>
                </w14:textFill>
              </w:rPr>
            </w:pPr>
            <w:r>
              <w:rPr>
                <w:rFonts w:hint="eastAsia"/>
                <w:b w:val="0"/>
                <w:bCs w:val="0"/>
                <w:color w:val="000000" w:themeColor="text1"/>
                <w:sz w:val="21"/>
                <w:szCs w:val="21"/>
                <w:highlight w:val="none"/>
                <w:lang w:val="en-US" w:bidi="ar-SA"/>
                <w14:textFill>
                  <w14:solidFill>
                    <w14:schemeClr w14:val="tx1"/>
                  </w14:solidFill>
                </w14:textFill>
              </w:rPr>
              <w:t>2.相应技术要求、材质、样式等要求详见《附件</w:t>
            </w:r>
            <w:r>
              <w:rPr>
                <w:b w:val="0"/>
                <w:bCs w:val="0"/>
                <w:color w:val="000000" w:themeColor="text1"/>
                <w:sz w:val="21"/>
                <w:szCs w:val="21"/>
                <w:highlight w:val="none"/>
                <w:lang w:val="en-US" w:bidi="ar-SA"/>
                <w14:textFill>
                  <w14:solidFill>
                    <w14:schemeClr w14:val="tx1"/>
                  </w14:solidFill>
                </w14:textFill>
              </w:rPr>
              <w:t>1：需求方案</w:t>
            </w:r>
            <w:r>
              <w:rPr>
                <w:rFonts w:hint="eastAsia"/>
                <w:b w:val="0"/>
                <w:bCs w:val="0"/>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4.1</w:t>
            </w:r>
          </w:p>
        </w:tc>
        <w:tc>
          <w:tcPr>
            <w:tcW w:w="386"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原子吸收室</w:t>
            </w:r>
          </w:p>
        </w:tc>
        <w:tc>
          <w:tcPr>
            <w:tcW w:w="396"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single" w:color="auto" w:sz="4"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储藏柜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原子吸收罩</w:t>
            </w: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1.规格：定制。</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原子荧光室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single" w:color="000000" w:sz="8"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储藏柜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原子吸收罩</w:t>
            </w: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1.规格：定制。</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nil"/>
            </w:tcBorders>
            <w:shd w:val="clear" w:color="auto" w:fill="auto"/>
            <w:noWrap/>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无机前处理室（一）</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single" w:color="000000" w:sz="8"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1.规格：5300*750*850mm（±5mm）。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1.规格：2000*750*850mm（±5mm）。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6.4</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洗眼器</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1.铜制加厚。</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6.5</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水盆及水龙头</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1.规格：500*400*300mm（±5mm）。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6.6</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滴水架</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1、27棒PP材质，抗酸碱，耐腐蚀；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6.7</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通风柜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1.规格：1500*850*2350（±5mm）。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6.8</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器皿柜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6.9</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试剂柜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无机前处理室（二）</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1.规格：5300*750*850mm（±5mm）。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1.规格：2000*750*850mm（±5mm）。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7.4</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洗眼器</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1.铜制加厚。</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7.5</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水盆及水龙头</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1.规格：500*400*300mm（±5mm）。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7.6</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滴水架</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1、27棒PP材质，抗酸碱，耐腐蚀；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7.7</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通风柜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1.规格：1500*850*2350（±5mm）。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7.8</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器皿柜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7.9</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试剂柜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hint="default" w:eastAsia="宋体"/>
                <w:color w:val="000000" w:themeColor="text1"/>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bidi="ar-SA"/>
                <w14:textFill>
                  <w14:solidFill>
                    <w14:schemeClr w14:val="tx1"/>
                  </w14:solidFill>
                </w14:textFill>
              </w:rPr>
              <w:t>8.1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有机前处理室（三）</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1.规格：2000*750*850mm（±5mm）。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洗眼器</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1.铜制加厚。</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8.4</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水盆及水龙头</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1.规格：500*400*300mm（±5mm）。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8.5</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滴水架</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1、27棒PP材质，抗酸碱，耐腐蚀；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8.6</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通风柜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1.规格：1500*850*2350（±5mm）。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8.7</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器皿柜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8.8</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试剂柜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有机前处理室（四）</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1.规格：2000*750*850mm（±5mm）。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洗眼器</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1.铜制加厚。</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9.4</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水盆及水龙头</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1.规格：500*400*300mm（±5mm）。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9.5</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滴水架</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1、27棒PP材质，抗酸碱，耐腐蚀；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9.6</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通风柜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1.规格：1500*850*2350（±5mm）。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9.7</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器皿柜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9.8</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试剂柜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液相色谱室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液质联用室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测汞仪室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气相分子光谱室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w:t>
            </w: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14.1</w:t>
            </w:r>
          </w:p>
        </w:tc>
        <w:tc>
          <w:tcPr>
            <w:tcW w:w="386" w:type="pct"/>
            <w:vMerge w:val="restart"/>
            <w:tcBorders>
              <w:top w:val="nil"/>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离子色谱室</w:t>
            </w: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1.规格：6200*900*850mm（±5mm）。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14.2</w:t>
            </w:r>
          </w:p>
        </w:tc>
        <w:tc>
          <w:tcPr>
            <w:tcW w:w="386" w:type="pct"/>
            <w:vMerge w:val="continue"/>
            <w:tcBorders>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14.3</w:t>
            </w:r>
          </w:p>
        </w:tc>
        <w:tc>
          <w:tcPr>
            <w:tcW w:w="386" w:type="pct"/>
            <w:vMerge w:val="continue"/>
            <w:tcBorders>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restart"/>
            <w:tcBorders>
              <w:left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w:t>
            </w: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15.1</w:t>
            </w:r>
          </w:p>
        </w:tc>
        <w:tc>
          <w:tcPr>
            <w:tcW w:w="386" w:type="pct"/>
            <w:vMerge w:val="restart"/>
            <w:tcBorders>
              <w:left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气相色谱室</w:t>
            </w: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1.规格：6200*900*850mm（±5mm）。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15.2</w:t>
            </w:r>
          </w:p>
        </w:tc>
        <w:tc>
          <w:tcPr>
            <w:tcW w:w="386" w:type="pct"/>
            <w:vMerge w:val="continue"/>
            <w:tcBorders>
              <w:left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15.3</w:t>
            </w:r>
          </w:p>
        </w:tc>
        <w:tc>
          <w:tcPr>
            <w:tcW w:w="386" w:type="pct"/>
            <w:vMerge w:val="continue"/>
            <w:tcBorders>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w:t>
            </w: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气质联用仪室</w:t>
            </w: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仪器台</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1.规格：5300*900*850mm（±5mm）。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万向排气罩</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1.PP材质，耐酸碱腐蚀。</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16.3</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仪器柜</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104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17</w:t>
            </w:r>
          </w:p>
        </w:tc>
        <w:tc>
          <w:tcPr>
            <w:tcW w:w="326"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17.1</w:t>
            </w:r>
          </w:p>
        </w:tc>
        <w:tc>
          <w:tcPr>
            <w:tcW w:w="38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天平室</w:t>
            </w:r>
          </w:p>
        </w:tc>
        <w:tc>
          <w:tcPr>
            <w:tcW w:w="396"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天平台</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1.规格：900*600*850mm（±5mm）。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864"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17.2</w:t>
            </w:r>
          </w:p>
        </w:tc>
        <w:tc>
          <w:tcPr>
            <w:tcW w:w="386"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周转台</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1.规格：1050*750*850mm（±5mm）。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864" w:hRule="atLeast"/>
        </w:trPr>
        <w:tc>
          <w:tcPr>
            <w:tcW w:w="257" w:type="pct"/>
            <w:vMerge w:val="restart"/>
            <w:tcBorders>
              <w:top w:val="nil"/>
              <w:left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18</w:t>
            </w:r>
          </w:p>
        </w:tc>
        <w:tc>
          <w:tcPr>
            <w:tcW w:w="326" w:type="pct"/>
            <w:tcBorders>
              <w:left w:val="single" w:color="000000" w:sz="8" w:space="0"/>
              <w:bottom w:val="single" w:color="auto" w:sz="4"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18.1</w:t>
            </w:r>
          </w:p>
        </w:tc>
        <w:tc>
          <w:tcPr>
            <w:tcW w:w="386" w:type="pct"/>
            <w:vMerge w:val="restart"/>
            <w:tcBorders>
              <w:top w:val="nil"/>
              <w:left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纯水间</w:t>
            </w:r>
          </w:p>
        </w:tc>
        <w:tc>
          <w:tcPr>
            <w:tcW w:w="396" w:type="pct"/>
            <w:tcBorders>
              <w:left w:val="single" w:color="000000" w:sz="8" w:space="0"/>
              <w:bottom w:val="single" w:color="auto" w:sz="4"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single" w:color="auto" w:sz="4"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1.规格：5000*900*850mm（±5mm）。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left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left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864" w:hRule="atLeast"/>
        </w:trPr>
        <w:tc>
          <w:tcPr>
            <w:tcW w:w="257" w:type="pct"/>
            <w:vMerge w:val="continue"/>
            <w:tcBorders>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18.2</w:t>
            </w:r>
          </w:p>
        </w:tc>
        <w:tc>
          <w:tcPr>
            <w:tcW w:w="386" w:type="pct"/>
            <w:vMerge w:val="continue"/>
            <w:tcBorders>
              <w:left w:val="single" w:color="000000" w:sz="8" w:space="0"/>
              <w:bottom w:val="single" w:color="auto" w:sz="4"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水盆及水龙头</w:t>
            </w:r>
          </w:p>
        </w:tc>
        <w:tc>
          <w:tcPr>
            <w:tcW w:w="3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1.规格：500*400*300mm（±5mm）。</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tcBorders>
              <w:left w:val="single" w:color="auto" w:sz="4"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tcBorders>
              <w:left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19</w:t>
            </w:r>
          </w:p>
        </w:tc>
        <w:tc>
          <w:tcPr>
            <w:tcW w:w="326"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19.1</w:t>
            </w:r>
          </w:p>
        </w:tc>
        <w:tc>
          <w:tcPr>
            <w:tcW w:w="38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荧光室</w:t>
            </w:r>
          </w:p>
        </w:tc>
        <w:tc>
          <w:tcPr>
            <w:tcW w:w="39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1.规格：2000*750*850mm（±5mm）。</w:t>
            </w:r>
          </w:p>
        </w:tc>
        <w:tc>
          <w:tcPr>
            <w:tcW w:w="200" w:type="pct"/>
            <w:vMerge w:val="restart"/>
            <w:tcBorders>
              <w:top w:val="nil"/>
              <w:left w:val="single" w:color="auto"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auto"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19.2</w:t>
            </w: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实验台</w:t>
            </w:r>
          </w:p>
        </w:tc>
        <w:tc>
          <w:tcPr>
            <w:tcW w:w="3183" w:type="pct"/>
            <w:tcBorders>
              <w:top w:val="nil"/>
              <w:left w:val="nil"/>
              <w:bottom w:val="nil"/>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1.规格：2500*750*850mm（±5mm）。</w:t>
            </w:r>
          </w:p>
        </w:tc>
        <w:tc>
          <w:tcPr>
            <w:tcW w:w="200" w:type="pct"/>
            <w:vMerge w:val="restart"/>
            <w:tcBorders>
              <w:top w:val="nil"/>
              <w:left w:val="single" w:color="auto"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张</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auto"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19.3</w:t>
            </w: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样品柜</w:t>
            </w:r>
          </w:p>
        </w:tc>
        <w:tc>
          <w:tcPr>
            <w:tcW w:w="3183" w:type="pct"/>
            <w:tcBorders>
              <w:top w:val="nil"/>
              <w:left w:val="nil"/>
              <w:bottom w:val="nil"/>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1.规格：900*450*1800mm（±5mm）。</w:t>
            </w:r>
          </w:p>
        </w:tc>
        <w:tc>
          <w:tcPr>
            <w:tcW w:w="200" w:type="pct"/>
            <w:vMerge w:val="restart"/>
            <w:tcBorders>
              <w:top w:val="nil"/>
              <w:left w:val="single" w:color="auto"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auto"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20</w:t>
            </w:r>
          </w:p>
        </w:tc>
        <w:tc>
          <w:tcPr>
            <w:tcW w:w="326" w:type="pct"/>
            <w:tcBorders>
              <w:top w:val="nil"/>
              <w:left w:val="nil"/>
              <w:bottom w:val="single" w:color="auto"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20.1</w:t>
            </w:r>
          </w:p>
        </w:tc>
        <w:tc>
          <w:tcPr>
            <w:tcW w:w="38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其他</w:t>
            </w:r>
          </w:p>
        </w:tc>
        <w:tc>
          <w:tcPr>
            <w:tcW w:w="396" w:type="pct"/>
            <w:tcBorders>
              <w:top w:val="nil"/>
              <w:left w:val="nil"/>
              <w:bottom w:val="single" w:color="auto"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插座</w:t>
            </w: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实验室多功能插座</w:t>
            </w:r>
          </w:p>
        </w:tc>
        <w:tc>
          <w:tcPr>
            <w:tcW w:w="200"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250</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tcBorders>
              <w:top w:val="nil"/>
              <w:left w:val="nil"/>
              <w:bottom w:val="single" w:color="auto"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20.2</w:t>
            </w: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tcBorders>
              <w:top w:val="nil"/>
              <w:left w:val="nil"/>
              <w:bottom w:val="single" w:color="auto"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实验凳</w:t>
            </w: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304#不锈钢凳面</w:t>
            </w:r>
          </w:p>
        </w:tc>
        <w:tc>
          <w:tcPr>
            <w:tcW w:w="200"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85</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20.3</w:t>
            </w: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办公桌</w:t>
            </w:r>
          </w:p>
        </w:tc>
        <w:tc>
          <w:tcPr>
            <w:tcW w:w="3183" w:type="pct"/>
            <w:tcBorders>
              <w:top w:val="nil"/>
              <w:left w:val="nil"/>
              <w:bottom w:val="nil"/>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1.规格：1400*700*760mm（±5mm）。</w:t>
            </w:r>
          </w:p>
        </w:tc>
        <w:tc>
          <w:tcPr>
            <w:tcW w:w="200" w:type="pct"/>
            <w:vMerge w:val="restart"/>
            <w:tcBorders>
              <w:top w:val="nil"/>
              <w:left w:val="single" w:color="auto"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2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96" w:type="pct"/>
            <w:vMerge w:val="continue"/>
            <w:tcBorders>
              <w:top w:val="nil"/>
              <w:left w:val="single" w:color="auto" w:sz="8" w:space="0"/>
              <w:bottom w:val="single" w:color="000000" w:sz="8" w:space="0"/>
              <w:right w:val="single" w:color="auto"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auto" w:sz="8" w:space="0"/>
              <w:right w:val="single" w:color="auto"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2.相应技术要求、材质、样式等要求详见《附件</w:t>
            </w:r>
            <w:r>
              <w:rPr>
                <w:color w:val="000000" w:themeColor="text1"/>
                <w:sz w:val="21"/>
                <w:szCs w:val="21"/>
                <w:highlight w:val="none"/>
                <w:lang w:val="en-US" w:bidi="ar-SA"/>
                <w14:textFill>
                  <w14:solidFill>
                    <w14:schemeClr w14:val="tx1"/>
                  </w14:solidFill>
                </w14:textFill>
              </w:rPr>
              <w:t>1：需求方案</w:t>
            </w:r>
            <w:r>
              <w:rPr>
                <w:rFonts w:hint="eastAsia"/>
                <w:color w:val="000000" w:themeColor="text1"/>
                <w:sz w:val="21"/>
                <w:szCs w:val="21"/>
                <w:highlight w:val="none"/>
                <w:lang w:val="en-US" w:bidi="ar-SA"/>
                <w14:textFill>
                  <w14:solidFill>
                    <w14:schemeClr w14:val="tx1"/>
                  </w14:solidFill>
                </w14:textFill>
              </w:rPr>
              <w:t>》</w:t>
            </w:r>
          </w:p>
        </w:tc>
        <w:tc>
          <w:tcPr>
            <w:tcW w:w="200" w:type="pct"/>
            <w:vMerge w:val="continue"/>
            <w:tcBorders>
              <w:top w:val="nil"/>
              <w:left w:val="single" w:color="auto"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5000" w:type="pct"/>
            <w:gridSpan w:val="7"/>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二、集中供气系统：1套</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不锈钢高压软管</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SS-36X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根</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55</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钢瓶接头</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G5/8 316L不锈钢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钢瓶接头</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w21.8LH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钢瓶接头（乙炔）</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乙炔接瓶架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一级减压阀</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316L 耐压25mpa，不锈钢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不锈钢卡套球阀（主管)</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SS316-3/8 1000psi，不锈钢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45</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不锈钢卡套球阀（主管)</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SS316-1/4 1000psi，不锈钢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不锈钢管</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SS316L-3/8BA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米</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220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不锈钢管</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SS316L-1/4BA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米</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卡套直通</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SS316L-3/8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65</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11</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卡套直通</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SS316L-1/4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22</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卡套三通</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SS316L-1/4-1/4-1/4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31</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13</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卡套三通</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SS316L-3/8-3/8-3/8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25</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变径卡套直通</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SS316L-3/8-1/4  316L不锈钢</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18</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阻火器</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1/4npt</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16</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MC接头</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npt1/4-3/8</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17</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MC接头</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npt1/4-1/4</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18</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终端球阀</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1.气源球阀；</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26</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2.终端控制球阀（1/4"LOK）|SS316L 不锈钢，耐压 1000PSI。</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19</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二级减压器</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1.焊接式阀门(DN50 以下) 不锈钢；</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26</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二级减压阀(1.0MPA）|SS316 不锈钢3 孔，单表，压力表量程 0-1.0MPA。，进出气接口 1/4"FNPT，不锈钢 316L 膜片硬密封</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结构，耐压 1000psi,泄露率 2×10-8atm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cc/sec He 内置过滤器精度 5-10um Cv=0.08；</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3.减压面板；</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4.1/4"NPT 减压器接头。</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20</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终端接头</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1.气体终端安装；</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26</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2.终端接头（1/4"-1/8") SS316 不钢。</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21</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管码</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3/8英寸</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220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22</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管码</w:t>
            </w:r>
          </w:p>
        </w:tc>
        <w:tc>
          <w:tcPr>
            <w:tcW w:w="3183" w:type="pct"/>
            <w:tcBorders>
              <w:top w:val="single" w:color="000000" w:sz="8" w:space="0"/>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1/4英寸</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个</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100</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23</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减压器底板</w:t>
            </w:r>
          </w:p>
        </w:tc>
        <w:tc>
          <w:tcPr>
            <w:tcW w:w="3183"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批</w:t>
            </w:r>
          </w:p>
        </w:tc>
        <w:tc>
          <w:tcPr>
            <w:tcW w:w="249" w:type="pct"/>
            <w:tcBorders>
              <w:top w:val="nil"/>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60</w:t>
            </w:r>
          </w:p>
        </w:tc>
      </w:tr>
      <w:tr>
        <w:tblPrEx>
          <w:tblCellMar>
            <w:top w:w="0" w:type="dxa"/>
            <w:left w:w="108" w:type="dxa"/>
            <w:bottom w:w="0" w:type="dxa"/>
            <w:right w:w="108" w:type="dxa"/>
          </w:tblCellMar>
        </w:tblPrEx>
        <w:trPr>
          <w:trHeight w:val="3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三、通风系统废气处理系统：1套</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通风系统建设</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本项中的废气处理通风管道及安装用于本次采购范围内所有实验室的通风管道及安装，包含但不限于以下材料：</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1.管道：</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 xml:space="preserve">1.1 </w:t>
            </w:r>
            <w:r>
              <w:rPr>
                <w:rFonts w:hint="eastAsia"/>
                <w:color w:val="000000" w:themeColor="text1"/>
                <w:sz w:val="21"/>
                <w:szCs w:val="21"/>
                <w:highlight w:val="none"/>
                <w:lang w:val="en-US" w:bidi="ar-SA"/>
                <w14:textFill>
                  <w14:solidFill>
                    <w14:schemeClr w14:val="tx1"/>
                  </w14:solidFill>
                </w14:textFill>
              </w:rPr>
              <w:t>PP管</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规格:400*500</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耐锈蚀：PP管可在很大的温度范围内承受PH值，范围在1~14的高浓度的酸和碱的腐蚀。</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耐磨损、不结垢：PP管及其管件内壁均匀光滑，流动阻力小并且不会结垢。</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减小振动和噪声：PP管具有非常好的隔声性能，可显着减少由液体流动引起的振动和噪声。</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防冻裂：PP材料弹性优良使得管材和管件截面可随着冻胀的液体一起膨胀而不会胀裂。</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防结露，热损失少：PP材料为不良热导体，可减少结露现象并减少热损少。</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数量：150米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 xml:space="preserve">1.2 </w:t>
            </w:r>
            <w:r>
              <w:rPr>
                <w:rFonts w:hint="eastAsia"/>
                <w:color w:val="000000" w:themeColor="text1"/>
                <w:sz w:val="21"/>
                <w:szCs w:val="21"/>
                <w:highlight w:val="none"/>
                <w:lang w:val="en-US" w:bidi="ar-SA"/>
                <w14:textFill>
                  <w14:solidFill>
                    <w14:schemeClr w14:val="tx1"/>
                  </w14:solidFill>
                </w14:textFill>
              </w:rPr>
              <w:t>PP管</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规格:400*400</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耐锈蚀：PP管可在很大的温度范围内承受PH值，范围在1~14的高浓度的酸和碱的腐蚀。</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耐磨损、不结垢：PP管及其管件内壁均匀光滑，流动阻力小并且不会结垢。</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减小振动和噪声：PP管具有非常好的隔声性能，可显着减少由液体流动引起的振动和噪声。</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防冻裂：PP材料弹性优良使得管材和管件截面可随着冻胀的液体一起膨胀而不会胀裂。</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防结露，热损失少：PP材料为不良热导体，可减少结露现象并减少热损少。</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数量：110米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实验室专用耐酸碱腐蚀PVC管Ф315：110米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实验室专用耐酸碱腐蚀PVC管Ф250：65米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实验室专用耐酸碱腐蚀PVC管Ф200：95米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实验室专用耐酸碱腐蚀PVC管Ф160：80米</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2.弯头：</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PP管500*400：12个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PP管400*400：15个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PVC管Ф250：12个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PVC管Ф160：12个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3.三通：</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PVC管φ250-φ315：12个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PVC管φ160-φ200：12个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4.直通：</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PVC管Ф315：10个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PVC管Ф250：35个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PVC管Ф160：11个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电动风阀：￠315风阀21个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￠250风阀15个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管道配件：1项定制（含室内外管卡、横担及吊杆、外墙及屋面风管支架等）</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9.</w:t>
            </w:r>
            <w:r>
              <w:rPr>
                <w:rFonts w:hint="eastAsia"/>
                <w:color w:val="000000" w:themeColor="text1"/>
                <w:sz w:val="21"/>
                <w:szCs w:val="21"/>
                <w:highlight w:val="none"/>
                <w:lang w:val="en-US" w:bidi="ar-SA"/>
                <w14:textFill>
                  <w14:solidFill>
                    <w14:schemeClr w14:val="tx1"/>
                  </w14:solidFill>
                </w14:textFill>
              </w:rPr>
              <w:t>辅材：1项定制（含线管、支架，五金等）</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玻璃钢离心风机</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风机：采用落地式玻璃钢离心风机，15KW，玻璃钢材质，转速：1400r/min，流量：20345-30499 m3/h，全压1875-875 Pa，风机安装于楼顶，配置水泥混凝土基础用于独立减震</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玻璃钢离心风机</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风机：采用落地式玻璃钢离心风机，7.5KW，玻璃钢材质，转速：1450r/min，流量：8500-17500 m3/h，全压600-1200 Pa，风机安装于楼顶，配置水泥混凝土基础用于独立减震</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消音器</w:t>
            </w:r>
          </w:p>
        </w:tc>
        <w:tc>
          <w:tcPr>
            <w:tcW w:w="3183" w:type="pct"/>
            <w:tcBorders>
              <w:top w:val="nil"/>
              <w:left w:val="nil"/>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采用高强度PP材质，耐强酸碱，防腐蚀；规格：1000*600*700mm（±5mm）</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p>
        </w:tc>
        <w:tc>
          <w:tcPr>
            <w:tcW w:w="1109"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活性炭</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选用8厘厚A级PP米黄色抗紫外线板加工制作，两格方形活性碳过滤</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p>
        </w:tc>
      </w:tr>
      <w:tr>
        <w:tblPrEx>
          <w:tblCellMar>
            <w:top w:w="0" w:type="dxa"/>
            <w:left w:w="108" w:type="dxa"/>
            <w:bottom w:w="0" w:type="dxa"/>
            <w:right w:w="108" w:type="dxa"/>
          </w:tblCellMar>
        </w:tblPrEx>
        <w:trPr>
          <w:trHeight w:val="2478"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15KWPLC变频控制系统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xml:space="preserve">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xml:space="preserve">1.采用变频器，能满足现场需要的风量，又可达到良好的节能效果，节能范围在30%~60%，能提高系统运行效率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xml:space="preserve">2.实现电机软启动，减小启动冲击，能降低维护费用，可延长设备使用寿命。启动时，最大只有1.3倍的额定电流,不影响电网的稳定性。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3.要求安全保护功能齐全，除了过压、过热、过载、短路等自身保护功能外，还设有外围连锁保护系统，能提高系统的安全稳定性。</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4.配电箱600*500*200（±5mm）</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p>
        </w:tc>
      </w:tr>
      <w:tr>
        <w:tblPrEx>
          <w:tblCellMar>
            <w:top w:w="0" w:type="dxa"/>
            <w:left w:w="108" w:type="dxa"/>
            <w:bottom w:w="0" w:type="dxa"/>
            <w:right w:w="108" w:type="dxa"/>
          </w:tblCellMar>
        </w:tblPrEx>
        <w:trPr>
          <w:trHeight w:val="2214"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7.5KWPLC变频控制系统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xml:space="preserve">1.采用变频器，能满足现场需要的风量，又可达到良好的节能效果，节能范围在30%~60%，能提高系统运行效率。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 xml:space="preserve">2.实现电机软启动，减小启动冲击，能降低维护费用，可延长设备使用寿命。启动时，最大只有1.3倍的额定电流,不影响电网的稳定性。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3.要求安全保护功能齐全，除了过压、过热、过载、短路等自身保护功能外，还设有外围连锁保护系统，能提高系统的安全稳定性。</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4.配电箱600*500*200（±5mm）。</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四、实验室废水处理系统：1套</w:t>
            </w:r>
          </w:p>
        </w:tc>
      </w:tr>
      <w:tr>
        <w:tblPrEx>
          <w:tblCellMar>
            <w:top w:w="0" w:type="dxa"/>
            <w:left w:w="108" w:type="dxa"/>
            <w:bottom w:w="0" w:type="dxa"/>
            <w:right w:w="108" w:type="dxa"/>
          </w:tblCellMar>
        </w:tblPrEx>
        <w:trPr>
          <w:trHeight w:val="654"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实验室废水处理系统</w:t>
            </w:r>
          </w:p>
        </w:tc>
        <w:tc>
          <w:tcPr>
            <w:tcW w:w="3183" w:type="pct"/>
            <w:tcBorders>
              <w:top w:val="nil"/>
              <w:left w:val="nil"/>
              <w:bottom w:val="single" w:color="auto" w:sz="4" w:space="0"/>
              <w:right w:val="single" w:color="000000" w:sz="8" w:space="0"/>
            </w:tcBorders>
            <w:shd w:val="clear" w:color="auto" w:fill="auto"/>
            <w:vAlign w:val="center"/>
          </w:tcPr>
          <w:p>
            <w:pPr>
              <w:rPr>
                <w:color w:val="000000" w:themeColor="text1"/>
                <w:highlight w:val="none"/>
                <w:lang w:val="en-US"/>
                <w14:textFill>
                  <w14:solidFill>
                    <w14:schemeClr w14:val="tx1"/>
                  </w14:solidFill>
                </w14:textFill>
              </w:rPr>
            </w:pPr>
            <w:r>
              <w:rPr>
                <w:rFonts w:hint="eastAsia"/>
                <w:b/>
                <w:color w:val="000000" w:themeColor="text1"/>
                <w:sz w:val="21"/>
                <w:highlight w:val="none"/>
                <w14:textFill>
                  <w14:solidFill>
                    <w14:schemeClr w14:val="tx1"/>
                  </w14:solidFill>
                </w14:textFill>
              </w:rPr>
              <w:t>主要技术参数</w:t>
            </w:r>
            <w:r>
              <w:rPr>
                <w:rFonts w:hint="eastAsia"/>
                <w:b/>
                <w:color w:val="000000" w:themeColor="text1"/>
                <w:sz w:val="21"/>
                <w:szCs w:val="21"/>
                <w:highlight w:val="none"/>
                <w:lang w:val="en-US" w:bidi="ar-SA"/>
                <w14:textFill>
                  <w14:solidFill>
                    <w14:schemeClr w14:val="tx1"/>
                  </w14:solidFill>
                </w14:textFill>
              </w:rPr>
              <w:t>等要求详见《附件</w:t>
            </w:r>
            <w:r>
              <w:rPr>
                <w:b/>
                <w:color w:val="000000" w:themeColor="text1"/>
                <w:sz w:val="21"/>
                <w:szCs w:val="21"/>
                <w:highlight w:val="none"/>
                <w:lang w:val="en-US" w:bidi="ar-SA"/>
                <w14:textFill>
                  <w14:solidFill>
                    <w14:schemeClr w14:val="tx1"/>
                  </w14:solidFill>
                </w14:textFill>
              </w:rPr>
              <w:t>1：需求方案</w:t>
            </w:r>
            <w:r>
              <w:rPr>
                <w:rFonts w:hint="eastAsia"/>
                <w:b/>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五、实验室隔断装修及净化空调系统：1套</w:t>
            </w: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微生物室玻镁板隔断</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50mm玻镁彩钢板吊顶：58㎡</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吊顶龙骨及连接密封件：58㎡</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50mm玻镁彩钢板隔断墙：181㎡</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4.</w:t>
            </w:r>
            <w:r>
              <w:rPr>
                <w:rFonts w:hint="eastAsia"/>
                <w:color w:val="000000" w:themeColor="text1"/>
                <w:sz w:val="21"/>
                <w:szCs w:val="21"/>
                <w:highlight w:val="none"/>
                <w:lang w:val="en-US" w:bidi="ar-SA"/>
                <w14:textFill>
                  <w14:solidFill>
                    <w14:schemeClr w14:val="tx1"/>
                  </w14:solidFill>
                </w14:textFill>
              </w:rPr>
              <w:t>外圆柱立柱：120m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净化专用铝合金槽铝：93m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门框铝：84m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7.</w:t>
            </w:r>
            <w:r>
              <w:rPr>
                <w:rFonts w:hint="eastAsia"/>
                <w:color w:val="000000" w:themeColor="text1"/>
                <w:sz w:val="21"/>
                <w:szCs w:val="21"/>
                <w:highlight w:val="none"/>
                <w:lang w:val="en-US" w:bidi="ar-SA"/>
                <w14:textFill>
                  <w14:solidFill>
                    <w14:schemeClr w14:val="tx1"/>
                  </w14:solidFill>
                </w14:textFill>
              </w:rPr>
              <w:t>字铝：120m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门合页：7套</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门把锁：7把</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0.</w:t>
            </w:r>
            <w:r>
              <w:rPr>
                <w:rFonts w:hint="eastAsia"/>
                <w:color w:val="000000" w:themeColor="text1"/>
                <w:sz w:val="21"/>
                <w:szCs w:val="21"/>
                <w:highlight w:val="none"/>
                <w:lang w:val="en-US" w:bidi="ar-SA"/>
                <w14:textFill>
                  <w14:solidFill>
                    <w14:schemeClr w14:val="tx1"/>
                  </w14:solidFill>
                </w14:textFill>
              </w:rPr>
              <w:t>门吸：7付</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内圆弧：325m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2.</w:t>
            </w:r>
            <w:r>
              <w:rPr>
                <w:rFonts w:hint="eastAsia"/>
                <w:color w:val="000000" w:themeColor="text1"/>
                <w:sz w:val="21"/>
                <w:szCs w:val="21"/>
                <w:highlight w:val="none"/>
                <w:lang w:val="en-US" w:bidi="ar-SA"/>
                <w14:textFill>
                  <w14:solidFill>
                    <w14:schemeClr w14:val="tx1"/>
                  </w14:solidFill>
                </w14:textFill>
              </w:rPr>
              <w:t>托架：150m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单开门：7樘</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4.</w:t>
            </w:r>
            <w:r>
              <w:rPr>
                <w:rFonts w:hint="eastAsia"/>
                <w:color w:val="000000" w:themeColor="text1"/>
                <w:sz w:val="21"/>
                <w:szCs w:val="21"/>
                <w:highlight w:val="none"/>
                <w:lang w:val="en-US" w:bidi="ar-SA"/>
                <w14:textFill>
                  <w14:solidFill>
                    <w14:schemeClr w14:val="tx1"/>
                  </w14:solidFill>
                </w14:textFill>
              </w:rPr>
              <w:t>三通、二通：43</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5.</w:t>
            </w:r>
            <w:r>
              <w:rPr>
                <w:rFonts w:hint="eastAsia"/>
                <w:color w:val="000000" w:themeColor="text1"/>
                <w:sz w:val="21"/>
                <w:szCs w:val="21"/>
                <w:highlight w:val="none"/>
                <w:lang w:val="en-US" w:bidi="ar-SA"/>
                <w14:textFill>
                  <w14:solidFill>
                    <w14:schemeClr w14:val="tx1"/>
                  </w14:solidFill>
                </w14:textFill>
              </w:rPr>
              <w:t>门角件：42个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2</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纯水室玻镁板隔断</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50mm玻镁彩钢板隔断墙：49㎡</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净化专用铝合金槽铝：24m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门框铝：24m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门合页：2套</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门把锁：2把</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门吸：2付</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内圆弧：48m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托架：16m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单开门：2樘</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0.</w:t>
            </w:r>
            <w:r>
              <w:rPr>
                <w:rFonts w:hint="eastAsia"/>
                <w:color w:val="000000" w:themeColor="text1"/>
                <w:sz w:val="21"/>
                <w:szCs w:val="21"/>
                <w:highlight w:val="none"/>
                <w:lang w:val="en-US" w:bidi="ar-SA"/>
                <w14:textFill>
                  <w14:solidFill>
                    <w14:schemeClr w14:val="tx1"/>
                  </w14:solidFill>
                </w14:textFill>
              </w:rPr>
              <w:t>三通、二通：16</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门角件：12个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3</w:t>
            </w:r>
          </w:p>
        </w:tc>
        <w:tc>
          <w:tcPr>
            <w:tcW w:w="1109"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微生物室空调暖通</w:t>
            </w: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组合式空气净化机组：L=2500m3/h,Q冷：12.1KW.制热量13.3KW，含初效中效静压箱</w:t>
            </w:r>
          </w:p>
        </w:tc>
        <w:tc>
          <w:tcPr>
            <w:tcW w:w="200"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空调铜管：28m</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冷凝水排水管：1项（含保温机棉）</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4</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铝合金高效过滤器320*320：12套</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5</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百叶风窗：1套</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对开多叶调节阀：16个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百叶回风窗：8个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配件：1项</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风管：68㎡</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0.</w:t>
            </w:r>
            <w:r>
              <w:rPr>
                <w:rFonts w:hint="eastAsia"/>
                <w:color w:val="000000" w:themeColor="text1"/>
                <w:sz w:val="21"/>
                <w:szCs w:val="21"/>
                <w:highlight w:val="none"/>
                <w:lang w:val="en-US" w:bidi="ar-SA"/>
                <w14:textFill>
                  <w14:solidFill>
                    <w14:schemeClr w14:val="tx1"/>
                  </w14:solidFill>
                </w14:textFill>
              </w:rPr>
              <w:t>橡塑保温棉（B1）：52㎡</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保温胶水：5桶</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nil"/>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2.</w:t>
            </w:r>
            <w:r>
              <w:rPr>
                <w:rFonts w:hint="eastAsia"/>
                <w:color w:val="000000" w:themeColor="text1"/>
                <w:sz w:val="21"/>
                <w:szCs w:val="21"/>
                <w:highlight w:val="none"/>
                <w:lang w:val="en-US" w:bidi="ar-SA"/>
                <w14:textFill>
                  <w14:solidFill>
                    <w14:schemeClr w14:val="tx1"/>
                  </w14:solidFill>
                </w14:textFill>
              </w:rPr>
              <w:t>压差表：1个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vMerge w:val="continue"/>
            <w:tcBorders>
              <w:top w:val="nil"/>
              <w:left w:val="single" w:color="000000" w:sz="8" w:space="0"/>
              <w:bottom w:val="single" w:color="000000" w:sz="8" w:space="0"/>
              <w:right w:val="single" w:color="000000" w:sz="8"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温湿度计：1个</w:t>
            </w:r>
          </w:p>
        </w:tc>
        <w:tc>
          <w:tcPr>
            <w:tcW w:w="200"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c>
          <w:tcPr>
            <w:tcW w:w="249" w:type="pct"/>
            <w:vMerge w:val="continue"/>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4</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微生物室地板胶铺设</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PVC地板胶：52㎡，上墙15cm，含自流平含损耗</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六、实验室电气系统：1套</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电气系统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一、 设计范围</w:t>
            </w:r>
          </w:p>
          <w:p>
            <w:pPr>
              <w:widowControl/>
              <w:autoSpaceDE/>
              <w:autoSpaceDN/>
              <w:rPr>
                <w:color w:val="000000" w:themeColor="text1"/>
                <w:sz w:val="21"/>
                <w:szCs w:val="21"/>
                <w:highlight w:val="none"/>
                <w:lang w:val="en-US" w:bidi="ar-SA"/>
                <w14:textFill>
                  <w14:solidFill>
                    <w14:schemeClr w14:val="tx1"/>
                  </w14:solidFill>
                </w14:textFill>
              </w:rPr>
            </w:pP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.1实验室室内插座用电设计。</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2</w:t>
            </w:r>
            <w:r>
              <w:rPr>
                <w:rFonts w:hint="eastAsia"/>
                <w:color w:val="000000" w:themeColor="text1"/>
                <w:sz w:val="21"/>
                <w:szCs w:val="21"/>
                <w:highlight w:val="none"/>
                <w:lang w:val="en-US" w:bidi="ar-SA"/>
                <w14:textFill>
                  <w14:solidFill>
                    <w14:schemeClr w14:val="tx1"/>
                  </w14:solidFill>
                </w14:textFill>
              </w:rPr>
              <w:t>实验室室内设备用电设计。</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实验室区域配电柜配电系统。</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4</w:t>
            </w:r>
            <w:r>
              <w:rPr>
                <w:rFonts w:hint="eastAsia"/>
                <w:color w:val="000000" w:themeColor="text1"/>
                <w:sz w:val="21"/>
                <w:szCs w:val="21"/>
                <w:highlight w:val="none"/>
                <w:lang w:val="en-US" w:bidi="ar-SA"/>
                <w14:textFill>
                  <w14:solidFill>
                    <w14:schemeClr w14:val="tx1"/>
                  </w14:solidFill>
                </w14:textFill>
              </w:rPr>
              <w:t>实验室电力电缆设计。</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5</w:t>
            </w:r>
            <w:r>
              <w:rPr>
                <w:rFonts w:hint="eastAsia"/>
                <w:color w:val="000000" w:themeColor="text1"/>
                <w:sz w:val="21"/>
                <w:szCs w:val="21"/>
                <w:highlight w:val="none"/>
                <w:lang w:val="en-US" w:bidi="ar-SA"/>
                <w14:textFill>
                  <w14:solidFill>
                    <w14:schemeClr w14:val="tx1"/>
                  </w14:solidFill>
                </w14:textFill>
              </w:rPr>
              <w:t>实验室桥架设计。</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6</w:t>
            </w:r>
            <w:r>
              <w:rPr>
                <w:rFonts w:hint="eastAsia"/>
                <w:color w:val="000000" w:themeColor="text1"/>
                <w:sz w:val="21"/>
                <w:szCs w:val="21"/>
                <w:highlight w:val="none"/>
                <w:lang w:val="en-US" w:bidi="ar-SA"/>
                <w14:textFill>
                  <w14:solidFill>
                    <w14:schemeClr w14:val="tx1"/>
                  </w14:solidFill>
                </w14:textFill>
              </w:rPr>
              <w:t>实验室通风配电系统。</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二、本项中的电气及安装用于本次采购范围内所有实验室的用电</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（含动力电）规划及安装，包含但不限于以下材料：</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网络插座：80个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.2</w:t>
            </w:r>
            <w:r>
              <w:rPr>
                <w:rFonts w:hint="eastAsia"/>
                <w:color w:val="000000" w:themeColor="text1"/>
                <w:sz w:val="21"/>
                <w:szCs w:val="21"/>
                <w:highlight w:val="none"/>
                <w:lang w:val="en-US" w:bidi="ar-SA"/>
                <w14:textFill>
                  <w14:solidFill>
                    <w14:schemeClr w14:val="tx1"/>
                  </w14:solidFill>
                </w14:textFill>
              </w:rPr>
              <w:t>单联单控开关：65个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网线：1200米</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.4</w:t>
            </w:r>
            <w:r>
              <w:rPr>
                <w:rFonts w:hint="eastAsia"/>
                <w:color w:val="000000" w:themeColor="text1"/>
                <w:sz w:val="21"/>
                <w:szCs w:val="21"/>
                <w:highlight w:val="none"/>
                <w:lang w:val="en-US" w:bidi="ar-SA"/>
                <w14:textFill>
                  <w14:solidFill>
                    <w14:schemeClr w14:val="tx1"/>
                  </w14:solidFill>
                </w14:textFill>
              </w:rPr>
              <w:t xml:space="preserve"> Z R-YJV-0.6/1KV-1x3x16+2x10电缆：250米</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.5</w:t>
            </w:r>
            <w:r>
              <w:rPr>
                <w:rFonts w:hint="eastAsia"/>
                <w:color w:val="000000" w:themeColor="text1"/>
                <w:sz w:val="21"/>
                <w:szCs w:val="21"/>
                <w:highlight w:val="none"/>
                <w:lang w:val="en-US" w:bidi="ar-SA"/>
                <w14:textFill>
                  <w14:solidFill>
                    <w14:schemeClr w14:val="tx1"/>
                  </w14:solidFill>
                </w14:textFill>
              </w:rPr>
              <w:t>ZR-BV-500-3x2.5电缆：200米</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.6</w:t>
            </w:r>
            <w:r>
              <w:rPr>
                <w:rFonts w:hint="eastAsia"/>
                <w:color w:val="000000" w:themeColor="text1"/>
                <w:sz w:val="21"/>
                <w:szCs w:val="21"/>
                <w:highlight w:val="none"/>
                <w:lang w:val="en-US" w:bidi="ar-SA"/>
                <w14:textFill>
                  <w14:solidFill>
                    <w14:schemeClr w14:val="tx1"/>
                  </w14:solidFill>
                </w14:textFill>
              </w:rPr>
              <w:t>ZR-BV-500-3x4.0电缆：200米</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.7</w:t>
            </w:r>
            <w:r>
              <w:rPr>
                <w:rFonts w:hint="eastAsia"/>
                <w:color w:val="000000" w:themeColor="text1"/>
                <w:sz w:val="21"/>
                <w:szCs w:val="21"/>
                <w:highlight w:val="none"/>
                <w:lang w:val="en-US" w:bidi="ar-SA"/>
                <w14:textFill>
                  <w14:solidFill>
                    <w14:schemeClr w14:val="tx1"/>
                  </w14:solidFill>
                </w14:textFill>
              </w:rPr>
              <w:t>线管SC20:800米</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.8</w:t>
            </w:r>
            <w:r>
              <w:rPr>
                <w:rFonts w:hint="eastAsia"/>
                <w:color w:val="000000" w:themeColor="text1"/>
                <w:sz w:val="21"/>
                <w:szCs w:val="21"/>
                <w:highlight w:val="none"/>
                <w:lang w:val="en-US" w:bidi="ar-SA"/>
                <w14:textFill>
                  <w14:solidFill>
                    <w14:schemeClr w14:val="tx1"/>
                  </w14:solidFill>
                </w14:textFill>
              </w:rPr>
              <w:t>空开NSC100S-75A/4P：9个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.9</w:t>
            </w:r>
            <w:r>
              <w:rPr>
                <w:rFonts w:hint="eastAsia"/>
                <w:color w:val="000000" w:themeColor="text1"/>
                <w:sz w:val="21"/>
                <w:szCs w:val="21"/>
                <w:highlight w:val="none"/>
                <w:lang w:val="en-US" w:bidi="ar-SA"/>
                <w14:textFill>
                  <w14:solidFill>
                    <w14:schemeClr w14:val="tx1"/>
                  </w14:solidFill>
                </w14:textFill>
              </w:rPr>
              <w:t>空开iC65N-C65A/3P：6个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.10</w:t>
            </w:r>
            <w:r>
              <w:rPr>
                <w:rFonts w:hint="eastAsia"/>
                <w:color w:val="000000" w:themeColor="text1"/>
                <w:sz w:val="21"/>
                <w:szCs w:val="21"/>
                <w:highlight w:val="none"/>
                <w:lang w:val="en-US" w:bidi="ar-SA"/>
                <w14:textFill>
                  <w14:solidFill>
                    <w14:schemeClr w14:val="tx1"/>
                  </w14:solidFill>
                </w14:textFill>
              </w:rPr>
              <w:t>空开C65N-C25A/2P：25个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.11</w:t>
            </w:r>
            <w:r>
              <w:rPr>
                <w:rFonts w:hint="eastAsia"/>
                <w:color w:val="000000" w:themeColor="text1"/>
                <w:sz w:val="21"/>
                <w:szCs w:val="21"/>
                <w:highlight w:val="none"/>
                <w:lang w:val="en-US" w:bidi="ar-SA"/>
                <w14:textFill>
                  <w14:solidFill>
                    <w14:schemeClr w14:val="tx1"/>
                  </w14:solidFill>
                </w14:textFill>
              </w:rPr>
              <w:t>空开C65N-D20A/3P：7个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.12</w:t>
            </w:r>
            <w:r>
              <w:rPr>
                <w:rFonts w:hint="eastAsia"/>
                <w:color w:val="000000" w:themeColor="text1"/>
                <w:sz w:val="21"/>
                <w:szCs w:val="21"/>
                <w:highlight w:val="none"/>
                <w:lang w:val="en-US" w:bidi="ar-SA"/>
                <w14:textFill>
                  <w14:solidFill>
                    <w14:schemeClr w14:val="tx1"/>
                  </w14:solidFill>
                </w14:textFill>
              </w:rPr>
              <w:t>槽式电缆桥架：60米（200*100mm，镀锌防爆管）</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七、实验室给排水系统：1套</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p>
        </w:tc>
        <w:tc>
          <w:tcPr>
            <w:tcW w:w="1109" w:type="pct"/>
            <w:gridSpan w:val="3"/>
            <w:tcBorders>
              <w:top w:val="single" w:color="000000" w:sz="8" w:space="0"/>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给排水系统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一. 给水要求</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实验室给水由大楼原有供水立管加压供水， 干管出水后由减压阀供水。</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1.2给水管道上的阀门， DN≤50 时用截止阀， DN＞50 时用闸阀或碟阀。</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 xml:space="preserve">3管材选用： </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给水管材选用： PP-R 给水管，采用热熔焊接连接。</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r>
              <w:rPr>
                <w:color w:val="000000" w:themeColor="text1"/>
                <w:sz w:val="21"/>
                <w:szCs w:val="21"/>
                <w:highlight w:val="none"/>
                <w:lang w:val="en-US" w:bidi="ar-SA"/>
                <w14:textFill>
                  <w14:solidFill>
                    <w14:schemeClr w14:val="tx1"/>
                  </w14:solidFill>
                </w14:textFill>
              </w:rPr>
              <w:t>.</w:t>
            </w:r>
            <w:r>
              <w:rPr>
                <w:rFonts w:hint="eastAsia"/>
                <w:color w:val="000000" w:themeColor="text1"/>
                <w:sz w:val="21"/>
                <w:szCs w:val="21"/>
                <w:highlight w:val="none"/>
                <w:lang w:val="en-US" w:bidi="ar-SA"/>
                <w14:textFill>
                  <w14:solidFill>
                    <w14:schemeClr w14:val="tx1"/>
                  </w14:solidFill>
                </w14:textFill>
              </w:rPr>
              <w:t>4实验室和卫生间的排水立管应分别设置。</w:t>
            </w:r>
          </w:p>
          <w:p>
            <w:pPr>
              <w:widowControl/>
              <w:autoSpaceDE/>
              <w:autoSpaceDN/>
              <w:jc w:val="both"/>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1.5. 排水管接口形式：高密度聚乙烯管采用承接式热熔连接方式。</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二.本项中的给排水及安装用于本次采购范围内所有实验室的给排水及安装，包含但不限于以下材料：</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.1</w:t>
            </w:r>
            <w:r>
              <w:rPr>
                <w:rFonts w:hint="eastAsia"/>
                <w:color w:val="000000" w:themeColor="text1"/>
                <w:sz w:val="21"/>
                <w:szCs w:val="21"/>
                <w:highlight w:val="none"/>
                <w:lang w:val="en-US" w:bidi="ar-SA"/>
                <w14:textFill>
                  <w14:solidFill>
                    <w14:schemeClr w14:val="tx1"/>
                  </w14:solidFill>
                </w14:textFill>
              </w:rPr>
              <w:t>不锈钢球阀DN20：50个</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.2</w:t>
            </w:r>
            <w:r>
              <w:rPr>
                <w:rFonts w:hint="eastAsia"/>
                <w:color w:val="000000" w:themeColor="text1"/>
                <w:sz w:val="21"/>
                <w:szCs w:val="21"/>
                <w:highlight w:val="none"/>
                <w:lang w:val="en-US" w:bidi="ar-SA"/>
                <w14:textFill>
                  <w14:solidFill>
                    <w14:schemeClr w14:val="tx1"/>
                  </w14:solidFill>
                </w14:textFill>
              </w:rPr>
              <w:t>给水管：350米（DN20）</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.3</w:t>
            </w:r>
            <w:r>
              <w:rPr>
                <w:rFonts w:hint="eastAsia"/>
                <w:color w:val="000000" w:themeColor="text1"/>
                <w:sz w:val="21"/>
                <w:szCs w:val="21"/>
                <w:highlight w:val="none"/>
                <w:lang w:val="en-US" w:bidi="ar-SA"/>
                <w14:textFill>
                  <w14:solidFill>
                    <w14:schemeClr w14:val="tx1"/>
                  </w14:solidFill>
                </w14:textFill>
              </w:rPr>
              <w:t>给水管件：PVC弯头80个（DN20）</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.4</w:t>
            </w:r>
            <w:r>
              <w:rPr>
                <w:rFonts w:hint="eastAsia"/>
                <w:color w:val="000000" w:themeColor="text1"/>
                <w:sz w:val="21"/>
                <w:szCs w:val="21"/>
                <w:highlight w:val="none"/>
                <w:lang w:val="en-US" w:bidi="ar-SA"/>
                <w14:textFill>
                  <w14:solidFill>
                    <w14:schemeClr w14:val="tx1"/>
                  </w14:solidFill>
                </w14:textFill>
              </w:rPr>
              <w:t>排水管：350米（DN50）</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.5</w:t>
            </w:r>
            <w:r>
              <w:rPr>
                <w:rFonts w:hint="eastAsia"/>
                <w:color w:val="000000" w:themeColor="text1"/>
                <w:sz w:val="21"/>
                <w:szCs w:val="21"/>
                <w:highlight w:val="none"/>
                <w:lang w:val="en-US" w:bidi="ar-SA"/>
                <w14:textFill>
                  <w14:solidFill>
                    <w14:schemeClr w14:val="tx1"/>
                  </w14:solidFill>
                </w14:textFill>
              </w:rPr>
              <w:t>排水管件：PVC弯头：80个（DN50）</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.6</w:t>
            </w:r>
            <w:r>
              <w:rPr>
                <w:rFonts w:hint="eastAsia"/>
                <w:color w:val="000000" w:themeColor="text1"/>
                <w:sz w:val="21"/>
                <w:szCs w:val="21"/>
                <w:highlight w:val="none"/>
                <w:lang w:val="en-US" w:bidi="ar-SA"/>
                <w14:textFill>
                  <w14:solidFill>
                    <w14:schemeClr w14:val="tx1"/>
                  </w14:solidFill>
                </w14:textFill>
              </w:rPr>
              <w:t>管道支架：15KG</w:t>
            </w:r>
          </w:p>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w:t>
            </w:r>
            <w:r>
              <w:rPr>
                <w:color w:val="000000" w:themeColor="text1"/>
                <w:sz w:val="21"/>
                <w:szCs w:val="21"/>
                <w:highlight w:val="none"/>
                <w:lang w:val="en-US" w:bidi="ar-SA"/>
                <w14:textFill>
                  <w14:solidFill>
                    <w14:schemeClr w14:val="tx1"/>
                  </w14:solidFill>
                </w14:textFill>
              </w:rPr>
              <w:t>.7</w:t>
            </w:r>
            <w:r>
              <w:rPr>
                <w:rFonts w:hint="eastAsia"/>
                <w:color w:val="000000" w:themeColor="text1"/>
                <w:sz w:val="21"/>
                <w:szCs w:val="21"/>
                <w:highlight w:val="none"/>
                <w:lang w:val="en-US" w:bidi="ar-SA"/>
                <w14:textFill>
                  <w14:solidFill>
                    <w14:schemeClr w14:val="tx1"/>
                  </w14:solidFill>
                </w14:textFill>
              </w:rPr>
              <w:t>打墙孔：1项</w:t>
            </w:r>
          </w:p>
        </w:tc>
        <w:tc>
          <w:tcPr>
            <w:tcW w:w="200" w:type="pct"/>
            <w:tcBorders>
              <w:top w:val="nil"/>
              <w:left w:val="nil"/>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nil"/>
              <w:bottom w:val="single" w:color="000000" w:sz="8" w:space="0"/>
              <w:right w:val="single" w:color="000000" w:sz="8" w:space="0"/>
            </w:tcBorders>
            <w:shd w:val="clear" w:color="auto" w:fill="auto"/>
            <w:noWrap/>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八、实验室超纯水系统：1套</w:t>
            </w:r>
          </w:p>
        </w:tc>
      </w:tr>
      <w:tr>
        <w:tblPrEx>
          <w:tblCellMar>
            <w:top w:w="0" w:type="dxa"/>
            <w:left w:w="108" w:type="dxa"/>
            <w:bottom w:w="0" w:type="dxa"/>
            <w:right w:w="108" w:type="dxa"/>
          </w:tblCellMar>
        </w:tblPrEx>
        <w:trPr>
          <w:trHeight w:val="90"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实验室纯水系统</w:t>
            </w:r>
          </w:p>
        </w:tc>
        <w:tc>
          <w:tcPr>
            <w:tcW w:w="3183" w:type="pct"/>
            <w:tcBorders>
              <w:top w:val="nil"/>
              <w:left w:val="nil"/>
              <w:bottom w:val="single" w:color="auto" w:sz="4" w:space="0"/>
              <w:right w:val="single" w:color="000000" w:sz="8" w:space="0"/>
            </w:tcBorders>
            <w:shd w:val="clear" w:color="auto" w:fill="auto"/>
          </w:tcPr>
          <w:p>
            <w:pPr>
              <w:rPr>
                <w:color w:val="000000" w:themeColor="text1"/>
                <w:sz w:val="21"/>
                <w:szCs w:val="21"/>
                <w:highlight w:val="none"/>
                <w:lang w:val="en-US" w:bidi="ar-SA"/>
                <w14:textFill>
                  <w14:solidFill>
                    <w14:schemeClr w14:val="tx1"/>
                  </w14:solidFill>
                </w14:textFill>
              </w:rPr>
            </w:pPr>
            <w:r>
              <w:rPr>
                <w:rFonts w:hint="eastAsia"/>
                <w:b/>
                <w:color w:val="000000" w:themeColor="text1"/>
                <w:sz w:val="21"/>
                <w:highlight w:val="none"/>
                <w14:textFill>
                  <w14:solidFill>
                    <w14:schemeClr w14:val="tx1"/>
                  </w14:solidFill>
                </w14:textFill>
              </w:rPr>
              <w:t>主要技术参数</w:t>
            </w:r>
            <w:r>
              <w:rPr>
                <w:rFonts w:hint="eastAsia"/>
                <w:b/>
                <w:color w:val="000000" w:themeColor="text1"/>
                <w:sz w:val="21"/>
                <w:szCs w:val="21"/>
                <w:highlight w:val="none"/>
                <w:lang w:val="en-US" w:bidi="ar-SA"/>
                <w14:textFill>
                  <w14:solidFill>
                    <w14:schemeClr w14:val="tx1"/>
                  </w14:solidFill>
                </w14:textFill>
              </w:rPr>
              <w:t>等要求详见《附件</w:t>
            </w:r>
            <w:r>
              <w:rPr>
                <w:b/>
                <w:color w:val="000000" w:themeColor="text1"/>
                <w:sz w:val="21"/>
                <w:szCs w:val="21"/>
                <w:highlight w:val="none"/>
                <w:lang w:val="en-US" w:bidi="ar-SA"/>
                <w14:textFill>
                  <w14:solidFill>
                    <w14:schemeClr w14:val="tx1"/>
                  </w14:solidFill>
                </w14:textFill>
              </w:rPr>
              <w:t>1：需求方案</w:t>
            </w:r>
            <w:r>
              <w:rPr>
                <w:rFonts w:hint="eastAsia"/>
                <w:b/>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46" w:hRule="atLeast"/>
        </w:trPr>
        <w:tc>
          <w:tcPr>
            <w:tcW w:w="257"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2</w:t>
            </w:r>
          </w:p>
        </w:tc>
        <w:tc>
          <w:tcPr>
            <w:tcW w:w="1109" w:type="pct"/>
            <w:gridSpan w:val="3"/>
            <w:tcBorders>
              <w:top w:val="single" w:color="auto" w:sz="4" w:space="0"/>
              <w:left w:val="single" w:color="auto" w:sz="4" w:space="0"/>
              <w:bottom w:val="single" w:color="auto" w:sz="4" w:space="0"/>
              <w:right w:val="single" w:color="auto" w:sz="4" w:space="0"/>
            </w:tcBorders>
            <w:vAlign w:val="center"/>
          </w:tcPr>
          <w:p>
            <w:pPr>
              <w:widowControl/>
              <w:autoSpaceDE/>
              <w:autoSpaceDN/>
              <w:ind w:firstLine="210" w:firstLineChars="100"/>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纯水管道及配件</w:t>
            </w:r>
          </w:p>
        </w:tc>
        <w:tc>
          <w:tcPr>
            <w:tcW w:w="3183" w:type="pct"/>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sz w:val="21"/>
                <w:szCs w:val="21"/>
                <w:highlight w:val="none"/>
                <w:lang w:val="en-US" w:bidi="ar-SA"/>
                <w14:textFill>
                  <w14:solidFill>
                    <w14:schemeClr w14:val="tx1"/>
                  </w14:solidFill>
                </w14:textFill>
              </w:rPr>
            </w:pPr>
            <w:r>
              <w:rPr>
                <w:rFonts w:hint="eastAsia"/>
                <w:color w:val="000000" w:themeColor="text1"/>
                <w:sz w:val="21"/>
                <w:highlight w:val="none"/>
                <w14:textFill>
                  <w14:solidFill>
                    <w14:schemeClr w14:val="tx1"/>
                  </w14:solidFill>
                </w14:textFill>
              </w:rPr>
              <w:t>含DN80/DN65控制阀组、本体管阀件DN65\PN20、高低压保护开关JC206/JC220等</w:t>
            </w:r>
          </w:p>
        </w:tc>
        <w:tc>
          <w:tcPr>
            <w:tcW w:w="200" w:type="pct"/>
            <w:tcBorders>
              <w:top w:val="single" w:color="auto" w:sz="4" w:space="0"/>
              <w:left w:val="single" w:color="auto" w:sz="4" w:space="0"/>
              <w:bottom w:val="single" w:color="auto" w:sz="4" w:space="0"/>
              <w:right w:val="single" w:color="auto" w:sz="4"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项</w:t>
            </w:r>
          </w:p>
        </w:tc>
        <w:tc>
          <w:tcPr>
            <w:tcW w:w="249" w:type="pct"/>
            <w:tcBorders>
              <w:top w:val="single" w:color="auto" w:sz="4" w:space="0"/>
              <w:left w:val="single" w:color="auto" w:sz="4" w:space="0"/>
              <w:bottom w:val="single" w:color="auto" w:sz="4" w:space="0"/>
              <w:right w:val="single" w:color="auto" w:sz="4"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5000" w:type="pct"/>
            <w:gridSpan w:val="7"/>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autoSpaceDE/>
              <w:autoSpaceDN/>
              <w:rPr>
                <w:b/>
                <w:bCs/>
                <w:color w:val="000000" w:themeColor="text1"/>
                <w:sz w:val="21"/>
                <w:szCs w:val="21"/>
                <w:highlight w:val="none"/>
                <w:lang w:val="en-US" w:bidi="ar-SA"/>
                <w14:textFill>
                  <w14:solidFill>
                    <w14:schemeClr w14:val="tx1"/>
                  </w14:solidFill>
                </w14:textFill>
              </w:rPr>
            </w:pPr>
            <w:r>
              <w:rPr>
                <w:rFonts w:hint="eastAsia"/>
                <w:b/>
                <w:bCs/>
                <w:color w:val="000000" w:themeColor="text1"/>
                <w:sz w:val="21"/>
                <w:szCs w:val="21"/>
                <w:highlight w:val="none"/>
                <w:lang w:val="en-US" w:bidi="ar-SA"/>
                <w14:textFill>
                  <w14:solidFill>
                    <w14:schemeClr w14:val="tx1"/>
                  </w14:solidFill>
                </w14:textFill>
              </w:rPr>
              <w:t>九、实验室监控及门禁系统：1套</w:t>
            </w:r>
          </w:p>
        </w:tc>
      </w:tr>
      <w:tr>
        <w:tblPrEx>
          <w:tblCellMar>
            <w:top w:w="0" w:type="dxa"/>
            <w:left w:w="108" w:type="dxa"/>
            <w:bottom w:w="0" w:type="dxa"/>
            <w:right w:w="108" w:type="dxa"/>
          </w:tblCellMar>
        </w:tblPrEx>
        <w:trPr>
          <w:trHeight w:val="923" w:hRule="atLeast"/>
        </w:trPr>
        <w:tc>
          <w:tcPr>
            <w:tcW w:w="257"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1</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监控系统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b/>
                <w:color w:val="000000" w:themeColor="text1"/>
                <w:sz w:val="21"/>
                <w:highlight w:val="none"/>
                <w14:textFill>
                  <w14:solidFill>
                    <w14:schemeClr w14:val="tx1"/>
                  </w14:solidFill>
                </w14:textFill>
              </w:rPr>
              <w:t>主要技术参数</w:t>
            </w:r>
            <w:r>
              <w:rPr>
                <w:rFonts w:hint="eastAsia"/>
                <w:b/>
                <w:color w:val="000000" w:themeColor="text1"/>
                <w:sz w:val="21"/>
                <w:szCs w:val="21"/>
                <w:highlight w:val="none"/>
                <w:lang w:val="en-US" w:bidi="ar-SA"/>
                <w14:textFill>
                  <w14:solidFill>
                    <w14:schemeClr w14:val="tx1"/>
                  </w14:solidFill>
                </w14:textFill>
              </w:rPr>
              <w:t>等要求详见《附件</w:t>
            </w:r>
            <w:r>
              <w:rPr>
                <w:b/>
                <w:color w:val="000000" w:themeColor="text1"/>
                <w:sz w:val="21"/>
                <w:szCs w:val="21"/>
                <w:highlight w:val="none"/>
                <w:lang w:val="en-US" w:bidi="ar-SA"/>
                <w14:textFill>
                  <w14:solidFill>
                    <w14:schemeClr w14:val="tx1"/>
                  </w14:solidFill>
                </w14:textFill>
              </w:rPr>
              <w:t>1：需求方案</w:t>
            </w:r>
            <w:r>
              <w:rPr>
                <w:rFonts w:hint="eastAsia"/>
                <w:b/>
                <w:color w:val="000000" w:themeColor="text1"/>
                <w:sz w:val="21"/>
                <w:szCs w:val="21"/>
                <w:highlight w:val="none"/>
                <w:lang w:val="en-US" w:bidi="ar-SA"/>
                <w14:textFill>
                  <w14:solidFill>
                    <w14:schemeClr w14:val="tx1"/>
                  </w14:solidFill>
                </w14:textFill>
              </w:rPr>
              <w:t>》</w:t>
            </w:r>
          </w:p>
        </w:tc>
        <w:tc>
          <w:tcPr>
            <w:tcW w:w="200"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tcBorders>
              <w:top w:val="nil"/>
              <w:left w:val="single" w:color="000000" w:sz="8" w:space="0"/>
              <w:bottom w:val="single" w:color="000000" w:sz="8" w:space="0"/>
              <w:right w:val="single" w:color="000000" w:sz="8" w:space="0"/>
            </w:tcBorders>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2</w:t>
            </w:r>
          </w:p>
        </w:tc>
        <w:tc>
          <w:tcPr>
            <w:tcW w:w="1109" w:type="pct"/>
            <w:gridSpan w:val="3"/>
            <w:tcBorders>
              <w:top w:val="single" w:color="000000" w:sz="8" w:space="0"/>
              <w:left w:val="single" w:color="000000" w:sz="8" w:space="0"/>
              <w:bottom w:val="single" w:color="000000" w:sz="8" w:space="0"/>
              <w:right w:val="single" w:color="000000" w:sz="8" w:space="0"/>
            </w:tcBorders>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门禁系统</w:t>
            </w:r>
          </w:p>
        </w:tc>
        <w:tc>
          <w:tcPr>
            <w:tcW w:w="3183" w:type="pct"/>
            <w:tcBorders>
              <w:top w:val="nil"/>
              <w:left w:val="nil"/>
              <w:bottom w:val="single" w:color="000000" w:sz="8" w:space="0"/>
              <w:right w:val="single" w:color="000000" w:sz="8" w:space="0"/>
            </w:tcBorders>
            <w:shd w:val="clear" w:color="auto" w:fill="auto"/>
            <w:vAlign w:val="center"/>
          </w:tcPr>
          <w:p>
            <w:pPr>
              <w:widowControl/>
              <w:autoSpaceDE/>
              <w:autoSpaceDN/>
              <w:jc w:val="both"/>
              <w:rPr>
                <w:rFonts w:cs="Calibri" w:asciiTheme="majorEastAsia" w:hAnsiTheme="majorEastAsia" w:eastAsiaTheme="majorEastAsia"/>
                <w:color w:val="000000" w:themeColor="text1"/>
                <w:sz w:val="21"/>
                <w:szCs w:val="21"/>
                <w:highlight w:val="none"/>
                <w:lang w:val="en-US" w:bidi="ar-SA"/>
                <w14:textFill>
                  <w14:solidFill>
                    <w14:schemeClr w14:val="tx1"/>
                  </w14:solidFill>
                </w14:textFill>
              </w:rPr>
            </w:pPr>
            <w:r>
              <w:rPr>
                <w:rFonts w:hint="eastAsia"/>
                <w:b/>
                <w:color w:val="000000" w:themeColor="text1"/>
                <w:sz w:val="21"/>
                <w:highlight w:val="none"/>
                <w14:textFill>
                  <w14:solidFill>
                    <w14:schemeClr w14:val="tx1"/>
                  </w14:solidFill>
                </w14:textFill>
              </w:rPr>
              <w:t>主要技术参数</w:t>
            </w:r>
            <w:r>
              <w:rPr>
                <w:rFonts w:hint="eastAsia"/>
                <w:b/>
                <w:color w:val="000000" w:themeColor="text1"/>
                <w:sz w:val="21"/>
                <w:szCs w:val="21"/>
                <w:highlight w:val="none"/>
                <w:lang w:val="en-US" w:bidi="ar-SA"/>
                <w14:textFill>
                  <w14:solidFill>
                    <w14:schemeClr w14:val="tx1"/>
                  </w14:solidFill>
                </w14:textFill>
              </w:rPr>
              <w:t>等要求详见《附件</w:t>
            </w:r>
            <w:r>
              <w:rPr>
                <w:b/>
                <w:color w:val="000000" w:themeColor="text1"/>
                <w:sz w:val="21"/>
                <w:szCs w:val="21"/>
                <w:highlight w:val="none"/>
                <w:lang w:val="en-US" w:bidi="ar-SA"/>
                <w14:textFill>
                  <w14:solidFill>
                    <w14:schemeClr w14:val="tx1"/>
                  </w14:solidFill>
                </w14:textFill>
              </w:rPr>
              <w:t>1：需求方案</w:t>
            </w:r>
            <w:r>
              <w:rPr>
                <w:rFonts w:hint="eastAsia"/>
                <w:b/>
                <w:color w:val="000000" w:themeColor="text1"/>
                <w:sz w:val="21"/>
                <w:szCs w:val="21"/>
                <w:highlight w:val="none"/>
                <w:lang w:val="en-US" w:bidi="ar-SA"/>
                <w14:textFill>
                  <w14:solidFill>
                    <w14:schemeClr w14:val="tx1"/>
                  </w14:solidFill>
                </w14:textFill>
              </w:rPr>
              <w:t>》</w:t>
            </w:r>
          </w:p>
          <w:p>
            <w:pPr>
              <w:widowControl/>
              <w:autoSpaceDE/>
              <w:autoSpaceDN/>
              <w:jc w:val="both"/>
              <w:rPr>
                <w:rFonts w:cs="Calibri" w:asciiTheme="majorEastAsia" w:hAnsiTheme="majorEastAsia" w:eastAsiaTheme="majorEastAsia"/>
                <w:color w:val="000000" w:themeColor="text1"/>
                <w:sz w:val="21"/>
                <w:szCs w:val="21"/>
                <w:highlight w:val="none"/>
                <w:lang w:val="en-US" w:bidi="ar-SA"/>
                <w14:textFill>
                  <w14:solidFill>
                    <w14:schemeClr w14:val="tx1"/>
                  </w14:solidFill>
                </w14:textFill>
              </w:rPr>
            </w:pPr>
          </w:p>
        </w:tc>
        <w:tc>
          <w:tcPr>
            <w:tcW w:w="200" w:type="pct"/>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nil"/>
              <w:left w:val="single" w:color="000000" w:sz="8" w:space="0"/>
              <w:bottom w:val="single" w:color="000000" w:sz="8" w:space="0"/>
              <w:right w:val="single" w:color="000000" w:sz="8" w:space="0"/>
            </w:tcBorders>
            <w:vAlign w:val="center"/>
          </w:tcPr>
          <w:p>
            <w:pPr>
              <w:widowControl/>
              <w:autoSpaceDE/>
              <w:autoSpaceDN/>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25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rFonts w:ascii="等线" w:hAnsi="等线" w:eastAsia="等线"/>
                <w:color w:val="000000" w:themeColor="text1"/>
                <w:sz w:val="21"/>
                <w:szCs w:val="21"/>
                <w:highlight w:val="none"/>
                <w:lang w:val="en-US" w:bidi="ar-SA"/>
                <w14:textFill>
                  <w14:solidFill>
                    <w14:schemeClr w14:val="tx1"/>
                  </w14:solidFill>
                </w14:textFill>
              </w:rPr>
            </w:pPr>
            <w:r>
              <w:rPr>
                <w:rFonts w:hint="eastAsia" w:ascii="等线" w:hAnsi="等线" w:eastAsia="等线"/>
                <w:color w:val="000000" w:themeColor="text1"/>
                <w:sz w:val="21"/>
                <w:szCs w:val="21"/>
                <w:highlight w:val="none"/>
                <w:lang w:val="en-US" w:bidi="ar-SA"/>
                <w14:textFill>
                  <w14:solidFill>
                    <w14:schemeClr w14:val="tx1"/>
                  </w14:solidFill>
                </w14:textFill>
              </w:rPr>
              <w:t>3</w:t>
            </w:r>
          </w:p>
        </w:tc>
        <w:tc>
          <w:tcPr>
            <w:tcW w:w="1109"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其他辅助设备、材料</w:t>
            </w:r>
          </w:p>
        </w:tc>
        <w:tc>
          <w:tcPr>
            <w:tcW w:w="3183" w:type="pct"/>
            <w:tcBorders>
              <w:top w:val="single" w:color="000000" w:sz="8" w:space="0"/>
              <w:left w:val="nil"/>
              <w:bottom w:val="single" w:color="000000" w:sz="8" w:space="0"/>
              <w:right w:val="single" w:color="000000" w:sz="8" w:space="0"/>
            </w:tcBorders>
            <w:shd w:val="clear" w:color="auto" w:fill="auto"/>
            <w:vAlign w:val="center"/>
          </w:tcPr>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 xml:space="preserve"> </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1</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高功率16口PoE交换机：4台</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2</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服务器机柜（1200*600*600）：2个</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3</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32寸液晶显示器：2台</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4</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16口千兆网络交换机：2台</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5</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开关电源（DC12V/20A）：8个</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6</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室外网线带电源一体线榄：15卷</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7</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护套电源线（RVV2×1.0）：2卷</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8</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PVC管（20MM）：2000米</w:t>
            </w:r>
          </w:p>
          <w:p>
            <w:pPr>
              <w:widowControl/>
              <w:autoSpaceDE/>
              <w:autoSpaceDN/>
              <w:jc w:val="both"/>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pP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9</w:t>
            </w:r>
            <w:r>
              <w:rPr>
                <w:rFonts w:hint="eastAsia" w:cs="Calibri" w:asciiTheme="minorEastAsia" w:hAnsiTheme="minorEastAsia" w:eastAsiaTheme="minorEastAsia"/>
                <w:color w:val="000000" w:themeColor="text1"/>
                <w:sz w:val="21"/>
                <w:szCs w:val="21"/>
                <w:highlight w:val="none"/>
                <w:lang w:val="en-US" w:bidi="ar-SA"/>
                <w14:textFill>
                  <w14:solidFill>
                    <w14:schemeClr w14:val="tx1"/>
                  </w14:solidFill>
                </w14:textFill>
              </w:rPr>
              <w:t>.</w:t>
            </w:r>
            <w:r>
              <w:rPr>
                <w:rFonts w:cs="Calibri" w:asciiTheme="minorEastAsia" w:hAnsiTheme="minorEastAsia" w:eastAsiaTheme="minorEastAsia"/>
                <w:color w:val="000000" w:themeColor="text1"/>
                <w:sz w:val="21"/>
                <w:szCs w:val="21"/>
                <w:highlight w:val="none"/>
                <w:lang w:val="en-US" w:bidi="ar-SA"/>
                <w14:textFill>
                  <w14:solidFill>
                    <w14:schemeClr w14:val="tx1"/>
                  </w14:solidFill>
                </w14:textFill>
              </w:rPr>
              <w:t>其他螺丝、排插、扎带等五金配件：1套</w:t>
            </w:r>
          </w:p>
        </w:tc>
        <w:tc>
          <w:tcPr>
            <w:tcW w:w="2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套</w:t>
            </w:r>
          </w:p>
        </w:tc>
        <w:tc>
          <w:tcPr>
            <w:tcW w:w="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utoSpaceDE/>
              <w:autoSpaceDN/>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w:t>
            </w:r>
          </w:p>
        </w:tc>
      </w:tr>
    </w:tbl>
    <w:p>
      <w:pPr>
        <w:rPr>
          <w:highlight w:val="none"/>
        </w:rPr>
      </w:pPr>
    </w:p>
    <w:p>
      <w:pPr>
        <w:rPr>
          <w:highlight w:val="none"/>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spacing w:before="246" w:line="360" w:lineRule="auto"/>
        <w:ind w:right="9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需求方案</w:t>
      </w:r>
    </w:p>
    <w:p>
      <w:pPr>
        <w:autoSpaceDE/>
        <w:autoSpaceDN/>
        <w:spacing w:before="240" w:after="240" w:line="360" w:lineRule="auto"/>
        <w:ind w:firstLine="361" w:firstLineChars="100"/>
        <w:jc w:val="center"/>
        <w:rPr>
          <w:b/>
          <w:bCs/>
          <w:color w:val="000000" w:themeColor="text1"/>
          <w:kern w:val="2"/>
          <w:sz w:val="36"/>
          <w:szCs w:val="36"/>
          <w:highlight w:val="none"/>
          <w:lang w:val="en-US" w:bidi="ar-SA"/>
          <w14:textFill>
            <w14:solidFill>
              <w14:schemeClr w14:val="tx1"/>
            </w14:solidFill>
          </w14:textFill>
        </w:rPr>
      </w:pPr>
      <w:r>
        <w:rPr>
          <w:rFonts w:hint="eastAsia"/>
          <w:b/>
          <w:bCs/>
          <w:color w:val="000000" w:themeColor="text1"/>
          <w:kern w:val="2"/>
          <w:sz w:val="36"/>
          <w:szCs w:val="36"/>
          <w:highlight w:val="none"/>
          <w:lang w:val="en-US" w:bidi="ar-SA"/>
          <w14:textFill>
            <w14:solidFill>
              <w14:schemeClr w14:val="tx1"/>
            </w14:solidFill>
          </w14:textFill>
        </w:rPr>
        <w:t>自治区桂林生态环境监测中心实验室设备需求方案</w:t>
      </w:r>
    </w:p>
    <w:p>
      <w:pPr>
        <w:autoSpaceDE/>
        <w:autoSpaceDN/>
        <w:spacing w:before="240" w:after="240" w:line="360" w:lineRule="auto"/>
        <w:ind w:firstLine="1687" w:firstLineChars="600"/>
        <w:jc w:val="both"/>
        <w:rPr>
          <w:rFonts w:hAnsi="Calibri" w:cs="Times New Roman"/>
          <w:b/>
          <w:bCs/>
          <w:color w:val="000000" w:themeColor="text1"/>
          <w:kern w:val="2"/>
          <w:sz w:val="28"/>
          <w:szCs w:val="28"/>
          <w:highlight w:val="none"/>
          <w:lang w:val="en-US" w:bidi="ar-SA"/>
          <w14:textFill>
            <w14:solidFill>
              <w14:schemeClr w14:val="tx1"/>
            </w14:solidFill>
          </w14:textFill>
        </w:rPr>
      </w:pPr>
      <w:r>
        <w:rPr>
          <w:rFonts w:hint="eastAsia"/>
          <w:b/>
          <w:bCs/>
          <w:color w:val="000000" w:themeColor="text1"/>
          <w:kern w:val="2"/>
          <w:sz w:val="28"/>
          <w:szCs w:val="28"/>
          <w:highlight w:val="none"/>
          <w:lang w:val="en-US" w:bidi="ar-SA"/>
          <w14:textFill>
            <w14:solidFill>
              <w14:schemeClr w14:val="tx1"/>
            </w14:solidFill>
          </w14:textFill>
        </w:rPr>
        <w:t>地点：</w:t>
      </w:r>
      <w:r>
        <w:rPr>
          <w:rFonts w:hint="eastAsia"/>
          <w:color w:val="000000" w:themeColor="text1"/>
          <w:kern w:val="2"/>
          <w:sz w:val="28"/>
          <w:szCs w:val="28"/>
          <w:highlight w:val="none"/>
          <w:lang w:val="en-US" w:bidi="ar-SA"/>
          <w14:textFill>
            <w14:solidFill>
              <w14:schemeClr w14:val="tx1"/>
            </w14:solidFill>
          </w14:textFill>
        </w:rPr>
        <w:t>广西桂林市临桂区桂林市交通运输枢纽指挥中心2号楼</w:t>
      </w:r>
    </w:p>
    <w:p>
      <w:pPr>
        <w:autoSpaceDE/>
        <w:autoSpaceDN/>
        <w:spacing w:before="240" w:after="240" w:line="360" w:lineRule="auto"/>
        <w:ind w:firstLine="1687" w:firstLineChars="600"/>
        <w:jc w:val="both"/>
        <w:rPr>
          <w:rFonts w:hAnsi="Calibri" w:cs="Times New Roman"/>
          <w:color w:val="000000" w:themeColor="text1"/>
          <w:kern w:val="2"/>
          <w:sz w:val="28"/>
          <w:szCs w:val="28"/>
          <w:highlight w:val="none"/>
          <w:lang w:val="en-US" w:bidi="ar-SA"/>
          <w14:textFill>
            <w14:solidFill>
              <w14:schemeClr w14:val="tx1"/>
            </w14:solidFill>
          </w14:textFill>
        </w:rPr>
      </w:pPr>
      <w:r>
        <w:rPr>
          <w:rFonts w:hint="eastAsia"/>
          <w:b/>
          <w:bCs/>
          <w:color w:val="000000" w:themeColor="text1"/>
          <w:kern w:val="2"/>
          <w:sz w:val="28"/>
          <w:szCs w:val="28"/>
          <w:highlight w:val="none"/>
          <w:lang w:val="en-US" w:bidi="ar-SA"/>
          <w14:textFill>
            <w14:solidFill>
              <w14:schemeClr w14:val="tx1"/>
            </w14:solidFill>
          </w14:textFill>
        </w:rPr>
        <w:t>内容：</w:t>
      </w:r>
      <w:r>
        <w:rPr>
          <w:rFonts w:hint="eastAsia"/>
          <w:color w:val="000000" w:themeColor="text1"/>
          <w:kern w:val="2"/>
          <w:sz w:val="28"/>
          <w:szCs w:val="28"/>
          <w:highlight w:val="none"/>
          <w:lang w:val="en-US" w:bidi="ar-SA"/>
          <w14:textFill>
            <w14:solidFill>
              <w14:schemeClr w14:val="tx1"/>
            </w14:solidFill>
          </w14:textFill>
        </w:rPr>
        <w:t>实验室台柜系统设备</w:t>
      </w:r>
    </w:p>
    <w:p>
      <w:pPr>
        <w:autoSpaceDE/>
        <w:autoSpaceDN/>
        <w:spacing w:before="240" w:after="240"/>
        <w:ind w:firstLine="2520" w:firstLineChars="900"/>
        <w:jc w:val="both"/>
        <w:rPr>
          <w:rFonts w:hAnsi="Calibri" w:cs="Times New Roman"/>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实验室通风废气处理系统设备</w:t>
      </w:r>
    </w:p>
    <w:p>
      <w:pPr>
        <w:autoSpaceDE/>
        <w:autoSpaceDN/>
        <w:spacing w:before="240" w:after="240"/>
        <w:ind w:firstLine="2520" w:firstLineChars="900"/>
        <w:rPr>
          <w:rFonts w:hAnsi="Calibri" w:cs="Times New Roman"/>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管道集中供气系统设备</w:t>
      </w:r>
    </w:p>
    <w:p>
      <w:pPr>
        <w:autoSpaceDE/>
        <w:autoSpaceDN/>
        <w:spacing w:before="240" w:after="240"/>
        <w:ind w:firstLine="2520" w:firstLineChars="900"/>
        <w:rPr>
          <w:rFonts w:hAnsi="Calibri" w:cs="Times New Roman"/>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实验室供电、供水排水系统设备</w:t>
      </w:r>
    </w:p>
    <w:p>
      <w:pPr>
        <w:autoSpaceDE/>
        <w:autoSpaceDN/>
        <w:spacing w:before="240" w:after="240"/>
        <w:ind w:firstLine="2520" w:firstLineChars="900"/>
        <w:rPr>
          <w:rFonts w:hAnsi="Calibri" w:cs="Times New Roman"/>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实验室废水处理系统设备</w:t>
      </w:r>
    </w:p>
    <w:p>
      <w:pPr>
        <w:autoSpaceDE/>
        <w:autoSpaceDN/>
        <w:spacing w:before="240" w:after="240"/>
        <w:ind w:firstLine="2520" w:firstLineChars="900"/>
        <w:rPr>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实验室隔断及净化空调系统设备</w:t>
      </w:r>
    </w:p>
    <w:p>
      <w:pPr>
        <w:autoSpaceDE/>
        <w:autoSpaceDN/>
        <w:spacing w:before="240" w:after="240"/>
        <w:ind w:firstLine="2520" w:firstLineChars="900"/>
        <w:rPr>
          <w:color w:val="000000" w:themeColor="text1"/>
          <w:kern w:val="2"/>
          <w:sz w:val="28"/>
          <w:szCs w:val="28"/>
          <w:highlight w:val="none"/>
          <w:lang w:val="en-US" w:bidi="ar-SA"/>
          <w14:textFill>
            <w14:solidFill>
              <w14:schemeClr w14:val="tx1"/>
            </w14:solidFill>
          </w14:textFill>
        </w:rPr>
      </w:pPr>
      <w:r>
        <w:rPr>
          <w:rFonts w:hint="eastAsia"/>
          <w:color w:val="000000" w:themeColor="text1"/>
          <w:kern w:val="2"/>
          <w:sz w:val="28"/>
          <w:szCs w:val="28"/>
          <w:highlight w:val="none"/>
          <w:lang w:val="en-US" w:bidi="ar-SA"/>
          <w14:textFill>
            <w14:solidFill>
              <w14:schemeClr w14:val="tx1"/>
            </w14:solidFill>
          </w14:textFill>
        </w:rPr>
        <w:t>实验室纯水系统设备</w:t>
      </w:r>
    </w:p>
    <w:p>
      <w:pPr>
        <w:autoSpaceDE/>
        <w:autoSpaceDN/>
        <w:spacing w:before="240" w:after="240"/>
        <w:ind w:firstLine="2520" w:firstLineChars="900"/>
        <w:rPr>
          <w:color w:val="000000" w:themeColor="text1"/>
          <w:kern w:val="2"/>
          <w:sz w:val="28"/>
          <w:szCs w:val="28"/>
          <w:highlight w:val="none"/>
          <w:lang w:val="en-US" w:bidi="ar-SA"/>
          <w14:textFill>
            <w14:solidFill>
              <w14:schemeClr w14:val="tx1"/>
            </w14:solidFill>
          </w14:textFill>
        </w:rPr>
        <w:sectPr>
          <w:headerReference r:id="rId7" w:type="default"/>
          <w:footerReference r:id="rId8" w:type="default"/>
          <w:pgSz w:w="11900" w:h="16840"/>
          <w:pgMar w:top="1440" w:right="1080" w:bottom="1440" w:left="1080" w:header="720" w:footer="720" w:gutter="0"/>
          <w:cols w:space="720" w:num="1"/>
        </w:sectPr>
      </w:pPr>
      <w:r>
        <w:rPr>
          <w:rFonts w:hint="eastAsia"/>
          <w:color w:val="000000" w:themeColor="text1"/>
          <w:kern w:val="2"/>
          <w:sz w:val="28"/>
          <w:szCs w:val="28"/>
          <w:highlight w:val="none"/>
          <w:lang w:val="en-US" w:bidi="ar-SA"/>
          <w14:textFill>
            <w14:solidFill>
              <w14:schemeClr w14:val="tx1"/>
            </w14:solidFill>
          </w14:textFill>
        </w:rPr>
        <w:t>实验室门禁及监控系统设备</w:t>
      </w:r>
    </w:p>
    <w:p>
      <w:pPr>
        <w:keepNext/>
        <w:keepLines/>
        <w:numPr>
          <w:ilvl w:val="0"/>
          <w:numId w:val="23"/>
        </w:numPr>
        <w:autoSpaceDE/>
        <w:autoSpaceDN/>
        <w:spacing w:before="100" w:after="100" w:line="579" w:lineRule="auto"/>
        <w:ind w:left="420"/>
        <w:jc w:val="both"/>
        <w:outlineLvl w:val="0"/>
        <w:rPr>
          <w:rFonts w:hAnsi="Calibri" w:cs="Times New Roman"/>
          <w:b/>
          <w:bCs/>
          <w:color w:val="000000" w:themeColor="text1"/>
          <w:kern w:val="44"/>
          <w:sz w:val="24"/>
          <w:szCs w:val="24"/>
          <w:highlight w:val="none"/>
          <w:lang w:val="en-US" w:bidi="ar-SA"/>
          <w14:textFill>
            <w14:solidFill>
              <w14:schemeClr w14:val="tx1"/>
            </w14:solidFill>
          </w14:textFill>
        </w:rPr>
      </w:pPr>
      <w:bookmarkStart w:id="25" w:name="_Toc458_WPSOffice_Level1"/>
      <w:r>
        <w:rPr>
          <w:rFonts w:hint="eastAsia"/>
          <w:b/>
          <w:bCs/>
          <w:color w:val="000000" w:themeColor="text1"/>
          <w:kern w:val="44"/>
          <w:sz w:val="24"/>
          <w:szCs w:val="24"/>
          <w:highlight w:val="none"/>
          <w:lang w:val="en-US" w:bidi="ar-SA"/>
          <w14:textFill>
            <w14:solidFill>
              <w14:schemeClr w14:val="tx1"/>
            </w14:solidFill>
          </w14:textFill>
        </w:rPr>
        <w:t>实验室方案概况</w:t>
      </w:r>
      <w:bookmarkEnd w:id="25"/>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本大楼共</w:t>
      </w:r>
      <w:r>
        <w:rPr>
          <w:color w:val="000000" w:themeColor="text1"/>
          <w:kern w:val="2"/>
          <w:sz w:val="24"/>
          <w:szCs w:val="24"/>
          <w:highlight w:val="none"/>
          <w:lang w:val="en-US" w:bidi="ar-SA"/>
          <w14:textFill>
            <w14:solidFill>
              <w14:schemeClr w14:val="tx1"/>
            </w14:solidFill>
          </w14:textFill>
        </w:rPr>
        <w:t>14</w:t>
      </w:r>
      <w:r>
        <w:rPr>
          <w:rFonts w:hint="eastAsia"/>
          <w:color w:val="000000" w:themeColor="text1"/>
          <w:kern w:val="2"/>
          <w:sz w:val="24"/>
          <w:szCs w:val="24"/>
          <w:highlight w:val="none"/>
          <w:lang w:val="en-US" w:bidi="ar-SA"/>
          <w14:textFill>
            <w14:solidFill>
              <w14:schemeClr w14:val="tx1"/>
            </w14:solidFill>
          </w14:textFill>
        </w:rPr>
        <w:t>层，实验室位于第</w:t>
      </w:r>
      <w:r>
        <w:rPr>
          <w:color w:val="000000" w:themeColor="text1"/>
          <w:kern w:val="2"/>
          <w:sz w:val="24"/>
          <w:szCs w:val="24"/>
          <w:highlight w:val="none"/>
          <w:lang w:val="en-US" w:bidi="ar-SA"/>
          <w14:textFill>
            <w14:solidFill>
              <w14:schemeClr w14:val="tx1"/>
            </w14:solidFill>
          </w14:textFill>
        </w:rPr>
        <w:t>13</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14</w:t>
      </w:r>
      <w:r>
        <w:rPr>
          <w:rFonts w:hint="eastAsia"/>
          <w:color w:val="000000" w:themeColor="text1"/>
          <w:kern w:val="2"/>
          <w:sz w:val="24"/>
          <w:szCs w:val="24"/>
          <w:highlight w:val="none"/>
          <w:lang w:val="en-US" w:bidi="ar-SA"/>
          <w14:textFill>
            <w14:solidFill>
              <w14:schemeClr w14:val="tx1"/>
            </w14:solidFill>
          </w14:textFill>
        </w:rPr>
        <w:t>层。经现场勘察，实验室建筑主体为钢筋混凝土框架结构</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在不改变主体框架结构和不增加荷载的基础上，</w:t>
      </w:r>
      <w:r>
        <w:rPr>
          <w:color w:val="000000" w:themeColor="text1"/>
          <w:kern w:val="2"/>
          <w:sz w:val="24"/>
          <w:szCs w:val="24"/>
          <w:highlight w:val="none"/>
          <w:lang w:val="en-US" w:bidi="ar-SA"/>
          <w14:textFill>
            <w14:solidFill>
              <w14:schemeClr w14:val="tx1"/>
            </w14:solidFill>
          </w14:textFill>
        </w:rPr>
        <w:t>13</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14</w:t>
      </w:r>
      <w:r>
        <w:rPr>
          <w:rFonts w:hint="eastAsia"/>
          <w:color w:val="000000" w:themeColor="text1"/>
          <w:kern w:val="2"/>
          <w:sz w:val="24"/>
          <w:szCs w:val="24"/>
          <w:highlight w:val="none"/>
          <w:lang w:val="en-US" w:bidi="ar-SA"/>
          <w14:textFill>
            <w14:solidFill>
              <w14:schemeClr w14:val="tx1"/>
            </w14:solidFill>
          </w14:textFill>
        </w:rPr>
        <w:t>层实验用房将设计成集实验台柜系统、实验室通风废气处理系统、管道气路系统、供电供水排水敷设系统、废水处理系统、纯水系统、实验室监控门禁系统以及实验室的隔断及净化空调系统等功能体系的综合生态环境实验室。</w:t>
      </w:r>
      <w:bookmarkStart w:id="26" w:name="_Toc14305_WPSOffice_Level2"/>
      <w:bookmarkStart w:id="27" w:name="_Toc10603_WPSOffice_Level2"/>
      <w:bookmarkStart w:id="28" w:name="_Toc11105_WPSOffice_Level2"/>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bookmarkStart w:id="29" w:name="_Toc23498_WPSOffice_Level2"/>
      <w:r>
        <w:rPr>
          <w:rFonts w:hint="eastAsia"/>
          <w:color w:val="000000" w:themeColor="text1"/>
          <w:kern w:val="2"/>
          <w:sz w:val="24"/>
          <w:szCs w:val="24"/>
          <w:highlight w:val="none"/>
          <w:lang w:val="en-US" w:bidi="ar-SA"/>
          <w14:textFill>
            <w14:solidFill>
              <w14:schemeClr w14:val="tx1"/>
            </w14:solidFill>
          </w14:textFill>
        </w:rPr>
        <w:t>目前实验室整体功能系统设备分有如下</w:t>
      </w:r>
      <w:r>
        <w:rPr>
          <w:rFonts w:hint="eastAsia"/>
          <w:b/>
          <w:bCs/>
          <w:color w:val="000000" w:themeColor="text1"/>
          <w:kern w:val="2"/>
          <w:sz w:val="24"/>
          <w:szCs w:val="24"/>
          <w:highlight w:val="none"/>
          <w:lang w:val="en-US" w:bidi="ar-SA"/>
          <w14:textFill>
            <w14:solidFill>
              <w14:schemeClr w14:val="tx1"/>
            </w14:solidFill>
          </w14:textFill>
        </w:rPr>
        <w:t>9</w:t>
      </w:r>
      <w:r>
        <w:rPr>
          <w:rFonts w:hint="eastAsia"/>
          <w:color w:val="000000" w:themeColor="text1"/>
          <w:kern w:val="2"/>
          <w:sz w:val="24"/>
          <w:szCs w:val="24"/>
          <w:highlight w:val="none"/>
          <w:lang w:val="en-US" w:bidi="ar-SA"/>
          <w14:textFill>
            <w14:solidFill>
              <w14:schemeClr w14:val="tx1"/>
            </w14:solidFill>
          </w14:textFill>
        </w:rPr>
        <w:t>个部分：</w:t>
      </w:r>
      <w:bookmarkEnd w:id="26"/>
      <w:bookmarkEnd w:id="27"/>
      <w:bookmarkEnd w:id="28"/>
      <w:bookmarkEnd w:id="29"/>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0" w:name="_Toc2008_WPSOffice_Level2"/>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、实验室台柜系统设备</w:t>
      </w:r>
      <w:bookmarkEnd w:id="30"/>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1" w:name="_Toc21551_WPSOffice_Level2"/>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、实验室通风废气处理系统设备</w:t>
      </w:r>
      <w:bookmarkEnd w:id="31"/>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2" w:name="_Toc11415_WPSOffice_Level2"/>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、实验室集中供气系统设备</w:t>
      </w:r>
      <w:bookmarkEnd w:id="32"/>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3" w:name="_Toc8267_WPSOffice_Level2"/>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、实验室废水处理系统设备</w:t>
      </w:r>
      <w:bookmarkEnd w:id="33"/>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4" w:name="_Toc28374_WPSOffice_Level2"/>
      <w:r>
        <w:rPr>
          <w:color w:val="000000" w:themeColor="text1"/>
          <w:kern w:val="2"/>
          <w:sz w:val="24"/>
          <w:szCs w:val="24"/>
          <w:highlight w:val="none"/>
          <w:lang w:val="en-US" w:bidi="ar-SA"/>
          <w14:textFill>
            <w14:solidFill>
              <w14:schemeClr w14:val="tx1"/>
            </w14:solidFill>
          </w14:textFill>
        </w:rPr>
        <w:t>5</w:t>
      </w:r>
      <w:r>
        <w:rPr>
          <w:rFonts w:hint="eastAsia"/>
          <w:color w:val="000000" w:themeColor="text1"/>
          <w:kern w:val="2"/>
          <w:sz w:val="24"/>
          <w:szCs w:val="24"/>
          <w:highlight w:val="none"/>
          <w:lang w:val="en-US" w:bidi="ar-SA"/>
          <w14:textFill>
            <w14:solidFill>
              <w14:schemeClr w14:val="tx1"/>
            </w14:solidFill>
          </w14:textFill>
        </w:rPr>
        <w:t>、实验室隔断及净化空调系统设备</w:t>
      </w:r>
      <w:bookmarkEnd w:id="34"/>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5" w:name="_Toc25839_WPSOffice_Level2"/>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、实验室给排水系统设备</w:t>
      </w:r>
      <w:bookmarkEnd w:id="35"/>
    </w:p>
    <w:p>
      <w:pPr>
        <w:autoSpaceDE/>
        <w:autoSpaceDN/>
        <w:spacing w:before="240" w:after="240" w:line="360" w:lineRule="auto"/>
        <w:jc w:val="both"/>
        <w:rPr>
          <w:color w:val="000000" w:themeColor="text1"/>
          <w:kern w:val="2"/>
          <w:sz w:val="24"/>
          <w:szCs w:val="24"/>
          <w:highlight w:val="none"/>
          <w:lang w:val="en-US" w:bidi="ar-SA"/>
          <w14:textFill>
            <w14:solidFill>
              <w14:schemeClr w14:val="tx1"/>
            </w14:solidFill>
          </w14:textFill>
        </w:rPr>
      </w:pPr>
      <w:bookmarkStart w:id="36" w:name="_Toc362_WPSOffice_Level2"/>
      <w:r>
        <w:rPr>
          <w:color w:val="000000" w:themeColor="text1"/>
          <w:kern w:val="2"/>
          <w:sz w:val="24"/>
          <w:szCs w:val="24"/>
          <w:highlight w:val="none"/>
          <w:lang w:val="en-US" w:bidi="ar-SA"/>
          <w14:textFill>
            <w14:solidFill>
              <w14:schemeClr w14:val="tx1"/>
            </w14:solidFill>
          </w14:textFill>
        </w:rPr>
        <w:t>7</w:t>
      </w:r>
      <w:r>
        <w:rPr>
          <w:rFonts w:hint="eastAsia"/>
          <w:color w:val="000000" w:themeColor="text1"/>
          <w:kern w:val="2"/>
          <w:sz w:val="24"/>
          <w:szCs w:val="24"/>
          <w:highlight w:val="none"/>
          <w:lang w:val="en-US" w:bidi="ar-SA"/>
          <w14:textFill>
            <w14:solidFill>
              <w14:schemeClr w14:val="tx1"/>
            </w14:solidFill>
          </w14:textFill>
        </w:rPr>
        <w:t>、实验室电气系统设备</w:t>
      </w:r>
      <w:bookmarkEnd w:id="36"/>
    </w:p>
    <w:p>
      <w:pPr>
        <w:autoSpaceDE/>
        <w:autoSpaceDN/>
        <w:spacing w:before="240" w:after="240" w:line="360" w:lineRule="auto"/>
        <w:jc w:val="both"/>
        <w:rPr>
          <w:color w:val="000000" w:themeColor="text1"/>
          <w:kern w:val="2"/>
          <w:sz w:val="24"/>
          <w:szCs w:val="24"/>
          <w:highlight w:val="none"/>
          <w:lang w:val="en-US" w:bidi="ar-SA"/>
          <w14:textFill>
            <w14:solidFill>
              <w14:schemeClr w14:val="tx1"/>
            </w14:solidFill>
          </w14:textFill>
        </w:rPr>
      </w:pPr>
      <w:bookmarkStart w:id="37" w:name="_Toc980_WPSOffice_Level2"/>
      <w:r>
        <w:rPr>
          <w:rFonts w:hint="eastAsia"/>
          <w:color w:val="000000" w:themeColor="text1"/>
          <w:kern w:val="2"/>
          <w:sz w:val="24"/>
          <w:szCs w:val="24"/>
          <w:highlight w:val="none"/>
          <w:lang w:val="en-US" w:bidi="ar-SA"/>
          <w14:textFill>
            <w14:solidFill>
              <w14:schemeClr w14:val="tx1"/>
            </w14:solidFill>
          </w14:textFill>
        </w:rPr>
        <w:t>8、实验室纯水系统设备</w:t>
      </w:r>
      <w:bookmarkEnd w:id="37"/>
    </w:p>
    <w:p>
      <w:pPr>
        <w:autoSpaceDE/>
        <w:autoSpaceDN/>
        <w:spacing w:before="240" w:after="240" w:line="360" w:lineRule="auto"/>
        <w:jc w:val="both"/>
        <w:rPr>
          <w:color w:val="000000" w:themeColor="text1"/>
          <w:kern w:val="2"/>
          <w:sz w:val="24"/>
          <w:szCs w:val="24"/>
          <w:highlight w:val="none"/>
          <w:lang w:val="en-US" w:bidi="ar-SA"/>
          <w14:textFill>
            <w14:solidFill>
              <w14:schemeClr w14:val="tx1"/>
            </w14:solidFill>
          </w14:textFill>
        </w:rPr>
      </w:pPr>
      <w:bookmarkStart w:id="38" w:name="_Toc14455_WPSOffice_Level2"/>
      <w:r>
        <w:rPr>
          <w:rFonts w:hint="eastAsia"/>
          <w:color w:val="000000" w:themeColor="text1"/>
          <w:kern w:val="2"/>
          <w:sz w:val="24"/>
          <w:szCs w:val="24"/>
          <w:highlight w:val="none"/>
          <w:lang w:val="en-US" w:bidi="ar-SA"/>
          <w14:textFill>
            <w14:solidFill>
              <w14:schemeClr w14:val="tx1"/>
            </w14:solidFill>
          </w14:textFill>
        </w:rPr>
        <w:t>9、实验室监控及门禁系统设备</w:t>
      </w:r>
      <w:bookmarkEnd w:id="38"/>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39" w:name="_Toc23706_WPSOffice_Level1"/>
      <w:r>
        <w:rPr>
          <w:rFonts w:hint="eastAsia"/>
          <w:b/>
          <w:bCs/>
          <w:color w:val="000000" w:themeColor="text1"/>
          <w:kern w:val="2"/>
          <w:sz w:val="24"/>
          <w:szCs w:val="24"/>
          <w:highlight w:val="none"/>
          <w:lang w:val="en-US" w:bidi="ar-SA"/>
          <w14:textFill>
            <w14:solidFill>
              <w14:schemeClr w14:val="tx1"/>
            </w14:solidFill>
          </w14:textFill>
        </w:rPr>
        <w:t>二、实验室方案的系统设备功能概述</w:t>
      </w:r>
      <w:bookmarkEnd w:id="39"/>
    </w:p>
    <w:p>
      <w:pPr>
        <w:autoSpaceDE/>
        <w:autoSpaceDN/>
        <w:spacing w:before="240" w:after="240" w:line="360" w:lineRule="auto"/>
        <w:ind w:firstLine="723" w:firstLineChars="300"/>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0" w:name="_Toc2304_WPSOffice_Level2"/>
      <w:r>
        <w:rPr>
          <w:b/>
          <w:bCs/>
          <w:color w:val="000000" w:themeColor="text1"/>
          <w:kern w:val="2"/>
          <w:sz w:val="24"/>
          <w:szCs w:val="24"/>
          <w:highlight w:val="none"/>
          <w:lang w:val="en-US" w:bidi="ar-SA"/>
          <w14:textFill>
            <w14:solidFill>
              <w14:schemeClr w14:val="tx1"/>
            </w14:solidFill>
          </w14:textFill>
        </w:rPr>
        <w:t>1</w:t>
      </w:r>
      <w:r>
        <w:rPr>
          <w:rFonts w:hint="eastAsia"/>
          <w:b/>
          <w:bCs/>
          <w:color w:val="000000" w:themeColor="text1"/>
          <w:kern w:val="2"/>
          <w:sz w:val="24"/>
          <w:szCs w:val="24"/>
          <w:highlight w:val="none"/>
          <w:lang w:val="en-US" w:bidi="ar-SA"/>
          <w14:textFill>
            <w14:solidFill>
              <w14:schemeClr w14:val="tx1"/>
            </w14:solidFill>
          </w14:textFill>
        </w:rPr>
        <w:t>、实验室台柜系统设备</w:t>
      </w:r>
      <w:bookmarkEnd w:id="40"/>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对于实验室台柜设备，不同专业均采用不同实验室专用基础配套装备，如实验台、实验高柜、万向排气罩、原子吸收罩、通风柜、插座、天平台等。合理设计、安全放置，达到各专业实验科室要求的承重性、稳定性、减震性、抗外干扰、电控要求等。</w:t>
      </w:r>
    </w:p>
    <w:p>
      <w:pPr>
        <w:autoSpaceDE/>
        <w:autoSpaceDN/>
        <w:spacing w:before="240" w:after="240" w:line="360" w:lineRule="auto"/>
        <w:ind w:firstLine="720" w:firstLineChars="30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如所采用的的实验室理化板（千思板）台面，具有防强酸、强碱、耐腐蚀的特性；所采用的实验室专用大理石（黑金沙）台面，具有耐高温、耐磨损的特性，而玻璃钢材质的通风柜，则必须同时兼具有耐酸碱腐蚀、耐高温、耐压等特质，才能符合实验室设备专业的要求等等。</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保证利用好现有空间发挥最大作用，使实验室家具布局合理，符合实验操作规律性，达到科学利用空间的最佳效果，实验室家具符合人体工程学，长、宽、高标准适合于人性化设计理念，并适合实验工作的工艺流程、工作线路畅通、通道流畅。</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1" w:name="_Toc23696_WPSOffice_Level2"/>
      <w:r>
        <w:rPr>
          <w:rFonts w:hint="eastAsia"/>
          <w:b/>
          <w:bCs/>
          <w:color w:val="000000" w:themeColor="text1"/>
          <w:kern w:val="2"/>
          <w:sz w:val="24"/>
          <w:szCs w:val="24"/>
          <w:highlight w:val="none"/>
          <w:lang w:val="en-US" w:bidi="ar-SA"/>
          <w14:textFill>
            <w14:solidFill>
              <w14:schemeClr w14:val="tx1"/>
            </w14:solidFill>
          </w14:textFill>
        </w:rPr>
        <w:t>实验室通风废气处理系统</w:t>
      </w:r>
      <w:bookmarkEnd w:id="41"/>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对于实验室通风系统，实验室专用耐酸碱玻璃钢风机风量在合理调节范围内，做到实验室内合理正负压，有效降低实验室内废气浓度，防止二次污染；通风消音减震系统设备可在系统工作期间使噪声达到实验室环境噪声标准。</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楼顶废气处理系统设备采用活性炭吸附过滤箱进行过滤吸附法，废气处理系统设备稳定可靠，吸收效率达到</w:t>
      </w:r>
      <w:r>
        <w:rPr>
          <w:color w:val="000000" w:themeColor="text1"/>
          <w:kern w:val="2"/>
          <w:sz w:val="24"/>
          <w:szCs w:val="24"/>
          <w:highlight w:val="none"/>
          <w:lang w:val="en-US" w:bidi="ar-SA"/>
          <w14:textFill>
            <w14:solidFill>
              <w14:schemeClr w14:val="tx1"/>
            </w14:solidFill>
          </w14:textFill>
        </w:rPr>
        <w:t>90%</w:t>
      </w:r>
      <w:r>
        <w:rPr>
          <w:rFonts w:hint="eastAsia"/>
          <w:color w:val="000000" w:themeColor="text1"/>
          <w:kern w:val="2"/>
          <w:sz w:val="24"/>
          <w:szCs w:val="24"/>
          <w:highlight w:val="none"/>
          <w:lang w:val="en-US" w:bidi="ar-SA"/>
          <w14:textFill>
            <w14:solidFill>
              <w14:schemeClr w14:val="tx1"/>
            </w14:solidFill>
          </w14:textFill>
        </w:rPr>
        <w:t>以上，满足排放标准</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2" w:name="_Toc11783_WPSOffice_Level2"/>
      <w:r>
        <w:rPr>
          <w:rFonts w:hint="eastAsia"/>
          <w:b/>
          <w:bCs/>
          <w:color w:val="000000" w:themeColor="text1"/>
          <w:kern w:val="2"/>
          <w:sz w:val="24"/>
          <w:szCs w:val="24"/>
          <w:highlight w:val="none"/>
          <w:lang w:val="en-US" w:bidi="ar-SA"/>
          <w14:textFill>
            <w14:solidFill>
              <w14:schemeClr w14:val="tx1"/>
            </w14:solidFill>
          </w14:textFill>
        </w:rPr>
        <w:t>实验室集中供气系统设备</w:t>
      </w:r>
      <w:bookmarkEnd w:id="42"/>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采用实验室集中供气系统设备意味着实验室中没有气瓶装备，可以提高安全性及安全感，有效节省空间；</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标准配置下，每个气瓶均配有冲洗阀，可保持气体纯度，可减少分子筛损耗；采用两级减压方式供气，气体压力更稳定；当气压低于警报限时，报警装置可自动启动报警。</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采用集中供气系统设备，可充分使用钢瓶中的气体，减少残气余量，降低用气成本</w:t>
      </w:r>
      <w:r>
        <w:rPr>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3" w:name="_Toc4572_WPSOffice_Level2"/>
      <w:r>
        <w:rPr>
          <w:rFonts w:hint="eastAsia"/>
          <w:b/>
          <w:bCs/>
          <w:color w:val="000000" w:themeColor="text1"/>
          <w:kern w:val="2"/>
          <w:sz w:val="24"/>
          <w:szCs w:val="24"/>
          <w:highlight w:val="none"/>
          <w:lang w:val="en-US" w:bidi="ar-SA"/>
          <w14:textFill>
            <w14:solidFill>
              <w14:schemeClr w14:val="tx1"/>
            </w14:solidFill>
          </w14:textFill>
        </w:rPr>
        <w:t>实验室废水处理系统设备</w:t>
      </w:r>
      <w:bookmarkEnd w:id="43"/>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对于实验室废水处理系统，设备废水处理量约为</w:t>
      </w: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吨</w:t>
      </w:r>
      <w:r>
        <w:rPr>
          <w:color w:val="000000" w:themeColor="text1"/>
          <w:kern w:val="2"/>
          <w:sz w:val="24"/>
          <w:szCs w:val="24"/>
          <w:highlight w:val="none"/>
          <w:lang w:val="en-US" w:bidi="ar-SA"/>
          <w14:textFill>
            <w14:solidFill>
              <w14:schemeClr w14:val="tx1"/>
            </w14:solidFill>
          </w14:textFill>
        </w:rPr>
        <w:t>/d</w:t>
      </w:r>
      <w:r>
        <w:rPr>
          <w:rFonts w:hint="eastAsia"/>
          <w:color w:val="000000" w:themeColor="text1"/>
          <w:kern w:val="2"/>
          <w:sz w:val="24"/>
          <w:szCs w:val="24"/>
          <w:highlight w:val="none"/>
          <w:lang w:val="en-US" w:bidi="ar-SA"/>
          <w14:textFill>
            <w14:solidFill>
              <w14:schemeClr w14:val="tx1"/>
            </w14:solidFill>
          </w14:textFill>
        </w:rPr>
        <w:t>，将严格按照</w:t>
      </w:r>
      <w:r>
        <w:rPr>
          <w:color w:val="000000" w:themeColor="text1"/>
          <w:kern w:val="2"/>
          <w:sz w:val="24"/>
          <w:szCs w:val="24"/>
          <w:highlight w:val="none"/>
          <w:lang w:val="en-US" w:bidi="ar-SA"/>
          <w14:textFill>
            <w14:solidFill>
              <w14:schemeClr w14:val="tx1"/>
            </w14:solidFill>
          </w14:textFill>
        </w:rPr>
        <w:t>ISO9001</w:t>
      </w:r>
      <w:r>
        <w:rPr>
          <w:rFonts w:hint="eastAsia"/>
          <w:color w:val="000000" w:themeColor="text1"/>
          <w:kern w:val="2"/>
          <w:sz w:val="24"/>
          <w:szCs w:val="24"/>
          <w:highlight w:val="none"/>
          <w:lang w:val="en-US" w:bidi="ar-SA"/>
          <w14:textFill>
            <w14:solidFill>
              <w14:schemeClr w14:val="tx1"/>
            </w14:solidFill>
          </w14:textFill>
        </w:rPr>
        <w:t>质量管理体系要求进行设计和生产，确保设备的性能和技术指标符合要求，确保设备运行过程中的稳定性。</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废水处理系统设备的管道直接接入实验室实验用排水管道，并在大楼1楼设置沉淀池，通过抽水泵将废水抽入过滤系统进行沉淀过滤并达到排放标准后，排入市政污水管；抽水泵带有感应装置，在有污水流入时才启动抽水工作，大大减小运行成本。</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保证严格执行有关环境保护的各项规定，污水处理后必须确保各项出水水质指标均达到排放标准；并能合理控制噪声、气味，妥善处理与处置固体废弃物，避免二次污染</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4" w:name="_Toc26528_WPSOffice_Level2"/>
      <w:r>
        <w:rPr>
          <w:rFonts w:hint="eastAsia"/>
          <w:b/>
          <w:bCs/>
          <w:color w:val="000000" w:themeColor="text1"/>
          <w:kern w:val="2"/>
          <w:sz w:val="24"/>
          <w:szCs w:val="24"/>
          <w:highlight w:val="none"/>
          <w:lang w:val="en-US" w:bidi="ar-SA"/>
          <w14:textFill>
            <w14:solidFill>
              <w14:schemeClr w14:val="tx1"/>
            </w14:solidFill>
          </w14:textFill>
        </w:rPr>
        <w:t>实验室隔断净化系统设备</w:t>
      </w:r>
      <w:bookmarkEnd w:id="44"/>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对于整体微生物实验室，设计面积大约为</w:t>
      </w:r>
      <w:r>
        <w:rPr>
          <w:color w:val="000000" w:themeColor="text1"/>
          <w:kern w:val="2"/>
          <w:sz w:val="24"/>
          <w:szCs w:val="24"/>
          <w:highlight w:val="none"/>
          <w:lang w:val="en-US" w:bidi="ar-SA"/>
          <w14:textFill>
            <w14:solidFill>
              <w14:schemeClr w14:val="tx1"/>
            </w14:solidFill>
          </w14:textFill>
        </w:rPr>
        <w:t>47</w:t>
      </w:r>
      <w:r>
        <w:rPr>
          <w:rFonts w:hint="eastAsia"/>
          <w:color w:val="000000" w:themeColor="text1"/>
          <w:kern w:val="2"/>
          <w:sz w:val="24"/>
          <w:szCs w:val="24"/>
          <w:highlight w:val="none"/>
          <w:lang w:val="en-US" w:bidi="ar-SA"/>
          <w14:textFill>
            <w14:solidFill>
              <w14:schemeClr w14:val="tx1"/>
            </w14:solidFill>
          </w14:textFill>
        </w:rPr>
        <w:t>㎡，完全满足微生物室各个功能区域的需求面积，通过一二级缓冲间和灭菌传递窗等人流和物流通道，有效的保护了实验人员和防止样本的交叉感染，保证了严密的无菌实验环境条件。</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安装满足实验环境的净化专用的空调机组设备，设置高效过滤器和回风柱等，达到实验室标准正压要求，通过净化空调机组设备严格的送风回风比例，保证主实验区的净化要求级别为万级（局部百级）的高标准。</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5" w:name="_Toc1212_WPSOffice_Level2"/>
      <w:r>
        <w:rPr>
          <w:rFonts w:hint="eastAsia"/>
          <w:b/>
          <w:bCs/>
          <w:color w:val="000000" w:themeColor="text1"/>
          <w:kern w:val="2"/>
          <w:sz w:val="24"/>
          <w:szCs w:val="24"/>
          <w:highlight w:val="none"/>
          <w:lang w:val="en-US" w:bidi="ar-SA"/>
          <w14:textFill>
            <w14:solidFill>
              <w14:schemeClr w14:val="tx1"/>
            </w14:solidFill>
          </w14:textFill>
        </w:rPr>
        <w:t>实验室给排水系统设备</w:t>
      </w:r>
      <w:bookmarkEnd w:id="45"/>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实验室给排水系统设备由化验水龙头、化验水槽、各规格排水管、上水管、上水阀门、连接件等物件构成。在每间实验室旁均有进出水管井，在其旁打墙体就近连接至实验室需水设备，管道线尽可能短，同时避免交叉，以使供排水更加安全、可靠</w:t>
      </w:r>
      <w:r>
        <w:rPr>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实验室内部各用水点的位置必须科学定位并提前敷设，整体更美观。</w:t>
      </w:r>
    </w:p>
    <w:p>
      <w:pPr>
        <w:numPr>
          <w:ilvl w:val="0"/>
          <w:numId w:val="24"/>
        </w:numPr>
        <w:autoSpaceDE/>
        <w:autoSpaceDN/>
        <w:spacing w:before="240" w:after="240" w:line="360" w:lineRule="auto"/>
        <w:jc w:val="both"/>
        <w:rPr>
          <w:rFonts w:hAnsi="Calibri" w:cs="Times New Roman"/>
          <w:b/>
          <w:bCs/>
          <w:color w:val="000000" w:themeColor="text1"/>
          <w:kern w:val="2"/>
          <w:sz w:val="24"/>
          <w:szCs w:val="24"/>
          <w:highlight w:val="none"/>
          <w:lang w:val="en-US" w:bidi="ar-SA"/>
          <w14:textFill>
            <w14:solidFill>
              <w14:schemeClr w14:val="tx1"/>
            </w14:solidFill>
          </w14:textFill>
        </w:rPr>
      </w:pPr>
      <w:bookmarkStart w:id="46" w:name="_Toc11169_WPSOffice_Level2"/>
      <w:r>
        <w:rPr>
          <w:rFonts w:hint="eastAsia"/>
          <w:b/>
          <w:bCs/>
          <w:color w:val="000000" w:themeColor="text1"/>
          <w:kern w:val="2"/>
          <w:sz w:val="24"/>
          <w:szCs w:val="24"/>
          <w:highlight w:val="none"/>
          <w:lang w:val="en-US" w:bidi="ar-SA"/>
          <w14:textFill>
            <w14:solidFill>
              <w14:schemeClr w14:val="tx1"/>
            </w14:solidFill>
          </w14:textFill>
        </w:rPr>
        <w:t>实验室电气系统设备</w:t>
      </w:r>
      <w:bookmarkEnd w:id="46"/>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对于实验室电气系统设备，采用电线（电缆）或镀锌防爆桥架走明接线槽接入设备的方式，安装灵活简单。</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每个实验室配电箱预留</w:t>
      </w:r>
      <w:r>
        <w:rPr>
          <w:color w:val="000000" w:themeColor="text1"/>
          <w:kern w:val="2"/>
          <w:sz w:val="24"/>
          <w:szCs w:val="24"/>
          <w:highlight w:val="none"/>
          <w:lang w:val="en-US" w:bidi="ar-SA"/>
          <w14:textFill>
            <w14:solidFill>
              <w14:schemeClr w14:val="tx1"/>
            </w14:solidFill>
          </w14:textFill>
        </w:rPr>
        <w:t>380/220v</w:t>
      </w:r>
      <w:r>
        <w:rPr>
          <w:rFonts w:hint="eastAsia"/>
          <w:color w:val="000000" w:themeColor="text1"/>
          <w:kern w:val="2"/>
          <w:sz w:val="24"/>
          <w:szCs w:val="24"/>
          <w:highlight w:val="none"/>
          <w:lang w:val="en-US" w:bidi="ar-SA"/>
          <w14:textFill>
            <w14:solidFill>
              <w14:schemeClr w14:val="tx1"/>
            </w14:solidFill>
          </w14:textFill>
        </w:rPr>
        <w:t>电源及空开设备，满足仪器接入使用，电源插座回路设有漏电保护电器。</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预留专用供电箱，满足实验停止后仍须运行的设备电源接入需要。</w:t>
      </w:r>
    </w:p>
    <w:p>
      <w:pPr>
        <w:autoSpaceDE/>
        <w:autoSpaceDN/>
        <w:spacing w:before="240" w:after="240" w:line="360" w:lineRule="auto"/>
        <w:ind w:firstLine="480" w:firstLineChars="20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大型仪器设置独立断路器箱，满足单独运行需要</w:t>
      </w:r>
    </w:p>
    <w:p>
      <w:pPr>
        <w:numPr>
          <w:ilvl w:val="0"/>
          <w:numId w:val="24"/>
        </w:numPr>
        <w:autoSpaceDE/>
        <w:autoSpaceDN/>
        <w:spacing w:before="240" w:after="240" w:line="360" w:lineRule="auto"/>
        <w:jc w:val="both"/>
        <w:rPr>
          <w:b/>
          <w:bCs/>
          <w:color w:val="000000" w:themeColor="text1"/>
          <w:kern w:val="2"/>
          <w:sz w:val="24"/>
          <w:szCs w:val="24"/>
          <w:highlight w:val="none"/>
          <w:lang w:val="en-US" w:bidi="ar-SA"/>
          <w14:textFill>
            <w14:solidFill>
              <w14:schemeClr w14:val="tx1"/>
            </w14:solidFill>
          </w14:textFill>
        </w:rPr>
      </w:pPr>
      <w:bookmarkStart w:id="47" w:name="_Toc28662_WPSOffice_Level2"/>
      <w:r>
        <w:rPr>
          <w:rFonts w:hint="eastAsia"/>
          <w:b/>
          <w:bCs/>
          <w:color w:val="000000" w:themeColor="text1"/>
          <w:kern w:val="2"/>
          <w:sz w:val="24"/>
          <w:szCs w:val="24"/>
          <w:highlight w:val="none"/>
          <w:lang w:val="en-US" w:bidi="ar-SA"/>
          <w14:textFill>
            <w14:solidFill>
              <w14:schemeClr w14:val="tx1"/>
            </w14:solidFill>
          </w14:textFill>
        </w:rPr>
        <w:t>实验室纯水系统设备</w:t>
      </w:r>
      <w:bookmarkEnd w:id="47"/>
    </w:p>
    <w:p>
      <w:pPr>
        <w:autoSpaceDE/>
        <w:autoSpaceDN/>
        <w:spacing w:before="240" w:after="240" w:line="360" w:lineRule="auto"/>
        <w:ind w:firstLine="240" w:firstLineChars="100"/>
        <w:jc w:val="both"/>
        <w:rPr>
          <w:rFonts w:ascii="Calibri" w:hAnsi="Calibri" w:cs="Calibri"/>
          <w:color w:val="000000" w:themeColor="text1"/>
          <w:kern w:val="2"/>
          <w:sz w:val="24"/>
          <w:szCs w:val="21"/>
          <w:highlight w:val="none"/>
          <w:lang w:val="en-US" w:bidi="ar-SA"/>
          <w14:textFill>
            <w14:solidFill>
              <w14:schemeClr w14:val="tx1"/>
            </w14:solidFill>
          </w14:textFill>
        </w:rPr>
      </w:pPr>
      <w:r>
        <w:rPr>
          <w:rFonts w:hint="eastAsia" w:ascii="Calibri" w:hAnsi="Calibri" w:cs="Calibri"/>
          <w:color w:val="000000" w:themeColor="text1"/>
          <w:kern w:val="2"/>
          <w:sz w:val="24"/>
          <w:szCs w:val="21"/>
          <w:highlight w:val="none"/>
          <w:lang w:val="en-US" w:bidi="ar-SA"/>
          <w14:textFill>
            <w14:solidFill>
              <w14:schemeClr w14:val="tx1"/>
            </w14:solidFill>
          </w14:textFill>
        </w:rPr>
        <w:t>实验室纯水系统设备为纯水及超纯水一体化机，以自来水为进水，可将前期水质较低的水通过三通阀排掉确保高质量纯水进入水箱，水质稳定且减少实验室运行成本。</w:t>
      </w:r>
    </w:p>
    <w:p>
      <w:pPr>
        <w:numPr>
          <w:ilvl w:val="0"/>
          <w:numId w:val="24"/>
        </w:numPr>
        <w:autoSpaceDE/>
        <w:autoSpaceDN/>
        <w:spacing w:before="240" w:after="240" w:line="360" w:lineRule="auto"/>
        <w:jc w:val="both"/>
        <w:rPr>
          <w:b/>
          <w:bCs/>
          <w:color w:val="000000" w:themeColor="text1"/>
          <w:kern w:val="2"/>
          <w:sz w:val="24"/>
          <w:szCs w:val="24"/>
          <w:highlight w:val="none"/>
          <w:lang w:val="en-US" w:bidi="ar-SA"/>
          <w14:textFill>
            <w14:solidFill>
              <w14:schemeClr w14:val="tx1"/>
            </w14:solidFill>
          </w14:textFill>
        </w:rPr>
      </w:pPr>
      <w:bookmarkStart w:id="48" w:name="_Toc7385_WPSOffice_Level2"/>
      <w:r>
        <w:rPr>
          <w:rFonts w:hint="eastAsia"/>
          <w:b/>
          <w:bCs/>
          <w:color w:val="000000" w:themeColor="text1"/>
          <w:kern w:val="2"/>
          <w:sz w:val="24"/>
          <w:szCs w:val="24"/>
          <w:highlight w:val="none"/>
          <w:lang w:val="en-US" w:bidi="ar-SA"/>
          <w14:textFill>
            <w14:solidFill>
              <w14:schemeClr w14:val="tx1"/>
            </w14:solidFill>
          </w14:textFill>
        </w:rPr>
        <w:t>实验室监控及门禁系统设备</w:t>
      </w:r>
      <w:bookmarkEnd w:id="48"/>
    </w:p>
    <w:p>
      <w:pPr>
        <w:autoSpaceDE/>
        <w:autoSpaceDN/>
        <w:spacing w:before="240" w:after="240" w:line="360" w:lineRule="auto"/>
        <w:ind w:firstLine="240" w:firstLineChars="100"/>
        <w:jc w:val="both"/>
        <w:rPr>
          <w:rFonts w:ascii="Calibri" w:hAnsi="Calibri" w:cs="Calibri"/>
          <w:color w:val="000000" w:themeColor="text1"/>
          <w:kern w:val="2"/>
          <w:sz w:val="24"/>
          <w:szCs w:val="21"/>
          <w:highlight w:val="none"/>
          <w:lang w:val="en-US" w:bidi="ar-SA"/>
          <w14:textFill>
            <w14:solidFill>
              <w14:schemeClr w14:val="tx1"/>
            </w14:solidFill>
          </w14:textFill>
        </w:rPr>
      </w:pPr>
      <w:r>
        <w:rPr>
          <w:rFonts w:hint="eastAsia" w:ascii="Calibri" w:hAnsi="Calibri" w:cs="Calibri"/>
          <w:color w:val="000000" w:themeColor="text1"/>
          <w:kern w:val="2"/>
          <w:sz w:val="24"/>
          <w:szCs w:val="21"/>
          <w:highlight w:val="none"/>
          <w:lang w:val="en-US" w:bidi="ar-SA"/>
          <w14:textFill>
            <w14:solidFill>
              <w14:schemeClr w14:val="tx1"/>
            </w14:solidFill>
          </w14:textFill>
        </w:rPr>
        <w:t>实验室监控系统采用超低照度图像传感器，低照度效果好，图像清晰度高。信噪比≥58dB，同时具备人脸检测、区域入侵检测、越界检测、进入区域、离开区域、徘徊、人员聚集、客流统计、热度图等功能</w:t>
      </w:r>
    </w:p>
    <w:p>
      <w:pPr>
        <w:autoSpaceDE/>
        <w:autoSpaceDN/>
        <w:spacing w:before="240" w:after="240" w:line="360" w:lineRule="auto"/>
        <w:ind w:firstLine="240" w:firstLineChars="100"/>
        <w:jc w:val="both"/>
        <w:rPr>
          <w:rFonts w:ascii="Calibri" w:hAnsi="Calibri" w:cs="Calibri"/>
          <w:color w:val="000000" w:themeColor="text1"/>
          <w:kern w:val="2"/>
          <w:sz w:val="24"/>
          <w:szCs w:val="21"/>
          <w:highlight w:val="none"/>
          <w:lang w:val="en-US" w:bidi="ar-SA"/>
          <w14:textFill>
            <w14:solidFill>
              <w14:schemeClr w14:val="tx1"/>
            </w14:solidFill>
          </w14:textFill>
        </w:rPr>
      </w:pPr>
      <w:r>
        <w:rPr>
          <w:rFonts w:hint="eastAsia" w:ascii="Calibri" w:hAnsi="Calibri" w:cs="Calibri"/>
          <w:color w:val="000000" w:themeColor="text1"/>
          <w:kern w:val="2"/>
          <w:sz w:val="24"/>
          <w:szCs w:val="21"/>
          <w:highlight w:val="none"/>
          <w:lang w:val="en-US" w:bidi="ar-SA"/>
          <w14:textFill>
            <w14:solidFill>
              <w14:schemeClr w14:val="tx1"/>
            </w14:solidFill>
          </w14:textFill>
        </w:rPr>
        <w:t>实验室门禁系统采用LCD触摸显示屏，显示软件界面及操作提示，显示人脸框，实时检测最大人脸（支持本地视频预览），同时支持数据网络上传功能，可将设备比对结果及联动抓拍照片实时上传给平台保存；具有看门狗守护机制、保障设备稳定运行。</w:t>
      </w:r>
    </w:p>
    <w:p>
      <w:pPr>
        <w:keepNext/>
        <w:keepLines/>
        <w:autoSpaceDE/>
        <w:autoSpaceDN/>
        <w:spacing w:before="100" w:after="100" w:line="579" w:lineRule="auto"/>
        <w:ind w:left="420"/>
        <w:outlineLvl w:val="0"/>
        <w:rPr>
          <w:rFonts w:hAnsi="Calibri" w:cs="Times New Roman"/>
          <w:b/>
          <w:bCs/>
          <w:color w:val="000000" w:themeColor="text1"/>
          <w:kern w:val="44"/>
          <w:sz w:val="24"/>
          <w:szCs w:val="24"/>
          <w:highlight w:val="none"/>
          <w:lang w:val="en-US" w:bidi="ar-SA"/>
          <w14:textFill>
            <w14:solidFill>
              <w14:schemeClr w14:val="tx1"/>
            </w14:solidFill>
          </w14:textFill>
        </w:rPr>
      </w:pPr>
      <w:bookmarkStart w:id="49" w:name="_Toc31160_WPSOffice_Level1"/>
      <w:r>
        <w:rPr>
          <w:rFonts w:hint="eastAsia"/>
          <w:b/>
          <w:bCs/>
          <w:color w:val="000000" w:themeColor="text1"/>
          <w:kern w:val="44"/>
          <w:sz w:val="24"/>
          <w:szCs w:val="24"/>
          <w:highlight w:val="none"/>
          <w:lang w:val="en-US" w:bidi="ar-SA"/>
          <w14:textFill>
            <w14:solidFill>
              <w14:schemeClr w14:val="tx1"/>
            </w14:solidFill>
          </w14:textFill>
        </w:rPr>
        <w:t>三、实验室相关技术规范、标准依据</w:t>
      </w:r>
      <w:bookmarkEnd w:id="49"/>
    </w:p>
    <w:p>
      <w:pPr>
        <w:keepNext/>
        <w:keepLines/>
        <w:numPr>
          <w:ilvl w:val="1"/>
          <w:numId w:val="0"/>
        </w:numPr>
        <w:autoSpaceDE/>
        <w:autoSpaceDN/>
        <w:spacing w:before="260" w:after="260" w:line="240" w:lineRule="atLeast"/>
        <w:ind w:left="440" w:leftChars="20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0" w:name="_Toc1267_WPSOffice_Level2"/>
      <w:r>
        <w:rPr>
          <w:rFonts w:hint="eastAsia"/>
          <w:b/>
          <w:bCs/>
          <w:color w:val="000000" w:themeColor="text1"/>
          <w:kern w:val="2"/>
          <w:sz w:val="24"/>
          <w:szCs w:val="24"/>
          <w:highlight w:val="none"/>
          <w:lang w:val="en-US" w:bidi="ar-SA"/>
          <w14:textFill>
            <w14:solidFill>
              <w14:schemeClr w14:val="tx1"/>
            </w14:solidFill>
          </w14:textFill>
        </w:rPr>
        <w:t>（</w:t>
      </w:r>
      <w:r>
        <w:rPr>
          <w:b/>
          <w:bCs/>
          <w:color w:val="000000" w:themeColor="text1"/>
          <w:kern w:val="2"/>
          <w:sz w:val="24"/>
          <w:szCs w:val="24"/>
          <w:highlight w:val="none"/>
          <w:lang w:val="en-US" w:bidi="ar-SA"/>
          <w14:textFill>
            <w14:solidFill>
              <w14:schemeClr w14:val="tx1"/>
            </w14:solidFill>
          </w14:textFill>
        </w:rPr>
        <w:t>1</w:t>
      </w:r>
      <w:r>
        <w:rPr>
          <w:rFonts w:hint="eastAsia"/>
          <w:b/>
          <w:bCs/>
          <w:color w:val="000000" w:themeColor="text1"/>
          <w:kern w:val="2"/>
          <w:sz w:val="24"/>
          <w:szCs w:val="24"/>
          <w:highlight w:val="none"/>
          <w:lang w:val="en-US" w:bidi="ar-SA"/>
          <w14:textFill>
            <w14:solidFill>
              <w14:schemeClr w14:val="tx1"/>
            </w14:solidFill>
          </w14:textFill>
        </w:rPr>
        <w:t>）实验室技术规范</w:t>
      </w:r>
      <w:bookmarkEnd w:id="50"/>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《洁净厂房设计规范》（</w:t>
      </w:r>
      <w:r>
        <w:rPr>
          <w:color w:val="000000" w:themeColor="text1"/>
          <w:kern w:val="2"/>
          <w:sz w:val="24"/>
          <w:szCs w:val="24"/>
          <w:highlight w:val="none"/>
          <w:lang w:val="en-US" w:bidi="ar-SA"/>
          <w14:textFill>
            <w14:solidFill>
              <w14:schemeClr w14:val="tx1"/>
            </w14:solidFill>
          </w14:textFill>
        </w:rPr>
        <w:t>GB50073-2001</w:t>
      </w:r>
      <w:r>
        <w:rPr>
          <w:rFonts w:hint="eastAsia"/>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《建筑设计防火规范》（</w:t>
      </w:r>
      <w:r>
        <w:rPr>
          <w:color w:val="000000" w:themeColor="text1"/>
          <w:kern w:val="2"/>
          <w:sz w:val="24"/>
          <w:szCs w:val="24"/>
          <w:highlight w:val="none"/>
          <w:lang w:val="en-US" w:bidi="ar-SA"/>
          <w14:textFill>
            <w14:solidFill>
              <w14:schemeClr w14:val="tx1"/>
            </w14:solidFill>
          </w14:textFill>
        </w:rPr>
        <w:t>GBJ16-87)</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2001</w:t>
      </w:r>
      <w:r>
        <w:rPr>
          <w:rFonts w:hint="eastAsia"/>
          <w:color w:val="000000" w:themeColor="text1"/>
          <w:kern w:val="2"/>
          <w:sz w:val="24"/>
          <w:szCs w:val="24"/>
          <w:highlight w:val="none"/>
          <w:lang w:val="en-US" w:bidi="ar-SA"/>
          <w14:textFill>
            <w14:solidFill>
              <w14:schemeClr w14:val="tx1"/>
            </w14:solidFill>
          </w14:textFill>
        </w:rPr>
        <w:t>年版）</w:t>
      </w:r>
      <w:r>
        <w:rPr>
          <w:rFonts w:hint="eastAsia"/>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《洁净室设计及验收规范》（</w:t>
      </w:r>
      <w:r>
        <w:rPr>
          <w:color w:val="000000" w:themeColor="text1"/>
          <w:kern w:val="2"/>
          <w:sz w:val="24"/>
          <w:szCs w:val="24"/>
          <w:highlight w:val="none"/>
          <w:lang w:val="en-US" w:bidi="ar-SA"/>
          <w14:textFill>
            <w14:solidFill>
              <w14:schemeClr w14:val="tx1"/>
            </w14:solidFill>
          </w14:textFill>
        </w:rPr>
        <w:t>JG71-90)</w:t>
      </w:r>
      <w:r>
        <w:rPr>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《建筑地面设计规范》（</w:t>
      </w:r>
      <w:r>
        <w:rPr>
          <w:color w:val="000000" w:themeColor="text1"/>
          <w:kern w:val="2"/>
          <w:sz w:val="24"/>
          <w:szCs w:val="24"/>
          <w:highlight w:val="none"/>
          <w:lang w:val="en-US" w:bidi="ar-SA"/>
          <w14:textFill>
            <w14:solidFill>
              <w14:schemeClr w14:val="tx1"/>
            </w14:solidFill>
          </w14:textFill>
        </w:rPr>
        <w:t>GB50037-96)</w:t>
      </w:r>
      <w:r>
        <w:rPr>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《工业管道工程设计设计及验收规范》（</w:t>
      </w:r>
      <w:r>
        <w:rPr>
          <w:color w:val="000000" w:themeColor="text1"/>
          <w:kern w:val="2"/>
          <w:sz w:val="24"/>
          <w:szCs w:val="24"/>
          <w:highlight w:val="none"/>
          <w:lang w:val="en-US" w:bidi="ar-SA"/>
          <w14:textFill>
            <w14:solidFill>
              <w14:schemeClr w14:val="tx1"/>
            </w14:solidFill>
          </w14:textFill>
        </w:rPr>
        <w:t>GBJ235-82</w:t>
      </w:r>
      <w:r>
        <w:rPr>
          <w:rFonts w:hint="eastAsia"/>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fldChar w:fldCharType="end"/>
      </w:r>
    </w:p>
    <w:p>
      <w:pPr>
        <w:keepNext/>
        <w:keepLines/>
        <w:autoSpaceDE/>
        <w:autoSpaceDN/>
        <w:spacing w:before="260" w:after="260" w:line="240" w:lineRule="atLeast"/>
        <w:ind w:firstLine="482" w:firstLineChars="20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1" w:name="_Toc22638_WPSOffice_Level2"/>
      <w:r>
        <w:rPr>
          <w:rFonts w:hint="eastAsia"/>
          <w:b/>
          <w:bCs/>
          <w:color w:val="000000" w:themeColor="text1"/>
          <w:kern w:val="2"/>
          <w:sz w:val="24"/>
          <w:szCs w:val="24"/>
          <w:highlight w:val="none"/>
          <w:lang w:val="en-US" w:bidi="ar-SA"/>
          <w14:textFill>
            <w14:solidFill>
              <w14:schemeClr w14:val="tx1"/>
            </w14:solidFill>
          </w14:textFill>
        </w:rPr>
        <w:t>（</w:t>
      </w:r>
      <w:r>
        <w:rPr>
          <w:b/>
          <w:bCs/>
          <w:color w:val="000000" w:themeColor="text1"/>
          <w:kern w:val="2"/>
          <w:sz w:val="24"/>
          <w:szCs w:val="24"/>
          <w:highlight w:val="none"/>
          <w:lang w:val="en-US" w:bidi="ar-SA"/>
          <w14:textFill>
            <w14:solidFill>
              <w14:schemeClr w14:val="tx1"/>
            </w14:solidFill>
          </w14:textFill>
        </w:rPr>
        <w:t>2</w:t>
      </w:r>
      <w:r>
        <w:rPr>
          <w:rFonts w:hint="eastAsia"/>
          <w:b/>
          <w:bCs/>
          <w:color w:val="000000" w:themeColor="text1"/>
          <w:kern w:val="2"/>
          <w:sz w:val="24"/>
          <w:szCs w:val="24"/>
          <w:highlight w:val="none"/>
          <w:lang w:val="en-US" w:bidi="ar-SA"/>
          <w14:textFill>
            <w14:solidFill>
              <w14:schemeClr w14:val="tx1"/>
            </w14:solidFill>
          </w14:textFill>
        </w:rPr>
        <w:t>）通风系统的技术规范：</w:t>
      </w:r>
      <w:bookmarkEnd w:id="51"/>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《通风与空调工程施工质量验收规范》（</w:t>
      </w:r>
      <w:r>
        <w:rPr>
          <w:color w:val="000000" w:themeColor="text1"/>
          <w:kern w:val="2"/>
          <w:sz w:val="24"/>
          <w:szCs w:val="24"/>
          <w:highlight w:val="none"/>
          <w:lang w:val="en-US" w:bidi="ar-SA"/>
          <w14:textFill>
            <w14:solidFill>
              <w14:schemeClr w14:val="tx1"/>
            </w14:solidFill>
          </w14:textFill>
        </w:rPr>
        <w:t>GB50243-2002</w:t>
      </w:r>
      <w:r>
        <w:rPr>
          <w:rFonts w:hint="eastAsia"/>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《简明通风设计手册》</w:t>
      </w:r>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《暖卫、通风、空调技术手册》</w:t>
      </w:r>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《城市区域环境噪声排放标准》</w:t>
      </w:r>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《城市废气治理排放标准》</w:t>
      </w:r>
    </w:p>
    <w:p>
      <w:pPr>
        <w:autoSpaceDE/>
        <w:autoSpaceDN/>
        <w:spacing w:before="240" w:after="240" w:line="360" w:lineRule="auto"/>
        <w:ind w:firstLine="372" w:firstLineChars="155"/>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《机械工业环境保护设计规范》（</w:t>
      </w:r>
      <w:r>
        <w:rPr>
          <w:color w:val="000000" w:themeColor="text1"/>
          <w:kern w:val="2"/>
          <w:sz w:val="24"/>
          <w:szCs w:val="24"/>
          <w:highlight w:val="none"/>
          <w:lang w:val="en-US" w:bidi="ar-SA"/>
          <w14:textFill>
            <w14:solidFill>
              <w14:schemeClr w14:val="tx1"/>
            </w14:solidFill>
          </w14:textFill>
        </w:rPr>
        <w:t>JBJ16-2000</w:t>
      </w:r>
      <w:r>
        <w:rPr>
          <w:rFonts w:hint="eastAsia"/>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ind w:left="372"/>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《中华人民共和国机械行业通风柜标准》</w:t>
      </w:r>
    </w:p>
    <w:p>
      <w:pPr>
        <w:autoSpaceDE/>
        <w:autoSpaceDN/>
        <w:spacing w:before="240" w:after="240" w:line="360" w:lineRule="auto"/>
        <w:ind w:left="372"/>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《通风及空调工程施工及验收规范》（</w:t>
      </w:r>
      <w:r>
        <w:rPr>
          <w:color w:val="000000" w:themeColor="text1"/>
          <w:kern w:val="2"/>
          <w:sz w:val="24"/>
          <w:szCs w:val="24"/>
          <w:highlight w:val="none"/>
          <w:lang w:val="en-US" w:bidi="ar-SA"/>
          <w14:textFill>
            <w14:solidFill>
              <w14:schemeClr w14:val="tx1"/>
            </w14:solidFill>
          </w14:textFill>
        </w:rPr>
        <w:t>GB50243-97)</w:t>
      </w:r>
      <w:r>
        <w:rPr>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left="372"/>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《采暖通风与空气调节设计规范》（</w:t>
      </w:r>
      <w:r>
        <w:rPr>
          <w:color w:val="000000" w:themeColor="text1"/>
          <w:kern w:val="2"/>
          <w:sz w:val="24"/>
          <w:szCs w:val="24"/>
          <w:highlight w:val="none"/>
          <w:lang w:val="en-US" w:bidi="ar-SA"/>
          <w14:textFill>
            <w14:solidFill>
              <w14:schemeClr w14:val="tx1"/>
            </w14:solidFill>
          </w14:textFill>
        </w:rPr>
        <w:t>GBJ19-2003</w:t>
      </w:r>
      <w:r>
        <w:rPr>
          <w:rFonts w:hint="eastAsia"/>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fldChar w:fldCharType="end"/>
      </w:r>
    </w:p>
    <w:p>
      <w:pPr>
        <w:keepNext/>
        <w:keepLines/>
        <w:autoSpaceDE/>
        <w:autoSpaceDN/>
        <w:spacing w:before="260" w:after="260" w:line="240" w:lineRule="atLeast"/>
        <w:ind w:firstLine="482" w:firstLineChars="20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2" w:name="_Toc11881_WPSOffice_Level2"/>
      <w:r>
        <w:rPr>
          <w:rFonts w:hint="eastAsia"/>
          <w:b/>
          <w:bCs/>
          <w:color w:val="000000" w:themeColor="text1"/>
          <w:kern w:val="2"/>
          <w:sz w:val="24"/>
          <w:szCs w:val="24"/>
          <w:highlight w:val="none"/>
          <w:lang w:val="en-US" w:bidi="ar-SA"/>
          <w14:textFill>
            <w14:solidFill>
              <w14:schemeClr w14:val="tx1"/>
            </w14:solidFill>
          </w14:textFill>
        </w:rPr>
        <w:t>（</w:t>
      </w:r>
      <w:r>
        <w:rPr>
          <w:b/>
          <w:bCs/>
          <w:color w:val="000000" w:themeColor="text1"/>
          <w:kern w:val="2"/>
          <w:sz w:val="24"/>
          <w:szCs w:val="24"/>
          <w:highlight w:val="none"/>
          <w:lang w:val="en-US" w:bidi="ar-SA"/>
          <w14:textFill>
            <w14:solidFill>
              <w14:schemeClr w14:val="tx1"/>
            </w14:solidFill>
          </w14:textFill>
        </w:rPr>
        <w:t>3</w:t>
      </w:r>
      <w:r>
        <w:rPr>
          <w:rFonts w:hint="eastAsia"/>
          <w:b/>
          <w:bCs/>
          <w:color w:val="000000" w:themeColor="text1"/>
          <w:kern w:val="2"/>
          <w:sz w:val="24"/>
          <w:szCs w:val="24"/>
          <w:highlight w:val="none"/>
          <w:lang w:val="en-US" w:bidi="ar-SA"/>
          <w14:textFill>
            <w14:solidFill>
              <w14:schemeClr w14:val="tx1"/>
            </w14:solidFill>
          </w14:textFill>
        </w:rPr>
        <w:t>）供电线路及给排水技术规范</w:t>
      </w:r>
      <w:bookmarkEnd w:id="52"/>
    </w:p>
    <w:p>
      <w:pPr>
        <w:autoSpaceDE/>
        <w:autoSpaceDN/>
        <w:spacing w:before="240" w:after="240" w:line="360" w:lineRule="auto"/>
        <w:ind w:firstLine="480" w:firstLineChars="2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《通用用电设备配电规范》（</w:t>
      </w:r>
      <w:r>
        <w:rPr>
          <w:color w:val="000000" w:themeColor="text1"/>
          <w:sz w:val="24"/>
          <w:szCs w:val="24"/>
          <w:highlight w:val="none"/>
          <w:lang w:val="en-US" w:bidi="ar-SA"/>
          <w14:textFill>
            <w14:solidFill>
              <w14:schemeClr w14:val="tx1"/>
            </w14:solidFill>
          </w14:textFill>
        </w:rPr>
        <w:t>GBJ50055-2011</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480" w:firstLineChars="2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《低压配电装置及线路设计规范》（</w:t>
      </w:r>
      <w:r>
        <w:rPr>
          <w:color w:val="000000" w:themeColor="text1"/>
          <w:sz w:val="24"/>
          <w:szCs w:val="24"/>
          <w:highlight w:val="none"/>
          <w:lang w:val="en-US" w:bidi="ar-SA"/>
          <w14:textFill>
            <w14:solidFill>
              <w14:schemeClr w14:val="tx1"/>
            </w14:solidFill>
          </w14:textFill>
        </w:rPr>
        <w:t>GBJ54-95</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480" w:firstLineChars="2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《电气装置安装工程配线工程施工及验收规范》（</w:t>
      </w:r>
      <w:r>
        <w:rPr>
          <w:color w:val="000000" w:themeColor="text1"/>
          <w:sz w:val="24"/>
          <w:szCs w:val="24"/>
          <w:highlight w:val="none"/>
          <w:lang w:val="en-US" w:bidi="ar-SA"/>
          <w14:textFill>
            <w14:solidFill>
              <w14:schemeClr w14:val="tx1"/>
            </w14:solidFill>
          </w14:textFill>
        </w:rPr>
        <w:t>GB50150-2006</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480" w:firstLineChars="200"/>
        <w:jc w:val="both"/>
        <w:rPr>
          <w:rFonts w:hAnsi="Calibri" w:cs="Times New Roman"/>
          <w:color w:val="000000" w:themeColor="text1"/>
          <w:sz w:val="27"/>
          <w:szCs w:val="27"/>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《建筑给水排水及采暖工程施工质量验收规范》（</w:t>
      </w:r>
      <w:r>
        <w:rPr>
          <w:color w:val="000000" w:themeColor="text1"/>
          <w:sz w:val="24"/>
          <w:szCs w:val="24"/>
          <w:highlight w:val="none"/>
          <w:lang w:val="en-US" w:bidi="ar-SA"/>
          <w14:textFill>
            <w14:solidFill>
              <w14:schemeClr w14:val="tx1"/>
            </w14:solidFill>
          </w14:textFill>
        </w:rPr>
        <w:t>GB50242-2002</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44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《电器装置安装工程设计接地装置设计及验收规范》（</w:t>
      </w:r>
      <w:r>
        <w:rPr>
          <w:color w:val="000000" w:themeColor="text1"/>
          <w:kern w:val="2"/>
          <w:sz w:val="24"/>
          <w:szCs w:val="24"/>
          <w:highlight w:val="none"/>
          <w:lang w:val="en-US" w:bidi="ar-SA"/>
          <w14:textFill>
            <w14:solidFill>
              <w14:schemeClr w14:val="tx1"/>
            </w14:solidFill>
          </w14:textFill>
        </w:rPr>
        <w:t>GB50169-92</w:t>
      </w:r>
      <w:r>
        <w:rPr>
          <w:rFonts w:hint="eastAsia"/>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fldChar w:fldCharType="end"/>
      </w:r>
    </w:p>
    <w:p>
      <w:pPr>
        <w:autoSpaceDE/>
        <w:autoSpaceDN/>
        <w:spacing w:before="240" w:after="240" w:line="360" w:lineRule="auto"/>
        <w:ind w:firstLine="880" w:firstLineChars="400"/>
        <w:jc w:val="both"/>
        <w:rPr>
          <w:rFonts w:hAnsi="Calibri" w:cs="Times New Roman"/>
          <w:color w:val="000000" w:themeColor="text1"/>
          <w:sz w:val="24"/>
          <w:szCs w:val="24"/>
          <w:highlight w:val="none"/>
          <w:lang w:val="en-US" w:bidi="ar-SA"/>
          <w14:textFill>
            <w14:solidFill>
              <w14:schemeClr w14:val="tx1"/>
            </w14:solidFill>
          </w14:textFill>
        </w:rPr>
      </w:pPr>
      <w:r>
        <w:rPr>
          <w:highlight w:val="none"/>
        </w:rPr>
        <w:fldChar w:fldCharType="begin"/>
      </w:r>
      <w:r>
        <w:rPr>
          <w:highlight w:val="none"/>
        </w:rPr>
        <w:instrText xml:space="preserve"> HYPERLINK "javascript:" </w:instrText>
      </w:r>
      <w:r>
        <w:rPr>
          <w:highlight w:val="none"/>
        </w:rPr>
        <w:fldChar w:fldCharType="separate"/>
      </w:r>
      <w:r>
        <w:rPr>
          <w:rFonts w:hint="eastAsia"/>
          <w:color w:val="000000" w:themeColor="text1"/>
          <w:kern w:val="2"/>
          <w:sz w:val="24"/>
          <w:szCs w:val="24"/>
          <w:highlight w:val="none"/>
          <w:lang w:val="en-US" w:bidi="ar-SA"/>
          <w14:textFill>
            <w14:solidFill>
              <w14:schemeClr w14:val="tx1"/>
            </w14:solidFill>
          </w14:textFill>
        </w:rPr>
        <w:t>《建筑给水排水设计规范（</w:t>
      </w:r>
      <w:r>
        <w:rPr>
          <w:color w:val="000000" w:themeColor="text1"/>
          <w:kern w:val="2"/>
          <w:sz w:val="24"/>
          <w:szCs w:val="24"/>
          <w:highlight w:val="none"/>
          <w:lang w:val="en-US" w:bidi="ar-SA"/>
          <w14:textFill>
            <w14:solidFill>
              <w14:schemeClr w14:val="tx1"/>
            </w14:solidFill>
          </w14:textFill>
        </w:rPr>
        <w:t>GBJ15-88)</w:t>
      </w:r>
      <w:r>
        <w:rPr>
          <w:color w:val="000000" w:themeColor="text1"/>
          <w:kern w:val="2"/>
          <w:sz w:val="24"/>
          <w:szCs w:val="24"/>
          <w:highlight w:val="none"/>
          <w:lang w:val="en-US" w:bidi="ar-SA"/>
          <w14:textFill>
            <w14:solidFill>
              <w14:schemeClr w14:val="tx1"/>
            </w14:solidFill>
          </w14:textFill>
        </w:rPr>
        <w:fldChar w:fldCharType="end"/>
      </w:r>
    </w:p>
    <w:p>
      <w:pPr>
        <w:keepNext/>
        <w:keepLines/>
        <w:autoSpaceDE/>
        <w:autoSpaceDN/>
        <w:spacing w:before="260" w:after="260" w:line="240" w:lineRule="atLeast"/>
        <w:ind w:firstLine="482" w:firstLineChars="20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3" w:name="_Toc27486_WPSOffice_Level2"/>
      <w:r>
        <w:rPr>
          <w:rFonts w:hint="eastAsia"/>
          <w:b/>
          <w:bCs/>
          <w:color w:val="000000" w:themeColor="text1"/>
          <w:kern w:val="2"/>
          <w:sz w:val="24"/>
          <w:szCs w:val="24"/>
          <w:highlight w:val="none"/>
          <w:lang w:val="en-US" w:bidi="ar-SA"/>
          <w14:textFill>
            <w14:solidFill>
              <w14:schemeClr w14:val="tx1"/>
            </w14:solidFill>
          </w14:textFill>
        </w:rPr>
        <w:t>（</w:t>
      </w:r>
      <w:r>
        <w:rPr>
          <w:b/>
          <w:bCs/>
          <w:color w:val="000000" w:themeColor="text1"/>
          <w:kern w:val="2"/>
          <w:sz w:val="24"/>
          <w:szCs w:val="24"/>
          <w:highlight w:val="none"/>
          <w:lang w:val="en-US" w:bidi="ar-SA"/>
          <w14:textFill>
            <w14:solidFill>
              <w14:schemeClr w14:val="tx1"/>
            </w14:solidFill>
          </w14:textFill>
        </w:rPr>
        <w:t>4</w:t>
      </w:r>
      <w:r>
        <w:rPr>
          <w:rFonts w:hint="eastAsia"/>
          <w:b/>
          <w:bCs/>
          <w:color w:val="000000" w:themeColor="text1"/>
          <w:kern w:val="2"/>
          <w:sz w:val="24"/>
          <w:szCs w:val="24"/>
          <w:highlight w:val="none"/>
          <w:lang w:val="en-US" w:bidi="ar-SA"/>
          <w14:textFill>
            <w14:solidFill>
              <w14:schemeClr w14:val="tx1"/>
            </w14:solidFill>
          </w14:textFill>
        </w:rPr>
        <w:t>）实验室用载气气路设计及安装标准技术规范</w:t>
      </w:r>
      <w:bookmarkEnd w:id="53"/>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GB50235-1997</w:t>
      </w:r>
      <w:r>
        <w:rPr>
          <w:rFonts w:hint="eastAsia"/>
          <w:color w:val="000000" w:themeColor="text1"/>
          <w:sz w:val="24"/>
          <w:szCs w:val="24"/>
          <w:highlight w:val="none"/>
          <w:lang w:val="en-US" w:bidi="ar-SA"/>
          <w14:textFill>
            <w14:solidFill>
              <w14:schemeClr w14:val="tx1"/>
            </w14:solidFill>
          </w14:textFill>
        </w:rPr>
        <w:t>《工业金属管道工程施工及验收规范》</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GB50236-1998</w:t>
      </w:r>
      <w:r>
        <w:rPr>
          <w:rFonts w:hint="eastAsia"/>
          <w:color w:val="000000" w:themeColor="text1"/>
          <w:sz w:val="24"/>
          <w:szCs w:val="24"/>
          <w:highlight w:val="none"/>
          <w:lang w:val="en-US" w:bidi="ar-SA"/>
          <w14:textFill>
            <w14:solidFill>
              <w14:schemeClr w14:val="tx1"/>
            </w14:solidFill>
          </w14:textFill>
        </w:rPr>
        <w:t>《现场设备、工业管道焊接工程施工及验收规范》</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GB50016-2005</w:t>
      </w:r>
      <w:r>
        <w:rPr>
          <w:rFonts w:hint="eastAsia"/>
          <w:color w:val="000000" w:themeColor="text1"/>
          <w:sz w:val="24"/>
          <w:szCs w:val="24"/>
          <w:highlight w:val="none"/>
          <w:lang w:val="en-US" w:bidi="ar-SA"/>
          <w14:textFill>
            <w14:solidFill>
              <w14:schemeClr w14:val="tx1"/>
            </w14:solidFill>
          </w14:textFill>
        </w:rPr>
        <w:t>《建筑设计防火规范》</w:t>
      </w:r>
    </w:p>
    <w:p>
      <w:pPr>
        <w:keepNext/>
        <w:keepLines/>
        <w:autoSpaceDE/>
        <w:autoSpaceDN/>
        <w:spacing w:before="260" w:after="260" w:line="240" w:lineRule="atLeast"/>
        <w:ind w:firstLine="482" w:firstLineChars="20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4" w:name="_Toc10049_WPSOffice_Level2"/>
      <w:r>
        <w:rPr>
          <w:rFonts w:hint="eastAsia"/>
          <w:b/>
          <w:bCs/>
          <w:color w:val="000000" w:themeColor="text1"/>
          <w:kern w:val="2"/>
          <w:sz w:val="24"/>
          <w:szCs w:val="24"/>
          <w:highlight w:val="none"/>
          <w:lang w:val="en-US" w:bidi="ar-SA"/>
          <w14:textFill>
            <w14:solidFill>
              <w14:schemeClr w14:val="tx1"/>
            </w14:solidFill>
          </w14:textFill>
        </w:rPr>
        <w:t>（</w:t>
      </w:r>
      <w:r>
        <w:rPr>
          <w:b/>
          <w:bCs/>
          <w:color w:val="000000" w:themeColor="text1"/>
          <w:kern w:val="2"/>
          <w:sz w:val="24"/>
          <w:szCs w:val="24"/>
          <w:highlight w:val="none"/>
          <w:lang w:val="en-US" w:bidi="ar-SA"/>
          <w14:textFill>
            <w14:solidFill>
              <w14:schemeClr w14:val="tx1"/>
            </w14:solidFill>
          </w14:textFill>
        </w:rPr>
        <w:t>5</w:t>
      </w:r>
      <w:r>
        <w:rPr>
          <w:rFonts w:hint="eastAsia"/>
          <w:b/>
          <w:bCs/>
          <w:color w:val="000000" w:themeColor="text1"/>
          <w:kern w:val="2"/>
          <w:sz w:val="24"/>
          <w:szCs w:val="24"/>
          <w:highlight w:val="none"/>
          <w:lang w:val="en-US" w:bidi="ar-SA"/>
          <w14:textFill>
            <w14:solidFill>
              <w14:schemeClr w14:val="tx1"/>
            </w14:solidFill>
          </w14:textFill>
        </w:rPr>
        <w:t>）实验室综合废水处理系统技术参照规范</w:t>
      </w:r>
      <w:bookmarkEnd w:id="54"/>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国家污水综合排放标准【</w:t>
      </w:r>
      <w:r>
        <w:rPr>
          <w:color w:val="000000" w:themeColor="text1"/>
          <w:sz w:val="24"/>
          <w:szCs w:val="24"/>
          <w:highlight w:val="none"/>
          <w:lang w:val="en-US" w:bidi="ar-SA"/>
          <w14:textFill>
            <w14:solidFill>
              <w14:schemeClr w14:val="tx1"/>
            </w14:solidFill>
          </w14:textFill>
        </w:rPr>
        <w:t>GB8978-1996</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《污水排入城市下水道水质标准》（</w:t>
      </w:r>
      <w:r>
        <w:rPr>
          <w:color w:val="000000" w:themeColor="text1"/>
          <w:sz w:val="24"/>
          <w:szCs w:val="24"/>
          <w:highlight w:val="none"/>
          <w:lang w:val="en-US" w:bidi="ar-SA"/>
          <w14:textFill>
            <w14:solidFill>
              <w14:schemeClr w14:val="tx1"/>
            </w14:solidFill>
          </w14:textFill>
        </w:rPr>
        <w:t>CJ343-2010</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北京市水污染物排放标准【</w:t>
      </w:r>
      <w:r>
        <w:rPr>
          <w:color w:val="000000" w:themeColor="text1"/>
          <w:sz w:val="24"/>
          <w:szCs w:val="24"/>
          <w:highlight w:val="none"/>
          <w:lang w:val="en-US" w:bidi="ar-SA"/>
          <w14:textFill>
            <w14:solidFill>
              <w14:schemeClr w14:val="tx1"/>
            </w14:solidFill>
          </w14:textFill>
        </w:rPr>
        <w:t>DB11/307-2013</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污水排入城市下水道水质标准（</w:t>
      </w:r>
      <w:r>
        <w:rPr>
          <w:color w:val="000000" w:themeColor="text1"/>
          <w:sz w:val="24"/>
          <w:szCs w:val="24"/>
          <w:highlight w:val="none"/>
          <w:lang w:val="en-US" w:bidi="ar-SA"/>
          <w14:textFill>
            <w14:solidFill>
              <w14:schemeClr w14:val="tx1"/>
            </w14:solidFill>
          </w14:textFill>
        </w:rPr>
        <w:t>CJ3082</w:t>
      </w:r>
      <w:r>
        <w:rPr>
          <w:rFonts w:hint="eastAsia"/>
          <w:color w:val="000000" w:themeColor="text1"/>
          <w:sz w:val="24"/>
          <w:szCs w:val="24"/>
          <w:highlight w:val="none"/>
          <w:lang w:val="en-US" w:bidi="ar-SA"/>
          <w14:textFill>
            <w14:solidFill>
              <w14:schemeClr w14:val="tx1"/>
            </w14:solidFill>
          </w14:textFill>
        </w:rPr>
        <w:t>－</w:t>
      </w:r>
      <w:r>
        <w:rPr>
          <w:color w:val="000000" w:themeColor="text1"/>
          <w:sz w:val="24"/>
          <w:szCs w:val="24"/>
          <w:highlight w:val="none"/>
          <w:lang w:val="en-US" w:bidi="ar-SA"/>
          <w14:textFill>
            <w14:solidFill>
              <w14:schemeClr w14:val="tx1"/>
            </w14:solidFill>
          </w14:textFill>
        </w:rPr>
        <w:t>1999</w:t>
      </w:r>
      <w:r>
        <w:rPr>
          <w:rFonts w:hint="eastAsia"/>
          <w:color w:val="000000" w:themeColor="text1"/>
          <w:sz w:val="24"/>
          <w:szCs w:val="24"/>
          <w:highlight w:val="none"/>
          <w:lang w:val="en-US" w:bidi="ar-SA"/>
          <w14:textFill>
            <w14:solidFill>
              <w14:schemeClr w14:val="tx1"/>
            </w14:solidFill>
          </w14:textFill>
        </w:rPr>
        <w:t>）二级标准中的标准值</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环保部及质检总局《城镇污水处理厂污染物排放标准》</w:t>
      </w:r>
      <w:r>
        <w:rPr>
          <w:color w:val="000000" w:themeColor="text1"/>
          <w:sz w:val="24"/>
          <w:szCs w:val="24"/>
          <w:highlight w:val="none"/>
          <w:lang w:val="en-US" w:bidi="ar-SA"/>
          <w14:textFill>
            <w14:solidFill>
              <w14:schemeClr w14:val="tx1"/>
            </w14:solidFill>
          </w14:textFill>
        </w:rPr>
        <w:t>(GB18918-2002)</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建设部《城市污水处理站污水污泥排放标准》（</w:t>
      </w:r>
      <w:r>
        <w:rPr>
          <w:color w:val="000000" w:themeColor="text1"/>
          <w:sz w:val="24"/>
          <w:szCs w:val="24"/>
          <w:highlight w:val="none"/>
          <w:lang w:val="en-US" w:bidi="ar-SA"/>
          <w14:textFill>
            <w14:solidFill>
              <w14:schemeClr w14:val="tx1"/>
            </w14:solidFill>
          </w14:textFill>
        </w:rPr>
        <w:t>CJ3025-93</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《中华人民共和国环境保护法》（</w:t>
      </w:r>
      <w:r>
        <w:rPr>
          <w:color w:val="000000" w:themeColor="text1"/>
          <w:sz w:val="24"/>
          <w:szCs w:val="24"/>
          <w:highlight w:val="none"/>
          <w:lang w:val="en-US" w:bidi="ar-SA"/>
          <w14:textFill>
            <w14:solidFill>
              <w14:schemeClr w14:val="tx1"/>
            </w14:solidFill>
          </w14:textFill>
        </w:rPr>
        <w:t>2014.4.1</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《中华人民共和国环境影响评估法》（</w:t>
      </w:r>
      <w:r>
        <w:rPr>
          <w:color w:val="000000" w:themeColor="text1"/>
          <w:sz w:val="24"/>
          <w:szCs w:val="24"/>
          <w:highlight w:val="none"/>
          <w:lang w:val="en-US" w:bidi="ar-SA"/>
          <w14:textFill>
            <w14:solidFill>
              <w14:schemeClr w14:val="tx1"/>
            </w14:solidFill>
          </w14:textFill>
        </w:rPr>
        <w:t>2002.10.28</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《中华人民共和国水污染防治法》（</w:t>
      </w:r>
      <w:r>
        <w:rPr>
          <w:color w:val="000000" w:themeColor="text1"/>
          <w:sz w:val="24"/>
          <w:szCs w:val="24"/>
          <w:highlight w:val="none"/>
          <w:lang w:val="en-US" w:bidi="ar-SA"/>
          <w14:textFill>
            <w14:solidFill>
              <w14:schemeClr w14:val="tx1"/>
            </w14:solidFill>
          </w14:textFill>
        </w:rPr>
        <w:t>2008.6.1</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《工业自动化仪表工程施工验收规范》（</w:t>
      </w:r>
      <w:r>
        <w:rPr>
          <w:color w:val="000000" w:themeColor="text1"/>
          <w:sz w:val="24"/>
          <w:szCs w:val="24"/>
          <w:highlight w:val="none"/>
          <w:lang w:val="en-US" w:bidi="ar-SA"/>
          <w14:textFill>
            <w14:solidFill>
              <w14:schemeClr w14:val="tx1"/>
            </w14:solidFill>
          </w14:textFill>
        </w:rPr>
        <w:t>GB50093-2002</w:t>
      </w:r>
      <w:r>
        <w:rPr>
          <w:rFonts w:hint="eastAsia"/>
          <w:color w:val="000000" w:themeColor="text1"/>
          <w:sz w:val="24"/>
          <w:szCs w:val="24"/>
          <w:highlight w:val="none"/>
          <w:lang w:val="en-US" w:bidi="ar-SA"/>
          <w14:textFill>
            <w14:solidFill>
              <w14:schemeClr w14:val="tx1"/>
            </w14:solidFill>
          </w14:textFill>
        </w:rPr>
        <w:t>）</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《化工企业化学水处理系统监测与控制设计条件规定》</w:t>
      </w:r>
      <w:r>
        <w:rPr>
          <w:color w:val="000000" w:themeColor="text1"/>
          <w:sz w:val="24"/>
          <w:szCs w:val="24"/>
          <w:highlight w:val="none"/>
          <w:lang w:val="en-US" w:bidi="ar-SA"/>
          <w14:textFill>
            <w14:solidFill>
              <w14:schemeClr w14:val="tx1"/>
            </w14:solidFill>
          </w14:textFill>
        </w:rPr>
        <w:t>(HG/T20654-1998)</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《钢制压力容器》</w:t>
      </w:r>
      <w:r>
        <w:rPr>
          <w:color w:val="000000" w:themeColor="text1"/>
          <w:sz w:val="24"/>
          <w:szCs w:val="24"/>
          <w:highlight w:val="none"/>
          <w:lang w:val="en-US" w:bidi="ar-SA"/>
          <w14:textFill>
            <w14:solidFill>
              <w14:schemeClr w14:val="tx1"/>
            </w14:solidFill>
          </w14:textFill>
        </w:rPr>
        <w:t>(GB150-2011)</w:t>
      </w:r>
    </w:p>
    <w:p>
      <w:pPr>
        <w:autoSpaceDE/>
        <w:autoSpaceDN/>
        <w:spacing w:before="240" w:after="240" w:line="360" w:lineRule="auto"/>
        <w:ind w:firstLine="960" w:firstLineChars="400"/>
        <w:jc w:val="both"/>
        <w:rPr>
          <w:rFonts w:hAnsi="Calibri" w:cs="Times New Roman"/>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《水处理设备制造技术条件》</w:t>
      </w:r>
      <w:r>
        <w:rPr>
          <w:color w:val="000000" w:themeColor="text1"/>
          <w:sz w:val="24"/>
          <w:szCs w:val="24"/>
          <w:highlight w:val="none"/>
          <w:lang w:val="en-US" w:bidi="ar-SA"/>
          <w14:textFill>
            <w14:solidFill>
              <w14:schemeClr w14:val="tx1"/>
            </w14:solidFill>
          </w14:textFill>
        </w:rPr>
        <w:t>(JB2932)</w:t>
      </w:r>
    </w:p>
    <w:p>
      <w:pPr>
        <w:autoSpaceDE/>
        <w:autoSpaceDN/>
        <w:spacing w:before="240" w:after="240" w:line="360" w:lineRule="auto"/>
        <w:ind w:firstLine="960" w:firstLineChars="4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《橡胶衬里化工设备设计规范》</w:t>
      </w:r>
      <w:r>
        <w:rPr>
          <w:color w:val="000000" w:themeColor="text1"/>
          <w:sz w:val="24"/>
          <w:szCs w:val="24"/>
          <w:highlight w:val="none"/>
          <w:lang w:val="en-US" w:bidi="ar-SA"/>
          <w14:textFill>
            <w14:solidFill>
              <w14:schemeClr w14:val="tx1"/>
            </w14:solidFill>
          </w14:textFill>
        </w:rPr>
        <w:t>HG/T20677-2013</w:t>
      </w:r>
    </w:p>
    <w:p>
      <w:pPr>
        <w:pStyle w:val="31"/>
        <w:keepNext/>
        <w:keepLines/>
        <w:numPr>
          <w:ilvl w:val="0"/>
          <w:numId w:val="19"/>
        </w:numPr>
        <w:autoSpaceDE/>
        <w:autoSpaceDN/>
        <w:spacing w:before="260" w:after="260" w:line="240" w:lineRule="atLeast"/>
        <w:outlineLvl w:val="1"/>
        <w:rPr>
          <w:b/>
          <w:bCs/>
          <w:color w:val="000000" w:themeColor="text1"/>
          <w:kern w:val="2"/>
          <w:sz w:val="24"/>
          <w:szCs w:val="24"/>
          <w:highlight w:val="none"/>
          <w:lang w:val="en-US" w:bidi="ar-SA"/>
          <w14:textFill>
            <w14:solidFill>
              <w14:schemeClr w14:val="tx1"/>
            </w14:solidFill>
          </w14:textFill>
        </w:rPr>
      </w:pPr>
      <w:bookmarkStart w:id="55" w:name="_Toc19717_WPSOffice_Level2"/>
      <w:r>
        <w:rPr>
          <w:rFonts w:hint="eastAsia"/>
          <w:b/>
          <w:bCs/>
          <w:color w:val="000000" w:themeColor="text1"/>
          <w:kern w:val="2"/>
          <w:sz w:val="24"/>
          <w:szCs w:val="24"/>
          <w:highlight w:val="none"/>
          <w:lang w:val="en-US" w:bidi="ar-SA"/>
          <w14:textFill>
            <w14:solidFill>
              <w14:schemeClr w14:val="tx1"/>
            </w14:solidFill>
          </w14:textFill>
        </w:rPr>
        <w:t>实验室门禁及监控系统</w:t>
      </w:r>
      <w:bookmarkEnd w:id="55"/>
    </w:p>
    <w:p>
      <w:pPr>
        <w:keepNext/>
        <w:keepLines/>
        <w:autoSpaceDE/>
        <w:autoSpaceDN/>
        <w:spacing w:before="260" w:after="260" w:line="240" w:lineRule="atLeast"/>
        <w:ind w:firstLine="482" w:firstLineChars="200"/>
        <w:outlineLvl w:val="1"/>
        <w:rPr>
          <w:b/>
          <w:bCs/>
          <w:color w:val="000000" w:themeColor="text1"/>
          <w:kern w:val="2"/>
          <w:sz w:val="24"/>
          <w:szCs w:val="24"/>
          <w:highlight w:val="none"/>
          <w:lang w:val="en-US" w:bidi="ar-SA"/>
          <w14:textFill>
            <w14:solidFill>
              <w14:schemeClr w14:val="tx1"/>
            </w14:solidFill>
          </w14:textFill>
        </w:rPr>
      </w:pPr>
      <w:bookmarkStart w:id="56" w:name="_Toc31326_WPSOffice_Level2"/>
      <w:r>
        <w:rPr>
          <w:rFonts w:hint="eastAsia"/>
          <w:b/>
          <w:bCs/>
          <w:color w:val="000000" w:themeColor="text1"/>
          <w:kern w:val="2"/>
          <w:sz w:val="24"/>
          <w:szCs w:val="24"/>
          <w:highlight w:val="none"/>
          <w:lang w:val="en-US" w:bidi="ar-SA"/>
          <w14:textFill>
            <w14:solidFill>
              <w14:schemeClr w14:val="tx1"/>
            </w14:solidFill>
          </w14:textFill>
        </w:rPr>
        <w:t>（7）实验室纯水系统技术参照规范</w:t>
      </w:r>
      <w:bookmarkEnd w:id="56"/>
    </w:p>
    <w:p>
      <w:pPr>
        <w:autoSpaceDE/>
        <w:autoSpaceDN/>
        <w:spacing w:before="240" w:after="240" w:line="360" w:lineRule="auto"/>
        <w:jc w:val="both"/>
        <w:rPr>
          <w:color w:val="000000" w:themeColor="text1"/>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《国家实验室纯水标准》GB/T 6682</w:t>
      </w:r>
    </w:p>
    <w:p>
      <w:pPr>
        <w:keepNext/>
        <w:keepLines/>
        <w:autoSpaceDE/>
        <w:autoSpaceDN/>
        <w:spacing w:before="340" w:after="330" w:line="240" w:lineRule="atLeast"/>
        <w:ind w:left="420"/>
        <w:outlineLvl w:val="0"/>
        <w:rPr>
          <w:rFonts w:hAnsi="Calibri" w:cs="Times New Roman"/>
          <w:b/>
          <w:bCs/>
          <w:color w:val="000000" w:themeColor="text1"/>
          <w:kern w:val="44"/>
          <w:sz w:val="24"/>
          <w:szCs w:val="24"/>
          <w:highlight w:val="none"/>
          <w:lang w:val="en-US" w:bidi="ar-SA"/>
          <w14:textFill>
            <w14:solidFill>
              <w14:schemeClr w14:val="tx1"/>
            </w14:solidFill>
          </w14:textFill>
        </w:rPr>
      </w:pPr>
      <w:bookmarkStart w:id="57" w:name="_Toc3119"/>
      <w:bookmarkStart w:id="58" w:name="_Toc21906_WPSOffice_Level1"/>
      <w:r>
        <w:rPr>
          <w:rFonts w:hint="eastAsia"/>
          <w:b/>
          <w:bCs/>
          <w:color w:val="000000" w:themeColor="text1"/>
          <w:kern w:val="44"/>
          <w:sz w:val="24"/>
          <w:szCs w:val="24"/>
          <w:highlight w:val="none"/>
          <w:lang w:val="en-US" w:bidi="ar-SA"/>
          <w14:textFill>
            <w14:solidFill>
              <w14:schemeClr w14:val="tx1"/>
            </w14:solidFill>
          </w14:textFill>
        </w:rPr>
        <w:t>四、</w:t>
      </w:r>
      <w:bookmarkEnd w:id="57"/>
      <w:r>
        <w:rPr>
          <w:rFonts w:hint="eastAsia"/>
          <w:b/>
          <w:bCs/>
          <w:color w:val="000000" w:themeColor="text1"/>
          <w:kern w:val="44"/>
          <w:sz w:val="24"/>
          <w:szCs w:val="24"/>
          <w:highlight w:val="none"/>
          <w:lang w:val="en-US" w:bidi="ar-SA"/>
          <w14:textFill>
            <w14:solidFill>
              <w14:schemeClr w14:val="tx1"/>
            </w14:solidFill>
          </w14:textFill>
        </w:rPr>
        <w:t>实验室方案的系统设备功能要点</w:t>
      </w:r>
      <w:bookmarkEnd w:id="58"/>
    </w:p>
    <w:p>
      <w:pPr>
        <w:keepNext/>
        <w:keepLines/>
        <w:numPr>
          <w:ilvl w:val="1"/>
          <w:numId w:val="0"/>
        </w:numPr>
        <w:autoSpaceDE/>
        <w:autoSpaceDN/>
        <w:spacing w:before="260" w:after="260" w:line="240" w:lineRule="atLeast"/>
        <w:ind w:left="419"/>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59" w:name="_Toc1115_WPSOffice_Level2"/>
      <w:bookmarkStart w:id="60" w:name="_Toc7340_WPSOffice_Level2"/>
      <w:r>
        <w:rPr>
          <w:b/>
          <w:bCs/>
          <w:color w:val="000000" w:themeColor="text1"/>
          <w:kern w:val="2"/>
          <w:sz w:val="24"/>
          <w:szCs w:val="24"/>
          <w:highlight w:val="none"/>
          <w:lang w:val="en-US" w:bidi="ar-SA"/>
          <w14:textFill>
            <w14:solidFill>
              <w14:schemeClr w14:val="tx1"/>
            </w14:solidFill>
          </w14:textFill>
        </w:rPr>
        <w:t>1</w:t>
      </w:r>
      <w:r>
        <w:rPr>
          <w:rFonts w:hint="eastAsia"/>
          <w:b/>
          <w:bCs/>
          <w:color w:val="000000" w:themeColor="text1"/>
          <w:kern w:val="2"/>
          <w:sz w:val="24"/>
          <w:szCs w:val="24"/>
          <w:highlight w:val="none"/>
          <w:lang w:val="en-US" w:bidi="ar-SA"/>
          <w14:textFill>
            <w14:solidFill>
              <w14:schemeClr w14:val="tx1"/>
            </w14:solidFill>
          </w14:textFill>
        </w:rPr>
        <w:t>、实验室台柜设备布局要点</w:t>
      </w:r>
      <w:bookmarkEnd w:id="59"/>
      <w:bookmarkEnd w:id="60"/>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）不同专业采用不同实验室专用基础配套装备，系列产品共分五大部分：</w:t>
      </w:r>
      <w:r>
        <w:rPr>
          <w:color w:val="000000" w:themeColor="text1"/>
          <w:kern w:val="2"/>
          <w:sz w:val="24"/>
          <w:szCs w:val="24"/>
          <w:highlight w:val="none"/>
          <w:lang w:val="en-US" w:bidi="ar-SA"/>
          <w14:textFill>
            <w14:solidFill>
              <w14:schemeClr w14:val="tx1"/>
            </w14:solidFill>
          </w14:textFill>
        </w:rPr>
        <w:t>A</w:t>
      </w:r>
      <w:r>
        <w:rPr>
          <w:rFonts w:hint="eastAsia"/>
          <w:color w:val="000000" w:themeColor="text1"/>
          <w:kern w:val="2"/>
          <w:sz w:val="24"/>
          <w:szCs w:val="24"/>
          <w:highlight w:val="none"/>
          <w:lang w:val="en-US" w:bidi="ar-SA"/>
          <w14:textFill>
            <w14:solidFill>
              <w14:schemeClr w14:val="tx1"/>
            </w14:solidFill>
          </w14:textFill>
        </w:rPr>
        <w:t>、实验台部分；</w:t>
      </w:r>
      <w:r>
        <w:rPr>
          <w:color w:val="000000" w:themeColor="text1"/>
          <w:kern w:val="2"/>
          <w:sz w:val="24"/>
          <w:szCs w:val="24"/>
          <w:highlight w:val="none"/>
          <w:lang w:val="en-US" w:bidi="ar-SA"/>
          <w14:textFill>
            <w14:solidFill>
              <w14:schemeClr w14:val="tx1"/>
            </w14:solidFill>
          </w14:textFill>
        </w:rPr>
        <w:t>B</w:t>
      </w:r>
      <w:r>
        <w:rPr>
          <w:rFonts w:hint="eastAsia"/>
          <w:color w:val="000000" w:themeColor="text1"/>
          <w:kern w:val="2"/>
          <w:sz w:val="24"/>
          <w:szCs w:val="24"/>
          <w:highlight w:val="none"/>
          <w:lang w:val="en-US" w:bidi="ar-SA"/>
          <w14:textFill>
            <w14:solidFill>
              <w14:schemeClr w14:val="tx1"/>
            </w14:solidFill>
          </w14:textFill>
        </w:rPr>
        <w:t>、仪器台部分；</w:t>
      </w:r>
      <w:r>
        <w:rPr>
          <w:color w:val="000000" w:themeColor="text1"/>
          <w:kern w:val="2"/>
          <w:sz w:val="24"/>
          <w:szCs w:val="24"/>
          <w:highlight w:val="none"/>
          <w:lang w:val="en-US" w:bidi="ar-SA"/>
          <w14:textFill>
            <w14:solidFill>
              <w14:schemeClr w14:val="tx1"/>
            </w14:solidFill>
          </w14:textFill>
        </w:rPr>
        <w:t>C</w:t>
      </w:r>
      <w:r>
        <w:rPr>
          <w:rFonts w:hint="eastAsia"/>
          <w:color w:val="000000" w:themeColor="text1"/>
          <w:kern w:val="2"/>
          <w:sz w:val="24"/>
          <w:szCs w:val="24"/>
          <w:highlight w:val="none"/>
          <w:lang w:val="en-US" w:bidi="ar-SA"/>
          <w14:textFill>
            <w14:solidFill>
              <w14:schemeClr w14:val="tx1"/>
            </w14:solidFill>
          </w14:textFill>
        </w:rPr>
        <w:t>、功能柜部分；</w:t>
      </w:r>
      <w:r>
        <w:rPr>
          <w:color w:val="000000" w:themeColor="text1"/>
          <w:kern w:val="2"/>
          <w:sz w:val="24"/>
          <w:szCs w:val="24"/>
          <w:highlight w:val="none"/>
          <w:lang w:val="en-US" w:bidi="ar-SA"/>
          <w14:textFill>
            <w14:solidFill>
              <w14:schemeClr w14:val="tx1"/>
            </w14:solidFill>
          </w14:textFill>
        </w:rPr>
        <w:t>D</w:t>
      </w:r>
      <w:r>
        <w:rPr>
          <w:rFonts w:hint="eastAsia"/>
          <w:color w:val="000000" w:themeColor="text1"/>
          <w:kern w:val="2"/>
          <w:sz w:val="24"/>
          <w:szCs w:val="24"/>
          <w:highlight w:val="none"/>
          <w:lang w:val="en-US" w:bidi="ar-SA"/>
          <w14:textFill>
            <w14:solidFill>
              <w14:schemeClr w14:val="tx1"/>
            </w14:solidFill>
          </w14:textFill>
        </w:rPr>
        <w:t>、仪器设备部分；</w:t>
      </w:r>
      <w:r>
        <w:rPr>
          <w:color w:val="000000" w:themeColor="text1"/>
          <w:kern w:val="2"/>
          <w:sz w:val="24"/>
          <w:szCs w:val="24"/>
          <w:highlight w:val="none"/>
          <w:lang w:val="en-US" w:bidi="ar-SA"/>
          <w14:textFill>
            <w14:solidFill>
              <w14:schemeClr w14:val="tx1"/>
            </w14:solidFill>
          </w14:textFill>
        </w:rPr>
        <w:t>E</w:t>
      </w:r>
      <w:r>
        <w:rPr>
          <w:rFonts w:hint="eastAsia"/>
          <w:color w:val="000000" w:themeColor="text1"/>
          <w:kern w:val="2"/>
          <w:sz w:val="24"/>
          <w:szCs w:val="24"/>
          <w:highlight w:val="none"/>
          <w:lang w:val="en-US" w:bidi="ar-SA"/>
          <w14:textFill>
            <w14:solidFill>
              <w14:schemeClr w14:val="tx1"/>
            </w14:solidFill>
          </w14:textFill>
        </w:rPr>
        <w:t>、输出系统部分；</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2）在做设计的时候，首先要考虑的因素是就是“安全”，实验室是最易发生爆炸、火灾、毒气泄露等的场所，应尽量地要保持实验室的通风流畅、逃生通道畅通。根据国际人体工程学的标准。我们做如下的划分以供参照：</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实验台与实验台通道划分标准</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通道间隔用</w:t>
      </w:r>
      <w:r>
        <w:rPr>
          <w:color w:val="000000" w:themeColor="text1"/>
          <w:kern w:val="2"/>
          <w:sz w:val="24"/>
          <w:szCs w:val="24"/>
          <w:highlight w:val="none"/>
          <w:lang w:val="en-US" w:bidi="ar-SA"/>
          <w14:textFill>
            <w14:solidFill>
              <w14:schemeClr w14:val="tx1"/>
            </w14:solidFill>
          </w14:textFill>
        </w:rPr>
        <w:t>L</w:t>
      </w:r>
      <w:r>
        <w:rPr>
          <w:rFonts w:hint="eastAsia"/>
          <w:color w:val="000000" w:themeColor="text1"/>
          <w:kern w:val="2"/>
          <w:sz w:val="24"/>
          <w:szCs w:val="24"/>
          <w:highlight w:val="none"/>
          <w:lang w:val="en-US" w:bidi="ar-SA"/>
          <w14:textFill>
            <w14:solidFill>
              <w14:schemeClr w14:val="tx1"/>
            </w14:solidFill>
          </w14:textFill>
        </w:rPr>
        <w:t>表示</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L&gt;500mm</w:t>
      </w:r>
      <w:r>
        <w:rPr>
          <w:rFonts w:hint="eastAsia"/>
          <w:color w:val="000000" w:themeColor="text1"/>
          <w:kern w:val="2"/>
          <w:sz w:val="24"/>
          <w:szCs w:val="24"/>
          <w:highlight w:val="none"/>
          <w:lang w:val="en-US" w:bidi="ar-SA"/>
          <w14:textFill>
            <w14:solidFill>
              <w14:schemeClr w14:val="tx1"/>
            </w14:solidFill>
          </w14:textFill>
        </w:rPr>
        <w:t>时，一边可站人操作；</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L&gt;800mm</w:t>
      </w:r>
      <w:r>
        <w:rPr>
          <w:rFonts w:hint="eastAsia"/>
          <w:color w:val="000000" w:themeColor="text1"/>
          <w:kern w:val="2"/>
          <w:sz w:val="24"/>
          <w:szCs w:val="24"/>
          <w:highlight w:val="none"/>
          <w:lang w:val="en-US" w:bidi="ar-SA"/>
          <w14:textFill>
            <w14:solidFill>
              <w14:schemeClr w14:val="tx1"/>
            </w14:solidFill>
          </w14:textFill>
        </w:rPr>
        <w:t>时，一边可坐人操作；</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L&gt;1200mm</w:t>
      </w:r>
      <w:r>
        <w:rPr>
          <w:rFonts w:hint="eastAsia"/>
          <w:color w:val="000000" w:themeColor="text1"/>
          <w:kern w:val="2"/>
          <w:sz w:val="24"/>
          <w:szCs w:val="24"/>
          <w:highlight w:val="none"/>
          <w:lang w:val="en-US" w:bidi="ar-SA"/>
          <w14:textFill>
            <w14:solidFill>
              <w14:schemeClr w14:val="tx1"/>
            </w14:solidFill>
          </w14:textFill>
        </w:rPr>
        <w:t>时，一边可坐人，一边可站人，中间不可过人</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L&gt;1500mm</w:t>
      </w:r>
      <w:r>
        <w:rPr>
          <w:rFonts w:hint="eastAsia"/>
          <w:color w:val="000000" w:themeColor="text1"/>
          <w:kern w:val="2"/>
          <w:sz w:val="24"/>
          <w:szCs w:val="24"/>
          <w:highlight w:val="none"/>
          <w:lang w:val="en-US" w:bidi="ar-SA"/>
          <w14:textFill>
            <w14:solidFill>
              <w14:schemeClr w14:val="tx1"/>
            </w14:solidFill>
          </w14:textFill>
        </w:rPr>
        <w:t>时，两边可坐人，中间可过人；</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L&gt;1800mm</w:t>
      </w:r>
      <w:r>
        <w:rPr>
          <w:rFonts w:hint="eastAsia"/>
          <w:color w:val="000000" w:themeColor="text1"/>
          <w:kern w:val="2"/>
          <w:sz w:val="24"/>
          <w:szCs w:val="24"/>
          <w:highlight w:val="none"/>
          <w:lang w:val="en-US" w:bidi="ar-SA"/>
          <w14:textFill>
            <w14:solidFill>
              <w14:schemeClr w14:val="tx1"/>
            </w14:solidFill>
          </w14:textFill>
        </w:rPr>
        <w:t>时，两边可坐人，中间可过人可过仪器</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left="24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）天平台、仪器台不宜离墙太近，离墙</w:t>
      </w:r>
      <w:r>
        <w:rPr>
          <w:color w:val="000000" w:themeColor="text1"/>
          <w:kern w:val="2"/>
          <w:sz w:val="24"/>
          <w:szCs w:val="24"/>
          <w:highlight w:val="none"/>
          <w:lang w:val="en-US" w:bidi="ar-SA"/>
          <w14:textFill>
            <w14:solidFill>
              <w14:schemeClr w14:val="tx1"/>
            </w14:solidFill>
          </w14:textFill>
        </w:rPr>
        <w:t>400mm</w:t>
      </w:r>
      <w:r>
        <w:rPr>
          <w:rFonts w:hint="eastAsia"/>
          <w:color w:val="000000" w:themeColor="text1"/>
          <w:kern w:val="2"/>
          <w:sz w:val="24"/>
          <w:szCs w:val="24"/>
          <w:highlight w:val="none"/>
          <w:lang w:val="en-US" w:bidi="ar-SA"/>
          <w14:textFill>
            <w14:solidFill>
              <w14:schemeClr w14:val="tx1"/>
            </w14:solidFill>
          </w14:textFill>
        </w:rPr>
        <w:t>为宜。</w:t>
      </w:r>
    </w:p>
    <w:p>
      <w:pPr>
        <w:keepNext/>
        <w:keepLines/>
        <w:numPr>
          <w:ilvl w:val="1"/>
          <w:numId w:val="0"/>
        </w:numPr>
        <w:autoSpaceDE/>
        <w:autoSpaceDN/>
        <w:spacing w:before="260" w:after="260" w:line="240" w:lineRule="atLeast"/>
        <w:ind w:left="-153"/>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61" w:name="_Toc30186_WPSOffice_Level2"/>
      <w:bookmarkStart w:id="62" w:name="_Toc4312_WPSOffice_Level2"/>
      <w:bookmarkStart w:id="63" w:name="_Toc20428"/>
      <w:r>
        <w:rPr>
          <w:b/>
          <w:bCs/>
          <w:color w:val="000000" w:themeColor="text1"/>
          <w:kern w:val="2"/>
          <w:sz w:val="24"/>
          <w:szCs w:val="24"/>
          <w:highlight w:val="none"/>
          <w:lang w:val="en-US" w:bidi="ar-SA"/>
          <w14:textFill>
            <w14:solidFill>
              <w14:schemeClr w14:val="tx1"/>
            </w14:solidFill>
          </w14:textFill>
        </w:rPr>
        <w:t>2</w:t>
      </w:r>
      <w:r>
        <w:rPr>
          <w:rFonts w:hint="eastAsia"/>
          <w:b/>
          <w:bCs/>
          <w:color w:val="000000" w:themeColor="text1"/>
          <w:kern w:val="2"/>
          <w:sz w:val="24"/>
          <w:szCs w:val="24"/>
          <w:highlight w:val="none"/>
          <w:lang w:val="en-US" w:bidi="ar-SA"/>
          <w14:textFill>
            <w14:solidFill>
              <w14:schemeClr w14:val="tx1"/>
            </w14:solidFill>
          </w14:textFill>
        </w:rPr>
        <w:t>、实验室通风废气处理系统设备要点</w:t>
      </w:r>
      <w:bookmarkEnd w:id="61"/>
      <w:bookmarkEnd w:id="62"/>
      <w:bookmarkEnd w:id="63"/>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）本次通风工程施工，主通风风管管道将通过原风井，连通至楼顶通风废气处理系统。</w:t>
      </w:r>
    </w:p>
    <w:p>
      <w:pPr>
        <w:autoSpaceDE/>
        <w:autoSpaceDN/>
        <w:spacing w:before="240" w:after="240" w:line="360" w:lineRule="auto"/>
        <w:ind w:firstLine="720" w:firstLineChars="3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本废气处理工艺中，实验室所产生之废气首先经由使用端通风设备收集后进入风管。然后废气自上而下通过活性炭吸附系统，此过程中废气中的</w:t>
      </w:r>
      <w:r>
        <w:rPr>
          <w:color w:val="000000" w:themeColor="text1"/>
          <w:kern w:val="2"/>
          <w:sz w:val="24"/>
          <w:szCs w:val="24"/>
          <w:highlight w:val="none"/>
          <w:lang w:val="en-US" w:bidi="ar-SA"/>
          <w14:textFill>
            <w14:solidFill>
              <w14:schemeClr w14:val="tx1"/>
            </w14:solidFill>
          </w14:textFill>
        </w:rPr>
        <w:t>90%</w:t>
      </w:r>
      <w:r>
        <w:rPr>
          <w:rFonts w:hint="eastAsia"/>
          <w:color w:val="000000" w:themeColor="text1"/>
          <w:kern w:val="2"/>
          <w:sz w:val="24"/>
          <w:szCs w:val="24"/>
          <w:highlight w:val="none"/>
          <w:lang w:val="en-US" w:bidi="ar-SA"/>
          <w14:textFill>
            <w14:solidFill>
              <w14:schemeClr w14:val="tx1"/>
            </w14:solidFill>
          </w14:textFill>
        </w:rPr>
        <w:t>以上有机废气、全部微尘、颗粒物及少量无机废气将被活性炭所吸附，即可达到排放要求。</w:t>
      </w:r>
    </w:p>
    <w:p>
      <w:pPr>
        <w:autoSpaceDE/>
        <w:autoSpaceDN/>
        <w:spacing w:before="240" w:after="240" w:line="360" w:lineRule="auto"/>
        <w:ind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针对实验室所产生废气种类包含无机废气和有机废气的特点，在处理方案上力求做到如下原则：</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、执行国家相关环境保护政策和有关法规、规范及标准；废气治理工程系统运行稳定可靠。</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、采用技术成熟、工艺先进、易于操作管理的处理工艺，系统操作、管理及维护简便。</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、处理工艺中选用的设备应与该实验室现有设备配套，不影响该实验室现有设备的正常运行，兼顾原有的设施，应地制宜，降低投资成本。</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、根据大楼的结构特点</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就近开设风井</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划分排风和补风系统</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管道系统做到“短、平、顺、直</w:t>
      </w:r>
      <w:r>
        <w:rPr>
          <w:color w:val="000000" w:themeColor="text1"/>
          <w:kern w:val="2"/>
          <w:sz w:val="24"/>
          <w:szCs w:val="24"/>
          <w:highlight w:val="none"/>
          <w:lang w:val="en-US" w:bidi="ar-SA"/>
          <w14:textFill>
            <w14:solidFill>
              <w14:schemeClr w14:val="tx1"/>
            </w14:solidFill>
          </w14:textFill>
        </w:rPr>
        <w:t>" ,</w:t>
      </w:r>
      <w:r>
        <w:rPr>
          <w:rFonts w:hint="eastAsia"/>
          <w:color w:val="000000" w:themeColor="text1"/>
          <w:kern w:val="2"/>
          <w:sz w:val="24"/>
          <w:szCs w:val="24"/>
          <w:highlight w:val="none"/>
          <w:lang w:val="en-US" w:bidi="ar-SA"/>
          <w14:textFill>
            <w14:solidFill>
              <w14:schemeClr w14:val="tx1"/>
            </w14:solidFill>
          </w14:textFill>
        </w:rPr>
        <w:t>减小系统阻力</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降低系统噪声</w:t>
      </w:r>
      <w:r>
        <w:rPr>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5</w:t>
      </w:r>
      <w:r>
        <w:rPr>
          <w:rFonts w:hint="eastAsia"/>
          <w:color w:val="000000" w:themeColor="text1"/>
          <w:kern w:val="2"/>
          <w:sz w:val="24"/>
          <w:szCs w:val="24"/>
          <w:highlight w:val="none"/>
          <w:lang w:val="en-US" w:bidi="ar-SA"/>
          <w14:textFill>
            <w14:solidFill>
              <w14:schemeClr w14:val="tx1"/>
            </w14:solidFill>
          </w14:textFill>
        </w:rPr>
        <w:t>、在设计中充分考虑噪声、真味等</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防止二次污染的产生</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不给周围环境造成新的污染</w:t>
      </w:r>
      <w:r>
        <w:rPr>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、处理设施具备冲击负荷能力</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确保度气达标排放。</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）变风量系统</w:t>
      </w:r>
      <w:r>
        <w:rPr>
          <w:color w:val="000000" w:themeColor="text1"/>
          <w:kern w:val="2"/>
          <w:sz w:val="24"/>
          <w:szCs w:val="24"/>
          <w:highlight w:val="none"/>
          <w:lang w:val="en-US" w:bidi="ar-SA"/>
          <w14:textFill>
            <w14:solidFill>
              <w14:schemeClr w14:val="tx1"/>
            </w14:solidFill>
          </w14:textFill>
        </w:rPr>
        <w:t>(VAV )</w:t>
      </w:r>
      <w:r>
        <w:rPr>
          <w:rFonts w:hint="eastAsia"/>
          <w:color w:val="000000" w:themeColor="text1"/>
          <w:kern w:val="2"/>
          <w:sz w:val="24"/>
          <w:szCs w:val="24"/>
          <w:highlight w:val="none"/>
          <w:lang w:val="en-US" w:bidi="ar-SA"/>
          <w14:textFill>
            <w14:solidFill>
              <w14:schemeClr w14:val="tx1"/>
            </w14:solidFill>
          </w14:textFill>
        </w:rPr>
        <w:t>控制</w:t>
      </w:r>
    </w:p>
    <w:p>
      <w:pPr>
        <w:autoSpaceDE/>
        <w:autoSpaceDN/>
        <w:spacing w:before="240" w:after="240" w:line="360" w:lineRule="auto"/>
        <w:ind w:firstLine="240" w:firstLineChars="1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、系统采用静压传感自动变频控制</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静压传感自动变频控制可以根据开启通风设备的数量变化</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将其感应到的静压转交成</w:t>
      </w:r>
      <w:r>
        <w:rPr>
          <w:color w:val="000000" w:themeColor="text1"/>
          <w:kern w:val="2"/>
          <w:sz w:val="24"/>
          <w:szCs w:val="24"/>
          <w:highlight w:val="none"/>
          <w:lang w:val="en-US" w:bidi="ar-SA"/>
          <w14:textFill>
            <w14:solidFill>
              <w14:schemeClr w14:val="tx1"/>
            </w14:solidFill>
          </w14:textFill>
        </w:rPr>
        <w:t>0-10v</w:t>
      </w:r>
      <w:r>
        <w:rPr>
          <w:rFonts w:hint="eastAsia"/>
          <w:color w:val="000000" w:themeColor="text1"/>
          <w:kern w:val="2"/>
          <w:sz w:val="24"/>
          <w:szCs w:val="24"/>
          <w:highlight w:val="none"/>
          <w:lang w:val="en-US" w:bidi="ar-SA"/>
          <w14:textFill>
            <w14:solidFill>
              <w14:schemeClr w14:val="tx1"/>
            </w14:solidFill>
          </w14:textFill>
        </w:rPr>
        <w:t>的电信号输入交预器从而自动调节风机频率</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使风机的抽风量与或际所需排风量相匹配</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从而确保排风效果</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达到节能节噪的效果</w:t>
      </w:r>
    </w:p>
    <w:p>
      <w:pPr>
        <w:keepNext/>
        <w:keepLines/>
        <w:numPr>
          <w:ilvl w:val="1"/>
          <w:numId w:val="0"/>
        </w:numPr>
        <w:autoSpaceDE/>
        <w:autoSpaceDN/>
        <w:spacing w:before="260" w:after="260" w:line="240" w:lineRule="atLeast"/>
        <w:ind w:left="42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64" w:name="_Toc21618_WPSOffice_Level2"/>
      <w:bookmarkStart w:id="65" w:name="_Toc29819_WPSOffice_Level2"/>
      <w:r>
        <w:rPr>
          <w:b/>
          <w:bCs/>
          <w:color w:val="000000" w:themeColor="text1"/>
          <w:kern w:val="2"/>
          <w:sz w:val="24"/>
          <w:szCs w:val="24"/>
          <w:highlight w:val="none"/>
          <w:lang w:val="en-US" w:bidi="ar-SA"/>
          <w14:textFill>
            <w14:solidFill>
              <w14:schemeClr w14:val="tx1"/>
            </w14:solidFill>
          </w14:textFill>
        </w:rPr>
        <w:t>3</w:t>
      </w:r>
      <w:r>
        <w:rPr>
          <w:rFonts w:hint="eastAsia"/>
          <w:b/>
          <w:bCs/>
          <w:color w:val="000000" w:themeColor="text1"/>
          <w:kern w:val="2"/>
          <w:sz w:val="24"/>
          <w:szCs w:val="24"/>
          <w:highlight w:val="none"/>
          <w:lang w:val="en-US" w:bidi="ar-SA"/>
          <w14:textFill>
            <w14:solidFill>
              <w14:schemeClr w14:val="tx1"/>
            </w14:solidFill>
          </w14:textFill>
        </w:rPr>
        <w:t>、实验室集中供气系统设备要点</w:t>
      </w:r>
      <w:bookmarkEnd w:id="64"/>
      <w:bookmarkEnd w:id="65"/>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）供气参数</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、气体品种：共有</w:t>
      </w: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种气体</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氮气、氢气、空气、氦气，乙炔，氩气。</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、气瓶室集中供气</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、压力要求：气源</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高压瓶装气体，按国家标准充装。</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、终端使用压力</w:t>
      </w:r>
      <w:r>
        <w:rPr>
          <w:color w:val="000000" w:themeColor="text1"/>
          <w:kern w:val="2"/>
          <w:sz w:val="24"/>
          <w:szCs w:val="24"/>
          <w:highlight w:val="none"/>
          <w:lang w:val="en-US" w:bidi="ar-SA"/>
          <w14:textFill>
            <w14:solidFill>
              <w14:schemeClr w14:val="tx1"/>
            </w14:solidFill>
          </w14:textFill>
        </w:rPr>
        <w:t>——0.1Mpa</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0.8Mpa</w:t>
      </w:r>
      <w:r>
        <w:rPr>
          <w:rFonts w:hint="eastAsia"/>
          <w:color w:val="000000" w:themeColor="text1"/>
          <w:kern w:val="2"/>
          <w:sz w:val="24"/>
          <w:szCs w:val="24"/>
          <w:highlight w:val="none"/>
          <w:lang w:val="en-US" w:bidi="ar-SA"/>
          <w14:textFill>
            <w14:solidFill>
              <w14:schemeClr w14:val="tx1"/>
            </w14:solidFill>
          </w14:textFill>
        </w:rPr>
        <w:t>，可调节。</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5</w:t>
      </w:r>
      <w:r>
        <w:rPr>
          <w:rFonts w:hint="eastAsia"/>
          <w:color w:val="000000" w:themeColor="text1"/>
          <w:kern w:val="2"/>
          <w:sz w:val="24"/>
          <w:szCs w:val="24"/>
          <w:highlight w:val="none"/>
          <w:lang w:val="en-US" w:bidi="ar-SA"/>
          <w14:textFill>
            <w14:solidFill>
              <w14:schemeClr w14:val="tx1"/>
            </w14:solidFill>
          </w14:textFill>
        </w:rPr>
        <w:t>、管道敷设方式：管道沿墙明敷设，就近引至使用点。</w:t>
      </w:r>
    </w:p>
    <w:p>
      <w:pPr>
        <w:pStyle w:val="31"/>
        <w:numPr>
          <w:ilvl w:val="0"/>
          <w:numId w:val="25"/>
        </w:num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均采用一级减压阀单瓶供气，终端配置开关阀和二级减压阀。</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7、管道全部采用不锈钢</w:t>
      </w:r>
      <w:r>
        <w:rPr>
          <w:color w:val="000000" w:themeColor="text1"/>
          <w:kern w:val="44"/>
          <w:sz w:val="24"/>
          <w:szCs w:val="24"/>
          <w:highlight w:val="none"/>
          <w:lang w:val="en-US" w:bidi="ar-SA"/>
          <w14:textFill>
            <w14:solidFill>
              <w14:schemeClr w14:val="tx1"/>
            </w14:solidFill>
          </w14:textFill>
        </w:rPr>
        <w:t>316L</w:t>
      </w:r>
      <w:r>
        <w:rPr>
          <w:rFonts w:hint="eastAsia"/>
          <w:color w:val="000000" w:themeColor="text1"/>
          <w:kern w:val="44"/>
          <w:sz w:val="24"/>
          <w:szCs w:val="24"/>
          <w:highlight w:val="none"/>
          <w:lang w:val="en-US" w:bidi="ar-SA"/>
          <w14:textFill>
            <w14:solidFill>
              <w14:schemeClr w14:val="tx1"/>
            </w14:solidFill>
          </w14:textFill>
        </w:rPr>
        <w:t>材料。</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（2）安全技术要求</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color w:val="000000" w:themeColor="text1"/>
          <w:kern w:val="44"/>
          <w:sz w:val="24"/>
          <w:szCs w:val="24"/>
          <w:highlight w:val="none"/>
          <w:lang w:val="en-US" w:bidi="ar-SA"/>
          <w14:textFill>
            <w14:solidFill>
              <w14:schemeClr w14:val="tx1"/>
            </w14:solidFill>
          </w14:textFill>
        </w:rPr>
        <w:t>1</w:t>
      </w:r>
      <w:r>
        <w:rPr>
          <w:rFonts w:hint="eastAsia"/>
          <w:color w:val="000000" w:themeColor="text1"/>
          <w:kern w:val="44"/>
          <w:sz w:val="24"/>
          <w:szCs w:val="24"/>
          <w:highlight w:val="none"/>
          <w:lang w:val="en-US" w:bidi="ar-SA"/>
          <w14:textFill>
            <w14:solidFill>
              <w14:schemeClr w14:val="tx1"/>
            </w14:solidFill>
          </w14:textFill>
        </w:rPr>
        <w:t>、可燃性气体房间采用防爆照明和排气扇，安装泄漏报警探头；</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color w:val="000000" w:themeColor="text1"/>
          <w:kern w:val="44"/>
          <w:sz w:val="24"/>
          <w:szCs w:val="24"/>
          <w:highlight w:val="none"/>
          <w:lang w:val="en-US" w:bidi="ar-SA"/>
          <w14:textFill>
            <w14:solidFill>
              <w14:schemeClr w14:val="tx1"/>
            </w14:solidFill>
          </w14:textFill>
        </w:rPr>
        <w:t>2</w:t>
      </w:r>
      <w:r>
        <w:rPr>
          <w:rFonts w:hint="eastAsia"/>
          <w:color w:val="000000" w:themeColor="text1"/>
          <w:kern w:val="44"/>
          <w:sz w:val="24"/>
          <w:szCs w:val="24"/>
          <w:highlight w:val="none"/>
          <w:lang w:val="en-US" w:bidi="ar-SA"/>
          <w14:textFill>
            <w14:solidFill>
              <w14:schemeClr w14:val="tx1"/>
            </w14:solidFill>
          </w14:textFill>
        </w:rPr>
        <w:t>、气瓶必须有相关固定装置，防止钢瓶意外摔倒；造成损害。</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color w:val="000000" w:themeColor="text1"/>
          <w:kern w:val="44"/>
          <w:sz w:val="24"/>
          <w:szCs w:val="24"/>
          <w:highlight w:val="none"/>
          <w:lang w:val="en-US" w:bidi="ar-SA"/>
          <w14:textFill>
            <w14:solidFill>
              <w14:schemeClr w14:val="tx1"/>
            </w14:solidFill>
          </w14:textFill>
        </w:rPr>
        <w:t>3</w:t>
      </w:r>
      <w:r>
        <w:rPr>
          <w:rFonts w:hint="eastAsia"/>
          <w:color w:val="000000" w:themeColor="text1"/>
          <w:kern w:val="44"/>
          <w:sz w:val="24"/>
          <w:szCs w:val="24"/>
          <w:highlight w:val="none"/>
          <w:lang w:val="en-US" w:bidi="ar-SA"/>
          <w14:textFill>
            <w14:solidFill>
              <w14:schemeClr w14:val="tx1"/>
            </w14:solidFill>
          </w14:textFill>
        </w:rPr>
        <w:t>、管道安装完毕必须进行压力试验。</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（3）配套设备及材料</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从安全经济性考虑，气瓶房供气总台选用高压不锈钢管配高压瓶阀；减压阀采用特气专用阀；管道根据气体纯度要求选用实验室专用仪表管；</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室内终端选用仪器专用产品。</w:t>
      </w:r>
    </w:p>
    <w:p>
      <w:pPr>
        <w:numPr>
          <w:ilvl w:val="0"/>
          <w:numId w:val="26"/>
        </w:num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高压气瓶：按国家标准气瓶充气及使用，由使用单位自备。</w:t>
      </w:r>
    </w:p>
    <w:p>
      <w:pPr>
        <w:numPr>
          <w:ilvl w:val="0"/>
          <w:numId w:val="26"/>
        </w:num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气瓶房：全部选用国产高级实验室产品，包括高压专用减压器、自动切换装置、高压不锈钢软管、阀性能可靠，外观精美。</w:t>
      </w:r>
    </w:p>
    <w:p>
      <w:pPr>
        <w:numPr>
          <w:ilvl w:val="0"/>
          <w:numId w:val="26"/>
        </w:numPr>
        <w:autoSpaceDE/>
        <w:autoSpaceDN/>
        <w:spacing w:before="240" w:after="240" w:line="360" w:lineRule="auto"/>
        <w:jc w:val="both"/>
        <w:rPr>
          <w:rFonts w:hAnsi="Calibri" w:cs="Times New Roman"/>
          <w:b/>
          <w:bCs/>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管道：全部管道采用高纯气体</w:t>
      </w:r>
      <w:r>
        <w:rPr>
          <w:color w:val="000000" w:themeColor="text1"/>
          <w:kern w:val="44"/>
          <w:sz w:val="24"/>
          <w:szCs w:val="24"/>
          <w:highlight w:val="none"/>
          <w:lang w:val="en-US" w:bidi="ar-SA"/>
          <w14:textFill>
            <w14:solidFill>
              <w14:schemeClr w14:val="tx1"/>
            </w14:solidFill>
          </w14:textFill>
        </w:rPr>
        <w:t>BA</w:t>
      </w:r>
      <w:r>
        <w:rPr>
          <w:rFonts w:hint="eastAsia"/>
          <w:color w:val="000000" w:themeColor="text1"/>
          <w:kern w:val="44"/>
          <w:sz w:val="24"/>
          <w:szCs w:val="24"/>
          <w:highlight w:val="none"/>
          <w:lang w:val="en-US" w:bidi="ar-SA"/>
          <w14:textFill>
            <w14:solidFill>
              <w14:schemeClr w14:val="tx1"/>
            </w14:solidFill>
          </w14:textFill>
        </w:rPr>
        <w:t>级仪表标准，</w:t>
      </w:r>
      <w:r>
        <w:rPr>
          <w:color w:val="000000" w:themeColor="text1"/>
          <w:kern w:val="44"/>
          <w:sz w:val="24"/>
          <w:szCs w:val="24"/>
          <w:highlight w:val="none"/>
          <w:lang w:val="en-US" w:bidi="ar-SA"/>
          <w14:textFill>
            <w14:solidFill>
              <w14:schemeClr w14:val="tx1"/>
            </w14:solidFill>
          </w14:textFill>
        </w:rPr>
        <w:t>BA</w:t>
      </w:r>
      <w:r>
        <w:rPr>
          <w:rFonts w:hint="eastAsia"/>
          <w:color w:val="000000" w:themeColor="text1"/>
          <w:kern w:val="44"/>
          <w:sz w:val="24"/>
          <w:szCs w:val="24"/>
          <w:highlight w:val="none"/>
          <w:lang w:val="en-US" w:bidi="ar-SA"/>
          <w14:textFill>
            <w14:solidFill>
              <w14:schemeClr w14:val="tx1"/>
            </w14:solidFill>
          </w14:textFill>
        </w:rPr>
        <w:t>级不锈钢管</w:t>
      </w:r>
      <w:r>
        <w:rPr>
          <w:color w:val="000000" w:themeColor="text1"/>
          <w:kern w:val="44"/>
          <w:sz w:val="24"/>
          <w:szCs w:val="24"/>
          <w:highlight w:val="none"/>
          <w:lang w:val="en-US" w:bidi="ar-SA"/>
          <w14:textFill>
            <w14:solidFill>
              <w14:schemeClr w14:val="tx1"/>
            </w14:solidFill>
          </w14:textFill>
        </w:rPr>
        <w:t>1/4OD</w:t>
      </w:r>
      <w:r>
        <w:rPr>
          <w:rFonts w:hint="eastAsia"/>
          <w:color w:val="000000" w:themeColor="text1"/>
          <w:kern w:val="44"/>
          <w:sz w:val="24"/>
          <w:szCs w:val="24"/>
          <w:highlight w:val="none"/>
          <w:lang w:val="en-US" w:bidi="ar-SA"/>
          <w14:textFill>
            <w14:solidFill>
              <w14:schemeClr w14:val="tx1"/>
            </w14:solidFill>
          </w14:textFill>
        </w:rPr>
        <w:t>，（</w:t>
      </w:r>
      <w:r>
        <w:rPr>
          <w:color w:val="000000" w:themeColor="text1"/>
          <w:kern w:val="44"/>
          <w:sz w:val="24"/>
          <w:szCs w:val="24"/>
          <w:highlight w:val="none"/>
          <w:lang w:val="en-US" w:bidi="ar-SA"/>
          <w14:textFill>
            <w14:solidFill>
              <w14:schemeClr w14:val="tx1"/>
            </w14:solidFill>
          </w14:textFill>
        </w:rPr>
        <w:t>6.35*0.89MM</w:t>
      </w:r>
      <w:r>
        <w:rPr>
          <w:rFonts w:hint="eastAsia"/>
          <w:color w:val="000000" w:themeColor="text1"/>
          <w:kern w:val="44"/>
          <w:sz w:val="24"/>
          <w:szCs w:val="24"/>
          <w:highlight w:val="none"/>
          <w:lang w:val="en-US" w:bidi="ar-SA"/>
          <w14:textFill>
            <w14:solidFill>
              <w14:schemeClr w14:val="tx1"/>
            </w14:solidFill>
          </w14:textFill>
        </w:rPr>
        <w:t>），经外表面抛光，酸洗钝化，光辉退火处理后达到标准级别</w:t>
      </w:r>
      <w:r>
        <w:rPr>
          <w:color w:val="000000" w:themeColor="text1"/>
          <w:kern w:val="44"/>
          <w:sz w:val="24"/>
          <w:szCs w:val="24"/>
          <w:highlight w:val="none"/>
          <w:lang w:val="en-US" w:bidi="ar-SA"/>
          <w14:textFill>
            <w14:solidFill>
              <w14:schemeClr w14:val="tx1"/>
            </w14:solidFill>
          </w14:textFill>
        </w:rPr>
        <w:t>(</w:t>
      </w:r>
      <w:r>
        <w:rPr>
          <w:rFonts w:hint="eastAsia"/>
          <w:color w:val="000000" w:themeColor="text1"/>
          <w:kern w:val="44"/>
          <w:sz w:val="24"/>
          <w:szCs w:val="24"/>
          <w:highlight w:val="none"/>
          <w:lang w:val="en-US" w:bidi="ar-SA"/>
          <w14:textFill>
            <w14:solidFill>
              <w14:schemeClr w14:val="tx1"/>
            </w14:solidFill>
          </w14:textFill>
        </w:rPr>
        <w:t>具有耐腐蚀性，耐高温、抗蠕变性</w:t>
      </w:r>
      <w:r>
        <w:rPr>
          <w:color w:val="000000" w:themeColor="text1"/>
          <w:kern w:val="44"/>
          <w:sz w:val="24"/>
          <w:szCs w:val="24"/>
          <w:highlight w:val="none"/>
          <w:lang w:val="en-US" w:bidi="ar-SA"/>
          <w14:textFill>
            <w14:solidFill>
              <w14:schemeClr w14:val="tx1"/>
            </w14:solidFill>
          </w14:textFill>
        </w:rPr>
        <w:t>)</w:t>
      </w:r>
      <w:r>
        <w:rPr>
          <w:rFonts w:hint="eastAsia"/>
          <w:color w:val="000000" w:themeColor="text1"/>
          <w:kern w:val="44"/>
          <w:sz w:val="24"/>
          <w:szCs w:val="24"/>
          <w:highlight w:val="none"/>
          <w:lang w:val="en-US" w:bidi="ar-SA"/>
          <w14:textFill>
            <w14:solidFill>
              <w14:schemeClr w14:val="tx1"/>
            </w14:solidFill>
          </w14:textFill>
        </w:rPr>
        <w:t>，管内壁厚</w:t>
      </w:r>
      <w:r>
        <w:rPr>
          <w:rFonts w:hAnsi="Calibri"/>
          <w:color w:val="000000" w:themeColor="text1"/>
          <w:kern w:val="44"/>
          <w:sz w:val="24"/>
          <w:szCs w:val="24"/>
          <w:highlight w:val="none"/>
          <w:lang w:val="en-US" w:bidi="ar-SA"/>
          <w14:textFill>
            <w14:solidFill>
              <w14:schemeClr w14:val="tx1"/>
            </w14:solidFill>
          </w14:textFill>
        </w:rPr>
        <w:t>0.</w:t>
      </w:r>
      <w:r>
        <w:rPr>
          <w:color w:val="000000" w:themeColor="text1"/>
          <w:kern w:val="44"/>
          <w:sz w:val="24"/>
          <w:szCs w:val="24"/>
          <w:highlight w:val="none"/>
          <w:lang w:val="en-US" w:bidi="ar-SA"/>
          <w14:textFill>
            <w14:solidFill>
              <w14:schemeClr w14:val="tx1"/>
            </w14:solidFill>
          </w14:textFill>
        </w:rPr>
        <w:t>89mm</w:t>
      </w:r>
      <w:r>
        <w:rPr>
          <w:rFonts w:hint="eastAsia"/>
          <w:color w:val="000000" w:themeColor="text1"/>
          <w:kern w:val="44"/>
          <w:sz w:val="24"/>
          <w:szCs w:val="24"/>
          <w:highlight w:val="none"/>
          <w:lang w:val="en-US" w:bidi="ar-SA"/>
          <w14:textFill>
            <w14:solidFill>
              <w14:schemeClr w14:val="tx1"/>
            </w14:solidFill>
          </w14:textFill>
        </w:rPr>
        <w:t>，光洁度均值为</w:t>
      </w:r>
      <w:r>
        <w:rPr>
          <w:color w:val="000000" w:themeColor="text1"/>
          <w:kern w:val="44"/>
          <w:sz w:val="24"/>
          <w:szCs w:val="24"/>
          <w:highlight w:val="none"/>
          <w:lang w:val="en-US" w:bidi="ar-SA"/>
          <w14:textFill>
            <w14:solidFill>
              <w14:schemeClr w14:val="tx1"/>
            </w14:solidFill>
          </w14:textFill>
        </w:rPr>
        <w:t>Ra0.4</w:t>
      </w:r>
      <w:r>
        <w:rPr>
          <w:rFonts w:hint="eastAsia"/>
          <w:color w:val="000000" w:themeColor="text1"/>
          <w:kern w:val="44"/>
          <w:sz w:val="24"/>
          <w:szCs w:val="24"/>
          <w:highlight w:val="none"/>
          <w:lang w:val="en-US" w:bidi="ar-SA"/>
          <w14:textFill>
            <w14:solidFill>
              <w14:schemeClr w14:val="tx1"/>
            </w14:solidFill>
          </w14:textFill>
        </w:rPr>
        <w:t>μ</w:t>
      </w:r>
      <w:r>
        <w:rPr>
          <w:color w:val="000000" w:themeColor="text1"/>
          <w:kern w:val="44"/>
          <w:sz w:val="24"/>
          <w:szCs w:val="24"/>
          <w:highlight w:val="none"/>
          <w:lang w:val="en-US" w:bidi="ar-SA"/>
          <w14:textFill>
            <w14:solidFill>
              <w14:schemeClr w14:val="tx1"/>
            </w14:solidFill>
          </w14:textFill>
        </w:rPr>
        <w:t>m</w:t>
      </w:r>
      <w:r>
        <w:rPr>
          <w:rFonts w:hint="eastAsia"/>
          <w:color w:val="000000" w:themeColor="text1"/>
          <w:kern w:val="44"/>
          <w:sz w:val="24"/>
          <w:szCs w:val="24"/>
          <w:highlight w:val="none"/>
          <w:lang w:val="en-US" w:bidi="ar-SA"/>
          <w14:textFill>
            <w14:solidFill>
              <w14:schemeClr w14:val="tx1"/>
            </w14:solidFill>
          </w14:textFill>
        </w:rPr>
        <w:t>，适用于高纯气体的供气。管与管连接方式为卡套连接，阀门与管连接方式为卡套，方便维修更换。</w:t>
      </w:r>
    </w:p>
    <w:p>
      <w:pPr>
        <w:numPr>
          <w:ilvl w:val="0"/>
          <w:numId w:val="26"/>
        </w:num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阀门：管道前后控制阀门选用高级不锈钢球阀，性能安全可靠，确保使用安全。</w:t>
      </w:r>
    </w:p>
    <w:p>
      <w:pPr>
        <w:autoSpaceDE/>
        <w:autoSpaceDN/>
        <w:spacing w:before="240" w:after="240" w:line="360" w:lineRule="auto"/>
        <w:jc w:val="both"/>
        <w:rPr>
          <w:rFonts w:hAnsi="Calibri" w:cs="Times New Roman"/>
          <w:color w:val="000000" w:themeColor="text1"/>
          <w:kern w:val="44"/>
          <w:sz w:val="24"/>
          <w:szCs w:val="24"/>
          <w:highlight w:val="none"/>
          <w:lang w:val="en-US" w:bidi="ar-SA"/>
          <w14:textFill>
            <w14:solidFill>
              <w14:schemeClr w14:val="tx1"/>
            </w14:solidFill>
          </w14:textFill>
        </w:rPr>
      </w:pPr>
      <w:r>
        <w:rPr>
          <w:color w:val="000000" w:themeColor="text1"/>
          <w:kern w:val="44"/>
          <w:sz w:val="24"/>
          <w:szCs w:val="24"/>
          <w:highlight w:val="none"/>
          <w:lang w:val="en-US" w:bidi="ar-SA"/>
          <w14:textFill>
            <w14:solidFill>
              <w14:schemeClr w14:val="tx1"/>
            </w14:solidFill>
          </w14:textFill>
        </w:rPr>
        <w:t>5</w:t>
      </w:r>
      <w:r>
        <w:rPr>
          <w:rFonts w:hint="eastAsia"/>
          <w:color w:val="000000" w:themeColor="text1"/>
          <w:kern w:val="44"/>
          <w:sz w:val="24"/>
          <w:szCs w:val="24"/>
          <w:highlight w:val="none"/>
          <w:lang w:val="en-US" w:bidi="ar-SA"/>
          <w14:textFill>
            <w14:solidFill>
              <w14:schemeClr w14:val="tx1"/>
            </w14:solidFill>
          </w14:textFill>
        </w:rPr>
        <w:t>、终端减压：选用高级特气管道减压阀，确保输出压力稳定，满足不同使用压力要求。</w:t>
      </w:r>
    </w:p>
    <w:p>
      <w:pPr>
        <w:autoSpaceDE/>
        <w:autoSpaceDN/>
        <w:spacing w:before="240" w:after="240" w:line="360" w:lineRule="auto"/>
        <w:jc w:val="both"/>
        <w:rPr>
          <w:rFonts w:hAnsi="Calibri" w:cs="Times New Roman"/>
          <w:b/>
          <w:bCs/>
          <w:color w:val="000000" w:themeColor="text1"/>
          <w:kern w:val="44"/>
          <w:sz w:val="28"/>
          <w:szCs w:val="28"/>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）其他说明</w:t>
      </w:r>
      <w:r>
        <w:rPr>
          <w:rFonts w:hint="eastAsia"/>
          <w:color w:val="000000" w:themeColor="text1"/>
          <w:kern w:val="44"/>
          <w:sz w:val="24"/>
          <w:szCs w:val="24"/>
          <w:highlight w:val="none"/>
          <w:lang w:val="en-US" w:bidi="ar-SA"/>
          <w14:textFill>
            <w14:solidFill>
              <w14:schemeClr w14:val="tx1"/>
            </w14:solidFill>
          </w14:textFill>
        </w:rPr>
        <w:t>按相关标准及规范执行。</w:t>
      </w:r>
    </w:p>
    <w:p>
      <w:pPr>
        <w:keepNext/>
        <w:keepLines/>
        <w:numPr>
          <w:ilvl w:val="1"/>
          <w:numId w:val="0"/>
        </w:numPr>
        <w:autoSpaceDE/>
        <w:autoSpaceDN/>
        <w:spacing w:before="260" w:after="260" w:line="240" w:lineRule="atLeast"/>
        <w:ind w:left="420"/>
        <w:outlineLvl w:val="1"/>
        <w:rPr>
          <w:rFonts w:hAnsi="Arial" w:cs="Times New Roman"/>
          <w:b/>
          <w:bCs/>
          <w:color w:val="000000" w:themeColor="text1"/>
          <w:kern w:val="2"/>
          <w:sz w:val="24"/>
          <w:szCs w:val="24"/>
          <w:highlight w:val="none"/>
          <w:lang w:val="en-US" w:bidi="ar-SA"/>
          <w14:textFill>
            <w14:solidFill>
              <w14:schemeClr w14:val="tx1"/>
            </w14:solidFill>
          </w14:textFill>
        </w:rPr>
      </w:pPr>
      <w:r>
        <w:rPr>
          <w:b/>
          <w:bCs/>
          <w:color w:val="000000" w:themeColor="text1"/>
          <w:kern w:val="2"/>
          <w:sz w:val="24"/>
          <w:szCs w:val="24"/>
          <w:highlight w:val="none"/>
          <w:lang w:val="en-US" w:bidi="ar-SA"/>
          <w14:textFill>
            <w14:solidFill>
              <w14:schemeClr w14:val="tx1"/>
            </w14:solidFill>
          </w14:textFill>
        </w:rPr>
        <w:t>4</w:t>
      </w:r>
      <w:r>
        <w:rPr>
          <w:rFonts w:hint="eastAsia"/>
          <w:b/>
          <w:bCs/>
          <w:color w:val="000000" w:themeColor="text1"/>
          <w:kern w:val="2"/>
          <w:sz w:val="24"/>
          <w:szCs w:val="24"/>
          <w:highlight w:val="none"/>
          <w:lang w:val="en-US" w:bidi="ar-SA"/>
          <w14:textFill>
            <w14:solidFill>
              <w14:schemeClr w14:val="tx1"/>
            </w14:solidFill>
          </w14:textFill>
        </w:rPr>
        <w:t>、实验室废水处理系统设备技术参数要求</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）概况</w:t>
      </w:r>
    </w:p>
    <w:p>
      <w:pPr>
        <w:autoSpaceDE/>
        <w:autoSpaceDN/>
        <w:spacing w:before="240" w:after="240" w:line="360" w:lineRule="auto"/>
        <w:ind w:firstLine="480" w:firstLineChars="200"/>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根据预估的实验污水处理量（</w:t>
      </w:r>
      <w:r>
        <w:rPr>
          <w:color w:val="000000" w:themeColor="text1"/>
          <w:kern w:val="44"/>
          <w:sz w:val="24"/>
          <w:szCs w:val="24"/>
          <w:highlight w:val="none"/>
          <w:lang w:val="en-US" w:bidi="ar-SA"/>
          <w14:textFill>
            <w14:solidFill>
              <w14:schemeClr w14:val="tx1"/>
            </w14:solidFill>
          </w14:textFill>
        </w:rPr>
        <w:t>13</w:t>
      </w:r>
      <w:r>
        <w:rPr>
          <w:rFonts w:hint="eastAsia"/>
          <w:color w:val="000000" w:themeColor="text1"/>
          <w:kern w:val="44"/>
          <w:sz w:val="24"/>
          <w:szCs w:val="24"/>
          <w:highlight w:val="none"/>
          <w:lang w:val="en-US" w:bidi="ar-SA"/>
          <w14:textFill>
            <w14:solidFill>
              <w14:schemeClr w14:val="tx1"/>
            </w14:solidFill>
          </w14:textFill>
        </w:rPr>
        <w:t>层及</w:t>
      </w:r>
      <w:r>
        <w:rPr>
          <w:color w:val="000000" w:themeColor="text1"/>
          <w:kern w:val="44"/>
          <w:sz w:val="24"/>
          <w:szCs w:val="24"/>
          <w:highlight w:val="none"/>
          <w:lang w:val="en-US" w:bidi="ar-SA"/>
          <w14:textFill>
            <w14:solidFill>
              <w14:schemeClr w14:val="tx1"/>
            </w14:solidFill>
          </w14:textFill>
        </w:rPr>
        <w:t>14</w:t>
      </w:r>
      <w:r>
        <w:rPr>
          <w:rFonts w:hint="eastAsia"/>
          <w:color w:val="000000" w:themeColor="text1"/>
          <w:kern w:val="44"/>
          <w:sz w:val="24"/>
          <w:szCs w:val="24"/>
          <w:highlight w:val="none"/>
          <w:lang w:val="en-US" w:bidi="ar-SA"/>
          <w14:textFill>
            <w14:solidFill>
              <w14:schemeClr w14:val="tx1"/>
            </w14:solidFill>
          </w14:textFill>
        </w:rPr>
        <w:t>层实验室用水量），设计为</w:t>
      </w:r>
      <w:r>
        <w:rPr>
          <w:color w:val="000000" w:themeColor="text1"/>
          <w:kern w:val="44"/>
          <w:sz w:val="24"/>
          <w:szCs w:val="24"/>
          <w:highlight w:val="none"/>
          <w:lang w:val="en-US" w:bidi="ar-SA"/>
          <w14:textFill>
            <w14:solidFill>
              <w14:schemeClr w14:val="tx1"/>
            </w14:solidFill>
          </w14:textFill>
        </w:rPr>
        <w:t>2T/</w:t>
      </w:r>
      <w:r>
        <w:rPr>
          <w:rFonts w:hint="eastAsia"/>
          <w:color w:val="000000" w:themeColor="text1"/>
          <w:kern w:val="44"/>
          <w:sz w:val="24"/>
          <w:szCs w:val="24"/>
          <w:highlight w:val="none"/>
          <w:lang w:val="en-US" w:bidi="ar-SA"/>
          <w14:textFill>
            <w14:solidFill>
              <w14:schemeClr w14:val="tx1"/>
            </w14:solidFill>
          </w14:textFill>
        </w:rPr>
        <w:t>日的整体污水处理设备，其专为中型环保实验机构而设计、开发的组合型自动废水处理设备，其集先进的</w:t>
      </w:r>
      <w:r>
        <w:rPr>
          <w:color w:val="000000" w:themeColor="text1"/>
          <w:kern w:val="44"/>
          <w:sz w:val="24"/>
          <w:szCs w:val="24"/>
          <w:highlight w:val="none"/>
          <w:lang w:val="en-US" w:bidi="ar-SA"/>
          <w14:textFill>
            <w14:solidFill>
              <w14:schemeClr w14:val="tx1"/>
            </w14:solidFill>
          </w14:textFill>
        </w:rPr>
        <w:t>PH</w:t>
      </w:r>
      <w:r>
        <w:rPr>
          <w:rFonts w:hint="eastAsia"/>
          <w:color w:val="000000" w:themeColor="text1"/>
          <w:kern w:val="44"/>
          <w:sz w:val="24"/>
          <w:szCs w:val="24"/>
          <w:highlight w:val="none"/>
          <w:lang w:val="en-US" w:bidi="ar-SA"/>
          <w14:textFill>
            <w14:solidFill>
              <w14:schemeClr w14:val="tx1"/>
            </w14:solidFill>
          </w14:textFill>
        </w:rPr>
        <w:t>自控仪、反应槽、投药组件一体，形成一个完整的废水处理系统。用户只需接上进、出水管</w:t>
      </w:r>
      <w:r>
        <w:rPr>
          <w:rFonts w:hAnsi="Calibri"/>
          <w:color w:val="000000" w:themeColor="text1"/>
          <w:kern w:val="44"/>
          <w:sz w:val="24"/>
          <w:szCs w:val="24"/>
          <w:highlight w:val="none"/>
          <w:lang w:val="en-US" w:bidi="ar-SA"/>
          <w14:textFill>
            <w14:solidFill>
              <w14:schemeClr w14:val="tx1"/>
            </w14:solidFill>
          </w14:textFill>
        </w:rPr>
        <w:t>,</w:t>
      </w:r>
      <w:r>
        <w:rPr>
          <w:rFonts w:hint="eastAsia"/>
          <w:color w:val="000000" w:themeColor="text1"/>
          <w:kern w:val="44"/>
          <w:sz w:val="24"/>
          <w:szCs w:val="24"/>
          <w:highlight w:val="none"/>
          <w:lang w:val="en-US" w:bidi="ar-SA"/>
          <w14:textFill>
            <w14:solidFill>
              <w14:schemeClr w14:val="tx1"/>
            </w14:solidFill>
          </w14:textFill>
        </w:rPr>
        <w:t>插上电源即能投入使用，无需复杂的工程性施工。合理的组合设计使得设备既便于操作，又节省场地，自动监测、自动投药功能保证了废水的处理效果，同时又使药品的耗量和人力的需求降低到最底限度，本产品应用于各行业含重金属、酸碱、有机物、微生物混合的综合废水的处理。</w:t>
      </w:r>
    </w:p>
    <w:p>
      <w:pPr>
        <w:pStyle w:val="31"/>
        <w:numPr>
          <w:ilvl w:val="0"/>
          <w:numId w:val="27"/>
        </w:num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设计目的</w:t>
      </w:r>
    </w:p>
    <w:p>
      <w:pPr>
        <w:autoSpaceDE/>
        <w:autoSpaceDN/>
        <w:spacing w:before="240" w:after="240" w:line="360" w:lineRule="auto"/>
        <w:ind w:firstLine="480" w:firstLineChars="200"/>
        <w:jc w:val="both"/>
        <w:rPr>
          <w:color w:val="000000" w:themeColor="text1"/>
          <w:kern w:val="44"/>
          <w:sz w:val="24"/>
          <w:szCs w:val="24"/>
          <w:highlight w:val="none"/>
          <w:lang w:val="en-US" w:bidi="ar-SA"/>
          <w14:textFill>
            <w14:solidFill>
              <w14:schemeClr w14:val="tx1"/>
            </w14:solidFill>
          </w14:textFill>
        </w:rPr>
      </w:pPr>
      <w:r>
        <w:rPr>
          <w:rFonts w:hint="eastAsia"/>
          <w:color w:val="000000" w:themeColor="text1"/>
          <w:kern w:val="44"/>
          <w:sz w:val="24"/>
          <w:szCs w:val="24"/>
          <w:highlight w:val="none"/>
          <w:lang w:val="en-US" w:bidi="ar-SA"/>
          <w14:textFill>
            <w14:solidFill>
              <w14:schemeClr w14:val="tx1"/>
            </w14:solidFill>
          </w14:textFill>
        </w:rPr>
        <w:t>针对实验室生产废水特性，对处理工艺、设备选型等进行多方面比较，确定适宜的处理工程构（建）筑物布置，采用技术先进、处理效果好、运行稳定、投资省、运行成本低的工艺，同时使工程获得最佳的环境效益、社会效益和经济效益。</w:t>
      </w:r>
      <w:bookmarkStart w:id="66" w:name="_Toc13606_WPSOffice_Level2"/>
      <w:bookmarkStart w:id="67" w:name="_Toc27860_WPSOffice_Level2"/>
      <w:bookmarkStart w:id="68" w:name="_Toc24490_WPSOffice_Level2"/>
    </w:p>
    <w:p>
      <w:pPr>
        <w:pStyle w:val="31"/>
        <w:numPr>
          <w:ilvl w:val="0"/>
          <w:numId w:val="27"/>
        </w:numPr>
        <w:autoSpaceDE/>
        <w:autoSpaceDN/>
        <w:spacing w:before="240" w:after="240" w:line="360" w:lineRule="auto"/>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技术参数要求</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一、工作条件</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1.环境温度： 5-60℃</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2.相对湿度： 20%-80%</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3.设备电源：380V/220V 三相四线；功率1KW；</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二、技术指标要求：</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 设备日处理实验室综合废水量：≥2000L / D ；非地埋式设备。</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1.1主机外壳为304不锈钢材质，收集调节单元为耐腐蚀PP材质,，尺寸方便于进门入电梯及搬运。</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1.2设备采购数量：1套；</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1.3系统主机外形尺寸（长×宽×高）：约1160×705×1690mm 。</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1.4自动混凝气浮搅拌装置： 反应池为PP材质，耐酸碱腐蚀，壁厚10 mm，曝气装置为微纳米曝气装置；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1.5加药混合搅拌器：采用防止220V,14W功率，低能耗,PP材质叶片转轴混凝药剂沉淀，影响混凝效果，低频循环混合；</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1.6污泥过滤器:产生的污泥需自动脱水至含水率低于80%便于处置；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1.7设备总占地面积 15平米左右内；</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1.8经设备处理后废水符合国家【GB8978-1996】标准中三级排放标准的相关要求； 符合全国各地对新建实验大楼的环评验收要求；经过实验室综合废水处理系统处理后的废水可直接排入市政排污管网。</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2．要求处理实验室药品、试剂、试液、废液、残留试剂、容器洗涤、仪器清洗及跑冒滴漏等过程中产生的综合清洗废水的有害物质的种类包含：无机物类、有机物类、生物类废水等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2.1无机物类废水：重金属离子、酸碱PH值、卤素离子及其他非金属离子等；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2.1.1重金属离子：汞、镉、铬、铅、锰、银、镍、锌、铜、铝、砷等金属阳离子以及处于络合状态的重金属离子团(Cr2O7)2-、(CuCN) -、(AuCN)- 、(Ptcl6)2-等；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2.1.2非金属离子类：氟酸或氟化物、游离氰或氰化合物、络离子化合物、AsO32-、AsO43-、Hg+、Hg2+等；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2.1.3酸碱PH值 : 硝酸、盐酸、硫酸、双氧水、氯化钾、氯化钙等；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2.1.4有机物类废水：有机溶剂、洗涤剂、表面活性剂、苯、甲苯、二甲苯、苯胺、苯酚、多氯联苯、苯并芘、酚类、甲醛、乙醛、丙烯腈、丙烯醛、烷烃、烯烃、氟化氢、石油类、油脂类物质、甲醇、苯胺类、多环芳烃、硝基化合物、亚硝胺、氯苯类、硝基苯类、醚类、混合烃类、炳酮、糖类、卤代烃、蛋白质、有机磷农药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2.1.5生物类废水：细菌、病毒、衣原体、支原体、真菌、布鲁氏杆菌，炭疽杆菌等病原体；</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三、设备工艺要求</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1.实验室综合废水收集及预沉淀装置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2.定量加药全自动定时混凝气浮搅拌装置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3.酸碱混凝反应处理装置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4.过滤沉淀分离装置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5.氧化还原处理装置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6.重金属捕捉器装置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7.酸碱PH自动调节装置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8.二级吸附处理系统装置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9.高低电位差微电解系统处理装置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10.有机物生物活性处理系统处理装置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11.新型生物反应处理装置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12.光催化氧化反应处理系统装置</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13.人机对话PLC全自动触摸屏控制系统</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四、设备性能要求</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1.产品实用性广，可适应各类实验室的废水处理；预留扩展模块单元，便于后期增配</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2.漏水漏电自动保护、高低压自动保护、无废水保护、电气过载保护等功能，具备耗材更换提示功能；</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3.定时自动清洗功能：系统定时对需要清洗的部件进行自动清洗，使用寿命更长；</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4.产品通过中央集中控制，自动化程度高，无需专人值守；</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5.产品定时开关机功能：设备可根据客户的情况设定早上自动开机时间和晚上自动关机时间，时间设定后，设备每天早上自动定时开机，晚上自动定时关机，免去操作人员每天早上和晚上去设备处理间开机和关机；</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6.设备动态化运行，数字化指标，全程密闭式处理效果好，不会产生废渣、废水等二次污染；</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7.产品通过“一站式”设计，集成式一体化设备处理，外形美观大方、占地面积小等；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8.设备采用PLC可编程序ZYSYFS智能控制系统和10英寸台达LCD液晶触摸屏：液晶中文显示、具人机对话功能，时钟和语言设定功能，开机时系统自动检测，全自动处理废水、针对不同废水的成分和浓度，控制系统自动进行计算然后按比例进行自动投放药品，更加科学化和合理化；</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9.远程监控及操作功能（选配）：客户只需要在办公室或中控室通过微机或中控机里安装的远程控制软件对废水处理间里的废水处理设备进行远程监控、运行操作和远程管理，时时了解设备的运行情况和运行状态；</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10.系统PIN码锁：设备管理权和使用权分开，保障设备正常运行和安全使用；</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11.系统内置全自动消毒程序，可实现自动消毒；</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12.水质超标报警功能，超标排放内循环处理功能，排放参数数值超过设定限值，远程监控系统及主机操作主界面会自动报警并显示超标参数，系统启动限制排放程序，同时启动超标废水进行回流处理程序，并跟踪记录，直到处理达标后才会自动排放；</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13.双重控制模式：PLC全自动ZYSYFS智能控制模式和手动控制单个单元模式；无论采用自动控制还是手动控制，均能实现系统相关运行环节的控制，并互不干涉。</w:t>
      </w:r>
    </w:p>
    <w:p>
      <w:pPr>
        <w:autoSpaceDE/>
        <w:autoSpaceDN/>
        <w:spacing w:before="240" w:after="240" w:line="360" w:lineRule="auto"/>
        <w:ind w:firstLine="480" w:firstLineChars="200"/>
        <w:jc w:val="both"/>
        <w:rPr>
          <w:color w:val="000000" w:themeColor="text1"/>
          <w:sz w:val="24"/>
          <w:szCs w:val="24"/>
          <w:highlight w:val="none"/>
          <w:lang w:val="en-US" w:bidi="ar-SA"/>
          <w14:textFill>
            <w14:solidFill>
              <w14:schemeClr w14:val="tx1"/>
            </w14:solidFill>
          </w14:textFill>
        </w:rPr>
      </w:pPr>
      <w:r>
        <w:rPr>
          <w:color w:val="000000" w:themeColor="text1"/>
          <w:sz w:val="24"/>
          <w:szCs w:val="24"/>
          <w:highlight w:val="none"/>
          <w:lang w:val="en-US" w:bidi="ar-SA"/>
          <w14:textFill>
            <w14:solidFill>
              <w14:schemeClr w14:val="tx1"/>
            </w14:solidFill>
          </w14:textFill>
        </w:rPr>
        <w:t>14.数据库报表历史查询功能，能自动记录和管理历史运行水质数据与分析，具备数据导出功能，并可行成报表打印；</w:t>
      </w:r>
    </w:p>
    <w:p>
      <w:pPr>
        <w:autoSpaceDE/>
        <w:autoSpaceDN/>
        <w:spacing w:before="240" w:after="240" w:line="360" w:lineRule="auto"/>
        <w:ind w:firstLine="480" w:firstLineChars="200"/>
        <w:jc w:val="both"/>
        <w:rPr>
          <w:rFonts w:hAnsi="Calibri" w:cs="Times New Roman"/>
          <w:color w:val="000000" w:themeColor="text1"/>
          <w:kern w:val="44"/>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w:t>
      </w:r>
      <w:r>
        <w:rPr>
          <w:color w:val="000000" w:themeColor="text1"/>
          <w:sz w:val="24"/>
          <w:szCs w:val="24"/>
          <w:highlight w:val="none"/>
          <w:lang w:val="en-US" w:bidi="ar-SA"/>
          <w14:textFill>
            <w14:solidFill>
              <w14:schemeClr w14:val="tx1"/>
            </w14:solidFill>
          </w14:textFill>
        </w:rPr>
        <w:t>15.具有同类实验室废水处理后第三方水质检测报告（提供证明文件复印件）；</w:t>
      </w:r>
      <w:r>
        <w:rPr>
          <w:rFonts w:hint="eastAsia"/>
          <w:color w:val="000000" w:themeColor="text1"/>
          <w:sz w:val="24"/>
          <w:szCs w:val="24"/>
          <w:highlight w:val="none"/>
          <w:lang w:val="en-US" w:bidi="ar-SA"/>
          <w14:textFill>
            <w14:solidFill>
              <w14:schemeClr w14:val="tx1"/>
            </w14:solidFill>
          </w14:textFill>
        </w:rPr>
        <w:t>。</w:t>
      </w:r>
      <w:bookmarkEnd w:id="66"/>
      <w:bookmarkEnd w:id="67"/>
      <w:bookmarkEnd w:id="68"/>
    </w:p>
    <w:p>
      <w:pPr>
        <w:keepNext/>
        <w:keepLines/>
        <w:numPr>
          <w:ilvl w:val="1"/>
          <w:numId w:val="0"/>
        </w:numPr>
        <w:autoSpaceDE/>
        <w:autoSpaceDN/>
        <w:spacing w:before="260" w:after="260" w:line="240" w:lineRule="atLeast"/>
        <w:ind w:left="42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69" w:name="_Toc26479"/>
      <w:r>
        <w:rPr>
          <w:b/>
          <w:bCs/>
          <w:color w:val="000000" w:themeColor="text1"/>
          <w:kern w:val="2"/>
          <w:sz w:val="24"/>
          <w:szCs w:val="24"/>
          <w:highlight w:val="none"/>
          <w:lang w:val="en-US" w:bidi="ar-SA"/>
          <w14:textFill>
            <w14:solidFill>
              <w14:schemeClr w14:val="tx1"/>
            </w14:solidFill>
          </w14:textFill>
        </w:rPr>
        <w:t>5</w:t>
      </w:r>
      <w:r>
        <w:rPr>
          <w:rFonts w:hint="eastAsia"/>
          <w:b/>
          <w:bCs/>
          <w:color w:val="000000" w:themeColor="text1"/>
          <w:kern w:val="2"/>
          <w:sz w:val="24"/>
          <w:szCs w:val="24"/>
          <w:highlight w:val="none"/>
          <w:lang w:val="en-US" w:bidi="ar-SA"/>
          <w14:textFill>
            <w14:solidFill>
              <w14:schemeClr w14:val="tx1"/>
            </w14:solidFill>
          </w14:textFill>
        </w:rPr>
        <w:t>、实验室</w:t>
      </w:r>
      <w:bookmarkEnd w:id="69"/>
      <w:bookmarkStart w:id="70" w:name="sub549897_2_3"/>
      <w:bookmarkEnd w:id="70"/>
      <w:bookmarkStart w:id="71" w:name="ISO14644_1（国际标准）"/>
      <w:bookmarkEnd w:id="71"/>
      <w:bookmarkStart w:id="72" w:name="BM2_3"/>
      <w:bookmarkEnd w:id="72"/>
      <w:r>
        <w:rPr>
          <w:rFonts w:hint="eastAsia"/>
          <w:b/>
          <w:bCs/>
          <w:color w:val="000000" w:themeColor="text1"/>
          <w:kern w:val="2"/>
          <w:sz w:val="24"/>
          <w:szCs w:val="24"/>
          <w:highlight w:val="none"/>
          <w:lang w:val="en-US" w:bidi="ar-SA"/>
          <w14:textFill>
            <w14:solidFill>
              <w14:schemeClr w14:val="tx1"/>
            </w14:solidFill>
          </w14:textFill>
        </w:rPr>
        <w:t>隔断及净化空调系统设备技术参数</w:t>
      </w:r>
    </w:p>
    <w:p>
      <w:pPr>
        <w:autoSpaceDE/>
        <w:autoSpaceDN/>
        <w:spacing w:before="240" w:after="240" w:line="240" w:lineRule="atLeast"/>
        <w:jc w:val="both"/>
        <w:rPr>
          <w:rFonts w:hAnsi="Calibri" w:cs="Times New Roman"/>
          <w:color w:val="000000" w:themeColor="text1"/>
          <w:kern w:val="2"/>
          <w:sz w:val="24"/>
          <w:szCs w:val="24"/>
          <w:highlight w:val="none"/>
          <w:lang w:val="en-US" w:bidi="ar-SA"/>
          <w14:textFill>
            <w14:solidFill>
              <w14:schemeClr w14:val="tx1"/>
            </w14:solidFill>
          </w14:textFill>
        </w:rPr>
      </w:pPr>
      <w:bookmarkStart w:id="73" w:name="_Toc23812_WPSOffice_Level2"/>
      <w:bookmarkStart w:id="74" w:name="_Toc12593"/>
      <w:bookmarkStart w:id="75" w:name="_Toc27213_WPSOffice_Level2"/>
      <w:bookmarkStart w:id="76" w:name="_Toc22554_WPSOffice_Level2"/>
      <w:bookmarkStart w:id="77" w:name="_Toc8919_WPSOffice_Level2"/>
      <w:bookmarkStart w:id="78" w:name="_Toc29151_WPSOffice_Level2"/>
      <w:r>
        <w:rPr>
          <w:rFonts w:hint="eastAsia"/>
          <w:color w:val="000000" w:themeColor="text1"/>
          <w:kern w:val="2"/>
          <w:sz w:val="24"/>
          <w:szCs w:val="24"/>
          <w:highlight w:val="none"/>
          <w:lang w:val="en-US" w:bidi="ar-SA"/>
          <w14:textFill>
            <w14:solidFill>
              <w14:schemeClr w14:val="tx1"/>
            </w14:solidFill>
          </w14:textFill>
        </w:rPr>
        <w:t>（一）、按设计规范和使用要求确定的室内设计参数</w:t>
      </w:r>
      <w:bookmarkEnd w:id="73"/>
      <w:bookmarkEnd w:id="74"/>
      <w:bookmarkEnd w:id="75"/>
      <w:bookmarkEnd w:id="76"/>
      <w:bookmarkEnd w:id="77"/>
      <w:bookmarkEnd w:id="78"/>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w:t>
      </w:r>
      <w:r>
        <w:rPr>
          <w:rFonts w:hint="eastAsia"/>
          <w:color w:val="000000" w:themeColor="text1"/>
          <w:kern w:val="1"/>
          <w:sz w:val="24"/>
          <w:szCs w:val="24"/>
          <w:highlight w:val="none"/>
          <w:lang w:val="en-US" w:bidi="ar-SA"/>
          <w14:textFill>
            <w14:solidFill>
              <w14:schemeClr w14:val="tx1"/>
            </w14:solidFill>
          </w14:textFill>
        </w:rPr>
        <w:t>、照度洁净间</w:t>
      </w:r>
      <w:r>
        <w:rPr>
          <w:color w:val="000000" w:themeColor="text1"/>
          <w:kern w:val="1"/>
          <w:sz w:val="24"/>
          <w:szCs w:val="24"/>
          <w:highlight w:val="none"/>
          <w:lang w:val="en-US" w:bidi="ar-SA"/>
          <w14:textFill>
            <w14:solidFill>
              <w14:schemeClr w14:val="tx1"/>
            </w14:solidFill>
          </w14:textFill>
        </w:rPr>
        <w:t>300Lux</w:t>
      </w:r>
      <w:r>
        <w:rPr>
          <w:rFonts w:hint="eastAsia"/>
          <w:color w:val="000000" w:themeColor="text1"/>
          <w:kern w:val="1"/>
          <w:sz w:val="24"/>
          <w:szCs w:val="24"/>
          <w:highlight w:val="none"/>
          <w:lang w:val="en-US" w:bidi="ar-SA"/>
          <w14:textFill>
            <w14:solidFill>
              <w14:schemeClr w14:val="tx1"/>
            </w14:solidFill>
          </w14:textFill>
        </w:rPr>
        <w:t>、非洁净</w:t>
      </w:r>
      <w:r>
        <w:rPr>
          <w:color w:val="000000" w:themeColor="text1"/>
          <w:kern w:val="1"/>
          <w:sz w:val="24"/>
          <w:szCs w:val="24"/>
          <w:highlight w:val="none"/>
          <w:lang w:val="en-US" w:bidi="ar-SA"/>
          <w14:textFill>
            <w14:solidFill>
              <w14:schemeClr w14:val="tx1"/>
            </w14:solidFill>
          </w14:textFill>
        </w:rPr>
        <w:t>200Lux</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2</w:t>
      </w:r>
      <w:r>
        <w:rPr>
          <w:rFonts w:hint="eastAsia"/>
          <w:color w:val="000000" w:themeColor="text1"/>
          <w:kern w:val="1"/>
          <w:sz w:val="24"/>
          <w:szCs w:val="24"/>
          <w:highlight w:val="none"/>
          <w:lang w:val="en-US" w:bidi="ar-SA"/>
          <w14:textFill>
            <w14:solidFill>
              <w14:schemeClr w14:val="tx1"/>
            </w14:solidFill>
          </w14:textFill>
        </w:rPr>
        <w:t>、洁净度等级：</w:t>
      </w:r>
      <w:r>
        <w:rPr>
          <w:color w:val="000000" w:themeColor="text1"/>
          <w:kern w:val="1"/>
          <w:sz w:val="24"/>
          <w:szCs w:val="24"/>
          <w:highlight w:val="none"/>
          <w:lang w:val="en-US" w:bidi="ar-SA"/>
          <w14:textFill>
            <w14:solidFill>
              <w14:schemeClr w14:val="tx1"/>
            </w14:solidFill>
          </w14:textFill>
        </w:rPr>
        <w:t>10000</w:t>
      </w:r>
      <w:r>
        <w:rPr>
          <w:rFonts w:hint="eastAsia"/>
          <w:color w:val="000000" w:themeColor="text1"/>
          <w:kern w:val="1"/>
          <w:sz w:val="24"/>
          <w:szCs w:val="24"/>
          <w:highlight w:val="none"/>
          <w:lang w:val="en-US" w:bidi="ar-SA"/>
          <w14:textFill>
            <w14:solidFill>
              <w14:schemeClr w14:val="tx1"/>
            </w14:solidFill>
          </w14:textFill>
        </w:rPr>
        <w:t>级或整体万级局部千级</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w:t>
      </w:r>
      <w:r>
        <w:rPr>
          <w:rFonts w:hint="eastAsia"/>
          <w:color w:val="000000" w:themeColor="text1"/>
          <w:kern w:val="1"/>
          <w:sz w:val="24"/>
          <w:szCs w:val="24"/>
          <w:highlight w:val="none"/>
          <w:lang w:val="en-US" w:bidi="ar-SA"/>
          <w14:textFill>
            <w14:solidFill>
              <w14:schemeClr w14:val="tx1"/>
            </w14:solidFill>
          </w14:textFill>
        </w:rPr>
        <w:t>、扩散孔板送风风速≤</w:t>
      </w:r>
      <w:r>
        <w:rPr>
          <w:color w:val="000000" w:themeColor="text1"/>
          <w:kern w:val="1"/>
          <w:sz w:val="24"/>
          <w:szCs w:val="24"/>
          <w:highlight w:val="none"/>
          <w:lang w:val="en-US" w:bidi="ar-SA"/>
          <w14:textFill>
            <w14:solidFill>
              <w14:schemeClr w14:val="tx1"/>
            </w14:solidFill>
          </w14:textFill>
        </w:rPr>
        <w:t>2.5m/s</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4</w:t>
      </w:r>
      <w:r>
        <w:rPr>
          <w:rFonts w:hint="eastAsia"/>
          <w:color w:val="000000" w:themeColor="text1"/>
          <w:kern w:val="1"/>
          <w:sz w:val="24"/>
          <w:szCs w:val="24"/>
          <w:highlight w:val="none"/>
          <w:lang w:val="en-US" w:bidi="ar-SA"/>
          <w14:textFill>
            <w14:solidFill>
              <w14:schemeClr w14:val="tx1"/>
            </w14:solidFill>
          </w14:textFill>
        </w:rPr>
        <w:t>、洁净室内与室外正压值</w:t>
      </w:r>
      <w:r>
        <w:rPr>
          <w:color w:val="000000" w:themeColor="text1"/>
          <w:kern w:val="1"/>
          <w:sz w:val="24"/>
          <w:szCs w:val="24"/>
          <w:highlight w:val="none"/>
          <w:lang w:val="en-US" w:bidi="ar-SA"/>
          <w14:textFill>
            <w14:solidFill>
              <w14:schemeClr w14:val="tx1"/>
            </w14:solidFill>
          </w14:textFill>
        </w:rPr>
        <w:t>10Pa</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5</w:t>
      </w:r>
      <w:r>
        <w:rPr>
          <w:rFonts w:hint="eastAsia"/>
          <w:color w:val="000000" w:themeColor="text1"/>
          <w:kern w:val="1"/>
          <w:sz w:val="24"/>
          <w:szCs w:val="24"/>
          <w:highlight w:val="none"/>
          <w:lang w:val="en-US" w:bidi="ar-SA"/>
          <w14:textFill>
            <w14:solidFill>
              <w14:schemeClr w14:val="tx1"/>
            </w14:solidFill>
          </w14:textFill>
        </w:rPr>
        <w:t>、换气次数≤</w:t>
      </w:r>
      <w:r>
        <w:rPr>
          <w:color w:val="000000" w:themeColor="text1"/>
          <w:kern w:val="1"/>
          <w:sz w:val="24"/>
          <w:szCs w:val="24"/>
          <w:highlight w:val="none"/>
          <w:lang w:val="en-US" w:bidi="ar-SA"/>
          <w14:textFill>
            <w14:solidFill>
              <w14:schemeClr w14:val="tx1"/>
            </w14:solidFill>
          </w14:textFill>
        </w:rPr>
        <w:t>35</w:t>
      </w:r>
      <w:r>
        <w:rPr>
          <w:rFonts w:hint="eastAsia"/>
          <w:color w:val="000000" w:themeColor="text1"/>
          <w:kern w:val="1"/>
          <w:sz w:val="24"/>
          <w:szCs w:val="24"/>
          <w:highlight w:val="none"/>
          <w:lang w:val="en-US" w:bidi="ar-SA"/>
          <w14:textFill>
            <w14:solidFill>
              <w14:schemeClr w14:val="tx1"/>
            </w14:solidFill>
          </w14:textFill>
        </w:rPr>
        <w:t>次</w:t>
      </w:r>
      <w:r>
        <w:rPr>
          <w:color w:val="000000" w:themeColor="text1"/>
          <w:kern w:val="1"/>
          <w:sz w:val="24"/>
          <w:szCs w:val="24"/>
          <w:highlight w:val="none"/>
          <w:lang w:val="en-US" w:bidi="ar-SA"/>
          <w14:textFill>
            <w14:solidFill>
              <w14:schemeClr w14:val="tx1"/>
            </w14:solidFill>
          </w14:textFill>
        </w:rPr>
        <w:t>/h</w:t>
      </w:r>
    </w:p>
    <w:p>
      <w:pPr>
        <w:autoSpaceDE/>
        <w:autoSpaceDN/>
        <w:spacing w:before="240" w:after="240" w:line="240" w:lineRule="atLeast"/>
        <w:ind w:firstLine="560"/>
        <w:jc w:val="both"/>
        <w:rPr>
          <w:rFonts w:hAnsi="Calibri" w:cs="Times New Roman"/>
          <w:b/>
          <w:bCs/>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6</w:t>
      </w:r>
      <w:r>
        <w:rPr>
          <w:rFonts w:hint="eastAsia"/>
          <w:color w:val="000000" w:themeColor="text1"/>
          <w:kern w:val="1"/>
          <w:sz w:val="24"/>
          <w:szCs w:val="24"/>
          <w:highlight w:val="none"/>
          <w:lang w:val="en-US" w:bidi="ar-SA"/>
          <w14:textFill>
            <w14:solidFill>
              <w14:schemeClr w14:val="tx1"/>
            </w14:solidFill>
          </w14:textFill>
        </w:rPr>
        <w:t>、回风口格栅风速</w:t>
      </w:r>
      <w:bookmarkStart w:id="79" w:name="OLE_LINK2"/>
      <w:bookmarkEnd w:id="79"/>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2.5m/s</w:t>
      </w:r>
    </w:p>
    <w:p>
      <w:pPr>
        <w:autoSpaceDE/>
        <w:autoSpaceDN/>
        <w:spacing w:before="240" w:after="240" w:line="240" w:lineRule="atLeast"/>
        <w:jc w:val="both"/>
        <w:rPr>
          <w:rFonts w:hAnsi="Calibri" w:cs="Times New Roman"/>
          <w:color w:val="000000" w:themeColor="text1"/>
          <w:kern w:val="2"/>
          <w:sz w:val="24"/>
          <w:szCs w:val="24"/>
          <w:highlight w:val="none"/>
          <w:lang w:val="en-US" w:bidi="ar-SA"/>
          <w14:textFill>
            <w14:solidFill>
              <w14:schemeClr w14:val="tx1"/>
            </w14:solidFill>
          </w14:textFill>
        </w:rPr>
      </w:pPr>
      <w:bookmarkStart w:id="80" w:name="_Toc21685_WPSOffice_Level2"/>
      <w:bookmarkStart w:id="81" w:name="_Toc22794_WPSOffice_Level2"/>
      <w:bookmarkStart w:id="82" w:name="_Toc13979_WPSOffice_Level2"/>
      <w:bookmarkStart w:id="83" w:name="_Toc369_WPSOffice_Level2"/>
      <w:bookmarkStart w:id="84" w:name="_Toc6235"/>
      <w:bookmarkStart w:id="85" w:name="_Toc20623_WPSOffice_Level2"/>
      <w:r>
        <w:rPr>
          <w:rFonts w:hint="eastAsia"/>
          <w:color w:val="000000" w:themeColor="text1"/>
          <w:kern w:val="2"/>
          <w:sz w:val="24"/>
          <w:szCs w:val="24"/>
          <w:highlight w:val="none"/>
          <w:lang w:val="en-US" w:bidi="ar-SA"/>
          <w14:textFill>
            <w14:solidFill>
              <w14:schemeClr w14:val="tx1"/>
            </w14:solidFill>
          </w14:textFill>
        </w:rPr>
        <w:t>（二）、洁净系统形式：</w:t>
      </w:r>
      <w:bookmarkEnd w:id="80"/>
      <w:bookmarkEnd w:id="81"/>
      <w:bookmarkEnd w:id="82"/>
      <w:bookmarkEnd w:id="83"/>
      <w:bookmarkEnd w:id="84"/>
      <w:bookmarkEnd w:id="85"/>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w:t>
      </w:r>
      <w:r>
        <w:rPr>
          <w:rFonts w:hint="eastAsia"/>
          <w:color w:val="000000" w:themeColor="text1"/>
          <w:kern w:val="1"/>
          <w:sz w:val="24"/>
          <w:szCs w:val="24"/>
          <w:highlight w:val="none"/>
          <w:lang w:val="en-US" w:bidi="ar-SA"/>
          <w14:textFill>
            <w14:solidFill>
              <w14:schemeClr w14:val="tx1"/>
            </w14:solidFill>
          </w14:textFill>
        </w:rPr>
        <w:t>、洁净型式：</w:t>
      </w:r>
    </w:p>
    <w:p>
      <w:pPr>
        <w:autoSpaceDE/>
        <w:autoSpaceDN/>
        <w:spacing w:before="240" w:after="240" w:line="240" w:lineRule="atLeast"/>
        <w:ind w:firstLine="240" w:firstLineChars="100"/>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由不起尘难积尘且具有保温功能的玻镁普通彩钢板按要求现场拼装成墙壁（围护结构），净化间吊顶高度为</w:t>
      </w:r>
      <w:r>
        <w:rPr>
          <w:color w:val="000000" w:themeColor="text1"/>
          <w:kern w:val="1"/>
          <w:sz w:val="24"/>
          <w:szCs w:val="24"/>
          <w:highlight w:val="none"/>
          <w:lang w:val="en-US" w:bidi="ar-SA"/>
          <w14:textFill>
            <w14:solidFill>
              <w14:schemeClr w14:val="tx1"/>
            </w14:solidFill>
          </w14:textFill>
        </w:rPr>
        <w:t>2.7M</w:t>
      </w:r>
      <w:r>
        <w:rPr>
          <w:rFonts w:hint="eastAsia"/>
          <w:color w:val="000000" w:themeColor="text1"/>
          <w:kern w:val="1"/>
          <w:sz w:val="24"/>
          <w:szCs w:val="24"/>
          <w:highlight w:val="none"/>
          <w:lang w:val="en-US" w:bidi="ar-SA"/>
          <w14:textFill>
            <w14:solidFill>
              <w14:schemeClr w14:val="tx1"/>
            </w14:solidFill>
          </w14:textFill>
        </w:rPr>
        <w:t>，透视窗离地</w:t>
      </w:r>
      <w:r>
        <w:rPr>
          <w:color w:val="000000" w:themeColor="text1"/>
          <w:kern w:val="1"/>
          <w:sz w:val="24"/>
          <w:szCs w:val="24"/>
          <w:highlight w:val="none"/>
          <w:lang w:val="en-US" w:bidi="ar-SA"/>
          <w14:textFill>
            <w14:solidFill>
              <w14:schemeClr w14:val="tx1"/>
            </w14:solidFill>
          </w14:textFill>
        </w:rPr>
        <w:t>1000mm</w:t>
      </w:r>
      <w:r>
        <w:rPr>
          <w:rFonts w:hint="eastAsia"/>
          <w:color w:val="000000" w:themeColor="text1"/>
          <w:kern w:val="1"/>
          <w:sz w:val="24"/>
          <w:szCs w:val="24"/>
          <w:highlight w:val="none"/>
          <w:lang w:val="en-US" w:bidi="ar-SA"/>
          <w14:textFill>
            <w14:solidFill>
              <w14:schemeClr w14:val="tx1"/>
            </w14:solidFill>
          </w14:textFill>
        </w:rPr>
        <w:t>，中间为半单层白玻璃窗；室内顶棚玻镁普通彩钢板吊项装饰。洁净车间根据工艺要求于现场施工时在适当位置设立工作门及更衣间，更衣间内布置衣、鞋柜室等设施和无尘区域地面地面，防止地面表面的产尘等给净化间带来负面影响。</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2</w:t>
      </w:r>
      <w:r>
        <w:rPr>
          <w:rFonts w:hint="eastAsia"/>
          <w:color w:val="000000" w:themeColor="text1"/>
          <w:kern w:val="1"/>
          <w:sz w:val="24"/>
          <w:szCs w:val="24"/>
          <w:highlight w:val="none"/>
          <w:lang w:val="en-US" w:bidi="ar-SA"/>
          <w14:textFill>
            <w14:solidFill>
              <w14:schemeClr w14:val="tx1"/>
            </w14:solidFill>
          </w14:textFill>
        </w:rPr>
        <w:t>、气流组织：紊流式</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w:t>
      </w:r>
      <w:r>
        <w:rPr>
          <w:rFonts w:hint="eastAsia"/>
          <w:color w:val="000000" w:themeColor="text1"/>
          <w:kern w:val="1"/>
          <w:sz w:val="24"/>
          <w:szCs w:val="24"/>
          <w:highlight w:val="none"/>
          <w:lang w:val="en-US" w:bidi="ar-SA"/>
          <w14:textFill>
            <w14:solidFill>
              <w14:schemeClr w14:val="tx1"/>
            </w14:solidFill>
          </w14:textFill>
        </w:rPr>
        <w:t>、送回风方式：</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a.</w:t>
      </w:r>
      <w:r>
        <w:rPr>
          <w:rFonts w:hint="eastAsia"/>
          <w:color w:val="000000" w:themeColor="text1"/>
          <w:kern w:val="1"/>
          <w:sz w:val="24"/>
          <w:szCs w:val="24"/>
          <w:highlight w:val="none"/>
          <w:lang w:val="en-US" w:bidi="ar-SA"/>
          <w14:textFill>
            <w14:solidFill>
              <w14:schemeClr w14:val="tx1"/>
            </w14:solidFill>
          </w14:textFill>
        </w:rPr>
        <w:t>送风：洁净空气由安装于顶棚的高效送风口下送；</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b.</w:t>
      </w:r>
      <w:r>
        <w:rPr>
          <w:rFonts w:hint="eastAsia"/>
          <w:color w:val="000000" w:themeColor="text1"/>
          <w:kern w:val="1"/>
          <w:sz w:val="24"/>
          <w:szCs w:val="24"/>
          <w:highlight w:val="none"/>
          <w:lang w:val="en-US" w:bidi="ar-SA"/>
          <w14:textFill>
            <w14:solidFill>
              <w14:schemeClr w14:val="tx1"/>
            </w14:solidFill>
          </w14:textFill>
        </w:rPr>
        <w:t>回风：净化区域利用空调房经回风口及回风管道向回风箱内直回风（闭式循环系统）；</w:t>
      </w:r>
    </w:p>
    <w:p>
      <w:p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c.</w:t>
      </w:r>
      <w:r>
        <w:rPr>
          <w:rFonts w:hint="eastAsia"/>
          <w:color w:val="000000" w:themeColor="text1"/>
          <w:kern w:val="1"/>
          <w:sz w:val="24"/>
          <w:szCs w:val="24"/>
          <w:highlight w:val="none"/>
          <w:lang w:val="en-US" w:bidi="ar-SA"/>
          <w14:textFill>
            <w14:solidFill>
              <w14:schemeClr w14:val="tx1"/>
            </w14:solidFill>
          </w14:textFill>
        </w:rPr>
        <w:t>排风：利用正压泄露排风，余压阀调节正压值。</w:t>
      </w:r>
    </w:p>
    <w:p>
      <w:pPr>
        <w:numPr>
          <w:ilvl w:val="0"/>
          <w:numId w:val="28"/>
        </w:numPr>
        <w:autoSpaceDE/>
        <w:autoSpaceDN/>
        <w:spacing w:before="240" w:after="240" w:line="240" w:lineRule="atLeast"/>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正压设计：在初调整时调节送、回风口风量调节阀及新风自净器的调节阀增减风量维持确定的正压保证值，余压阀调节正压值。</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86" w:name="_Toc14568_WPSOffice_Level2"/>
      <w:bookmarkStart w:id="87" w:name="_Toc12675_WPSOffice_Level2"/>
      <w:bookmarkStart w:id="88" w:name="_Toc24674"/>
      <w:bookmarkStart w:id="89" w:name="_Toc22573_WPSOffice_Level2"/>
      <w:bookmarkStart w:id="90" w:name="_Toc16770_WPSOffice_Level2"/>
      <w:bookmarkStart w:id="91" w:name="_Toc20558_WPSOffice_Level2"/>
      <w:r>
        <w:rPr>
          <w:rFonts w:hint="eastAsia"/>
          <w:color w:val="000000" w:themeColor="text1"/>
          <w:kern w:val="2"/>
          <w:sz w:val="24"/>
          <w:szCs w:val="24"/>
          <w:highlight w:val="none"/>
          <w:lang w:val="en-US" w:bidi="ar-SA"/>
          <w14:textFill>
            <w14:solidFill>
              <w14:schemeClr w14:val="tx1"/>
            </w14:solidFill>
          </w14:textFill>
        </w:rPr>
        <w:t>（三）、洁净度设计</w:t>
      </w:r>
      <w:bookmarkEnd w:id="86"/>
      <w:bookmarkEnd w:id="87"/>
      <w:bookmarkEnd w:id="88"/>
      <w:bookmarkEnd w:id="89"/>
      <w:bookmarkEnd w:id="90"/>
      <w:bookmarkEnd w:id="91"/>
    </w:p>
    <w:p>
      <w:pPr>
        <w:autoSpaceDE/>
        <w:autoSpaceDN/>
        <w:spacing w:before="240" w:after="240" w:line="360" w:lineRule="auto"/>
        <w:jc w:val="center"/>
        <w:rPr>
          <w:rFonts w:ascii="Calibri" w:hAnsi="Calibri" w:cs="Calibri"/>
          <w:b/>
          <w:bCs/>
          <w:color w:val="000000" w:themeColor="text1"/>
          <w:kern w:val="2"/>
          <w:sz w:val="24"/>
          <w:szCs w:val="24"/>
          <w:highlight w:val="none"/>
          <w:lang w:val="en-US" w:bidi="ar-SA"/>
          <w14:textFill>
            <w14:solidFill>
              <w14:schemeClr w14:val="tx1"/>
            </w14:solidFill>
          </w14:textFill>
        </w:rPr>
      </w:pPr>
      <w:bookmarkStart w:id="92" w:name="_Toc20143_WPSOffice_Level2"/>
      <w:bookmarkStart w:id="93" w:name="_Toc24875"/>
      <w:bookmarkStart w:id="94" w:name="_Toc21213_WPSOffice_Level2"/>
      <w:bookmarkStart w:id="95" w:name="_Toc25795"/>
      <w:bookmarkStart w:id="96" w:name="_Toc20211"/>
      <w:r>
        <w:rPr>
          <w:rFonts w:hint="eastAsia" w:ascii="Calibri" w:hAnsi="Calibri" w:cs="Calibri"/>
          <w:b/>
          <w:bCs/>
          <w:color w:val="000000" w:themeColor="text1"/>
          <w:kern w:val="2"/>
          <w:sz w:val="24"/>
          <w:szCs w:val="24"/>
          <w:highlight w:val="none"/>
          <w:lang w:val="en-US" w:bidi="ar-SA"/>
          <w14:textFill>
            <w14:solidFill>
              <w14:schemeClr w14:val="tx1"/>
            </w14:solidFill>
          </w14:textFill>
        </w:rPr>
        <w:t>洁净室（区）空气洁净级别表</w:t>
      </w:r>
      <w:bookmarkEnd w:id="92"/>
      <w:bookmarkEnd w:id="93"/>
      <w:bookmarkEnd w:id="94"/>
      <w:bookmarkEnd w:id="95"/>
      <w:bookmarkEnd w:id="96"/>
    </w:p>
    <w:tbl>
      <w:tblPr>
        <w:tblStyle w:val="23"/>
        <w:tblW w:w="999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67"/>
        <w:gridCol w:w="2595"/>
        <w:gridCol w:w="1677"/>
        <w:gridCol w:w="22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4" w:hRule="atLeast"/>
        </w:trPr>
        <w:tc>
          <w:tcPr>
            <w:tcW w:w="2067" w:type="dxa"/>
            <w:shd w:val="clear" w:color="auto" w:fill="FFFFFF"/>
            <w:tcMar>
              <w:top w:w="30" w:type="dxa"/>
              <w:left w:w="150" w:type="dxa"/>
              <w:bottom w:w="30" w:type="dxa"/>
              <w:right w:w="150" w:type="dxa"/>
            </w:tcMar>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洁净度级别</w:t>
            </w:r>
          </w:p>
        </w:tc>
        <w:tc>
          <w:tcPr>
            <w:tcW w:w="2595"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尘粒最大允许数</w:t>
            </w:r>
            <w:r>
              <w:rPr>
                <w:color w:val="000000" w:themeColor="text1"/>
                <w:kern w:val="1"/>
                <w:sz w:val="24"/>
                <w:szCs w:val="24"/>
                <w:highlight w:val="none"/>
                <w:lang w:val="en-US" w:bidi="ar-SA"/>
                <w14:textFill>
                  <w14:solidFill>
                    <w14:schemeClr w14:val="tx1"/>
                  </w14:solidFill>
                </w14:textFill>
              </w:rPr>
              <w:t>/</w:t>
            </w:r>
            <w:r>
              <w:rPr>
                <w:rFonts w:hint="eastAsia"/>
                <w:color w:val="000000" w:themeColor="text1"/>
                <w:kern w:val="1"/>
                <w:sz w:val="24"/>
                <w:szCs w:val="24"/>
                <w:highlight w:val="none"/>
                <w:lang w:val="en-US" w:bidi="ar-SA"/>
                <w14:textFill>
                  <w14:solidFill>
                    <w14:schemeClr w14:val="tx1"/>
                  </w14:solidFill>
                </w14:textFill>
              </w:rPr>
              <w:t>立方米</w:t>
            </w:r>
          </w:p>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0.5</w:t>
            </w:r>
            <w:r>
              <w:rPr>
                <w:rFonts w:hint="eastAsia"/>
                <w:color w:val="000000" w:themeColor="text1"/>
                <w:kern w:val="1"/>
                <w:sz w:val="24"/>
                <w:szCs w:val="24"/>
                <w:highlight w:val="none"/>
                <w:lang w:val="en-US" w:bidi="ar-SA"/>
                <w14:textFill>
                  <w14:solidFill>
                    <w14:schemeClr w14:val="tx1"/>
                  </w14:solidFill>
                </w14:textFill>
              </w:rPr>
              <w:t>μ</w:t>
            </w:r>
            <w:r>
              <w:rPr>
                <w:color w:val="000000" w:themeColor="text1"/>
                <w:kern w:val="1"/>
                <w:sz w:val="24"/>
                <w:szCs w:val="24"/>
                <w:highlight w:val="none"/>
                <w:lang w:val="en-US" w:bidi="ar-SA"/>
                <w14:textFill>
                  <w14:solidFill>
                    <w14:schemeClr w14:val="tx1"/>
                  </w14:solidFill>
                </w14:textFill>
              </w:rPr>
              <w:t>m</w:t>
            </w:r>
            <w:r>
              <w:rPr>
                <w:rFonts w:hint="eastAsia"/>
                <w:color w:val="000000" w:themeColor="text1"/>
                <w:kern w:val="1"/>
                <w:sz w:val="24"/>
                <w:szCs w:val="24"/>
                <w:highlight w:val="none"/>
                <w:lang w:val="en-US" w:bidi="ar-SA"/>
                <w14:textFill>
                  <w14:solidFill>
                    <w14:schemeClr w14:val="tx1"/>
                  </w14:solidFill>
                </w14:textFill>
              </w:rPr>
              <w:t>尘粒数</w:t>
            </w:r>
          </w:p>
        </w:tc>
        <w:tc>
          <w:tcPr>
            <w:tcW w:w="1677"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5</w:t>
            </w:r>
            <w:r>
              <w:rPr>
                <w:rFonts w:hint="eastAsia"/>
                <w:color w:val="000000" w:themeColor="text1"/>
                <w:kern w:val="1"/>
                <w:sz w:val="24"/>
                <w:szCs w:val="24"/>
                <w:highlight w:val="none"/>
                <w:lang w:val="en-US" w:bidi="ar-SA"/>
                <w14:textFill>
                  <w14:solidFill>
                    <w14:schemeClr w14:val="tx1"/>
                  </w14:solidFill>
                </w14:textFill>
              </w:rPr>
              <w:t>μ</w:t>
            </w:r>
            <w:r>
              <w:rPr>
                <w:color w:val="000000" w:themeColor="text1"/>
                <w:kern w:val="1"/>
                <w:sz w:val="24"/>
                <w:szCs w:val="24"/>
                <w:highlight w:val="none"/>
                <w:lang w:val="en-US" w:bidi="ar-SA"/>
                <w14:textFill>
                  <w14:solidFill>
                    <w14:schemeClr w14:val="tx1"/>
                  </w14:solidFill>
                </w14:textFill>
              </w:rPr>
              <w:t>m</w:t>
            </w:r>
            <w:r>
              <w:rPr>
                <w:rFonts w:hint="eastAsia"/>
                <w:color w:val="000000" w:themeColor="text1"/>
                <w:kern w:val="1"/>
                <w:sz w:val="24"/>
                <w:szCs w:val="24"/>
                <w:highlight w:val="none"/>
                <w:lang w:val="en-US" w:bidi="ar-SA"/>
                <w14:textFill>
                  <w14:solidFill>
                    <w14:schemeClr w14:val="tx1"/>
                  </w14:solidFill>
                </w14:textFill>
              </w:rPr>
              <w:t>尘粒数</w:t>
            </w:r>
          </w:p>
        </w:tc>
        <w:tc>
          <w:tcPr>
            <w:tcW w:w="2220"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微生物最大允许数</w:t>
            </w:r>
          </w:p>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浮游菌</w:t>
            </w:r>
            <w:r>
              <w:rPr>
                <w:color w:val="000000" w:themeColor="text1"/>
                <w:kern w:val="1"/>
                <w:sz w:val="24"/>
                <w:szCs w:val="24"/>
                <w:highlight w:val="none"/>
                <w:lang w:val="en-US" w:bidi="ar-SA"/>
                <w14:textFill>
                  <w14:solidFill>
                    <w14:schemeClr w14:val="tx1"/>
                  </w14:solidFill>
                </w14:textFill>
              </w:rPr>
              <w:t>/</w:t>
            </w:r>
            <w:r>
              <w:rPr>
                <w:rFonts w:hint="eastAsia"/>
                <w:color w:val="000000" w:themeColor="text1"/>
                <w:kern w:val="1"/>
                <w:sz w:val="24"/>
                <w:szCs w:val="24"/>
                <w:highlight w:val="none"/>
                <w:lang w:val="en-US" w:bidi="ar-SA"/>
                <w14:textFill>
                  <w14:solidFill>
                    <w14:schemeClr w14:val="tx1"/>
                  </w14:solidFill>
                </w14:textFill>
              </w:rPr>
              <w:t>立方米</w:t>
            </w:r>
          </w:p>
        </w:tc>
        <w:tc>
          <w:tcPr>
            <w:tcW w:w="1431"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沉降菌</w:t>
            </w:r>
            <w:r>
              <w:rPr>
                <w:color w:val="000000" w:themeColor="text1"/>
                <w:kern w:val="1"/>
                <w:sz w:val="24"/>
                <w:szCs w:val="24"/>
                <w:highlight w:val="none"/>
                <w:lang w:val="en-US" w:bidi="ar-SA"/>
                <w14:textFill>
                  <w14:solidFill>
                    <w14:schemeClr w14:val="tx1"/>
                  </w14:solidFill>
                </w14:textFill>
              </w:rPr>
              <w:t>/</w:t>
            </w:r>
            <w:r>
              <w:rPr>
                <w:rFonts w:hint="eastAsia"/>
                <w:color w:val="000000" w:themeColor="text1"/>
                <w:kern w:val="1"/>
                <w:sz w:val="24"/>
                <w:szCs w:val="24"/>
                <w:highlight w:val="none"/>
                <w:lang w:val="en-US" w:bidi="ar-SA"/>
                <w14:textFill>
                  <w14:solidFill>
                    <w14:schemeClr w14:val="tx1"/>
                  </w14:solidFill>
                </w14:textFill>
              </w:rPr>
              <w:t>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2067" w:type="dxa"/>
            <w:shd w:val="clear" w:color="auto" w:fill="FFFFFF"/>
            <w:tcMar>
              <w:top w:w="30" w:type="dxa"/>
              <w:left w:w="150" w:type="dxa"/>
              <w:bottom w:w="30" w:type="dxa"/>
              <w:right w:w="150" w:type="dxa"/>
            </w:tcMar>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100</w:t>
            </w:r>
            <w:r>
              <w:rPr>
                <w:rFonts w:hint="eastAsia"/>
                <w:color w:val="000000" w:themeColor="text1"/>
                <w:kern w:val="1"/>
                <w:sz w:val="24"/>
                <w:szCs w:val="24"/>
                <w:highlight w:val="none"/>
                <w:lang w:val="en-US" w:bidi="ar-SA"/>
                <w14:textFill>
                  <w14:solidFill>
                    <w14:schemeClr w14:val="tx1"/>
                  </w14:solidFill>
                </w14:textFill>
              </w:rPr>
              <w:t>级</w:t>
            </w:r>
          </w:p>
        </w:tc>
        <w:tc>
          <w:tcPr>
            <w:tcW w:w="2595"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3,500</w:t>
            </w:r>
          </w:p>
        </w:tc>
        <w:tc>
          <w:tcPr>
            <w:tcW w:w="1677"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rFonts w:hAnsi="Calibri"/>
                <w:color w:val="000000" w:themeColor="text1"/>
                <w:kern w:val="1"/>
                <w:sz w:val="24"/>
                <w:szCs w:val="24"/>
                <w:highlight w:val="none"/>
                <w:lang w:val="en-US" w:bidi="ar-SA"/>
                <w14:textFill>
                  <w14:solidFill>
                    <w14:schemeClr w14:val="tx1"/>
                  </w14:solidFill>
                </w14:textFill>
              </w:rPr>
              <w:t>0</w:t>
            </w:r>
          </w:p>
        </w:tc>
        <w:tc>
          <w:tcPr>
            <w:tcW w:w="2220"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5</w:t>
            </w:r>
          </w:p>
        </w:tc>
        <w:tc>
          <w:tcPr>
            <w:tcW w:w="1431"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trPr>
        <w:tc>
          <w:tcPr>
            <w:tcW w:w="2067" w:type="dxa"/>
            <w:shd w:val="clear" w:color="auto" w:fill="FFFFFF"/>
            <w:tcMar>
              <w:top w:w="30" w:type="dxa"/>
              <w:left w:w="150" w:type="dxa"/>
              <w:bottom w:w="30" w:type="dxa"/>
              <w:right w:w="150" w:type="dxa"/>
            </w:tcMar>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10,000</w:t>
            </w:r>
            <w:r>
              <w:rPr>
                <w:rFonts w:hint="eastAsia"/>
                <w:color w:val="000000" w:themeColor="text1"/>
                <w:kern w:val="1"/>
                <w:sz w:val="24"/>
                <w:szCs w:val="24"/>
                <w:highlight w:val="none"/>
                <w:lang w:val="en-US" w:bidi="ar-SA"/>
                <w14:textFill>
                  <w14:solidFill>
                    <w14:schemeClr w14:val="tx1"/>
                  </w14:solidFill>
                </w14:textFill>
              </w:rPr>
              <w:t>级</w:t>
            </w:r>
          </w:p>
        </w:tc>
        <w:tc>
          <w:tcPr>
            <w:tcW w:w="2595"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350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1677"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2</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2220"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100</w:t>
            </w:r>
          </w:p>
        </w:tc>
        <w:tc>
          <w:tcPr>
            <w:tcW w:w="1431"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2067" w:type="dxa"/>
            <w:shd w:val="clear" w:color="auto" w:fill="FFFFFF"/>
            <w:tcMar>
              <w:top w:w="30" w:type="dxa"/>
              <w:left w:w="150" w:type="dxa"/>
              <w:bottom w:w="30" w:type="dxa"/>
              <w:right w:w="150" w:type="dxa"/>
            </w:tcMar>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r>
              <w:rPr>
                <w:rFonts w:hint="eastAsia"/>
                <w:color w:val="000000" w:themeColor="text1"/>
                <w:kern w:val="1"/>
                <w:sz w:val="24"/>
                <w:szCs w:val="24"/>
                <w:highlight w:val="none"/>
                <w:lang w:val="en-US" w:bidi="ar-SA"/>
                <w14:textFill>
                  <w14:solidFill>
                    <w14:schemeClr w14:val="tx1"/>
                  </w14:solidFill>
                </w14:textFill>
              </w:rPr>
              <w:t>级</w:t>
            </w:r>
          </w:p>
        </w:tc>
        <w:tc>
          <w:tcPr>
            <w:tcW w:w="2595"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w:t>
            </w: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500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1677"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20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2220"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500</w:t>
            </w:r>
          </w:p>
        </w:tc>
        <w:tc>
          <w:tcPr>
            <w:tcW w:w="1431"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trPr>
        <w:tc>
          <w:tcPr>
            <w:tcW w:w="2067" w:type="dxa"/>
            <w:shd w:val="clear" w:color="auto" w:fill="FFFFFF"/>
            <w:tcMar>
              <w:top w:w="30" w:type="dxa"/>
              <w:left w:w="150" w:type="dxa"/>
              <w:bottom w:w="30" w:type="dxa"/>
              <w:right w:w="150" w:type="dxa"/>
            </w:tcMar>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300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r>
              <w:rPr>
                <w:rFonts w:hint="eastAsia"/>
                <w:color w:val="000000" w:themeColor="text1"/>
                <w:kern w:val="1"/>
                <w:sz w:val="24"/>
                <w:szCs w:val="24"/>
                <w:highlight w:val="none"/>
                <w:lang w:val="en-US" w:bidi="ar-SA"/>
                <w14:textFill>
                  <w14:solidFill>
                    <w14:schemeClr w14:val="tx1"/>
                  </w14:solidFill>
                </w14:textFill>
              </w:rPr>
              <w:t>级</w:t>
            </w:r>
          </w:p>
        </w:tc>
        <w:tc>
          <w:tcPr>
            <w:tcW w:w="2595"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w:t>
            </w: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500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1677" w:type="dxa"/>
            <w:shd w:val="clear" w:color="auto" w:fill="FFFFFF"/>
            <w:vAlign w:val="center"/>
          </w:tcPr>
          <w:p>
            <w:pPr>
              <w:autoSpaceDE/>
              <w:autoSpaceDN/>
              <w:spacing w:before="240" w:after="240" w:line="120" w:lineRule="auto"/>
              <w:jc w:val="both"/>
              <w:rPr>
                <w:rFonts w:hAnsi="Calibri"/>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60</w:t>
            </w:r>
            <w:r>
              <w:rPr>
                <w:rFonts w:hint="eastAsia"/>
                <w:color w:val="000000" w:themeColor="text1"/>
                <w:kern w:val="1"/>
                <w:sz w:val="24"/>
                <w:szCs w:val="24"/>
                <w:highlight w:val="none"/>
                <w:lang w:val="en-US" w:bidi="ar-SA"/>
                <w14:textFill>
                  <w14:solidFill>
                    <w14:schemeClr w14:val="tx1"/>
                  </w14:solidFill>
                </w14:textFill>
              </w:rPr>
              <w:t>，</w:t>
            </w:r>
            <w:r>
              <w:rPr>
                <w:rFonts w:hAnsi="Calibri"/>
                <w:color w:val="000000" w:themeColor="text1"/>
                <w:kern w:val="1"/>
                <w:sz w:val="24"/>
                <w:szCs w:val="24"/>
                <w:highlight w:val="none"/>
                <w:lang w:val="en-US" w:bidi="ar-SA"/>
                <w14:textFill>
                  <w14:solidFill>
                    <w14:schemeClr w14:val="tx1"/>
                  </w14:solidFill>
                </w14:textFill>
              </w:rPr>
              <w:t>000</w:t>
            </w:r>
          </w:p>
        </w:tc>
        <w:tc>
          <w:tcPr>
            <w:tcW w:w="2220"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1000</w:t>
            </w:r>
          </w:p>
        </w:tc>
        <w:tc>
          <w:tcPr>
            <w:tcW w:w="1431" w:type="dxa"/>
            <w:shd w:val="clear" w:color="auto" w:fill="FFFFFF"/>
            <w:vAlign w:val="center"/>
          </w:tcPr>
          <w:p>
            <w:pPr>
              <w:autoSpaceDE/>
              <w:autoSpaceDN/>
              <w:spacing w:before="240" w:after="240" w:line="12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15</w:t>
            </w:r>
          </w:p>
        </w:tc>
      </w:tr>
    </w:tbl>
    <w:p>
      <w:pPr>
        <w:autoSpaceDE/>
        <w:autoSpaceDN/>
        <w:spacing w:before="240" w:after="240" w:line="360" w:lineRule="auto"/>
        <w:ind w:firstLine="134"/>
        <w:jc w:val="center"/>
        <w:rPr>
          <w:rFonts w:hAnsi="Calibri" w:cs="Times New Roman"/>
          <w:color w:val="000000" w:themeColor="text1"/>
          <w:kern w:val="1"/>
          <w:sz w:val="24"/>
          <w:szCs w:val="24"/>
          <w:highlight w:val="none"/>
          <w:lang w:val="en-US" w:bidi="ar-SA"/>
          <w14:textFill>
            <w14:solidFill>
              <w14:schemeClr w14:val="tx1"/>
            </w14:solidFill>
          </w14:textFill>
        </w:rPr>
      </w:pPr>
      <w:bookmarkStart w:id="97" w:name="_Toc16561_WPSOffice_Level2"/>
      <w:bookmarkStart w:id="98" w:name="_Toc10125_WPSOffice_Level2"/>
      <w:r>
        <w:rPr>
          <w:rFonts w:hint="eastAsia"/>
          <w:color w:val="000000" w:themeColor="text1"/>
          <w:kern w:val="1"/>
          <w:sz w:val="24"/>
          <w:szCs w:val="24"/>
          <w:highlight w:val="none"/>
          <w:lang w:val="en-US" w:bidi="ar-SA"/>
          <w14:textFill>
            <w14:solidFill>
              <w14:schemeClr w14:val="tx1"/>
            </w14:solidFill>
          </w14:textFill>
        </w:rPr>
        <w:t>洁净间（中国国家标准）</w:t>
      </w:r>
      <w:bookmarkEnd w:id="97"/>
      <w:bookmarkEnd w:id="98"/>
    </w:p>
    <w:p>
      <w:pPr>
        <w:autoSpaceDE/>
        <w:autoSpaceDN/>
        <w:spacing w:before="240" w:after="240" w:line="360" w:lineRule="auto"/>
        <w:ind w:firstLine="560"/>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洁净车间采用了新风初效、加压中效，混合回风初效及末端高效送风，三级过滤器的净化空调系统。空调机置于机房，机组用风冷柜式恒温空调加高压风机加压送风，经组合式空气净化处理机及均布设立于天花上的高效送风口送至室内，然后由均布设立开于下部回风柱墙体上的回风格栅回风口进入回风道后，同洁净新风一道直接进入空调段进入空气调节。</w:t>
      </w:r>
    </w:p>
    <w:p>
      <w:pPr>
        <w:autoSpaceDE/>
        <w:autoSpaceDN/>
        <w:spacing w:before="240" w:after="240" w:line="36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洁净车间内气流组织采用顶送侧回方式。</w:t>
      </w:r>
    </w:p>
    <w:p>
      <w:pPr>
        <w:autoSpaceDE/>
        <w:autoSpaceDN/>
        <w:spacing w:before="240" w:after="240" w:line="36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补充：</w:t>
      </w:r>
    </w:p>
    <w:p>
      <w:pPr>
        <w:autoSpaceDE/>
        <w:autoSpaceDN/>
        <w:spacing w:before="240" w:after="240" w:line="360" w:lineRule="auto"/>
        <w:jc w:val="both"/>
        <w:rPr>
          <w:rFonts w:hAnsi="Calibri" w:cs="Times New Roman"/>
          <w:color w:val="000000" w:themeColor="text1"/>
          <w:kern w:val="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1</w:t>
      </w:r>
      <w:r>
        <w:rPr>
          <w:rFonts w:hint="eastAsia"/>
          <w:color w:val="000000" w:themeColor="text1"/>
          <w:kern w:val="1"/>
          <w:sz w:val="24"/>
          <w:szCs w:val="24"/>
          <w:highlight w:val="none"/>
          <w:lang w:val="en-US" w:bidi="ar-SA"/>
          <w14:textFill>
            <w14:solidFill>
              <w14:schemeClr w14:val="tx1"/>
            </w14:solidFill>
          </w14:textFill>
        </w:rPr>
        <w:t>、洁净度等级：</w:t>
      </w:r>
      <w:r>
        <w:rPr>
          <w:color w:val="000000" w:themeColor="text1"/>
          <w:kern w:val="1"/>
          <w:sz w:val="24"/>
          <w:szCs w:val="24"/>
          <w:highlight w:val="none"/>
          <w:lang w:val="en-US" w:bidi="ar-SA"/>
          <w14:textFill>
            <w14:solidFill>
              <w14:schemeClr w14:val="tx1"/>
            </w14:solidFill>
          </w14:textFill>
        </w:rPr>
        <w:t>l0000</w:t>
      </w:r>
      <w:r>
        <w:rPr>
          <w:rFonts w:hint="eastAsia"/>
          <w:color w:val="000000" w:themeColor="text1"/>
          <w:kern w:val="1"/>
          <w:sz w:val="24"/>
          <w:szCs w:val="24"/>
          <w:highlight w:val="none"/>
          <w:lang w:val="en-US" w:bidi="ar-SA"/>
          <w14:textFill>
            <w14:solidFill>
              <w14:schemeClr w14:val="tx1"/>
            </w14:solidFill>
          </w14:textFill>
        </w:rPr>
        <w:t>级。即现行中国国家标准</w:t>
      </w:r>
      <w:r>
        <w:rPr>
          <w:color w:val="000000" w:themeColor="text1"/>
          <w:kern w:val="1"/>
          <w:sz w:val="24"/>
          <w:szCs w:val="24"/>
          <w:highlight w:val="none"/>
          <w:lang w:val="en-US" w:bidi="ar-SA"/>
          <w14:textFill>
            <w14:solidFill>
              <w14:schemeClr w14:val="tx1"/>
            </w14:solidFill>
          </w14:textFill>
        </w:rPr>
        <w:t>N6</w:t>
      </w:r>
      <w:r>
        <w:rPr>
          <w:rFonts w:hint="eastAsia"/>
          <w:color w:val="000000" w:themeColor="text1"/>
          <w:kern w:val="1"/>
          <w:sz w:val="24"/>
          <w:szCs w:val="24"/>
          <w:highlight w:val="none"/>
          <w:lang w:val="en-US" w:bidi="ar-SA"/>
          <w14:textFill>
            <w14:solidFill>
              <w14:schemeClr w14:val="tx1"/>
            </w14:solidFill>
          </w14:textFill>
        </w:rPr>
        <w:t>级，具体参数为</w:t>
      </w:r>
    </w:p>
    <w:p>
      <w:pPr>
        <w:autoSpaceDE/>
        <w:autoSpaceDN/>
        <w:spacing w:before="240" w:after="240" w:line="240" w:lineRule="atLeast"/>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空气中粒径≥</w:t>
      </w:r>
      <w:r>
        <w:rPr>
          <w:color w:val="000000" w:themeColor="text1"/>
          <w:kern w:val="1"/>
          <w:sz w:val="24"/>
          <w:szCs w:val="24"/>
          <w:highlight w:val="none"/>
          <w:lang w:val="en-US" w:bidi="ar-SA"/>
          <w14:textFill>
            <w14:solidFill>
              <w14:schemeClr w14:val="tx1"/>
            </w14:solidFill>
          </w14:textFill>
        </w:rPr>
        <w:t>0.5</w:t>
      </w:r>
      <w:r>
        <w:rPr>
          <w:rFonts w:hint="eastAsia"/>
          <w:color w:val="000000" w:themeColor="text1"/>
          <w:kern w:val="1"/>
          <w:sz w:val="24"/>
          <w:szCs w:val="24"/>
          <w:highlight w:val="none"/>
          <w:lang w:val="en-US" w:bidi="ar-SA"/>
          <w14:textFill>
            <w14:solidFill>
              <w14:schemeClr w14:val="tx1"/>
            </w14:solidFill>
          </w14:textFill>
        </w:rPr>
        <w:t>μ</w:t>
      </w:r>
      <w:r>
        <w:rPr>
          <w:color w:val="000000" w:themeColor="text1"/>
          <w:kern w:val="1"/>
          <w:sz w:val="24"/>
          <w:szCs w:val="24"/>
          <w:highlight w:val="none"/>
          <w:lang w:val="en-US" w:bidi="ar-SA"/>
          <w14:textFill>
            <w14:solidFill>
              <w14:schemeClr w14:val="tx1"/>
            </w14:solidFill>
          </w14:textFill>
        </w:rPr>
        <w:t>m</w:t>
      </w:r>
      <w:r>
        <w:rPr>
          <w:rFonts w:hint="eastAsia"/>
          <w:color w:val="000000" w:themeColor="text1"/>
          <w:kern w:val="1"/>
          <w:sz w:val="24"/>
          <w:szCs w:val="24"/>
          <w:highlight w:val="none"/>
          <w:lang w:val="en-US" w:bidi="ar-SA"/>
          <w14:textFill>
            <w14:solidFill>
              <w14:schemeClr w14:val="tx1"/>
            </w14:solidFill>
          </w14:textFill>
        </w:rPr>
        <w:t>、尘粒数≤</w:t>
      </w:r>
      <w:r>
        <w:rPr>
          <w:color w:val="000000" w:themeColor="text1"/>
          <w:kern w:val="1"/>
          <w:sz w:val="24"/>
          <w:szCs w:val="24"/>
          <w:highlight w:val="none"/>
          <w:lang w:val="en-US" w:bidi="ar-SA"/>
          <w14:textFill>
            <w14:solidFill>
              <w14:schemeClr w14:val="tx1"/>
            </w14:solidFill>
          </w14:textFill>
        </w:rPr>
        <w:t>352</w:t>
      </w: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1000</w:t>
      </w:r>
      <w:r>
        <w:rPr>
          <w:rFonts w:hint="eastAsia"/>
          <w:color w:val="000000" w:themeColor="text1"/>
          <w:kern w:val="1"/>
          <w:sz w:val="24"/>
          <w:szCs w:val="24"/>
          <w:highlight w:val="none"/>
          <w:lang w:val="en-US" w:bidi="ar-SA"/>
          <w14:textFill>
            <w14:solidFill>
              <w14:schemeClr w14:val="tx1"/>
            </w14:solidFill>
          </w14:textFill>
        </w:rPr>
        <w:t>粒</w:t>
      </w:r>
      <w:r>
        <w:rPr>
          <w:color w:val="000000" w:themeColor="text1"/>
          <w:kern w:val="1"/>
          <w:sz w:val="24"/>
          <w:szCs w:val="24"/>
          <w:highlight w:val="none"/>
          <w:lang w:val="en-US" w:bidi="ar-SA"/>
          <w14:textFill>
            <w14:solidFill>
              <w14:schemeClr w14:val="tx1"/>
            </w14:solidFill>
          </w14:textFill>
        </w:rPr>
        <w:t>/M</w:t>
      </w:r>
      <w:r>
        <w:rPr>
          <w:color w:val="000000" w:themeColor="text1"/>
          <w:kern w:val="1"/>
          <w:sz w:val="24"/>
          <w:szCs w:val="24"/>
          <w:highlight w:val="none"/>
          <w:vertAlign w:val="superscript"/>
          <w:lang w:val="en-US" w:bidi="ar-SA"/>
          <w14:textFill>
            <w14:solidFill>
              <w14:schemeClr w14:val="tx1"/>
            </w14:solidFill>
          </w14:textFill>
        </w:rPr>
        <w:t>3</w:t>
      </w:r>
      <w:r>
        <w:rPr>
          <w:rFonts w:hint="eastAsia"/>
          <w:color w:val="000000" w:themeColor="text1"/>
          <w:kern w:val="1"/>
          <w:sz w:val="24"/>
          <w:szCs w:val="24"/>
          <w:highlight w:val="none"/>
          <w:lang w:val="en-US" w:bidi="ar-SA"/>
          <w14:textFill>
            <w14:solidFill>
              <w14:schemeClr w14:val="tx1"/>
            </w14:solidFill>
          </w14:textFill>
        </w:rPr>
        <w:t>，尘粒数≤</w:t>
      </w:r>
      <w:r>
        <w:rPr>
          <w:color w:val="000000" w:themeColor="text1"/>
          <w:kern w:val="1"/>
          <w:sz w:val="24"/>
          <w:szCs w:val="24"/>
          <w:highlight w:val="none"/>
          <w:lang w:val="en-US" w:bidi="ar-SA"/>
          <w14:textFill>
            <w14:solidFill>
              <w14:schemeClr w14:val="tx1"/>
            </w14:solidFill>
          </w14:textFill>
        </w:rPr>
        <w:t>352</w:t>
      </w:r>
      <w:r>
        <w:rPr>
          <w:rFonts w:hint="eastAsia"/>
          <w:color w:val="000000" w:themeColor="text1"/>
          <w:kern w:val="1"/>
          <w:sz w:val="24"/>
          <w:szCs w:val="24"/>
          <w:highlight w:val="none"/>
          <w:lang w:val="en-US" w:bidi="ar-SA"/>
          <w14:textFill>
            <w14:solidFill>
              <w14:schemeClr w14:val="tx1"/>
            </w14:solidFill>
          </w14:textFill>
        </w:rPr>
        <w:t>×</w:t>
      </w:r>
      <w:r>
        <w:rPr>
          <w:color w:val="000000" w:themeColor="text1"/>
          <w:kern w:val="1"/>
          <w:sz w:val="24"/>
          <w:szCs w:val="24"/>
          <w:highlight w:val="none"/>
          <w:lang w:val="en-US" w:bidi="ar-SA"/>
          <w14:textFill>
            <w14:solidFill>
              <w14:schemeClr w14:val="tx1"/>
            </w14:solidFill>
          </w14:textFill>
        </w:rPr>
        <w:t>1000</w:t>
      </w:r>
      <w:r>
        <w:rPr>
          <w:rFonts w:hint="eastAsia"/>
          <w:color w:val="000000" w:themeColor="text1"/>
          <w:kern w:val="1"/>
          <w:sz w:val="24"/>
          <w:szCs w:val="24"/>
          <w:highlight w:val="none"/>
          <w:lang w:val="en-US" w:bidi="ar-SA"/>
          <w14:textFill>
            <w14:solidFill>
              <w14:schemeClr w14:val="tx1"/>
            </w14:solidFill>
          </w14:textFill>
        </w:rPr>
        <w:t>粒</w:t>
      </w:r>
      <w:r>
        <w:rPr>
          <w:color w:val="000000" w:themeColor="text1"/>
          <w:kern w:val="1"/>
          <w:sz w:val="24"/>
          <w:szCs w:val="24"/>
          <w:highlight w:val="none"/>
          <w:lang w:val="en-US" w:bidi="ar-SA"/>
          <w14:textFill>
            <w14:solidFill>
              <w14:schemeClr w14:val="tx1"/>
            </w14:solidFill>
          </w14:textFill>
        </w:rPr>
        <w:t>/M</w:t>
      </w:r>
    </w:p>
    <w:p>
      <w:pPr>
        <w:autoSpaceDE/>
        <w:autoSpaceDN/>
        <w:spacing w:before="240" w:after="240" w:line="240" w:lineRule="atLeast"/>
        <w:jc w:val="both"/>
        <w:rPr>
          <w:rFonts w:hAnsi="Calibri" w:cs="Times New Roman"/>
          <w:color w:val="000000" w:themeColor="text1"/>
          <w:kern w:val="1"/>
          <w:sz w:val="24"/>
          <w:szCs w:val="24"/>
          <w:highlight w:val="none"/>
          <w:lang w:val="en-US" w:bidi="ar-SA"/>
          <w14:textFill>
            <w14:solidFill>
              <w14:schemeClr w14:val="tx1"/>
            </w14:solidFill>
          </w14:textFill>
        </w:rPr>
      </w:pPr>
      <w:r>
        <w:rPr>
          <w:rFonts w:hint="eastAsia"/>
          <w:color w:val="000000" w:themeColor="text1"/>
          <w:kern w:val="1"/>
          <w:sz w:val="24"/>
          <w:szCs w:val="24"/>
          <w:highlight w:val="none"/>
          <w:lang w:val="en-US" w:bidi="ar-SA"/>
          <w14:textFill>
            <w14:solidFill>
              <w14:schemeClr w14:val="tx1"/>
            </w14:solidFill>
          </w14:textFill>
        </w:rPr>
        <w:t>空气中粒径≥</w:t>
      </w:r>
      <w:r>
        <w:rPr>
          <w:color w:val="000000" w:themeColor="text1"/>
          <w:kern w:val="1"/>
          <w:sz w:val="24"/>
          <w:szCs w:val="24"/>
          <w:highlight w:val="none"/>
          <w:lang w:val="en-US" w:bidi="ar-SA"/>
          <w14:textFill>
            <w14:solidFill>
              <w14:schemeClr w14:val="tx1"/>
            </w14:solidFill>
          </w14:textFill>
        </w:rPr>
        <w:t>5</w:t>
      </w:r>
      <w:r>
        <w:rPr>
          <w:rFonts w:hint="eastAsia"/>
          <w:color w:val="000000" w:themeColor="text1"/>
          <w:kern w:val="1"/>
          <w:sz w:val="24"/>
          <w:szCs w:val="24"/>
          <w:highlight w:val="none"/>
          <w:lang w:val="en-US" w:bidi="ar-SA"/>
          <w14:textFill>
            <w14:solidFill>
              <w14:schemeClr w14:val="tx1"/>
            </w14:solidFill>
          </w14:textFill>
        </w:rPr>
        <w:t>μ</w:t>
      </w:r>
      <w:r>
        <w:rPr>
          <w:color w:val="000000" w:themeColor="text1"/>
          <w:kern w:val="1"/>
          <w:sz w:val="24"/>
          <w:szCs w:val="24"/>
          <w:highlight w:val="none"/>
          <w:lang w:val="en-US" w:bidi="ar-SA"/>
          <w14:textFill>
            <w14:solidFill>
              <w14:schemeClr w14:val="tx1"/>
            </w14:solidFill>
          </w14:textFill>
        </w:rPr>
        <w:t>m</w:t>
      </w:r>
      <w:r>
        <w:rPr>
          <w:rFonts w:hint="eastAsia"/>
          <w:color w:val="000000" w:themeColor="text1"/>
          <w:kern w:val="1"/>
          <w:sz w:val="24"/>
          <w:szCs w:val="24"/>
          <w:highlight w:val="none"/>
          <w:lang w:val="en-US" w:bidi="ar-SA"/>
          <w14:textFill>
            <w14:solidFill>
              <w14:schemeClr w14:val="tx1"/>
            </w14:solidFill>
          </w14:textFill>
        </w:rPr>
        <w:t>、尘粒数≤</w:t>
      </w:r>
      <w:r>
        <w:rPr>
          <w:color w:val="000000" w:themeColor="text1"/>
          <w:kern w:val="1"/>
          <w:sz w:val="24"/>
          <w:szCs w:val="24"/>
          <w:highlight w:val="none"/>
          <w:lang w:val="en-US" w:bidi="ar-SA"/>
          <w14:textFill>
            <w14:solidFill>
              <w14:schemeClr w14:val="tx1"/>
            </w14:solidFill>
          </w14:textFill>
        </w:rPr>
        <w:t>2000</w:t>
      </w:r>
      <w:r>
        <w:rPr>
          <w:rFonts w:hint="eastAsia"/>
          <w:color w:val="000000" w:themeColor="text1"/>
          <w:kern w:val="1"/>
          <w:sz w:val="24"/>
          <w:szCs w:val="24"/>
          <w:highlight w:val="none"/>
          <w:lang w:val="en-US" w:bidi="ar-SA"/>
          <w14:textFill>
            <w14:solidFill>
              <w14:schemeClr w14:val="tx1"/>
            </w14:solidFill>
          </w14:textFill>
        </w:rPr>
        <w:t>粒</w:t>
      </w:r>
      <w:r>
        <w:rPr>
          <w:color w:val="000000" w:themeColor="text1"/>
          <w:kern w:val="1"/>
          <w:sz w:val="24"/>
          <w:szCs w:val="24"/>
          <w:highlight w:val="none"/>
          <w:lang w:val="en-US" w:bidi="ar-SA"/>
          <w14:textFill>
            <w14:solidFill>
              <w14:schemeClr w14:val="tx1"/>
            </w14:solidFill>
          </w14:textFill>
        </w:rPr>
        <w:t>/M</w:t>
      </w:r>
      <w:r>
        <w:rPr>
          <w:color w:val="000000" w:themeColor="text1"/>
          <w:kern w:val="1"/>
          <w:sz w:val="24"/>
          <w:szCs w:val="24"/>
          <w:highlight w:val="none"/>
          <w:vertAlign w:val="superscript"/>
          <w:lang w:val="en-US" w:bidi="ar-SA"/>
          <w14:textFill>
            <w14:solidFill>
              <w14:schemeClr w14:val="tx1"/>
            </w14:solidFill>
          </w14:textFill>
        </w:rPr>
        <w:t>3</w:t>
      </w:r>
      <w:r>
        <w:rPr>
          <w:rFonts w:hint="eastAsia"/>
          <w:color w:val="000000" w:themeColor="text1"/>
          <w:kern w:val="1"/>
          <w:sz w:val="24"/>
          <w:szCs w:val="24"/>
          <w:highlight w:val="none"/>
          <w:lang w:val="en-US" w:bidi="ar-SA"/>
          <w14:textFill>
            <w14:solidFill>
              <w14:schemeClr w14:val="tx1"/>
            </w14:solidFill>
          </w14:textFill>
        </w:rPr>
        <w:t>（以尘埃粒子计数器检测）</w:t>
      </w:r>
    </w:p>
    <w:p>
      <w:pPr>
        <w:autoSpaceDE/>
        <w:autoSpaceDN/>
        <w:spacing w:before="240" w:after="240" w:line="240" w:lineRule="atLeast"/>
        <w:jc w:val="both"/>
        <w:rPr>
          <w:rFonts w:hAnsi="Calibri" w:cs="Times New Roman"/>
          <w:color w:val="000000" w:themeColor="text1"/>
          <w:sz w:val="24"/>
          <w:szCs w:val="24"/>
          <w:highlight w:val="none"/>
          <w:lang w:val="en-US" w:bidi="ar-SA"/>
          <w14:textFill>
            <w14:solidFill>
              <w14:schemeClr w14:val="tx1"/>
            </w14:solidFill>
          </w14:textFill>
        </w:rPr>
      </w:pPr>
      <w:r>
        <w:rPr>
          <w:color w:val="000000" w:themeColor="text1"/>
          <w:kern w:val="1"/>
          <w:sz w:val="24"/>
          <w:szCs w:val="24"/>
          <w:highlight w:val="none"/>
          <w:lang w:val="en-US" w:bidi="ar-SA"/>
          <w14:textFill>
            <w14:solidFill>
              <w14:schemeClr w14:val="tx1"/>
            </w14:solidFill>
          </w14:textFill>
        </w:rPr>
        <w:t>2</w:t>
      </w:r>
      <w:r>
        <w:rPr>
          <w:rFonts w:hint="eastAsia"/>
          <w:color w:val="000000" w:themeColor="text1"/>
          <w:kern w:val="1"/>
          <w:sz w:val="24"/>
          <w:szCs w:val="24"/>
          <w:highlight w:val="none"/>
          <w:lang w:val="en-US" w:bidi="ar-SA"/>
          <w14:textFill>
            <w14:solidFill>
              <w14:schemeClr w14:val="tx1"/>
            </w14:solidFill>
          </w14:textFill>
        </w:rPr>
        <w:t>、洁净车间设计方案为系统工程，综合了空调技术、通风工程、净化处理、结构装饰和施工手段及水平与经验等专业性知识与技能。</w:t>
      </w:r>
    </w:p>
    <w:p>
      <w:pPr>
        <w:keepNext/>
        <w:keepLines/>
        <w:numPr>
          <w:ilvl w:val="1"/>
          <w:numId w:val="0"/>
        </w:numPr>
        <w:autoSpaceDE/>
        <w:autoSpaceDN/>
        <w:spacing w:before="260" w:after="260" w:line="240" w:lineRule="atLeast"/>
        <w:ind w:left="420"/>
        <w:outlineLvl w:val="1"/>
        <w:rPr>
          <w:rFonts w:hAnsi="Arial" w:cs="Times New Roman"/>
          <w:b/>
          <w:bCs/>
          <w:color w:val="000000" w:themeColor="text1"/>
          <w:kern w:val="2"/>
          <w:sz w:val="24"/>
          <w:szCs w:val="24"/>
          <w:highlight w:val="none"/>
          <w:lang w:val="en-US" w:bidi="ar-SA"/>
          <w14:textFill>
            <w14:solidFill>
              <w14:schemeClr w14:val="tx1"/>
            </w14:solidFill>
          </w14:textFill>
        </w:rPr>
      </w:pPr>
      <w:bookmarkStart w:id="99" w:name="_Toc31931"/>
      <w:r>
        <w:rPr>
          <w:b/>
          <w:bCs/>
          <w:color w:val="000000" w:themeColor="text1"/>
          <w:kern w:val="2"/>
          <w:sz w:val="24"/>
          <w:szCs w:val="24"/>
          <w:highlight w:val="none"/>
          <w:lang w:val="en-US" w:bidi="ar-SA"/>
          <w14:textFill>
            <w14:solidFill>
              <w14:schemeClr w14:val="tx1"/>
            </w14:solidFill>
          </w14:textFill>
        </w:rPr>
        <w:t>6</w:t>
      </w:r>
      <w:r>
        <w:rPr>
          <w:rFonts w:hint="eastAsia"/>
          <w:b/>
          <w:bCs/>
          <w:color w:val="000000" w:themeColor="text1"/>
          <w:kern w:val="2"/>
          <w:sz w:val="24"/>
          <w:szCs w:val="24"/>
          <w:highlight w:val="none"/>
          <w:lang w:val="en-US" w:bidi="ar-SA"/>
          <w14:textFill>
            <w14:solidFill>
              <w14:schemeClr w14:val="tx1"/>
            </w14:solidFill>
          </w14:textFill>
        </w:rPr>
        <w:t>、实验室电气</w:t>
      </w:r>
      <w:bookmarkEnd w:id="99"/>
      <w:r>
        <w:rPr>
          <w:rFonts w:hint="eastAsia"/>
          <w:b/>
          <w:bCs/>
          <w:color w:val="000000" w:themeColor="text1"/>
          <w:kern w:val="2"/>
          <w:sz w:val="24"/>
          <w:szCs w:val="24"/>
          <w:highlight w:val="none"/>
          <w:lang w:val="en-US" w:bidi="ar-SA"/>
          <w14:textFill>
            <w14:solidFill>
              <w14:schemeClr w14:val="tx1"/>
            </w14:solidFill>
          </w14:textFill>
        </w:rPr>
        <w:t>系统设备注意要点</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）本次实验室电路电气工程装修采用明敷线管的工艺，从各个房间分电箱通过走线槽，沿墙连接至实验室用电设备或</w:t>
      </w:r>
      <w:r>
        <w:rPr>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预留电气桥架，满足日后改造使用。</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）按仪器需要预留等电位端子箱，满足仪器独立接地。</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）每个实验室配电箱均预留</w:t>
      </w:r>
      <w:r>
        <w:rPr>
          <w:color w:val="000000" w:themeColor="text1"/>
          <w:kern w:val="2"/>
          <w:sz w:val="24"/>
          <w:szCs w:val="24"/>
          <w:highlight w:val="none"/>
          <w:lang w:val="en-US" w:bidi="ar-SA"/>
          <w14:textFill>
            <w14:solidFill>
              <w14:schemeClr w14:val="tx1"/>
            </w14:solidFill>
          </w14:textFill>
        </w:rPr>
        <w:t>380/220v</w:t>
      </w:r>
      <w:r>
        <w:rPr>
          <w:rFonts w:hint="eastAsia"/>
          <w:color w:val="000000" w:themeColor="text1"/>
          <w:kern w:val="2"/>
          <w:sz w:val="24"/>
          <w:szCs w:val="24"/>
          <w:highlight w:val="none"/>
          <w:lang w:val="en-US" w:bidi="ar-SA"/>
          <w14:textFill>
            <w14:solidFill>
              <w14:schemeClr w14:val="tx1"/>
            </w14:solidFill>
          </w14:textFill>
        </w:rPr>
        <w:t>电源，满足仪器接入使用，电源插座回路设有漏电保护电器。</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）预留专用供电箱，满足实验停止后仍须运行的设备电源接入需要。</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5</w:t>
      </w:r>
      <w:r>
        <w:rPr>
          <w:rFonts w:hint="eastAsia"/>
          <w:color w:val="000000" w:themeColor="text1"/>
          <w:kern w:val="2"/>
          <w:sz w:val="24"/>
          <w:szCs w:val="24"/>
          <w:highlight w:val="none"/>
          <w:lang w:val="en-US" w:bidi="ar-SA"/>
          <w14:textFill>
            <w14:solidFill>
              <w14:schemeClr w14:val="tx1"/>
            </w14:solidFill>
          </w14:textFill>
        </w:rPr>
        <w:t>）大型仪器设置独立断路器箱，满足单独运行需要。验台专用插座。</w:t>
      </w:r>
    </w:p>
    <w:p>
      <w:pPr>
        <w:autoSpaceDE/>
        <w:autoSpaceDN/>
        <w:spacing w:before="240" w:after="240" w:line="360" w:lineRule="auto"/>
        <w:ind w:left="240" w:firstLine="480" w:firstLineChars="200"/>
        <w:rPr>
          <w:rFonts w:hAnsi="Calibri"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）各实验室的照度满足《建筑照明设计标准》</w:t>
      </w:r>
      <w:r>
        <w:rPr>
          <w:color w:val="000000" w:themeColor="text1"/>
          <w:kern w:val="2"/>
          <w:sz w:val="24"/>
          <w:szCs w:val="24"/>
          <w:highlight w:val="none"/>
          <w:lang w:val="en-US" w:bidi="ar-SA"/>
          <w14:textFill>
            <w14:solidFill>
              <w14:schemeClr w14:val="tx1"/>
            </w14:solidFill>
          </w14:textFill>
        </w:rPr>
        <w:t>GB50034-2013</w:t>
      </w:r>
      <w:r>
        <w:rPr>
          <w:rFonts w:hint="eastAsia"/>
          <w:color w:val="000000" w:themeColor="text1"/>
          <w:kern w:val="2"/>
          <w:sz w:val="24"/>
          <w:szCs w:val="24"/>
          <w:highlight w:val="none"/>
          <w:lang w:val="en-US" w:bidi="ar-SA"/>
          <w14:textFill>
            <w14:solidFill>
              <w14:schemeClr w14:val="tx1"/>
            </w14:solidFill>
          </w14:textFill>
        </w:rPr>
        <w:t>及《检验检测实验室技术要求验收规范》</w:t>
      </w:r>
      <w:r>
        <w:rPr>
          <w:color w:val="000000" w:themeColor="text1"/>
          <w:kern w:val="2"/>
          <w:sz w:val="24"/>
          <w:szCs w:val="24"/>
          <w:highlight w:val="none"/>
          <w:lang w:val="en-US" w:bidi="ar-SA"/>
          <w14:textFill>
            <w14:solidFill>
              <w14:schemeClr w14:val="tx1"/>
            </w14:solidFill>
          </w14:textFill>
        </w:rPr>
        <w:t>GB/T37140—2018</w:t>
      </w:r>
      <w:r>
        <w:rPr>
          <w:rFonts w:hint="eastAsia"/>
          <w:color w:val="000000" w:themeColor="text1"/>
          <w:kern w:val="2"/>
          <w:sz w:val="24"/>
          <w:szCs w:val="24"/>
          <w:highlight w:val="none"/>
          <w:lang w:val="en-US" w:bidi="ar-SA"/>
          <w14:textFill>
            <w14:solidFill>
              <w14:schemeClr w14:val="tx1"/>
            </w14:solidFill>
          </w14:textFill>
        </w:rPr>
        <w:t>相关要求。</w:t>
      </w:r>
    </w:p>
    <w:p>
      <w:pPr>
        <w:autoSpaceDE/>
        <w:autoSpaceDN/>
        <w:spacing w:before="240" w:after="240" w:line="360" w:lineRule="auto"/>
        <w:ind w:left="240" w:firstLine="480" w:firstLineChars="200"/>
        <w:jc w:val="center"/>
        <w:rPr>
          <w:rFonts w:hAnsi="Calibri" w:cs="Times New Roman"/>
          <w:color w:val="000000" w:themeColor="text1"/>
          <w:kern w:val="2"/>
          <w:sz w:val="24"/>
          <w:szCs w:val="24"/>
          <w:highlight w:val="none"/>
          <w:lang w:val="en-US" w:bidi="ar-SA"/>
          <w14:textFill>
            <w14:solidFill>
              <w14:schemeClr w14:val="tx1"/>
            </w14:solidFill>
          </w14:textFill>
        </w:rPr>
      </w:pPr>
      <w:r>
        <w:rPr>
          <w:rFonts w:hAnsi="Calibri" w:cs="Times New Roman"/>
          <w:color w:val="000000" w:themeColor="text1"/>
          <w:kern w:val="2"/>
          <w:sz w:val="24"/>
          <w:szCs w:val="24"/>
          <w:highlight w:val="none"/>
          <w:lang w:val="en-US" w:bidi="ar-SA"/>
          <w14:textFill>
            <w14:solidFill>
              <w14:schemeClr w14:val="tx1"/>
            </w14:solidFill>
          </w14:textFill>
        </w:rPr>
        <w:drawing>
          <wp:inline distT="0" distB="0" distL="0" distR="0">
            <wp:extent cx="5169535" cy="402653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69535" cy="4026535"/>
                    </a:xfrm>
                    <a:prstGeom prst="rect">
                      <a:avLst/>
                    </a:prstGeom>
                    <a:noFill/>
                    <a:ln>
                      <a:noFill/>
                    </a:ln>
                  </pic:spPr>
                </pic:pic>
              </a:graphicData>
            </a:graphic>
          </wp:inline>
        </w:drawing>
      </w:r>
    </w:p>
    <w:p>
      <w:pPr>
        <w:autoSpaceDE/>
        <w:autoSpaceDN/>
        <w:spacing w:before="240" w:after="240" w:line="360" w:lineRule="auto"/>
        <w:ind w:firstLine="612" w:firstLineChars="300"/>
        <w:jc w:val="both"/>
        <w:rPr>
          <w:rFonts w:hAnsi="Calibri" w:cs="Times New Roman"/>
          <w:color w:val="000000" w:themeColor="text1"/>
          <w:spacing w:val="-18"/>
          <w:kern w:val="2"/>
          <w:sz w:val="24"/>
          <w:szCs w:val="24"/>
          <w:highlight w:val="none"/>
          <w:lang w:val="en-US" w:bidi="ar-SA"/>
          <w14:textFill>
            <w14:solidFill>
              <w14:schemeClr w14:val="tx1"/>
            </w14:solidFill>
          </w14:textFill>
        </w:rPr>
      </w:pPr>
    </w:p>
    <w:p>
      <w:pPr>
        <w:keepNext/>
        <w:keepLines/>
        <w:numPr>
          <w:ilvl w:val="1"/>
          <w:numId w:val="0"/>
        </w:numPr>
        <w:autoSpaceDE/>
        <w:autoSpaceDN/>
        <w:spacing w:before="260" w:after="260" w:line="240" w:lineRule="atLeast"/>
        <w:ind w:left="420"/>
        <w:outlineLvl w:val="1"/>
        <w:rPr>
          <w:rFonts w:hAnsi="Arial" w:cs="Times New Roman"/>
          <w:b/>
          <w:bCs/>
          <w:color w:val="000000" w:themeColor="text1"/>
          <w:kern w:val="2"/>
          <w:sz w:val="24"/>
          <w:szCs w:val="24"/>
          <w:highlight w:val="none"/>
          <w:lang w:val="en-US" w:bidi="ar-SA"/>
          <w14:textFill>
            <w14:solidFill>
              <w14:schemeClr w14:val="tx1"/>
            </w14:solidFill>
          </w14:textFill>
        </w:rPr>
      </w:pPr>
      <w:r>
        <w:rPr>
          <w:b/>
          <w:bCs/>
          <w:color w:val="000000" w:themeColor="text1"/>
          <w:kern w:val="2"/>
          <w:sz w:val="24"/>
          <w:szCs w:val="24"/>
          <w:highlight w:val="none"/>
          <w:lang w:val="en-US" w:bidi="ar-SA"/>
          <w14:textFill>
            <w14:solidFill>
              <w14:schemeClr w14:val="tx1"/>
            </w14:solidFill>
          </w14:textFill>
        </w:rPr>
        <w:t>7</w:t>
      </w:r>
      <w:r>
        <w:rPr>
          <w:rFonts w:hint="eastAsia"/>
          <w:b/>
          <w:bCs/>
          <w:color w:val="000000" w:themeColor="text1"/>
          <w:kern w:val="2"/>
          <w:sz w:val="24"/>
          <w:szCs w:val="24"/>
          <w:highlight w:val="none"/>
          <w:lang w:val="en-US" w:bidi="ar-SA"/>
          <w14:textFill>
            <w14:solidFill>
              <w14:schemeClr w14:val="tx1"/>
            </w14:solidFill>
          </w14:textFill>
        </w:rPr>
        <w:t>、实验室进排水系统设备注意要点</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100" w:name="_Toc22013_WPSOffice_Level2"/>
      <w:bookmarkStart w:id="101" w:name="_Toc15779_WPSOffice_Level2"/>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）实验室给水：</w:t>
      </w:r>
      <w:bookmarkEnd w:id="100"/>
      <w:bookmarkEnd w:id="101"/>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单根引入管通常从建筑物的进入实验楼，这样水压就较为平衡。如遇特殊情况，只能从同一侧进入，就应该保证引入管之间有较大的间距，距离不能低于</w:t>
      </w:r>
      <w:r>
        <w:rPr>
          <w:color w:val="000000" w:themeColor="text1"/>
          <w:kern w:val="2"/>
          <w:sz w:val="24"/>
          <w:szCs w:val="24"/>
          <w:highlight w:val="none"/>
          <w:lang w:val="en-US" w:bidi="ar-SA"/>
          <w14:textFill>
            <w14:solidFill>
              <w14:schemeClr w14:val="tx1"/>
            </w14:solidFill>
          </w14:textFill>
        </w:rPr>
        <w:t>10</w:t>
      </w:r>
      <w:r>
        <w:rPr>
          <w:rFonts w:hint="eastAsia"/>
          <w:color w:val="000000" w:themeColor="text1"/>
          <w:kern w:val="2"/>
          <w:sz w:val="24"/>
          <w:szCs w:val="24"/>
          <w:highlight w:val="none"/>
          <w:lang w:val="en-US" w:bidi="ar-SA"/>
          <w14:textFill>
            <w14:solidFill>
              <w14:schemeClr w14:val="tx1"/>
            </w14:solidFill>
          </w14:textFill>
        </w:rPr>
        <w:t>米，同时连接两个引入管的给水管网应该设置阀门，以保障在局部出现故障时仍然能够安全供水。引入管则应从用水量较大的地点引入。</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另外，实验室内部给水管道要能够布置合理，这样就便于管道的维护。内部的管道线尽可能地短，同时避免交叉，以使供水更加安全、可靠。实验室管道通常是沿着走道、墙壁，走明线，方便观察。</w:t>
      </w:r>
    </w:p>
    <w:p>
      <w:pPr>
        <w:autoSpaceDE/>
        <w:autoSpaceDN/>
        <w:spacing w:before="240" w:after="240" w:line="360" w:lineRule="auto"/>
        <w:jc w:val="both"/>
        <w:rPr>
          <w:rFonts w:hAnsi="Calibri" w:cs="Times New Roman"/>
          <w:color w:val="000000" w:themeColor="text1"/>
          <w:kern w:val="2"/>
          <w:sz w:val="24"/>
          <w:szCs w:val="24"/>
          <w:highlight w:val="none"/>
          <w:lang w:val="en-US" w:bidi="ar-SA"/>
          <w14:textFill>
            <w14:solidFill>
              <w14:schemeClr w14:val="tx1"/>
            </w14:solidFill>
          </w14:textFill>
        </w:rPr>
      </w:pPr>
      <w:bookmarkStart w:id="102" w:name="_Toc20598_WPSOffice_Level2"/>
      <w:bookmarkStart w:id="103" w:name="_Toc829_WPSOffice_Level2"/>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）实验室排水：</w:t>
      </w:r>
      <w:bookmarkEnd w:id="102"/>
      <w:bookmarkEnd w:id="103"/>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实验室内由于化验盆、洗涤盆等卫生器具和其他用水设备数量较多且分散，所以相应的室内排水支管、干管也较多。因此实验室内管道布置时，要求管道能相对集中，排放整齐，使施工安装和操作维修方便；管道转弯较少，以减少管内阻塞的可能性；主干管要尽量靠近设备排水量最大、杂质较多的排水点设置；介质在管道内工作要有良好的水力条件等。</w:t>
      </w:r>
    </w:p>
    <w:p>
      <w:pPr>
        <w:autoSpaceDE/>
        <w:autoSpaceDN/>
        <w:spacing w:before="240" w:after="240" w:line="360" w:lineRule="auto"/>
        <w:ind w:firstLine="480" w:firstLineChars="200"/>
        <w:jc w:val="both"/>
        <w:rPr>
          <w:rFonts w:hAnsi="Calibri"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管道敷设一般是尽量能沿墙、柱、墙角、柱角、天棚、走廊等设置；管道应尽量避免穿越防止有精密仪器、仪表、电气设备等的房间或卫生要求较高的房间。</w:t>
      </w:r>
    </w:p>
    <w:p>
      <w:pPr>
        <w:autoSpaceDE/>
        <w:autoSpaceDN/>
        <w:spacing w:before="240" w:after="240" w:line="360" w:lineRule="auto"/>
        <w:ind w:firstLine="480" w:firstLineChars="20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在化学实验室、纯水室等应设置地漏，以防止水管爆裂、水龙头跑水等特殊情况发生时能够及时排水，防止实验室被浸泡、危机仪器设备安全。</w:t>
      </w:r>
    </w:p>
    <w:p>
      <w:pPr>
        <w:keepNext/>
        <w:keepLines/>
        <w:numPr>
          <w:ilvl w:val="0"/>
          <w:numId w:val="29"/>
        </w:numPr>
        <w:autoSpaceDE/>
        <w:autoSpaceDN/>
        <w:spacing w:before="260" w:after="260" w:line="240" w:lineRule="atLeast"/>
        <w:ind w:left="420" w:hanging="432"/>
        <w:jc w:val="both"/>
        <w:outlineLvl w:val="1"/>
        <w:rPr>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实验室纯水系统设备详细参数及配置说明</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8.1、我实验室纯水系统为纯水及超纯水一体化机，以自来水为进水，包括所有所需纯水实验室管路铺设。</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一、工作条件</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（1）.进水水源：市政自来水（TDS≤400ppm，进水压力：2.0-5.0kg/cm2，水温5-45</w:t>
      </w:r>
      <w:r>
        <w:rPr>
          <w:rFonts w:hint="eastAsia"/>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2.工作电源：220V/50Hz；</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二、主要技术参数</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（1）.制水量：≥300L/h；</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2）.纯化水水质：电导率≤0.1μs/cm(在线监测)，微颗粒物＜1个/ml，吸光度＜0.001，蒸发残渣＜1.0mg/l，重金属＜0.1ppb；</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3）.控制系统：液位联锁自动控制，可实现自动和手动切换，拥有缺水保护和故障报警功能。</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（4）.预处理系统：预处理系统为全自动控制头实现冲洗和再生等。</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（5）.供水系统：独立的供水系统控制，可实现单独运行</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（6）.控制面板：控制面板具有，纯水电导、纯化水电导、预处理后压力、膜前压力、膜后压力、恒压压力、浓水流量、纯水流量等仪表。</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（7）.泵辅采用国内著名品牌过流部件为304不锈钢。</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（8）.主机系统采用一体化机柜设计，集成度高，占地面积小，尺寸为1700mm×700mm×1600mm。</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eastAsia="zh-CN" w:bidi="ar-SA"/>
          <w14:textFill>
            <w14:solidFill>
              <w14:schemeClr w14:val="tx1"/>
            </w14:solidFill>
          </w14:textFill>
        </w:rPr>
        <w:t xml:space="preserve"> 三</w:t>
      </w:r>
      <w:r>
        <w:rPr>
          <w:rFonts w:ascii="Calibri" w:hAnsi="Calibri" w:cs="Calibri"/>
          <w:color w:val="000000" w:themeColor="text1"/>
          <w:kern w:val="2"/>
          <w:sz w:val="24"/>
          <w:szCs w:val="24"/>
          <w:highlight w:val="none"/>
          <w:lang w:val="en-US" w:bidi="ar-SA"/>
          <w14:textFill>
            <w14:solidFill>
              <w14:schemeClr w14:val="tx1"/>
            </w14:solidFill>
          </w14:textFill>
        </w:rPr>
        <w:t xml:space="preserve"> 、功能特点</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（1）.预处理采用增强型玻璃钢罐体，全自动再生功能，无需人员看守。可使用两年。采用国产品牌控制器。</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（2）.预处理系统拥有及时再生功能，根据实际需求可以进行手动及时再生。</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（3）.配备原水增压泵，能够适应各种水压状态，适应性强。</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4）.系统具有自动冲洗功能。采用物理冲洗，能够最大程度清洗反渗透膜的表面，延长膜的使用寿命（需提供证明材料加以佐证）。</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（5）.系统具有原水低压报警功能，防止无水启动，可以有效保护系统。自来水恢复时，系统可自动恢复正常运行，无需人员操作。</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（6）.系统具有高压泵前后压力报警功能，防止高压泵低压和超高压运行。有效的保护高压泵及膜。</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7）.配置有机溶剂封闭装置，在30秒-10分钟内完成废水/废液中有机溶剂的分离，有机溶液原液浓度范围1ppm-100%，做到连续稳定达标排放。检测结果符合REACH认证的要求，每项的高度关注物质不得超过在物品中的质量百分比0.1%，须提供检测报告复印件。</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8）.安全盖，要有其密闭性的第三方检测报告，其内容为至少两种有机溶剂的对比报告，须提供检测报告复印件。</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w:t>
      </w:r>
      <w:r>
        <w:rPr>
          <w:rFonts w:ascii="Calibri" w:hAnsi="Calibri" w:cs="Calibri"/>
          <w:color w:val="000000" w:themeColor="text1"/>
          <w:kern w:val="2"/>
          <w:sz w:val="24"/>
          <w:szCs w:val="24"/>
          <w:highlight w:val="none"/>
          <w:lang w:val="en-US" w:bidi="ar-SA"/>
          <w14:textFill>
            <w14:solidFill>
              <w14:schemeClr w14:val="tx1"/>
            </w14:solidFill>
          </w14:textFill>
        </w:rPr>
        <w:t>9）.系统拥有时时在线电导检测仪，系统供水时能够检测到供水水质（需提供证明材料加以佐证）。</w:t>
      </w:r>
    </w:p>
    <w:p>
      <w:pPr>
        <w:autoSpaceDE/>
        <w:autoSpaceDN/>
        <w:spacing w:before="240" w:after="240" w:line="360" w:lineRule="auto"/>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ascii="Calibri" w:hAnsi="Calibri" w:cs="Calibri"/>
          <w:color w:val="000000" w:themeColor="text1"/>
          <w:kern w:val="2"/>
          <w:sz w:val="24"/>
          <w:szCs w:val="24"/>
          <w:highlight w:val="none"/>
          <w:lang w:val="en-US" w:bidi="ar-SA"/>
          <w14:textFill>
            <w14:solidFill>
              <w14:schemeClr w14:val="tx1"/>
            </w14:solidFill>
          </w14:textFill>
        </w:rPr>
        <w:t>（10）.恒压供水系统采用水泵控制器控制，还具有手动控制功能。采用全自动水泵控制器控制，该控制器为电子模拟控制，抗疲劳能力强，使用周期长。恒压供水系统为独立的控制系统，在系统故障时能够实现手动供水，有效的保障生化仪运行。</w:t>
      </w:r>
    </w:p>
    <w:p>
      <w:pPr>
        <w:keepNext/>
        <w:keepLines/>
        <w:numPr>
          <w:ilvl w:val="0"/>
          <w:numId w:val="29"/>
        </w:numPr>
        <w:autoSpaceDE/>
        <w:autoSpaceDN/>
        <w:spacing w:before="260" w:after="260" w:line="240" w:lineRule="atLeast"/>
        <w:ind w:left="420" w:hanging="432"/>
        <w:jc w:val="both"/>
        <w:outlineLvl w:val="1"/>
        <w:rPr>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实验室监控及门禁系统设备</w:t>
      </w:r>
    </w:p>
    <w:p>
      <w:pPr>
        <w:autoSpaceDE/>
        <w:autoSpaceDN/>
        <w:spacing w:before="240" w:after="240" w:line="360" w:lineRule="auto"/>
        <w:jc w:val="both"/>
        <w:rPr>
          <w:b/>
          <w:bCs/>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9.1</w:t>
      </w:r>
      <w:r>
        <w:rPr>
          <w:rFonts w:hint="eastAsia"/>
          <w:b/>
          <w:bCs/>
          <w:color w:val="000000" w:themeColor="text1"/>
          <w:kern w:val="2"/>
          <w:sz w:val="24"/>
          <w:szCs w:val="24"/>
          <w:highlight w:val="none"/>
          <w:lang w:val="en-US" w:bidi="ar-SA"/>
          <w14:textFill>
            <w14:solidFill>
              <w14:schemeClr w14:val="tx1"/>
            </w14:solidFill>
          </w14:textFill>
        </w:rPr>
        <w:t>实验室监控</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一、半球网络摄像机：</w:t>
      </w:r>
      <w:r>
        <w:rPr>
          <w:b w:val="0"/>
          <w:color w:val="000000" w:themeColor="text1"/>
          <w:sz w:val="24"/>
          <w:szCs w:val="24"/>
          <w:highlight w:val="none"/>
          <w:lang w:val="en-US" w:bidi="ar-SA"/>
          <w14:textFill>
            <w14:solidFill>
              <w14:schemeClr w14:val="tx1"/>
            </w14:solidFill>
          </w14:textFill>
        </w:rPr>
        <w:t>50台</w:t>
      </w:r>
    </w:p>
    <w:p>
      <w:pPr>
        <w:pStyle w:val="2"/>
        <w:spacing w:line="400" w:lineRule="exact"/>
        <w:jc w:val="both"/>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1.采用超低照度≥2688*1520  CMOS图像传感器，低照度效果好，图像清晰度高；</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2.信噪比≥58dB，最低照度彩色≤0.001 lx，黑白≤0.0001 lx；</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3.三码流套餐能力，主码流≥2688x1520@30fps，满足不同带宽及帧率的实时流、存储流需求；</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4.先进的H.265编码算法，压缩效率更高，支持≥128GB SD卡存储；</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5.具备人脸检测、区域入侵检测、越界检测、进入区域、离开区域、徘徊、人员聚集、客流统计、热度图等功能；</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6.可显示当前存储卡损坏程度及剩余存储时间，当存储卡损坏程度达到阈值时可给出报警提示，可根据存储时间、存储空间大小配置录像计划，并根据视频图像的动态程度自动调整图像质量和帧率（需提供证明材料加以佐证）；</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7.支持对存储卡进行读写锁定及解锁设置，锁定后的存储卡在手机、笔记本电脑、平板电脑需要输入解锁密码才能访问（需提供证明材料加以佐证）；</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8.红外补光距离≥80米，具有≥2路报警输入，≥1路报警输出、≥1个音频输入/输出接口，防尘防水等级≥IP67，防暴等级≥ IK08；</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9.支持宽压供电，设备电压在DC12V±25%范围内变化时可正常工作，抗电源波动能力强；</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10.应符合GB/T28181-2016《公共安全视频监控联网系统信息传输、交换、控制技术要求》国家标准（需提供相关检验证明复印件加以佐证）。</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二、双镜头半球网络摄像机：</w:t>
      </w:r>
      <w:r>
        <w:rPr>
          <w:b w:val="0"/>
          <w:color w:val="000000" w:themeColor="text1"/>
          <w:sz w:val="24"/>
          <w:szCs w:val="24"/>
          <w:highlight w:val="none"/>
          <w:lang w:val="en-US" w:bidi="ar-SA"/>
          <w14:textFill>
            <w14:solidFill>
              <w14:schemeClr w14:val="tx1"/>
            </w14:solidFill>
          </w14:textFill>
        </w:rPr>
        <w:t>1台</w:t>
      </w:r>
    </w:p>
    <w:p>
      <w:pPr>
        <w:pStyle w:val="2"/>
        <w:spacing w:before="0"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1.采用一体化设计，内置双镜头，支持镜头1分辨率≥2560*1440，镜头2分辨率≥2560*</w:t>
      </w:r>
    </w:p>
    <w:p>
      <w:pPr>
        <w:pStyle w:val="2"/>
        <w:spacing w:before="0"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1440，靶面尺寸均为≥1/1.8英寸。</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2.支持最低照度：彩色≤0.0002 lx，黑白≤0.0001 lx。</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3.当操作系统文件损坏时，可通过备份文件进行恢复，设备重启可正常工作。</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4.在同一客户端下，可同时开启≥20个视频窗口进行画面浏览，在IE浏览器下，可将码率设置为32Kbps～16Mbps。</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5.为满足实验室夜间和白天安全管理要要求，设备需支持混合补光、白光补光和关闭模式，在混合补光灯和白光灯模式下，支持自动、手动调节补光灯亮度方式，在自动模式下，混合补光灯开启时，可根据被摄物的距离自动调节混合灯亮度，在手动模式下，可设置混合补光灯的亮度值，在低照度环境下，可同时启动红外灯和白光灯或仅开启白光灯进行补光，在仅开启白光灯进行补光时，可输出彩色视频图像。</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6.在IE浏览器下，具有H.264、H.265、MJPEG设置选项，当音频格式设置为ACC/MP2L2/PCM时，采样率可设置≥48kHz。</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7.可定时抓拍、报警抓拍，抓拍图片可FTP上传，抓拍的图片格式、分辨率、图片质量、时间间隔和报警抓拍图片数量可设置。</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8.支持视场角：水平≥90°，垂直≥47°，可通过IE浏览器开启/关闭智能后检索功能。</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9.支持对镜头前盖玻璃进行加热，去除玻璃上的冰状和水状附着物，支持开启、关闭视频遮盖功能，当该功能开启时，可在监视画面上设置≥4个遮盖的区域，被遮盖区域无法预览或回放，区域的大小、位置，颜色及马赛克可设置，且遮盖区域允许移动、重叠，从麦克风接收声音并显示状态至扬声器产生音频输出并显示状态的时间应≤200ms。</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10.设备可采集距离麦克风≥8米范围内人正常交谈声音并传送至客户端播放。</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11.可对出现在监控场景内的两眼瞳距不小于19像素的人脸进行检验，并叠加目标提示框。</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12.同一静止场景相同图像质量下，设备在H.264、H.265编码方式时，开启智能编码功能和不开启智能编码相比，码率节约≥85%，支持语音报警声级：最小声级≤20dB，最大声≥120dB，可采集距麦克风≥10m范围内正常人交谈声音并传送至客户端播放。</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13.可分别对齐刘海遮挡眉毛、头发遮挡眼睛、戴墨镜、戴彩色眼镜、戴帽子、戴头戴式耳机、戴口罩。</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三、</w:t>
      </w:r>
      <w:r>
        <w:rPr>
          <w:b w:val="0"/>
          <w:color w:val="000000" w:themeColor="text1"/>
          <w:sz w:val="24"/>
          <w:szCs w:val="24"/>
          <w:highlight w:val="none"/>
          <w:lang w:val="en-US" w:bidi="ar-SA"/>
          <w14:textFill>
            <w14:solidFill>
              <w14:schemeClr w14:val="tx1"/>
            </w14:solidFill>
          </w14:textFill>
        </w:rPr>
        <w:t>32路高清纯数字型网络录像机：2台</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1.支持VGA、HDMI同时输出，可接入≥256Mbps带宽，可接入≥32路1080p格式的视频图像；</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2.支持区域入侵、场景变化、移动侦测、人脸检测、物品遗留和物品搬移时，可给出报警提示；</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3.支持4K分辨率码流接入并解码输出，高清显示画面更加清晰细腻；</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4.支持硬盘管理、检测功能，老化模式将硬盘划分为重要录像和普通录像两个存储区（可设置两个存储区的配额比例），系统可自动计算并显示重要录像和普通录像的保存期限，可对视频图像叠加≥10行文字，每行可输入≥20个汉字；</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5.支持将不同时间段的多个目标叠加在一个背景上同时回放；</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6.支持实时监测并显示系统正在进行的录像备份任务，可查看剩余录像大小、剩余时间、备份进度百分比和进度条，支持调节鼠标指针的灵敏度，支持在NVR配置越界侦测、区域入侵，通过NVR进行分析检测，有异常时告警上报并进行联动处理，支持预览状态下可回放任一通道5-110分钟内的录像文件；</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7.支持按事件查询、回放、备份录像文件，支持图片本地回放与查询；</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8.支持ONVIF、PSIA等标准协议，支持4个SATA接口，独立的eSATA扩展，支持存储和备份；</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rFonts w:hint="eastAsia"/>
          <w:b w:val="0"/>
          <w:color w:val="000000" w:themeColor="text1"/>
          <w:sz w:val="24"/>
          <w:szCs w:val="24"/>
          <w:highlight w:val="none"/>
          <w:lang w:val="en-US" w:bidi="ar-SA"/>
          <w14:textFill>
            <w14:solidFill>
              <w14:schemeClr w14:val="tx1"/>
            </w14:solidFill>
          </w14:textFill>
        </w:rPr>
        <w:t>▲</w:t>
      </w:r>
      <w:r>
        <w:rPr>
          <w:b w:val="0"/>
          <w:color w:val="000000" w:themeColor="text1"/>
          <w:sz w:val="24"/>
          <w:szCs w:val="24"/>
          <w:highlight w:val="none"/>
          <w:lang w:val="en-US" w:bidi="ar-SA"/>
          <w14:textFill>
            <w14:solidFill>
              <w14:schemeClr w14:val="tx1"/>
            </w14:solidFill>
          </w14:textFill>
        </w:rPr>
        <w:t>9.接入不支持人脸抓拍的IPC，可通过NVR智能分析实现人脸抓拍功能，并进行告警上报及联动，支持录像打包时间1-280分钟可设置（需提供相关检验证明复印件加以佐证）；</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10.可对检测到的人脸图像进行裁切可实现智能规则配置和智能录像查询；</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11.支持在录像回放中设置时间轴范围，范围可设置为5分钟、10分钟、2小时、4小时、12小时、1周、2周，用户可以点击报警图标，查看报警详情列表，可在列表中快速查看报警关联的录像，当有新事件发生时计数自动累加，当用户查看后计数自动清零；</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12.支持实时查看设备状态，包括CPU使用率、内存使用率、CPU温度、机箱温度、风扇转速等；</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13.可设置≥4屏显示输出视频图像，其中VGA和HDMI接口可同源输出视频图像，≥2个VGA或≥2个HDMI接口之间可异源输出视频图像，并可分别控制进行预览、回放、配置等操作，支持报警输入触发一键撤防功能，撤防的报警类型可选（弹出报警画面、声音警告、上传中心、发送邮件、触发报警输出）；</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14.支持ONVIF、PSIA等标准协议，支持≥4个SATA接口，支持存储和备份；</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15.配置专用视频存储硬盘，存储量15天以上。</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16.配置清单：</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16.1 32路高清纯数字型网络录像机及19寸液晶显示器：2套</w:t>
      </w:r>
    </w:p>
    <w:p>
      <w:pPr>
        <w:pStyle w:val="2"/>
        <w:spacing w:line="400" w:lineRule="exact"/>
        <w:jc w:val="left"/>
        <w:rPr>
          <w:b w:val="0"/>
          <w:color w:val="000000" w:themeColor="text1"/>
          <w:sz w:val="24"/>
          <w:szCs w:val="24"/>
          <w:highlight w:val="none"/>
          <w:lang w:val="en-US" w:bidi="ar-SA"/>
          <w14:textFill>
            <w14:solidFill>
              <w14:schemeClr w14:val="tx1"/>
            </w14:solidFill>
          </w14:textFill>
        </w:rPr>
      </w:pPr>
      <w:r>
        <w:rPr>
          <w:b w:val="0"/>
          <w:color w:val="000000" w:themeColor="text1"/>
          <w:sz w:val="24"/>
          <w:szCs w:val="24"/>
          <w:highlight w:val="none"/>
          <w:lang w:val="en-US" w:bidi="ar-SA"/>
          <w14:textFill>
            <w14:solidFill>
              <w14:schemeClr w14:val="tx1"/>
            </w14:solidFill>
          </w14:textFill>
        </w:rPr>
        <w:t>16.2监控专用硬盘（4TB）：4个</w:t>
      </w:r>
    </w:p>
    <w:p>
      <w:pPr>
        <w:pStyle w:val="2"/>
        <w:spacing w:line="400" w:lineRule="exact"/>
        <w:jc w:val="left"/>
        <w:rPr>
          <w:color w:val="000000" w:themeColor="text1"/>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9.2 门禁系统设备</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1.台式/壁挂式工业设计，支持触屏操作；</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2.LCD触摸显示屏，显示软件界面及操作提示，显示人脸框，实时检测最大人脸（支持本地视频预览）；</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3.设备支持TCP/IP或WIFI通讯；</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4.200万宽动态双目摄像头，面部识别距离0.3m-1.5m，支持照片视频防假；</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5.具备深度学习算法，支持300张人脸白名单,识别速度快，准确率高；</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6.设备支持人脸识别方式，人脸比对时间 ≤ 0.3 s/人，人脸验证准确率 ≥ 99%，支持逆光及弱光识别；</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7.支持通过TCP/IP网络平台下发或USB导入导出人脸数据等资料，支持在断网模式下，单机运行功能；</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8.支持数据网络上传功能，可将设备比对结果及联动抓拍照片实时上传给平台保存；</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9.设备支持本地登录后添加，管理、查询、设置设备参数；</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10. RS-485接口可外接 1 个读卡器或门禁主机</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11.可通过RS-485接入安全门控模块，安全门控模块可以接入电控锁，在主机被恶意破坏的情况下，门不被打开。</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12.支持防拆报警，开门超时报警。</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13.支持比对结果语音提示；</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14.具有看门狗守护机制、保障设备稳定运行；</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15.配置清单：</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15.1门禁主机：2台</w:t>
      </w:r>
    </w:p>
    <w:p>
      <w:pPr>
        <w:spacing w:line="400" w:lineRule="exact"/>
        <w:rPr>
          <w:color w:val="000000" w:themeColor="text1"/>
          <w:highlight w:val="none"/>
          <w:lang w:val="en-US" w:bidi="ar-SA"/>
          <w14:textFill>
            <w14:solidFill>
              <w14:schemeClr w14:val="tx1"/>
            </w14:solidFill>
          </w14:textFill>
        </w:rPr>
      </w:pPr>
      <w:r>
        <w:rPr>
          <w:color w:val="000000" w:themeColor="text1"/>
          <w:highlight w:val="none"/>
          <w:lang w:val="en-US" w:bidi="ar-SA"/>
          <w14:textFill>
            <w14:solidFill>
              <w14:schemeClr w14:val="tx1"/>
            </w14:solidFill>
          </w14:textFill>
        </w:rPr>
        <w:t>15.2电磁门锁：2套</w:t>
      </w:r>
    </w:p>
    <w:p>
      <w:pPr>
        <w:pStyle w:val="2"/>
        <w:rPr>
          <w:b w:val="0"/>
          <w:color w:val="000000" w:themeColor="text1"/>
          <w:highlight w:val="none"/>
          <w:lang w:val="en-US" w:bidi="ar-SA"/>
          <w14:textFill>
            <w14:solidFill>
              <w14:schemeClr w14:val="tx1"/>
            </w14:solidFill>
          </w14:textFill>
        </w:rPr>
      </w:pPr>
    </w:p>
    <w:p>
      <w:pPr>
        <w:keepNext/>
        <w:keepLines/>
        <w:autoSpaceDE/>
        <w:autoSpaceDN/>
        <w:spacing w:before="340" w:after="330" w:line="240" w:lineRule="atLeast"/>
        <w:outlineLvl w:val="0"/>
        <w:rPr>
          <w:rFonts w:hAnsi="Calibri" w:cs="Times New Roman"/>
          <w:b/>
          <w:bCs/>
          <w:color w:val="000000" w:themeColor="text1"/>
          <w:kern w:val="44"/>
          <w:sz w:val="24"/>
          <w:szCs w:val="24"/>
          <w:highlight w:val="none"/>
          <w:lang w:val="en-US" w:bidi="ar-SA"/>
          <w14:textFill>
            <w14:solidFill>
              <w14:schemeClr w14:val="tx1"/>
            </w14:solidFill>
          </w14:textFill>
        </w:rPr>
      </w:pPr>
      <w:bookmarkStart w:id="104" w:name="_Toc22330_WPSOffice_Level1"/>
      <w:r>
        <w:rPr>
          <w:rFonts w:hint="eastAsia"/>
          <w:b/>
          <w:bCs/>
          <w:color w:val="000000" w:themeColor="text1"/>
          <w:kern w:val="44"/>
          <w:sz w:val="24"/>
          <w:szCs w:val="24"/>
          <w:highlight w:val="none"/>
          <w:lang w:val="en-US" w:bidi="ar-SA"/>
          <w14:textFill>
            <w14:solidFill>
              <w14:schemeClr w14:val="tx1"/>
            </w14:solidFill>
          </w14:textFill>
        </w:rPr>
        <w:t>10、设备材质说明和技术参数</w:t>
      </w:r>
      <w:bookmarkEnd w:id="104"/>
    </w:p>
    <w:tbl>
      <w:tblPr>
        <w:tblStyle w:val="2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780" w:type="dxa"/>
            <w:vAlign w:val="center"/>
          </w:tcPr>
          <w:p>
            <w:pPr>
              <w:tabs>
                <w:tab w:val="left" w:pos="1059"/>
              </w:tabs>
              <w:outlineLvl w:val="5"/>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（一）实验台、仪器台相应技术要求、材质、样式等要求</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b/>
                <w:bCs/>
                <w:color w:val="000000" w:themeColor="text1"/>
                <w:sz w:val="24"/>
                <w:szCs w:val="24"/>
                <w:highlight w:val="none"/>
                <w14:textFill>
                  <w14:solidFill>
                    <w14:schemeClr w14:val="tx1"/>
                  </w14:solidFill>
                </w14:textFill>
              </w:rPr>
              <w:t>实验台、仪器台</w:t>
            </w:r>
            <w:r>
              <w:rPr>
                <w:color w:val="000000" w:themeColor="text1"/>
                <w:sz w:val="24"/>
                <w:highlight w:val="none"/>
                <w14:textFill>
                  <w14:solidFill>
                    <w14:schemeClr w14:val="tx1"/>
                  </w14:solidFill>
                </w14:textFill>
              </w:rPr>
              <w:t>台面板</w:t>
            </w:r>
            <w:r>
              <w:rPr>
                <w:rFonts w:hint="eastAsia"/>
                <w:color w:val="000000" w:themeColor="text1"/>
                <w:sz w:val="24"/>
                <w:highlight w:val="none"/>
                <w14:textFill>
                  <w14:solidFill>
                    <w14:schemeClr w14:val="tx1"/>
                  </w14:solidFill>
                </w14:textFill>
              </w:rPr>
              <w:t>技术要求、材质等要求</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r>
              <w:rPr>
                <w:rFonts w:hint="eastAsia"/>
                <w:color w:val="000000" w:themeColor="text1"/>
                <w:sz w:val="24"/>
                <w:highlight w:val="none"/>
                <w14:textFill>
                  <w14:solidFill>
                    <w14:schemeClr w14:val="tx1"/>
                  </w14:solidFill>
                </w14:textFill>
              </w:rPr>
              <w:t>台面选用12.7mm厚实心理化板,表面理化膜采用EBC电子束固化技术生产。</w:t>
            </w:r>
          </w:p>
          <w:p>
            <w:pPr>
              <w:autoSpaceDE/>
              <w:autoSpaceDN/>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台面耐腐蚀性能优越，化学性能测试依据“GB/T 17657-2013”标准，应至少包含有：1、37%盐酸；2、65%硝酸；3、85%磷酸；4、98%硫酸；5、40%氢氧化钠；6、99%乙酸；7、氯化镁；8、48%氢氟酸；9、3%双氧水；10、四氯化碳；11、硫化钠饱和液；12、苯酚；13、乙醇；14、高锰酸钾；15、丙酮；16、甲苯；17、二甲苯；18、37%甲醛；19、二氯甲烷；20、碘酒；21、王水；22、硝酸银饱和液；23、硫酸铜；24、重铬酸钾清洗溶液；25、正己烷等实验常用化学试剂的测试报告，覆盖玻璃板、不覆盖检验结果均为“无明显变化”，分级结果均为5级；</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w:t>
            </w:r>
            <w:r>
              <w:rPr>
                <w:rFonts w:hint="eastAsia"/>
                <w:color w:val="000000" w:themeColor="text1"/>
                <w:sz w:val="24"/>
                <w:highlight w:val="none"/>
                <w14:textFill>
                  <w14:solidFill>
                    <w14:schemeClr w14:val="tx1"/>
                  </w14:solidFill>
                </w14:textFill>
              </w:rPr>
              <w:t>物理性能需满足以下需求：</w:t>
            </w:r>
          </w:p>
          <w:p>
            <w:pPr>
              <w:autoSpaceDE/>
              <w:autoSpaceDN/>
              <w:snapToGrid w:val="0"/>
              <w:spacing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耐刮划性(金刚石划痕法) ≥4N试件表面无整圈连续划痕；</w:t>
            </w:r>
          </w:p>
          <w:p>
            <w:pPr>
              <w:autoSpaceDE/>
              <w:autoSpaceDN/>
              <w:snapToGrid w:val="0"/>
              <w:spacing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.3.2</w:t>
            </w:r>
            <w:r>
              <w:rPr>
                <w:rFonts w:hint="eastAsia"/>
                <w:color w:val="000000" w:themeColor="text1"/>
                <w:sz w:val="24"/>
                <w:highlight w:val="none"/>
                <w14:textFill>
                  <w14:solidFill>
                    <w14:schemeClr w14:val="tx1"/>
                  </w14:solidFill>
                </w14:textFill>
              </w:rPr>
              <w:t>耐光色牢度≥5级表面无变化；</w:t>
            </w:r>
          </w:p>
          <w:p>
            <w:pPr>
              <w:autoSpaceDE/>
              <w:autoSpaceDN/>
              <w:snapToGrid w:val="0"/>
              <w:spacing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.3.3</w:t>
            </w:r>
            <w:r>
              <w:rPr>
                <w:rFonts w:hint="eastAsia"/>
                <w:color w:val="000000" w:themeColor="text1"/>
                <w:sz w:val="24"/>
                <w:highlight w:val="none"/>
                <w14:textFill>
                  <w14:solidFill>
                    <w14:schemeClr w14:val="tx1"/>
                  </w14:solidFill>
                </w14:textFill>
              </w:rPr>
              <w:t>抗拉强度≥120MPa；</w:t>
            </w:r>
          </w:p>
          <w:p>
            <w:pPr>
              <w:autoSpaceDE/>
              <w:autoSpaceDN/>
              <w:snapToGrid w:val="0"/>
              <w:spacing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.3.4</w:t>
            </w:r>
            <w:r>
              <w:rPr>
                <w:rFonts w:hint="eastAsia"/>
                <w:color w:val="000000" w:themeColor="text1"/>
                <w:sz w:val="24"/>
                <w:highlight w:val="none"/>
                <w14:textFill>
                  <w14:solidFill>
                    <w14:schemeClr w14:val="tx1"/>
                  </w14:solidFill>
                </w14:textFill>
              </w:rPr>
              <w:t>弯曲强度≥ 150MPa；</w:t>
            </w:r>
          </w:p>
          <w:p>
            <w:pPr>
              <w:autoSpaceDE/>
              <w:autoSpaceDN/>
              <w:snapToGrid w:val="0"/>
              <w:spacing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.3.5</w:t>
            </w:r>
            <w:r>
              <w:rPr>
                <w:rFonts w:hint="eastAsia"/>
                <w:color w:val="000000" w:themeColor="text1"/>
                <w:sz w:val="24"/>
                <w:highlight w:val="none"/>
                <w14:textFill>
                  <w14:solidFill>
                    <w14:schemeClr w14:val="tx1"/>
                  </w14:solidFill>
                </w14:textFill>
              </w:rPr>
              <w:t>弯曲弹性模量≥1.24*104 MPa；</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.3.6</w:t>
            </w:r>
            <w:r>
              <w:rPr>
                <w:rFonts w:hint="eastAsia"/>
                <w:color w:val="000000" w:themeColor="text1"/>
                <w:sz w:val="24"/>
                <w:highlight w:val="none"/>
                <w14:textFill>
                  <w14:solidFill>
                    <w14:schemeClr w14:val="tx1"/>
                  </w14:solidFill>
                </w14:textFill>
              </w:rPr>
              <w:t>表面耐磨性能≥1100 r；</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1.4</w:t>
            </w:r>
            <w:r>
              <w:rPr>
                <w:rFonts w:hint="eastAsia"/>
                <w:color w:val="000000" w:themeColor="text1"/>
                <w:sz w:val="24"/>
                <w:highlight w:val="none"/>
                <w14:textFill>
                  <w14:solidFill>
                    <w14:schemeClr w14:val="tx1"/>
                  </w14:solidFill>
                </w14:textFill>
              </w:rPr>
              <w:t>台面甲醛释放量≤0.016mg/m3（检验依据GB 18580-2017）；</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台面板锡、钴、钡、镍、硒、铬、锌、铜、砷、锑等重金属含量测试结果为n.d.未检出；</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1.6</w:t>
            </w:r>
            <w:r>
              <w:rPr>
                <w:rFonts w:hint="eastAsia"/>
                <w:color w:val="000000" w:themeColor="text1"/>
                <w:sz w:val="24"/>
                <w:highlight w:val="none"/>
                <w14:textFill>
                  <w14:solidFill>
                    <w14:schemeClr w14:val="tx1"/>
                  </w14:solidFill>
                </w14:textFill>
              </w:rPr>
              <w:t>台面板氟、氯、溴、碘等卤素含量测试结果为n.d.未检出；</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1.7</w:t>
            </w:r>
            <w:r>
              <w:rPr>
                <w:rFonts w:hint="eastAsia"/>
                <w:color w:val="000000" w:themeColor="text1"/>
                <w:sz w:val="24"/>
                <w:highlight w:val="none"/>
                <w14:textFill>
                  <w14:solidFill>
                    <w14:schemeClr w14:val="tx1"/>
                  </w14:solidFill>
                </w14:textFill>
              </w:rPr>
              <w:t>化学物排放符合行业标准的相关技术要求，TVOC总挥发性有机化合物测试舱浓度≤5μg/ m³，苯酚、丙二醇甲醚、苯乙烯、三氯乙烯、乙酸乙烯酯、二氯甲烷均为未检出；</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为保证实验室内部环境空气质量，要求台面板厂家须通过室内空气质控认证（如：绿色卫士），相关指标，总醛最大允许预测浓度为0.043ppm，4-苯基环乙烯最大预测浓度为6.5μg/ m³；</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w:t>
            </w:r>
            <w:r>
              <w:rPr>
                <w:rFonts w:hint="eastAsia"/>
                <w:color w:val="000000" w:themeColor="text1"/>
                <w:sz w:val="24"/>
                <w:highlight w:val="none"/>
                <w14:textFill>
                  <w14:solidFill>
                    <w14:schemeClr w14:val="tx1"/>
                  </w14:solidFill>
                </w14:textFill>
              </w:rPr>
              <w:t>台面板生产达到国际节能减排标准，台面板厂家须取得相关认证证书；</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1.10</w:t>
            </w:r>
            <w:r>
              <w:rPr>
                <w:rFonts w:hint="eastAsia"/>
                <w:color w:val="000000" w:themeColor="text1"/>
                <w:sz w:val="24"/>
                <w:highlight w:val="none"/>
                <w14:textFill>
                  <w14:solidFill>
                    <w14:schemeClr w14:val="tx1"/>
                  </w14:solidFill>
                </w14:textFill>
              </w:rPr>
              <w:t>为了便于验收，所选用板材品牌背面必须有清晰的品牌防伪标志。</w:t>
            </w:r>
          </w:p>
          <w:p>
            <w:pPr>
              <w:numPr>
                <w:ilvl w:val="0"/>
                <w:numId w:val="30"/>
              </w:numPr>
              <w:autoSpaceDE/>
              <w:autoSpaceDN/>
              <w:snapToGrid w:val="0"/>
              <w:spacing w:before="240" w:after="240" w:line="360" w:lineRule="auto"/>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框架：主框架采用≥1.5mm灰白色优质冷轧矩形钢管制成</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3.柜体：箱体基材采用≥15mm厚高压、防潮、耐冲击的E1级中纤板，双面粘压三聚氰胺防火板，截面均经过PVC热熔胶防水封边处理，具有防腐、防水、防火、防蛀等功能。</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4.门面板及抽屉面板：采用≥18mm厚的高压、防潮、耐冲击的E1级优质中纤板，双面粘压三聚氰胺防火板，截面均经过PVC热熔胶防水封边处理，具有防腐、防水、防火、防蛀等功能。</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 铰链：采用尼龙铰链，具有耐酸碱、抗腐蚀、承重力强、永不生锈等优良性能。开启 5 万次以上无损坏，不折断。</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滑轨：采用三节静音滑轨</w:t>
            </w:r>
            <w:r>
              <w:rPr>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由优质钢型材制成，厚</w:t>
            </w:r>
            <w:r>
              <w:rPr>
                <w:color w:val="000000" w:themeColor="text1"/>
                <w:kern w:val="2"/>
                <w:sz w:val="24"/>
                <w:szCs w:val="24"/>
                <w:highlight w:val="none"/>
                <w:lang w:val="en-US" w:bidi="ar-SA"/>
                <w14:textFill>
                  <w14:solidFill>
                    <w14:schemeClr w14:val="tx1"/>
                  </w14:solidFill>
                </w14:textFill>
              </w:rPr>
              <w:t>1.2mm</w:t>
            </w:r>
            <w:r>
              <w:rPr>
                <w:rFonts w:hint="eastAsia"/>
                <w:color w:val="000000" w:themeColor="text1"/>
                <w:kern w:val="2"/>
                <w:sz w:val="24"/>
                <w:szCs w:val="24"/>
                <w:highlight w:val="none"/>
                <w:lang w:val="en-US" w:bidi="ar-SA"/>
                <w14:textFill>
                  <w14:solidFill>
                    <w14:schemeClr w14:val="tx1"/>
                  </w14:solidFill>
                </w14:textFill>
              </w:rPr>
              <w:t>，经高温喷防酸碱漆处理</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能防酸碱</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耐腐蚀</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抽送轻滑无噪音</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强度高</w:t>
            </w:r>
            <w:r>
              <w:rPr>
                <w:rFonts w:hAnsi="Calibri"/>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能正常使用五万次以上。</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7</w:t>
            </w:r>
            <w:r>
              <w:rPr>
                <w:rFonts w:hint="eastAsia"/>
                <w:color w:val="000000" w:themeColor="text1"/>
                <w:kern w:val="2"/>
                <w:sz w:val="24"/>
                <w:szCs w:val="24"/>
                <w:highlight w:val="none"/>
                <w:lang w:val="en-US" w:bidi="ar-SA"/>
                <w14:textFill>
                  <w14:solidFill>
                    <w14:schemeClr w14:val="tx1"/>
                  </w14:solidFill>
                </w14:textFill>
              </w:rPr>
              <w:t>.拉手：实验室专用铝合金暗拉手，不凸出于门、屉面外，无因碰撞而损坏或伤人之虑，方便安全，美观耐用。</w:t>
            </w:r>
          </w:p>
          <w:p>
            <w:pPr>
              <w:autoSpaceDE/>
              <w:autoSpaceDN/>
              <w:spacing w:before="240" w:after="240" w:line="360" w:lineRule="auto"/>
              <w:ind w:right="720"/>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8</w:t>
            </w:r>
            <w:r>
              <w:rPr>
                <w:rFonts w:hint="eastAsia"/>
                <w:color w:val="000000" w:themeColor="text1"/>
                <w:kern w:val="2"/>
                <w:sz w:val="24"/>
                <w:szCs w:val="24"/>
                <w:highlight w:val="none"/>
                <w:lang w:val="en-US" w:bidi="ar-SA"/>
                <w14:textFill>
                  <w14:solidFill>
                    <w14:schemeClr w14:val="tx1"/>
                  </w14:solidFill>
                </w14:textFill>
              </w:rPr>
              <w:t>.地脚：采用不锈钢与高强尼龙组合一体的地脚，摩擦系数高，可有效防止各类实验台出现不必要的滑动，并可减轻各种因素带来的震动。可抗酸碱，耐腐蚀。其可调高度为</w:t>
            </w:r>
            <w:r>
              <w:rPr>
                <w:color w:val="000000" w:themeColor="text1"/>
                <w:kern w:val="2"/>
                <w:sz w:val="24"/>
                <w:szCs w:val="24"/>
                <w:highlight w:val="none"/>
                <w:lang w:val="en-US" w:bidi="ar-SA"/>
                <w14:textFill>
                  <w14:solidFill>
                    <w14:schemeClr w14:val="tx1"/>
                  </w14:solidFill>
                </w14:textFill>
              </w:rPr>
              <w:t>30-50mm</w:t>
            </w:r>
            <w:r>
              <w:rPr>
                <w:rFonts w:hint="eastAsia"/>
                <w:color w:val="000000" w:themeColor="text1"/>
                <w:kern w:val="2"/>
                <w:sz w:val="24"/>
                <w:szCs w:val="24"/>
                <w:highlight w:val="none"/>
                <w:lang w:val="en-US"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80" w:type="dxa"/>
            <w:vAlign w:val="center"/>
          </w:tcPr>
          <w:p>
            <w:pPr>
              <w:tabs>
                <w:tab w:val="left" w:pos="1059"/>
              </w:tabs>
              <w:outlineLvl w:val="5"/>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二</w:t>
            </w:r>
            <w:r>
              <w:rPr>
                <w:rFonts w:hint="eastAsia"/>
                <w:b/>
                <w:bCs/>
                <w:color w:val="000000" w:themeColor="text1"/>
                <w:sz w:val="24"/>
                <w:szCs w:val="24"/>
                <w:highlight w:val="none"/>
                <w14:textFill>
                  <w14:solidFill>
                    <w14:schemeClr w14:val="tx1"/>
                  </w14:solidFill>
                </w14:textFill>
              </w:rPr>
              <w:t>）玻璃钢通风柜技术要求、材质等要求</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产品设计制造满足：</w:t>
            </w:r>
          </w:p>
          <w:p>
            <w:pPr>
              <w:spacing w:line="360" w:lineRule="auto"/>
              <w:rPr>
                <w:b/>
                <w:bCs/>
                <w:color w:val="000000" w:themeColor="text1"/>
                <w:sz w:val="24"/>
                <w:szCs w:val="24"/>
                <w:highlight w:val="none"/>
                <w14:textFill>
                  <w14:solidFill>
                    <w14:schemeClr w14:val="tx1"/>
                  </w14:solidFill>
                </w14:textFill>
              </w:rPr>
            </w:pPr>
            <w:r>
              <w:rPr>
                <w:rFonts w:hint="eastAsia" w:ascii="Calibri" w:cs="Times New Roman"/>
                <w:b/>
                <w:bCs/>
                <w:color w:val="000000" w:themeColor="text1"/>
                <w:sz w:val="24"/>
                <w:szCs w:val="24"/>
                <w:highlight w:val="none"/>
                <w14:textFill>
                  <w14:solidFill>
                    <w14:schemeClr w14:val="tx1"/>
                  </w14:solidFill>
                </w14:textFill>
              </w:rPr>
              <w:t>1</w:t>
            </w:r>
            <w:r>
              <w:rPr>
                <w:rFonts w:ascii="Calibri" w:cs="Times New Roman"/>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《实验室家具通风技术条件》（GB24820-2009)标准</w:t>
            </w:r>
          </w:p>
          <w:p>
            <w:pPr>
              <w:widowControl/>
              <w:adjustRightInd w:val="0"/>
              <w:snapToGrid w:val="0"/>
              <w:spacing w:line="360" w:lineRule="auto"/>
              <w:ind w:firstLine="241" w:firstLineChars="100"/>
              <w:jc w:val="both"/>
              <w:rPr>
                <w:color w:val="000000" w:themeColor="text1"/>
                <w:sz w:val="24"/>
                <w:szCs w:val="24"/>
                <w:highlight w:val="none"/>
                <w:lang w:val="en-US" w:bidi="ar-SA"/>
                <w14:textFill>
                  <w14:solidFill>
                    <w14:schemeClr w14:val="tx1"/>
                  </w14:solidFill>
                </w14:textFill>
              </w:rPr>
            </w:pPr>
            <w:r>
              <w:rPr>
                <w:rFonts w:hint="eastAsia"/>
                <w:b/>
                <w:bCs/>
                <w:color w:val="000000" w:themeColor="text1"/>
                <w:sz w:val="24"/>
                <w:szCs w:val="24"/>
                <w:highlight w:val="none"/>
                <w:lang w:val="en-US" w:bidi="ar-SA"/>
                <w14:textFill>
                  <w14:solidFill>
                    <w14:schemeClr w14:val="tx1"/>
                  </w14:solidFill>
                </w14:textFill>
              </w:rPr>
              <w:t>2</w:t>
            </w:r>
            <w:r>
              <w:rPr>
                <w:b/>
                <w:bCs/>
                <w:color w:val="000000" w:themeColor="text1"/>
                <w:sz w:val="24"/>
                <w:szCs w:val="24"/>
                <w:highlight w:val="none"/>
                <w:lang w:val="en-US" w:bidi="ar-SA"/>
                <w14:textFill>
                  <w14:solidFill>
                    <w14:schemeClr w14:val="tx1"/>
                  </w14:solidFill>
                </w14:textFill>
              </w:rPr>
              <w:t>.</w:t>
            </w:r>
            <w:r>
              <w:rPr>
                <w:rFonts w:hint="eastAsia"/>
                <w:b/>
                <w:bCs/>
                <w:color w:val="000000" w:themeColor="text1"/>
                <w:sz w:val="24"/>
                <w:szCs w:val="24"/>
                <w:highlight w:val="none"/>
                <w:lang w:val="en-US" w:bidi="ar-SA"/>
                <w14:textFill>
                  <w14:solidFill>
                    <w14:schemeClr w14:val="tx1"/>
                  </w14:solidFill>
                </w14:textFill>
              </w:rPr>
              <w:t>通风柜上、下箱机模成型：</w:t>
            </w:r>
            <w:r>
              <w:rPr>
                <w:rFonts w:hint="eastAsia"/>
                <w:color w:val="000000" w:themeColor="text1"/>
                <w:sz w:val="24"/>
                <w:szCs w:val="24"/>
                <w:highlight w:val="none"/>
                <w:lang w:val="en-US" w:bidi="ar-SA"/>
                <w14:textFill>
                  <w14:solidFill>
                    <w14:schemeClr w14:val="tx1"/>
                  </w14:solidFill>
                </w14:textFill>
              </w:rPr>
              <w:t>均采用进口高分子复合片状材料经过4000吨机器设备高温热压固化倒模而成，具有耐酸、防腐、耐高温、阻燃、耐刮、使用寿命长、环保等特点。</w:t>
            </w:r>
          </w:p>
          <w:p>
            <w:pPr>
              <w:widowControl/>
              <w:adjustRightInd w:val="0"/>
              <w:snapToGrid w:val="0"/>
              <w:spacing w:line="360" w:lineRule="auto"/>
              <w:ind w:firstLine="241" w:firstLineChars="100"/>
              <w:jc w:val="both"/>
              <w:rPr>
                <w:color w:val="000000" w:themeColor="text1"/>
                <w:sz w:val="24"/>
                <w:szCs w:val="24"/>
                <w:highlight w:val="none"/>
                <w:lang w:val="en-US" w:bidi="ar-SA"/>
                <w14:textFill>
                  <w14:solidFill>
                    <w14:schemeClr w14:val="tx1"/>
                  </w14:solidFill>
                </w14:textFill>
              </w:rPr>
            </w:pPr>
            <w:r>
              <w:rPr>
                <w:rFonts w:hint="eastAsia"/>
                <w:b/>
                <w:bCs/>
                <w:color w:val="000000" w:themeColor="text1"/>
                <w:sz w:val="24"/>
                <w:szCs w:val="24"/>
                <w:highlight w:val="none"/>
                <w:lang w:val="en-US" w:bidi="ar-SA"/>
                <w14:textFill>
                  <w14:solidFill>
                    <w14:schemeClr w14:val="tx1"/>
                  </w14:solidFill>
                </w14:textFill>
              </w:rPr>
              <w:t>3</w:t>
            </w:r>
            <w:r>
              <w:rPr>
                <w:b/>
                <w:bCs/>
                <w:color w:val="000000" w:themeColor="text1"/>
                <w:sz w:val="24"/>
                <w:szCs w:val="24"/>
                <w:highlight w:val="none"/>
                <w:lang w:val="en-US" w:bidi="ar-SA"/>
                <w14:textFill>
                  <w14:solidFill>
                    <w14:schemeClr w14:val="tx1"/>
                  </w14:solidFill>
                </w14:textFill>
              </w:rPr>
              <w:t>.</w:t>
            </w:r>
            <w:r>
              <w:rPr>
                <w:rFonts w:hint="eastAsia"/>
                <w:b/>
                <w:bCs/>
                <w:color w:val="000000" w:themeColor="text1"/>
                <w:sz w:val="24"/>
                <w:szCs w:val="24"/>
                <w:highlight w:val="none"/>
                <w:lang w:val="en-US" w:bidi="ar-SA"/>
                <w14:textFill>
                  <w14:solidFill>
                    <w14:schemeClr w14:val="tx1"/>
                  </w14:solidFill>
                </w14:textFill>
              </w:rPr>
              <w:t>通风柜顶板及灯罩：</w:t>
            </w:r>
            <w:r>
              <w:rPr>
                <w:rFonts w:hint="eastAsia"/>
                <w:color w:val="000000" w:themeColor="text1"/>
                <w:sz w:val="24"/>
                <w:szCs w:val="24"/>
                <w:highlight w:val="none"/>
                <w:lang w:val="en-US" w:bidi="ar-SA"/>
                <w14:textFill>
                  <w14:solidFill>
                    <w14:schemeClr w14:val="tx1"/>
                  </w14:solidFill>
                </w14:textFill>
              </w:rPr>
              <w:t>全部采用阻燃防腐片状模材料经过机器设备高温热压固化倒模而成，设有风向导流层，并配有凝液接槽功能，防止液体回流。三防灯暗藏式安装于通风柜顶罩上，防止与通风柜内及室内的气体接触。</w:t>
            </w:r>
          </w:p>
          <w:p>
            <w:pPr>
              <w:spacing w:line="360" w:lineRule="auto"/>
              <w:ind w:firstLine="241" w:firstLineChars="100"/>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14:textFill>
                  <w14:solidFill>
                    <w14:schemeClr w14:val="tx1"/>
                  </w14:solidFill>
                </w14:textFill>
              </w:rPr>
              <w:t>通风柜导流板：</w:t>
            </w:r>
            <w:r>
              <w:rPr>
                <w:rFonts w:hint="eastAsia"/>
                <w:color w:val="000000" w:themeColor="text1"/>
                <w:sz w:val="24"/>
                <w:szCs w:val="24"/>
                <w:highlight w:val="none"/>
                <w14:textFill>
                  <w14:solidFill>
                    <w14:schemeClr w14:val="tx1"/>
                  </w14:solidFill>
                </w14:textFill>
              </w:rPr>
              <w:t>独特的导流板设计，设有调风速功能，必免排风死角，亦采用进口高分子复合片状材料经过4000吨机器设备高温热压固化倒模而成。导流层内设有冷凝水自动收集装置，冷凝水按指定的要求达到安全排放。</w:t>
            </w:r>
          </w:p>
          <w:p>
            <w:pPr>
              <w:widowControl/>
              <w:adjustRightInd w:val="0"/>
              <w:snapToGrid w:val="0"/>
              <w:spacing w:line="360" w:lineRule="auto"/>
              <w:ind w:firstLine="480" w:firstLineChars="200"/>
              <w:jc w:val="both"/>
              <w:rPr>
                <w:color w:val="000000" w:themeColor="text1"/>
                <w:sz w:val="24"/>
                <w:szCs w:val="24"/>
                <w:highlight w:val="none"/>
                <w:lang w:val="en-US" w:bidi="ar-SA"/>
                <w14:textFill>
                  <w14:solidFill>
                    <w14:schemeClr w14:val="tx1"/>
                  </w14:solidFill>
                </w14:textFill>
              </w:rPr>
            </w:pPr>
            <w:r>
              <w:rPr>
                <w:rFonts w:hint="eastAsia"/>
                <w:color w:val="000000" w:themeColor="text1"/>
                <w:sz w:val="24"/>
                <w:szCs w:val="24"/>
                <w:highlight w:val="none"/>
                <w:lang w:val="en-US" w:bidi="ar-SA"/>
                <w14:textFill>
                  <w14:solidFill>
                    <w14:schemeClr w14:val="tx1"/>
                  </w14:solidFill>
                </w14:textFill>
              </w:rPr>
              <w:t>通风柜内设有内、外补风功能，如排风不能满足需要时，自动实现补风功能</w:t>
            </w:r>
          </w:p>
          <w:p>
            <w:pPr>
              <w:snapToGri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通风柜内壁两侧设有安全检修门，以方便水、气等的安装与检修。检测门材质同柜身一样采用机压一次成型FRP阻燃防腐材料</w:t>
            </w:r>
          </w:p>
          <w:p>
            <w:pPr>
              <w:widowControl/>
              <w:adjustRightInd w:val="0"/>
              <w:snapToGrid w:val="0"/>
              <w:spacing w:line="360" w:lineRule="auto"/>
              <w:ind w:firstLine="241" w:firstLineChars="1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5</w:t>
            </w: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视窗：</w:t>
            </w:r>
            <w:r>
              <w:rPr>
                <w:rFonts w:hint="eastAsia"/>
                <w:color w:val="000000" w:themeColor="text1"/>
                <w:kern w:val="2"/>
                <w:sz w:val="24"/>
                <w:szCs w:val="24"/>
                <w:highlight w:val="none"/>
                <w:lang w:val="en-US" w:bidi="ar-SA"/>
                <w14:textFill>
                  <w14:solidFill>
                    <w14:schemeClr w14:val="tx1"/>
                  </w14:solidFill>
                </w14:textFill>
              </w:rPr>
              <w:t>单片式垂直视窗，上下开门结构，置于操作空间与操作者之间以保护操作者安全，视窗可停于任意活动点。</w:t>
            </w:r>
          </w:p>
          <w:p>
            <w:pPr>
              <w:widowControl/>
              <w:adjustRightInd w:val="0"/>
              <w:snapToGrid w:val="0"/>
              <w:spacing w:line="360" w:lineRule="auto"/>
              <w:ind w:firstLine="482" w:firstLineChars="2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视窗玻璃：</w:t>
            </w:r>
            <w:r>
              <w:rPr>
                <w:rFonts w:hint="eastAsia"/>
                <w:color w:val="000000" w:themeColor="text1"/>
                <w:kern w:val="2"/>
                <w:sz w:val="24"/>
                <w:szCs w:val="24"/>
                <w:highlight w:val="none"/>
                <w:lang w:val="en-US" w:bidi="ar-SA"/>
                <w14:textFill>
                  <w14:solidFill>
                    <w14:schemeClr w14:val="tx1"/>
                  </w14:solidFill>
                </w14:textFill>
              </w:rPr>
              <w:t>采用5.0mm钢化玻璃，视野清晰、无阻碍。</w:t>
            </w:r>
          </w:p>
          <w:p>
            <w:pPr>
              <w:widowControl/>
              <w:adjustRightInd w:val="0"/>
              <w:snapToGrid w:val="0"/>
              <w:spacing w:line="360" w:lineRule="auto"/>
              <w:ind w:firstLine="482" w:firstLineChars="2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视窗把手：</w:t>
            </w:r>
            <w:r>
              <w:rPr>
                <w:rFonts w:hint="eastAsia"/>
                <w:color w:val="000000" w:themeColor="text1"/>
                <w:kern w:val="2"/>
                <w:sz w:val="24"/>
                <w:szCs w:val="24"/>
                <w:highlight w:val="none"/>
                <w:lang w:val="en-US" w:bidi="ar-SA"/>
                <w14:textFill>
                  <w14:solidFill>
                    <w14:schemeClr w14:val="tx1"/>
                  </w14:solidFill>
                </w14:textFill>
              </w:rPr>
              <w:t>采用防腐PP型材，把手上下均具圆弧造型，具导流效果，以避免涡流之产生。</w:t>
            </w:r>
          </w:p>
          <w:p>
            <w:pPr>
              <w:widowControl/>
              <w:adjustRightInd w:val="0"/>
              <w:snapToGrid w:val="0"/>
              <w:spacing w:line="360" w:lineRule="auto"/>
              <w:ind w:firstLine="482" w:firstLineChars="2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视窗外框：</w:t>
            </w:r>
            <w:r>
              <w:rPr>
                <w:rFonts w:hint="eastAsia"/>
                <w:color w:val="000000" w:themeColor="text1"/>
                <w:kern w:val="2"/>
                <w:sz w:val="24"/>
                <w:szCs w:val="24"/>
                <w:highlight w:val="none"/>
                <w:lang w:val="en-US" w:bidi="ar-SA"/>
                <w14:textFill>
                  <w14:solidFill>
                    <w14:schemeClr w14:val="tx1"/>
                  </w14:solidFill>
                </w14:textFill>
              </w:rPr>
              <w:t>采用防腐PP型材，四边包夹嵌入式结合设计，确保安全性及耐用性。</w:t>
            </w:r>
          </w:p>
          <w:p>
            <w:pPr>
              <w:widowControl/>
              <w:adjustRightInd w:val="0"/>
              <w:snapToGrid w:val="0"/>
              <w:spacing w:line="360" w:lineRule="auto"/>
              <w:ind w:firstLine="482" w:firstLineChars="2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传动机构：</w:t>
            </w:r>
            <w:r>
              <w:rPr>
                <w:rFonts w:hint="eastAsia"/>
                <w:color w:val="000000" w:themeColor="text1"/>
                <w:kern w:val="2"/>
                <w:sz w:val="24"/>
                <w:szCs w:val="24"/>
                <w:highlight w:val="none"/>
                <w:lang w:val="en-US" w:bidi="ar-SA"/>
                <w14:textFill>
                  <w14:solidFill>
                    <w14:schemeClr w14:val="tx1"/>
                  </w14:solidFill>
                </w14:textFill>
              </w:rPr>
              <w:t>采用同步带、同步轴组合传动结构。滑动自如，可以使玻璃门任意停留.</w:t>
            </w:r>
          </w:p>
          <w:p>
            <w:pPr>
              <w:widowControl/>
              <w:adjustRightInd w:val="0"/>
              <w:snapToGrid w:val="0"/>
              <w:spacing w:line="360" w:lineRule="auto"/>
              <w:ind w:firstLine="482" w:firstLineChars="2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通风柜门板：</w:t>
            </w:r>
            <w:r>
              <w:rPr>
                <w:rFonts w:hint="eastAsia"/>
                <w:color w:val="000000" w:themeColor="text1"/>
                <w:kern w:val="2"/>
                <w:sz w:val="24"/>
                <w:szCs w:val="24"/>
                <w:highlight w:val="none"/>
                <w:lang w:val="en-US" w:bidi="ar-SA"/>
                <w14:textFill>
                  <w14:solidFill>
                    <w14:schemeClr w14:val="tx1"/>
                  </w14:solidFill>
                </w14:textFill>
              </w:rPr>
              <w:t xml:space="preserve">采用阻燃防腐型玻璃钢钢材质（内没任何夹层），内、外门组合式设计，可根需要内、外门采用不同的颜色来打配，使整个产品更具有美观性。通风柜门拉手：模具一次成型从门板顶部卡扣下来，呈现“U”型状，结构紧密不容易脱落。   </w:t>
            </w:r>
          </w:p>
          <w:p>
            <w:pPr>
              <w:widowControl/>
              <w:adjustRightInd w:val="0"/>
              <w:snapToGrid w:val="0"/>
              <w:spacing w:line="360" w:lineRule="auto"/>
              <w:ind w:firstLine="480" w:firstLineChars="20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通风柜上、下箱体，整体可拆装，螺母预埋在玻璃钢板内，整个产品具有易拆装、易搬迁、节省运费等特点。</w:t>
            </w:r>
          </w:p>
          <w:p>
            <w:pPr>
              <w:widowControl/>
              <w:adjustRightInd w:val="0"/>
              <w:snapToGrid w:val="0"/>
              <w:spacing w:line="360" w:lineRule="auto"/>
              <w:ind w:firstLine="241" w:firstLineChars="10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6</w:t>
            </w: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通风柜的台面：</w:t>
            </w:r>
            <w:r>
              <w:rPr>
                <w:rFonts w:hint="eastAsia"/>
                <w:color w:val="000000" w:themeColor="text1"/>
                <w:kern w:val="2"/>
                <w:sz w:val="24"/>
                <w:szCs w:val="24"/>
                <w:highlight w:val="none"/>
                <w:lang w:val="en-US" w:bidi="ar-SA"/>
                <w14:textFill>
                  <w14:solidFill>
                    <w14:schemeClr w14:val="tx1"/>
                  </w14:solidFill>
                </w14:textFill>
              </w:rPr>
              <w:t>采用防水、防火、耐刮、耐磨、抗击耐酸碱的陶瓷板，厚度≥20mm，且需要满足以下技术要求：</w:t>
            </w:r>
          </w:p>
          <w:p>
            <w:pPr>
              <w:widowControl/>
              <w:adjustRightInd w:val="0"/>
              <w:snapToGrid w:val="0"/>
              <w:spacing w:line="360" w:lineRule="auto"/>
              <w:ind w:firstLine="480" w:firstLineChars="20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台面采用20mm厚一体实芯烧制实验室专用陶瓷台面（通风柜台面采用20/25mm厚一体成型碟形台面），台面表面为耐腐蚀专业釉面。釉面经高温烧结而成，釉面与胚体结合后不脱落、不脱层。彻底解决了传统陶瓷台面侧面因二次上釉存在的不美观、易脱落、不耐磨、不耐强腐蚀等一系列问题。并在满足一下性能要求。</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rFonts w:hint="eastAsia" w:hAnsi="Calibri" w:cs="Times New Roman"/>
                <w:bCs/>
                <w:color w:val="000000" w:themeColor="text1"/>
                <w:sz w:val="24"/>
                <w:szCs w:val="24"/>
                <w:highlight w:val="none"/>
                <w:lang w:val="en-US" w:bidi="ar-SA"/>
                <w14:textFill>
                  <w14:solidFill>
                    <w14:schemeClr w14:val="tx1"/>
                  </w14:solidFill>
                </w14:textFill>
              </w:rPr>
              <w:t>▲</w:t>
            </w:r>
            <w:r>
              <w:rPr>
                <w:rFonts w:hint="eastAsia"/>
                <w:bCs/>
                <w:color w:val="000000" w:themeColor="text1"/>
                <w:kern w:val="2"/>
                <w:sz w:val="24"/>
                <w:szCs w:val="24"/>
                <w:highlight w:val="none"/>
                <w:lang w:val="en-US" w:bidi="ar-SA"/>
                <w14:textFill>
                  <w14:solidFill>
                    <w14:schemeClr w14:val="tx1"/>
                  </w14:solidFill>
                </w14:textFill>
              </w:rPr>
              <w:t>6</w:t>
            </w:r>
            <w:r>
              <w:rPr>
                <w:bCs/>
                <w:color w:val="000000" w:themeColor="text1"/>
                <w:kern w:val="2"/>
                <w:sz w:val="24"/>
                <w:szCs w:val="24"/>
                <w:highlight w:val="none"/>
                <w:lang w:val="en-US" w:bidi="ar-SA"/>
                <w14:textFill>
                  <w14:solidFill>
                    <w14:schemeClr w14:val="tx1"/>
                  </w14:solidFill>
                </w14:textFill>
              </w:rPr>
              <w:t>.1</w:t>
            </w:r>
            <w:r>
              <w:rPr>
                <w:rFonts w:hint="eastAsia"/>
                <w:bCs/>
                <w:color w:val="000000" w:themeColor="text1"/>
                <w:kern w:val="2"/>
                <w:sz w:val="24"/>
                <w:szCs w:val="24"/>
                <w:highlight w:val="none"/>
                <w:lang w:val="en-US" w:bidi="ar-SA"/>
                <w14:textFill>
                  <w14:solidFill>
                    <w14:schemeClr w14:val="tx1"/>
                  </w14:solidFill>
                </w14:textFill>
              </w:rPr>
              <w:t>为确保性能的稳定性,需提供SGS出具的的SEFA3-2010测试项目为“耐化学/耐污染”的检测报告复印件加以佐证。</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bCs/>
                <w:color w:val="000000" w:themeColor="text1"/>
                <w:kern w:val="2"/>
                <w:sz w:val="24"/>
                <w:szCs w:val="24"/>
                <w:highlight w:val="none"/>
                <w:lang w:val="en-US" w:bidi="ar-SA"/>
                <w14:textFill>
                  <w14:solidFill>
                    <w14:schemeClr w14:val="tx1"/>
                  </w14:solidFill>
                </w14:textFill>
              </w:rPr>
              <w:t>6.2</w:t>
            </w:r>
            <w:r>
              <w:rPr>
                <w:rFonts w:hint="eastAsia"/>
                <w:bCs/>
                <w:color w:val="000000" w:themeColor="text1"/>
                <w:kern w:val="2"/>
                <w:sz w:val="24"/>
                <w:szCs w:val="24"/>
                <w:highlight w:val="none"/>
                <w:lang w:val="en-US" w:bidi="ar-SA"/>
                <w14:textFill>
                  <w14:solidFill>
                    <w14:schemeClr w14:val="tx1"/>
                  </w14:solidFill>
                </w14:textFill>
              </w:rPr>
              <w:t>陶瓷台面空气负离子诱生量符合JC/T2040-2010(2017)&lt;《负离子功能建筑室内装饰材料》要求。空气负离子诱生量（个/s.cm²）≥500，并能够提供第三方出具的检测报告加以作证。</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rFonts w:hint="eastAsia"/>
                <w:bCs/>
                <w:color w:val="000000" w:themeColor="text1"/>
                <w:kern w:val="2"/>
                <w:sz w:val="24"/>
                <w:szCs w:val="24"/>
                <w:highlight w:val="none"/>
                <w:lang w:val="en-US" w:bidi="ar-SA"/>
                <w14:textFill>
                  <w14:solidFill>
                    <w14:schemeClr w14:val="tx1"/>
                  </w14:solidFill>
                </w14:textFill>
              </w:rPr>
              <w:t>6</w:t>
            </w:r>
            <w:r>
              <w:rPr>
                <w:bCs/>
                <w:color w:val="000000" w:themeColor="text1"/>
                <w:kern w:val="2"/>
                <w:sz w:val="24"/>
                <w:szCs w:val="24"/>
                <w:highlight w:val="none"/>
                <w:lang w:val="en-US" w:bidi="ar-SA"/>
                <w14:textFill>
                  <w14:solidFill>
                    <w14:schemeClr w14:val="tx1"/>
                  </w14:solidFill>
                </w14:textFill>
              </w:rPr>
              <w:t>.3</w:t>
            </w:r>
            <w:r>
              <w:rPr>
                <w:rFonts w:hint="eastAsia"/>
                <w:bCs/>
                <w:color w:val="000000" w:themeColor="text1"/>
                <w:kern w:val="2"/>
                <w:sz w:val="24"/>
                <w:szCs w:val="24"/>
                <w:highlight w:val="none"/>
                <w:lang w:val="en-US" w:bidi="ar-SA"/>
                <w14:textFill>
                  <w14:solidFill>
                    <w14:schemeClr w14:val="tx1"/>
                  </w14:solidFill>
                </w14:textFill>
              </w:rPr>
              <w:t>放射性：提供第三方检测机构出具的辐射限量检测报告，参照GB6566-2010《建筑材料放射性核素限量》标准，检测结果必须符合：内照射指数≤0.2，外照指数≤0.3。</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bCs/>
                <w:color w:val="000000" w:themeColor="text1"/>
                <w:kern w:val="2"/>
                <w:sz w:val="24"/>
                <w:szCs w:val="24"/>
                <w:highlight w:val="none"/>
                <w:lang w:val="en-US" w:bidi="ar-SA"/>
                <w14:textFill>
                  <w14:solidFill>
                    <w14:schemeClr w14:val="tx1"/>
                  </w14:solidFill>
                </w14:textFill>
              </w:rPr>
              <w:t>6.4</w:t>
            </w:r>
            <w:r>
              <w:rPr>
                <w:rFonts w:hint="eastAsia"/>
                <w:bCs/>
                <w:color w:val="000000" w:themeColor="text1"/>
                <w:kern w:val="2"/>
                <w:sz w:val="24"/>
                <w:szCs w:val="24"/>
                <w:highlight w:val="none"/>
                <w:lang w:val="en-US" w:bidi="ar-SA"/>
                <w14:textFill>
                  <w14:solidFill>
                    <w14:schemeClr w14:val="tx1"/>
                  </w14:solidFill>
                </w14:textFill>
              </w:rPr>
              <w:t>侧面封釉：陶瓷台面的侧面封釉要求耐98%H2SO4腐蚀1h样品无明显腐蚀、400℃保持4h样品无破坏。</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rFonts w:hint="eastAsia"/>
                <w:bCs/>
                <w:color w:val="000000" w:themeColor="text1"/>
                <w:sz w:val="24"/>
                <w:szCs w:val="24"/>
                <w:highlight w:val="none"/>
                <w:lang w:val="en-US" w:bidi="ar-SA"/>
                <w14:textFill>
                  <w14:solidFill>
                    <w14:schemeClr w14:val="tx1"/>
                  </w14:solidFill>
                </w14:textFill>
              </w:rPr>
              <w:t>6</w:t>
            </w:r>
            <w:r>
              <w:rPr>
                <w:bCs/>
                <w:color w:val="000000" w:themeColor="text1"/>
                <w:sz w:val="24"/>
                <w:szCs w:val="24"/>
                <w:highlight w:val="none"/>
                <w:lang w:val="en-US" w:bidi="ar-SA"/>
                <w14:textFill>
                  <w14:solidFill>
                    <w14:schemeClr w14:val="tx1"/>
                  </w14:solidFill>
                </w14:textFill>
              </w:rPr>
              <w:t>.</w:t>
            </w:r>
            <w:r>
              <w:rPr>
                <w:rFonts w:hint="eastAsia"/>
                <w:bCs/>
                <w:color w:val="000000" w:themeColor="text1"/>
                <w:kern w:val="2"/>
                <w:sz w:val="24"/>
                <w:szCs w:val="24"/>
                <w:highlight w:val="none"/>
                <w:lang w:val="en-US" w:bidi="ar-SA"/>
                <w14:textFill>
                  <w14:solidFill>
                    <w14:schemeClr w14:val="tx1"/>
                  </w14:solidFill>
                </w14:textFill>
              </w:rPr>
              <w:t>5通风柜台面静载测试承重400kg，为保证仪器承重安全，通风柜台面性能必须满足承重测试要求，并提供 “静载测试”检测报告。试验方法&amp;试验要求：“将工作台面安装在通风柜底座上，在台面上均匀分布载荷400KG，保持48小时。试验后无破损”。</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rFonts w:hint="eastAsia" w:hAnsi="Calibri" w:cs="Times New Roman"/>
                <w:bCs/>
                <w:color w:val="000000" w:themeColor="text1"/>
                <w:sz w:val="24"/>
                <w:szCs w:val="24"/>
                <w:highlight w:val="none"/>
                <w:lang w:val="en-US" w:bidi="ar-SA"/>
                <w14:textFill>
                  <w14:solidFill>
                    <w14:schemeClr w14:val="tx1"/>
                  </w14:solidFill>
                </w14:textFill>
              </w:rPr>
              <w:t>▲</w:t>
            </w:r>
            <w:r>
              <w:rPr>
                <w:rFonts w:hint="eastAsia"/>
                <w:bCs/>
                <w:color w:val="000000" w:themeColor="text1"/>
                <w:kern w:val="2"/>
                <w:sz w:val="24"/>
                <w:szCs w:val="24"/>
                <w:highlight w:val="none"/>
                <w:lang w:val="en-US" w:bidi="ar-SA"/>
                <w14:textFill>
                  <w14:solidFill>
                    <w14:schemeClr w14:val="tx1"/>
                  </w14:solidFill>
                </w14:textFill>
              </w:rPr>
              <w:t>6</w:t>
            </w:r>
            <w:r>
              <w:rPr>
                <w:bCs/>
                <w:color w:val="000000" w:themeColor="text1"/>
                <w:kern w:val="2"/>
                <w:sz w:val="24"/>
                <w:szCs w:val="24"/>
                <w:highlight w:val="none"/>
                <w:lang w:val="en-US" w:bidi="ar-SA"/>
                <w14:textFill>
                  <w14:solidFill>
                    <w14:schemeClr w14:val="tx1"/>
                  </w14:solidFill>
                </w14:textFill>
              </w:rPr>
              <w:t>.</w:t>
            </w:r>
            <w:r>
              <w:rPr>
                <w:rFonts w:hint="eastAsia"/>
                <w:bCs/>
                <w:color w:val="000000" w:themeColor="text1"/>
                <w:kern w:val="2"/>
                <w:sz w:val="24"/>
                <w:szCs w:val="24"/>
                <w:highlight w:val="none"/>
                <w:lang w:val="en-US" w:bidi="ar-SA"/>
                <w14:textFill>
                  <w14:solidFill>
                    <w14:schemeClr w14:val="tx1"/>
                  </w14:solidFill>
                </w14:textFill>
              </w:rPr>
              <w:t>6陶瓷台面的吸水率和断裂模数检测符合GB/T3810.3-2016。</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7</w:t>
            </w: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配件：</w:t>
            </w:r>
            <w:r>
              <w:rPr>
                <w:rFonts w:hint="eastAsia"/>
                <w:color w:val="000000" w:themeColor="text1"/>
                <w:kern w:val="2"/>
                <w:sz w:val="24"/>
                <w:szCs w:val="24"/>
                <w:highlight w:val="none"/>
                <w:lang w:val="en-US" w:bidi="ar-SA"/>
                <w14:textFill>
                  <w14:solidFill>
                    <w14:schemeClr w14:val="tx1"/>
                  </w14:solidFill>
                </w14:textFill>
              </w:rPr>
              <w:t>电控采用中英文液晶超薄显示屏装在通风柜右侧立柱上，插件连接设计，方便操作及维护，配带稳压适配器，具用良好的防腐性能。</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8</w:t>
            </w: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电源</w:t>
            </w:r>
            <w:r>
              <w:rPr>
                <w:rFonts w:hint="eastAsia"/>
                <w:color w:val="000000" w:themeColor="text1"/>
                <w:kern w:val="2"/>
                <w:sz w:val="24"/>
                <w:szCs w:val="24"/>
                <w:highlight w:val="none"/>
                <w:lang w:val="en-US" w:bidi="ar-SA"/>
                <w14:textFill>
                  <w14:solidFill>
                    <w14:schemeClr w14:val="tx1"/>
                  </w14:solidFill>
                </w14:textFill>
              </w:rPr>
              <w:t>插座</w:t>
            </w:r>
            <w:r>
              <w:rPr>
                <w:rFonts w:hint="eastAsia"/>
                <w:b/>
                <w:bCs/>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电源插座*2个，其中220V/10A多功能插座 4个，插座安装位置：每台通风柜两侧立柱各2个。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80" w:type="dxa"/>
            <w:vAlign w:val="center"/>
          </w:tcPr>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（三）实验室专用立式三联水龙头及</w:t>
            </w:r>
            <w:r>
              <w:rPr>
                <w:b/>
                <w:bCs/>
                <w:color w:val="000000" w:themeColor="text1"/>
                <w:kern w:val="2"/>
                <w:sz w:val="24"/>
                <w:szCs w:val="24"/>
                <w:highlight w:val="none"/>
                <w:lang w:val="en-US" w:bidi="ar-SA"/>
                <w14:textFill>
                  <w14:solidFill>
                    <w14:schemeClr w14:val="tx1"/>
                  </w14:solidFill>
                </w14:textFill>
              </w:rPr>
              <w:t>PP</w:t>
            </w:r>
            <w:r>
              <w:rPr>
                <w:rFonts w:hint="eastAsia"/>
                <w:b/>
                <w:bCs/>
                <w:color w:val="000000" w:themeColor="text1"/>
                <w:kern w:val="2"/>
                <w:sz w:val="24"/>
                <w:szCs w:val="24"/>
                <w:highlight w:val="none"/>
                <w:lang w:val="en-US" w:bidi="ar-SA"/>
                <w14:textFill>
                  <w14:solidFill>
                    <w14:schemeClr w14:val="tx1"/>
                  </w14:solidFill>
                </w14:textFill>
              </w:rPr>
              <w:t>耐酸碱水槽技术要求、材质等要求：</w:t>
            </w:r>
          </w:p>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1）水龙头：</w:t>
            </w:r>
          </w:p>
          <w:p>
            <w:pPr>
              <w:autoSpaceDE/>
              <w:autoSpaceDN/>
              <w:spacing w:before="240" w:after="240"/>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1</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主体：铜质</w:t>
            </w:r>
          </w:p>
          <w:p>
            <w:pPr>
              <w:autoSpaceDE/>
              <w:autoSpaceDN/>
              <w:spacing w:before="240" w:after="240"/>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2</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涂层：高亮度环氧树脂涂层，耐腐蚀、耐热、防紫外线辐射。</w:t>
            </w:r>
          </w:p>
          <w:p>
            <w:pPr>
              <w:autoSpaceDE/>
              <w:autoSpaceDN/>
              <w:spacing w:before="240" w:after="240"/>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3</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阀芯：陶瓷阀芯，</w:t>
            </w:r>
            <w:r>
              <w:rPr>
                <w:color w:val="000000" w:themeColor="text1"/>
                <w:kern w:val="2"/>
                <w:sz w:val="24"/>
                <w:szCs w:val="24"/>
                <w:highlight w:val="none"/>
                <w:lang w:val="en-US" w:bidi="ar-SA"/>
                <w14:textFill>
                  <w14:solidFill>
                    <w14:schemeClr w14:val="tx1"/>
                  </w14:solidFill>
                </w14:textFill>
              </w:rPr>
              <w:t>90</w:t>
            </w:r>
            <w:r>
              <w:rPr>
                <w:rFonts w:hint="eastAsia"/>
                <w:color w:val="000000" w:themeColor="text1"/>
                <w:kern w:val="2"/>
                <w:sz w:val="24"/>
                <w:szCs w:val="24"/>
                <w:highlight w:val="none"/>
                <w:lang w:val="en-US" w:bidi="ar-SA"/>
                <w14:textFill>
                  <w14:solidFill>
                    <w14:schemeClr w14:val="tx1"/>
                  </w14:solidFill>
                </w14:textFill>
              </w:rPr>
              <w:t>度旋转，使用寿命开关</w:t>
            </w:r>
            <w:r>
              <w:rPr>
                <w:color w:val="000000" w:themeColor="text1"/>
                <w:kern w:val="2"/>
                <w:sz w:val="24"/>
                <w:szCs w:val="24"/>
                <w:highlight w:val="none"/>
                <w:lang w:val="en-US" w:bidi="ar-SA"/>
                <w14:textFill>
                  <w14:solidFill>
                    <w14:schemeClr w14:val="tx1"/>
                  </w14:solidFill>
                </w14:textFill>
              </w:rPr>
              <w:t>50</w:t>
            </w:r>
            <w:r>
              <w:rPr>
                <w:rFonts w:hint="eastAsia"/>
                <w:color w:val="000000" w:themeColor="text1"/>
                <w:kern w:val="2"/>
                <w:sz w:val="24"/>
                <w:szCs w:val="24"/>
                <w:highlight w:val="none"/>
                <w:lang w:val="en-US" w:bidi="ar-SA"/>
                <w14:textFill>
                  <w14:solidFill>
                    <w14:schemeClr w14:val="tx1"/>
                  </w14:solidFill>
                </w14:textFill>
              </w:rPr>
              <w:t>万次，静态最大耐压</w:t>
            </w:r>
            <w:r>
              <w:rPr>
                <w:color w:val="000000" w:themeColor="text1"/>
                <w:kern w:val="2"/>
                <w:sz w:val="24"/>
                <w:szCs w:val="24"/>
                <w:highlight w:val="none"/>
                <w:lang w:val="en-US" w:bidi="ar-SA"/>
                <w14:textFill>
                  <w14:solidFill>
                    <w14:schemeClr w14:val="tx1"/>
                  </w14:solidFill>
                </w14:textFill>
              </w:rPr>
              <w:t>35</w:t>
            </w:r>
            <w:r>
              <w:rPr>
                <w:rFonts w:hint="eastAsia"/>
                <w:color w:val="000000" w:themeColor="text1"/>
                <w:kern w:val="2"/>
                <w:sz w:val="24"/>
                <w:szCs w:val="24"/>
                <w:highlight w:val="none"/>
                <w:lang w:val="en-US" w:bidi="ar-SA"/>
                <w14:textFill>
                  <w14:solidFill>
                    <w14:schemeClr w14:val="tx1"/>
                  </w14:solidFill>
                </w14:textFill>
              </w:rPr>
              <w:t>巴。</w:t>
            </w:r>
          </w:p>
          <w:p>
            <w:pPr>
              <w:autoSpaceDE/>
              <w:autoSpaceDN/>
              <w:spacing w:before="240" w:after="240"/>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4</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附件：可拆卸水嘴，可加接防溅滤水器。</w:t>
            </w:r>
          </w:p>
          <w:p>
            <w:pPr>
              <w:autoSpaceDE/>
              <w:autoSpaceDN/>
              <w:spacing w:before="240" w:after="240"/>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5</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开关旋转：开关标识清晰、醒目，材质</w:t>
            </w:r>
            <w:r>
              <w:rPr>
                <w:color w:val="000000" w:themeColor="text1"/>
                <w:kern w:val="2"/>
                <w:sz w:val="24"/>
                <w:szCs w:val="24"/>
                <w:highlight w:val="none"/>
                <w:lang w:val="en-US" w:bidi="ar-SA"/>
                <w14:textFill>
                  <w14:solidFill>
                    <w14:schemeClr w14:val="tx1"/>
                  </w14:solidFill>
                </w14:textFill>
              </w:rPr>
              <w:t>ABS</w:t>
            </w:r>
            <w:r>
              <w:rPr>
                <w:rFonts w:hint="eastAsia"/>
                <w:color w:val="000000" w:themeColor="text1"/>
                <w:kern w:val="2"/>
                <w:sz w:val="24"/>
                <w:szCs w:val="24"/>
                <w:highlight w:val="none"/>
                <w:lang w:val="en-US" w:bidi="ar-SA"/>
                <w14:textFill>
                  <w14:solidFill>
                    <w14:schemeClr w14:val="tx1"/>
                  </w14:solidFill>
                </w14:textFill>
              </w:rPr>
              <w:t>，颜色为灰白色。</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rFonts w:hint="eastAsia" w:hAnsi="Calibri" w:cs="Times New Roman"/>
                <w:color w:val="000000" w:themeColor="text1"/>
                <w:sz w:val="24"/>
                <w:szCs w:val="24"/>
                <w:highlight w:val="none"/>
                <w:lang w:val="en-US" w:bidi="ar-SA"/>
                <w14:textFill>
                  <w14:solidFill>
                    <w14:schemeClr w14:val="tx1"/>
                  </w14:solidFill>
                </w14:textFill>
              </w:rPr>
              <w:t>▲</w:t>
            </w:r>
            <w:r>
              <w:rPr>
                <w:bCs/>
                <w:color w:val="000000" w:themeColor="text1"/>
                <w:kern w:val="2"/>
                <w:sz w:val="24"/>
                <w:szCs w:val="24"/>
                <w:highlight w:val="none"/>
                <w:lang w:val="en-US" w:bidi="ar-SA"/>
                <w14:textFill>
                  <w14:solidFill>
                    <w14:schemeClr w14:val="tx1"/>
                  </w14:solidFill>
                </w14:textFill>
              </w:rPr>
              <w:t>6.</w:t>
            </w:r>
            <w:r>
              <w:rPr>
                <w:rFonts w:hint="eastAsia"/>
                <w:bCs/>
                <w:color w:val="000000" w:themeColor="text1"/>
                <w:kern w:val="2"/>
                <w:sz w:val="24"/>
                <w:szCs w:val="24"/>
                <w:highlight w:val="none"/>
                <w:lang w:val="en-US" w:bidi="ar-SA"/>
                <w14:textFill>
                  <w14:solidFill>
                    <w14:schemeClr w14:val="tx1"/>
                  </w14:solidFill>
                </w14:textFill>
              </w:rPr>
              <w:t>鹅颈弯管：</w:t>
            </w:r>
            <w:r>
              <w:rPr>
                <w:rFonts w:hint="eastAsia"/>
                <w:color w:val="000000" w:themeColor="text1"/>
                <w:kern w:val="2"/>
                <w:sz w:val="24"/>
                <w:szCs w:val="24"/>
                <w:highlight w:val="none"/>
                <w:lang w:val="en-US" w:bidi="ar-SA"/>
                <w14:textFill>
                  <w14:solidFill>
                    <w14:schemeClr w14:val="tx1"/>
                  </w14:solidFill>
                </w14:textFill>
              </w:rPr>
              <w:t>采用Φ19×1mm管径的H62铜管制造，可绕立管360°旋转，相关参数需满足以下条件（以</w:t>
            </w:r>
            <w:r>
              <w:rPr>
                <w:color w:val="000000" w:themeColor="text1"/>
                <w:kern w:val="2"/>
                <w:sz w:val="24"/>
                <w:szCs w:val="24"/>
                <w:highlight w:val="none"/>
                <w:lang w:val="en-US" w:bidi="ar-SA"/>
                <w14:textFill>
                  <w14:solidFill>
                    <w14:schemeClr w14:val="tx1"/>
                  </w14:solidFill>
                </w14:textFill>
              </w:rPr>
              <w:t>CMA或CNAS资质的国家级检测部门</w:t>
            </w:r>
            <w:r>
              <w:rPr>
                <w:rFonts w:hint="eastAsia"/>
                <w:color w:val="000000" w:themeColor="text1"/>
                <w:kern w:val="2"/>
                <w:sz w:val="24"/>
                <w:szCs w:val="24"/>
                <w:highlight w:val="none"/>
                <w:lang w:val="en-US" w:bidi="ar-SA"/>
                <w14:textFill>
                  <w14:solidFill>
                    <w14:schemeClr w14:val="tx1"/>
                  </w14:solidFill>
                </w14:textFill>
              </w:rPr>
              <w:t>出具</w:t>
            </w:r>
            <w:r>
              <w:rPr>
                <w:color w:val="000000" w:themeColor="text1"/>
                <w:kern w:val="2"/>
                <w:sz w:val="24"/>
                <w:szCs w:val="24"/>
                <w:highlight w:val="none"/>
                <w:lang w:val="en-US" w:bidi="ar-SA"/>
                <w14:textFill>
                  <w14:solidFill>
                    <w14:schemeClr w14:val="tx1"/>
                  </w14:solidFill>
                </w14:textFill>
              </w:rPr>
              <w:t>的检测报告</w:t>
            </w:r>
            <w:r>
              <w:rPr>
                <w:rFonts w:hint="eastAsia"/>
                <w:color w:val="000000" w:themeColor="text1"/>
                <w:kern w:val="2"/>
                <w:sz w:val="24"/>
                <w:szCs w:val="24"/>
                <w:highlight w:val="none"/>
                <w:lang w:val="en-US" w:bidi="ar-SA"/>
                <w14:textFill>
                  <w14:solidFill>
                    <w14:schemeClr w14:val="tx1"/>
                  </w14:solidFill>
                </w14:textFill>
              </w:rPr>
              <w:t xml:space="preserve">为准）：  </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6.1</w:t>
            </w:r>
            <w:r>
              <w:rPr>
                <w:rFonts w:hint="eastAsia"/>
                <w:color w:val="000000" w:themeColor="text1"/>
                <w:kern w:val="2"/>
                <w:sz w:val="24"/>
                <w:szCs w:val="24"/>
                <w:highlight w:val="none"/>
                <w:lang w:val="en-US" w:bidi="ar-SA"/>
                <w14:textFill>
                  <w14:solidFill>
                    <w14:schemeClr w14:val="tx1"/>
                  </w14:solidFill>
                </w14:textFill>
              </w:rPr>
              <w:t>产品密度需达到1.809g/cm³，满足国家级(GB/T 1033.2-2008)的检验标准；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6.2</w:t>
            </w:r>
            <w:r>
              <w:rPr>
                <w:rFonts w:hint="eastAsia"/>
                <w:color w:val="000000" w:themeColor="text1"/>
                <w:kern w:val="2"/>
                <w:sz w:val="24"/>
                <w:szCs w:val="24"/>
                <w:highlight w:val="none"/>
                <w:lang w:val="en-US" w:bidi="ar-SA"/>
                <w14:textFill>
                  <w14:solidFill>
                    <w14:schemeClr w14:val="tx1"/>
                  </w14:solidFill>
                </w14:textFill>
              </w:rPr>
              <w:t>阻燃级别达到V-0级，满足国家级(GB/T2408-2008)检验标准；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6.3</w:t>
            </w:r>
            <w:r>
              <w:rPr>
                <w:rFonts w:hint="eastAsia"/>
                <w:color w:val="000000" w:themeColor="text1"/>
                <w:kern w:val="2"/>
                <w:sz w:val="24"/>
                <w:szCs w:val="24"/>
                <w:highlight w:val="none"/>
                <w:lang w:val="en-US" w:bidi="ar-SA"/>
                <w14:textFill>
                  <w14:solidFill>
                    <w14:schemeClr w14:val="tx1"/>
                  </w14:solidFill>
                </w14:textFill>
              </w:rPr>
              <w:t>热变形温度（1.8MPa）＞180℃，满足国家级（GB/T 1634.2-2004）的检验标准；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6.4</w:t>
            </w:r>
            <w:r>
              <w:rPr>
                <w:rFonts w:hint="eastAsia"/>
                <w:color w:val="000000" w:themeColor="text1"/>
                <w:kern w:val="2"/>
                <w:sz w:val="24"/>
                <w:szCs w:val="24"/>
                <w:highlight w:val="none"/>
                <w:lang w:val="en-US" w:bidi="ar-SA"/>
                <w14:textFill>
                  <w14:solidFill>
                    <w14:schemeClr w14:val="tx1"/>
                  </w14:solidFill>
                </w14:textFill>
              </w:rPr>
              <w:t>甲醛释放量≤0.1mg/L,满足国家级（GB/T 17657-20134.59）的检验标准；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6.5</w:t>
            </w:r>
            <w:r>
              <w:rPr>
                <w:rFonts w:hint="eastAsia"/>
                <w:color w:val="000000" w:themeColor="text1"/>
                <w:kern w:val="2"/>
                <w:sz w:val="24"/>
                <w:szCs w:val="24"/>
                <w:highlight w:val="none"/>
                <w:lang w:val="en-US" w:bidi="ar-SA"/>
                <w14:textFill>
                  <w14:solidFill>
                    <w14:schemeClr w14:val="tx1"/>
                  </w14:solidFill>
                </w14:textFill>
              </w:rPr>
              <w:t>氧指数≥31.8%,满足国家级（GB/T 2406.2-2009）的检验标准；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6.6</w:t>
            </w:r>
            <w:r>
              <w:rPr>
                <w:rFonts w:hint="eastAsia"/>
                <w:color w:val="000000" w:themeColor="text1"/>
                <w:kern w:val="2"/>
                <w:sz w:val="24"/>
                <w:szCs w:val="24"/>
                <w:highlight w:val="none"/>
                <w:lang w:val="en-US" w:bidi="ar-SA"/>
                <w14:textFill>
                  <w14:solidFill>
                    <w14:schemeClr w14:val="tx1"/>
                  </w14:solidFill>
                </w14:textFill>
              </w:rPr>
              <w:t>表面电阻率达到9.31*10¹³Ω,满足国家级（IEC62631-3-2:2015)的检验标准；</w:t>
            </w:r>
          </w:p>
          <w:p>
            <w:pPr>
              <w:widowControl/>
              <w:adjustRightInd w:val="0"/>
              <w:snapToGrid w:val="0"/>
              <w:spacing w:line="360" w:lineRule="auto"/>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6.7</w:t>
            </w:r>
            <w:r>
              <w:rPr>
                <w:rFonts w:hint="eastAsia"/>
                <w:color w:val="000000" w:themeColor="text1"/>
                <w:kern w:val="2"/>
                <w:sz w:val="24"/>
                <w:szCs w:val="24"/>
                <w:highlight w:val="none"/>
                <w:lang w:val="en-US" w:bidi="ar-SA"/>
                <w14:textFill>
                  <w14:solidFill>
                    <w14:schemeClr w14:val="tx1"/>
                  </w14:solidFill>
                </w14:textFill>
              </w:rPr>
              <w:t>耐液性满足10%的碳酸钠溶液、30%的乙酸、5%盐酸、10%氢氧化钠溶液20小时以上无明显变化。</w:t>
            </w:r>
          </w:p>
          <w:p>
            <w:pPr>
              <w:autoSpaceDE/>
              <w:autoSpaceDN/>
              <w:spacing w:before="240" w:after="240"/>
              <w:ind w:right="72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7</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固定座：直径</w:t>
            </w:r>
            <w:r>
              <w:rPr>
                <w:color w:val="000000" w:themeColor="text1"/>
                <w:kern w:val="2"/>
                <w:sz w:val="24"/>
                <w:szCs w:val="24"/>
                <w:highlight w:val="none"/>
                <w:lang w:val="en-US" w:bidi="ar-SA"/>
                <w14:textFill>
                  <w14:solidFill>
                    <w14:schemeClr w14:val="tx1"/>
                  </w14:solidFill>
                </w14:textFill>
              </w:rPr>
              <w:t>55mm</w:t>
            </w:r>
            <w:r>
              <w:rPr>
                <w:rFonts w:hint="eastAsia"/>
                <w:color w:val="000000" w:themeColor="text1"/>
                <w:kern w:val="2"/>
                <w:sz w:val="24"/>
                <w:szCs w:val="24"/>
                <w:highlight w:val="none"/>
                <w:lang w:val="en-US" w:bidi="ar-SA"/>
                <w14:textFill>
                  <w14:solidFill>
                    <w14:schemeClr w14:val="tx1"/>
                  </w14:solidFill>
                </w14:textFill>
              </w:rPr>
              <w:t>，与台面安装稳定性强。根母与台面间添加牙齿形止退垫，使连接后不易松动。</w:t>
            </w:r>
          </w:p>
          <w:p>
            <w:pPr>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w:t>
            </w:r>
            <w:r>
              <w:rPr>
                <w:rFonts w:hint="eastAsia"/>
                <w:color w:val="000000" w:themeColor="text1"/>
                <w:sz w:val="24"/>
                <w:szCs w:val="24"/>
                <w:highlight w:val="none"/>
                <w14:textFill>
                  <w14:solidFill>
                    <w14:schemeClr w14:val="tx1"/>
                  </w14:solidFill>
                </w14:textFill>
              </w:rPr>
              <w:t>对实验室安全性，节水性要求的需要，水龙头配件好坏对实验尤为重要，投标人投标时需提供水龙头以下证书复印件并加盖供应商公章：</w:t>
            </w:r>
          </w:p>
          <w:p>
            <w:pPr>
              <w:snapToGrid w:val="0"/>
              <w:spacing w:line="360" w:lineRule="auto"/>
              <w:rPr>
                <w:b/>
                <w:bCs/>
                <w:color w:val="000000" w:themeColor="text1"/>
                <w:sz w:val="24"/>
                <w:szCs w:val="24"/>
                <w:highlight w:val="none"/>
                <w14:textFill>
                  <w14:solidFill>
                    <w14:schemeClr w14:val="tx1"/>
                  </w14:solidFill>
                </w14:textFill>
              </w:rPr>
            </w:pPr>
            <w:r>
              <w:rPr>
                <w:rFonts w:ascii="Calibri" w:cs="Times New Roman"/>
                <w:b/>
                <w:bCs/>
                <w:color w:val="000000" w:themeColor="text1"/>
                <w:sz w:val="24"/>
                <w:szCs w:val="24"/>
                <w:highlight w:val="none"/>
                <w14:textFill>
                  <w14:solidFill>
                    <w14:schemeClr w14:val="tx1"/>
                  </w14:solidFill>
                </w14:textFill>
              </w:rPr>
              <w:t>8.1</w:t>
            </w:r>
            <w:r>
              <w:rPr>
                <w:rFonts w:hint="eastAsia"/>
                <w:b/>
                <w:bCs/>
                <w:color w:val="000000" w:themeColor="text1"/>
                <w:sz w:val="24"/>
                <w:szCs w:val="24"/>
                <w:highlight w:val="none"/>
                <w14:textFill>
                  <w14:solidFill>
                    <w14:schemeClr w14:val="tx1"/>
                  </w14:solidFill>
                </w14:textFill>
              </w:rPr>
              <w:t>实验室化验水龙头须提供质量监督检部门出具的中国节水产品CQC认证试验报告；</w:t>
            </w:r>
          </w:p>
          <w:p>
            <w:pPr>
              <w:snapToGrid w:val="0"/>
              <w:spacing w:line="360" w:lineRule="auto"/>
              <w:rPr>
                <w:b/>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rFonts w:ascii="Calibri" w:cs="Times New Roman"/>
                <w:b/>
                <w:bCs/>
                <w:color w:val="000000" w:themeColor="text1"/>
                <w:sz w:val="24"/>
                <w:szCs w:val="24"/>
                <w:highlight w:val="none"/>
                <w14:textFill>
                  <w14:solidFill>
                    <w14:schemeClr w14:val="tx1"/>
                  </w14:solidFill>
                </w14:textFill>
              </w:rPr>
              <w:t>8.2</w:t>
            </w:r>
            <w:r>
              <w:rPr>
                <w:rFonts w:hint="eastAsia"/>
                <w:b/>
                <w:bCs/>
                <w:color w:val="000000" w:themeColor="text1"/>
                <w:sz w:val="24"/>
                <w:szCs w:val="24"/>
                <w:highlight w:val="none"/>
                <w14:textFill>
                  <w14:solidFill>
                    <w14:schemeClr w14:val="tx1"/>
                  </w14:solidFill>
                </w14:textFill>
              </w:rPr>
              <w:t>为保证产品质量，投标人投标时须提供通过国家建筑材料及装饰装修材料质量监督检验中心或国家认</w:t>
            </w:r>
            <w:r>
              <w:rPr>
                <w:rFonts w:hint="eastAsia"/>
                <w:b/>
                <w:bCs/>
                <w:color w:val="000000" w:themeColor="text1"/>
                <w:sz w:val="24"/>
                <w:szCs w:val="24"/>
                <w:highlight w:val="none"/>
                <w:lang w:eastAsia="zh-CN"/>
                <w14:textFill>
                  <w14:solidFill>
                    <w14:schemeClr w14:val="tx1"/>
                  </w14:solidFill>
                </w14:textFill>
              </w:rPr>
              <w:t>可</w:t>
            </w:r>
            <w:r>
              <w:rPr>
                <w:rFonts w:hint="eastAsia"/>
                <w:b/>
                <w:bCs/>
                <w:color w:val="000000" w:themeColor="text1"/>
                <w:sz w:val="24"/>
                <w:szCs w:val="24"/>
                <w:highlight w:val="none"/>
                <w14:textFill>
                  <w14:solidFill>
                    <w14:schemeClr w14:val="tx1"/>
                  </w14:solidFill>
                </w14:textFill>
              </w:rPr>
              <w:t>的第三方检测机构出具的检测报告复印件并加盖投标人公章。</w:t>
            </w:r>
          </w:p>
          <w:p>
            <w:pPr>
              <w:autoSpaceDE/>
              <w:autoSpaceDN/>
              <w:spacing w:before="240" w:after="240" w:line="360" w:lineRule="auto"/>
              <w:ind w:right="720"/>
              <w:jc w:val="both"/>
              <w:rPr>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2）水槽：</w:t>
            </w:r>
          </w:p>
          <w:p>
            <w:pPr>
              <w:autoSpaceDE/>
              <w:autoSpaceDN/>
              <w:spacing w:before="240" w:after="240" w:line="360" w:lineRule="auto"/>
              <w:ind w:right="720"/>
              <w:jc w:val="both"/>
              <w:rPr>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1</w:t>
            </w:r>
            <w:r>
              <w:rPr>
                <w:color w:val="000000" w:themeColor="text1"/>
                <w:kern w:val="2"/>
                <w:sz w:val="24"/>
                <w:szCs w:val="24"/>
                <w:highlight w:val="none"/>
                <w:lang w:val="en-US" w:bidi="ar-SA"/>
                <w14:textFill>
                  <w14:solidFill>
                    <w14:schemeClr w14:val="tx1"/>
                  </w14:solidFill>
                </w14:textFill>
              </w:rPr>
              <w:t>.</w:t>
            </w:r>
            <w:r>
              <w:rPr>
                <w:rFonts w:hint="eastAsia" w:ascii="Calibri" w:hAnsi="Calibri" w:cs="Calibri"/>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材质：要求采用高密度PP新料注塑成型，耐腐蚀耐酸碱；稳定性强，并具弹性、韧性，不易老化耐划；</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.独有防臭结构设计。水槽下水口设有独特的防臭设计，可有效阻止臭气溢出，并阻止异物直排。且具有缓存排水功能、防虹吸、降噪声。</w:t>
            </w:r>
          </w:p>
          <w:p>
            <w:pPr>
              <w:autoSpaceDE/>
              <w:autoSpaceDN/>
              <w:spacing w:before="240" w:after="240" w:line="360" w:lineRule="auto"/>
              <w:ind w:right="720"/>
              <w:jc w:val="both"/>
              <w:rPr>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.可拆卸防溢水结构设计。彻底排除因不慎放水过量导致水溢出水槽的隐患，可拆卸利于清洗维修。</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eastAsia="Times New Roman" w:cs="Times New Roman"/>
                <w:color w:val="000000" w:themeColor="text1"/>
                <w:kern w:val="2"/>
                <w:sz w:val="24"/>
                <w:szCs w:val="24"/>
                <w:highlight w:val="none"/>
                <w:lang w:val="en-US" w:bidi="ar-SA"/>
                <w14:textFill>
                  <w14:solidFill>
                    <w14:schemeClr w14:val="tx1"/>
                  </w14:solidFill>
                </w14:textFill>
              </w:rPr>
              <w:t>4.</w:t>
            </w:r>
            <w:r>
              <w:rPr>
                <w:rFonts w:hint="eastAsia" w:eastAsia="Times New Roman" w:cs="Times New Roman"/>
                <w:color w:val="000000" w:themeColor="text1"/>
                <w:kern w:val="2"/>
                <w:sz w:val="24"/>
                <w:szCs w:val="24"/>
                <w:highlight w:val="none"/>
                <w:lang w:val="en-US" w:bidi="ar-SA"/>
                <w14:textFill>
                  <w14:solidFill>
                    <w14:schemeClr w14:val="tx1"/>
                  </w14:solidFill>
                </w14:textFill>
              </w:rPr>
              <w:t>厚度：根据强度要求设计厚度为5mm-8mm。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（四）铝玻试剂架：</w:t>
            </w:r>
            <w:r>
              <w:rPr>
                <w:rFonts w:hAnsi="Calibri" w:cs="Times New Roman"/>
                <w:color w:val="000000" w:themeColor="text1"/>
                <w:kern w:val="2"/>
                <w:sz w:val="24"/>
                <w:szCs w:val="24"/>
                <w:highlight w:val="none"/>
                <w:lang w:val="en-US" w:bidi="ar-SA"/>
                <w14:textFill>
                  <w14:solidFill>
                    <w14:schemeClr w14:val="tx1"/>
                  </w14:solidFill>
                </w14:textFill>
              </w:rPr>
              <w:t> </w:t>
            </w:r>
            <w:r>
              <w:rPr>
                <w:color w:val="000000" w:themeColor="text1"/>
                <w:kern w:val="2"/>
                <w:sz w:val="24"/>
                <w:szCs w:val="24"/>
                <w:highlight w:val="none"/>
                <w:lang w:val="en-US" w:bidi="ar-SA"/>
                <w14:textFill>
                  <w14:solidFill>
                    <w14:schemeClr w14:val="tx1"/>
                  </w14:solidFill>
                </w14:textFill>
              </w:rPr>
              <w:t xml:space="preserve">    </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eastAsia="Times New Roman" w:cs="Times New Roman"/>
                <w:color w:val="000000" w:themeColor="text1"/>
                <w:kern w:val="2"/>
                <w:sz w:val="24"/>
                <w:szCs w:val="24"/>
                <w:highlight w:val="none"/>
                <w:lang w:val="en-US" w:bidi="ar-SA"/>
                <w14:textFill>
                  <w14:solidFill>
                    <w14:schemeClr w14:val="tx1"/>
                  </w14:solidFill>
                </w14:textFill>
              </w:rPr>
              <w:t>采用1.5mm模具成型41×92mm铝合金模具型材,金属表面经酸洗、磷化等化学防锈处理后,环氧树脂静电粉末喷涂,可配置多种功能型设施,如电源插座等。层数2层，高度750mm,层板两块:采用10mm优质钢化玻璃,可根据需要自由调节高度,两侧有防撞击、防止容器掉落等功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strike/>
                <w:color w:val="000000" w:themeColor="text1"/>
                <w:kern w:val="2"/>
                <w:sz w:val="24"/>
                <w:szCs w:val="24"/>
                <w:highlight w:val="none"/>
                <w:lang w:val="en-US" w:bidi="ar-SA"/>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（五）文件柜、试剂柜、储物柜、仪器柜、样品柜技术要求、材质等要求</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1.金属框架:</w:t>
            </w:r>
            <w:r>
              <w:rPr>
                <w:rFonts w:hint="eastAsia"/>
                <w:bCs/>
                <w:color w:val="000000" w:themeColor="text1"/>
                <w:sz w:val="24"/>
                <w:szCs w:val="24"/>
                <w:highlight w:val="none"/>
                <w14:textFill>
                  <w14:solidFill>
                    <w14:schemeClr w14:val="tx1"/>
                  </w14:solidFill>
                </w14:textFill>
              </w:rPr>
              <w:t>铝合金框架，采用27*27mm，厚1.0mm;铝合合型材，表面环氧树脂静电粉末喷涂、</w:t>
            </w:r>
          </w:p>
          <w:p>
            <w:pPr>
              <w:spacing w:line="360" w:lineRule="exac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防腐性好、紧密强固.</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2.柜体:</w:t>
            </w:r>
            <w:r>
              <w:rPr>
                <w:rFonts w:hint="eastAsia"/>
                <w:bCs/>
                <w:color w:val="000000" w:themeColor="text1"/>
                <w:sz w:val="24"/>
                <w:szCs w:val="24"/>
                <w:highlight w:val="none"/>
                <w14:textFill>
                  <w14:solidFill>
                    <w14:schemeClr w14:val="tx1"/>
                  </w14:solidFill>
                </w14:textFill>
              </w:rPr>
              <w:t>木质基材采用优质环保型E1级中密度板，厚18mm,双面粘压三聚氰胺防火板，采用高压蒸汽热熔粘贴技术，不起绉，不脱落，全部截面PVC热熔胶防水封边处理，热熔胶采用具有防腐、防火、防蛀等性能。</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3.柜门:木平开门:</w:t>
            </w:r>
            <w:r>
              <w:rPr>
                <w:rFonts w:hint="eastAsia"/>
                <w:bCs/>
                <w:color w:val="000000" w:themeColor="text1"/>
                <w:sz w:val="24"/>
                <w:szCs w:val="24"/>
                <w:highlight w:val="none"/>
                <w14:textFill>
                  <w14:solidFill>
                    <w14:schemeClr w14:val="tx1"/>
                  </w14:solidFill>
                </w14:textFill>
              </w:rPr>
              <w:t>木质基材采用优质环保型E1级中密度板，厚18mm，双面粘压三聚氰胺防火板，采用高压蒸汽热熔粘贴技术，不起绉，不脱落，全部截面PVC热熔胶防水封边处理，热熔胶采用具有防腐、防火、防蛀等性能。</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4.玻璃木框平开门: </w:t>
            </w:r>
            <w:r>
              <w:rPr>
                <w:rFonts w:hint="eastAsia"/>
                <w:bCs/>
                <w:color w:val="000000" w:themeColor="text1"/>
                <w:sz w:val="24"/>
                <w:szCs w:val="24"/>
                <w:highlight w:val="none"/>
                <w14:textFill>
                  <w14:solidFill>
                    <w14:schemeClr w14:val="tx1"/>
                  </w14:solidFill>
                </w14:textFill>
              </w:rPr>
              <w:t>5mm 玻璃国标，镶木门框，木质基材采用优质环保型E1级中密度板，厚15mm，双面粘压三聚氰胺防火板，所有板材裁面PVC热熔胶防水封边处理。</w:t>
            </w:r>
          </w:p>
          <w:p>
            <w:pPr>
              <w:widowControl/>
              <w:adjustRightInd w:val="0"/>
              <w:snapToGrid w:val="0"/>
              <w:spacing w:line="360" w:lineRule="auto"/>
              <w:jc w:val="both"/>
              <w:rPr>
                <w:bCs/>
                <w:color w:val="000000" w:themeColor="text1"/>
                <w:kern w:val="2"/>
                <w:sz w:val="24"/>
                <w:szCs w:val="24"/>
                <w:highlight w:val="none"/>
                <w:lang w:val="en-US" w:bidi="ar-SA"/>
                <w14:textFill>
                  <w14:solidFill>
                    <w14:schemeClr w14:val="tx1"/>
                  </w14:solidFill>
                </w14:textFill>
              </w:rPr>
            </w:pPr>
            <w:r>
              <w:rPr>
                <w:rFonts w:hint="eastAsia"/>
                <w:bCs/>
                <w:color w:val="000000" w:themeColor="text1"/>
                <w:kern w:val="2"/>
                <w:sz w:val="24"/>
                <w:szCs w:val="24"/>
                <w:highlight w:val="none"/>
                <w:lang w:val="en-US" w:bidi="ar-SA"/>
                <w14:textFill>
                  <w14:solidFill>
                    <w14:schemeClr w14:val="tx1"/>
                  </w14:solidFill>
                </w14:textFill>
              </w:rPr>
              <w:t>器皿柜层板采用进口亚克力板，厚5mm，拔采购人要求预留不同规格孔位，下端带高分子复合材质防水接液槽。</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5.滑轨:</w:t>
            </w:r>
            <w:r>
              <w:rPr>
                <w:rFonts w:hint="eastAsia"/>
                <w:bCs/>
                <w:color w:val="000000" w:themeColor="text1"/>
                <w:sz w:val="24"/>
                <w:szCs w:val="24"/>
                <w:highlight w:val="none"/>
                <w14:textFill>
                  <w14:solidFill>
                    <w14:schemeClr w14:val="tx1"/>
                  </w14:solidFill>
                </w14:textFill>
              </w:rPr>
              <w:t>采用国家优质品牌实验室专用三节静音滑轨，厚1.2mm，经高温喷防酸碱漆处理，能防酸碱，耐腐蚀，抽送轻滑无噪音，强度高，能正常使用五万次以上，长期负重不变形。.</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6.铰链:</w:t>
            </w:r>
            <w:r>
              <w:rPr>
                <w:rFonts w:hint="eastAsia"/>
                <w:bCs/>
                <w:color w:val="000000" w:themeColor="text1"/>
                <w:sz w:val="24"/>
                <w:szCs w:val="24"/>
                <w:highlight w:val="none"/>
                <w14:textFill>
                  <w14:solidFill>
                    <w14:schemeClr w14:val="tx1"/>
                  </w14:solidFill>
                </w14:textFill>
              </w:rPr>
              <w:t>采用钢制镀铬铰链，具有耐酸碱、抗腐蚀、承重力强、可承重75kg以上，耐磨损、永不生锈等优良性能:开起5万次以上无损坏:无噪音，不回弹，不折断。</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7.地脚:</w:t>
            </w:r>
            <w:r>
              <w:rPr>
                <w:rFonts w:hint="eastAsia"/>
                <w:bCs/>
                <w:color w:val="000000" w:themeColor="text1"/>
                <w:sz w:val="24"/>
                <w:szCs w:val="24"/>
                <w:highlight w:val="none"/>
                <w14:textFill>
                  <w14:solidFill>
                    <w14:schemeClr w14:val="tx1"/>
                  </w14:solidFill>
                </w14:textFill>
              </w:rPr>
              <w:t>采用尼龙地脚，具有抗酸碱，耐腐蚀，防滑减震，高低可调等功能，</w:t>
            </w:r>
          </w:p>
          <w:p>
            <w:pPr>
              <w:spacing w:line="360" w:lineRule="exac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可调高度30mm-50mm，带防尘套，美观大方。</w:t>
            </w:r>
          </w:p>
          <w:p>
            <w:pPr>
              <w:spacing w:line="360" w:lineRule="exact"/>
              <w:rPr>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8.螺丝:</w:t>
            </w:r>
            <w:r>
              <w:rPr>
                <w:rFonts w:hint="eastAsia"/>
                <w:bCs/>
                <w:color w:val="000000" w:themeColor="text1"/>
                <w:sz w:val="24"/>
                <w:szCs w:val="24"/>
                <w:highlight w:val="none"/>
                <w14:textFill>
                  <w14:solidFill>
                    <w14:schemeClr w14:val="tx1"/>
                  </w14:solidFill>
                </w14:textFill>
              </w:rPr>
              <w:t>采用钢制螺丝，牢固优质，且美观耐用。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rFonts w:eastAsia="Times New Roman" w:cs="Times New Roman"/>
                <w:b/>
                <w:bCs/>
                <w:strike/>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（六）器皿柜技术要求、材质等要求</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.铝木结构，</w:t>
            </w:r>
            <w:r>
              <w:rPr>
                <w:color w:val="000000" w:themeColor="text1"/>
                <w:kern w:val="2"/>
                <w:sz w:val="24"/>
                <w:szCs w:val="24"/>
                <w:highlight w:val="none"/>
                <w:lang w:val="en-US" w:bidi="ar-SA"/>
                <w14:textFill>
                  <w14:solidFill>
                    <w14:schemeClr w14:val="tx1"/>
                  </w14:solidFill>
                </w14:textFill>
              </w:rPr>
              <w:t>900mm*450mm*1800mm</w:t>
            </w:r>
            <w:r>
              <w:rPr>
                <w:rFonts w:hint="eastAsia"/>
                <w:color w:val="000000" w:themeColor="text1"/>
                <w:kern w:val="2"/>
                <w:sz w:val="24"/>
                <w:szCs w:val="24"/>
                <w:highlight w:val="none"/>
                <w:lang w:val="en-US" w:bidi="ar-SA"/>
                <w14:textFill>
                  <w14:solidFill>
                    <w14:schemeClr w14:val="tx1"/>
                  </w14:solidFill>
                </w14:textFill>
              </w:rPr>
              <w:t>，上下玻璃门，带活动层板。</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.采用实验室专用优质型铝合金框架结构，立柱尺寸为</w:t>
            </w:r>
            <w:r>
              <w:rPr>
                <w:color w:val="000000" w:themeColor="text1"/>
                <w:kern w:val="2"/>
                <w:sz w:val="24"/>
                <w:szCs w:val="24"/>
                <w:highlight w:val="none"/>
                <w:lang w:val="en-US" w:bidi="ar-SA"/>
                <w14:textFill>
                  <w14:solidFill>
                    <w14:schemeClr w14:val="tx1"/>
                  </w14:solidFill>
                </w14:textFill>
              </w:rPr>
              <w:t>27*27mm</w:t>
            </w:r>
            <w:r>
              <w:rPr>
                <w:rFonts w:hint="eastAsia"/>
                <w:color w:val="000000" w:themeColor="text1"/>
                <w:kern w:val="2"/>
                <w:sz w:val="24"/>
                <w:szCs w:val="24"/>
                <w:highlight w:val="none"/>
                <w:lang w:val="en-US" w:bidi="ar-SA"/>
                <w14:textFill>
                  <w14:solidFill>
                    <w14:schemeClr w14:val="tx1"/>
                  </w14:solidFill>
                </w14:textFill>
              </w:rPr>
              <w:t>，厚度为</w:t>
            </w:r>
            <w:r>
              <w:rPr>
                <w:color w:val="000000" w:themeColor="text1"/>
                <w:kern w:val="2"/>
                <w:sz w:val="24"/>
                <w:szCs w:val="24"/>
                <w:highlight w:val="none"/>
                <w:lang w:val="en-US" w:bidi="ar-SA"/>
                <w14:textFill>
                  <w14:solidFill>
                    <w14:schemeClr w14:val="tx1"/>
                  </w14:solidFill>
                </w14:textFill>
              </w:rPr>
              <w:t>1.0mm</w:t>
            </w:r>
            <w:r>
              <w:rPr>
                <w:rFonts w:hint="eastAsia"/>
                <w:color w:val="000000" w:themeColor="text1"/>
                <w:kern w:val="2"/>
                <w:sz w:val="24"/>
                <w:szCs w:val="24"/>
                <w:highlight w:val="none"/>
                <w:lang w:val="en-US" w:bidi="ar-SA"/>
                <w14:textFill>
                  <w14:solidFill>
                    <w14:schemeClr w14:val="tx1"/>
                  </w14:solidFill>
                </w14:textFill>
              </w:rPr>
              <w:t>，表面经防腐处理后喷涂环氧树酯高压静电粉沫，并高温加固，经高强度尼龙接插件连接。防腐、、美观、承载力强、易于拆迁。</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.箱体：箱体：基板采用</w:t>
            </w:r>
            <w:r>
              <w:rPr>
                <w:color w:val="000000" w:themeColor="text1"/>
                <w:kern w:val="2"/>
                <w:sz w:val="24"/>
                <w:szCs w:val="24"/>
                <w:highlight w:val="none"/>
                <w:lang w:val="en-US" w:bidi="ar-SA"/>
                <w14:textFill>
                  <w14:solidFill>
                    <w14:schemeClr w14:val="tx1"/>
                  </w14:solidFill>
                </w14:textFill>
              </w:rPr>
              <w:t>15mm</w:t>
            </w:r>
            <w:r>
              <w:rPr>
                <w:rFonts w:hint="eastAsia"/>
                <w:color w:val="000000" w:themeColor="text1"/>
                <w:kern w:val="2"/>
                <w:sz w:val="24"/>
                <w:szCs w:val="24"/>
                <w:highlight w:val="none"/>
                <w:lang w:val="en-US" w:bidi="ar-SA"/>
                <w14:textFill>
                  <w14:solidFill>
                    <w14:schemeClr w14:val="tx1"/>
                  </w14:solidFill>
                </w14:textFill>
              </w:rPr>
              <w:t>厚中纤板，表面粘三聚氰胺防火板。</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.层板：采用</w:t>
            </w:r>
            <w:r>
              <w:rPr>
                <w:color w:val="000000" w:themeColor="text1"/>
                <w:kern w:val="2"/>
                <w:sz w:val="24"/>
                <w:szCs w:val="24"/>
                <w:highlight w:val="none"/>
                <w:lang w:val="en-US" w:bidi="ar-SA"/>
                <w14:textFill>
                  <w14:solidFill>
                    <w14:schemeClr w14:val="tx1"/>
                  </w14:solidFill>
                </w14:textFill>
              </w:rPr>
              <w:t>5mm</w:t>
            </w:r>
            <w:r>
              <w:rPr>
                <w:rFonts w:hint="eastAsia"/>
                <w:color w:val="000000" w:themeColor="text1"/>
                <w:kern w:val="2"/>
                <w:sz w:val="24"/>
                <w:szCs w:val="24"/>
                <w:highlight w:val="none"/>
                <w:lang w:val="en-US" w:bidi="ar-SA"/>
                <w14:textFill>
                  <w14:solidFill>
                    <w14:schemeClr w14:val="tx1"/>
                  </w14:solidFill>
                </w14:textFill>
              </w:rPr>
              <w:t>厚抗贝特板，优质</w:t>
            </w:r>
            <w:r>
              <w:rPr>
                <w:color w:val="000000" w:themeColor="text1"/>
                <w:kern w:val="2"/>
                <w:sz w:val="24"/>
                <w:szCs w:val="24"/>
                <w:highlight w:val="none"/>
                <w:lang w:val="en-US" w:bidi="ar-SA"/>
                <w14:textFill>
                  <w14:solidFill>
                    <w14:schemeClr w14:val="tx1"/>
                  </w14:solidFill>
                </w14:textFill>
              </w:rPr>
              <w:t>15*15mm</w:t>
            </w:r>
            <w:r>
              <w:rPr>
                <w:rFonts w:hint="eastAsia"/>
                <w:color w:val="000000" w:themeColor="text1"/>
                <w:kern w:val="2"/>
                <w:sz w:val="24"/>
                <w:szCs w:val="24"/>
                <w:highlight w:val="none"/>
                <w:lang w:val="en-US" w:bidi="ar-SA"/>
                <w14:textFill>
                  <w14:solidFill>
                    <w14:schemeClr w14:val="tx1"/>
                  </w14:solidFill>
                </w14:textFill>
              </w:rPr>
              <w:t>铝合金边框，防止层板变形并加强层板的承重性能。</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5</w:t>
            </w:r>
            <w:r>
              <w:rPr>
                <w:rFonts w:hint="eastAsia"/>
                <w:color w:val="000000" w:themeColor="text1"/>
                <w:kern w:val="2"/>
                <w:sz w:val="24"/>
                <w:szCs w:val="24"/>
                <w:highlight w:val="none"/>
                <w:lang w:val="en-US" w:bidi="ar-SA"/>
                <w14:textFill>
                  <w14:solidFill>
                    <w14:schemeClr w14:val="tx1"/>
                  </w14:solidFill>
                </w14:textFill>
              </w:rPr>
              <w:t>.门板：玻璃门板采用</w:t>
            </w:r>
            <w:r>
              <w:rPr>
                <w:color w:val="000000" w:themeColor="text1"/>
                <w:kern w:val="2"/>
                <w:sz w:val="24"/>
                <w:szCs w:val="24"/>
                <w:highlight w:val="none"/>
                <w:lang w:val="en-US" w:bidi="ar-SA"/>
                <w14:textFill>
                  <w14:solidFill>
                    <w14:schemeClr w14:val="tx1"/>
                  </w14:solidFill>
                </w14:textFill>
              </w:rPr>
              <w:t>18mm</w:t>
            </w:r>
            <w:r>
              <w:rPr>
                <w:rFonts w:hint="eastAsia"/>
                <w:color w:val="000000" w:themeColor="text1"/>
                <w:kern w:val="2"/>
                <w:sz w:val="24"/>
                <w:szCs w:val="24"/>
                <w:highlight w:val="none"/>
                <w:lang w:val="en-US" w:bidi="ar-SA"/>
                <w14:textFill>
                  <w14:solidFill>
                    <w14:schemeClr w14:val="tx1"/>
                  </w14:solidFill>
                </w14:textFill>
              </w:rPr>
              <w:t>优质中纤板，镶嵌</w:t>
            </w:r>
            <w:r>
              <w:rPr>
                <w:color w:val="000000" w:themeColor="text1"/>
                <w:kern w:val="2"/>
                <w:sz w:val="24"/>
                <w:szCs w:val="24"/>
                <w:highlight w:val="none"/>
                <w:lang w:val="en-US" w:bidi="ar-SA"/>
                <w14:textFill>
                  <w14:solidFill>
                    <w14:schemeClr w14:val="tx1"/>
                  </w14:solidFill>
                </w14:textFill>
              </w:rPr>
              <w:t>5mm</w:t>
            </w:r>
            <w:r>
              <w:rPr>
                <w:rFonts w:hint="eastAsia"/>
                <w:color w:val="000000" w:themeColor="text1"/>
                <w:kern w:val="2"/>
                <w:sz w:val="24"/>
                <w:szCs w:val="24"/>
                <w:highlight w:val="none"/>
                <w:lang w:val="en-US" w:bidi="ar-SA"/>
                <w14:textFill>
                  <w14:solidFill>
                    <w14:schemeClr w14:val="tx1"/>
                  </w14:solidFill>
                </w14:textFill>
              </w:rPr>
              <w:t>厚透明玻璃。</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.柜体下面配</w:t>
            </w:r>
            <w:r>
              <w:rPr>
                <w:color w:val="000000" w:themeColor="text1"/>
                <w:kern w:val="2"/>
                <w:sz w:val="24"/>
                <w:szCs w:val="24"/>
                <w:highlight w:val="none"/>
                <w:lang w:val="en-US" w:bidi="ar-SA"/>
                <w14:textFill>
                  <w14:solidFill>
                    <w14:schemeClr w14:val="tx1"/>
                  </w14:solidFill>
                </w14:textFill>
              </w:rPr>
              <w:t>PP</w:t>
            </w:r>
            <w:r>
              <w:rPr>
                <w:rFonts w:hint="eastAsia"/>
                <w:color w:val="000000" w:themeColor="text1"/>
                <w:kern w:val="2"/>
                <w:sz w:val="24"/>
                <w:szCs w:val="24"/>
                <w:highlight w:val="none"/>
                <w:lang w:val="en-US" w:bidi="ar-SA"/>
                <w14:textFill>
                  <w14:solidFill>
                    <w14:schemeClr w14:val="tx1"/>
                  </w14:solidFill>
                </w14:textFill>
              </w:rPr>
              <w:t>接液槽。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rFonts w:ascii="Calibri" w:hAnsi="Calibri" w:cs="Calibri"/>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（七）办公桌技术要求、材质等要求</w:t>
            </w:r>
          </w:p>
          <w:p>
            <w:pPr>
              <w:widowControl/>
              <w:adjustRightInd w:val="0"/>
              <w:snapToGrid w:val="0"/>
              <w:spacing w:line="360" w:lineRule="auto"/>
              <w:jc w:val="both"/>
              <w:rPr>
                <w:rFonts w:hAnsi="Calibri" w:cs="Times New Roman"/>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1.尺寸偏差：</w:t>
            </w:r>
            <w:r>
              <w:rPr>
                <w:rFonts w:hint="eastAsia" w:hAnsi="Calibri" w:cs="Times New Roman"/>
                <w:color w:val="000000" w:themeColor="text1"/>
                <w:sz w:val="24"/>
                <w:szCs w:val="24"/>
                <w:highlight w:val="none"/>
                <w:lang w:val="en-US" w:bidi="ar-SA"/>
                <w14:textFill>
                  <w14:solidFill>
                    <w14:schemeClr w14:val="tx1"/>
                  </w14:solidFill>
                </w14:textFill>
              </w:rPr>
              <w:t>不得超过±5.0mm；</w:t>
            </w:r>
          </w:p>
          <w:p>
            <w:pPr>
              <w:widowControl/>
              <w:adjustRightInd w:val="0"/>
              <w:snapToGrid w:val="0"/>
              <w:spacing w:line="360" w:lineRule="auto"/>
              <w:jc w:val="both"/>
              <w:rPr>
                <w:rFonts w:hAnsi="Calibri" w:cs="Times New Roman"/>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2.颜色：</w:t>
            </w:r>
            <w:r>
              <w:rPr>
                <w:rFonts w:hint="eastAsia" w:hAnsi="Calibri" w:cs="Times New Roman"/>
                <w:color w:val="000000" w:themeColor="text1"/>
                <w:sz w:val="24"/>
                <w:szCs w:val="24"/>
                <w:highlight w:val="none"/>
                <w:lang w:val="en-US" w:bidi="ar-SA"/>
                <w14:textFill>
                  <w14:solidFill>
                    <w14:schemeClr w14:val="tx1"/>
                  </w14:solidFill>
                </w14:textFill>
              </w:rPr>
              <w:t>欧橡色；</w:t>
            </w:r>
          </w:p>
          <w:p>
            <w:pPr>
              <w:widowControl/>
              <w:adjustRightInd w:val="0"/>
              <w:snapToGrid w:val="0"/>
              <w:spacing w:line="360" w:lineRule="auto"/>
              <w:jc w:val="both"/>
              <w:rPr>
                <w:rFonts w:hAnsi="Calibri" w:cs="Times New Roman"/>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3.材料：</w:t>
            </w:r>
            <w:r>
              <w:rPr>
                <w:rFonts w:hint="eastAsia" w:hAnsi="Calibri" w:cs="Times New Roman"/>
                <w:color w:val="000000" w:themeColor="text1"/>
                <w:sz w:val="24"/>
                <w:szCs w:val="24"/>
                <w:highlight w:val="none"/>
                <w:lang w:val="en-US" w:bidi="ar-SA"/>
                <w14:textFill>
                  <w14:solidFill>
                    <w14:schemeClr w14:val="tx1"/>
                  </w14:solidFill>
                </w14:textFill>
              </w:rPr>
              <w:t>基材采用优质三聚氰胺密度板，板材符合国标标准，台面四周加厚为40mm，板材经过防潮、防虫、防腐等化学处理，桌面耐液体化学试剂性能按GB/T11547的规定试验后，表面光泽或颜色无明显变化。表面耐划痕≥1.5N；甲醛释放量≤2mg/100g,符合国家环保标准， 真正达到趋于0甲醛释放量，环保安全；</w:t>
            </w:r>
          </w:p>
          <w:p>
            <w:pPr>
              <w:widowControl/>
              <w:adjustRightInd w:val="0"/>
              <w:snapToGrid w:val="0"/>
              <w:spacing w:line="360" w:lineRule="auto"/>
              <w:jc w:val="both"/>
              <w:rPr>
                <w:rFonts w:hAnsi="Calibri" w:cs="Times New Roman"/>
                <w:b/>
                <w:bCs/>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4.封边：台面采用双色一体成型PVC铝箔封边，厚度≥1.4mm；PVC由外贴拉丝型铝箔而成，上部封边与桌面颜色保持一致且高度为7mm，下部封边为拉丝铝箔金属色且高度为33mm，由两种颜色组成的上下封边设计为一体成型的PVC，其他板材采用同色不小于1.4mm的PVC材质封边；封边工艺采用全自动化机器封边技术，防潮、防晒、耐腐蚀、耐氧化、不易脱落、经久耐用、表面光滑平整，无皱褶无波浪形，防水性能经水滴试验无渗透，封边厚度达1.4mm，经磨边处理。</w:t>
            </w:r>
            <w:r>
              <w:rPr>
                <w:rFonts w:hint="eastAsia" w:ascii="Calibri" w:cs="Times New Roman"/>
                <w:b/>
                <w:bCs/>
                <w:color w:val="000000" w:themeColor="text1"/>
                <w:sz w:val="24"/>
                <w:szCs w:val="24"/>
                <w:highlight w:val="none"/>
                <w:lang w:val="en-US" w:bidi="ar-SA"/>
                <w14:textFill>
                  <w14:solidFill>
                    <w14:schemeClr w14:val="tx1"/>
                  </w14:solidFill>
                </w14:textFill>
              </w:rPr>
              <w:t>（</w:t>
            </w:r>
            <w:r>
              <w:rPr>
                <w:rFonts w:hint="eastAsia" w:hAnsi="Calibri" w:cs="Times New Roman"/>
                <w:b/>
                <w:bCs/>
                <w:color w:val="000000" w:themeColor="text1"/>
                <w:sz w:val="24"/>
                <w:szCs w:val="24"/>
                <w:highlight w:val="none"/>
                <w:lang w:val="en-US" w:bidi="ar-SA"/>
                <w14:textFill>
                  <w14:solidFill>
                    <w14:schemeClr w14:val="tx1"/>
                  </w14:solidFill>
                </w14:textFill>
              </w:rPr>
              <w:t>投标时须提供2018年以来双色封边的检测报告复印件并加盖生产厂家公章，检测内容至少包含：总宽、铝箔边宽、木纹边宽及厚度的符合性检测）。</w:t>
            </w:r>
          </w:p>
          <w:p>
            <w:pPr>
              <w:widowControl/>
              <w:adjustRightInd w:val="0"/>
              <w:snapToGrid w:val="0"/>
              <w:spacing w:line="360" w:lineRule="auto"/>
              <w:jc w:val="both"/>
              <w:rPr>
                <w:rFonts w:hAnsi="Calibri" w:cs="Times New Roman"/>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5.配件：</w:t>
            </w:r>
            <w:r>
              <w:rPr>
                <w:rFonts w:hint="eastAsia" w:hAnsi="Calibri" w:cs="Times New Roman"/>
                <w:color w:val="000000" w:themeColor="text1"/>
                <w:sz w:val="24"/>
                <w:szCs w:val="24"/>
                <w:highlight w:val="none"/>
                <w:lang w:val="en-US" w:bidi="ar-SA"/>
                <w14:textFill>
                  <w14:solidFill>
                    <w14:schemeClr w14:val="tx1"/>
                  </w14:solidFill>
                </w14:textFill>
              </w:rPr>
              <w:t>抽屉采用高质三节豪华导轨及高级柜门液压阻尼荷叶门铰链；一字型铝合金拉手，优质三抽锁；一边为加大型三抽柜，一边为主机柜。</w:t>
            </w:r>
          </w:p>
          <w:p>
            <w:pPr>
              <w:widowControl/>
              <w:adjustRightInd w:val="0"/>
              <w:snapToGrid w:val="0"/>
              <w:spacing w:line="360" w:lineRule="auto"/>
              <w:jc w:val="both"/>
              <w:rPr>
                <w:rFonts w:hAnsi="Calibri" w:cs="Times New Roman"/>
                <w:color w:val="000000" w:themeColor="text1"/>
                <w:sz w:val="24"/>
                <w:szCs w:val="24"/>
                <w:highlight w:val="none"/>
                <w:lang w:val="en-US" w:bidi="ar-SA"/>
                <w14:textFill>
                  <w14:solidFill>
                    <w14:schemeClr w14:val="tx1"/>
                  </w14:solidFill>
                </w14:textFill>
              </w:rPr>
            </w:pPr>
            <w:r>
              <w:rPr>
                <w:rFonts w:hint="eastAsia" w:hAnsi="Calibri" w:cs="Times New Roman"/>
                <w:b/>
                <w:bCs/>
                <w:color w:val="000000" w:themeColor="text1"/>
                <w:sz w:val="24"/>
                <w:szCs w:val="24"/>
                <w:highlight w:val="none"/>
                <w:lang w:val="en-US" w:bidi="ar-SA"/>
                <w14:textFill>
                  <w14:solidFill>
                    <w14:schemeClr w14:val="tx1"/>
                  </w14:solidFill>
                </w14:textFill>
              </w:rPr>
              <w:t>6.柜体设计：</w:t>
            </w:r>
            <w:r>
              <w:rPr>
                <w:rFonts w:hint="eastAsia" w:hAnsi="Calibri" w:cs="Times New Roman"/>
                <w:color w:val="000000" w:themeColor="text1"/>
                <w:sz w:val="24"/>
                <w:szCs w:val="24"/>
                <w:highlight w:val="none"/>
                <w:lang w:val="en-US" w:bidi="ar-SA"/>
                <w14:textFill>
                  <w14:solidFill>
                    <w14:schemeClr w14:val="tx1"/>
                  </w14:solidFill>
                </w14:textFill>
              </w:rPr>
              <w:t>在桌子右边配套主机柜，左边为带锁三抽柜，木制键盘架，欧橡与暖白色搭配组合。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ascii="Calibri" w:hAnsi="Calibri" w:cs="Calibri"/>
                <w:color w:val="000000" w:themeColor="text1"/>
                <w:kern w:val="2"/>
                <w:sz w:val="24"/>
                <w:szCs w:val="24"/>
                <w:highlight w:val="none"/>
                <w:lang w:val="en-US" w:bidi="ar-SA"/>
                <w14:textFill>
                  <w14:solidFill>
                    <w14:schemeClr w14:val="tx1"/>
                  </w14:solidFill>
                </w14:textFill>
              </w:rPr>
              <w:t>（八）</w:t>
            </w:r>
            <w:r>
              <w:rPr>
                <w:rFonts w:hint="eastAsia"/>
                <w:b/>
                <w:bCs/>
                <w:color w:val="000000" w:themeColor="text1"/>
                <w:kern w:val="2"/>
                <w:sz w:val="24"/>
                <w:szCs w:val="24"/>
                <w:highlight w:val="none"/>
                <w:lang w:val="en-US" w:bidi="ar-SA"/>
                <w14:textFill>
                  <w14:solidFill>
                    <w14:schemeClr w14:val="tx1"/>
                  </w14:solidFill>
                </w14:textFill>
              </w:rPr>
              <w:t>洗眼器：</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.主体：加厚铜质。</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.涂层：高亮度环氧树脂涂层，耐腐蚀、耐热，防紫外线辐射。</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.喷淋头：软性橡胶，出水经缓压处理呈泡沫状水柱，防止冲伤眼睛。</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.防尘盖：平常可防尘，使用时自动被水冲开，并降低突然打开时短暂的高水压，防止冲伤眼睛，同时具链条与护杯连结可防脱落。</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rFonts w:hint="eastAsia" w:hAnsi="Calibri" w:cs="Times New Roman"/>
                <w:color w:val="000000" w:themeColor="text1"/>
                <w:kern w:val="2"/>
                <w:sz w:val="24"/>
                <w:szCs w:val="24"/>
                <w:highlight w:val="none"/>
                <w:lang w:val="en-US" w:bidi="ar-SA"/>
                <w14:textFill>
                  <w14:solidFill>
                    <w14:schemeClr w14:val="tx1"/>
                  </w14:solidFill>
                </w14:textFill>
              </w:rPr>
              <w:t>5</w:t>
            </w:r>
            <w:r>
              <w:rPr>
                <w:rFonts w:hAnsi="Calibri" w:cs="Times New Roman"/>
                <w:color w:val="000000" w:themeColor="text1"/>
                <w:kern w:val="2"/>
                <w:sz w:val="24"/>
                <w:szCs w:val="24"/>
                <w:highlight w:val="none"/>
                <w:lang w:val="en-US" w:bidi="ar-SA"/>
                <w14:textFill>
                  <w14:solidFill>
                    <w14:schemeClr w14:val="tx1"/>
                  </w14:solidFill>
                </w14:textFill>
              </w:rPr>
              <w:t>.</w:t>
            </w:r>
            <w:r>
              <w:rPr>
                <w:rFonts w:hint="eastAsia" w:hAnsi="Calibri" w:cs="Times New Roman"/>
                <w:color w:val="000000" w:themeColor="text1"/>
                <w:kern w:val="2"/>
                <w:sz w:val="24"/>
                <w:szCs w:val="24"/>
                <w:highlight w:val="none"/>
                <w:lang w:val="en-US" w:bidi="ar-SA"/>
                <w14:textFill>
                  <w14:solidFill>
                    <w14:schemeClr w14:val="tx1"/>
                  </w14:solidFill>
                </w14:textFill>
              </w:rPr>
              <w:t>供水软管长度1.4米，软性PVC管外覆不锈钢网，外层包裹PE管有效防止生锈、渗漏。</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6</w:t>
            </w:r>
            <w:r>
              <w:rPr>
                <w:rFonts w:hint="eastAsia"/>
                <w:color w:val="000000" w:themeColor="text1"/>
                <w:kern w:val="2"/>
                <w:sz w:val="24"/>
                <w:szCs w:val="24"/>
                <w:highlight w:val="none"/>
                <w:lang w:val="en-US" w:bidi="ar-SA"/>
                <w14:textFill>
                  <w14:solidFill>
                    <w14:schemeClr w14:val="tx1"/>
                  </w14:solidFill>
                </w14:textFill>
              </w:rPr>
              <w:t>.最大耐水压：</w:t>
            </w:r>
            <w:r>
              <w:rPr>
                <w:color w:val="000000" w:themeColor="text1"/>
                <w:kern w:val="2"/>
                <w:sz w:val="24"/>
                <w:szCs w:val="24"/>
                <w:highlight w:val="none"/>
                <w:lang w:val="en-US" w:bidi="ar-SA"/>
                <w14:textFill>
                  <w14:solidFill>
                    <w14:schemeClr w14:val="tx1"/>
                  </w14:solidFill>
                </w14:textFill>
              </w:rPr>
              <w:t>7</w:t>
            </w:r>
            <w:r>
              <w:rPr>
                <w:rFonts w:hint="eastAsia"/>
                <w:color w:val="000000" w:themeColor="text1"/>
                <w:kern w:val="2"/>
                <w:sz w:val="24"/>
                <w:szCs w:val="24"/>
                <w:highlight w:val="none"/>
                <w:lang w:val="en-US" w:bidi="ar-SA"/>
                <w14:textFill>
                  <w14:solidFill>
                    <w14:schemeClr w14:val="tx1"/>
                  </w14:solidFill>
                </w14:textFill>
              </w:rPr>
              <w:t>巴。</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7</w:t>
            </w:r>
            <w:r>
              <w:rPr>
                <w:rFonts w:hint="eastAsia"/>
                <w:color w:val="000000" w:themeColor="text1"/>
                <w:kern w:val="2"/>
                <w:sz w:val="24"/>
                <w:szCs w:val="24"/>
                <w:highlight w:val="none"/>
                <w:lang w:val="en-US" w:bidi="ar-SA"/>
                <w14:textFill>
                  <w14:solidFill>
                    <w14:schemeClr w14:val="tx1"/>
                  </w14:solidFill>
                </w14:textFill>
              </w:rPr>
              <w:t>.安装方式：台式安装。</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8</w:t>
            </w:r>
            <w:r>
              <w:rPr>
                <w:rFonts w:hint="eastAsia"/>
                <w:color w:val="000000" w:themeColor="text1"/>
                <w:kern w:val="2"/>
                <w:sz w:val="24"/>
                <w:szCs w:val="24"/>
                <w:highlight w:val="none"/>
                <w:lang w:val="en-US" w:bidi="ar-SA"/>
                <w14:textFill>
                  <w14:solidFill>
                    <w14:schemeClr w14:val="tx1"/>
                  </w14:solidFill>
                </w14:textFill>
              </w:rPr>
              <w:t>.控水阀：止逆阀，其闭门可自动关闭。</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0</w:t>
            </w:r>
            <w:r>
              <w:rPr>
                <w:color w:val="000000" w:themeColor="text1"/>
                <w:kern w:val="2"/>
                <w:sz w:val="24"/>
                <w:szCs w:val="24"/>
                <w:highlight w:val="none"/>
                <w:lang w:val="en-US" w:bidi="ar-SA"/>
                <w14:textFill>
                  <w14:solidFill>
                    <w14:schemeClr w14:val="tx1"/>
                  </w14:solidFill>
                </w14:textFill>
              </w:rPr>
              <w:t>.</w:t>
            </w:r>
            <w:r>
              <w:rPr>
                <w:rFonts w:hint="eastAsia" w:ascii="Calibri" w:hAnsi="Calibri" w:cs="Calibri"/>
                <w:color w:val="000000" w:themeColor="text1"/>
                <w:kern w:val="2"/>
                <w:sz w:val="24"/>
                <w:szCs w:val="24"/>
                <w:highlight w:val="none"/>
                <w:lang w:val="en-US" w:bidi="ar-SA"/>
                <w14:textFill>
                  <w14:solidFill>
                    <w14:schemeClr w14:val="tx1"/>
                  </w14:solidFill>
                </w14:textFill>
              </w:rPr>
              <w:t xml:space="preserve"> </w:t>
            </w:r>
            <w:r>
              <w:rPr>
                <w:rFonts w:hint="eastAsia"/>
                <w:color w:val="000000" w:themeColor="text1"/>
                <w:kern w:val="2"/>
                <w:sz w:val="24"/>
                <w:szCs w:val="24"/>
                <w:highlight w:val="none"/>
                <w:lang w:val="en-US" w:bidi="ar-SA"/>
                <w14:textFill>
                  <w14:solidFill>
                    <w14:schemeClr w14:val="tx1"/>
                  </w14:solidFill>
                </w14:textFill>
              </w:rPr>
              <w:t>最大耐水压：0.6mpa。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strike/>
                <w:color w:val="000000" w:themeColor="text1"/>
                <w:kern w:val="2"/>
                <w:sz w:val="24"/>
                <w:szCs w:val="24"/>
                <w:highlight w:val="none"/>
                <w:lang w:val="en-US" w:bidi="ar-SA"/>
                <w14:textFill>
                  <w14:solidFill>
                    <w14:schemeClr w14:val="tx1"/>
                  </w14:solidFill>
                </w14:textFill>
              </w:rPr>
            </w:pP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九</w:t>
            </w:r>
            <w:r>
              <w:rPr>
                <w:b/>
                <w:bCs/>
                <w:color w:val="000000" w:themeColor="text1"/>
                <w:kern w:val="2"/>
                <w:sz w:val="24"/>
                <w:szCs w:val="24"/>
                <w:highlight w:val="none"/>
                <w:lang w:val="en-US" w:bidi="ar-SA"/>
                <w14:textFill>
                  <w14:solidFill>
                    <w14:schemeClr w14:val="tx1"/>
                  </w14:solidFill>
                </w14:textFill>
              </w:rPr>
              <w:t>）</w:t>
            </w:r>
            <w:r>
              <w:rPr>
                <w:rFonts w:hint="eastAsia"/>
                <w:b/>
                <w:bCs/>
                <w:color w:val="000000" w:themeColor="text1"/>
                <w:kern w:val="2"/>
                <w:sz w:val="24"/>
                <w:szCs w:val="24"/>
                <w:highlight w:val="none"/>
                <w:lang w:val="en-US" w:bidi="ar-SA"/>
                <w14:textFill>
                  <w14:solidFill>
                    <w14:schemeClr w14:val="tx1"/>
                  </w14:solidFill>
                </w14:textFill>
              </w:rPr>
              <w:t>万向排气罩：</w:t>
            </w:r>
          </w:p>
          <w:p>
            <w:pPr>
              <w:spacing w:line="360" w:lineRule="auto"/>
              <w:rPr>
                <w:color w:val="000000" w:themeColor="text1"/>
                <w:sz w:val="24"/>
                <w:highlight w:val="none"/>
                <w14:textFill>
                  <w14:solidFill>
                    <w14:schemeClr w14:val="tx1"/>
                  </w14:solidFill>
                </w14:textFill>
              </w:rPr>
            </w:pPr>
            <w:r>
              <w:rPr>
                <w:color w:val="000000" w:themeColor="text1"/>
                <w:sz w:val="24"/>
                <w:highlight w:val="none"/>
                <w:lang w:val="en-US"/>
                <w14:textFill>
                  <w14:solidFill>
                    <w14:schemeClr w14:val="tx1"/>
                  </w14:solidFill>
                </w14:textFill>
              </w:rPr>
              <w:t>1.</w:t>
            </w:r>
            <w:r>
              <w:rPr>
                <w:rFonts w:hint="eastAsia"/>
                <w:color w:val="000000" w:themeColor="text1"/>
                <w:sz w:val="24"/>
                <w:highlight w:val="none"/>
                <w14:textFill>
                  <w14:solidFill>
                    <w14:schemeClr w14:val="tx1"/>
                  </w14:solidFill>
                </w14:textFill>
              </w:rPr>
              <w:t>关节：高密度PP材质</w:t>
            </w:r>
          </w:p>
          <w:p>
            <w:pPr>
              <w:spacing w:line="360" w:lineRule="auto"/>
              <w:rPr>
                <w:color w:val="000000" w:themeColor="text1"/>
                <w:sz w:val="24"/>
                <w:highlight w:val="none"/>
                <w14:textFill>
                  <w14:solidFill>
                    <w14:schemeClr w14:val="tx1"/>
                  </w14:solidFill>
                </w14:textFill>
              </w:rPr>
            </w:pPr>
            <w:r>
              <w:rPr>
                <w:color w:val="000000" w:themeColor="text1"/>
                <w:sz w:val="24"/>
                <w:highlight w:val="none"/>
                <w:lang w:val="en-US"/>
                <w14:textFill>
                  <w14:solidFill>
                    <w14:schemeClr w14:val="tx1"/>
                  </w14:solidFill>
                </w14:textFill>
              </w:rPr>
              <w:t>2.</w:t>
            </w:r>
            <w:r>
              <w:rPr>
                <w:rFonts w:hint="eastAsia"/>
                <w:color w:val="000000" w:themeColor="text1"/>
                <w:sz w:val="24"/>
                <w:highlight w:val="none"/>
                <w14:textFill>
                  <w14:solidFill>
                    <w14:schemeClr w14:val="tx1"/>
                  </w14:solidFill>
                </w14:textFill>
              </w:rPr>
              <w:t>关节连接杆：304不锈钢</w:t>
            </w:r>
          </w:p>
          <w:p>
            <w:pPr>
              <w:spacing w:line="360" w:lineRule="auto"/>
              <w:rPr>
                <w:color w:val="000000" w:themeColor="text1"/>
                <w:sz w:val="24"/>
                <w:highlight w:val="none"/>
                <w14:textFill>
                  <w14:solidFill>
                    <w14:schemeClr w14:val="tx1"/>
                  </w14:solidFill>
                </w14:textFill>
              </w:rPr>
            </w:pPr>
            <w:r>
              <w:rPr>
                <w:color w:val="000000" w:themeColor="text1"/>
                <w:sz w:val="24"/>
                <w:highlight w:val="none"/>
                <w:lang w:val="en-US"/>
                <w14:textFill>
                  <w14:solidFill>
                    <w14:schemeClr w14:val="tx1"/>
                  </w14:solidFill>
                </w14:textFill>
              </w:rPr>
              <w:t>3.</w:t>
            </w:r>
            <w:r>
              <w:rPr>
                <w:rFonts w:hint="eastAsia"/>
                <w:color w:val="000000" w:themeColor="text1"/>
                <w:sz w:val="24"/>
                <w:highlight w:val="none"/>
                <w14:textFill>
                  <w14:solidFill>
                    <w14:schemeClr w14:val="tx1"/>
                  </w14:solidFill>
                </w14:textFill>
              </w:rPr>
              <w:t>关节松紧旋钮：高密度PP材质，内嵌不锈钢推力轴承，与关节连接杆锁合，</w:t>
            </w:r>
          </w:p>
          <w:p>
            <w:pPr>
              <w:spacing w:line="360" w:lineRule="auto"/>
              <w:rPr>
                <w:color w:val="000000" w:themeColor="text1"/>
                <w:sz w:val="24"/>
                <w:highlight w:val="none"/>
                <w14:textFill>
                  <w14:solidFill>
                    <w14:schemeClr w14:val="tx1"/>
                  </w14:solidFill>
                </w14:textFill>
              </w:rPr>
            </w:pPr>
            <w:r>
              <w:rPr>
                <w:color w:val="000000" w:themeColor="text1"/>
                <w:sz w:val="24"/>
                <w:highlight w:val="none"/>
                <w:lang w:val="en-US"/>
                <w14:textFill>
                  <w14:solidFill>
                    <w14:schemeClr w14:val="tx1"/>
                  </w14:solidFill>
                </w14:textFill>
              </w:rPr>
              <w:t>4.</w:t>
            </w:r>
            <w:r>
              <w:rPr>
                <w:rFonts w:hint="eastAsia"/>
                <w:color w:val="000000" w:themeColor="text1"/>
                <w:sz w:val="24"/>
                <w:highlight w:val="none"/>
                <w14:textFill>
                  <w14:solidFill>
                    <w14:schemeClr w14:val="tx1"/>
                  </w14:solidFill>
                </w14:textFill>
              </w:rPr>
              <w:t>气流调节阀：调节阀挡风板设在罩口与管连接处，调节精度高，调节钮在罩口侧壁，操作方便，</w:t>
            </w:r>
          </w:p>
          <w:p>
            <w:pPr>
              <w:spacing w:line="360" w:lineRule="auto"/>
              <w:rPr>
                <w:color w:val="000000" w:themeColor="text1"/>
                <w:sz w:val="24"/>
                <w:highlight w:val="none"/>
                <w14:textFill>
                  <w14:solidFill>
                    <w14:schemeClr w14:val="tx1"/>
                  </w14:solidFill>
                </w14:textFill>
              </w:rPr>
            </w:pPr>
            <w:r>
              <w:rPr>
                <w:color w:val="000000" w:themeColor="text1"/>
                <w:sz w:val="24"/>
                <w:highlight w:val="none"/>
                <w:lang w:val="en-US"/>
                <w14:textFill>
                  <w14:solidFill>
                    <w14:schemeClr w14:val="tx1"/>
                  </w14:solidFill>
                </w14:textFill>
              </w:rPr>
              <w:t>5.</w:t>
            </w:r>
            <w:r>
              <w:rPr>
                <w:rFonts w:hint="eastAsia"/>
                <w:color w:val="000000" w:themeColor="text1"/>
                <w:sz w:val="24"/>
                <w:highlight w:val="none"/>
                <w14:textFill>
                  <w14:solidFill>
                    <w14:schemeClr w14:val="tx1"/>
                  </w14:solidFill>
                </w14:textFill>
              </w:rPr>
              <w:t>拱形罩口：直径375mm。伸缩导管直径75mm,加厚圆底座，模具注塑一体成型，牢度强，不脱底。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（十）原子吸收罩</w:t>
            </w:r>
            <w:r>
              <w:rPr>
                <w:rFonts w:hint="eastAsia"/>
                <w:color w:val="000000" w:themeColor="text1"/>
                <w:kern w:val="2"/>
                <w:sz w:val="24"/>
                <w:szCs w:val="24"/>
                <w:highlight w:val="none"/>
                <w:lang w:val="en-US" w:bidi="ar-SA"/>
                <w14:textFill>
                  <w14:solidFill>
                    <w14:schemeClr w14:val="tx1"/>
                  </w14:solidFill>
                </w14:textFill>
              </w:rPr>
              <w:t>：</w:t>
            </w:r>
          </w:p>
          <w:p>
            <w:pPr>
              <w:autoSpaceDE/>
              <w:autoSpaceDN/>
              <w:spacing w:before="240" w:after="240" w:line="360" w:lineRule="auto"/>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采用</w:t>
            </w:r>
            <w:r>
              <w:rPr>
                <w:color w:val="000000" w:themeColor="text1"/>
                <w:kern w:val="2"/>
                <w:sz w:val="24"/>
                <w:szCs w:val="24"/>
                <w:highlight w:val="none"/>
                <w:lang w:val="en-US" w:bidi="ar-SA"/>
                <w14:textFill>
                  <w14:solidFill>
                    <w14:schemeClr w14:val="tx1"/>
                  </w14:solidFill>
                </w14:textFill>
              </w:rPr>
              <w:t>304#</w:t>
            </w:r>
            <w:r>
              <w:rPr>
                <w:rFonts w:hint="eastAsia"/>
                <w:color w:val="000000" w:themeColor="text1"/>
                <w:kern w:val="2"/>
                <w:sz w:val="24"/>
                <w:szCs w:val="24"/>
                <w:highlight w:val="none"/>
                <w:lang w:val="en-US" w:bidi="ar-SA"/>
                <w14:textFill>
                  <w14:solidFill>
                    <w14:schemeClr w14:val="tx1"/>
                  </w14:solidFill>
                </w14:textFill>
              </w:rPr>
              <w:t>不锈钢材料制作，经冲压、折弯、焊接而成，衔接牢固，接缝光滑，无毛刺。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center"/>
          </w:tcPr>
          <w:p>
            <w:pPr>
              <w:autoSpaceDE/>
              <w:autoSpaceDN/>
              <w:spacing w:before="240" w:after="240" w:line="360" w:lineRule="auto"/>
              <w:ind w:right="720"/>
              <w:jc w:val="both"/>
              <w:rPr>
                <w:b/>
                <w:color w:val="000000" w:themeColor="text1"/>
                <w:sz w:val="24"/>
                <w:highlight w:val="none"/>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（十一）滴水架及铝玻试剂架：</w:t>
            </w:r>
            <w:r>
              <w:rPr>
                <w:rFonts w:hAnsi="Calibri" w:cs="Times New Roman"/>
                <w:color w:val="000000" w:themeColor="text1"/>
                <w:kern w:val="2"/>
                <w:sz w:val="24"/>
                <w:szCs w:val="24"/>
                <w:highlight w:val="none"/>
                <w:lang w:val="en-US" w:bidi="ar-SA"/>
                <w14:textFill>
                  <w14:solidFill>
                    <w14:schemeClr w14:val="tx1"/>
                  </w14:solidFill>
                </w14:textFill>
              </w:rPr>
              <w:br w:type="textWrapping"/>
            </w:r>
            <w:r>
              <w:rPr>
                <w:rFonts w:hint="eastAsia"/>
                <w:b/>
                <w:color w:val="000000" w:themeColor="text1"/>
                <w:sz w:val="24"/>
                <w:highlight w:val="none"/>
                <w14:textFill>
                  <w14:solidFill>
                    <w14:schemeClr w14:val="tx1"/>
                  </w14:solidFill>
                </w14:textFill>
              </w:rPr>
              <w:t>1.滴水架：</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高密度PP材质底部托盘中间设有排水孔，27根滴水棒可任意拆除，方便使用。</w:t>
            </w:r>
          </w:p>
          <w:p>
            <w:pPr>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2.铝玻试剂架：</w:t>
            </w:r>
          </w:p>
          <w:p>
            <w:pPr>
              <w:spacing w:line="360" w:lineRule="auto"/>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用1.5mm模具成型41×92mm铝合金模具型材,金属表面经酸洗、磷化等化学防锈处理后,环氧树脂静电粉末喷涂,可配置多种功能型设施,如电源插座等。层数2层，高度750mm,层板两块:采用10mm优质钢化玻璃,可根据需要自由调节高度,两侧有防撞击、防止容器掉落等功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bottom"/>
          </w:tcPr>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（十二）实验室多功能插座：</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规格：</w:t>
            </w:r>
            <w:r>
              <w:rPr>
                <w:color w:val="000000" w:themeColor="text1"/>
                <w:kern w:val="2"/>
                <w:sz w:val="24"/>
                <w:szCs w:val="24"/>
                <w:highlight w:val="none"/>
                <w:lang w:val="en-US" w:bidi="ar-SA"/>
                <w14:textFill>
                  <w14:solidFill>
                    <w14:schemeClr w14:val="tx1"/>
                  </w14:solidFill>
                </w14:textFill>
              </w:rPr>
              <w:t>150*75*75</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PP</w:t>
            </w:r>
            <w:r>
              <w:rPr>
                <w:rFonts w:hint="eastAsia"/>
                <w:color w:val="000000" w:themeColor="text1"/>
                <w:kern w:val="2"/>
                <w:sz w:val="24"/>
                <w:szCs w:val="24"/>
                <w:highlight w:val="none"/>
                <w:lang w:val="en-US" w:bidi="ar-SA"/>
                <w14:textFill>
                  <w14:solidFill>
                    <w14:schemeClr w14:val="tx1"/>
                  </w14:solidFill>
                </w14:textFill>
              </w:rPr>
              <w:t>一体成型底盒，西蒙牌多功能面板。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bottom"/>
          </w:tcPr>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（十三）天平台技术要求、材质等要求：</w:t>
            </w:r>
          </w:p>
          <w:p>
            <w:pPr>
              <w:spacing w:line="360" w:lineRule="auto"/>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1.主框架:</w:t>
            </w:r>
            <w:r>
              <w:rPr>
                <w:rFonts w:hint="eastAsia"/>
                <w:bCs/>
                <w:color w:val="000000" w:themeColor="text1"/>
                <w:sz w:val="24"/>
                <w:highlight w:val="none"/>
                <w14:textFill>
                  <w14:solidFill>
                    <w14:schemeClr w14:val="tx1"/>
                  </w14:solidFill>
                </w14:textFill>
              </w:rPr>
              <w:t>采用40&gt;&lt;60mm 优质冷轧钢管，回型钢结构:表面经酸洗、磷化、均匀灰白环氧树脂粉喷徐，化学防锈处理，耐酸碱腐蚀，承重性能好，使用寿命长。</w:t>
            </w:r>
          </w:p>
          <w:p>
            <w:pPr>
              <w:spacing w:line="360" w:lineRule="auto"/>
              <w:rPr>
                <w:bCs/>
                <w:color w:val="000000" w:themeColor="text1"/>
                <w:szCs w:val="2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2.台面:</w:t>
            </w:r>
            <w:r>
              <w:rPr>
                <w:rFonts w:hint="eastAsia"/>
                <w:bCs/>
                <w:color w:val="000000" w:themeColor="text1"/>
                <w:sz w:val="24"/>
                <w:highlight w:val="none"/>
                <w14:textFill>
                  <w14:solidFill>
                    <w14:schemeClr w14:val="tx1"/>
                  </w14:solidFill>
                </w14:textFill>
              </w:rPr>
              <w:t>采用厚度为25mm的黑色大理石，耐磨。具三级减振设计，保证天平的精度要求。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bottom"/>
          </w:tcPr>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（十四）全钢气瓶柜：</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规格：</w:t>
            </w:r>
            <w:r>
              <w:rPr>
                <w:color w:val="000000" w:themeColor="text1"/>
                <w:kern w:val="2"/>
                <w:sz w:val="24"/>
                <w:szCs w:val="24"/>
                <w:highlight w:val="none"/>
                <w:lang w:val="en-US" w:bidi="ar-SA"/>
                <w14:textFill>
                  <w14:solidFill>
                    <w14:schemeClr w14:val="tx1"/>
                  </w14:solidFill>
                </w14:textFill>
              </w:rPr>
              <w:t>W450</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900</w:t>
            </w:r>
            <w:r>
              <w:rPr>
                <w:rFonts w:hint="eastAsia"/>
                <w:color w:val="000000" w:themeColor="text1"/>
                <w:kern w:val="2"/>
                <w:sz w:val="24"/>
                <w:szCs w:val="24"/>
                <w:highlight w:val="none"/>
                <w:lang w:val="en-US" w:bidi="ar-SA"/>
                <w14:textFill>
                  <w14:solidFill>
                    <w14:schemeClr w14:val="tx1"/>
                  </w14:solidFill>
                </w14:textFill>
              </w:rPr>
              <w:t>）</w:t>
            </w:r>
            <w:r>
              <w:rPr>
                <w:color w:val="000000" w:themeColor="text1"/>
                <w:kern w:val="2"/>
                <w:sz w:val="24"/>
                <w:szCs w:val="24"/>
                <w:highlight w:val="none"/>
                <w:lang w:val="en-US" w:bidi="ar-SA"/>
                <w14:textFill>
                  <w14:solidFill>
                    <w14:schemeClr w14:val="tx1"/>
                  </w14:solidFill>
                </w14:textFill>
              </w:rPr>
              <w:t>*D450*H1900</w:t>
            </w:r>
          </w:p>
          <w:p>
            <w:pPr>
              <w:autoSpaceDE/>
              <w:autoSpaceDN/>
              <w:spacing w:before="240" w:after="240" w:line="360" w:lineRule="auto"/>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 xml:space="preserve">1. </w:t>
            </w:r>
            <w:r>
              <w:rPr>
                <w:rFonts w:hint="eastAsia"/>
                <w:color w:val="000000" w:themeColor="text1"/>
                <w:kern w:val="2"/>
                <w:sz w:val="24"/>
                <w:szCs w:val="24"/>
                <w:highlight w:val="none"/>
                <w:lang w:val="en-US" w:bidi="ar-SA"/>
                <w14:textFill>
                  <w14:solidFill>
                    <w14:schemeClr w14:val="tx1"/>
                  </w14:solidFill>
                </w14:textFill>
              </w:rPr>
              <w:t>柜体材质：由</w:t>
            </w:r>
            <w:r>
              <w:rPr>
                <w:color w:val="000000" w:themeColor="text1"/>
                <w:kern w:val="2"/>
                <w:sz w:val="24"/>
                <w:szCs w:val="24"/>
                <w:highlight w:val="none"/>
                <w:lang w:val="en-US" w:bidi="ar-SA"/>
                <w14:textFill>
                  <w14:solidFill>
                    <w14:schemeClr w14:val="tx1"/>
                  </w14:solidFill>
                </w14:textFill>
              </w:rPr>
              <w:t>1.0mm</w:t>
            </w:r>
            <w:r>
              <w:rPr>
                <w:rFonts w:hint="eastAsia"/>
                <w:color w:val="000000" w:themeColor="text1"/>
                <w:kern w:val="2"/>
                <w:sz w:val="24"/>
                <w:szCs w:val="24"/>
                <w:highlight w:val="none"/>
                <w:lang w:val="en-US" w:bidi="ar-SA"/>
                <w14:textFill>
                  <w14:solidFill>
                    <w14:schemeClr w14:val="tx1"/>
                  </w14:solidFill>
                </w14:textFill>
              </w:rPr>
              <w:t>厚马钢优质镀锌钢板通过模具成型、开槽及用夹具装配，所有露在外面的焊缝经过抛光处理，光滑不伤手。表面经环氧树脂粉未喷涂，耐腐蚀。</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左右钢门，内置气瓶卡圈</w:t>
            </w:r>
            <w:r>
              <w:rPr>
                <w:color w:val="000000" w:themeColor="text1"/>
                <w:kern w:val="2"/>
                <w:sz w:val="24"/>
                <w:szCs w:val="24"/>
                <w:highlight w:val="none"/>
                <w:lang w:val="en-US" w:bidi="ar-SA"/>
                <w14:textFill>
                  <w14:solidFill>
                    <w14:schemeClr w14:val="tx1"/>
                  </w14:solidFill>
                </w14:textFill>
              </w:rPr>
              <w:t>+</w:t>
            </w:r>
            <w:r>
              <w:rPr>
                <w:rFonts w:hint="eastAsia"/>
                <w:color w:val="000000" w:themeColor="text1"/>
                <w:kern w:val="2"/>
                <w:sz w:val="24"/>
                <w:szCs w:val="24"/>
                <w:highlight w:val="none"/>
                <w:lang w:val="en-US" w:bidi="ar-SA"/>
                <w14:textFill>
                  <w14:solidFill>
                    <w14:schemeClr w14:val="tx1"/>
                  </w14:solidFill>
                </w14:textFill>
              </w:rPr>
              <w:t>钢制气瓶垫板。</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、五金配件：</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把手：</w:t>
            </w:r>
            <w:r>
              <w:rPr>
                <w:color w:val="000000" w:themeColor="text1"/>
                <w:kern w:val="2"/>
                <w:sz w:val="24"/>
                <w:szCs w:val="24"/>
                <w:highlight w:val="none"/>
                <w:lang w:val="en-US" w:bidi="ar-SA"/>
                <w14:textFill>
                  <w14:solidFill>
                    <w14:schemeClr w14:val="tx1"/>
                  </w14:solidFill>
                </w14:textFill>
              </w:rPr>
              <w:t xml:space="preserve"> PVC</w:t>
            </w:r>
            <w:r>
              <w:rPr>
                <w:rFonts w:hint="eastAsia"/>
                <w:color w:val="000000" w:themeColor="text1"/>
                <w:kern w:val="2"/>
                <w:sz w:val="24"/>
                <w:szCs w:val="24"/>
                <w:highlight w:val="none"/>
                <w:lang w:val="en-US" w:bidi="ar-SA"/>
                <w14:textFill>
                  <w14:solidFill>
                    <w14:schemeClr w14:val="tx1"/>
                  </w14:solidFill>
                </w14:textFill>
              </w:rPr>
              <w:t>内嵌式拉手。</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合页：</w:t>
            </w:r>
            <w:r>
              <w:rPr>
                <w:color w:val="000000" w:themeColor="text1"/>
                <w:kern w:val="2"/>
                <w:sz w:val="24"/>
                <w:szCs w:val="24"/>
                <w:highlight w:val="none"/>
                <w:lang w:val="en-US" w:bidi="ar-SA"/>
                <w14:textFill>
                  <w14:solidFill>
                    <w14:schemeClr w14:val="tx1"/>
                  </w14:solidFill>
                </w14:textFill>
              </w:rPr>
              <w:t>115</w:t>
            </w:r>
            <w:r>
              <w:rPr>
                <w:rFonts w:hint="eastAsia"/>
                <w:color w:val="000000" w:themeColor="text1"/>
                <w:kern w:val="2"/>
                <w:sz w:val="24"/>
                <w:szCs w:val="24"/>
                <w:highlight w:val="none"/>
                <w:lang w:val="en-US" w:bidi="ar-SA"/>
                <w14:textFill>
                  <w14:solidFill>
                    <w14:schemeClr w14:val="tx1"/>
                  </w14:solidFill>
                </w14:textFill>
              </w:rPr>
              <w:t>度</w:t>
            </w:r>
            <w:r>
              <w:rPr>
                <w:color w:val="000000" w:themeColor="text1"/>
                <w:kern w:val="2"/>
                <w:sz w:val="24"/>
                <w:szCs w:val="24"/>
                <w:highlight w:val="none"/>
                <w:lang w:val="en-US" w:bidi="ar-SA"/>
                <w14:textFill>
                  <w14:solidFill>
                    <w14:schemeClr w14:val="tx1"/>
                  </w14:solidFill>
                </w14:textFill>
              </w:rPr>
              <w:t>DTC</w:t>
            </w:r>
            <w:r>
              <w:rPr>
                <w:rFonts w:hint="eastAsia"/>
                <w:color w:val="000000" w:themeColor="text1"/>
                <w:kern w:val="2"/>
                <w:sz w:val="24"/>
                <w:szCs w:val="24"/>
                <w:highlight w:val="none"/>
                <w:lang w:val="en-US" w:bidi="ar-SA"/>
                <w14:textFill>
                  <w14:solidFill>
                    <w14:schemeClr w14:val="tx1"/>
                  </w14:solidFill>
                </w14:textFill>
              </w:rPr>
              <w:t>合页。</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层板销：</w:t>
            </w:r>
            <w:r>
              <w:rPr>
                <w:color w:val="000000" w:themeColor="text1"/>
                <w:kern w:val="2"/>
                <w:sz w:val="24"/>
                <w:szCs w:val="24"/>
                <w:highlight w:val="none"/>
                <w:lang w:val="en-US" w:bidi="ar-SA"/>
                <w14:textFill>
                  <w14:solidFill>
                    <w14:schemeClr w14:val="tx1"/>
                  </w14:solidFill>
                </w14:textFill>
              </w:rPr>
              <w:t>1.5mm</w:t>
            </w:r>
            <w:r>
              <w:rPr>
                <w:rFonts w:hint="eastAsia"/>
                <w:color w:val="000000" w:themeColor="text1"/>
                <w:kern w:val="2"/>
                <w:sz w:val="24"/>
                <w:szCs w:val="24"/>
                <w:highlight w:val="none"/>
                <w:lang w:val="en-US" w:bidi="ar-SA"/>
                <w14:textFill>
                  <w14:solidFill>
                    <w14:schemeClr w14:val="tx1"/>
                  </w14:solidFill>
                </w14:textFill>
              </w:rPr>
              <w:t>厚不锈钢板经数控冲床模具成型。</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透气孔：由数控机床一次成型</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rFonts w:hint="eastAsia"/>
                <w:color w:val="000000" w:themeColor="text1"/>
                <w:kern w:val="2"/>
                <w:sz w:val="24"/>
                <w:szCs w:val="24"/>
                <w:highlight w:val="none"/>
                <w:lang w:val="en-US" w:bidi="ar-SA"/>
                <w14:textFill>
                  <w14:solidFill>
                    <w14:schemeClr w14:val="tx1"/>
                  </w14:solidFill>
                </w14:textFill>
              </w:rPr>
              <w:t>调整脚：</w:t>
            </w:r>
            <w:r>
              <w:rPr>
                <w:color w:val="000000" w:themeColor="text1"/>
                <w:kern w:val="2"/>
                <w:sz w:val="24"/>
                <w:szCs w:val="24"/>
                <w:highlight w:val="none"/>
                <w:lang w:val="en-US" w:bidi="ar-SA"/>
                <w14:textFill>
                  <w14:solidFill>
                    <w14:schemeClr w14:val="tx1"/>
                  </w14:solidFill>
                </w14:textFill>
              </w:rPr>
              <w:t>8mm</w:t>
            </w:r>
            <w:r>
              <w:rPr>
                <w:rFonts w:hint="eastAsia"/>
                <w:color w:val="000000" w:themeColor="text1"/>
                <w:kern w:val="2"/>
                <w:sz w:val="24"/>
                <w:szCs w:val="24"/>
                <w:highlight w:val="none"/>
                <w:lang w:val="en-US" w:bidi="ar-SA"/>
                <w14:textFill>
                  <w14:solidFill>
                    <w14:schemeClr w14:val="tx1"/>
                  </w14:solidFill>
                </w14:textFill>
              </w:rPr>
              <w:t>镀锌螺丝，底衬防水尼龙六角套环。</w:t>
            </w:r>
          </w:p>
          <w:p>
            <w:pPr>
              <w:autoSpaceDE/>
              <w:autoSpaceDN/>
              <w:spacing w:before="240" w:after="240" w:line="360" w:lineRule="auto"/>
              <w:jc w:val="both"/>
              <w:rPr>
                <w:rFonts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 xml:space="preserve">3. </w:t>
            </w:r>
            <w:r>
              <w:rPr>
                <w:rFonts w:hint="eastAsia"/>
                <w:color w:val="000000" w:themeColor="text1"/>
                <w:kern w:val="2"/>
                <w:sz w:val="24"/>
                <w:szCs w:val="24"/>
                <w:highlight w:val="none"/>
                <w:lang w:val="en-US" w:bidi="ar-SA"/>
                <w14:textFill>
                  <w14:solidFill>
                    <w14:schemeClr w14:val="tx1"/>
                  </w14:solidFill>
                </w14:textFill>
              </w:rPr>
              <w:t>产品特点：有单瓶、双瓶两种规格，柜体上部设有出风口；特别设计翻推式垫板方便气瓶推入使用，另可配自动报警装置和自动排风系统.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bottom"/>
          </w:tcPr>
          <w:p>
            <w:pPr>
              <w:autoSpaceDE/>
              <w:autoSpaceDN/>
              <w:spacing w:before="240" w:after="240" w:line="360" w:lineRule="auto"/>
              <w:ind w:right="720"/>
              <w:jc w:val="both"/>
              <w:rPr>
                <w:rFonts w:eastAsia="Times New Roman" w:cs="Times New Roman"/>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（十五）实验室专用实验凳：</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1</w:t>
            </w:r>
            <w:r>
              <w:rPr>
                <w:rFonts w:hint="eastAsia"/>
                <w:color w:val="000000" w:themeColor="text1"/>
                <w:kern w:val="2"/>
                <w:sz w:val="24"/>
                <w:szCs w:val="24"/>
                <w:highlight w:val="none"/>
                <w:lang w:val="en-US" w:bidi="ar-SA"/>
                <w14:textFill>
                  <w14:solidFill>
                    <w14:schemeClr w14:val="tx1"/>
                  </w14:solidFill>
                </w14:textFill>
              </w:rPr>
              <w:t>、气缸升降、螺旋升降；</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2</w:t>
            </w:r>
            <w:r>
              <w:rPr>
                <w:rFonts w:hint="eastAsia"/>
                <w:color w:val="000000" w:themeColor="text1"/>
                <w:kern w:val="2"/>
                <w:sz w:val="24"/>
                <w:szCs w:val="24"/>
                <w:highlight w:val="none"/>
                <w:lang w:val="en-US" w:bidi="ar-SA"/>
                <w14:textFill>
                  <w14:solidFill>
                    <w14:schemeClr w14:val="tx1"/>
                  </w14:solidFill>
                </w14:textFill>
              </w:rPr>
              <w:t>、支架：采用不锈钢无缝焊接制成，外表美观，地脚高低可调节；</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3</w:t>
            </w:r>
            <w:r>
              <w:rPr>
                <w:rFonts w:hint="eastAsia"/>
                <w:color w:val="000000" w:themeColor="text1"/>
                <w:kern w:val="2"/>
                <w:sz w:val="24"/>
                <w:szCs w:val="24"/>
                <w:highlight w:val="none"/>
                <w:lang w:val="en-US" w:bidi="ar-SA"/>
                <w14:textFill>
                  <w14:solidFill>
                    <w14:schemeClr w14:val="tx1"/>
                  </w14:solidFill>
                </w14:textFill>
              </w:rPr>
              <w:t>、凳面：采用模具一体成型，主要采用聚酯树脂及高强度纤维材料，耐酸碱、防潮、防晒、防冲压、耐老化，美观、实用耐久；</w:t>
            </w:r>
          </w:p>
          <w:p>
            <w:pPr>
              <w:autoSpaceDE/>
              <w:autoSpaceDN/>
              <w:spacing w:before="240" w:after="240" w:line="360" w:lineRule="auto"/>
              <w:ind w:right="720"/>
              <w:jc w:val="both"/>
              <w:rPr>
                <w:rFonts w:eastAsia="Times New Roman" w:cs="Times New Roman"/>
                <w:color w:val="000000" w:themeColor="text1"/>
                <w:kern w:val="2"/>
                <w:sz w:val="24"/>
                <w:szCs w:val="24"/>
                <w:highlight w:val="none"/>
                <w:lang w:val="en-US" w:bidi="ar-SA"/>
                <w14:textFill>
                  <w14:solidFill>
                    <w14:schemeClr w14:val="tx1"/>
                  </w14:solidFill>
                </w14:textFill>
              </w:rPr>
            </w:pPr>
            <w:r>
              <w:rPr>
                <w:color w:val="000000" w:themeColor="text1"/>
                <w:kern w:val="2"/>
                <w:sz w:val="24"/>
                <w:szCs w:val="24"/>
                <w:highlight w:val="none"/>
                <w:lang w:val="en-US" w:bidi="ar-SA"/>
                <w14:textFill>
                  <w14:solidFill>
                    <w14:schemeClr w14:val="tx1"/>
                  </w14:solidFill>
                </w14:textFill>
              </w:rPr>
              <w:t>4</w:t>
            </w:r>
            <w:r>
              <w:rPr>
                <w:rFonts w:hint="eastAsia"/>
                <w:color w:val="000000" w:themeColor="text1"/>
                <w:kern w:val="2"/>
                <w:sz w:val="24"/>
                <w:szCs w:val="24"/>
                <w:highlight w:val="none"/>
                <w:lang w:val="en-US" w:bidi="ar-SA"/>
                <w14:textFill>
                  <w14:solidFill>
                    <w14:schemeClr w14:val="tx1"/>
                  </w14:solidFill>
                </w14:textFill>
              </w:rPr>
              <w:t>、地脚：采用特制地脚，可采用万向活动轮。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80" w:type="dxa"/>
            <w:vAlign w:val="bottom"/>
          </w:tcPr>
          <w:p>
            <w:pPr>
              <w:autoSpaceDE/>
              <w:autoSpaceDN/>
              <w:spacing w:before="240" w:after="240" w:line="360" w:lineRule="auto"/>
              <w:ind w:right="720"/>
              <w:jc w:val="both"/>
              <w:rPr>
                <w:b/>
                <w:bCs/>
                <w:color w:val="000000" w:themeColor="text1"/>
                <w:kern w:val="2"/>
                <w:sz w:val="24"/>
                <w:szCs w:val="24"/>
                <w:highlight w:val="none"/>
                <w:lang w:val="en-US" w:bidi="ar-SA"/>
                <w14:textFill>
                  <w14:solidFill>
                    <w14:schemeClr w14:val="tx1"/>
                  </w14:solidFill>
                </w14:textFill>
              </w:rPr>
            </w:pPr>
            <w:r>
              <w:rPr>
                <w:rFonts w:hint="eastAsia"/>
                <w:b/>
                <w:bCs/>
                <w:color w:val="000000" w:themeColor="text1"/>
                <w:kern w:val="2"/>
                <w:sz w:val="24"/>
                <w:szCs w:val="24"/>
                <w:highlight w:val="none"/>
                <w:lang w:val="en-US" w:bidi="ar-SA"/>
                <w14:textFill>
                  <w14:solidFill>
                    <w14:schemeClr w14:val="tx1"/>
                  </w14:solidFill>
                </w14:textFill>
              </w:rPr>
              <w:t>（十六）通风系统设计参数及要求</w:t>
            </w:r>
          </w:p>
          <w:p>
            <w:pPr>
              <w:snapToGrid w:val="0"/>
              <w:spacing w:line="360" w:lineRule="auto"/>
              <w:ind w:firstLine="241" w:firstLineChars="10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1.投标人对实验室中所有需排气的设备及需排气的房间结合现场环境进行系统的全面设计。</w:t>
            </w:r>
          </w:p>
          <w:p>
            <w:pPr>
              <w:snapToGrid w:val="0"/>
              <w:spacing w:line="360" w:lineRule="auto"/>
              <w:ind w:firstLine="241" w:firstLineChars="100"/>
              <w:rPr>
                <w:b/>
                <w:bCs/>
                <w:snapToGrid w:val="0"/>
                <w:color w:val="000000" w:themeColor="text1"/>
                <w:sz w:val="24"/>
                <w:szCs w:val="24"/>
                <w:highlight w:val="none"/>
                <w14:textFill>
                  <w14:solidFill>
                    <w14:schemeClr w14:val="tx1"/>
                  </w14:solidFill>
                </w14:textFill>
              </w:rPr>
            </w:pPr>
            <w:r>
              <w:rPr>
                <w:rFonts w:hint="eastAsia"/>
                <w:b/>
                <w:bCs/>
                <w:snapToGrid w:val="0"/>
                <w:color w:val="000000" w:themeColor="text1"/>
                <w:sz w:val="24"/>
                <w:szCs w:val="24"/>
                <w:highlight w:val="none"/>
                <w14:textFill>
                  <w14:solidFill>
                    <w14:schemeClr w14:val="tx1"/>
                  </w14:solidFill>
                </w14:textFill>
              </w:rPr>
              <w:t>2</w:t>
            </w:r>
            <w:r>
              <w:rPr>
                <w:b/>
                <w:bCs/>
                <w:snapToGrid w:val="0"/>
                <w:color w:val="000000" w:themeColor="text1"/>
                <w:sz w:val="24"/>
                <w:szCs w:val="24"/>
                <w:highlight w:val="none"/>
                <w14:textFill>
                  <w14:solidFill>
                    <w14:schemeClr w14:val="tx1"/>
                  </w14:solidFill>
                </w14:textFill>
              </w:rPr>
              <w:t>.</w:t>
            </w:r>
            <w:r>
              <w:rPr>
                <w:rFonts w:hint="eastAsia"/>
                <w:b/>
                <w:bCs/>
                <w:snapToGrid w:val="0"/>
                <w:color w:val="000000" w:themeColor="text1"/>
                <w:sz w:val="24"/>
                <w:szCs w:val="24"/>
                <w:highlight w:val="none"/>
                <w14:textFill>
                  <w14:solidFill>
                    <w14:schemeClr w14:val="tx1"/>
                  </w14:solidFill>
                </w14:textFill>
              </w:rPr>
              <w:t>设计参数</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2.1支管路内风速6～8m/s, 干管路内风速8～14m/s；</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2.2通风设备设计风量：</w:t>
            </w:r>
          </w:p>
          <w:p>
            <w:pPr>
              <w:snapToGrid w:val="0"/>
              <w:spacing w:line="360" w:lineRule="auto"/>
              <w:ind w:firstLine="840" w:firstLineChars="3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a.单台1.5米通风柜设计风量1200～1700m</w:t>
            </w:r>
            <w:r>
              <w:rPr>
                <w:rFonts w:hint="eastAsia"/>
                <w:bCs/>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/h</w:t>
            </w:r>
          </w:p>
          <w:p>
            <w:pPr>
              <w:snapToGrid w:val="0"/>
              <w:spacing w:line="360" w:lineRule="auto"/>
              <w:ind w:firstLine="840" w:firstLineChars="3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b.单台1.8米通风柜设计风量1400～2100m</w:t>
            </w:r>
            <w:r>
              <w:rPr>
                <w:rFonts w:hint="eastAsia"/>
                <w:bCs/>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14:textFill>
                  <w14:solidFill>
                    <w14:schemeClr w14:val="tx1"/>
                  </w14:solidFill>
                </w14:textFill>
              </w:rPr>
              <w:t>/h</w:t>
            </w:r>
          </w:p>
          <w:p>
            <w:pPr>
              <w:snapToGrid w:val="0"/>
              <w:spacing w:line="360" w:lineRule="auto"/>
              <w:ind w:firstLine="840" w:firstLineChars="35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c.单台万向排风罩设计风量200～400m</w:t>
            </w:r>
            <w:r>
              <w:rPr>
                <w:rFonts w:hint="eastAsia"/>
                <w:bCs/>
                <w:color w:val="000000" w:themeColor="text1"/>
                <w:sz w:val="24"/>
                <w:szCs w:val="24"/>
                <w:highlight w:val="none"/>
                <w:vertAlign w:val="superscript"/>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/h</w:t>
            </w:r>
          </w:p>
          <w:p>
            <w:pPr>
              <w:snapToGrid w:val="0"/>
              <w:spacing w:line="360" w:lineRule="auto"/>
              <w:ind w:firstLine="840" w:firstLineChars="350"/>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d.单台400×400原子吸收罩设计风量400～700m</w:t>
            </w:r>
            <w:r>
              <w:rPr>
                <w:rFonts w:hint="eastAsia"/>
                <w:bCs/>
                <w:color w:val="000000" w:themeColor="text1"/>
                <w:sz w:val="24"/>
                <w:szCs w:val="24"/>
                <w:highlight w:val="none"/>
                <w:vertAlign w:val="superscript"/>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/h</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2.3每台通风设备应做到独立操作，相互之间不受影响。</w:t>
            </w:r>
          </w:p>
          <w:p>
            <w:pPr>
              <w:snapToGrid w:val="0"/>
              <w:spacing w:line="360" w:lineRule="auto"/>
              <w:ind w:firstLine="361" w:firstLineChars="150"/>
              <w:rPr>
                <w:b/>
                <w:bCs/>
                <w:snapToGrid w:val="0"/>
                <w:color w:val="000000" w:themeColor="text1"/>
                <w:sz w:val="24"/>
                <w:szCs w:val="24"/>
                <w:highlight w:val="none"/>
                <w14:textFill>
                  <w14:solidFill>
                    <w14:schemeClr w14:val="tx1"/>
                  </w14:solidFill>
                </w14:textFill>
              </w:rPr>
            </w:pPr>
            <w:r>
              <w:rPr>
                <w:b/>
                <w:bCs/>
                <w:snapToGrid w:val="0"/>
                <w:color w:val="000000" w:themeColor="text1"/>
                <w:sz w:val="24"/>
                <w:szCs w:val="24"/>
                <w:highlight w:val="none"/>
                <w14:textFill>
                  <w14:solidFill>
                    <w14:schemeClr w14:val="tx1"/>
                  </w14:solidFill>
                </w14:textFill>
              </w:rPr>
              <w:t>3.</w:t>
            </w:r>
            <w:r>
              <w:rPr>
                <w:rFonts w:hint="eastAsia"/>
                <w:b/>
                <w:bCs/>
                <w:snapToGrid w:val="0"/>
                <w:color w:val="000000" w:themeColor="text1"/>
                <w:sz w:val="24"/>
                <w:szCs w:val="24"/>
                <w:highlight w:val="none"/>
                <w14:textFill>
                  <w14:solidFill>
                    <w14:schemeClr w14:val="tx1"/>
                  </w14:solidFill>
                </w14:textFill>
              </w:rPr>
              <w:t>通排风方案及管线布局</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3.1实验室通风设计原则：</w:t>
            </w:r>
          </w:p>
          <w:p>
            <w:pPr>
              <w:snapToGrid w:val="0"/>
              <w:spacing w:line="360" w:lineRule="auto"/>
              <w:ind w:firstLine="528" w:firstLineChars="200"/>
              <w:rPr>
                <w:color w:val="000000" w:themeColor="text1"/>
                <w:spacing w:val="12"/>
                <w:sz w:val="24"/>
                <w:szCs w:val="24"/>
                <w:highlight w:val="none"/>
                <w14:textFill>
                  <w14:solidFill>
                    <w14:schemeClr w14:val="tx1"/>
                  </w14:solidFill>
                </w14:textFill>
              </w:rPr>
            </w:pPr>
            <w:r>
              <w:rPr>
                <w:rFonts w:hint="eastAsia"/>
                <w:color w:val="000000" w:themeColor="text1"/>
                <w:spacing w:val="12"/>
                <w:sz w:val="24"/>
                <w:szCs w:val="24"/>
                <w:highlight w:val="none"/>
                <w14:textFill>
                  <w14:solidFill>
                    <w14:schemeClr w14:val="tx1"/>
                  </w14:solidFill>
                </w14:textFill>
              </w:rPr>
              <w:t>3.1.1综合考虑各项因素，采用运行稳定、运行费用低、处理效果好的成熟工艺；</w:t>
            </w:r>
          </w:p>
          <w:p>
            <w:pPr>
              <w:snapToGrid w:val="0"/>
              <w:spacing w:line="360" w:lineRule="auto"/>
              <w:ind w:firstLine="520" w:firstLineChars="200"/>
              <w:rPr>
                <w:color w:val="000000" w:themeColor="text1"/>
                <w:spacing w:val="10"/>
                <w:sz w:val="24"/>
                <w:szCs w:val="24"/>
                <w:highlight w:val="none"/>
                <w14:textFill>
                  <w14:solidFill>
                    <w14:schemeClr w14:val="tx1"/>
                  </w14:solidFill>
                </w14:textFill>
              </w:rPr>
            </w:pPr>
            <w:r>
              <w:rPr>
                <w:rFonts w:hint="eastAsia"/>
                <w:color w:val="000000" w:themeColor="text1"/>
                <w:spacing w:val="10"/>
                <w:sz w:val="24"/>
                <w:szCs w:val="24"/>
                <w:highlight w:val="none"/>
                <w14:textFill>
                  <w14:solidFill>
                    <w14:schemeClr w14:val="tx1"/>
                  </w14:solidFill>
                </w14:textFill>
              </w:rPr>
              <w:t>3.1.2所选择的工艺必须满足现场条件，平面布置简洁、紧凑、少占地，并方便生产操作和维护维修；</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3.1.3非标设备应符合国家或行业相关规范，并保证性能稳定、外表美观；</w:t>
            </w:r>
          </w:p>
          <w:p>
            <w:pPr>
              <w:snapToGrid w:val="0"/>
              <w:spacing w:line="360" w:lineRule="auto"/>
              <w:ind w:firstLine="528" w:firstLineChars="200"/>
              <w:rPr>
                <w:color w:val="000000" w:themeColor="text1"/>
                <w:spacing w:val="12"/>
                <w:sz w:val="24"/>
                <w:szCs w:val="24"/>
                <w:highlight w:val="none"/>
                <w14:textFill>
                  <w14:solidFill>
                    <w14:schemeClr w14:val="tx1"/>
                  </w14:solidFill>
                </w14:textFill>
              </w:rPr>
            </w:pPr>
            <w:r>
              <w:rPr>
                <w:rFonts w:hint="eastAsia"/>
                <w:color w:val="000000" w:themeColor="text1"/>
                <w:spacing w:val="12"/>
                <w:sz w:val="24"/>
                <w:szCs w:val="24"/>
                <w:highlight w:val="none"/>
                <w14:textFill>
                  <w14:solidFill>
                    <w14:schemeClr w14:val="tx1"/>
                  </w14:solidFill>
                </w14:textFill>
              </w:rPr>
              <w:t>3.1.4在设计中充分考虑噪声、臭味等，防止二次污染的产生，不给周围环境造成新的污染；</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3.2实验室通风系统规划总体思路是：</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3.2.1在同房间各通风柜或通风设备尽量经同一管路进行排放，为排除实验中产生的有害气体，实验室的通风柜尽可能布置在同一个方向上，并共用一个通风管排风；</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3.2.2为了减少系统阻力及减少室内噪声，务必把风管加大以减少风速；</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3.2.3为了保证各入口处的风量符合设计要求，各系统的每个排风口均设电动风阀进行风量调节； </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3.2.4本设计所选用风管采用阻燃性能PP板材焊接，同时具有耐低温和抗老化等性能，且外形美观，支、吊架圆管采用不锈钢条抱箍风管，方管采用经防锈处理的吊杆紧固角钢来支撑风管；</w:t>
            </w:r>
          </w:p>
          <w:p>
            <w:pPr>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4.</w:t>
            </w:r>
            <w:r>
              <w:rPr>
                <w:rFonts w:hint="eastAsia"/>
                <w:b/>
                <w:color w:val="000000" w:themeColor="text1"/>
                <w:sz w:val="24"/>
                <w:szCs w:val="24"/>
                <w:highlight w:val="none"/>
                <w14:textFill>
                  <w14:solidFill>
                    <w14:schemeClr w14:val="tx1"/>
                  </w14:solidFill>
                </w14:textFill>
              </w:rPr>
              <w:t>万向排气罩和原子吸收罩的通风控制：</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通风系统中的各房间的万向排气罩或原子吸收罩的控制，在各间内墙壁均安装电动风阀开启开关，通过开关的开启来进行控制。</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因该类系统为小型设备通风，每个通风口均设有风阀，使用时，先启动排风风机，通过关闭或开启风阀的角度来调节风机转速，从而保证各风口风量大小。</w:t>
            </w:r>
          </w:p>
          <w:p>
            <w:pPr>
              <w:snapToGrid w:val="0"/>
              <w:spacing w:line="360" w:lineRule="auto"/>
              <w:ind w:firstLine="472" w:firstLineChars="196"/>
              <w:rPr>
                <w:b/>
                <w:bCs/>
                <w:snapToGrid w:val="0"/>
                <w:color w:val="000000" w:themeColor="text1"/>
                <w:sz w:val="24"/>
                <w:szCs w:val="24"/>
                <w:highlight w:val="none"/>
                <w14:textFill>
                  <w14:solidFill>
                    <w14:schemeClr w14:val="tx1"/>
                  </w14:solidFill>
                </w14:textFill>
              </w:rPr>
            </w:pPr>
            <w:r>
              <w:rPr>
                <w:b/>
                <w:bCs/>
                <w:snapToGrid w:val="0"/>
                <w:color w:val="000000" w:themeColor="text1"/>
                <w:sz w:val="24"/>
                <w:szCs w:val="24"/>
                <w:highlight w:val="none"/>
                <w14:textFill>
                  <w14:solidFill>
                    <w14:schemeClr w14:val="tx1"/>
                  </w14:solidFill>
                </w14:textFill>
              </w:rPr>
              <w:t>5.</w:t>
            </w:r>
            <w:r>
              <w:rPr>
                <w:rFonts w:hint="eastAsia"/>
                <w:b/>
                <w:bCs/>
                <w:snapToGrid w:val="0"/>
                <w:color w:val="000000" w:themeColor="text1"/>
                <w:sz w:val="24"/>
                <w:szCs w:val="24"/>
                <w:highlight w:val="none"/>
                <w14:textFill>
                  <w14:solidFill>
                    <w14:schemeClr w14:val="tx1"/>
                  </w14:solidFill>
                </w14:textFill>
              </w:rPr>
              <w:t>通排风管线风管及部件的制作、安装</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风管及部件制作的一般规定</w:t>
            </w:r>
          </w:p>
          <w:p>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5.1　中、低压系统硬聚氯乙烯圆形风管板材厚度（mm）</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风管制作、安装：</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1）风管采用承插连接。</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2）风管的弯管曲率半径一般为1 倍边长，最小不应少于200mm，弯曲向尺寸或等于 500mm的应设导流片（内外弧的弯头可不装设导流片）。</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3）安装前应清除管内、外杂物，并做好清洁和保护工作。</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4）排风管应做好防凝结水和风管内水凝结水回流装置。水平管保持一定的坡度，坡向室外立管。室外立管应做好排凝结水装置。</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5）风管安装的位置、标高、走向，符合设计要求，做到横平竖直，连接法兰的螺栓应均匀拧紧，其螺母在同一侧。</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6）所有风管设置必要支、吊架，管道支架按国标加工制作。</w:t>
            </w:r>
          </w:p>
          <w:p>
            <w:pPr>
              <w:snapToGrid w:val="0"/>
              <w:spacing w:line="340" w:lineRule="exact"/>
              <w:ind w:firstLine="472" w:firstLineChars="196"/>
              <w:rPr>
                <w:b/>
                <w:bCs/>
                <w:snapToGrid w:val="0"/>
                <w:color w:val="000000" w:themeColor="text1"/>
                <w:sz w:val="24"/>
                <w:szCs w:val="24"/>
                <w:highlight w:val="none"/>
                <w14:textFill>
                  <w14:solidFill>
                    <w14:schemeClr w14:val="tx1"/>
                  </w14:solidFill>
                </w14:textFill>
              </w:rPr>
            </w:pPr>
            <w:r>
              <w:rPr>
                <w:b/>
                <w:bCs/>
                <w:snapToGrid w:val="0"/>
                <w:color w:val="000000" w:themeColor="text1"/>
                <w:sz w:val="24"/>
                <w:szCs w:val="24"/>
                <w:highlight w:val="none"/>
                <w14:textFill>
                  <w14:solidFill>
                    <w14:schemeClr w14:val="tx1"/>
                  </w14:solidFill>
                </w14:textFill>
              </w:rPr>
              <w:t>6.</w:t>
            </w:r>
            <w:r>
              <w:rPr>
                <w:rFonts w:hint="eastAsia"/>
                <w:b/>
                <w:bCs/>
                <w:snapToGrid w:val="0"/>
                <w:color w:val="000000" w:themeColor="text1"/>
                <w:sz w:val="24"/>
                <w:szCs w:val="24"/>
                <w:highlight w:val="none"/>
                <w14:textFill>
                  <w14:solidFill>
                    <w14:schemeClr w14:val="tx1"/>
                  </w14:solidFill>
                </w14:textFill>
              </w:rPr>
              <w:t>材料设备要求</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6.1 风机：风机主体为耐腐蚀玻璃钢离心风机；配电：三相五线制，电压380V，频率50HZ.。</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6.2 风机电机：</w:t>
            </w:r>
            <w:r>
              <w:rPr>
                <w:color w:val="000000" w:themeColor="text1"/>
                <w:sz w:val="24"/>
                <w:szCs w:val="24"/>
                <w:highlight w:val="none"/>
                <w14:textFill>
                  <w14:solidFill>
                    <w14:schemeClr w14:val="tx1"/>
                  </w14:solidFill>
                </w14:textFill>
              </w:rPr>
              <w:t>变频调速三相异步电动机</w:t>
            </w:r>
            <w:r>
              <w:rPr>
                <w:rFonts w:hint="eastAsia"/>
                <w:color w:val="000000" w:themeColor="text1"/>
                <w:sz w:val="24"/>
                <w:szCs w:val="24"/>
                <w:highlight w:val="none"/>
                <w14:textFill>
                  <w14:solidFill>
                    <w14:schemeClr w14:val="tx1"/>
                  </w14:solidFill>
                </w14:textFill>
              </w:rPr>
              <w:t>，0-100HZ无极变频。</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6.3电动风阀</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电动密闭碟阀；材质：PVC制作；调节范围：0～90度任意调节；性能：与通风柜控制面板连接，与风机联锁，可实时调节、显示风阀角度，改变系统风量； 配电：电压220V，频率50HZ。</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6.4软连接</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柔性软管; 材质：柔性PVC弹簧管;厚度：≥4mm; 性能：能补偿轴向、横向、角向热膨胀和安装误差，无反推力，具有消声隔震功能。</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6.5风管：</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圆管采用</w:t>
            </w:r>
            <w:r>
              <w:rPr>
                <w:rFonts w:hint="eastAsia"/>
                <w:color w:val="000000" w:themeColor="text1"/>
                <w:sz w:val="24"/>
                <w:szCs w:val="24"/>
                <w:highlight w:val="none"/>
                <w:lang w:val="en-US"/>
                <w14:textFill>
                  <w14:solidFill>
                    <w14:schemeClr w14:val="tx1"/>
                  </w14:solidFill>
                </w14:textFill>
              </w:rPr>
              <w:t>防腐蚀pvc</w:t>
            </w:r>
            <w:r>
              <w:rPr>
                <w:rFonts w:hint="eastAsia"/>
                <w:color w:val="000000" w:themeColor="text1"/>
                <w:sz w:val="24"/>
                <w:szCs w:val="24"/>
                <w:highlight w:val="none"/>
                <w14:textFill>
                  <w14:solidFill>
                    <w14:schemeClr w14:val="tx1"/>
                  </w14:solidFill>
                </w14:textFill>
              </w:rPr>
              <w:t>管材，方管采用PP板材焊接，风管具有防腐等性能，且内壁光滑，外形美观，支、吊架圆管采用A3钢抱箍风管，方管采用经防锈处理的吊杆紧固角钢来支撑风管；圆管厚度≧4mm, 方管厚度≧5mm.</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6.6 防火阀</w:t>
            </w:r>
          </w:p>
          <w:p>
            <w:pPr>
              <w:tabs>
                <w:tab w:val="left" w:pos="0"/>
              </w:tabs>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所有风管走管时均安装钢制防火阀，平时常开，当火灾报警动作后，风管内的温度升到至70℃时，防火阀易熔片熔断，防火阀关闭，防止火灾蔓延。</w:t>
            </w:r>
          </w:p>
          <w:p>
            <w:pPr>
              <w:snapToGrid w:val="0"/>
              <w:spacing w:line="340" w:lineRule="exact"/>
              <w:ind w:firstLine="472" w:firstLineChars="196"/>
              <w:rPr>
                <w:b/>
                <w:bCs/>
                <w:snapToGrid w:val="0"/>
                <w:color w:val="000000" w:themeColor="text1"/>
                <w:sz w:val="24"/>
                <w:szCs w:val="24"/>
                <w:highlight w:val="none"/>
                <w14:textFill>
                  <w14:solidFill>
                    <w14:schemeClr w14:val="tx1"/>
                  </w14:solidFill>
                </w14:textFill>
              </w:rPr>
            </w:pPr>
            <w:r>
              <w:rPr>
                <w:rFonts w:hint="eastAsia"/>
                <w:b/>
                <w:bCs/>
                <w:snapToGrid w:val="0"/>
                <w:color w:val="000000" w:themeColor="text1"/>
                <w:sz w:val="24"/>
                <w:szCs w:val="24"/>
                <w:highlight w:val="none"/>
                <w14:textFill>
                  <w14:solidFill>
                    <w14:schemeClr w14:val="tx1"/>
                  </w14:solidFill>
                </w14:textFill>
              </w:rPr>
              <w:t>7</w:t>
            </w:r>
            <w:r>
              <w:rPr>
                <w:b/>
                <w:bCs/>
                <w:snapToGrid w:val="0"/>
                <w:color w:val="000000" w:themeColor="text1"/>
                <w:sz w:val="24"/>
                <w:szCs w:val="24"/>
                <w:highlight w:val="none"/>
                <w14:textFill>
                  <w14:solidFill>
                    <w14:schemeClr w14:val="tx1"/>
                  </w14:solidFill>
                </w14:textFill>
              </w:rPr>
              <w:t>.</w:t>
            </w:r>
            <w:r>
              <w:rPr>
                <w:rFonts w:hint="eastAsia"/>
                <w:b/>
                <w:bCs/>
                <w:snapToGrid w:val="0"/>
                <w:color w:val="000000" w:themeColor="text1"/>
                <w:sz w:val="24"/>
                <w:szCs w:val="24"/>
                <w:highlight w:val="none"/>
                <w14:textFill>
                  <w14:solidFill>
                    <w14:schemeClr w14:val="tx1"/>
                  </w14:solidFill>
                </w14:textFill>
              </w:rPr>
              <w:t>消声与减振：</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7.1消声：</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7.1.1采用玻璃钢材质防腐型直筒形阻抗式消声器，其进出口尺寸与风管口一致，消声棉厚度不小于100mm，风机对接时用软连接固定，具有耐腐蚀作用</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7.1.2与风管水平安装，连接处做好密封处理。</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7.2减振：</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7.2.1由于大型离心风机在运行时振动较大，为使其在运行时的振动不至于影响周围环境，对风机采取减振措施：风机固定在水泥混泥土机座上，风机与基座之间采用弹簧减振。</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7.2.2为防止风机振动通过风管传入室内，风机与管道连接采用PVC软接头，具有防潮、不透气、不易霉变的性能。</w:t>
            </w:r>
          </w:p>
          <w:p>
            <w:pPr>
              <w:snapToGrid w:val="0"/>
              <w:spacing w:line="340" w:lineRule="exact"/>
              <w:ind w:firstLine="472" w:firstLineChars="196"/>
              <w:rPr>
                <w:b/>
                <w:bCs/>
                <w:snapToGrid w:val="0"/>
                <w:color w:val="000000" w:themeColor="text1"/>
                <w:sz w:val="24"/>
                <w:szCs w:val="24"/>
                <w:highlight w:val="none"/>
                <w14:textFill>
                  <w14:solidFill>
                    <w14:schemeClr w14:val="tx1"/>
                  </w14:solidFill>
                </w14:textFill>
              </w:rPr>
            </w:pPr>
            <w:r>
              <w:rPr>
                <w:rFonts w:hint="eastAsia"/>
                <w:b/>
                <w:bCs/>
                <w:snapToGrid w:val="0"/>
                <w:color w:val="000000" w:themeColor="text1"/>
                <w:sz w:val="24"/>
                <w:szCs w:val="24"/>
                <w:highlight w:val="none"/>
                <w14:textFill>
                  <w14:solidFill>
                    <w14:schemeClr w14:val="tx1"/>
                  </w14:solidFill>
                </w14:textFill>
              </w:rPr>
              <w:t>8</w:t>
            </w:r>
            <w:r>
              <w:rPr>
                <w:b/>
                <w:bCs/>
                <w:snapToGrid w:val="0"/>
                <w:color w:val="000000" w:themeColor="text1"/>
                <w:sz w:val="24"/>
                <w:szCs w:val="24"/>
                <w:highlight w:val="none"/>
                <w14:textFill>
                  <w14:solidFill>
                    <w14:schemeClr w14:val="tx1"/>
                  </w14:solidFill>
                </w14:textFill>
              </w:rPr>
              <w:t>.</w:t>
            </w:r>
            <w:r>
              <w:rPr>
                <w:rFonts w:hint="eastAsia"/>
                <w:b/>
                <w:bCs/>
                <w:snapToGrid w:val="0"/>
                <w:color w:val="000000" w:themeColor="text1"/>
                <w:sz w:val="24"/>
                <w:szCs w:val="24"/>
                <w:highlight w:val="none"/>
                <w14:textFill>
                  <w14:solidFill>
                    <w14:schemeClr w14:val="tx1"/>
                  </w14:solidFill>
                </w14:textFill>
              </w:rPr>
              <w:t>防渗漏</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由于排气管道贯通墙面与离心风机相连，如果防渗漏考虑不周，容易造成楼面雨水直接下渗，影响实验室正常工作，因此，在楼面风井开孔位置需采取切实措施进行防水堵漏。</w:t>
            </w:r>
          </w:p>
          <w:p>
            <w:pPr>
              <w:snapToGrid w:val="0"/>
              <w:spacing w:line="340" w:lineRule="exact"/>
              <w:ind w:firstLine="482" w:firstLineChars="20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9</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14:textFill>
                  <w14:solidFill>
                    <w14:schemeClr w14:val="tx1"/>
                  </w14:solidFill>
                </w14:textFill>
              </w:rPr>
              <w:t>变频系统</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14:textFill>
                  <w14:solidFill>
                    <w14:schemeClr w14:val="tx1"/>
                  </w14:solidFill>
                </w14:textFill>
              </w:rPr>
              <w:t xml:space="preserve">9.1 </w:t>
            </w:r>
            <w:r>
              <w:rPr>
                <w:rFonts w:hint="eastAsia"/>
                <w:color w:val="000000" w:themeColor="text1"/>
                <w:sz w:val="24"/>
                <w:szCs w:val="24"/>
                <w:highlight w:val="none"/>
                <w14:textFill>
                  <w14:solidFill>
                    <w14:schemeClr w14:val="tx1"/>
                  </w14:solidFill>
                </w14:textFill>
              </w:rPr>
              <w:t>CAV高速变风量调节阀是高精度、高速反应的风量控制设备。可应用于化学实验、生物安全实验室或洁净室、实验动物房、医院等需要对气流进行精确控制的领域。</w:t>
            </w:r>
          </w:p>
          <w:p>
            <w:pPr>
              <w:snapToGrid w:val="0"/>
              <w:spacing w:line="34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控制系统：用于通风柜面风速实时监测；面风速的数字显示（m/s）；控制面板具有通信功能，可以传输 FHM 状态信息或者接收来自工作站的电脑命令；通过现场开关和网络命令的两种模式：占用 /非占用（开启系统；用户定义风速（最低、最高）报警的极限值；正常状态、临界状态、报警状态指示灯；紧急按钮，紧急状态下开启最大排风量；带静音开关和保护功能的现场警报喇叭；用便携式打操作终端（手提电脑）定义、修改结构参数（风阀角度、面风速等 ）；双稳态风速，自动感应有人无人状态进行切换两种排风量 （0.5m/s与 0.3m/s），系统更节能 70%以上；</w:t>
            </w:r>
          </w:p>
        </w:tc>
      </w:tr>
    </w:tbl>
    <w:p>
      <w:pPr>
        <w:autoSpaceDE/>
        <w:autoSpaceDN/>
        <w:spacing w:line="600" w:lineRule="exact"/>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p>
    <w:p>
      <w:pPr>
        <w:pStyle w:val="2"/>
        <w:rPr>
          <w:lang w:val="en-US"/>
        </w:rPr>
      </w:pPr>
    </w:p>
    <w:p>
      <w:pPr>
        <w:rPr>
          <w:highlight w:val="none"/>
          <w:lang w:val="en-US"/>
        </w:rPr>
      </w:pPr>
    </w:p>
    <w:p>
      <w:pPr>
        <w:pStyle w:val="2"/>
        <w:rPr>
          <w:highlight w:val="none"/>
          <w:lang w:val="en-US"/>
        </w:rPr>
      </w:pPr>
    </w:p>
    <w:p>
      <w:pPr>
        <w:autoSpaceDE/>
        <w:autoSpaceDN/>
        <w:spacing w:line="600" w:lineRule="exact"/>
        <w:rPr>
          <w:rFonts w:ascii="Times New Roman" w:hAnsi="Times New Roman" w:eastAsia="方正小标宋_GBK" w:cs="Times New Roman"/>
          <w:color w:val="000000" w:themeColor="text1"/>
          <w:sz w:val="32"/>
          <w:szCs w:val="32"/>
          <w:highlight w:val="none"/>
          <w:lang w:val="en-US"/>
          <w14:textFill>
            <w14:solidFill>
              <w14:schemeClr w14:val="tx1"/>
            </w14:solidFill>
          </w14:textFill>
        </w:rPr>
      </w:pPr>
      <w:r>
        <w:rPr>
          <w:rFonts w:hint="eastAsia" w:ascii="Times New Roman" w:hAnsi="Times New Roman" w:eastAsia="方正小标宋_GBK" w:cs="Times New Roman"/>
          <w:color w:val="000000" w:themeColor="text1"/>
          <w:sz w:val="32"/>
          <w:szCs w:val="32"/>
          <w:highlight w:val="none"/>
          <w:lang w:val="en-US"/>
          <w14:textFill>
            <w14:solidFill>
              <w14:schemeClr w14:val="tx1"/>
            </w14:solidFill>
          </w14:textFill>
        </w:rPr>
        <w:t>附件2：</w:t>
      </w:r>
    </w:p>
    <w:p>
      <w:pPr>
        <w:autoSpaceDE/>
        <w:autoSpaceDN/>
        <w:spacing w:line="600" w:lineRule="exact"/>
        <w:jc w:val="center"/>
        <w:rPr>
          <w:rFonts w:ascii="Times New Roman" w:hAnsi="Times New Roman" w:eastAsia="方正小标宋_GBK" w:cs="Times New Roman"/>
          <w:color w:val="000000" w:themeColor="text1"/>
          <w:sz w:val="44"/>
          <w:szCs w:val="44"/>
          <w:highlight w:val="none"/>
          <w:lang w:val="en-US"/>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14:textFill>
            <w14:solidFill>
              <w14:schemeClr w14:val="tx1"/>
            </w14:solidFill>
          </w14:textFill>
        </w:rPr>
        <w:t>自治区桂林生态环境监测中心实验室</w:t>
      </w:r>
    </w:p>
    <w:p>
      <w:pPr>
        <w:autoSpaceDE/>
        <w:autoSpaceDN/>
        <w:spacing w:line="600" w:lineRule="exact"/>
        <w:jc w:val="center"/>
        <w:rPr>
          <w:rFonts w:ascii="Times New Roman" w:hAnsi="Times New Roman" w:eastAsia="方正小标宋_GBK" w:cs="Times New Roman"/>
          <w:color w:val="000000" w:themeColor="text1"/>
          <w:sz w:val="44"/>
          <w:szCs w:val="44"/>
          <w:highlight w:val="none"/>
          <w:lang w:val="en-US"/>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14:textFill>
            <w14:solidFill>
              <w14:schemeClr w14:val="tx1"/>
            </w14:solidFill>
          </w14:textFill>
        </w:rPr>
        <w:t>平面布置方案</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一、整体方案</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根据楼层分配，11层为办公室。12层大部分为办公区域，东南隔出3间作为试剂药品仓库及现场监测仪器准备室。13-14层为实验区域。</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二、实验区域布局</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实验区域按实验室要求设计。由于新办公楼不能进行破坏性装修，现有实验室通风管道、排风等只能结合楼体原有烟道进行设计，并整体考虑常年主导风向、通风、采光、有效隔离、实验室特殊用房等予以布局。</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总体安排13层为化学分析实验室，14层为大型仪器实验室。</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13层化学分析实验室，建筑面积1265.30m</w:t>
      </w:r>
      <w:r>
        <w:rPr>
          <w:rFonts w:hint="eastAsia" w:eastAsia="仿宋"/>
          <w:color w:val="000000" w:themeColor="text1"/>
          <w:sz w:val="28"/>
          <w:szCs w:val="28"/>
          <w:highlight w:val="none"/>
          <w:vertAlign w:val="superscript"/>
          <w:lang w:val="en-US"/>
          <w14:textFill>
            <w14:solidFill>
              <w14:schemeClr w14:val="tx1"/>
            </w14:solidFill>
          </w14:textFill>
        </w:rPr>
        <w:t>2</w:t>
      </w:r>
      <w:r>
        <w:rPr>
          <w:rFonts w:hint="eastAsia" w:eastAsia="仿宋"/>
          <w:color w:val="000000" w:themeColor="text1"/>
          <w:sz w:val="28"/>
          <w:szCs w:val="28"/>
          <w:highlight w:val="none"/>
          <w:lang w:val="en-US"/>
          <w14:textFill>
            <w14:solidFill>
              <w14:schemeClr w14:val="tx1"/>
            </w14:solidFill>
          </w14:textFill>
        </w:rPr>
        <w:t>，套内面积727.20m</w:t>
      </w:r>
      <w:r>
        <w:rPr>
          <w:rFonts w:hint="eastAsia" w:eastAsia="仿宋"/>
          <w:color w:val="000000" w:themeColor="text1"/>
          <w:sz w:val="28"/>
          <w:szCs w:val="28"/>
          <w:highlight w:val="none"/>
          <w:vertAlign w:val="superscript"/>
          <w:lang w:val="en-US"/>
          <w14:textFill>
            <w14:solidFill>
              <w14:schemeClr w14:val="tx1"/>
            </w14:solidFill>
          </w14:textFill>
        </w:rPr>
        <w:t>2</w:t>
      </w:r>
      <w:r>
        <w:rPr>
          <w:rFonts w:hint="eastAsia" w:eastAsia="仿宋"/>
          <w:color w:val="000000" w:themeColor="text1"/>
          <w:sz w:val="28"/>
          <w:szCs w:val="28"/>
          <w:highlight w:val="none"/>
          <w:lang w:val="en-US"/>
          <w14:textFill>
            <w14:solidFill>
              <w14:schemeClr w14:val="tx1"/>
            </w14:solidFill>
          </w14:textFill>
        </w:rPr>
        <w:t>，共26间。设置样品交接、样品储存、土壤风干、土壤制备、土壤储存、微生物实验室、天平室、比色室、热源室、纯水制备、有毒有害储存室、小型仪器室、化学实验室等功能性实验室，常规化学实验室设置上下水，设置公用通风柜用于常规萃取、蒸馏、配试剂等常规操作。主要进行分光光度法、重量法、容量法、电化学法的大部分分析工作，并开展微生物、土壤样品制备等监测工作。</w:t>
      </w:r>
    </w:p>
    <w:p>
      <w:pPr>
        <w:spacing w:line="600" w:lineRule="exact"/>
        <w:ind w:firstLine="560" w:firstLineChars="200"/>
        <w:rPr>
          <w:rFonts w:eastAsia="仿宋"/>
          <w:color w:val="000000" w:themeColor="text1"/>
          <w:sz w:val="28"/>
          <w:szCs w:val="28"/>
          <w:highlight w:val="none"/>
          <w:lang w:val="en-US"/>
          <w14:textFill>
            <w14:solidFill>
              <w14:schemeClr w14:val="tx1"/>
            </w14:solidFill>
          </w14:textFill>
        </w:rPr>
      </w:pPr>
      <w:r>
        <w:rPr>
          <w:rFonts w:hint="eastAsia" w:eastAsia="仿宋"/>
          <w:color w:val="000000" w:themeColor="text1"/>
          <w:sz w:val="28"/>
          <w:szCs w:val="28"/>
          <w:highlight w:val="none"/>
          <w:lang w:val="en-US"/>
          <w14:textFill>
            <w14:solidFill>
              <w14:schemeClr w14:val="tx1"/>
            </w14:solidFill>
          </w14:textFill>
        </w:rPr>
        <w:t>14层为大型仪器实验室。建筑面积1265.30m</w:t>
      </w:r>
      <w:r>
        <w:rPr>
          <w:rFonts w:hint="eastAsia" w:eastAsia="仿宋"/>
          <w:color w:val="000000" w:themeColor="text1"/>
          <w:sz w:val="28"/>
          <w:szCs w:val="28"/>
          <w:highlight w:val="none"/>
          <w:vertAlign w:val="superscript"/>
          <w:lang w:val="en-US"/>
          <w14:textFill>
            <w14:solidFill>
              <w14:schemeClr w14:val="tx1"/>
            </w14:solidFill>
          </w14:textFill>
        </w:rPr>
        <w:t>2</w:t>
      </w:r>
      <w:r>
        <w:rPr>
          <w:rFonts w:hint="eastAsia" w:eastAsia="仿宋"/>
          <w:color w:val="000000" w:themeColor="text1"/>
          <w:sz w:val="28"/>
          <w:szCs w:val="28"/>
          <w:highlight w:val="none"/>
          <w:lang w:val="en-US"/>
          <w14:textFill>
            <w14:solidFill>
              <w14:schemeClr w14:val="tx1"/>
            </w14:solidFill>
          </w14:textFill>
        </w:rPr>
        <w:t>，套内面积731.60m</w:t>
      </w:r>
      <w:r>
        <w:rPr>
          <w:rFonts w:hint="eastAsia" w:eastAsia="仿宋"/>
          <w:color w:val="000000" w:themeColor="text1"/>
          <w:sz w:val="28"/>
          <w:szCs w:val="28"/>
          <w:highlight w:val="none"/>
          <w:vertAlign w:val="superscript"/>
          <w:lang w:val="en-US"/>
          <w14:textFill>
            <w14:solidFill>
              <w14:schemeClr w14:val="tx1"/>
            </w14:solidFill>
          </w14:textFill>
        </w:rPr>
        <w:t>2</w:t>
      </w:r>
      <w:r>
        <w:rPr>
          <w:rFonts w:hint="eastAsia" w:eastAsia="仿宋"/>
          <w:color w:val="000000" w:themeColor="text1"/>
          <w:sz w:val="28"/>
          <w:szCs w:val="28"/>
          <w:highlight w:val="none"/>
          <w:lang w:val="en-US"/>
          <w14:textFill>
            <w14:solidFill>
              <w14:schemeClr w14:val="tx1"/>
            </w14:solidFill>
          </w14:textFill>
        </w:rPr>
        <w:t>，共18间。设置有机、无机等各类大型仪器实验室及其配套的前处理间。仪器间无上下水设计，主要考虑仪器排风管路及样品前处理废气的集中处理。容纳24台套大型分析仪器、11台套有机前处理仪器设备、5台套无机前处理仪器设备。</w:t>
      </w:r>
    </w:p>
    <w:p>
      <w:pPr>
        <w:pStyle w:val="2"/>
        <w:spacing w:before="246" w:line="360" w:lineRule="auto"/>
        <w:ind w:right="96"/>
        <w:jc w:val="lef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numPr>
          <w:ilvl w:val="0"/>
          <w:numId w:val="23"/>
        </w:numPr>
        <w:spacing w:before="246" w:line="360" w:lineRule="auto"/>
        <w:ind w:left="420" w:leftChars="0" w:right="96"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售后服务及商务要求</w:t>
      </w:r>
    </w:p>
    <w:tbl>
      <w:tblPr>
        <w:tblStyle w:val="23"/>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（一）售后服务要求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5"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售后服务要求</w:t>
            </w:r>
          </w:p>
        </w:tc>
        <w:tc>
          <w:tcPr>
            <w:tcW w:w="8204"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1.免费保修期：按国家有关产品“三包”规定执行“三包”，免费保修期不得少于</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 xml:space="preserve"> 年，其中本项目采购范围内的涉及“中央台、仪器台、实验台”所采用台面板要求质保不得少于</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年；（免费保修期从设备验收合格之日起计算，项目要求及技术需求中规定的，按规定执行）。免费保修期内免费上门维修（免收维修费和元器件费）、免费更换零部件，并提供终身维修服务。</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2.售后服务基本要求（投标人提供的以下售后服务产生的费用均应综合包含在投标报价中，采购人不再就此另行付费）：</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（1）采购范围内的货物提供送货上门，按采购人要求安装调试服务；并提供技术培训服务，直至操作人员熟练操作产品的各项功能。</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3.投标人根据以上售后服务要求，于投标文件中必须提供相应售后服务承诺书。</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4.投标人根据售后服务要求和自身情况，可于投标文件中提供相应的增值售后服务方案：包含但不限于：</w:t>
            </w:r>
            <w:r>
              <w:rPr>
                <w:rFonts w:hint="eastAsia"/>
                <w:color w:val="000000" w:themeColor="text1"/>
                <w:highlight w:val="none"/>
                <w14:textFill>
                  <w14:solidFill>
                    <w14:schemeClr w14:val="tx1"/>
                  </w14:solidFill>
                </w14:textFill>
              </w:rPr>
              <w:t>售后服务保障、免费保修期外维修方案、其他增值售后服务或其它实质性优惠措施等</w:t>
            </w:r>
            <w:r>
              <w:rPr>
                <w:rFonts w:hint="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0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商务要求</w:t>
            </w:r>
          </w:p>
        </w:tc>
        <w:tc>
          <w:tcPr>
            <w:tcW w:w="820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w:t>
            </w:r>
            <w:r>
              <w:rPr>
                <w:rFonts w:hint="eastAsia" w:cs="Arial"/>
                <w:color w:val="000000" w:themeColor="text1"/>
                <w:szCs w:val="21"/>
                <w:highlight w:val="none"/>
                <w14:textFill>
                  <w14:solidFill>
                    <w14:schemeClr w14:val="tx1"/>
                  </w14:solidFill>
                </w14:textFill>
              </w:rPr>
              <w:t>交货期及交货地点：</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1.交货期：自签订合同之日起 </w:t>
            </w:r>
            <w:r>
              <w:rPr>
                <w:rFonts w:hint="eastAsia"/>
                <w:b/>
                <w:bCs/>
                <w:color w:val="000000" w:themeColor="text1"/>
                <w:szCs w:val="21"/>
                <w:highlight w:val="none"/>
                <w:lang w:val="en-US"/>
                <w14:textFill>
                  <w14:solidFill>
                    <w14:schemeClr w14:val="tx1"/>
                  </w14:solidFill>
                </w14:textFill>
              </w:rPr>
              <w:t>5</w:t>
            </w:r>
            <w:r>
              <w:rPr>
                <w:rFonts w:hint="eastAsia"/>
                <w:b/>
                <w:bCs/>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 xml:space="preserve"> 天内到货并全部安装调试合格完毕；</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2．交货地点：广西桂林市采购人指定地点。</w:t>
            </w:r>
          </w:p>
          <w:p>
            <w:pPr>
              <w:spacing w:line="360" w:lineRule="exact"/>
              <w:rPr>
                <w:rFonts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w:t>
            </w:r>
            <w:r>
              <w:rPr>
                <w:rFonts w:hint="eastAsia" w:cs="Arial"/>
                <w:color w:val="000000" w:themeColor="text1"/>
                <w:szCs w:val="21"/>
                <w:highlight w:val="none"/>
                <w14:textFill>
                  <w14:solidFill>
                    <w14:schemeClr w14:val="tx1"/>
                  </w14:solidFill>
                </w14:textFill>
              </w:rPr>
              <w:t>规范标准：</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1.采购标的需执行国家标准、行业标准、地方标准或者其他标准、规范。</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2.验收过程中所产生的一切费用均由中标供应商承担，投标人在投标报价时应综合考虑相关费用。</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3.采购项目需求有其他要求的按其要求。</w:t>
            </w:r>
          </w:p>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（三）付款方式：</w:t>
            </w:r>
          </w:p>
          <w:p>
            <w:pPr>
              <w:spacing w:line="360" w:lineRule="exact"/>
              <w:ind w:firstLine="440" w:firstLineChars="200"/>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自双方签订合同生效之日起7</w:t>
            </w:r>
            <w:r>
              <w:rPr>
                <w:color w:val="000000" w:themeColor="text1"/>
                <w:szCs w:val="21"/>
                <w:highlight w:val="none"/>
                <w14:textFill>
                  <w14:solidFill>
                    <w14:schemeClr w14:val="tx1"/>
                  </w14:solidFill>
                </w14:textFill>
              </w:rPr>
              <w:t>个工作日</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乙方向甲方提交付款申请函及开具相应金额的发票，</w:t>
            </w:r>
            <w:r>
              <w:rPr>
                <w:rFonts w:hint="eastAsia"/>
                <w:color w:val="000000" w:themeColor="text1"/>
                <w:szCs w:val="21"/>
                <w:highlight w:val="none"/>
                <w14:textFill>
                  <w14:solidFill>
                    <w14:schemeClr w14:val="tx1"/>
                  </w14:solidFill>
                </w14:textFill>
              </w:rPr>
              <w:t>甲方向乙方支付合同总额</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0%预付款</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项目</w:t>
            </w:r>
            <w:r>
              <w:rPr>
                <w:rFonts w:hint="eastAsia"/>
                <w:color w:val="000000" w:themeColor="text1"/>
                <w:szCs w:val="21"/>
                <w:highlight w:val="none"/>
                <w:lang w:eastAsia="zh-CN"/>
                <w14:textFill>
                  <w14:solidFill>
                    <w14:schemeClr w14:val="tx1"/>
                  </w14:solidFill>
                </w14:textFill>
              </w:rPr>
              <w:t>交货完成</w:t>
            </w:r>
            <w:r>
              <w:rPr>
                <w:rFonts w:hint="eastAsia"/>
                <w:color w:val="000000" w:themeColor="text1"/>
                <w:szCs w:val="21"/>
                <w:highlight w:val="none"/>
                <w:lang w:val="en-US" w:eastAsia="zh-CN"/>
                <w14:textFill>
                  <w14:solidFill>
                    <w14:schemeClr w14:val="tx1"/>
                  </w14:solidFill>
                </w14:textFill>
              </w:rPr>
              <w:t>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乙方</w:t>
            </w:r>
            <w:r>
              <w:rPr>
                <w:rFonts w:hint="eastAsia"/>
                <w:color w:val="000000" w:themeColor="text1"/>
                <w:szCs w:val="21"/>
                <w:highlight w:val="none"/>
                <w:lang w:val="en-US" w:eastAsia="zh-CN"/>
                <w14:textFill>
                  <w14:solidFill>
                    <w14:schemeClr w14:val="tx1"/>
                  </w14:solidFill>
                </w14:textFill>
              </w:rPr>
              <w:t>须先</w:t>
            </w:r>
            <w:r>
              <w:rPr>
                <w:color w:val="000000" w:themeColor="text1"/>
                <w:szCs w:val="21"/>
                <w:highlight w:val="none"/>
                <w14:textFill>
                  <w14:solidFill>
                    <w14:schemeClr w14:val="tx1"/>
                  </w14:solidFill>
                </w14:textFill>
              </w:rPr>
              <w:t>向甲方</w:t>
            </w:r>
            <w:r>
              <w:rPr>
                <w:rFonts w:hint="eastAsia"/>
                <w:color w:val="000000" w:themeColor="text1"/>
                <w:szCs w:val="21"/>
                <w:highlight w:val="none"/>
                <w:lang w:eastAsia="zh-CN"/>
                <w14:textFill>
                  <w14:solidFill>
                    <w14:schemeClr w14:val="tx1"/>
                  </w14:solidFill>
                </w14:textFill>
              </w:rPr>
              <w:t>开具</w:t>
            </w:r>
            <w:r>
              <w:rPr>
                <w:rFonts w:hint="eastAsia"/>
                <w:color w:val="000000" w:themeColor="text1"/>
                <w:szCs w:val="21"/>
                <w:highlight w:val="none"/>
                <w14:textFill>
                  <w14:solidFill>
                    <w14:schemeClr w14:val="tx1"/>
                  </w14:solidFill>
                </w14:textFill>
              </w:rPr>
              <w:t>合同总</w:t>
            </w:r>
            <w:r>
              <w:rPr>
                <w:color w:val="000000" w:themeColor="text1"/>
                <w:szCs w:val="21"/>
                <w:highlight w:val="none"/>
                <w14:textFill>
                  <w14:solidFill>
                    <w14:schemeClr w14:val="tx1"/>
                  </w14:solidFill>
                </w14:textFill>
              </w:rPr>
              <w:t>额</w:t>
            </w:r>
            <w:r>
              <w:rPr>
                <w:rFonts w:hint="eastAsia"/>
                <w:color w:val="000000" w:themeColor="text1"/>
                <w:szCs w:val="21"/>
                <w:highlight w:val="none"/>
                <w:lang w:val="en-US" w:eastAsia="zh-CN"/>
                <w14:textFill>
                  <w14:solidFill>
                    <w14:schemeClr w14:val="tx1"/>
                  </w14:solidFill>
                </w14:textFill>
              </w:rPr>
              <w:t>5</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的质保金保函，</w:t>
            </w:r>
            <w:r>
              <w:rPr>
                <w:rFonts w:hint="eastAsia"/>
                <w:color w:val="000000" w:themeColor="text1"/>
                <w:szCs w:val="21"/>
                <w:highlight w:val="none"/>
                <w:lang w:val="en-US" w:eastAsia="zh-CN"/>
                <w14:textFill>
                  <w14:solidFill>
                    <w14:schemeClr w14:val="tx1"/>
                  </w14:solidFill>
                </w14:textFill>
              </w:rPr>
              <w:t>且向甲方提交付款申请函及开具相应金额的发票后，</w:t>
            </w:r>
            <w:r>
              <w:rPr>
                <w:rFonts w:hint="eastAsia"/>
                <w:color w:val="000000" w:themeColor="text1"/>
                <w:szCs w:val="21"/>
                <w:highlight w:val="none"/>
                <w14:textFill>
                  <w14:solidFill>
                    <w14:schemeClr w14:val="tx1"/>
                  </w14:solidFill>
                </w14:textFill>
              </w:rPr>
              <w:t>甲方向乙方支付合同总额</w:t>
            </w:r>
            <w:r>
              <w:rPr>
                <w:rFonts w:hint="eastAsia"/>
                <w:color w:val="000000" w:themeColor="text1"/>
                <w:szCs w:val="21"/>
                <w:highlight w:val="none"/>
                <w:lang w:val="en-US" w:eastAsia="zh-CN"/>
                <w14:textFill>
                  <w14:solidFill>
                    <w14:schemeClr w14:val="tx1"/>
                  </w14:solidFill>
                </w14:textFill>
              </w:rPr>
              <w:t>45</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；项目</w:t>
            </w:r>
            <w:r>
              <w:rPr>
                <w:rFonts w:hint="eastAsia"/>
                <w:color w:val="000000" w:themeColor="text1"/>
                <w:szCs w:val="21"/>
                <w:highlight w:val="none"/>
                <w:lang w:eastAsia="zh-CN"/>
                <w14:textFill>
                  <w14:solidFill>
                    <w14:schemeClr w14:val="tx1"/>
                  </w14:solidFill>
                </w14:textFill>
              </w:rPr>
              <w:t>安装完成后，</w:t>
            </w:r>
            <w:r>
              <w:rPr>
                <w:rFonts w:hint="eastAsia"/>
                <w:color w:val="000000" w:themeColor="text1"/>
                <w:szCs w:val="21"/>
                <w:highlight w:val="none"/>
                <w:lang w:val="en-US" w:eastAsia="zh-CN"/>
                <w14:textFill>
                  <w14:solidFill>
                    <w14:schemeClr w14:val="tx1"/>
                  </w14:solidFill>
                </w14:textFill>
              </w:rPr>
              <w:t>乙方向甲方提交付款申请函及开具相应金额的发票，</w:t>
            </w:r>
            <w:r>
              <w:rPr>
                <w:rFonts w:hint="eastAsia"/>
                <w:color w:val="000000" w:themeColor="text1"/>
                <w:szCs w:val="21"/>
                <w:highlight w:val="none"/>
                <w14:textFill>
                  <w14:solidFill>
                    <w14:schemeClr w14:val="tx1"/>
                  </w14:solidFill>
                </w14:textFill>
              </w:rPr>
              <w:t>甲方向乙方支付合同总额</w:t>
            </w:r>
            <w:r>
              <w:rPr>
                <w:rFonts w:hint="eastAsia"/>
                <w:color w:val="000000" w:themeColor="text1"/>
                <w:szCs w:val="21"/>
                <w:highlight w:val="none"/>
                <w:lang w:val="en-US" w:eastAsia="zh-CN"/>
                <w14:textFill>
                  <w14:solidFill>
                    <w14:schemeClr w14:val="tx1"/>
                  </w14:solidFill>
                </w14:textFill>
              </w:rPr>
              <w:t>15</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项目</w:t>
            </w:r>
            <w:r>
              <w:rPr>
                <w:rFonts w:hint="eastAsia"/>
                <w:color w:val="000000" w:themeColor="text1"/>
                <w:szCs w:val="21"/>
                <w:highlight w:val="none"/>
                <w:lang w:eastAsia="zh-CN"/>
                <w14:textFill>
                  <w14:solidFill>
                    <w14:schemeClr w14:val="tx1"/>
                  </w14:solidFill>
                </w14:textFill>
              </w:rPr>
              <w:t>验收后，</w:t>
            </w:r>
            <w:r>
              <w:rPr>
                <w:rFonts w:hint="eastAsia"/>
                <w:color w:val="000000" w:themeColor="text1"/>
                <w:szCs w:val="21"/>
                <w:highlight w:val="none"/>
                <w:lang w:val="en-US" w:eastAsia="zh-CN"/>
                <w14:textFill>
                  <w14:solidFill>
                    <w14:schemeClr w14:val="tx1"/>
                  </w14:solidFill>
                </w14:textFill>
              </w:rPr>
              <w:t>乙方向甲方提交付款申请函及开具相应金额的发票，</w:t>
            </w:r>
            <w:r>
              <w:rPr>
                <w:rFonts w:hint="eastAsia"/>
                <w:color w:val="000000" w:themeColor="text1"/>
                <w:szCs w:val="21"/>
                <w:highlight w:val="none"/>
                <w14:textFill>
                  <w14:solidFill>
                    <w14:schemeClr w14:val="tx1"/>
                  </w14:solidFill>
                </w14:textFill>
              </w:rPr>
              <w:t>甲方向乙方支付合同总额</w:t>
            </w:r>
            <w:r>
              <w:rPr>
                <w:rFonts w:hint="eastAsia"/>
                <w:color w:val="000000" w:themeColor="text1"/>
                <w:szCs w:val="21"/>
                <w:highlight w:val="none"/>
                <w:lang w:val="en-US" w:eastAsia="zh-CN"/>
                <w14:textFill>
                  <w14:solidFill>
                    <w14:schemeClr w14:val="tx1"/>
                  </w14:solidFill>
                </w14:textFill>
              </w:rPr>
              <w:t>10</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质保金保函在项目验收合格满一年经乙方向甲方申请后的15个工作日内退还给乙方（不计利息）。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四、项目实施方案</w:t>
            </w:r>
          </w:p>
        </w:tc>
        <w:tc>
          <w:tcPr>
            <w:tcW w:w="8204" w:type="dxa"/>
            <w:tcBorders>
              <w:top w:val="single" w:color="000000" w:sz="4" w:space="0"/>
              <w:left w:val="single" w:color="000000" w:sz="4" w:space="0"/>
              <w:bottom w:val="single" w:color="000000" w:sz="4" w:space="0"/>
              <w:right w:val="single" w:color="000000" w:sz="4" w:space="0"/>
            </w:tcBorders>
            <w:vAlign w:val="center"/>
          </w:tcPr>
          <w:p>
            <w:pPr>
              <w:spacing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投标人根据招标文件要求，于投标文件中必须提供本项目的项目实施方案，该方案应当考虑内容的完整性、针对性、合理性等方面进行编制，包含如下但不限于：进度计划、项目实施技术方案等。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五、其他要求</w:t>
            </w:r>
          </w:p>
        </w:tc>
        <w:tc>
          <w:tcPr>
            <w:tcW w:w="8204" w:type="dxa"/>
            <w:tcBorders>
              <w:top w:val="single" w:color="000000" w:sz="4" w:space="0"/>
              <w:left w:val="single" w:color="000000" w:sz="4" w:space="0"/>
              <w:bottom w:val="single" w:color="000000" w:sz="4" w:space="0"/>
              <w:right w:val="single" w:color="000000" w:sz="4" w:space="0"/>
            </w:tcBorders>
          </w:tcPr>
          <w:p>
            <w:pPr>
              <w:widowControl/>
              <w:spacing w:line="360" w:lineRule="exact"/>
              <w:rPr>
                <w:bCs/>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1.本项目政府采购预算金额为人民币  </w:t>
            </w:r>
            <w:r>
              <w:rPr>
                <w:rFonts w:hint="eastAsia"/>
                <w:b/>
                <w:color w:val="000000" w:themeColor="text1"/>
                <w:szCs w:val="21"/>
                <w:highlight w:val="none"/>
                <w:lang w:val="en-US"/>
                <w14:textFill>
                  <w14:solidFill>
                    <w14:schemeClr w14:val="tx1"/>
                  </w14:solidFill>
                </w14:textFill>
              </w:rPr>
              <w:t>414.9万</w:t>
            </w:r>
            <w:r>
              <w:rPr>
                <w:rFonts w:hint="eastAsia"/>
                <w:b/>
                <w:color w:val="000000" w:themeColor="text1"/>
                <w:szCs w:val="21"/>
                <w:highlight w:val="none"/>
                <w14:textFill>
                  <w14:solidFill>
                    <w14:schemeClr w14:val="tx1"/>
                  </w14:solidFill>
                </w14:textFill>
              </w:rPr>
              <w:t>元整</w:t>
            </w:r>
            <w:r>
              <w:rPr>
                <w:rFonts w:hint="eastAsia"/>
                <w:bCs/>
                <w:color w:val="000000" w:themeColor="text1"/>
                <w:szCs w:val="21"/>
                <w:highlight w:val="none"/>
                <w14:textFill>
                  <w14:solidFill>
                    <w14:schemeClr w14:val="tx1"/>
                  </w14:solidFill>
                </w14:textFill>
              </w:rPr>
              <w:t>，本项目预算金额除包含以上设备采购外，还包含水电（含动力电）安装、改造及附属设施，以保证设备正常运转及使用。投标人需综合考虑投标报价，超政府采购预算的，投标文件作无效处理。</w:t>
            </w:r>
          </w:p>
          <w:p>
            <w:pPr>
              <w:widowControl/>
              <w:spacing w:line="360" w:lineRule="exact"/>
              <w:rPr>
                <w:b/>
                <w:bCs/>
                <w:color w:val="000000" w:themeColor="text1"/>
                <w:sz w:val="21"/>
                <w:szCs w:val="21"/>
                <w:highlight w:val="none"/>
                <w:lang w:val="en-US" w:bidi="ar-SA"/>
                <w14:textFill>
                  <w14:solidFill>
                    <w14:schemeClr w14:val="tx1"/>
                  </w14:solidFill>
                </w14:textFill>
              </w:rPr>
            </w:pPr>
            <w:r>
              <w:rPr>
                <w:rFonts w:hint="eastAsia"/>
                <w:bCs/>
                <w:color w:val="000000" w:themeColor="text1"/>
                <w:szCs w:val="21"/>
                <w:highlight w:val="none"/>
                <w14:textFill>
                  <w14:solidFill>
                    <w14:schemeClr w14:val="tx1"/>
                  </w14:solidFill>
                </w14:textFill>
              </w:rPr>
              <w:t>2.本项目核心产品：</w:t>
            </w:r>
            <w:r>
              <w:rPr>
                <w:rFonts w:hint="eastAsia"/>
                <w:bCs/>
                <w:color w:val="000000" w:themeColor="text1"/>
                <w:szCs w:val="21"/>
                <w:highlight w:val="none"/>
                <w:lang w:val="en-US"/>
                <w14:textFill>
                  <w14:solidFill>
                    <w14:schemeClr w14:val="tx1"/>
                  </w14:solidFill>
                </w14:textFill>
              </w:rPr>
              <w:t>第一项</w:t>
            </w:r>
            <w:r>
              <w:rPr>
                <w:rFonts w:hint="eastAsia"/>
                <w:b/>
                <w:bCs/>
                <w:color w:val="000000" w:themeColor="text1"/>
                <w:sz w:val="21"/>
                <w:szCs w:val="21"/>
                <w:highlight w:val="none"/>
                <w:lang w:val="en-US" w:bidi="ar-SA"/>
                <w14:textFill>
                  <w14:solidFill>
                    <w14:schemeClr w14:val="tx1"/>
                  </w14:solidFill>
                </w14:textFill>
              </w:rPr>
              <w:t>实验台柜系统中的实验台、仪器台</w:t>
            </w:r>
          </w:p>
          <w:p>
            <w:pPr>
              <w:pStyle w:val="3"/>
              <w:jc w:val="both"/>
              <w:rPr>
                <w:b w:val="0"/>
                <w:color w:val="000000" w:themeColor="text1"/>
                <w:sz w:val="22"/>
                <w:szCs w:val="21"/>
                <w:highlight w:val="none"/>
                <w:lang w:val="en-US"/>
                <w14:textFill>
                  <w14:solidFill>
                    <w14:schemeClr w14:val="tx1"/>
                  </w14:solidFill>
                </w14:textFill>
              </w:rPr>
            </w:pPr>
            <w:r>
              <w:rPr>
                <w:rFonts w:hint="eastAsia"/>
                <w:b w:val="0"/>
                <w:color w:val="000000" w:themeColor="text1"/>
                <w:sz w:val="22"/>
                <w:szCs w:val="21"/>
                <w:highlight w:val="none"/>
                <w:lang w:val="en-US"/>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的，按技术分由高到底顺序排列），其他同品牌投标人不作为中标候选人。</w:t>
            </w:r>
          </w:p>
          <w:p>
            <w:pPr>
              <w:widowControl/>
              <w:spacing w:line="360" w:lineRule="exact"/>
              <w:rPr>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3</w:t>
            </w:r>
            <w:r>
              <w:rPr>
                <w:bCs/>
                <w:color w:val="000000" w:themeColor="text1"/>
                <w:szCs w:val="21"/>
                <w:highlight w:val="none"/>
                <w14:textFill>
                  <w14:solidFill>
                    <w14:schemeClr w14:val="tx1"/>
                  </w14:solidFill>
                </w14:textFill>
              </w:rPr>
              <w:t>.评标委员会认为投标人的报价明显低于其他通过</w:t>
            </w:r>
            <w:r>
              <w:rPr>
                <w:rFonts w:hint="eastAsia"/>
                <w:bCs/>
                <w:color w:val="000000" w:themeColor="text1"/>
                <w:szCs w:val="21"/>
                <w:highlight w:val="none"/>
                <w:lang w:eastAsia="zh-CN"/>
                <w14:textFill>
                  <w14:solidFill>
                    <w14:schemeClr w14:val="tx1"/>
                  </w14:solidFill>
                </w14:textFill>
              </w:rPr>
              <w:t>资格性及</w:t>
            </w:r>
            <w:r>
              <w:rPr>
                <w:bCs/>
                <w:color w:val="000000" w:themeColor="text1"/>
                <w:szCs w:val="21"/>
                <w:highlight w:val="none"/>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rPr>
          <w:color w:val="000000" w:themeColor="text1"/>
          <w:highlight w:val="none"/>
          <w:lang w:val="en-US"/>
          <w14:textFill>
            <w14:solidFill>
              <w14:schemeClr w14:val="tx1"/>
            </w14:solidFill>
          </w14:textFill>
        </w:rPr>
        <w:sectPr>
          <w:headerReference r:id="rId9" w:type="default"/>
          <w:footerReference r:id="rId10" w:type="default"/>
          <w:pgSz w:w="11910" w:h="16840"/>
          <w:pgMar w:top="1580" w:right="1140" w:bottom="900" w:left="1200" w:header="0" w:footer="640" w:gutter="0"/>
          <w:cols w:space="720" w:num="1"/>
        </w:sectPr>
      </w:pPr>
    </w:p>
    <w:p>
      <w:pPr>
        <w:pStyle w:val="4"/>
        <w:rPr>
          <w:color w:val="000000" w:themeColor="text1"/>
          <w:highlight w:val="none"/>
          <w14:textFill>
            <w14:solidFill>
              <w14:schemeClr w14:val="tx1"/>
            </w14:solidFill>
          </w14:textFill>
        </w:rPr>
      </w:pPr>
      <w:bookmarkStart w:id="105" w:name="_Toc24130"/>
      <w:r>
        <w:rPr>
          <w:color w:val="000000" w:themeColor="text1"/>
          <w:highlight w:val="none"/>
          <w14:textFill>
            <w14:solidFill>
              <w14:schemeClr w14:val="tx1"/>
            </w14:solidFill>
          </w14:textFill>
        </w:rPr>
        <w:t>第四章 评标办法</w:t>
      </w:r>
      <w:bookmarkEnd w:id="105"/>
    </w:p>
    <w:p>
      <w:pPr>
        <w:pStyle w:val="7"/>
        <w:spacing w:before="1"/>
        <w:rPr>
          <w:color w:val="000000" w:themeColor="text1"/>
          <w:highlight w:val="none"/>
          <w14:textFill>
            <w14:solidFill>
              <w14:schemeClr w14:val="tx1"/>
            </w14:solidFill>
          </w14:textFill>
        </w:rPr>
      </w:pPr>
      <w:bookmarkStart w:id="106" w:name="_Toc3150"/>
      <w:r>
        <w:rPr>
          <w:color w:val="000000" w:themeColor="text1"/>
          <w:highlight w:val="none"/>
          <w14:textFill>
            <w14:solidFill>
              <w14:schemeClr w14:val="tx1"/>
            </w14:solidFill>
          </w14:textFill>
        </w:rPr>
        <w:t>一、投标文件评审(初步评审)：</w:t>
      </w:r>
      <w:bookmarkEnd w:id="106"/>
    </w:p>
    <w:p>
      <w:pPr>
        <w:pStyle w:val="13"/>
        <w:spacing w:before="152" w:line="393" w:lineRule="auto"/>
        <w:ind w:left="215" w:right="316" w:firstLine="420"/>
        <w:rPr>
          <w:color w:val="000000" w:themeColor="text1"/>
          <w:spacing w:val="-10"/>
          <w:highlight w:val="none"/>
          <w14:textFill>
            <w14:solidFill>
              <w14:schemeClr w14:val="tx1"/>
            </w14:solidFill>
          </w14:textFill>
        </w:rPr>
      </w:pPr>
      <w:r>
        <w:rPr>
          <w:color w:val="000000" w:themeColor="text1"/>
          <w:w w:val="95"/>
          <w:highlight w:val="none"/>
          <w14:textFill>
            <w14:solidFill>
              <w14:schemeClr w14:val="tx1"/>
            </w14:solidFill>
          </w14:textFill>
        </w:rPr>
        <w:t>1</w:t>
      </w:r>
      <w:r>
        <w:rPr>
          <w:color w:val="000000" w:themeColor="text1"/>
          <w:spacing w:val="-10"/>
          <w:w w:val="95"/>
          <w:highlight w:val="none"/>
          <w14:textFill>
            <w14:solidFill>
              <w14:schemeClr w14:val="tx1"/>
            </w14:solidFill>
          </w14:textFill>
        </w:rPr>
        <w:t>、</w:t>
      </w:r>
      <w:r>
        <w:rPr>
          <w:color w:val="000000" w:themeColor="text1"/>
          <w:spacing w:val="-10"/>
          <w:highlight w:val="none"/>
          <w14:textFill>
            <w14:solidFill>
              <w14:schemeClr w14:val="tx1"/>
            </w14:solidFill>
          </w14:textFill>
        </w:rPr>
        <w:t>招标人或招标代理机构依据法律法规和招标文件的规定，对投标文件中的资格证明进行资格性审查，以确定投标人是否具备投标资格。</w:t>
      </w:r>
    </w:p>
    <w:p>
      <w:pPr>
        <w:pStyle w:val="13"/>
        <w:spacing w:before="152" w:line="393" w:lineRule="auto"/>
        <w:ind w:left="215" w:right="316" w:firstLine="420"/>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2</w:t>
      </w:r>
      <w:r>
        <w:rPr>
          <w:color w:val="000000" w:themeColor="text1"/>
          <w:spacing w:val="-9"/>
          <w:w w:val="95"/>
          <w:highlight w:val="none"/>
          <w14:textFill>
            <w14:solidFill>
              <w14:schemeClr w14:val="tx1"/>
            </w14:solidFill>
          </w14:textFill>
        </w:rPr>
        <w:t>、</w:t>
      </w:r>
      <w:r>
        <w:rPr>
          <w:color w:val="000000" w:themeColor="text1"/>
          <w:spacing w:val="-10"/>
          <w:highlight w:val="none"/>
          <w14:textFill>
            <w14:solidFill>
              <w14:schemeClr w14:val="tx1"/>
            </w14:solidFill>
          </w14:textFill>
        </w:rPr>
        <w:t>评标委员会依据招标文件的规定，从投标文件的有效性、完整性和对招标文件的响应程度进</w:t>
      </w:r>
      <w:r>
        <w:rPr>
          <w:color w:val="000000" w:themeColor="text1"/>
          <w:spacing w:val="-9"/>
          <w:highlight w:val="none"/>
          <w14:textFill>
            <w14:solidFill>
              <w14:schemeClr w14:val="tx1"/>
            </w14:solidFill>
          </w14:textFill>
        </w:rPr>
        <w:t>行符合性审查，以确定是否对招标文件的实质性要求作出响应。</w:t>
      </w:r>
    </w:p>
    <w:p>
      <w:pPr>
        <w:pStyle w:val="13"/>
        <w:spacing w:before="2" w:after="29"/>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3、资格性及符合性审查内容：</w:t>
      </w:r>
    </w:p>
    <w:tbl>
      <w:tblPr>
        <w:tblStyle w:val="23"/>
        <w:tblW w:w="9138"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567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138" w:type="dxa"/>
            <w:gridSpan w:val="3"/>
          </w:tcPr>
          <w:p>
            <w:pPr>
              <w:pStyle w:val="32"/>
              <w:spacing w:before="152"/>
              <w:ind w:left="3905" w:right="3884"/>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32" w:type="dxa"/>
          </w:tcPr>
          <w:p>
            <w:pPr>
              <w:pStyle w:val="32"/>
              <w:spacing w:before="6"/>
              <w:rPr>
                <w:color w:val="000000" w:themeColor="text1"/>
                <w:sz w:val="15"/>
                <w:highlight w:val="none"/>
                <w14:textFill>
                  <w14:solidFill>
                    <w14:schemeClr w14:val="tx1"/>
                  </w14:solidFill>
                </w14:textFill>
              </w:rPr>
            </w:pPr>
          </w:p>
          <w:p>
            <w:pPr>
              <w:pStyle w:val="32"/>
              <w:ind w:left="90" w:right="70"/>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序号</w:t>
            </w:r>
          </w:p>
        </w:tc>
        <w:tc>
          <w:tcPr>
            <w:tcW w:w="5671" w:type="dxa"/>
          </w:tcPr>
          <w:p>
            <w:pPr>
              <w:pStyle w:val="32"/>
              <w:spacing w:before="6"/>
              <w:rPr>
                <w:color w:val="000000" w:themeColor="text1"/>
                <w:sz w:val="15"/>
                <w:highlight w:val="none"/>
                <w14:textFill>
                  <w14:solidFill>
                    <w14:schemeClr w14:val="tx1"/>
                  </w14:solidFill>
                </w14:textFill>
              </w:rPr>
            </w:pPr>
          </w:p>
          <w:p>
            <w:pPr>
              <w:pStyle w:val="32"/>
              <w:ind w:left="717" w:right="698"/>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评审因素</w:t>
            </w:r>
          </w:p>
        </w:tc>
        <w:tc>
          <w:tcPr>
            <w:tcW w:w="2835" w:type="dxa"/>
          </w:tcPr>
          <w:p>
            <w:pPr>
              <w:pStyle w:val="32"/>
              <w:spacing w:before="6"/>
              <w:rPr>
                <w:color w:val="000000" w:themeColor="text1"/>
                <w:sz w:val="15"/>
                <w:highlight w:val="none"/>
                <w14:textFill>
                  <w14:solidFill>
                    <w14:schemeClr w14:val="tx1"/>
                  </w14:solidFill>
                </w14:textFill>
              </w:rPr>
            </w:pPr>
          </w:p>
          <w:p>
            <w:pPr>
              <w:pStyle w:val="32"/>
              <w:ind w:left="926" w:right="1015"/>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32" w:type="dxa"/>
          </w:tcPr>
          <w:p>
            <w:pPr>
              <w:pStyle w:val="32"/>
              <w:spacing w:before="4"/>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5671" w:type="dxa"/>
          </w:tcPr>
          <w:p>
            <w:pPr>
              <w:pStyle w:val="32"/>
              <w:spacing w:line="391" w:lineRule="auto"/>
              <w:ind w:left="107" w:right="19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投标人相应的法定代表人或负责人或自然人身份证正反面 复印件</w:t>
            </w:r>
          </w:p>
        </w:tc>
        <w:tc>
          <w:tcPr>
            <w:tcW w:w="2835" w:type="dxa"/>
          </w:tcPr>
          <w:p>
            <w:pPr>
              <w:pStyle w:val="32"/>
              <w:spacing w:line="440" w:lineRule="exact"/>
              <w:ind w:left="107" w:right="108" w:firstLine="8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0" w:hRule="atLeast"/>
        </w:trPr>
        <w:tc>
          <w:tcPr>
            <w:tcW w:w="632" w:type="dxa"/>
          </w:tcPr>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spacing w:before="1"/>
              <w:rPr>
                <w:color w:val="000000" w:themeColor="text1"/>
                <w:sz w:val="14"/>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2</w:t>
            </w:r>
          </w:p>
        </w:tc>
        <w:tc>
          <w:tcPr>
            <w:tcW w:w="5671" w:type="dxa"/>
          </w:tcPr>
          <w:p>
            <w:pPr>
              <w:pStyle w:val="32"/>
              <w:spacing w:line="391" w:lineRule="auto"/>
              <w:ind w:left="107" w:right="19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投标人的授权委托书原件、委托代理人身份证正反面复印件 以及由县级以上（含县级）社会养老保险经办机构出具的投 标人为委托代理人交纳社保证明复印件【自然人投标的应提 供由县级以上（含县级）社会养老保险经办机构出具的自然 人本人及委托代理人所交纳的投标截止日当月的前三个月社 保证明复印件（投标截止日当月的前六个月中任意连续三个月）】</w:t>
            </w:r>
          </w:p>
        </w:tc>
        <w:tc>
          <w:tcPr>
            <w:tcW w:w="2835" w:type="dxa"/>
          </w:tcPr>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spacing w:before="11"/>
              <w:rPr>
                <w:color w:val="000000" w:themeColor="text1"/>
                <w:sz w:val="19"/>
                <w:highlight w:val="none"/>
                <w14:textFill>
                  <w14:solidFill>
                    <w14:schemeClr w14:val="tx1"/>
                  </w14:solidFill>
                </w14:textFill>
              </w:rPr>
            </w:pPr>
          </w:p>
          <w:p>
            <w:pPr>
              <w:pStyle w:val="32"/>
              <w:spacing w:line="391" w:lineRule="auto"/>
              <w:ind w:left="107" w:right="19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委托代理时必须提供，投标文件提供的资料是否符合招标文件要求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3"/>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3</w:t>
            </w:r>
          </w:p>
        </w:tc>
        <w:tc>
          <w:tcPr>
            <w:tcW w:w="5671" w:type="dxa"/>
          </w:tcPr>
          <w:p>
            <w:pPr>
              <w:pStyle w:val="32"/>
              <w:spacing w:before="3"/>
              <w:rPr>
                <w:color w:val="000000" w:themeColor="text1"/>
                <w:sz w:val="28"/>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投标人的法人或者其他组织营业执照等证明文件复印件</w:t>
            </w:r>
          </w:p>
        </w:tc>
        <w:tc>
          <w:tcPr>
            <w:tcW w:w="2835" w:type="dxa"/>
          </w:tcPr>
          <w:p>
            <w:pPr>
              <w:pStyle w:val="32"/>
              <w:spacing w:before="141"/>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投标文件提供的资料是否符</w:t>
            </w:r>
          </w:p>
          <w:p>
            <w:pPr>
              <w:pStyle w:val="32"/>
              <w:spacing w:before="17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3"/>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4</w:t>
            </w:r>
          </w:p>
        </w:tc>
        <w:tc>
          <w:tcPr>
            <w:tcW w:w="5671" w:type="dxa"/>
          </w:tcPr>
          <w:p>
            <w:pPr>
              <w:pStyle w:val="32"/>
              <w:spacing w:before="141"/>
              <w:ind w:left="107" w:right="-29"/>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投标人有效的组织机构代码证复印件</w:t>
            </w:r>
            <w:r>
              <w:rPr>
                <w:color w:val="000000" w:themeColor="text1"/>
                <w:sz w:val="21"/>
                <w:highlight w:val="none"/>
                <w14:textFill>
                  <w14:solidFill>
                    <w14:schemeClr w14:val="tx1"/>
                  </w14:solidFill>
                </w14:textFill>
              </w:rPr>
              <w:t>（</w:t>
            </w:r>
            <w:r>
              <w:rPr>
                <w:color w:val="000000" w:themeColor="text1"/>
                <w:spacing w:val="-8"/>
                <w:sz w:val="21"/>
                <w:highlight w:val="none"/>
                <w14:textFill>
                  <w14:solidFill>
                    <w14:schemeClr w14:val="tx1"/>
                  </w14:solidFill>
                </w14:textFill>
              </w:rPr>
              <w:t>已经取得“三证合一”</w:t>
            </w:r>
          </w:p>
          <w:p>
            <w:pPr>
              <w:pStyle w:val="32"/>
              <w:spacing w:before="173"/>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的或为自然人的除外）</w:t>
            </w:r>
          </w:p>
        </w:tc>
        <w:tc>
          <w:tcPr>
            <w:tcW w:w="2835" w:type="dxa"/>
          </w:tcPr>
          <w:p>
            <w:pPr>
              <w:pStyle w:val="32"/>
              <w:spacing w:before="141"/>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投标文件提供的资料是否符</w:t>
            </w:r>
          </w:p>
          <w:p>
            <w:pPr>
              <w:pStyle w:val="32"/>
              <w:spacing w:before="173"/>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4"/>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5</w:t>
            </w:r>
          </w:p>
        </w:tc>
        <w:tc>
          <w:tcPr>
            <w:tcW w:w="5671" w:type="dxa"/>
          </w:tcPr>
          <w:p>
            <w:pPr>
              <w:pStyle w:val="32"/>
              <w:spacing w:line="440" w:lineRule="exact"/>
              <w:ind w:left="107" w:right="93"/>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 xml:space="preserve">投标人的税务登记证复印件（已经取得“三证合一”的或为 </w:t>
            </w:r>
            <w:r>
              <w:rPr>
                <w:color w:val="000000" w:themeColor="text1"/>
                <w:sz w:val="21"/>
                <w:highlight w:val="none"/>
                <w14:textFill>
                  <w14:solidFill>
                    <w14:schemeClr w14:val="tx1"/>
                  </w14:solidFill>
                </w14:textFill>
              </w:rPr>
              <w:t>自然人的除外）</w:t>
            </w:r>
          </w:p>
        </w:tc>
        <w:tc>
          <w:tcPr>
            <w:tcW w:w="2835" w:type="dxa"/>
          </w:tcPr>
          <w:p>
            <w:pPr>
              <w:pStyle w:val="32"/>
              <w:spacing w:line="440" w:lineRule="exact"/>
              <w:ind w:left="107" w:right="19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4"/>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6</w:t>
            </w:r>
          </w:p>
        </w:tc>
        <w:tc>
          <w:tcPr>
            <w:tcW w:w="5671" w:type="dxa"/>
          </w:tcPr>
          <w:p>
            <w:pPr>
              <w:pStyle w:val="32"/>
              <w:spacing w:line="440" w:lineRule="exact"/>
              <w:ind w:left="107" w:right="93"/>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 xml:space="preserve">投标人参加政府采购活动前 </w:t>
            </w:r>
            <w:r>
              <w:rPr>
                <w:color w:val="000000" w:themeColor="text1"/>
                <w:sz w:val="21"/>
                <w:highlight w:val="none"/>
                <w14:textFill>
                  <w14:solidFill>
                    <w14:schemeClr w14:val="tx1"/>
                  </w14:solidFill>
                </w14:textFill>
              </w:rPr>
              <w:t>3</w:t>
            </w:r>
            <w:r>
              <w:rPr>
                <w:color w:val="000000" w:themeColor="text1"/>
                <w:spacing w:val="-8"/>
                <w:sz w:val="21"/>
                <w:highlight w:val="none"/>
                <w14:textFill>
                  <w14:solidFill>
                    <w14:schemeClr w14:val="tx1"/>
                  </w14:solidFill>
                </w14:textFill>
              </w:rPr>
              <w:t xml:space="preserve"> 年内在经营活动中没有重大违法记录书面声明</w:t>
            </w:r>
          </w:p>
        </w:tc>
        <w:tc>
          <w:tcPr>
            <w:tcW w:w="2835" w:type="dxa"/>
          </w:tcPr>
          <w:p>
            <w:pPr>
              <w:pStyle w:val="32"/>
              <w:spacing w:line="440" w:lineRule="exact"/>
              <w:ind w:left="107" w:right="19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投标文件是否按招标文件要求声明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7" w:hRule="atLeast"/>
        </w:trPr>
        <w:tc>
          <w:tcPr>
            <w:tcW w:w="632" w:type="dxa"/>
          </w:tcPr>
          <w:p>
            <w:pPr>
              <w:pStyle w:val="32"/>
              <w:rPr>
                <w:color w:val="000000" w:themeColor="text1"/>
                <w:sz w:val="20"/>
                <w:highlight w:val="none"/>
                <w14:textFill>
                  <w14:solidFill>
                    <w14:schemeClr w14:val="tx1"/>
                  </w14:solidFill>
                </w14:textFill>
              </w:rPr>
            </w:pPr>
          </w:p>
          <w:p>
            <w:pPr>
              <w:pStyle w:val="32"/>
              <w:spacing w:before="5"/>
              <w:rPr>
                <w:color w:val="000000" w:themeColor="text1"/>
                <w:sz w:val="25"/>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7</w:t>
            </w:r>
          </w:p>
        </w:tc>
        <w:tc>
          <w:tcPr>
            <w:tcW w:w="5671" w:type="dxa"/>
          </w:tcPr>
          <w:p>
            <w:pPr>
              <w:pStyle w:val="32"/>
              <w:rPr>
                <w:color w:val="000000" w:themeColor="text1"/>
                <w:sz w:val="20"/>
                <w:highlight w:val="none"/>
                <w14:textFill>
                  <w14:solidFill>
                    <w14:schemeClr w14:val="tx1"/>
                  </w14:solidFill>
                </w14:textFill>
              </w:rPr>
            </w:pPr>
          </w:p>
          <w:p>
            <w:pPr>
              <w:pStyle w:val="32"/>
              <w:spacing w:before="5"/>
              <w:rPr>
                <w:color w:val="000000" w:themeColor="text1"/>
                <w:sz w:val="25"/>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投标人企业股东及出资信息</w:t>
            </w:r>
          </w:p>
        </w:tc>
        <w:tc>
          <w:tcPr>
            <w:tcW w:w="2835" w:type="dxa"/>
          </w:tcPr>
          <w:p>
            <w:pPr>
              <w:pStyle w:val="32"/>
              <w:spacing w:before="1" w:line="440" w:lineRule="exact"/>
              <w:ind w:left="107" w:right="19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投标人是否不存在“单位负责人为同一人或者存在直接控股、管理关系”情形</w:t>
            </w:r>
          </w:p>
        </w:tc>
      </w:tr>
    </w:tbl>
    <w:p>
      <w:pPr>
        <w:spacing w:line="440" w:lineRule="exact"/>
        <w:jc w:val="both"/>
        <w:rPr>
          <w:color w:val="000000" w:themeColor="text1"/>
          <w:sz w:val="21"/>
          <w:highlight w:val="none"/>
          <w14:textFill>
            <w14:solidFill>
              <w14:schemeClr w14:val="tx1"/>
            </w14:solidFill>
          </w14:textFill>
        </w:rPr>
        <w:sectPr>
          <w:footerReference r:id="rId11" w:type="default"/>
          <w:pgSz w:w="11910" w:h="16840"/>
          <w:pgMar w:top="1560" w:right="1140" w:bottom="820" w:left="1200" w:header="0" w:footer="640" w:gutter="0"/>
          <w:pgNumType w:start="40"/>
          <w:cols w:space="720" w:num="1"/>
        </w:sectPr>
      </w:pPr>
    </w:p>
    <w:tbl>
      <w:tblPr>
        <w:tblStyle w:val="23"/>
        <w:tblW w:w="9138"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567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632" w:type="dxa"/>
          </w:tcPr>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spacing w:before="8"/>
              <w:rPr>
                <w:color w:val="000000" w:themeColor="text1"/>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8</w:t>
            </w:r>
          </w:p>
        </w:tc>
        <w:tc>
          <w:tcPr>
            <w:tcW w:w="5671" w:type="dxa"/>
          </w:tcPr>
          <w:p>
            <w:pPr>
              <w:pStyle w:val="32"/>
              <w:rPr>
                <w:color w:val="000000" w:themeColor="text1"/>
                <w:sz w:val="20"/>
                <w:highlight w:val="none"/>
                <w14:textFill>
                  <w14:solidFill>
                    <w14:schemeClr w14:val="tx1"/>
                  </w14:solidFill>
                </w14:textFill>
              </w:rPr>
            </w:pPr>
          </w:p>
          <w:p>
            <w:pPr>
              <w:pStyle w:val="32"/>
              <w:rPr>
                <w:color w:val="000000" w:themeColor="text1"/>
                <w:sz w:val="20"/>
                <w:highlight w:val="none"/>
                <w14:textFill>
                  <w14:solidFill>
                    <w14:schemeClr w14:val="tx1"/>
                  </w14:solidFill>
                </w14:textFill>
              </w:rPr>
            </w:pPr>
          </w:p>
          <w:p>
            <w:pPr>
              <w:pStyle w:val="32"/>
              <w:spacing w:before="8"/>
              <w:rPr>
                <w:color w:val="000000" w:themeColor="text1"/>
                <w:highlight w:val="none"/>
                <w14:textFill>
                  <w14:solidFill>
                    <w14:schemeClr w14:val="tx1"/>
                  </w14:solidFill>
                </w14:textFill>
              </w:rPr>
            </w:pPr>
          </w:p>
          <w:p>
            <w:pPr>
              <w:pStyle w:val="32"/>
              <w:ind w:left="717" w:right="70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“信用中国”和“中国政府采购网”网页查询</w:t>
            </w:r>
          </w:p>
        </w:tc>
        <w:tc>
          <w:tcPr>
            <w:tcW w:w="2835" w:type="dxa"/>
          </w:tcPr>
          <w:p>
            <w:pPr>
              <w:pStyle w:val="32"/>
              <w:spacing w:before="142" w:line="391" w:lineRule="auto"/>
              <w:ind w:left="107" w:right="9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投标人是否被列入失信被执行人、重大税收违法案件当事人名单、政府采购严重违</w:t>
            </w:r>
          </w:p>
          <w:p>
            <w:pPr>
              <w:pStyle w:val="32"/>
              <w:spacing w:before="5"/>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法失信行为记录名单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138" w:type="dxa"/>
            <w:gridSpan w:val="3"/>
          </w:tcPr>
          <w:p>
            <w:pPr>
              <w:pStyle w:val="32"/>
              <w:spacing w:before="89"/>
              <w:ind w:left="3859" w:right="3931"/>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632" w:type="dxa"/>
          </w:tcPr>
          <w:p>
            <w:pPr>
              <w:pStyle w:val="32"/>
              <w:spacing w:before="1"/>
              <w:rPr>
                <w:color w:val="000000" w:themeColor="text1"/>
                <w:sz w:val="19"/>
                <w:highlight w:val="none"/>
                <w14:textFill>
                  <w14:solidFill>
                    <w14:schemeClr w14:val="tx1"/>
                  </w14:solidFill>
                </w14:textFill>
              </w:rPr>
            </w:pPr>
          </w:p>
          <w:p>
            <w:pPr>
              <w:pStyle w:val="32"/>
              <w:ind w:left="90" w:right="70"/>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序号</w:t>
            </w:r>
          </w:p>
        </w:tc>
        <w:tc>
          <w:tcPr>
            <w:tcW w:w="5671" w:type="dxa"/>
          </w:tcPr>
          <w:p>
            <w:pPr>
              <w:pStyle w:val="32"/>
              <w:spacing w:before="1"/>
              <w:rPr>
                <w:color w:val="000000" w:themeColor="text1"/>
                <w:sz w:val="19"/>
                <w:highlight w:val="none"/>
                <w14:textFill>
                  <w14:solidFill>
                    <w14:schemeClr w14:val="tx1"/>
                  </w14:solidFill>
                </w14:textFill>
              </w:rPr>
            </w:pPr>
          </w:p>
          <w:p>
            <w:pPr>
              <w:pStyle w:val="32"/>
              <w:ind w:left="717" w:right="698"/>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评审因素</w:t>
            </w:r>
          </w:p>
        </w:tc>
        <w:tc>
          <w:tcPr>
            <w:tcW w:w="2835" w:type="dxa"/>
          </w:tcPr>
          <w:p>
            <w:pPr>
              <w:pStyle w:val="32"/>
              <w:spacing w:before="1"/>
              <w:rPr>
                <w:color w:val="000000" w:themeColor="text1"/>
                <w:sz w:val="19"/>
                <w:highlight w:val="none"/>
                <w14:textFill>
                  <w14:solidFill>
                    <w14:schemeClr w14:val="tx1"/>
                  </w14:solidFill>
                </w14:textFill>
              </w:rPr>
            </w:pPr>
          </w:p>
          <w:p>
            <w:pPr>
              <w:pStyle w:val="32"/>
              <w:ind w:left="926" w:right="1015"/>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3"/>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5671" w:type="dxa"/>
          </w:tcPr>
          <w:p>
            <w:pPr>
              <w:pStyle w:val="32"/>
              <w:spacing w:before="3"/>
              <w:rPr>
                <w:color w:val="000000" w:themeColor="text1"/>
                <w:sz w:val="28"/>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投标文件有效性</w:t>
            </w:r>
          </w:p>
        </w:tc>
        <w:tc>
          <w:tcPr>
            <w:tcW w:w="2835" w:type="dxa"/>
          </w:tcPr>
          <w:p>
            <w:pPr>
              <w:pStyle w:val="32"/>
              <w:spacing w:before="141"/>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投标文件是否按招标文件要</w:t>
            </w:r>
          </w:p>
          <w:p>
            <w:pPr>
              <w:pStyle w:val="32"/>
              <w:spacing w:before="173"/>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32" w:type="dxa"/>
          </w:tcPr>
          <w:p>
            <w:pPr>
              <w:pStyle w:val="32"/>
              <w:spacing w:before="4"/>
              <w:rPr>
                <w:color w:val="000000" w:themeColor="text1"/>
                <w:sz w:val="28"/>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2</w:t>
            </w:r>
          </w:p>
        </w:tc>
        <w:tc>
          <w:tcPr>
            <w:tcW w:w="5671" w:type="dxa"/>
          </w:tcPr>
          <w:p>
            <w:pPr>
              <w:pStyle w:val="32"/>
              <w:spacing w:before="4"/>
              <w:rPr>
                <w:color w:val="000000" w:themeColor="text1"/>
                <w:sz w:val="28"/>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投标文件完整性</w:t>
            </w:r>
          </w:p>
        </w:tc>
        <w:tc>
          <w:tcPr>
            <w:tcW w:w="2835" w:type="dxa"/>
          </w:tcPr>
          <w:p>
            <w:pPr>
              <w:pStyle w:val="32"/>
              <w:spacing w:line="440" w:lineRule="exact"/>
              <w:ind w:left="107" w:right="19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投标文件是否按招标文件要求编制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632" w:type="dxa"/>
          </w:tcPr>
          <w:p>
            <w:pPr>
              <w:pStyle w:val="32"/>
              <w:spacing w:before="1"/>
              <w:rPr>
                <w:color w:val="000000" w:themeColor="text1"/>
                <w:sz w:val="20"/>
                <w:highlight w:val="none"/>
                <w14:textFill>
                  <w14:solidFill>
                    <w14:schemeClr w14:val="tx1"/>
                  </w14:solidFill>
                </w14:textFill>
              </w:rPr>
            </w:pPr>
          </w:p>
          <w:p>
            <w:pPr>
              <w:pStyle w:val="32"/>
              <w:ind w:left="1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3</w:t>
            </w:r>
          </w:p>
        </w:tc>
        <w:tc>
          <w:tcPr>
            <w:tcW w:w="5671" w:type="dxa"/>
          </w:tcPr>
          <w:p>
            <w:pPr>
              <w:pStyle w:val="32"/>
              <w:spacing w:before="1"/>
              <w:rPr>
                <w:color w:val="000000" w:themeColor="text1"/>
                <w:sz w:val="20"/>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2835" w:type="dxa"/>
          </w:tcPr>
          <w:p>
            <w:pPr>
              <w:pStyle w:val="32"/>
              <w:spacing w:before="1"/>
              <w:rPr>
                <w:color w:val="000000" w:themeColor="text1"/>
                <w:sz w:val="20"/>
                <w:highlight w:val="none"/>
                <w14:textFill>
                  <w14:solidFill>
                    <w14:schemeClr w14:val="tx1"/>
                  </w14:solidFill>
                </w14:textFill>
              </w:rPr>
            </w:pPr>
          </w:p>
          <w:p>
            <w:pPr>
              <w:pStyle w:val="32"/>
              <w:ind w:left="10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9138" w:type="dxa"/>
            <w:gridSpan w:val="3"/>
          </w:tcPr>
          <w:p>
            <w:pPr>
              <w:pStyle w:val="32"/>
              <w:spacing w:before="1"/>
              <w:rPr>
                <w:color w:val="000000" w:themeColor="text1"/>
                <w:sz w:val="19"/>
                <w:highlight w:val="none"/>
                <w14:textFill>
                  <w14:solidFill>
                    <w14:schemeClr w14:val="tx1"/>
                  </w14:solidFill>
                </w14:textFill>
              </w:rPr>
            </w:pPr>
          </w:p>
          <w:p>
            <w:pPr>
              <w:pStyle w:val="32"/>
              <w:ind w:left="946"/>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注：以上审查因素如有一项不符合，初步评审不通过，不再进入下一轮详评。</w:t>
            </w:r>
          </w:p>
        </w:tc>
      </w:tr>
    </w:tbl>
    <w:p>
      <w:pPr>
        <w:pStyle w:val="7"/>
        <w:spacing w:before="1"/>
        <w:rPr>
          <w:color w:val="000000" w:themeColor="text1"/>
          <w:highlight w:val="none"/>
          <w14:textFill>
            <w14:solidFill>
              <w14:schemeClr w14:val="tx1"/>
            </w14:solidFill>
          </w14:textFill>
        </w:rPr>
      </w:pPr>
      <w:bookmarkStart w:id="107" w:name="_Toc7572"/>
    </w:p>
    <w:p>
      <w:pPr>
        <w:pStyle w:val="7"/>
        <w:spacing w:before="1"/>
        <w:rPr>
          <w:color w:val="000000" w:themeColor="text1"/>
          <w:highlight w:val="none"/>
          <w14:textFill>
            <w14:solidFill>
              <w14:schemeClr w14:val="tx1"/>
            </w14:solidFill>
          </w14:textFill>
        </w:rPr>
      </w:pPr>
    </w:p>
    <w:p>
      <w:pPr>
        <w:pStyle w:val="7"/>
        <w:spacing w:before="1"/>
        <w:rPr>
          <w:color w:val="000000" w:themeColor="text1"/>
          <w:highlight w:val="none"/>
          <w14:textFill>
            <w14:solidFill>
              <w14:schemeClr w14:val="tx1"/>
            </w14:solidFill>
          </w14:textFill>
        </w:rPr>
      </w:pPr>
    </w:p>
    <w:p>
      <w:pPr>
        <w:pStyle w:val="7"/>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二、评标文件评审（详细评审）</w:t>
      </w:r>
      <w:bookmarkEnd w:id="107"/>
    </w:p>
    <w:p>
      <w:pPr>
        <w:pStyle w:val="13"/>
        <w:spacing w:before="161"/>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1、评标依据：评标委员会以招标文件和投标文件为评标依据，按百分制打分。</w:t>
      </w:r>
    </w:p>
    <w:p>
      <w:pPr>
        <w:pStyle w:val="13"/>
        <w:spacing w:before="1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2、评标方式：以封闭方式进行评标。</w:t>
      </w:r>
    </w:p>
    <w:p>
      <w:pPr>
        <w:pStyle w:val="13"/>
        <w:spacing w:before="173" w:line="391" w:lineRule="auto"/>
        <w:ind w:left="427" w:right="316" w:firstLine="2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3、根据财库〔2012〕69 号文规定，招标人和招标代理机构、评标委员会成员要严格遵守政府采购相关法律制度，依法履行各自职责，公正、客观、审慎地组织和参与评审工作。</w:t>
      </w:r>
    </w:p>
    <w:p>
      <w:pPr>
        <w:pStyle w:val="7"/>
        <w:spacing w:before="1"/>
        <w:rPr>
          <w:color w:val="000000" w:themeColor="text1"/>
          <w:highlight w:val="none"/>
          <w14:textFill>
            <w14:solidFill>
              <w14:schemeClr w14:val="tx1"/>
            </w14:solidFill>
          </w14:textFill>
        </w:rPr>
      </w:pPr>
      <w:bookmarkStart w:id="108" w:name="_Toc24304"/>
      <w:r>
        <w:rPr>
          <w:color w:val="000000" w:themeColor="text1"/>
          <w:highlight w:val="none"/>
          <w14:textFill>
            <w14:solidFill>
              <w14:schemeClr w14:val="tx1"/>
            </w14:solidFill>
          </w14:textFill>
        </w:rPr>
        <w:t>三、评审办法</w:t>
      </w:r>
      <w:bookmarkEnd w:id="108"/>
    </w:p>
    <w:p>
      <w:pPr>
        <w:pStyle w:val="13"/>
        <w:spacing w:before="173"/>
        <w:ind w:left="635"/>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对进入详评的，采用综合评分法。</w:t>
      </w:r>
    </w:p>
    <w:p>
      <w:pPr>
        <w:pStyle w:val="13"/>
        <w:spacing w:before="1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（二）计分办法（按四舍五入取至小数点后二位）</w:t>
      </w:r>
    </w:p>
    <w:p>
      <w:pPr>
        <w:pStyle w:val="7"/>
        <w:tabs>
          <w:tab w:val="left" w:leader="dot" w:pos="6856"/>
        </w:tabs>
        <w:spacing w:before="1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1、价格分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30</w:t>
      </w:r>
      <w:r>
        <w:rPr>
          <w:color w:val="000000" w:themeColor="text1"/>
          <w:spacing w:val="-53"/>
          <w:highlight w:val="none"/>
          <w14:textFill>
            <w14:solidFill>
              <w14:schemeClr w14:val="tx1"/>
            </w14:solidFill>
          </w14:textFill>
        </w:rPr>
        <w:t xml:space="preserve"> </w:t>
      </w:r>
      <w:r>
        <w:rPr>
          <w:color w:val="000000" w:themeColor="text1"/>
          <w:highlight w:val="none"/>
          <w14:textFill>
            <w14:solidFill>
              <w14:schemeClr w14:val="tx1"/>
            </w14:solidFill>
          </w14:textFill>
        </w:rPr>
        <w:t>分</w:t>
      </w:r>
    </w:p>
    <w:p>
      <w:pPr>
        <w:pStyle w:val="31"/>
        <w:numPr>
          <w:ilvl w:val="0"/>
          <w:numId w:val="31"/>
        </w:numPr>
        <w:tabs>
          <w:tab w:val="left" w:pos="1163"/>
        </w:tabs>
        <w:spacing w:before="172"/>
        <w:ind w:hanging="528"/>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按照《政府采购促进中小企业发展暂行办法》（财库[2011]181</w:t>
      </w:r>
      <w:r>
        <w:rPr>
          <w:color w:val="000000" w:themeColor="text1"/>
          <w:spacing w:val="-28"/>
          <w:sz w:val="21"/>
          <w:highlight w:val="none"/>
          <w14:textFill>
            <w14:solidFill>
              <w14:schemeClr w14:val="tx1"/>
            </w14:solidFill>
          </w14:textFill>
        </w:rPr>
        <w:t xml:space="preserve"> 号</w:t>
      </w:r>
      <w:r>
        <w:rPr>
          <w:color w:val="000000" w:themeColor="text1"/>
          <w:sz w:val="21"/>
          <w:highlight w:val="none"/>
          <w14:textFill>
            <w14:solidFill>
              <w14:schemeClr w14:val="tx1"/>
            </w14:solidFill>
          </w14:textFill>
        </w:rPr>
        <w:t>）规定：</w:t>
      </w:r>
    </w:p>
    <w:p>
      <w:pPr>
        <w:pStyle w:val="13"/>
        <w:spacing w:before="171" w:line="393" w:lineRule="auto"/>
        <w:ind w:left="215" w:right="208"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①对投标人认定为小型和微型企业且所投产品均为小型、微型企业产品的（以投标文件提供的符合规定的有关证明材料为准</w:t>
      </w:r>
      <w:r>
        <w:rPr>
          <w:color w:val="000000" w:themeColor="text1"/>
          <w:spacing w:val="3"/>
          <w:highlight w:val="none"/>
          <w14:textFill>
            <w14:solidFill>
              <w14:schemeClr w14:val="tx1"/>
            </w14:solidFill>
          </w14:textFill>
        </w:rPr>
        <w:t>）</w:t>
      </w:r>
      <w:r>
        <w:rPr>
          <w:color w:val="000000" w:themeColor="text1"/>
          <w:spacing w:val="-6"/>
          <w:highlight w:val="none"/>
          <w14:textFill>
            <w14:solidFill>
              <w14:schemeClr w14:val="tx1"/>
            </w14:solidFill>
          </w14:textFill>
        </w:rPr>
        <w:t xml:space="preserve">，投标价给予 </w:t>
      </w:r>
      <w:r>
        <w:rPr>
          <w:color w:val="000000" w:themeColor="text1"/>
          <w:highlight w:val="none"/>
          <w14:textFill>
            <w14:solidFill>
              <w14:schemeClr w14:val="tx1"/>
            </w14:solidFill>
          </w14:textFill>
        </w:rPr>
        <w:t>6%的扣除，扣除后的价格为评标报价，即评标报价= 投标报价×（1-6%）；②投标人为大中型企业与小型、微型企业组成联合体投标的，其中小型、微</w:t>
      </w:r>
      <w:r>
        <w:rPr>
          <w:color w:val="000000" w:themeColor="text1"/>
          <w:spacing w:val="-3"/>
          <w:highlight w:val="none"/>
          <w14:textFill>
            <w14:solidFill>
              <w14:schemeClr w14:val="tx1"/>
            </w14:solidFill>
          </w14:textFill>
        </w:rPr>
        <w:t xml:space="preserve">型企业的协议合同金额占到联合体协议合同总金额 </w:t>
      </w:r>
      <w:r>
        <w:rPr>
          <w:color w:val="000000" w:themeColor="text1"/>
          <w:highlight w:val="none"/>
          <w14:textFill>
            <w14:solidFill>
              <w14:schemeClr w14:val="tx1"/>
            </w14:solidFill>
          </w14:textFill>
        </w:rPr>
        <w:t>30%</w:t>
      </w:r>
      <w:r>
        <w:rPr>
          <w:color w:val="000000" w:themeColor="text1"/>
          <w:spacing w:val="-14"/>
          <w:highlight w:val="none"/>
          <w14:textFill>
            <w14:solidFill>
              <w14:schemeClr w14:val="tx1"/>
            </w14:solidFill>
          </w14:textFill>
        </w:rPr>
        <w:t>以上</w:t>
      </w:r>
      <w:r>
        <w:rPr>
          <w:color w:val="000000" w:themeColor="text1"/>
          <w:highlight w:val="none"/>
          <w14:textFill>
            <w14:solidFill>
              <w14:schemeClr w14:val="tx1"/>
            </w14:solidFill>
          </w14:textFill>
        </w:rPr>
        <w:t>（</w:t>
      </w:r>
      <w:r>
        <w:rPr>
          <w:color w:val="000000" w:themeColor="text1"/>
          <w:spacing w:val="-27"/>
          <w:highlight w:val="none"/>
          <w14:textFill>
            <w14:solidFill>
              <w14:schemeClr w14:val="tx1"/>
            </w14:solidFill>
          </w14:textFill>
        </w:rPr>
        <w:t xml:space="preserve">含 </w:t>
      </w:r>
      <w:r>
        <w:rPr>
          <w:color w:val="000000" w:themeColor="text1"/>
          <w:spacing w:val="-7"/>
          <w:highlight w:val="none"/>
          <w14:textFill>
            <w14:solidFill>
              <w14:schemeClr w14:val="tx1"/>
            </w14:solidFill>
          </w14:textFill>
        </w:rPr>
        <w:t>30%）</w:t>
      </w:r>
      <w:r>
        <w:rPr>
          <w:color w:val="000000" w:themeColor="text1"/>
          <w:spacing w:val="-25"/>
          <w:highlight w:val="none"/>
          <w14:textFill>
            <w14:solidFill>
              <w14:schemeClr w14:val="tx1"/>
            </w14:solidFill>
          </w14:textFill>
        </w:rPr>
        <w:t>的</w:t>
      </w:r>
      <w:r>
        <w:rPr>
          <w:color w:val="000000" w:themeColor="text1"/>
          <w:highlight w:val="none"/>
          <w14:textFill>
            <w14:solidFill>
              <w14:schemeClr w14:val="tx1"/>
            </w14:solidFill>
          </w14:textFill>
        </w:rPr>
        <w:t>（</w:t>
      </w:r>
      <w:r>
        <w:rPr>
          <w:color w:val="000000" w:themeColor="text1"/>
          <w:spacing w:val="-5"/>
          <w:highlight w:val="none"/>
          <w14:textFill>
            <w14:solidFill>
              <w14:schemeClr w14:val="tx1"/>
            </w14:solidFill>
          </w14:textFill>
        </w:rPr>
        <w:t>投标人须于《联合投标协议书》中明确约定小型、微型企业的协议合同金额及所占比例，该金额应与投标报价表所报金额对应一致），联合体投标价给予 2%的扣除，扣除后的价格为评标报价，即评标报价=投标报价×（1-2%）；</w:t>
      </w:r>
    </w:p>
    <w:p>
      <w:pPr>
        <w:pStyle w:val="13"/>
        <w:spacing w:line="261" w:lineRule="exact"/>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③除上述情况外，评标报价=投标报价。</w:t>
      </w:r>
    </w:p>
    <w:p>
      <w:pPr>
        <w:pStyle w:val="7"/>
        <w:spacing w:before="1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注：小型、微型企业提供中型企业制造的货物的，视同为中型企业。</w:t>
      </w:r>
    </w:p>
    <w:p>
      <w:pPr>
        <w:pStyle w:val="31"/>
        <w:numPr>
          <w:ilvl w:val="0"/>
          <w:numId w:val="31"/>
        </w:numPr>
        <w:tabs>
          <w:tab w:val="left" w:pos="1163"/>
        </w:tabs>
        <w:spacing w:before="172" w:line="391" w:lineRule="auto"/>
        <w:ind w:left="215" w:right="212" w:firstLine="420"/>
        <w:jc w:val="both"/>
        <w:rPr>
          <w:color w:val="000000" w:themeColor="text1"/>
          <w:sz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根据财政部、司法部关于政府采购支持监狱企业发展有关问题的通知（财库[2014]68 号），</w:t>
      </w:r>
      <w:r>
        <w:rPr>
          <w:color w:val="000000" w:themeColor="text1"/>
          <w:sz w:val="21"/>
          <w:highlight w:val="none"/>
          <w14:textFill>
            <w14:solidFill>
              <w14:schemeClr w14:val="tx1"/>
            </w14:solidFill>
          </w14:textFill>
        </w:rPr>
        <w:t>监狱企业视同小型、微型企业，享受小型、微型企业评审中价格扣除的政府采购政策。</w:t>
      </w:r>
    </w:p>
    <w:p>
      <w:pPr>
        <w:pStyle w:val="31"/>
        <w:numPr>
          <w:ilvl w:val="0"/>
          <w:numId w:val="31"/>
        </w:numPr>
        <w:tabs>
          <w:tab w:val="left" w:pos="1163"/>
        </w:tabs>
        <w:spacing w:before="2" w:line="393" w:lineRule="auto"/>
        <w:ind w:left="215" w:right="311" w:firstLine="420"/>
        <w:jc w:val="both"/>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按照《关于促进残疾人就业政府采购政策的通知》</w:t>
      </w:r>
      <w:r>
        <w:rPr>
          <w:color w:val="000000" w:themeColor="text1"/>
          <w:sz w:val="21"/>
          <w:highlight w:val="none"/>
          <w14:textFill>
            <w14:solidFill>
              <w14:schemeClr w14:val="tx1"/>
            </w14:solidFill>
          </w14:textFill>
        </w:rPr>
        <w:t>（</w:t>
      </w:r>
      <w:r>
        <w:rPr>
          <w:color w:val="000000" w:themeColor="text1"/>
          <w:spacing w:val="-3"/>
          <w:sz w:val="21"/>
          <w:highlight w:val="none"/>
          <w14:textFill>
            <w14:solidFill>
              <w14:schemeClr w14:val="tx1"/>
            </w14:solidFill>
          </w14:textFill>
        </w:rPr>
        <w:t>财库〔</w:t>
      </w:r>
      <w:r>
        <w:rPr>
          <w:color w:val="000000" w:themeColor="text1"/>
          <w:sz w:val="21"/>
          <w:highlight w:val="none"/>
          <w14:textFill>
            <w14:solidFill>
              <w14:schemeClr w14:val="tx1"/>
            </w14:solidFill>
          </w14:textFill>
        </w:rPr>
        <w:t>2017</w:t>
      </w:r>
      <w:r>
        <w:rPr>
          <w:color w:val="000000" w:themeColor="text1"/>
          <w:spacing w:val="-5"/>
          <w:sz w:val="21"/>
          <w:highlight w:val="none"/>
          <w14:textFill>
            <w14:solidFill>
              <w14:schemeClr w14:val="tx1"/>
            </w14:solidFill>
          </w14:textFill>
        </w:rPr>
        <w:t>〕</w:t>
      </w:r>
      <w:r>
        <w:rPr>
          <w:color w:val="000000" w:themeColor="text1"/>
          <w:sz w:val="21"/>
          <w:highlight w:val="none"/>
          <w14:textFill>
            <w14:solidFill>
              <w14:schemeClr w14:val="tx1"/>
            </w14:solidFill>
          </w14:textFill>
        </w:rPr>
        <w:t>141</w:t>
      </w:r>
      <w:r>
        <w:rPr>
          <w:color w:val="000000" w:themeColor="text1"/>
          <w:spacing w:val="-32"/>
          <w:sz w:val="21"/>
          <w:highlight w:val="none"/>
          <w14:textFill>
            <w14:solidFill>
              <w14:schemeClr w14:val="tx1"/>
            </w14:solidFill>
          </w14:textFill>
        </w:rPr>
        <w:t xml:space="preserve"> 号</w:t>
      </w:r>
      <w:r>
        <w:rPr>
          <w:color w:val="000000" w:themeColor="text1"/>
          <w:spacing w:val="-5"/>
          <w:sz w:val="21"/>
          <w:highlight w:val="none"/>
          <w14:textFill>
            <w14:solidFill>
              <w14:schemeClr w14:val="tx1"/>
            </w14:solidFill>
          </w14:textFill>
        </w:rPr>
        <w:t>）</w:t>
      </w:r>
      <w:r>
        <w:rPr>
          <w:color w:val="000000" w:themeColor="text1"/>
          <w:spacing w:val="-2"/>
          <w:sz w:val="21"/>
          <w:highlight w:val="none"/>
          <w14:textFill>
            <w14:solidFill>
              <w14:schemeClr w14:val="tx1"/>
            </w14:solidFill>
          </w14:textFill>
        </w:rPr>
        <w:t>的规定，残疾人福利性单位视同小型、微型企业，享受评审中价格扣除等促进中小企业发展的政府采购政策。残疾人福利性单位属于小型、微型企业的，不重复享受政策。</w:t>
      </w:r>
    </w:p>
    <w:p>
      <w:pPr>
        <w:pStyle w:val="31"/>
        <w:numPr>
          <w:ilvl w:val="0"/>
          <w:numId w:val="31"/>
        </w:numPr>
        <w:tabs>
          <w:tab w:val="left" w:pos="1163"/>
        </w:tabs>
        <w:spacing w:before="0" w:line="265" w:lineRule="exact"/>
        <w:ind w:hanging="528"/>
        <w:jc w:val="both"/>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 xml:space="preserve">以进入评标的最低的评标报价为 </w:t>
      </w:r>
      <w:r>
        <w:rPr>
          <w:color w:val="000000" w:themeColor="text1"/>
          <w:sz w:val="21"/>
          <w:highlight w:val="none"/>
          <w14:textFill>
            <w14:solidFill>
              <w14:schemeClr w14:val="tx1"/>
            </w14:solidFill>
          </w14:textFill>
        </w:rPr>
        <w:t>30</w:t>
      </w:r>
      <w:r>
        <w:rPr>
          <w:color w:val="000000" w:themeColor="text1"/>
          <w:spacing w:val="-18"/>
          <w:sz w:val="21"/>
          <w:highlight w:val="none"/>
          <w14:textFill>
            <w14:solidFill>
              <w14:schemeClr w14:val="tx1"/>
            </w14:solidFill>
          </w14:textFill>
        </w:rPr>
        <w:t xml:space="preserve"> 分。</w:t>
      </w:r>
    </w:p>
    <w:p>
      <w:pPr>
        <w:pStyle w:val="13"/>
        <w:spacing w:before="172"/>
        <w:ind w:left="34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最低投标人评标报价金额</w:t>
      </w:r>
    </w:p>
    <w:p>
      <w:pPr>
        <w:pStyle w:val="13"/>
        <w:tabs>
          <w:tab w:val="left" w:pos="6412"/>
        </w:tabs>
        <w:spacing w:before="170"/>
        <w:ind w:left="635"/>
        <w:jc w:val="both"/>
        <w:rPr>
          <w:color w:val="000000" w:themeColor="text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45680128" behindDoc="1" locked="0" layoutInCell="1" allowOverlap="1">
                <wp:simplePos x="0" y="0"/>
                <wp:positionH relativeFrom="page">
                  <wp:posOffset>2490470</wp:posOffset>
                </wp:positionH>
                <wp:positionV relativeFrom="paragraph">
                  <wp:posOffset>163830</wp:posOffset>
                </wp:positionV>
                <wp:extent cx="2200275" cy="0"/>
                <wp:effectExtent l="0" t="0" r="0" b="0"/>
                <wp:wrapNone/>
                <wp:docPr id="2" name="直线 7"/>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96.1pt;margin-top:12.9pt;height:0pt;width:173.25pt;mso-position-horizontal-relative:page;z-index:-257636352;mso-width-relative:page;mso-height-relative:page;" filled="f" stroked="t" coordsize="21600,21600" o:gfxdata="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ksSWdcAAAAJAQAADwAAAAAAAAABACAAAAAiAAAAZHJzL2Rvd25yZXYu&#10;eG1sUEsBAhQAFAAAAAgAh07iQIN4kXvDAQAAgQMAAA4AAAAAAAAAAQAgAAAAJgEAAGRycy9lMm9E&#10;b2MueG1sUEsFBgAAAAAGAAYAWQEAAFsFAAAAAA==&#10;">
                <v:fill on="f" focussize="0,0"/>
                <v:stroke color="#000000" joinstyle="round"/>
                <v:imagedata o:title=""/>
                <o:lock v:ext="edit" aspectratio="f"/>
              </v:line>
            </w:pict>
          </mc:Fallback>
        </mc:AlternateContent>
      </w:r>
      <w:r>
        <w:rPr>
          <w:color w:val="000000" w:themeColor="text1"/>
          <w:highlight w:val="none"/>
          <w14:textFill>
            <w14:solidFill>
              <w14:schemeClr w14:val="tx1"/>
            </w14:solidFill>
          </w14:textFill>
        </w:rPr>
        <w:t>（5）投标人价格分</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×30</w:t>
      </w:r>
      <w:r>
        <w:rPr>
          <w:color w:val="000000" w:themeColor="text1"/>
          <w:spacing w:val="-54"/>
          <w:highlight w:val="none"/>
          <w14:textFill>
            <w14:solidFill>
              <w14:schemeClr w14:val="tx1"/>
            </w14:solidFill>
          </w14:textFill>
        </w:rPr>
        <w:t xml:space="preserve"> </w:t>
      </w:r>
      <w:r>
        <w:rPr>
          <w:color w:val="000000" w:themeColor="text1"/>
          <w:highlight w:val="none"/>
          <w14:textFill>
            <w14:solidFill>
              <w14:schemeClr w14:val="tx1"/>
            </w14:solidFill>
          </w14:textFill>
        </w:rPr>
        <w:t>分</w:t>
      </w:r>
    </w:p>
    <w:p>
      <w:pPr>
        <w:pStyle w:val="13"/>
        <w:spacing w:before="170"/>
        <w:ind w:left="347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投标人评标报价金额</w:t>
      </w:r>
    </w:p>
    <w:p>
      <w:pPr>
        <w:pStyle w:val="7"/>
        <w:tabs>
          <w:tab w:val="left" w:leader="dot" w:pos="6434"/>
        </w:tabs>
        <w:spacing w:before="13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2、技术分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满分</w:t>
      </w:r>
      <w:r>
        <w:rPr>
          <w:color w:val="000000" w:themeColor="text1"/>
          <w:spacing w:val="-52"/>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36</w:t>
      </w:r>
      <w:r>
        <w:rPr>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分</w:t>
      </w:r>
    </w:p>
    <w:p>
      <w:pPr>
        <w:tabs>
          <w:tab w:val="left" w:pos="1163"/>
        </w:tabs>
        <w:spacing w:before="163"/>
        <w:ind w:firstLine="624" w:firstLineChars="300"/>
        <w:jc w:val="both"/>
        <w:rPr>
          <w:color w:val="000000" w:themeColor="text1"/>
          <w:sz w:val="21"/>
          <w:highlight w:val="none"/>
          <w14:textFill>
            <w14:solidFill>
              <w14:schemeClr w14:val="tx1"/>
            </w14:solidFill>
          </w14:textFill>
        </w:rPr>
      </w:pPr>
      <w:r>
        <w:rPr>
          <w:rFonts w:hint="eastAsia"/>
          <w:color w:val="000000" w:themeColor="text1"/>
          <w:spacing w:val="-1"/>
          <w:sz w:val="21"/>
          <w:highlight w:val="none"/>
          <w14:textFill>
            <w14:solidFill>
              <w14:schemeClr w14:val="tx1"/>
            </w14:solidFill>
          </w14:textFill>
        </w:rPr>
        <w:t>（1）</w:t>
      </w:r>
      <w:r>
        <w:rPr>
          <w:color w:val="000000" w:themeColor="text1"/>
          <w:spacing w:val="-1"/>
          <w:sz w:val="21"/>
          <w:highlight w:val="none"/>
          <w14:textFill>
            <w14:solidFill>
              <w14:schemeClr w14:val="tx1"/>
            </w14:solidFill>
          </w14:textFill>
        </w:rPr>
        <w:t xml:space="preserve">基本分 </w:t>
      </w:r>
      <w:r>
        <w:rPr>
          <w:color w:val="000000" w:themeColor="text1"/>
          <w:sz w:val="21"/>
          <w:highlight w:val="none"/>
          <w14:textFill>
            <w14:solidFill>
              <w14:schemeClr w14:val="tx1"/>
            </w14:solidFill>
          </w14:textFill>
        </w:rPr>
        <w:t>（</w:t>
      </w:r>
      <w:r>
        <w:rPr>
          <w:color w:val="000000" w:themeColor="text1"/>
          <w:spacing w:val="-17"/>
          <w:sz w:val="21"/>
          <w:highlight w:val="none"/>
          <w14:textFill>
            <w14:solidFill>
              <w14:schemeClr w14:val="tx1"/>
            </w14:solidFill>
          </w14:textFill>
        </w:rPr>
        <w:t xml:space="preserve">满分 </w:t>
      </w:r>
      <w:r>
        <w:rPr>
          <w:color w:val="000000" w:themeColor="text1"/>
          <w:sz w:val="21"/>
          <w:highlight w:val="none"/>
          <w14:textFill>
            <w14:solidFill>
              <w14:schemeClr w14:val="tx1"/>
            </w14:solidFill>
          </w14:textFill>
        </w:rPr>
        <w:t>1</w:t>
      </w:r>
      <w:r>
        <w:rPr>
          <w:rFonts w:hint="eastAsia"/>
          <w:color w:val="000000" w:themeColor="text1"/>
          <w:sz w:val="21"/>
          <w:highlight w:val="none"/>
          <w14:textFill>
            <w14:solidFill>
              <w14:schemeClr w14:val="tx1"/>
            </w14:solidFill>
          </w14:textFill>
        </w:rPr>
        <w:t>8</w:t>
      </w:r>
      <w:r>
        <w:rPr>
          <w:color w:val="000000" w:themeColor="text1"/>
          <w:spacing w:val="-26"/>
          <w:sz w:val="21"/>
          <w:highlight w:val="none"/>
          <w14:textFill>
            <w14:solidFill>
              <w14:schemeClr w14:val="tx1"/>
            </w14:solidFill>
          </w14:textFill>
        </w:rPr>
        <w:t xml:space="preserve"> 分</w:t>
      </w:r>
      <w:r>
        <w:rPr>
          <w:color w:val="000000" w:themeColor="text1"/>
          <w:sz w:val="21"/>
          <w:highlight w:val="none"/>
          <w14:textFill>
            <w14:solidFill>
              <w14:schemeClr w14:val="tx1"/>
            </w14:solidFill>
          </w14:textFill>
        </w:rPr>
        <w:t>）</w:t>
      </w:r>
    </w:p>
    <w:p>
      <w:pPr>
        <w:pStyle w:val="13"/>
        <w:spacing w:before="170" w:line="391" w:lineRule="auto"/>
        <w:ind w:left="215" w:right="319" w:firstLine="42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投标人所投产品均能满足《货物采购需求表》中的技术参数要求，技术参数无偏离得</w:t>
      </w:r>
      <w:r>
        <w:rPr>
          <w:color w:val="000000" w:themeColor="text1"/>
          <w:spacing w:val="-2"/>
          <w:highlight w:val="none"/>
          <w14:textFill>
            <w14:solidFill>
              <w14:schemeClr w14:val="tx1"/>
            </w14:solidFill>
          </w14:textFill>
        </w:rPr>
        <w:t>1</w:t>
      </w:r>
      <w:r>
        <w:rPr>
          <w:rFonts w:hint="eastAsia"/>
          <w:color w:val="000000" w:themeColor="text1"/>
          <w:spacing w:val="-2"/>
          <w:highlight w:val="none"/>
          <w14:textFill>
            <w14:solidFill>
              <w14:schemeClr w14:val="tx1"/>
            </w14:solidFill>
          </w14:textFill>
        </w:rPr>
        <w:t>8</w:t>
      </w:r>
      <w:r>
        <w:rPr>
          <w:color w:val="000000" w:themeColor="text1"/>
          <w:spacing w:val="-2"/>
          <w:highlight w:val="none"/>
          <w14:textFill>
            <w14:solidFill>
              <w14:schemeClr w14:val="tx1"/>
            </w14:solidFill>
          </w14:textFill>
        </w:rPr>
        <w:t>分，有一项非“</w:t>
      </w:r>
      <w:r>
        <w:rPr>
          <w:rFonts w:hint="eastAsia"/>
          <w:b/>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”性能参数不满足或负偏离的扣2分，扣完为止；有一项带“</w:t>
      </w:r>
      <w:r>
        <w:rPr>
          <w:rFonts w:hint="eastAsia"/>
          <w:b/>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”性能参数不满足或负偏离的扣</w:t>
      </w:r>
      <w:r>
        <w:rPr>
          <w:rFonts w:hint="eastAsia"/>
          <w:color w:val="000000" w:themeColor="text1"/>
          <w:spacing w:val="-2"/>
          <w:highlight w:val="none"/>
          <w14:textFill>
            <w14:solidFill>
              <w14:schemeClr w14:val="tx1"/>
            </w14:solidFill>
          </w14:textFill>
        </w:rPr>
        <w:t>4</w:t>
      </w:r>
      <w:r>
        <w:rPr>
          <w:color w:val="000000" w:themeColor="text1"/>
          <w:spacing w:val="-2"/>
          <w:highlight w:val="none"/>
          <w14:textFill>
            <w14:solidFill>
              <w14:schemeClr w14:val="tx1"/>
            </w14:solidFill>
          </w14:textFill>
        </w:rPr>
        <w:t>分，扣完为止。</w:t>
      </w:r>
    </w:p>
    <w:p>
      <w:pPr>
        <w:tabs>
          <w:tab w:val="left" w:pos="952"/>
        </w:tabs>
        <w:rPr>
          <w:color w:val="000000" w:themeColor="text1"/>
          <w:spacing w:val="-2"/>
          <w:sz w:val="21"/>
          <w:highlight w:val="none"/>
          <w14:textFill>
            <w14:solidFill>
              <w14:schemeClr w14:val="tx1"/>
            </w14:solidFill>
          </w14:textFill>
        </w:rPr>
      </w:pPr>
    </w:p>
    <w:p>
      <w:pPr>
        <w:tabs>
          <w:tab w:val="left" w:pos="1163"/>
        </w:tabs>
        <w:spacing w:before="4"/>
        <w:ind w:firstLine="420" w:firstLineChars="200"/>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项目技术设计实施方案分（</w:t>
      </w:r>
      <w:r>
        <w:rPr>
          <w:color w:val="000000" w:themeColor="text1"/>
          <w:spacing w:val="-18"/>
          <w:sz w:val="21"/>
          <w:highlight w:val="none"/>
          <w14:textFill>
            <w14:solidFill>
              <w14:schemeClr w14:val="tx1"/>
            </w14:solidFill>
          </w14:textFill>
        </w:rPr>
        <w:t xml:space="preserve">满分 </w:t>
      </w:r>
      <w:r>
        <w:rPr>
          <w:color w:val="000000" w:themeColor="text1"/>
          <w:sz w:val="21"/>
          <w:highlight w:val="none"/>
          <w14:textFill>
            <w14:solidFill>
              <w14:schemeClr w14:val="tx1"/>
            </w14:solidFill>
          </w14:textFill>
        </w:rPr>
        <w:t>18</w:t>
      </w:r>
      <w:r>
        <w:rPr>
          <w:color w:val="000000" w:themeColor="text1"/>
          <w:spacing w:val="-27"/>
          <w:sz w:val="21"/>
          <w:highlight w:val="none"/>
          <w14:textFill>
            <w14:solidFill>
              <w14:schemeClr w14:val="tx1"/>
            </w14:solidFill>
          </w14:textFill>
        </w:rPr>
        <w:t xml:space="preserve"> 分</w:t>
      </w:r>
      <w:r>
        <w:rPr>
          <w:color w:val="000000" w:themeColor="text1"/>
          <w:sz w:val="21"/>
          <w:highlight w:val="none"/>
          <w14:textFill>
            <w14:solidFill>
              <w14:schemeClr w14:val="tx1"/>
            </w14:solidFill>
          </w14:textFill>
        </w:rPr>
        <w:t>）</w:t>
      </w:r>
    </w:p>
    <w:p>
      <w:pPr>
        <w:pStyle w:val="13"/>
        <w:spacing w:before="170" w:line="391" w:lineRule="auto"/>
        <w:ind w:left="215" w:right="319" w:firstLine="4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由评委在打分前根据各投标人所提供的项目设计实施方案，根据“一档、二档、三档”各档次 </w:t>
      </w:r>
      <w:r>
        <w:rPr>
          <w:color w:val="000000" w:themeColor="text1"/>
          <w:w w:val="9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 xml:space="preserve">的评定标准，确定各投标人所属档次，在相应档次内独立打分：未提供设计方案分计 </w:t>
      </w:r>
      <w:r>
        <w:rPr>
          <w:color w:val="000000" w:themeColor="text1"/>
          <w:highlight w:val="none"/>
          <w14:textFill>
            <w14:solidFill>
              <w14:schemeClr w14:val="tx1"/>
            </w14:solidFill>
          </w14:textFill>
        </w:rPr>
        <w:t>0</w:t>
      </w:r>
      <w:r>
        <w:rPr>
          <w:color w:val="000000" w:themeColor="text1"/>
          <w:spacing w:val="-19"/>
          <w:highlight w:val="none"/>
          <w14:textFill>
            <w14:solidFill>
              <w14:schemeClr w14:val="tx1"/>
            </w14:solidFill>
          </w14:textFill>
        </w:rPr>
        <w:t xml:space="preserve"> 分。</w:t>
      </w:r>
    </w:p>
    <w:p>
      <w:pPr>
        <w:pStyle w:val="13"/>
        <w:spacing w:line="357" w:lineRule="auto"/>
        <w:ind w:left="215" w:right="315" w:firstLine="420"/>
        <w:jc w:val="both"/>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1）</w:t>
      </w:r>
      <w:r>
        <w:rPr>
          <w:color w:val="000000" w:themeColor="text1"/>
          <w:szCs w:val="22"/>
          <w:highlight w:val="none"/>
          <w14:textFill>
            <w14:solidFill>
              <w14:schemeClr w14:val="tx1"/>
            </w14:solidFill>
          </w14:textFill>
        </w:rPr>
        <w:t>一档（6 分）：项目技术设计方案一般，方案描述完整，提供成熟的技术和稳定的解决方案。优化图纸设计满足用户目前的需求。施工安装方案技术思路明确清晰</w:t>
      </w:r>
      <w:r>
        <w:rPr>
          <w:rFonts w:hint="eastAsia"/>
          <w:color w:val="000000" w:themeColor="text1"/>
          <w:szCs w:val="22"/>
          <w:highlight w:val="none"/>
          <w14:textFill>
            <w14:solidFill>
              <w14:schemeClr w14:val="tx1"/>
            </w14:solidFill>
          </w14:textFill>
        </w:rPr>
        <w:t>。</w:t>
      </w:r>
    </w:p>
    <w:p>
      <w:pPr>
        <w:pStyle w:val="13"/>
        <w:spacing w:line="357" w:lineRule="auto"/>
        <w:ind w:left="215" w:right="315" w:firstLine="420"/>
        <w:jc w:val="both"/>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2）</w:t>
      </w:r>
      <w:r>
        <w:rPr>
          <w:color w:val="000000" w:themeColor="text1"/>
          <w:szCs w:val="22"/>
          <w:highlight w:val="none"/>
          <w14:textFill>
            <w14:solidFill>
              <w14:schemeClr w14:val="tx1"/>
            </w14:solidFill>
          </w14:textFill>
        </w:rPr>
        <w:t>二档（12 分）：项目技术设计方案良好，方案描述详细完整，技术路线设计科学、严谨， 提供先进成熟的技术和稳定的系统解决方案。优化图纸设计可操作性强；硬件配置科学合理，充分   满足或高于用户需求，施工安装方案较详细，技术思路明确清晰</w:t>
      </w:r>
      <w:r>
        <w:rPr>
          <w:rFonts w:hint="eastAsia"/>
          <w:color w:val="000000" w:themeColor="text1"/>
          <w:szCs w:val="22"/>
          <w:highlight w:val="none"/>
          <w14:textFill>
            <w14:solidFill>
              <w14:schemeClr w14:val="tx1"/>
            </w14:solidFill>
          </w14:textFill>
        </w:rPr>
        <w:t>。</w:t>
      </w:r>
    </w:p>
    <w:p>
      <w:pPr>
        <w:pStyle w:val="13"/>
        <w:spacing w:line="357" w:lineRule="auto"/>
        <w:ind w:left="215" w:right="315" w:firstLine="420"/>
        <w:jc w:val="both"/>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3）</w:t>
      </w:r>
      <w:r>
        <w:rPr>
          <w:color w:val="000000" w:themeColor="text1"/>
          <w:szCs w:val="22"/>
          <w:highlight w:val="none"/>
          <w14:textFill>
            <w14:solidFill>
              <w14:schemeClr w14:val="tx1"/>
            </w14:solidFill>
          </w14:textFill>
        </w:rPr>
        <w:t>三档（18 分）：项目技术设计方案优秀，方案描述详细完整，技术路线设计科学、严谨， 提供先进成熟的技术和稳定的系统解决方案。优化图纸设计可操作性强；硬件配置科学合理，充分   满足或高于用户的需求以及中、短期发展使用要求。施工安装方案较详细，技术思路明确清晰</w:t>
      </w:r>
      <w:r>
        <w:rPr>
          <w:rFonts w:hint="eastAsia"/>
          <w:color w:val="000000" w:themeColor="text1"/>
          <w:szCs w:val="22"/>
          <w:highlight w:val="none"/>
          <w14:textFill>
            <w14:solidFill>
              <w14:schemeClr w14:val="tx1"/>
            </w14:solidFill>
          </w14:textFill>
        </w:rPr>
        <w:t>。</w:t>
      </w:r>
    </w:p>
    <w:p>
      <w:pPr>
        <w:pStyle w:val="7"/>
        <w:tabs>
          <w:tab w:val="left" w:leader="dot" w:pos="7699"/>
        </w:tabs>
        <w:spacing w:line="239" w:lineRule="exact"/>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3、信誉业绩分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满分</w:t>
      </w:r>
      <w:r>
        <w:rPr>
          <w:color w:val="000000" w:themeColor="text1"/>
          <w:spacing w:val="-52"/>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9</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分</w:t>
      </w:r>
    </w:p>
    <w:p>
      <w:pPr>
        <w:tabs>
          <w:tab w:val="left" w:pos="1164"/>
        </w:tabs>
        <w:spacing w:before="117" w:line="355" w:lineRule="auto"/>
        <w:ind w:right="315" w:firstLine="416" w:firstLineChars="200"/>
        <w:jc w:val="both"/>
        <w:rPr>
          <w:color w:val="000000" w:themeColor="text1"/>
          <w:sz w:val="21"/>
          <w:highlight w:val="none"/>
          <w14:textFill>
            <w14:solidFill>
              <w14:schemeClr w14:val="tx1"/>
            </w14:solidFill>
          </w14:textFill>
        </w:rPr>
      </w:pPr>
      <w:r>
        <w:rPr>
          <w:rFonts w:hint="eastAsia"/>
          <w:color w:val="000000" w:themeColor="text1"/>
          <w:spacing w:val="-1"/>
          <w:sz w:val="21"/>
          <w:highlight w:val="none"/>
          <w14:textFill>
            <w14:solidFill>
              <w14:schemeClr w14:val="tx1"/>
            </w14:solidFill>
          </w14:textFill>
        </w:rPr>
        <w:t>（1）</w:t>
      </w:r>
      <w:r>
        <w:rPr>
          <w:color w:val="000000" w:themeColor="text1"/>
          <w:spacing w:val="-1"/>
          <w:sz w:val="21"/>
          <w:highlight w:val="none"/>
          <w14:textFill>
            <w14:solidFill>
              <w14:schemeClr w14:val="tx1"/>
            </w14:solidFill>
          </w14:textFill>
        </w:rPr>
        <w:t xml:space="preserve">投标人通过 </w:t>
      </w:r>
      <w:r>
        <w:rPr>
          <w:color w:val="000000" w:themeColor="text1"/>
          <w:sz w:val="21"/>
          <w:highlight w:val="none"/>
          <w14:textFill>
            <w14:solidFill>
              <w14:schemeClr w14:val="tx1"/>
            </w14:solidFill>
          </w14:textFill>
        </w:rPr>
        <w:t>ISO14001</w:t>
      </w:r>
      <w:r>
        <w:rPr>
          <w:color w:val="000000" w:themeColor="text1"/>
          <w:spacing w:val="-2"/>
          <w:sz w:val="21"/>
          <w:highlight w:val="none"/>
          <w14:textFill>
            <w14:solidFill>
              <w14:schemeClr w14:val="tx1"/>
            </w14:solidFill>
          </w14:textFill>
        </w:rPr>
        <w:t xml:space="preserve"> 环境管理体系认证、</w:t>
      </w:r>
      <w:r>
        <w:rPr>
          <w:color w:val="000000" w:themeColor="text1"/>
          <w:sz w:val="21"/>
          <w:highlight w:val="none"/>
          <w14:textFill>
            <w14:solidFill>
              <w14:schemeClr w14:val="tx1"/>
            </w14:solidFill>
          </w14:textFill>
        </w:rPr>
        <w:t>ISO9001</w:t>
      </w:r>
      <w:r>
        <w:rPr>
          <w:color w:val="000000" w:themeColor="text1"/>
          <w:spacing w:val="-2"/>
          <w:sz w:val="21"/>
          <w:highlight w:val="none"/>
          <w14:textFill>
            <w14:solidFill>
              <w14:schemeClr w14:val="tx1"/>
            </w14:solidFill>
          </w14:textFill>
        </w:rPr>
        <w:t xml:space="preserve"> 质量管理体系认证、</w:t>
      </w:r>
      <w:r>
        <w:rPr>
          <w:color w:val="000000" w:themeColor="text1"/>
          <w:sz w:val="21"/>
          <w:highlight w:val="none"/>
          <w14:textFill>
            <w14:solidFill>
              <w14:schemeClr w14:val="tx1"/>
            </w14:solidFill>
          </w14:textFill>
        </w:rPr>
        <w:t>ISO45001</w:t>
      </w:r>
      <w:r>
        <w:rPr>
          <w:color w:val="000000" w:themeColor="text1"/>
          <w:spacing w:val="-3"/>
          <w:sz w:val="21"/>
          <w:highlight w:val="none"/>
          <w14:textFill>
            <w14:solidFill>
              <w14:schemeClr w14:val="tx1"/>
            </w14:solidFill>
          </w14:textFill>
        </w:rPr>
        <w:t>职</w:t>
      </w:r>
      <w:r>
        <w:rPr>
          <w:color w:val="000000" w:themeColor="text1"/>
          <w:spacing w:val="-4"/>
          <w:sz w:val="21"/>
          <w:highlight w:val="none"/>
          <w14:textFill>
            <w14:solidFill>
              <w14:schemeClr w14:val="tx1"/>
            </w14:solidFill>
          </w14:textFill>
        </w:rPr>
        <w:t>业健康安全体系认证</w:t>
      </w:r>
      <w:r>
        <w:rPr>
          <w:rFonts w:hint="eastAsia"/>
          <w:color w:val="000000" w:themeColor="text1"/>
          <w:spacing w:val="-4"/>
          <w:sz w:val="21"/>
          <w:highlight w:val="none"/>
          <w14:textFill>
            <w14:solidFill>
              <w14:schemeClr w14:val="tx1"/>
            </w14:solidFill>
          </w14:textFill>
        </w:rPr>
        <w:t>、中国节能环保产品、质量信得过产品</w:t>
      </w:r>
      <w:r>
        <w:rPr>
          <w:color w:val="000000" w:themeColor="text1"/>
          <w:sz w:val="21"/>
          <w:highlight w:val="none"/>
          <w14:textFill>
            <w14:solidFill>
              <w14:schemeClr w14:val="tx1"/>
            </w14:solidFill>
          </w14:textFill>
        </w:rPr>
        <w:t>（于投标文件中提供相关证书复印件</w:t>
      </w:r>
      <w:r>
        <w:rPr>
          <w:color w:val="000000" w:themeColor="text1"/>
          <w:spacing w:val="-13"/>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w:t>
      </w:r>
      <w:r>
        <w:rPr>
          <w:color w:val="000000" w:themeColor="text1"/>
          <w:spacing w:val="-15"/>
          <w:sz w:val="21"/>
          <w:highlight w:val="none"/>
          <w14:textFill>
            <w14:solidFill>
              <w14:schemeClr w14:val="tx1"/>
            </w14:solidFill>
          </w14:textFill>
        </w:rPr>
        <w:t xml:space="preserve">全部提供的得 </w:t>
      </w: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分；</w:t>
      </w:r>
      <w:r>
        <w:rPr>
          <w:rFonts w:hint="eastAsia"/>
          <w:color w:val="000000" w:themeColor="text1"/>
          <w:spacing w:val="-5"/>
          <w:sz w:val="21"/>
          <w:highlight w:val="none"/>
          <w14:textFill>
            <w14:solidFill>
              <w14:schemeClr w14:val="tx1"/>
            </w14:solidFill>
          </w14:textFill>
        </w:rPr>
        <w:t>缺少一项得1分</w:t>
      </w:r>
      <w:r>
        <w:rPr>
          <w:color w:val="000000" w:themeColor="text1"/>
          <w:highlight w:val="none"/>
          <w14:textFill>
            <w14:solidFill>
              <w14:schemeClr w14:val="tx1"/>
            </w14:solidFill>
          </w14:textFill>
        </w:rPr>
        <w:t>。</w:t>
      </w:r>
    </w:p>
    <w:p>
      <w:pPr>
        <w:tabs>
          <w:tab w:val="left" w:pos="1163"/>
        </w:tabs>
        <w:spacing w:before="131" w:line="357" w:lineRule="auto"/>
        <w:ind w:right="311" w:firstLine="396" w:firstLineChars="200"/>
        <w:jc w:val="both"/>
        <w:rPr>
          <w:color w:val="000000" w:themeColor="text1"/>
          <w:highlight w:val="none"/>
          <w14:textFill>
            <w14:solidFill>
              <w14:schemeClr w14:val="tx1"/>
            </w14:solidFill>
          </w14:textFill>
        </w:rPr>
      </w:pPr>
      <w:r>
        <w:rPr>
          <w:rFonts w:hint="eastAsia"/>
          <w:color w:val="000000" w:themeColor="text1"/>
          <w:spacing w:val="-6"/>
          <w:sz w:val="21"/>
          <w:highlight w:val="none"/>
          <w14:textFill>
            <w14:solidFill>
              <w14:schemeClr w14:val="tx1"/>
            </w14:solidFill>
          </w14:textFill>
        </w:rPr>
        <w:t>（2）</w:t>
      </w:r>
      <w:r>
        <w:rPr>
          <w:color w:val="000000" w:themeColor="text1"/>
          <w:spacing w:val="-6"/>
          <w:sz w:val="21"/>
          <w:highlight w:val="none"/>
          <w14:textFill>
            <w14:solidFill>
              <w14:schemeClr w14:val="tx1"/>
            </w14:solidFill>
          </w14:textFill>
        </w:rPr>
        <w:t xml:space="preserve">业绩分：投标人自 </w:t>
      </w:r>
      <w:r>
        <w:rPr>
          <w:color w:val="000000" w:themeColor="text1"/>
          <w:sz w:val="21"/>
          <w:highlight w:val="none"/>
          <w14:textFill>
            <w14:solidFill>
              <w14:schemeClr w14:val="tx1"/>
            </w14:solidFill>
          </w14:textFill>
        </w:rPr>
        <w:t>201</w:t>
      </w:r>
      <w:r>
        <w:rPr>
          <w:rFonts w:hint="eastAsia"/>
          <w:color w:val="000000" w:themeColor="text1"/>
          <w:sz w:val="21"/>
          <w:highlight w:val="none"/>
          <w14:textFill>
            <w14:solidFill>
              <w14:schemeClr w14:val="tx1"/>
            </w14:solidFill>
          </w14:textFill>
        </w:rPr>
        <w:t>8</w:t>
      </w:r>
      <w:r>
        <w:rPr>
          <w:color w:val="000000" w:themeColor="text1"/>
          <w:spacing w:val="-2"/>
          <w:sz w:val="21"/>
          <w:highlight w:val="none"/>
          <w14:textFill>
            <w14:solidFill>
              <w14:schemeClr w14:val="tx1"/>
            </w14:solidFill>
          </w14:textFill>
        </w:rPr>
        <w:t xml:space="preserve"> 年 </w:t>
      </w:r>
      <w:r>
        <w:rPr>
          <w:color w:val="000000" w:themeColor="text1"/>
          <w:sz w:val="21"/>
          <w:highlight w:val="none"/>
          <w14:textFill>
            <w14:solidFill>
              <w14:schemeClr w14:val="tx1"/>
            </w14:solidFill>
          </w14:textFill>
        </w:rPr>
        <w:t>1</w:t>
      </w:r>
      <w:r>
        <w:rPr>
          <w:color w:val="000000" w:themeColor="text1"/>
          <w:spacing w:val="-2"/>
          <w:sz w:val="21"/>
          <w:highlight w:val="none"/>
          <w14:textFill>
            <w14:solidFill>
              <w14:schemeClr w14:val="tx1"/>
            </w14:solidFill>
          </w14:textFill>
        </w:rPr>
        <w:t xml:space="preserve"> 月 </w:t>
      </w:r>
      <w:r>
        <w:rPr>
          <w:color w:val="000000" w:themeColor="text1"/>
          <w:sz w:val="21"/>
          <w:highlight w:val="none"/>
          <w14:textFill>
            <w14:solidFill>
              <w14:schemeClr w14:val="tx1"/>
            </w14:solidFill>
          </w14:textFill>
        </w:rPr>
        <w:t>1</w:t>
      </w:r>
      <w:r>
        <w:rPr>
          <w:color w:val="000000" w:themeColor="text1"/>
          <w:spacing w:val="-4"/>
          <w:sz w:val="21"/>
          <w:highlight w:val="none"/>
          <w14:textFill>
            <w14:solidFill>
              <w14:schemeClr w14:val="tx1"/>
            </w14:solidFill>
          </w14:textFill>
        </w:rPr>
        <w:t xml:space="preserve"> 日以来具有同类产品的销售业绩 [无不良记录，以</w:t>
      </w:r>
      <w:r>
        <w:rPr>
          <w:color w:val="000000" w:themeColor="text1"/>
          <w:w w:val="95"/>
          <w:sz w:val="21"/>
          <w:highlight w:val="none"/>
          <w14:textFill>
            <w14:solidFill>
              <w14:schemeClr w14:val="tx1"/>
            </w14:solidFill>
          </w14:textFill>
        </w:rPr>
        <w:t>中</w:t>
      </w:r>
      <w:r>
        <w:rPr>
          <w:color w:val="000000" w:themeColor="text1"/>
          <w:spacing w:val="-2"/>
          <w:sz w:val="21"/>
          <w:szCs w:val="21"/>
          <w:highlight w:val="none"/>
          <w14:textFill>
            <w14:solidFill>
              <w14:schemeClr w14:val="tx1"/>
            </w14:solidFill>
          </w14:textFill>
        </w:rPr>
        <w:t>标（成交）通知书和采购合同复印件为准（能清晰反映所销售的货物名称、种类、金额)，否则将</w:t>
      </w:r>
      <w:r>
        <w:rPr>
          <w:color w:val="000000" w:themeColor="text1"/>
          <w:spacing w:val="-5"/>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不予评审；同一个编号的项目有两个或两个以上的分标中标的只算一次]，每提供一项得 1</w:t>
      </w:r>
      <w:r>
        <w:rPr>
          <w:color w:val="000000" w:themeColor="text1"/>
          <w:spacing w:val="-9"/>
          <w:sz w:val="21"/>
          <w:highlight w:val="none"/>
          <w14:textFill>
            <w14:solidFill>
              <w14:schemeClr w14:val="tx1"/>
            </w14:solidFill>
          </w14:textFill>
        </w:rPr>
        <w:t xml:space="preserve"> 分，最多</w:t>
      </w:r>
      <w:r>
        <w:rPr>
          <w:color w:val="000000" w:themeColor="text1"/>
          <w:highlight w:val="none"/>
          <w14:textFill>
            <w14:solidFill>
              <w14:schemeClr w14:val="tx1"/>
            </w14:solidFill>
          </w14:textFill>
        </w:rPr>
        <w:t>得 5 分。</w:t>
      </w:r>
    </w:p>
    <w:p>
      <w:pPr>
        <w:pStyle w:val="7"/>
        <w:tabs>
          <w:tab w:val="left" w:leader="dot" w:pos="7487"/>
        </w:tabs>
        <w:spacing w:before="13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4、售后服务分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满分</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w:t>
      </w:r>
    </w:p>
    <w:p>
      <w:pPr>
        <w:keepNext w:val="0"/>
        <w:keepLines w:val="0"/>
        <w:pageBreakBefore w:val="0"/>
        <w:widowControl w:val="0"/>
        <w:tabs>
          <w:tab w:val="left" w:pos="1163"/>
        </w:tabs>
        <w:kinsoku/>
        <w:wordWrap/>
        <w:overflowPunct/>
        <w:topLinePunct w:val="0"/>
        <w:autoSpaceDE w:val="0"/>
        <w:autoSpaceDN w:val="0"/>
        <w:bidi w:val="0"/>
        <w:adjustRightInd/>
        <w:snapToGrid/>
        <w:spacing w:before="48" w:line="358" w:lineRule="auto"/>
        <w:ind w:right="0" w:firstLine="412" w:firstLineChars="200"/>
        <w:textAlignment w:val="auto"/>
        <w:rPr>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（1）</w:t>
      </w:r>
      <w:r>
        <w:rPr>
          <w:color w:val="000000" w:themeColor="text1"/>
          <w:spacing w:val="-2"/>
          <w:sz w:val="21"/>
          <w:highlight w:val="none"/>
          <w14:textFill>
            <w14:solidFill>
              <w14:schemeClr w14:val="tx1"/>
            </w14:solidFill>
          </w14:textFill>
        </w:rPr>
        <w:t>根据投标文件中售后服务方案内容的完整性、可行性，到达故障现场时间、人员配备情况、故障出现解决方案、定期维护 (注明时间)、免费保修期外维修方案、本地化售后服务措施、</w:t>
      </w:r>
      <w:r>
        <w:rPr>
          <w:rFonts w:hint="eastAsia"/>
          <w:color w:val="000000" w:themeColor="text1"/>
          <w:spacing w:val="-2"/>
          <w:sz w:val="21"/>
          <w:highlight w:val="none"/>
          <w14:textFill>
            <w14:solidFill>
              <w14:schemeClr w14:val="tx1"/>
            </w14:solidFill>
          </w14:textFill>
        </w:rPr>
        <w:t>其他增值服务及</w:t>
      </w:r>
      <w:r>
        <w:rPr>
          <w:color w:val="000000" w:themeColor="text1"/>
          <w:spacing w:val="-2"/>
          <w:sz w:val="21"/>
          <w:highlight w:val="none"/>
          <w14:textFill>
            <w14:solidFill>
              <w14:schemeClr w14:val="tx1"/>
            </w14:solidFill>
          </w14:textFill>
        </w:rPr>
        <w:t>优惠措施等方面，由评委确定各投标人所属档次并独立打分，本项最多得分 1</w:t>
      </w:r>
      <w:r>
        <w:rPr>
          <w:rFonts w:hint="eastAsia"/>
          <w:color w:val="000000" w:themeColor="text1"/>
          <w:spacing w:val="-2"/>
          <w:sz w:val="21"/>
          <w:highlight w:val="none"/>
          <w:lang w:val="en-US" w:eastAsia="zh-CN"/>
          <w14:textFill>
            <w14:solidFill>
              <w14:schemeClr w14:val="tx1"/>
            </w14:solidFill>
          </w14:textFill>
        </w:rPr>
        <w:t>6</w:t>
      </w:r>
      <w:r>
        <w:rPr>
          <w:color w:val="000000" w:themeColor="text1"/>
          <w:spacing w:val="-2"/>
          <w:sz w:val="21"/>
          <w:highlight w:val="none"/>
          <w14:textFill>
            <w14:solidFill>
              <w14:schemeClr w14:val="tx1"/>
            </w14:solidFill>
          </w14:textFill>
        </w:rPr>
        <w:t xml:space="preserve"> 分。</w:t>
      </w:r>
    </w:p>
    <w:p>
      <w:pPr>
        <w:pStyle w:val="13"/>
        <w:spacing w:line="357" w:lineRule="auto"/>
        <w:ind w:left="215" w:right="315" w:firstLine="420"/>
        <w:jc w:val="both"/>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1）</w:t>
      </w:r>
      <w:r>
        <w:rPr>
          <w:color w:val="000000" w:themeColor="text1"/>
          <w:szCs w:val="22"/>
          <w:highlight w:val="none"/>
          <w14:textFill>
            <w14:solidFill>
              <w14:schemeClr w14:val="tx1"/>
            </w14:solidFill>
          </w14:textFill>
        </w:rPr>
        <w:t>一档（</w:t>
      </w:r>
      <w:r>
        <w:rPr>
          <w:rFonts w:hint="eastAsia"/>
          <w:color w:val="000000" w:themeColor="text1"/>
          <w:szCs w:val="22"/>
          <w:highlight w:val="none"/>
          <w:lang w:val="en-US" w:eastAsia="zh-CN"/>
          <w14:textFill>
            <w14:solidFill>
              <w14:schemeClr w14:val="tx1"/>
            </w14:solidFill>
          </w14:textFill>
        </w:rPr>
        <w:t>4</w:t>
      </w:r>
      <w:r>
        <w:rPr>
          <w:color w:val="000000" w:themeColor="text1"/>
          <w:szCs w:val="22"/>
          <w:highlight w:val="none"/>
          <w14:textFill>
            <w14:solidFill>
              <w14:schemeClr w14:val="tx1"/>
            </w14:solidFill>
          </w14:textFill>
        </w:rPr>
        <w:t>分）：售后服务方案简单，基本满足招标文件要求。</w:t>
      </w:r>
    </w:p>
    <w:p>
      <w:pPr>
        <w:pStyle w:val="13"/>
        <w:spacing w:line="357" w:lineRule="auto"/>
        <w:ind w:left="215" w:right="315" w:firstLine="420"/>
        <w:jc w:val="both"/>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2）</w:t>
      </w:r>
      <w:r>
        <w:rPr>
          <w:color w:val="000000" w:themeColor="text1"/>
          <w:szCs w:val="22"/>
          <w:highlight w:val="none"/>
          <w14:textFill>
            <w14:solidFill>
              <w14:schemeClr w14:val="tx1"/>
            </w14:solidFill>
          </w14:textFill>
        </w:rPr>
        <w:t>二档（</w:t>
      </w:r>
      <w:r>
        <w:rPr>
          <w:rFonts w:hint="eastAsia"/>
          <w:color w:val="000000" w:themeColor="text1"/>
          <w:szCs w:val="22"/>
          <w:highlight w:val="none"/>
          <w:lang w:val="en-US" w:eastAsia="zh-CN"/>
          <w14:textFill>
            <w14:solidFill>
              <w14:schemeClr w14:val="tx1"/>
            </w14:solidFill>
          </w14:textFill>
        </w:rPr>
        <w:t>10</w:t>
      </w:r>
      <w:r>
        <w:rPr>
          <w:color w:val="000000" w:themeColor="text1"/>
          <w:szCs w:val="22"/>
          <w:highlight w:val="none"/>
          <w14:textFill>
            <w14:solidFill>
              <w14:schemeClr w14:val="tx1"/>
            </w14:solidFill>
          </w14:textFill>
        </w:rPr>
        <w:t xml:space="preserve"> 分）：售后服务方案较完善，优于招标文件要求。</w:t>
      </w:r>
    </w:p>
    <w:p>
      <w:pPr>
        <w:pStyle w:val="13"/>
        <w:keepNext w:val="0"/>
        <w:keepLines w:val="0"/>
        <w:pageBreakBefore w:val="0"/>
        <w:widowControl w:val="0"/>
        <w:kinsoku/>
        <w:wordWrap/>
        <w:overflowPunct/>
        <w:topLinePunct w:val="0"/>
        <w:autoSpaceDE w:val="0"/>
        <w:autoSpaceDN w:val="0"/>
        <w:bidi w:val="0"/>
        <w:adjustRightInd/>
        <w:snapToGrid/>
        <w:spacing w:line="358" w:lineRule="auto"/>
        <w:ind w:left="215" w:right="0" w:firstLine="420"/>
        <w:jc w:val="both"/>
        <w:textAlignment w:val="auto"/>
        <w:rPr>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3）</w:t>
      </w:r>
      <w:r>
        <w:rPr>
          <w:color w:val="000000" w:themeColor="text1"/>
          <w:szCs w:val="22"/>
          <w:highlight w:val="none"/>
          <w14:textFill>
            <w14:solidFill>
              <w14:schemeClr w14:val="tx1"/>
            </w14:solidFill>
          </w14:textFill>
        </w:rPr>
        <w:t>三档（</w:t>
      </w:r>
      <w:r>
        <w:rPr>
          <w:rFonts w:hint="eastAsia"/>
          <w:color w:val="000000" w:themeColor="text1"/>
          <w:szCs w:val="22"/>
          <w:highlight w:val="none"/>
          <w14:textFill>
            <w14:solidFill>
              <w14:schemeClr w14:val="tx1"/>
            </w14:solidFill>
          </w14:textFill>
        </w:rPr>
        <w:t>1</w:t>
      </w:r>
      <w:r>
        <w:rPr>
          <w:rFonts w:hint="eastAsia"/>
          <w:color w:val="000000" w:themeColor="text1"/>
          <w:szCs w:val="22"/>
          <w:highlight w:val="none"/>
          <w:lang w:val="en-US" w:eastAsia="zh-CN"/>
          <w14:textFill>
            <w14:solidFill>
              <w14:schemeClr w14:val="tx1"/>
            </w14:solidFill>
          </w14:textFill>
        </w:rPr>
        <w:t>6</w:t>
      </w:r>
      <w:r>
        <w:rPr>
          <w:color w:val="000000" w:themeColor="text1"/>
          <w:szCs w:val="22"/>
          <w:highlight w:val="none"/>
          <w14:textFill>
            <w14:solidFill>
              <w14:schemeClr w14:val="tx1"/>
            </w14:solidFill>
          </w14:textFill>
        </w:rPr>
        <w:t xml:space="preserve"> 分）：售后服务方案详细完善、科学合理、可行性强，优于招标文件要求</w:t>
      </w:r>
      <w:r>
        <w:rPr>
          <w:rFonts w:hint="eastAsia"/>
          <w:color w:val="000000" w:themeColor="text1"/>
          <w:szCs w:val="22"/>
          <w:highlight w:val="none"/>
          <w14:textFill>
            <w14:solidFill>
              <w14:schemeClr w14:val="tx1"/>
            </w14:solidFill>
          </w14:textFill>
        </w:rPr>
        <w:t>；并</w:t>
      </w:r>
      <w:r>
        <w:rPr>
          <w:color w:val="000000" w:themeColor="text1"/>
          <w:szCs w:val="22"/>
          <w:highlight w:val="none"/>
          <w14:textFill>
            <w14:solidFill>
              <w14:schemeClr w14:val="tx1"/>
            </w14:solidFill>
          </w14:textFill>
        </w:rPr>
        <w:t>有优化服务方案，解决采购人实际需求</w:t>
      </w:r>
      <w:r>
        <w:rPr>
          <w:rFonts w:hint="eastAsia"/>
          <w:color w:val="000000" w:themeColor="text1"/>
          <w:szCs w:val="22"/>
          <w:highlight w:val="none"/>
          <w14:textFill>
            <w14:solidFill>
              <w14:schemeClr w14:val="tx1"/>
            </w14:solidFill>
          </w14:textFill>
        </w:rPr>
        <w:t>；</w:t>
      </w:r>
      <w:r>
        <w:rPr>
          <w:color w:val="000000" w:themeColor="text1"/>
          <w:szCs w:val="22"/>
          <w:highlight w:val="none"/>
          <w14:textFill>
            <w14:solidFill>
              <w14:schemeClr w14:val="tx1"/>
            </w14:solidFill>
          </w14:textFill>
        </w:rPr>
        <w:t>提供其他增值售后服务或其它实质性优惠措施</w:t>
      </w:r>
      <w:r>
        <w:rPr>
          <w:rFonts w:hint="eastAsia"/>
          <w:color w:val="000000" w:themeColor="text1"/>
          <w:szCs w:val="22"/>
          <w:highlight w:val="none"/>
          <w14:textFill>
            <w14:solidFill>
              <w14:schemeClr w14:val="tx1"/>
            </w14:solidFill>
          </w14:textFill>
        </w:rPr>
        <w:t>。</w:t>
      </w:r>
      <w:r>
        <w:rPr>
          <w:color w:val="000000" w:themeColor="text1"/>
          <w:szCs w:val="22"/>
          <w:highlight w:val="none"/>
          <w14:textFill>
            <w14:solidFill>
              <w14:schemeClr w14:val="tx1"/>
            </w14:solidFill>
          </w14:textFill>
        </w:rPr>
        <w:t xml:space="preserve"> </w:t>
      </w:r>
    </w:p>
    <w:p>
      <w:pPr>
        <w:tabs>
          <w:tab w:val="left" w:pos="1163"/>
        </w:tabs>
        <w:spacing w:before="48" w:line="357" w:lineRule="auto"/>
        <w:ind w:right="212" w:firstLine="412" w:firstLineChars="200"/>
        <w:rPr>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（2）服务保障</w:t>
      </w:r>
    </w:p>
    <w:p>
      <w:pPr>
        <w:keepNext w:val="0"/>
        <w:keepLines w:val="0"/>
        <w:pageBreakBefore w:val="0"/>
        <w:widowControl w:val="0"/>
        <w:tabs>
          <w:tab w:val="left" w:pos="1163"/>
        </w:tabs>
        <w:kinsoku/>
        <w:wordWrap/>
        <w:overflowPunct/>
        <w:topLinePunct w:val="0"/>
        <w:autoSpaceDE w:val="0"/>
        <w:autoSpaceDN w:val="0"/>
        <w:bidi w:val="0"/>
        <w:adjustRightInd/>
        <w:snapToGrid/>
        <w:spacing w:before="48" w:line="358" w:lineRule="auto"/>
        <w:ind w:right="0" w:firstLine="412" w:firstLineChars="200"/>
        <w:textAlignment w:val="auto"/>
        <w:rPr>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1）本项目视频监控产品中，投标人或投标产品厂商获得中国信息安全测评中心颁发的国家信息安全漏洞库（</w:t>
      </w:r>
      <w:r>
        <w:rPr>
          <w:color w:val="000000" w:themeColor="text1"/>
          <w:spacing w:val="-2"/>
          <w:sz w:val="21"/>
          <w:highlight w:val="none"/>
          <w14:textFill>
            <w14:solidFill>
              <w14:schemeClr w14:val="tx1"/>
            </w14:solidFill>
          </w14:textFill>
        </w:rPr>
        <w:t>CNNVD）技术支撑单位等级证书（一级）的，提供相关证明复印件，得</w:t>
      </w:r>
      <w:r>
        <w:rPr>
          <w:rFonts w:hint="eastAsia"/>
          <w:color w:val="000000" w:themeColor="text1"/>
          <w:spacing w:val="-2"/>
          <w:sz w:val="21"/>
          <w:highlight w:val="none"/>
          <w14:textFill>
            <w14:solidFill>
              <w14:schemeClr w14:val="tx1"/>
            </w14:solidFill>
          </w14:textFill>
        </w:rPr>
        <w:t>3</w:t>
      </w:r>
      <w:r>
        <w:rPr>
          <w:color w:val="000000" w:themeColor="text1"/>
          <w:spacing w:val="-2"/>
          <w:sz w:val="21"/>
          <w:highlight w:val="none"/>
          <w14:textFill>
            <w14:solidFill>
              <w14:schemeClr w14:val="tx1"/>
            </w14:solidFill>
          </w14:textFill>
        </w:rPr>
        <w:t xml:space="preserve">分，其它不得分，本项最多得 </w:t>
      </w:r>
      <w:r>
        <w:rPr>
          <w:rFonts w:hint="eastAsia"/>
          <w:color w:val="000000" w:themeColor="text1"/>
          <w:spacing w:val="-2"/>
          <w:sz w:val="21"/>
          <w:highlight w:val="none"/>
          <w14:textFill>
            <w14:solidFill>
              <w14:schemeClr w14:val="tx1"/>
            </w14:solidFill>
          </w14:textFill>
        </w:rPr>
        <w:t>3</w:t>
      </w:r>
      <w:r>
        <w:rPr>
          <w:color w:val="000000" w:themeColor="text1"/>
          <w:spacing w:val="-2"/>
          <w:sz w:val="21"/>
          <w:highlight w:val="none"/>
          <w14:textFill>
            <w14:solidFill>
              <w14:schemeClr w14:val="tx1"/>
            </w14:solidFill>
          </w14:textFill>
        </w:rPr>
        <w:t xml:space="preserve"> 分。</w:t>
      </w:r>
    </w:p>
    <w:p>
      <w:pPr>
        <w:keepNext w:val="0"/>
        <w:keepLines w:val="0"/>
        <w:pageBreakBefore w:val="0"/>
        <w:widowControl w:val="0"/>
        <w:tabs>
          <w:tab w:val="left" w:pos="1149"/>
        </w:tabs>
        <w:kinsoku/>
        <w:wordWrap/>
        <w:overflowPunct/>
        <w:topLinePunct w:val="0"/>
        <w:autoSpaceDE w:val="0"/>
        <w:autoSpaceDN w:val="0"/>
        <w:bidi w:val="0"/>
        <w:adjustRightInd/>
        <w:snapToGrid/>
        <w:spacing w:before="48" w:line="358" w:lineRule="auto"/>
        <w:ind w:right="0" w:firstLine="412" w:firstLineChars="200"/>
        <w:textAlignment w:val="auto"/>
        <w:rPr>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2）</w:t>
      </w:r>
      <w:r>
        <w:rPr>
          <w:color w:val="000000" w:themeColor="text1"/>
          <w:spacing w:val="-2"/>
          <w:sz w:val="21"/>
          <w:highlight w:val="none"/>
          <w14:textFill>
            <w14:solidFill>
              <w14:schemeClr w14:val="tx1"/>
            </w14:solidFill>
          </w14:textFill>
        </w:rPr>
        <w:t>本项目视频监控产品</w:t>
      </w:r>
      <w:r>
        <w:rPr>
          <w:rFonts w:hint="eastAsia"/>
          <w:color w:val="000000" w:themeColor="text1"/>
          <w:spacing w:val="-2"/>
          <w:sz w:val="21"/>
          <w:highlight w:val="none"/>
          <w14:textFill>
            <w14:solidFill>
              <w14:schemeClr w14:val="tx1"/>
            </w14:solidFill>
          </w14:textFill>
        </w:rPr>
        <w:t>中</w:t>
      </w:r>
      <w:r>
        <w:rPr>
          <w:color w:val="000000" w:themeColor="text1"/>
          <w:spacing w:val="-2"/>
          <w:sz w:val="21"/>
          <w:highlight w:val="none"/>
          <w14:textFill>
            <w14:solidFill>
              <w14:schemeClr w14:val="tx1"/>
            </w14:solidFill>
          </w14:textFill>
        </w:rPr>
        <w:t>，</w:t>
      </w:r>
      <w:r>
        <w:rPr>
          <w:rFonts w:hint="eastAsia"/>
          <w:color w:val="000000" w:themeColor="text1"/>
          <w:spacing w:val="-2"/>
          <w:sz w:val="21"/>
          <w:highlight w:val="none"/>
          <w14:textFill>
            <w14:solidFill>
              <w14:schemeClr w14:val="tx1"/>
            </w14:solidFill>
          </w14:textFill>
        </w:rPr>
        <w:t>投标人或投标人所投的投标产品厂商应具备较强的合同履约服务能力和较高的信用评级，能提供省级信用管理示范企业证书的，提供相关证明复印件，得2</w:t>
      </w:r>
      <w:r>
        <w:rPr>
          <w:color w:val="000000" w:themeColor="text1"/>
          <w:spacing w:val="-2"/>
          <w:sz w:val="21"/>
          <w:highlight w:val="none"/>
          <w14:textFill>
            <w14:solidFill>
              <w14:schemeClr w14:val="tx1"/>
            </w14:solidFill>
          </w14:textFill>
        </w:rPr>
        <w:t>分。</w:t>
      </w:r>
      <w:r>
        <w:rPr>
          <w:rFonts w:hint="eastAsia"/>
          <w:color w:val="000000" w:themeColor="text1"/>
          <w:spacing w:val="-2"/>
          <w:sz w:val="21"/>
          <w:highlight w:val="none"/>
          <w14:textFill>
            <w14:solidFill>
              <w14:schemeClr w14:val="tx1"/>
            </w14:solidFill>
          </w14:textFill>
        </w:rPr>
        <w:t>其它不得分，本项最多得</w:t>
      </w:r>
      <w:r>
        <w:rPr>
          <w:color w:val="000000" w:themeColor="text1"/>
          <w:spacing w:val="-2"/>
          <w:sz w:val="21"/>
          <w:highlight w:val="none"/>
          <w14:textFill>
            <w14:solidFill>
              <w14:schemeClr w14:val="tx1"/>
            </w14:solidFill>
          </w14:textFill>
        </w:rPr>
        <w:t xml:space="preserve"> </w:t>
      </w:r>
      <w:r>
        <w:rPr>
          <w:rFonts w:hint="eastAsia"/>
          <w:color w:val="000000" w:themeColor="text1"/>
          <w:spacing w:val="-2"/>
          <w:sz w:val="21"/>
          <w:highlight w:val="none"/>
          <w14:textFill>
            <w14:solidFill>
              <w14:schemeClr w14:val="tx1"/>
            </w14:solidFill>
          </w14:textFill>
        </w:rPr>
        <w:t>3</w:t>
      </w:r>
      <w:r>
        <w:rPr>
          <w:color w:val="000000" w:themeColor="text1"/>
          <w:spacing w:val="-2"/>
          <w:sz w:val="21"/>
          <w:highlight w:val="none"/>
          <w14:textFill>
            <w14:solidFill>
              <w14:schemeClr w14:val="tx1"/>
            </w14:solidFill>
          </w14:textFill>
        </w:rPr>
        <w:t xml:space="preserve"> 分（满分</w:t>
      </w:r>
      <w:r>
        <w:rPr>
          <w:rFonts w:hint="eastAsia"/>
          <w:color w:val="000000" w:themeColor="text1"/>
          <w:spacing w:val="-2"/>
          <w:sz w:val="21"/>
          <w:highlight w:val="none"/>
          <w14:textFill>
            <w14:solidFill>
              <w14:schemeClr w14:val="tx1"/>
            </w14:solidFill>
          </w14:textFill>
        </w:rPr>
        <w:t>3</w:t>
      </w:r>
      <w:r>
        <w:rPr>
          <w:color w:val="000000" w:themeColor="text1"/>
          <w:spacing w:val="-2"/>
          <w:sz w:val="21"/>
          <w:highlight w:val="none"/>
          <w14:textFill>
            <w14:solidFill>
              <w14:schemeClr w14:val="tx1"/>
            </w14:solidFill>
          </w14:textFill>
        </w:rPr>
        <w:t>分）。</w:t>
      </w:r>
    </w:p>
    <w:p>
      <w:pPr>
        <w:pStyle w:val="7"/>
        <w:tabs>
          <w:tab w:val="left" w:leader="dot" w:pos="8227"/>
        </w:tabs>
        <w:spacing w:line="239" w:lineRule="exact"/>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5.政策功能分（节能、环保、广西区内产品等）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满分</w:t>
      </w:r>
      <w:r>
        <w:rPr>
          <w:color w:val="000000" w:themeColor="text1"/>
          <w:spacing w:val="-55"/>
          <w:highlight w:val="none"/>
          <w14:textFill>
            <w14:solidFill>
              <w14:schemeClr w14:val="tx1"/>
            </w14:solidFill>
          </w14:textFill>
        </w:rPr>
        <w:t xml:space="preserve"> </w:t>
      </w:r>
      <w:r>
        <w:rPr>
          <w:color w:val="000000" w:themeColor="text1"/>
          <w:highlight w:val="none"/>
          <w14:textFill>
            <w14:solidFill>
              <w14:schemeClr w14:val="tx1"/>
            </w14:solidFill>
          </w14:textFill>
        </w:rPr>
        <w:t>3</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分</w:t>
      </w:r>
    </w:p>
    <w:p>
      <w:pPr>
        <w:tabs>
          <w:tab w:val="left" w:pos="1163"/>
        </w:tabs>
        <w:spacing w:before="125" w:line="360" w:lineRule="auto"/>
        <w:ind w:right="212" w:firstLine="412" w:firstLineChars="200"/>
        <w:jc w:val="both"/>
        <w:rPr>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w:t>
      </w:r>
      <w:r>
        <w:rPr>
          <w:color w:val="000000" w:themeColor="text1"/>
          <w:spacing w:val="-2"/>
          <w:sz w:val="21"/>
          <w:highlight w:val="none"/>
          <w14:textFill>
            <w14:solidFill>
              <w14:schemeClr w14:val="tx1"/>
            </w14:solidFill>
          </w14:textFill>
        </w:rPr>
        <w:t>1</w:t>
      </w:r>
      <w:r>
        <w:rPr>
          <w:rFonts w:hint="eastAsia"/>
          <w:color w:val="000000" w:themeColor="text1"/>
          <w:spacing w:val="-2"/>
          <w:sz w:val="21"/>
          <w:highlight w:val="none"/>
          <w14:textFill>
            <w14:solidFill>
              <w14:schemeClr w14:val="tx1"/>
            </w14:solidFill>
          </w14:textFill>
        </w:rPr>
        <w:t>）</w:t>
      </w:r>
      <w:r>
        <w:rPr>
          <w:color w:val="000000" w:themeColor="text1"/>
          <w:spacing w:val="-2"/>
          <w:sz w:val="21"/>
          <w:highlight w:val="none"/>
          <w14:textFill>
            <w14:solidFill>
              <w14:schemeClr w14:val="tx1"/>
            </w14:solidFill>
          </w14:textFill>
        </w:rPr>
        <w:t>投标产品列入第 22 期财政部、国家环保总局制定和公布现行的《环境标志产品政府采购</w:t>
      </w:r>
    </w:p>
    <w:p>
      <w:pPr>
        <w:tabs>
          <w:tab w:val="left" w:pos="1149"/>
        </w:tabs>
        <w:spacing w:before="48" w:line="357" w:lineRule="auto"/>
        <w:ind w:right="212" w:firstLine="412" w:firstLineChars="200"/>
        <w:rPr>
          <w:rFonts w:hint="eastAsia"/>
          <w:color w:val="000000" w:themeColor="text1"/>
          <w:spacing w:val="-2"/>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清单》内，并提供证明材料复印件的</w:t>
      </w:r>
      <w:r>
        <w:rPr>
          <w:rFonts w:hint="eastAsia"/>
          <w:color w:val="000000" w:themeColor="text1"/>
          <w:spacing w:val="-2"/>
          <w:sz w:val="21"/>
          <w:highlight w:val="none"/>
          <w14:textFill>
            <w14:solidFill>
              <w14:schemeClr w14:val="tx1"/>
            </w14:solidFill>
          </w14:textFill>
        </w:rPr>
        <w:t>，得 1 分。</w:t>
      </w:r>
    </w:p>
    <w:p>
      <w:pPr>
        <w:keepNext w:val="0"/>
        <w:keepLines w:val="0"/>
        <w:pageBreakBefore w:val="0"/>
        <w:widowControl w:val="0"/>
        <w:tabs>
          <w:tab w:val="left" w:pos="1149"/>
        </w:tabs>
        <w:kinsoku/>
        <w:wordWrap/>
        <w:overflowPunct/>
        <w:topLinePunct w:val="0"/>
        <w:autoSpaceDE w:val="0"/>
        <w:autoSpaceDN w:val="0"/>
        <w:bidi w:val="0"/>
        <w:adjustRightInd/>
        <w:snapToGrid/>
        <w:spacing w:before="48" w:line="358" w:lineRule="auto"/>
        <w:ind w:right="0" w:firstLine="412" w:firstLineChars="200"/>
        <w:textAlignment w:val="auto"/>
        <w:rPr>
          <w:rFonts w:hint="eastAsia"/>
          <w:color w:val="000000" w:themeColor="text1"/>
          <w:spacing w:val="-2"/>
          <w:sz w:val="21"/>
          <w:highlight w:val="none"/>
          <w14:textFill>
            <w14:solidFill>
              <w14:schemeClr w14:val="tx1"/>
            </w14:solidFill>
          </w14:textFill>
        </w:rPr>
      </w:pPr>
      <w:r>
        <w:rPr>
          <w:rFonts w:hint="eastAsia"/>
          <w:color w:val="000000" w:themeColor="text1"/>
          <w:spacing w:val="-2"/>
          <w:sz w:val="21"/>
          <w:highlight w:val="none"/>
          <w14:textFill>
            <w14:solidFill>
              <w14:schemeClr w14:val="tx1"/>
            </w14:solidFill>
          </w14:textFill>
        </w:rPr>
        <w:t>（2）根据《广西壮族自治区人民政府办公厅关于印发招标采购促进广西工业产品产销对接实施细则 的通知》（桂政办发【2015】78 号）的规定，“广西工业产品”是指广西境内生产的工业产品，具体以生产企业的工商营业执照注册所在地为准。“使用广西工业产品 80%以上”是指参加政府采购项目或招标项目时供货范围中采用广西工业产品的金额占本次招标总金额的 80%以上（含）。投标文件中须提供生产企业的工商营业执照复印件和广西工业产品声明函原件。提供证明材料复印件的，得 2 分。</w:t>
      </w:r>
    </w:p>
    <w:p>
      <w:pPr>
        <w:pStyle w:val="7"/>
        <w:spacing w:before="26" w:line="391" w:lineRule="auto"/>
        <w:ind w:right="660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、综合得分＝1+2+3+4+5 三、推荐中标候选人原则</w:t>
      </w:r>
    </w:p>
    <w:p>
      <w:pPr>
        <w:pStyle w:val="31"/>
        <w:keepNext w:val="0"/>
        <w:keepLines w:val="0"/>
        <w:pageBreakBefore w:val="0"/>
        <w:widowControl w:val="0"/>
        <w:numPr>
          <w:ilvl w:val="0"/>
          <w:numId w:val="32"/>
        </w:numPr>
        <w:tabs>
          <w:tab w:val="left" w:pos="1193"/>
        </w:tabs>
        <w:kinsoku/>
        <w:wordWrap/>
        <w:overflowPunct/>
        <w:topLinePunct w:val="0"/>
        <w:autoSpaceDE w:val="0"/>
        <w:autoSpaceDN w:val="0"/>
        <w:bidi w:val="0"/>
        <w:adjustRightInd/>
        <w:snapToGrid/>
        <w:spacing w:before="4" w:line="391" w:lineRule="auto"/>
        <w:ind w:left="215" w:right="0" w:firstLine="448"/>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评标委员会根据综合得分由高到低排列次序，若得分相同时，按评标价由低到高顺序排列；得分相同且评标价也相同的，按技术分及售后服务分由高到低顺序排列并推荐中标候选人。</w:t>
      </w:r>
    </w:p>
    <w:p>
      <w:pPr>
        <w:pStyle w:val="31"/>
        <w:keepNext w:val="0"/>
        <w:keepLines w:val="0"/>
        <w:pageBreakBefore w:val="0"/>
        <w:widowControl w:val="0"/>
        <w:numPr>
          <w:ilvl w:val="0"/>
          <w:numId w:val="32"/>
        </w:numPr>
        <w:tabs>
          <w:tab w:val="left" w:pos="1193"/>
        </w:tabs>
        <w:kinsoku/>
        <w:wordWrap/>
        <w:overflowPunct/>
        <w:topLinePunct w:val="0"/>
        <w:autoSpaceDE w:val="0"/>
        <w:autoSpaceDN w:val="0"/>
        <w:bidi w:val="0"/>
        <w:adjustRightInd/>
        <w:snapToGrid/>
        <w:spacing w:before="1" w:line="393" w:lineRule="auto"/>
        <w:ind w:left="215" w:right="0" w:firstLine="448"/>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评标委员会可推荐前三名为中标候选人，招标人应当确定评标委员会推荐排名第一的中标候选人为中标人。</w:t>
      </w:r>
    </w:p>
    <w:p>
      <w:pPr>
        <w:pStyle w:val="31"/>
        <w:keepNext w:val="0"/>
        <w:keepLines w:val="0"/>
        <w:pageBreakBefore w:val="0"/>
        <w:widowControl w:val="0"/>
        <w:numPr>
          <w:ilvl w:val="0"/>
          <w:numId w:val="32"/>
        </w:numPr>
        <w:tabs>
          <w:tab w:val="left" w:pos="1163"/>
        </w:tabs>
        <w:kinsoku/>
        <w:wordWrap/>
        <w:overflowPunct/>
        <w:topLinePunct w:val="0"/>
        <w:autoSpaceDE w:val="0"/>
        <w:autoSpaceDN w:val="0"/>
        <w:bidi w:val="0"/>
        <w:adjustRightInd/>
        <w:snapToGrid/>
        <w:spacing w:before="0" w:line="393" w:lineRule="auto"/>
        <w:ind w:left="215" w:right="0" w:firstLine="420"/>
        <w:jc w:val="both"/>
        <w:textAlignment w:val="auto"/>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排名第一的中标候选人放弃中标、因不可抗力提出不能履行合同，或者招标文件规</w:t>
      </w:r>
      <w:r>
        <w:rPr>
          <w:color w:val="000000" w:themeColor="text1"/>
          <w:sz w:val="21"/>
          <w:highlight w:val="none"/>
          <w14:textFill>
            <w14:solidFill>
              <w14:schemeClr w14:val="tx1"/>
            </w14:solidFill>
          </w14:textFill>
        </w:rPr>
        <w:t>定应当提交履约保证金而在规定的期限内未能提交的，或因失信行为被取消中标候选人资格的，招标人</w:t>
      </w:r>
      <w:r>
        <w:rPr>
          <w:color w:val="000000" w:themeColor="text1"/>
          <w:spacing w:val="-5"/>
          <w:w w:val="95"/>
          <w:sz w:val="21"/>
          <w:highlight w:val="none"/>
          <w14:textFill>
            <w14:solidFill>
              <w14:schemeClr w14:val="tx1"/>
            </w14:solidFill>
          </w14:textFill>
        </w:rPr>
        <w:t xml:space="preserve">   </w:t>
      </w:r>
      <w:r>
        <w:rPr>
          <w:color w:val="000000" w:themeColor="text1"/>
          <w:spacing w:val="-5"/>
          <w:sz w:val="21"/>
          <w:highlight w:val="none"/>
          <w14:textFill>
            <w14:solidFill>
              <w14:schemeClr w14:val="tx1"/>
            </w14:solidFill>
          </w14:textFill>
        </w:rPr>
        <w:t>可以确定排名第二的中标候选人为中标人。</w:t>
      </w:r>
    </w:p>
    <w:p>
      <w:pPr>
        <w:pStyle w:val="7"/>
        <w:spacing w:line="265" w:lineRule="exact"/>
        <w:rPr>
          <w:color w:val="000000" w:themeColor="text1"/>
          <w:highlight w:val="none"/>
          <w14:textFill>
            <w14:solidFill>
              <w14:schemeClr w14:val="tx1"/>
            </w14:solidFill>
          </w14:textFill>
        </w:rPr>
      </w:pPr>
      <w:bookmarkStart w:id="109" w:name="_Toc9472"/>
      <w:r>
        <w:rPr>
          <w:color w:val="000000" w:themeColor="text1"/>
          <w:highlight w:val="none"/>
          <w14:textFill>
            <w14:solidFill>
              <w14:schemeClr w14:val="tx1"/>
            </w14:solidFill>
          </w14:textFill>
        </w:rPr>
        <w:t>四、特别说明</w:t>
      </w:r>
      <w:bookmarkEnd w:id="109"/>
    </w:p>
    <w:p>
      <w:pPr>
        <w:pStyle w:val="13"/>
        <w:keepNext w:val="0"/>
        <w:keepLines w:val="0"/>
        <w:pageBreakBefore w:val="0"/>
        <w:widowControl w:val="0"/>
        <w:kinsoku/>
        <w:wordWrap/>
        <w:overflowPunct/>
        <w:topLinePunct w:val="0"/>
        <w:autoSpaceDE w:val="0"/>
        <w:autoSpaceDN w:val="0"/>
        <w:bidi w:val="0"/>
        <w:adjustRightInd/>
        <w:snapToGrid/>
        <w:spacing w:before="168" w:line="394" w:lineRule="auto"/>
        <w:ind w:right="0" w:firstLine="420" w:firstLineChars="200"/>
        <w:jc w:val="both"/>
        <w:textAlignment w:val="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w:t>
      </w:r>
      <w:r>
        <w:rPr>
          <w:color w:val="000000" w:themeColor="text1"/>
          <w:spacing w:val="-1"/>
          <w:highlight w:val="none"/>
          <w14:textFill>
            <w14:solidFill>
              <w14:schemeClr w14:val="tx1"/>
            </w14:solidFill>
          </w14:textFill>
        </w:rPr>
        <w:t>材料；投标人不能证明其报价合理性的，评标委员会应当将其作为无效投标处理。</w:t>
      </w:r>
    </w:p>
    <w:p>
      <w:pPr>
        <w:spacing w:line="393" w:lineRule="auto"/>
        <w:jc w:val="both"/>
        <w:rPr>
          <w:color w:val="000000" w:themeColor="text1"/>
          <w:highlight w:val="none"/>
          <w14:textFill>
            <w14:solidFill>
              <w14:schemeClr w14:val="tx1"/>
            </w14:solidFill>
          </w14:textFill>
        </w:rPr>
        <w:sectPr>
          <w:pgSz w:w="11910" w:h="16840"/>
          <w:pgMar w:top="1460" w:right="1140" w:bottom="900" w:left="1200" w:header="0" w:footer="640" w:gutter="0"/>
          <w:cols w:space="720" w:num="1"/>
        </w:sectPr>
      </w:pPr>
    </w:p>
    <w:p>
      <w:pPr>
        <w:pStyle w:val="13"/>
        <w:spacing w:before="3"/>
        <w:rPr>
          <w:color w:val="000000" w:themeColor="text1"/>
          <w:sz w:val="13"/>
          <w:highlight w:val="none"/>
          <w14:textFill>
            <w14:solidFill>
              <w14:schemeClr w14:val="tx1"/>
            </w14:solidFill>
          </w14:textFill>
        </w:rPr>
      </w:pPr>
    </w:p>
    <w:p>
      <w:pPr>
        <w:pStyle w:val="4"/>
        <w:ind w:right="89"/>
        <w:rPr>
          <w:color w:val="000000" w:themeColor="text1"/>
          <w:highlight w:val="none"/>
          <w14:textFill>
            <w14:solidFill>
              <w14:schemeClr w14:val="tx1"/>
            </w14:solidFill>
          </w14:textFill>
        </w:rPr>
      </w:pPr>
      <w:bookmarkStart w:id="110" w:name="_Toc14163"/>
      <w:r>
        <w:rPr>
          <w:color w:val="000000" w:themeColor="text1"/>
          <w:highlight w:val="none"/>
          <w14:textFill>
            <w14:solidFill>
              <w14:schemeClr w14:val="tx1"/>
            </w14:solidFill>
          </w14:textFill>
        </w:rPr>
        <w:t>第五章 采购合同（合同主要条款及格式）</w:t>
      </w:r>
      <w:bookmarkEnd w:id="110"/>
    </w:p>
    <w:p>
      <w:pPr>
        <w:pStyle w:val="5"/>
        <w:spacing w:before="340"/>
        <w:rPr>
          <w:color w:val="000000" w:themeColor="text1"/>
          <w:highlight w:val="none"/>
          <w14:textFill>
            <w14:solidFill>
              <w14:schemeClr w14:val="tx1"/>
            </w14:solidFill>
          </w14:textFill>
        </w:rPr>
      </w:pPr>
      <w:bookmarkStart w:id="111" w:name="_Toc2558"/>
      <w:r>
        <w:rPr>
          <w:color w:val="000000" w:themeColor="text1"/>
          <w:highlight w:val="none"/>
          <w14:textFill>
            <w14:solidFill>
              <w14:schemeClr w14:val="tx1"/>
            </w14:solidFill>
          </w14:textFill>
        </w:rPr>
        <w:t>广西壮族自治区政府采购合同</w:t>
      </w:r>
      <w:bookmarkEnd w:id="111"/>
    </w:p>
    <w:p>
      <w:pPr>
        <w:pStyle w:val="13"/>
        <w:spacing w:before="3"/>
        <w:rPr>
          <w:b/>
          <w:color w:val="000000" w:themeColor="text1"/>
          <w:sz w:val="38"/>
          <w:highlight w:val="none"/>
          <w14:textFill>
            <w14:solidFill>
              <w14:schemeClr w14:val="tx1"/>
            </w14:solidFill>
          </w14:textFill>
        </w:rPr>
      </w:pPr>
    </w:p>
    <w:p>
      <w:pPr>
        <w:pStyle w:val="13"/>
        <w:ind w:left="62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合同编号：</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3"/>
        <w:rPr>
          <w:color w:val="000000" w:themeColor="text1"/>
          <w:sz w:val="27"/>
          <w:highlight w:val="none"/>
          <w14:textFill>
            <w14:solidFill>
              <w14:schemeClr w14:val="tx1"/>
            </w14:solidFill>
          </w14:textFill>
        </w:rPr>
      </w:pPr>
    </w:p>
    <w:p>
      <w:pPr>
        <w:pStyle w:val="13"/>
        <w:tabs>
          <w:tab w:val="left" w:pos="4047"/>
          <w:tab w:val="left" w:pos="4835"/>
          <w:tab w:val="left" w:pos="8938"/>
        </w:tabs>
        <w:spacing w:line="357" w:lineRule="auto"/>
        <w:ind w:left="215" w:right="6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招标人（甲方）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采购计划号</w:t>
      </w:r>
      <w:r>
        <w:rPr>
          <w:color w:val="000000" w:themeColor="text1"/>
          <w:spacing w:val="-39"/>
          <w:w w:val="95"/>
          <w:highlight w:val="none"/>
          <w:u w:val="single"/>
          <w14:textFill>
            <w14:solidFill>
              <w14:schemeClr w14:val="tx1"/>
            </w14:solidFill>
          </w14:textFill>
        </w:rPr>
        <w:tab/>
      </w:r>
      <w:r>
        <w:rPr>
          <w:color w:val="000000" w:themeColor="text1"/>
          <w:w w:val="95"/>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投标人（乙方）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项目名称</w:t>
      </w:r>
      <w:r>
        <w:rPr>
          <w:color w:val="000000" w:themeColor="text1"/>
          <w:spacing w:val="-39"/>
          <w:highlight w:val="none"/>
          <w14:textFill>
            <w14:solidFill>
              <w14:schemeClr w14:val="tx1"/>
            </w14:solidFill>
          </w14:textFill>
        </w:rPr>
        <w:t>编</w:t>
      </w:r>
      <w:r>
        <w:rPr>
          <w:color w:val="000000" w:themeColor="text1"/>
          <w:highlight w:val="none"/>
          <w14:textFill>
            <w14:solidFill>
              <w14:schemeClr w14:val="tx1"/>
            </w14:solidFill>
          </w14:textFill>
        </w:rPr>
        <w:t>号</w:t>
      </w:r>
    </w:p>
    <w:p>
      <w:pPr>
        <w:pStyle w:val="13"/>
        <w:tabs>
          <w:tab w:val="left" w:pos="635"/>
          <w:tab w:val="left" w:pos="1055"/>
          <w:tab w:val="left" w:pos="1475"/>
          <w:tab w:val="left" w:pos="1895"/>
          <w:tab w:val="left" w:pos="4047"/>
          <w:tab w:val="left" w:pos="4835"/>
          <w:tab w:val="left" w:pos="9298"/>
        </w:tabs>
        <w:spacing w:line="266" w:lineRule="exact"/>
        <w:ind w:left="21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点</w:t>
      </w:r>
      <w:r>
        <w:rPr>
          <w:color w:val="000000" w:themeColor="text1"/>
          <w:highlight w:val="none"/>
          <w14:textFill>
            <w14:solidFill>
              <w14:schemeClr w14:val="tx1"/>
            </w14:solidFill>
          </w14:textFill>
        </w:rPr>
        <w:tab/>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签 订 时</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11"/>
        <w:rPr>
          <w:rFonts w:ascii="Times New Roman"/>
          <w:color w:val="000000" w:themeColor="text1"/>
          <w:sz w:val="22"/>
          <w:highlight w:val="none"/>
          <w14:textFill>
            <w14:solidFill>
              <w14:schemeClr w14:val="tx1"/>
            </w14:solidFill>
          </w14:textFill>
        </w:rPr>
      </w:pPr>
    </w:p>
    <w:p>
      <w:pPr>
        <w:pStyle w:val="13"/>
        <w:spacing w:before="70" w:line="393" w:lineRule="auto"/>
        <w:ind w:left="215" w:right="316"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根据《中华人民共和国政府采购法》、《政府采购货物和服务招标投标管理办法》、《中华人民共和国合同法》等法律、法规规定，按照招标文件规定条款和乙方投标文件及其承诺，甲乙双方</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签订本合同。</w:t>
      </w:r>
    </w:p>
    <w:p>
      <w:pPr>
        <w:pStyle w:val="7"/>
        <w:spacing w:line="234" w:lineRule="exact"/>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第一条 合同标的</w:t>
      </w:r>
    </w:p>
    <w:p>
      <w:pPr>
        <w:pStyle w:val="31"/>
        <w:numPr>
          <w:ilvl w:val="0"/>
          <w:numId w:val="33"/>
        </w:numPr>
        <w:tabs>
          <w:tab w:val="left" w:pos="848"/>
        </w:tabs>
        <w:spacing w:before="129" w:after="22"/>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供货一览表</w:t>
      </w:r>
    </w:p>
    <w:tbl>
      <w:tblPr>
        <w:tblStyle w:val="23"/>
        <w:tblW w:w="896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147"/>
        <w:gridCol w:w="1147"/>
        <w:gridCol w:w="1227"/>
        <w:gridCol w:w="1115"/>
        <w:gridCol w:w="494"/>
        <w:gridCol w:w="573"/>
        <w:gridCol w:w="120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trPr>
        <w:tc>
          <w:tcPr>
            <w:tcW w:w="647" w:type="dxa"/>
          </w:tcPr>
          <w:p>
            <w:pPr>
              <w:pStyle w:val="32"/>
              <w:spacing w:before="8"/>
              <w:rPr>
                <w:color w:val="000000" w:themeColor="text1"/>
                <w:sz w:val="24"/>
                <w:highlight w:val="none"/>
                <w14:textFill>
                  <w14:solidFill>
                    <w14:schemeClr w14:val="tx1"/>
                  </w14:solidFill>
                </w14:textFill>
              </w:rPr>
            </w:pPr>
          </w:p>
          <w:p>
            <w:pPr>
              <w:pStyle w:val="32"/>
              <w:spacing w:before="1"/>
              <w:ind w:left="1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序号</w:t>
            </w:r>
          </w:p>
        </w:tc>
        <w:tc>
          <w:tcPr>
            <w:tcW w:w="1147" w:type="dxa"/>
          </w:tcPr>
          <w:p>
            <w:pPr>
              <w:pStyle w:val="32"/>
              <w:spacing w:before="8"/>
              <w:rPr>
                <w:color w:val="000000" w:themeColor="text1"/>
                <w:sz w:val="24"/>
                <w:highlight w:val="none"/>
                <w14:textFill>
                  <w14:solidFill>
                    <w14:schemeClr w14:val="tx1"/>
                  </w14:solidFill>
                </w14:textFill>
              </w:rPr>
            </w:pPr>
          </w:p>
          <w:p>
            <w:pPr>
              <w:pStyle w:val="32"/>
              <w:spacing w:before="1"/>
              <w:ind w:left="15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标的名称</w:t>
            </w:r>
          </w:p>
        </w:tc>
        <w:tc>
          <w:tcPr>
            <w:tcW w:w="1147" w:type="dxa"/>
          </w:tcPr>
          <w:p>
            <w:pPr>
              <w:pStyle w:val="32"/>
              <w:spacing w:before="8"/>
              <w:rPr>
                <w:color w:val="000000" w:themeColor="text1"/>
                <w:sz w:val="24"/>
                <w:highlight w:val="none"/>
                <w14:textFill>
                  <w14:solidFill>
                    <w14:schemeClr w14:val="tx1"/>
                  </w14:solidFill>
                </w14:textFill>
              </w:rPr>
            </w:pPr>
          </w:p>
          <w:p>
            <w:pPr>
              <w:pStyle w:val="32"/>
              <w:spacing w:before="1"/>
              <w:ind w:left="15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商标品牌</w:t>
            </w:r>
          </w:p>
        </w:tc>
        <w:tc>
          <w:tcPr>
            <w:tcW w:w="1227" w:type="dxa"/>
          </w:tcPr>
          <w:p>
            <w:pPr>
              <w:pStyle w:val="32"/>
              <w:spacing w:before="8"/>
              <w:rPr>
                <w:color w:val="000000" w:themeColor="text1"/>
                <w:sz w:val="24"/>
                <w:highlight w:val="none"/>
                <w14:textFill>
                  <w14:solidFill>
                    <w14:schemeClr w14:val="tx1"/>
                  </w14:solidFill>
                </w14:textFill>
              </w:rPr>
            </w:pPr>
          </w:p>
          <w:p>
            <w:pPr>
              <w:pStyle w:val="32"/>
              <w:spacing w:before="1"/>
              <w:ind w:left="19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型号规格</w:t>
            </w:r>
          </w:p>
        </w:tc>
        <w:tc>
          <w:tcPr>
            <w:tcW w:w="1115" w:type="dxa"/>
          </w:tcPr>
          <w:p>
            <w:pPr>
              <w:pStyle w:val="32"/>
              <w:spacing w:before="8"/>
              <w:rPr>
                <w:color w:val="000000" w:themeColor="text1"/>
                <w:sz w:val="24"/>
                <w:highlight w:val="none"/>
                <w14:textFill>
                  <w14:solidFill>
                    <w14:schemeClr w14:val="tx1"/>
                  </w14:solidFill>
                </w14:textFill>
              </w:rPr>
            </w:pPr>
          </w:p>
          <w:p>
            <w:pPr>
              <w:pStyle w:val="32"/>
              <w:spacing w:before="1"/>
              <w:ind w:left="13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生产厂家</w:t>
            </w:r>
          </w:p>
        </w:tc>
        <w:tc>
          <w:tcPr>
            <w:tcW w:w="494" w:type="dxa"/>
          </w:tcPr>
          <w:p>
            <w:pPr>
              <w:pStyle w:val="32"/>
              <w:spacing w:before="9" w:line="398" w:lineRule="exact"/>
              <w:ind w:left="141" w:right="13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数量</w:t>
            </w:r>
          </w:p>
        </w:tc>
        <w:tc>
          <w:tcPr>
            <w:tcW w:w="573" w:type="dxa"/>
          </w:tcPr>
          <w:p>
            <w:pPr>
              <w:pStyle w:val="32"/>
              <w:spacing w:before="9" w:line="398" w:lineRule="exact"/>
              <w:ind w:left="180" w:right="17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w:t>
            </w:r>
          </w:p>
        </w:tc>
        <w:tc>
          <w:tcPr>
            <w:tcW w:w="1201" w:type="dxa"/>
          </w:tcPr>
          <w:p>
            <w:pPr>
              <w:pStyle w:val="32"/>
              <w:spacing w:before="8"/>
              <w:rPr>
                <w:color w:val="000000" w:themeColor="text1"/>
                <w:sz w:val="24"/>
                <w:highlight w:val="none"/>
                <w14:textFill>
                  <w14:solidFill>
                    <w14:schemeClr w14:val="tx1"/>
                  </w14:solidFill>
                </w14:textFill>
              </w:rPr>
            </w:pPr>
          </w:p>
          <w:p>
            <w:pPr>
              <w:pStyle w:val="32"/>
              <w:spacing w:before="1"/>
              <w:ind w:left="10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单价（元）</w:t>
            </w:r>
          </w:p>
        </w:tc>
        <w:tc>
          <w:tcPr>
            <w:tcW w:w="1418" w:type="dxa"/>
          </w:tcPr>
          <w:p>
            <w:pPr>
              <w:pStyle w:val="32"/>
              <w:spacing w:before="8"/>
              <w:rPr>
                <w:color w:val="000000" w:themeColor="text1"/>
                <w:sz w:val="24"/>
                <w:highlight w:val="none"/>
                <w14:textFill>
                  <w14:solidFill>
                    <w14:schemeClr w14:val="tx1"/>
                  </w14:solidFill>
                </w14:textFill>
              </w:rPr>
            </w:pPr>
          </w:p>
          <w:p>
            <w:pPr>
              <w:pStyle w:val="32"/>
              <w:spacing w:before="1"/>
              <w:ind w:left="18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47" w:type="dxa"/>
          </w:tcPr>
          <w:p>
            <w:pPr>
              <w:pStyle w:val="32"/>
              <w:rPr>
                <w:rFonts w:ascii="Times New Roman"/>
                <w:color w:val="000000" w:themeColor="text1"/>
                <w:highlight w:val="none"/>
                <w14:textFill>
                  <w14:solidFill>
                    <w14:schemeClr w14:val="tx1"/>
                  </w14:solidFill>
                </w14:textFill>
              </w:rPr>
            </w:pPr>
          </w:p>
        </w:tc>
        <w:tc>
          <w:tcPr>
            <w:tcW w:w="1147" w:type="dxa"/>
          </w:tcPr>
          <w:p>
            <w:pPr>
              <w:pStyle w:val="32"/>
              <w:rPr>
                <w:rFonts w:ascii="Times New Roman"/>
                <w:color w:val="000000" w:themeColor="text1"/>
                <w:highlight w:val="none"/>
                <w14:textFill>
                  <w14:solidFill>
                    <w14:schemeClr w14:val="tx1"/>
                  </w14:solidFill>
                </w14:textFill>
              </w:rPr>
            </w:pPr>
          </w:p>
        </w:tc>
        <w:tc>
          <w:tcPr>
            <w:tcW w:w="1147" w:type="dxa"/>
          </w:tcPr>
          <w:p>
            <w:pPr>
              <w:pStyle w:val="32"/>
              <w:rPr>
                <w:rFonts w:ascii="Times New Roman"/>
                <w:color w:val="000000" w:themeColor="text1"/>
                <w:highlight w:val="none"/>
                <w14:textFill>
                  <w14:solidFill>
                    <w14:schemeClr w14:val="tx1"/>
                  </w14:solidFill>
                </w14:textFill>
              </w:rPr>
            </w:pPr>
          </w:p>
        </w:tc>
        <w:tc>
          <w:tcPr>
            <w:tcW w:w="1227" w:type="dxa"/>
          </w:tcPr>
          <w:p>
            <w:pPr>
              <w:pStyle w:val="32"/>
              <w:rPr>
                <w:rFonts w:ascii="Times New Roman"/>
                <w:color w:val="000000" w:themeColor="text1"/>
                <w:highlight w:val="none"/>
                <w14:textFill>
                  <w14:solidFill>
                    <w14:schemeClr w14:val="tx1"/>
                  </w14:solidFill>
                </w14:textFill>
              </w:rPr>
            </w:pPr>
          </w:p>
        </w:tc>
        <w:tc>
          <w:tcPr>
            <w:tcW w:w="1115" w:type="dxa"/>
          </w:tcPr>
          <w:p>
            <w:pPr>
              <w:pStyle w:val="32"/>
              <w:rPr>
                <w:rFonts w:ascii="Times New Roman"/>
                <w:color w:val="000000" w:themeColor="text1"/>
                <w:highlight w:val="none"/>
                <w14:textFill>
                  <w14:solidFill>
                    <w14:schemeClr w14:val="tx1"/>
                  </w14:solidFill>
                </w14:textFill>
              </w:rPr>
            </w:pPr>
          </w:p>
        </w:tc>
        <w:tc>
          <w:tcPr>
            <w:tcW w:w="494" w:type="dxa"/>
          </w:tcPr>
          <w:p>
            <w:pPr>
              <w:pStyle w:val="32"/>
              <w:rPr>
                <w:rFonts w:ascii="Times New Roman"/>
                <w:color w:val="000000" w:themeColor="text1"/>
                <w:highlight w:val="none"/>
                <w14:textFill>
                  <w14:solidFill>
                    <w14:schemeClr w14:val="tx1"/>
                  </w14:solidFill>
                </w14:textFill>
              </w:rPr>
            </w:pPr>
          </w:p>
        </w:tc>
        <w:tc>
          <w:tcPr>
            <w:tcW w:w="573" w:type="dxa"/>
          </w:tcPr>
          <w:p>
            <w:pPr>
              <w:pStyle w:val="32"/>
              <w:rPr>
                <w:rFonts w:ascii="Times New Roman"/>
                <w:color w:val="000000" w:themeColor="text1"/>
                <w:highlight w:val="none"/>
                <w14:textFill>
                  <w14:solidFill>
                    <w14:schemeClr w14:val="tx1"/>
                  </w14:solidFill>
                </w14:textFill>
              </w:rPr>
            </w:pPr>
          </w:p>
        </w:tc>
        <w:tc>
          <w:tcPr>
            <w:tcW w:w="1201" w:type="dxa"/>
          </w:tcPr>
          <w:p>
            <w:pPr>
              <w:pStyle w:val="32"/>
              <w:rPr>
                <w:rFonts w:ascii="Times New Roman"/>
                <w:color w:val="000000" w:themeColor="text1"/>
                <w:highlight w:val="none"/>
                <w14:textFill>
                  <w14:solidFill>
                    <w14:schemeClr w14:val="tx1"/>
                  </w14:solidFill>
                </w14:textFill>
              </w:rPr>
            </w:pPr>
          </w:p>
        </w:tc>
        <w:tc>
          <w:tcPr>
            <w:tcW w:w="1418" w:type="dxa"/>
          </w:tcPr>
          <w:p>
            <w:pPr>
              <w:pStyle w:val="32"/>
              <w:rPr>
                <w:rFonts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969" w:type="dxa"/>
            <w:gridSpan w:val="9"/>
          </w:tcPr>
          <w:p>
            <w:pPr>
              <w:pStyle w:val="32"/>
              <w:tabs>
                <w:tab w:val="left" w:pos="3888"/>
                <w:tab w:val="left" w:pos="6197"/>
              </w:tabs>
              <w:spacing w:before="122"/>
              <w:ind w:left="10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人民币合计金额（大写）</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（小写）¥</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元</w:t>
            </w:r>
          </w:p>
        </w:tc>
      </w:tr>
    </w:tbl>
    <w:p>
      <w:pPr>
        <w:pStyle w:val="31"/>
        <w:numPr>
          <w:ilvl w:val="0"/>
          <w:numId w:val="33"/>
        </w:numPr>
        <w:tabs>
          <w:tab w:val="left" w:pos="848"/>
        </w:tabs>
        <w:spacing w:before="142" w:line="393" w:lineRule="auto"/>
        <w:ind w:left="215" w:right="319" w:firstLine="420"/>
        <w:jc w:val="both"/>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合同合计金额应包括但不限于本次采购范围内货物货款、货物标准附件、备品备件、专用工   具、包装、运输、装卸、保险、税金、货到就位以及安装、调试、培训、保修等一切税金和费用</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如招投标文件对其另有规定的，从其规定。</w:t>
      </w:r>
    </w:p>
    <w:p>
      <w:pPr>
        <w:pStyle w:val="7"/>
        <w:spacing w:line="265" w:lineRule="exact"/>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第二条 质量保证</w:t>
      </w:r>
    </w:p>
    <w:p>
      <w:pPr>
        <w:pStyle w:val="31"/>
        <w:numPr>
          <w:ilvl w:val="0"/>
          <w:numId w:val="34"/>
        </w:numPr>
        <w:tabs>
          <w:tab w:val="left" w:pos="848"/>
        </w:tabs>
        <w:spacing w:line="393" w:lineRule="auto"/>
        <w:ind w:left="215" w:right="316" w:firstLine="420"/>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乙方所提供的货物型号、技术规格、技术参数等质量必须与招投标文件和承诺相一致。乙方</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提供的节能和环保产品必须是列入政府采购清单的产品。</w:t>
      </w:r>
    </w:p>
    <w:p>
      <w:pPr>
        <w:pStyle w:val="31"/>
        <w:numPr>
          <w:ilvl w:val="0"/>
          <w:numId w:val="34"/>
        </w:numPr>
        <w:tabs>
          <w:tab w:val="left" w:pos="848"/>
        </w:tabs>
        <w:spacing w:before="0" w:line="391" w:lineRule="auto"/>
        <w:ind w:left="215" w:right="316" w:firstLine="420"/>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乙方所提供的货物必须是全新、未使用的原装产品，且在正常安装、使用和保养条件下，其</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使用寿命期内各项指标均达到质量要求。</w:t>
      </w:r>
    </w:p>
    <w:p>
      <w:pPr>
        <w:pStyle w:val="7"/>
        <w:tabs>
          <w:tab w:val="left" w:pos="1480"/>
        </w:tabs>
        <w:spacing w:before="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第三条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权利保证</w:t>
      </w:r>
    </w:p>
    <w:p>
      <w:pPr>
        <w:pStyle w:val="13"/>
        <w:spacing w:before="1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乙方应保证所提供货物在使用时不会侵犯任何第三方的专利权、商标权、工业设计权或其他权</w:t>
      </w:r>
    </w:p>
    <w:p>
      <w:pPr>
        <w:rPr>
          <w:color w:val="000000" w:themeColor="text1"/>
          <w:highlight w:val="none"/>
          <w14:textFill>
            <w14:solidFill>
              <w14:schemeClr w14:val="tx1"/>
            </w14:solidFill>
          </w14:textFill>
        </w:rPr>
        <w:sectPr>
          <w:pgSz w:w="11910" w:h="16840"/>
          <w:pgMar w:top="1580" w:right="1140" w:bottom="900" w:left="1200" w:header="0" w:footer="640" w:gutter="0"/>
          <w:cols w:space="720" w:num="1"/>
        </w:sectPr>
      </w:pPr>
    </w:p>
    <w:p>
      <w:pPr>
        <w:pStyle w:val="13"/>
        <w:spacing w:before="42"/>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利。</w:t>
      </w:r>
    </w:p>
    <w:p>
      <w:pPr>
        <w:pStyle w:val="13"/>
        <w:spacing w:before="10"/>
        <w:rPr>
          <w:color w:val="000000" w:themeColor="text1"/>
          <w:sz w:val="7"/>
          <w:highlight w:val="none"/>
          <w14:textFill>
            <w14:solidFill>
              <w14:schemeClr w14:val="tx1"/>
            </w14:solidFill>
          </w14:textFill>
        </w:rPr>
      </w:pPr>
    </w:p>
    <w:p>
      <w:pPr>
        <w:pStyle w:val="13"/>
        <w:spacing w:before="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乙方应按招标文件规定的时间向甲方提供使用货物的有关技术资料。</w:t>
      </w:r>
    </w:p>
    <w:p>
      <w:pPr>
        <w:pStyle w:val="13"/>
        <w:spacing w:before="170" w:line="393" w:lineRule="auto"/>
        <w:ind w:left="215" w:right="319"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没有甲方事先书面同意，乙方不得将由甲方提供的有关合同或任何合同条文、规格、计划、图   纸、样品或资料提供给与履行本合同无关的任何其他人。即使向履行本合同有关的人员提供，也应</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注意保密并限于履行合同的必需范围。</w:t>
      </w:r>
    </w:p>
    <w:p>
      <w:pPr>
        <w:pStyle w:val="13"/>
        <w:spacing w:line="393" w:lineRule="auto"/>
        <w:ind w:left="635" w:right="950"/>
        <w:jc w:val="both"/>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乙方保证所交付的货物的所有权完全属于乙方且无任何抵押、质押、查封等产权瑕疵</w:t>
      </w:r>
      <w:r>
        <w:rPr>
          <w:color w:val="000000" w:themeColor="text1"/>
          <w:w w:val="95"/>
          <w:highlight w:val="none"/>
          <w14:textFill>
            <w14:solidFill>
              <w14:schemeClr w14:val="tx1"/>
            </w14:solidFill>
          </w14:textFill>
        </w:rPr>
        <w:t xml:space="preserve">。  </w:t>
      </w:r>
      <w:r>
        <w:rPr>
          <w:b/>
          <w:color w:val="000000" w:themeColor="text1"/>
          <w:highlight w:val="none"/>
          <w14:textFill>
            <w14:solidFill>
              <w14:schemeClr w14:val="tx1"/>
            </w14:solidFill>
          </w14:textFill>
        </w:rPr>
        <w:t>第四条 包装和运输</w:t>
      </w:r>
    </w:p>
    <w:p>
      <w:pPr>
        <w:pStyle w:val="31"/>
        <w:numPr>
          <w:ilvl w:val="0"/>
          <w:numId w:val="35"/>
        </w:numPr>
        <w:tabs>
          <w:tab w:val="left" w:pos="848"/>
        </w:tabs>
        <w:spacing w:before="0" w:line="391" w:lineRule="auto"/>
        <w:ind w:left="215" w:right="316" w:firstLine="420"/>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乙方提供的货物均应按招投标文件要求的包装材料、包装标准、包装方式进行包装，每一包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装单元内应附详细的装箱单和质量合格证。</w:t>
      </w:r>
    </w:p>
    <w:p>
      <w:pPr>
        <w:pStyle w:val="31"/>
        <w:numPr>
          <w:ilvl w:val="0"/>
          <w:numId w:val="35"/>
        </w:numPr>
        <w:tabs>
          <w:tab w:val="left" w:pos="848"/>
        </w:tabs>
        <w:spacing w:before="0"/>
        <w:ind w:left="847"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货物的运输方式：</w:t>
      </w:r>
      <w:r>
        <w:rPr>
          <w:color w:val="000000" w:themeColor="text1"/>
          <w:sz w:val="21"/>
          <w:highlight w:val="none"/>
          <w:u w:val="single"/>
          <w14:textFill>
            <w14:solidFill>
              <w14:schemeClr w14:val="tx1"/>
            </w14:solidFill>
          </w14:textFill>
        </w:rPr>
        <w:t>乙方自定</w:t>
      </w:r>
      <w:r>
        <w:rPr>
          <w:color w:val="000000" w:themeColor="text1"/>
          <w:sz w:val="21"/>
          <w:highlight w:val="none"/>
          <w14:textFill>
            <w14:solidFill>
              <w14:schemeClr w14:val="tx1"/>
            </w14:solidFill>
          </w14:textFill>
        </w:rPr>
        <w:t>。</w:t>
      </w:r>
    </w:p>
    <w:p>
      <w:pPr>
        <w:pStyle w:val="31"/>
        <w:numPr>
          <w:ilvl w:val="0"/>
          <w:numId w:val="35"/>
        </w:numPr>
        <w:tabs>
          <w:tab w:val="left" w:pos="848"/>
          <w:tab w:val="left" w:pos="1480"/>
        </w:tabs>
        <w:spacing w:before="168" w:line="391" w:lineRule="auto"/>
        <w:ind w:left="635" w:right="2522" w:firstLine="0"/>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乙方负责货物运输，货物运输合理损耗及计算方法：</w:t>
      </w:r>
      <w:r>
        <w:rPr>
          <w:color w:val="000000" w:themeColor="text1"/>
          <w:sz w:val="21"/>
          <w:highlight w:val="none"/>
          <w:u w:val="single"/>
          <w14:textFill>
            <w14:solidFill>
              <w14:schemeClr w14:val="tx1"/>
            </w14:solidFill>
          </w14:textFill>
        </w:rPr>
        <w:t>由乙方负责</w:t>
      </w:r>
      <w:r>
        <w:rPr>
          <w:color w:val="000000" w:themeColor="text1"/>
          <w:spacing w:val="-13"/>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w:t>
      </w:r>
      <w:r>
        <w:rPr>
          <w:b/>
          <w:color w:val="000000" w:themeColor="text1"/>
          <w:sz w:val="21"/>
          <w:highlight w:val="none"/>
          <w14:textFill>
            <w14:solidFill>
              <w14:schemeClr w14:val="tx1"/>
            </w14:solidFill>
          </w14:textFill>
        </w:rPr>
        <w:t>第五条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交付和验收</w:t>
      </w:r>
    </w:p>
    <w:p>
      <w:pPr>
        <w:pStyle w:val="31"/>
        <w:numPr>
          <w:ilvl w:val="0"/>
          <w:numId w:val="36"/>
        </w:numPr>
        <w:tabs>
          <w:tab w:val="left" w:pos="848"/>
          <w:tab w:val="left" w:pos="4207"/>
        </w:tabs>
        <w:spacing w:before="4" w:line="391" w:lineRule="auto"/>
        <w:ind w:left="635" w:right="947" w:firstLine="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交付使用期：自签订合同之日起</w:t>
      </w:r>
      <w:r>
        <w:rPr>
          <w:color w:val="000000" w:themeColor="text1"/>
          <w:sz w:val="21"/>
          <w:highlight w:val="none"/>
          <w:u w:val="single"/>
          <w14:textFill>
            <w14:solidFill>
              <w14:schemeClr w14:val="tx1"/>
            </w14:solidFill>
          </w14:textFill>
        </w:rPr>
        <w:t xml:space="preserve"> </w:t>
      </w:r>
      <w:r>
        <w:rPr>
          <w:rFonts w:hint="eastAsia"/>
          <w:color w:val="000000" w:themeColor="text1"/>
          <w:sz w:val="21"/>
          <w:highlight w:val="none"/>
          <w:u w:val="single"/>
          <w:lang w:val="en-US"/>
          <w14:textFill>
            <w14:solidFill>
              <w14:schemeClr w14:val="tx1"/>
            </w14:solidFill>
          </w14:textFill>
        </w:rPr>
        <w:t>50</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个日历日内全部安装调试合格完毕并交付使用。</w:t>
      </w:r>
      <w:r>
        <w:rPr>
          <w:rFonts w:hint="eastAsia"/>
          <w:color w:val="000000" w:themeColor="text1"/>
          <w:sz w:val="21"/>
          <w:highlight w:val="none"/>
          <w:lang w:val="en-US"/>
          <w14:textFill>
            <w14:solidFill>
              <w14:schemeClr w14:val="tx1"/>
            </w14:solidFill>
          </w14:textFill>
        </w:rPr>
        <w:t xml:space="preserve">  </w:t>
      </w:r>
      <w:r>
        <w:rPr>
          <w:color w:val="000000" w:themeColor="text1"/>
          <w:sz w:val="21"/>
          <w:highlight w:val="none"/>
          <w14:textFill>
            <w14:solidFill>
              <w14:schemeClr w14:val="tx1"/>
            </w14:solidFill>
          </w14:textFill>
        </w:rPr>
        <w:t>交货地点</w:t>
      </w:r>
      <w:r>
        <w:rPr>
          <w:rFonts w:hint="eastAsia"/>
          <w:color w:val="000000" w:themeColor="text1"/>
          <w:sz w:val="21"/>
          <w:highlight w:val="none"/>
          <w14:textFill>
            <w14:solidFill>
              <w14:schemeClr w14:val="tx1"/>
            </w14:solidFill>
          </w14:textFill>
        </w:rPr>
        <w:t>：采购人指定地点</w:t>
      </w:r>
      <w:r>
        <w:rPr>
          <w:color w:val="000000" w:themeColor="text1"/>
          <w:sz w:val="21"/>
          <w:highlight w:val="none"/>
          <w14:textFill>
            <w14:solidFill>
              <w14:schemeClr w14:val="tx1"/>
            </w14:solidFill>
          </w14:textFill>
        </w:rPr>
        <w:t>。</w:t>
      </w:r>
    </w:p>
    <w:p>
      <w:pPr>
        <w:pStyle w:val="31"/>
        <w:numPr>
          <w:ilvl w:val="0"/>
          <w:numId w:val="36"/>
        </w:numPr>
        <w:tabs>
          <w:tab w:val="left" w:pos="848"/>
        </w:tabs>
        <w:spacing w:before="1"/>
        <w:ind w:left="847"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乙方提供不符合招投标文件和本合同规定的货物，甲方有权拒绝接受。</w:t>
      </w:r>
    </w:p>
    <w:p>
      <w:pPr>
        <w:pStyle w:val="31"/>
        <w:numPr>
          <w:ilvl w:val="0"/>
          <w:numId w:val="36"/>
        </w:numPr>
        <w:tabs>
          <w:tab w:val="left" w:pos="848"/>
        </w:tabs>
        <w:spacing w:before="173" w:line="391"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乙方应将所提供货物的装箱清单、用户手册、原厂保修卡、随机资料、工具和备品、备件</w:t>
      </w:r>
      <w:r>
        <w:rPr>
          <w:color w:val="000000" w:themeColor="text1"/>
          <w:w w:val="95"/>
          <w:sz w:val="21"/>
          <w:highlight w:val="none"/>
          <w14:textFill>
            <w14:solidFill>
              <w14:schemeClr w14:val="tx1"/>
            </w14:solidFill>
          </w14:textFill>
        </w:rPr>
        <w:t xml:space="preserve">等   </w:t>
      </w:r>
      <w:r>
        <w:rPr>
          <w:color w:val="000000" w:themeColor="text1"/>
          <w:sz w:val="21"/>
          <w:highlight w:val="none"/>
          <w14:textFill>
            <w14:solidFill>
              <w14:schemeClr w14:val="tx1"/>
            </w14:solidFill>
          </w14:textFill>
        </w:rPr>
        <w:t>交付给甲方，如有缺失应及时补齐，否则视为逾期交货。</w:t>
      </w:r>
    </w:p>
    <w:p>
      <w:pPr>
        <w:pStyle w:val="31"/>
        <w:numPr>
          <w:ilvl w:val="0"/>
          <w:numId w:val="36"/>
        </w:numPr>
        <w:tabs>
          <w:tab w:val="left" w:pos="848"/>
        </w:tabs>
        <w:spacing w:before="1" w:line="393"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甲方应当在到货并安装、调试完后七个工作日内进行初步验收，逾期不验收的，乙方可视同</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验收合格。验收合格后由甲乙双方签署货物验收单并加盖采购人公章，甲乙双方各执一份。</w:t>
      </w:r>
    </w:p>
    <w:p>
      <w:pPr>
        <w:pStyle w:val="31"/>
        <w:numPr>
          <w:ilvl w:val="0"/>
          <w:numId w:val="36"/>
        </w:numPr>
        <w:tabs>
          <w:tab w:val="left" w:pos="848"/>
        </w:tabs>
        <w:spacing w:before="0" w:line="393" w:lineRule="auto"/>
        <w:ind w:left="215" w:right="316"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甲方委托第三方组织的验收项目，其验收时间以该项目验收方案确定的验收时间为准，验收   结果以该项目验收报告结论为准。在验收过程中发现乙方有违约问题，可暂缓资金结算，待违约问</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题解决后，方可办理资金结算事宜。</w:t>
      </w:r>
    </w:p>
    <w:p>
      <w:pPr>
        <w:pStyle w:val="31"/>
        <w:numPr>
          <w:ilvl w:val="0"/>
          <w:numId w:val="36"/>
        </w:numPr>
        <w:tabs>
          <w:tab w:val="left" w:pos="848"/>
        </w:tabs>
        <w:spacing w:before="0" w:line="391" w:lineRule="auto"/>
        <w:ind w:left="215" w:right="316"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甲方对验收有异议的，在验收后五个工作日内以书面形式向乙方提出，乙方应自收到甲方书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面异议后</w:t>
      </w:r>
      <w:r>
        <w:rPr>
          <w:color w:val="000000" w:themeColor="text1"/>
          <w:spacing w:val="-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7</w:t>
      </w:r>
      <w:r>
        <w:rPr>
          <w:color w:val="000000" w:themeColor="text1"/>
          <w:sz w:val="21"/>
          <w:highlight w:val="none"/>
          <w14:textFill>
            <w14:solidFill>
              <w14:schemeClr w14:val="tx1"/>
            </w14:solidFill>
          </w14:textFill>
        </w:rPr>
        <w:t xml:space="preserve"> 日内及时予以解决。</w:t>
      </w:r>
    </w:p>
    <w:p>
      <w:pPr>
        <w:pStyle w:val="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第六条 安装和培训</w:t>
      </w:r>
    </w:p>
    <w:p>
      <w:pPr>
        <w:pStyle w:val="31"/>
        <w:numPr>
          <w:ilvl w:val="0"/>
          <w:numId w:val="37"/>
        </w:numPr>
        <w:tabs>
          <w:tab w:val="left" w:pos="848"/>
        </w:tabs>
        <w:spacing w:before="168"/>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甲方应提供必要安装条件（如场地、电源、水源等）。</w:t>
      </w:r>
    </w:p>
    <w:p>
      <w:pPr>
        <w:pStyle w:val="31"/>
        <w:numPr>
          <w:ilvl w:val="0"/>
          <w:numId w:val="37"/>
        </w:numPr>
        <w:tabs>
          <w:tab w:val="left" w:pos="848"/>
          <w:tab w:val="left" w:pos="5647"/>
        </w:tabs>
        <w:spacing w:line="393" w:lineRule="auto"/>
        <w:ind w:left="215" w:right="31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乙方负责甲方有关人员的培训</w:t>
      </w:r>
      <w:r>
        <w:rPr>
          <w:color w:val="000000" w:themeColor="text1"/>
          <w:spacing w:val="-10"/>
          <w:sz w:val="21"/>
          <w:highlight w:val="none"/>
          <w14:textFill>
            <w14:solidFill>
              <w14:schemeClr w14:val="tx1"/>
            </w14:solidFill>
          </w14:textFill>
        </w:rPr>
        <w:t>。</w:t>
      </w:r>
      <w:r>
        <w:rPr>
          <w:color w:val="000000" w:themeColor="text1"/>
          <w:sz w:val="21"/>
          <w:highlight w:val="none"/>
          <w14:textFill>
            <w14:solidFill>
              <w14:schemeClr w14:val="tx1"/>
            </w14:solidFill>
          </w14:textFill>
        </w:rPr>
        <w:t>培训时间</w:t>
      </w:r>
      <w:r>
        <w:rPr>
          <w:color w:val="000000" w:themeColor="text1"/>
          <w:spacing w:val="-10"/>
          <w:sz w:val="21"/>
          <w:highlight w:val="none"/>
          <w14:textFill>
            <w14:solidFill>
              <w14:schemeClr w14:val="tx1"/>
            </w14:solidFill>
          </w14:textFill>
        </w:rPr>
        <w:t>、</w:t>
      </w:r>
      <w:r>
        <w:rPr>
          <w:color w:val="000000" w:themeColor="text1"/>
          <w:sz w:val="21"/>
          <w:highlight w:val="none"/>
          <w14:textFill>
            <w14:solidFill>
              <w14:schemeClr w14:val="tx1"/>
            </w14:solidFill>
          </w14:textFill>
        </w:rPr>
        <w:t>地点：</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装机使用培训≥2</w:t>
      </w:r>
      <w:r>
        <w:rPr>
          <w:color w:val="000000" w:themeColor="text1"/>
          <w:spacing w:val="-57"/>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天</w:t>
      </w:r>
      <w:r>
        <w:rPr>
          <w:color w:val="000000" w:themeColor="text1"/>
          <w:spacing w:val="-10"/>
          <w:sz w:val="21"/>
          <w:highlight w:val="none"/>
          <w14:textFill>
            <w14:solidFill>
              <w14:schemeClr w14:val="tx1"/>
            </w14:solidFill>
          </w14:textFill>
        </w:rPr>
        <w:t>，</w:t>
      </w:r>
      <w:r>
        <w:rPr>
          <w:color w:val="000000" w:themeColor="text1"/>
          <w:sz w:val="21"/>
          <w:highlight w:val="none"/>
          <w14:textFill>
            <w14:solidFill>
              <w14:schemeClr w14:val="tx1"/>
            </w14:solidFill>
          </w14:textFill>
        </w:rPr>
        <w:t>跟进强化培训</w:t>
      </w:r>
      <w:r>
        <w:rPr>
          <w:color w:val="000000" w:themeColor="text1"/>
          <w:spacing w:val="-10"/>
          <w:sz w:val="21"/>
          <w:highlight w:val="none"/>
          <w14:textFill>
            <w14:solidFill>
              <w14:schemeClr w14:val="tx1"/>
            </w14:solidFill>
          </w14:textFill>
        </w:rPr>
        <w:t xml:space="preserve">：1 </w:t>
      </w:r>
      <w:r>
        <w:rPr>
          <w:color w:val="000000" w:themeColor="text1"/>
          <w:sz w:val="21"/>
          <w:highlight w:val="none"/>
          <w14:textFill>
            <w14:solidFill>
              <w14:schemeClr w14:val="tx1"/>
            </w14:solidFill>
          </w14:textFill>
        </w:rPr>
        <w:t>天，维修保养培训：1</w:t>
      </w:r>
      <w:r>
        <w:rPr>
          <w:color w:val="000000" w:themeColor="text1"/>
          <w:spacing w:val="-5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天。培训人员不少于</w:t>
      </w:r>
      <w:r>
        <w:rPr>
          <w:color w:val="000000" w:themeColor="text1"/>
          <w:spacing w:val="-5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2</w:t>
      </w:r>
      <w:r>
        <w:rPr>
          <w:color w:val="000000" w:themeColor="text1"/>
          <w:spacing w:val="-5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人；地点：桂林市（招标人指定地点）。</w:t>
      </w:r>
    </w:p>
    <w:p>
      <w:pPr>
        <w:pStyle w:val="7"/>
        <w:tabs>
          <w:tab w:val="left" w:pos="1480"/>
        </w:tabs>
        <w:spacing w:line="267"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第七条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售后服务、质保期</w:t>
      </w:r>
    </w:p>
    <w:p>
      <w:pPr>
        <w:pStyle w:val="31"/>
        <w:numPr>
          <w:ilvl w:val="0"/>
          <w:numId w:val="38"/>
        </w:numPr>
        <w:tabs>
          <w:tab w:val="left" w:pos="848"/>
        </w:tabs>
        <w:spacing w:before="171" w:line="393"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乙方应按照国家有关法律法规和“三包”规定以及招投标文件和本合同附件，为甲方提供售</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后服务。</w:t>
      </w:r>
    </w:p>
    <w:p>
      <w:pPr>
        <w:spacing w:line="393" w:lineRule="auto"/>
        <w:rPr>
          <w:color w:val="000000" w:themeColor="text1"/>
          <w:sz w:val="21"/>
          <w:highlight w:val="none"/>
          <w14:textFill>
            <w14:solidFill>
              <w14:schemeClr w14:val="tx1"/>
            </w14:solidFill>
          </w14:textFill>
        </w:rPr>
        <w:sectPr>
          <w:pgSz w:w="11910" w:h="16840"/>
          <w:pgMar w:top="1500" w:right="1140" w:bottom="900" w:left="1200" w:header="0" w:footer="640" w:gutter="0"/>
          <w:cols w:space="720" w:num="1"/>
        </w:sectPr>
      </w:pPr>
    </w:p>
    <w:p>
      <w:pPr>
        <w:pStyle w:val="31"/>
        <w:numPr>
          <w:ilvl w:val="0"/>
          <w:numId w:val="38"/>
        </w:numPr>
        <w:tabs>
          <w:tab w:val="left" w:pos="848"/>
          <w:tab w:val="left" w:pos="4835"/>
        </w:tabs>
        <w:spacing w:before="42"/>
        <w:ind w:left="847"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货物质保期：</w:t>
      </w:r>
      <w:r>
        <w:rPr>
          <w:color w:val="000000" w:themeColor="text1"/>
          <w:sz w:val="21"/>
          <w:highlight w:val="none"/>
          <w:u w:val="single"/>
          <w14:textFill>
            <w14:solidFill>
              <w14:schemeClr w14:val="tx1"/>
            </w14:solidFill>
          </w14:textFill>
        </w:rPr>
        <w:t>质保期为自验收合格之日起</w:t>
      </w:r>
      <w:r>
        <w:rPr>
          <w:color w:val="000000" w:themeColor="text1"/>
          <w:sz w:val="21"/>
          <w:highlight w:val="none"/>
          <w:u w:val="single"/>
          <w14:textFill>
            <w14:solidFill>
              <w14:schemeClr w14:val="tx1"/>
            </w14:solidFill>
          </w14:textFill>
        </w:rPr>
        <w:tab/>
      </w:r>
      <w:r>
        <w:rPr>
          <w:rFonts w:hint="eastAsia"/>
          <w:color w:val="000000" w:themeColor="text1"/>
          <w:sz w:val="21"/>
          <w:highlight w:val="none"/>
          <w:u w:val="single"/>
          <w:lang w:val="en-US"/>
          <w14:textFill>
            <w14:solidFill>
              <w14:schemeClr w14:val="tx1"/>
            </w14:solidFill>
          </w14:textFill>
        </w:rPr>
        <w:t xml:space="preserve"> </w:t>
      </w:r>
      <w:r>
        <w:rPr>
          <w:color w:val="000000" w:themeColor="text1"/>
          <w:sz w:val="21"/>
          <w:highlight w:val="none"/>
          <w:u w:val="single"/>
          <w14:textFill>
            <w14:solidFill>
              <w14:schemeClr w14:val="tx1"/>
            </w14:solidFill>
          </w14:textFill>
        </w:rPr>
        <w:t>年，技术参数要求表中有特别要求的则以技术参</w:t>
      </w:r>
    </w:p>
    <w:p>
      <w:pPr>
        <w:pStyle w:val="13"/>
        <w:spacing w:before="10"/>
        <w:rPr>
          <w:color w:val="000000" w:themeColor="text1"/>
          <w:sz w:val="7"/>
          <w:highlight w:val="none"/>
          <w14:textFill>
            <w14:solidFill>
              <w14:schemeClr w14:val="tx1"/>
            </w14:solidFill>
          </w14:textFill>
        </w:rPr>
      </w:pPr>
    </w:p>
    <w:p>
      <w:pPr>
        <w:pStyle w:val="13"/>
        <w:spacing w:before="70"/>
        <w:ind w:left="215"/>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数要求表为准。质保期内全免费上门维修、免费更换零部件。</w:t>
      </w:r>
    </w:p>
    <w:p>
      <w:pPr>
        <w:pStyle w:val="13"/>
        <w:spacing w:before="11"/>
        <w:rPr>
          <w:color w:val="000000" w:themeColor="text1"/>
          <w:sz w:val="7"/>
          <w:highlight w:val="none"/>
          <w14:textFill>
            <w14:solidFill>
              <w14:schemeClr w14:val="tx1"/>
            </w14:solidFill>
          </w14:textFill>
        </w:rPr>
      </w:pPr>
    </w:p>
    <w:p>
      <w:pPr>
        <w:pStyle w:val="31"/>
        <w:numPr>
          <w:ilvl w:val="0"/>
          <w:numId w:val="38"/>
        </w:numPr>
        <w:tabs>
          <w:tab w:val="left" w:pos="848"/>
          <w:tab w:val="left" w:pos="1480"/>
        </w:tabs>
        <w:spacing w:before="69" w:line="393" w:lineRule="auto"/>
        <w:ind w:left="635" w:right="948" w:firstLine="0"/>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乙方提供的服务承诺和售后服务及质保期责任等其它具体约定事项。（见合同附件） </w:t>
      </w:r>
      <w:r>
        <w:rPr>
          <w:color w:val="000000" w:themeColor="text1"/>
          <w:w w:val="95"/>
          <w:sz w:val="21"/>
          <w:highlight w:val="none"/>
          <w14:textFill>
            <w14:solidFill>
              <w14:schemeClr w14:val="tx1"/>
            </w14:solidFill>
          </w14:textFill>
        </w:rPr>
        <w:t xml:space="preserve"> </w:t>
      </w:r>
      <w:r>
        <w:rPr>
          <w:b/>
          <w:color w:val="000000" w:themeColor="text1"/>
          <w:sz w:val="21"/>
          <w:highlight w:val="none"/>
          <w14:textFill>
            <w14:solidFill>
              <w14:schemeClr w14:val="tx1"/>
            </w14:solidFill>
          </w14:textFill>
        </w:rPr>
        <w:t>第八条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付款方式和保证金</w:t>
      </w:r>
    </w:p>
    <w:p>
      <w:pPr>
        <w:tabs>
          <w:tab w:val="left" w:pos="1511"/>
        </w:tabs>
        <w:spacing w:line="394" w:lineRule="auto"/>
        <w:ind w:firstLine="420" w:firstLineChars="200"/>
        <w:rPr>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自双方签订合同生效之日起7个工作日，乙方向甲方提交付款申请函及开具相应金额的发票，甲方向乙方支付合同总额30%预付款；项目交货完成后，乙方须先向甲方开具合同总额5%的质保金保函，且向甲方提交付款申请函及开具相应金额的发票后，甲方向乙方支付合同总额45%；项目安装完成后，乙方向甲方提交付款申请函及开具相应金额的发票，甲方向乙方支付合同总额15%；项目验收后，乙方向甲方提交付款申请函及开具相应金额的发票，甲方向乙方支付合同总额10%。质保金保函在项目验收合格满一年经乙方向甲方申请后的15个工作日内退还给乙方（不计利息）。</w:t>
      </w:r>
    </w:p>
    <w:p>
      <w:pPr>
        <w:tabs>
          <w:tab w:val="left" w:pos="1511"/>
        </w:tabs>
        <w:spacing w:line="394" w:lineRule="auto"/>
        <w:ind w:firstLine="422" w:firstLineChars="200"/>
        <w:rPr>
          <w:rFonts w:hint="eastAsia" w:eastAsia="宋体"/>
          <w:b/>
          <w:color w:val="000000" w:themeColor="text1"/>
          <w:sz w:val="21"/>
          <w:highlight w:val="none"/>
          <w:lang w:val="en-US" w:eastAsia="zh-CN"/>
          <w14:textFill>
            <w14:solidFill>
              <w14:schemeClr w14:val="tx1"/>
            </w14:solidFill>
          </w14:textFill>
        </w:rPr>
      </w:pPr>
      <w:r>
        <w:rPr>
          <w:b/>
          <w:color w:val="000000" w:themeColor="text1"/>
          <w:sz w:val="21"/>
          <w:highlight w:val="none"/>
          <w14:textFill>
            <w14:solidFill>
              <w14:schemeClr w14:val="tx1"/>
            </w14:solidFill>
          </w14:textFill>
        </w:rPr>
        <w:t>第九条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履约保证金</w:t>
      </w:r>
    </w:p>
    <w:p>
      <w:pPr>
        <w:pStyle w:val="13"/>
        <w:spacing w:line="391" w:lineRule="auto"/>
        <w:ind w:left="215" w:right="314" w:firstLine="420"/>
        <w:rPr>
          <w:color w:val="000000" w:themeColor="text1"/>
          <w:highlight w:val="none"/>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合同金额5%，履约保证形式和提交时间等双方自行约定。</w:t>
      </w:r>
    </w:p>
    <w:p>
      <w:pPr>
        <w:pStyle w:val="7"/>
        <w:spacing w:before="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第十条 税费</w:t>
      </w:r>
    </w:p>
    <w:p>
      <w:pPr>
        <w:spacing w:before="170" w:line="391" w:lineRule="auto"/>
        <w:ind w:left="635" w:right="4730"/>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本合同执行中相关的一切税费均由乙方负担。</w:t>
      </w:r>
      <w:r>
        <w:rPr>
          <w:color w:val="000000" w:themeColor="text1"/>
          <w:w w:val="95"/>
          <w:sz w:val="21"/>
          <w:highlight w:val="none"/>
          <w14:textFill>
            <w14:solidFill>
              <w14:schemeClr w14:val="tx1"/>
            </w14:solidFill>
          </w14:textFill>
        </w:rPr>
        <w:t xml:space="preserve"> </w:t>
      </w:r>
      <w:r>
        <w:rPr>
          <w:b/>
          <w:color w:val="000000" w:themeColor="text1"/>
          <w:spacing w:val="-1"/>
          <w:sz w:val="21"/>
          <w:highlight w:val="none"/>
          <w14:textFill>
            <w14:solidFill>
              <w14:schemeClr w14:val="tx1"/>
            </w14:solidFill>
          </w14:textFill>
        </w:rPr>
        <w:t>第十一条 质量保证及售后服务</w:t>
      </w:r>
    </w:p>
    <w:p>
      <w:pPr>
        <w:pStyle w:val="31"/>
        <w:numPr>
          <w:ilvl w:val="0"/>
          <w:numId w:val="39"/>
        </w:numPr>
        <w:tabs>
          <w:tab w:val="left" w:pos="848"/>
        </w:tabs>
        <w:spacing w:before="4" w:line="393" w:lineRule="auto"/>
        <w:ind w:left="215" w:right="212"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乙方应按招标文件规定的货物性能、技术要求、质量标准向甲方提供未经使用的全新产品。乙方提供货物的质量保证期按交货验收合格之日起计（期限见《项目采购需求》中各标段的要求）。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在保证期内因货物本身的质量问题发生故障，乙方应负责免费修理和更换零部件。对达不到技术要求者，根据实际情况，经双方协商，可按以下办法处理：</w:t>
      </w:r>
    </w:p>
    <w:p>
      <w:pPr>
        <w:pStyle w:val="31"/>
        <w:numPr>
          <w:ilvl w:val="0"/>
          <w:numId w:val="40"/>
        </w:numPr>
        <w:tabs>
          <w:tab w:val="left" w:pos="1163"/>
        </w:tabs>
        <w:spacing w:before="0" w:line="263" w:lineRule="exact"/>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更换：由乙方承担所发生的全部费用。</w:t>
      </w:r>
    </w:p>
    <w:p>
      <w:pPr>
        <w:pStyle w:val="31"/>
        <w:numPr>
          <w:ilvl w:val="0"/>
          <w:numId w:val="4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贬值处理：由甲乙双方合议定价。</w:t>
      </w:r>
    </w:p>
    <w:p>
      <w:pPr>
        <w:pStyle w:val="31"/>
        <w:numPr>
          <w:ilvl w:val="0"/>
          <w:numId w:val="40"/>
        </w:numPr>
        <w:tabs>
          <w:tab w:val="left" w:pos="1163"/>
        </w:tabs>
        <w:spacing w:before="173" w:line="391" w:lineRule="auto"/>
        <w:ind w:left="215" w:right="21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退货处理：乙方应退还甲方支付的合同款，同时应承担该货物的直接费用（运输、保险、</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检验、货款利息及银行手续费等）。</w:t>
      </w:r>
    </w:p>
    <w:p>
      <w:pPr>
        <w:pStyle w:val="31"/>
        <w:numPr>
          <w:ilvl w:val="0"/>
          <w:numId w:val="39"/>
        </w:numPr>
        <w:tabs>
          <w:tab w:val="left" w:pos="956"/>
        </w:tabs>
        <w:spacing w:before="1"/>
        <w:ind w:left="955" w:hanging="321"/>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如在使用过程中发生质量问题，乙方在接到甲方通知后</w:t>
      </w:r>
      <w:r>
        <w:rPr>
          <w:color w:val="000000" w:themeColor="text1"/>
          <w:spacing w:val="-1"/>
          <w:sz w:val="21"/>
          <w:highlight w:val="none"/>
          <w:u w:val="single"/>
          <w14:textFill>
            <w14:solidFill>
              <w14:schemeClr w14:val="tx1"/>
            </w14:solidFill>
          </w14:textFill>
        </w:rPr>
        <w:t xml:space="preserve">电话咨询不能解决的，乙方应在 </w:t>
      </w:r>
      <w:r>
        <w:rPr>
          <w:color w:val="000000" w:themeColor="text1"/>
          <w:sz w:val="21"/>
          <w:highlight w:val="none"/>
          <w:u w:val="single"/>
          <w14:textFill>
            <w14:solidFill>
              <w14:schemeClr w14:val="tx1"/>
            </w14:solidFill>
          </w14:textFill>
        </w:rPr>
        <w:t>2</w:t>
      </w:r>
    </w:p>
    <w:p>
      <w:pPr>
        <w:pStyle w:val="13"/>
        <w:rPr>
          <w:color w:val="000000" w:themeColor="text1"/>
          <w:sz w:val="8"/>
          <w:highlight w:val="none"/>
          <w14:textFill>
            <w14:solidFill>
              <w14:schemeClr w14:val="tx1"/>
            </w14:solidFill>
          </w14:textFill>
        </w:rPr>
      </w:pPr>
    </w:p>
    <w:p>
      <w:pPr>
        <w:pStyle w:val="13"/>
        <w:spacing w:before="70"/>
        <w:ind w:left="215"/>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小时内到达现场进行处理，到达现场后 2 小时内排除故障</w:t>
      </w:r>
      <w:r>
        <w:rPr>
          <w:color w:val="000000" w:themeColor="text1"/>
          <w:highlight w:val="none"/>
          <w14:textFill>
            <w14:solidFill>
              <w14:schemeClr w14:val="tx1"/>
            </w14:solidFill>
          </w14:textFill>
        </w:rPr>
        <w:t>。</w:t>
      </w:r>
    </w:p>
    <w:p>
      <w:pPr>
        <w:pStyle w:val="13"/>
        <w:spacing w:before="8"/>
        <w:rPr>
          <w:color w:val="000000" w:themeColor="text1"/>
          <w:sz w:val="22"/>
          <w:highlight w:val="none"/>
          <w14:textFill>
            <w14:solidFill>
              <w14:schemeClr w14:val="tx1"/>
            </w14:solidFill>
          </w14:textFill>
        </w:rPr>
      </w:pPr>
    </w:p>
    <w:p>
      <w:pPr>
        <w:pStyle w:val="31"/>
        <w:numPr>
          <w:ilvl w:val="0"/>
          <w:numId w:val="39"/>
        </w:numPr>
        <w:tabs>
          <w:tab w:val="left" w:pos="953"/>
        </w:tabs>
        <w:spacing w:before="0"/>
        <w:ind w:left="952"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在质保期内，乙方应对货物出现的质量及安全问题负责处理解决并承担一切费用。</w:t>
      </w:r>
    </w:p>
    <w:p>
      <w:pPr>
        <w:pStyle w:val="13"/>
        <w:spacing w:before="8"/>
        <w:rPr>
          <w:color w:val="000000" w:themeColor="text1"/>
          <w:sz w:val="22"/>
          <w:highlight w:val="none"/>
          <w14:textFill>
            <w14:solidFill>
              <w14:schemeClr w14:val="tx1"/>
            </w14:solidFill>
          </w14:textFill>
        </w:rPr>
      </w:pPr>
    </w:p>
    <w:p>
      <w:pPr>
        <w:pStyle w:val="31"/>
        <w:numPr>
          <w:ilvl w:val="0"/>
          <w:numId w:val="39"/>
        </w:numPr>
        <w:tabs>
          <w:tab w:val="left" w:pos="848"/>
        </w:tabs>
        <w:spacing w:before="1" w:line="393"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上述的货物免费保修期为 年，因人为因素出现的故障不在免费保修范围内。超过质保期的机器设备，终生维修，维修时只收部件成本费。</w:t>
      </w:r>
    </w:p>
    <w:p>
      <w:pPr>
        <w:spacing w:line="393" w:lineRule="auto"/>
        <w:rPr>
          <w:color w:val="000000" w:themeColor="text1"/>
          <w:sz w:val="21"/>
          <w:highlight w:val="none"/>
          <w14:textFill>
            <w14:solidFill>
              <w14:schemeClr w14:val="tx1"/>
            </w14:solidFill>
          </w14:textFill>
        </w:rPr>
        <w:sectPr>
          <w:pgSz w:w="11910" w:h="16840"/>
          <w:pgMar w:top="1500" w:right="1140" w:bottom="900" w:left="1200" w:header="0" w:footer="640" w:gutter="0"/>
          <w:cols w:space="720" w:num="1"/>
        </w:sectPr>
      </w:pPr>
    </w:p>
    <w:p>
      <w:pPr>
        <w:pStyle w:val="7"/>
        <w:spacing w:before="4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第十二条 货物包装、发运及运输</w:t>
      </w:r>
    </w:p>
    <w:p>
      <w:pPr>
        <w:pStyle w:val="13"/>
        <w:spacing w:before="8"/>
        <w:rPr>
          <w:b/>
          <w:color w:val="000000" w:themeColor="text1"/>
          <w:sz w:val="22"/>
          <w:highlight w:val="none"/>
          <w14:textFill>
            <w14:solidFill>
              <w14:schemeClr w14:val="tx1"/>
            </w14:solidFill>
          </w14:textFill>
        </w:rPr>
      </w:pPr>
    </w:p>
    <w:p>
      <w:pPr>
        <w:pStyle w:val="31"/>
        <w:numPr>
          <w:ilvl w:val="0"/>
          <w:numId w:val="41"/>
        </w:numPr>
        <w:tabs>
          <w:tab w:val="left" w:pos="953"/>
        </w:tabs>
        <w:spacing w:before="0" w:line="391" w:lineRule="auto"/>
        <w:ind w:left="215" w:right="21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乙方应在货物发运前对其进行满足运输距离、防潮、防震、防锈和防破损装卸等要求包装，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以保证货物安全运达甲方指定地点。</w:t>
      </w:r>
    </w:p>
    <w:p>
      <w:pPr>
        <w:pStyle w:val="31"/>
        <w:numPr>
          <w:ilvl w:val="0"/>
          <w:numId w:val="41"/>
        </w:numPr>
        <w:tabs>
          <w:tab w:val="left" w:pos="953"/>
        </w:tabs>
        <w:spacing w:before="123"/>
        <w:ind w:left="952"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使用说明书、质量检验证明书、随配附件和工具以及清单一并附于货物内。</w:t>
      </w:r>
    </w:p>
    <w:p>
      <w:pPr>
        <w:pStyle w:val="13"/>
        <w:spacing w:before="8"/>
        <w:rPr>
          <w:color w:val="000000" w:themeColor="text1"/>
          <w:sz w:val="22"/>
          <w:highlight w:val="none"/>
          <w14:textFill>
            <w14:solidFill>
              <w14:schemeClr w14:val="tx1"/>
            </w14:solidFill>
          </w14:textFill>
        </w:rPr>
      </w:pPr>
    </w:p>
    <w:p>
      <w:pPr>
        <w:pStyle w:val="31"/>
        <w:numPr>
          <w:ilvl w:val="0"/>
          <w:numId w:val="41"/>
        </w:numPr>
        <w:tabs>
          <w:tab w:val="left" w:pos="953"/>
        </w:tabs>
        <w:spacing w:before="1"/>
        <w:ind w:left="952" w:hanging="318"/>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乙方在货物发运手续办理完毕后二十四小时内或货到甲方四十八小时前通知甲方，以准备接</w:t>
      </w:r>
    </w:p>
    <w:p>
      <w:pPr>
        <w:pStyle w:val="13"/>
        <w:spacing w:before="170"/>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w:t>
      </w:r>
    </w:p>
    <w:p>
      <w:pPr>
        <w:pStyle w:val="13"/>
        <w:spacing w:before="10"/>
        <w:rPr>
          <w:color w:val="000000" w:themeColor="text1"/>
          <w:sz w:val="22"/>
          <w:highlight w:val="none"/>
          <w14:textFill>
            <w14:solidFill>
              <w14:schemeClr w14:val="tx1"/>
            </w14:solidFill>
          </w14:textFill>
        </w:rPr>
      </w:pPr>
    </w:p>
    <w:p>
      <w:pPr>
        <w:pStyle w:val="31"/>
        <w:numPr>
          <w:ilvl w:val="0"/>
          <w:numId w:val="41"/>
        </w:numPr>
        <w:tabs>
          <w:tab w:val="left" w:pos="953"/>
        </w:tabs>
        <w:spacing w:before="0"/>
        <w:ind w:left="952"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货物在交付甲方前发生的风险均由乙方负责。</w:t>
      </w:r>
    </w:p>
    <w:p>
      <w:pPr>
        <w:pStyle w:val="13"/>
        <w:spacing w:before="9"/>
        <w:rPr>
          <w:color w:val="000000" w:themeColor="text1"/>
          <w:sz w:val="22"/>
          <w:highlight w:val="none"/>
          <w14:textFill>
            <w14:solidFill>
              <w14:schemeClr w14:val="tx1"/>
            </w14:solidFill>
          </w14:textFill>
        </w:rPr>
      </w:pPr>
    </w:p>
    <w:p>
      <w:pPr>
        <w:pStyle w:val="31"/>
        <w:numPr>
          <w:ilvl w:val="0"/>
          <w:numId w:val="41"/>
        </w:numPr>
        <w:tabs>
          <w:tab w:val="left" w:pos="953"/>
        </w:tabs>
        <w:spacing w:before="0" w:line="391" w:lineRule="auto"/>
        <w:ind w:left="215" w:right="319"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货物在规定的交付期限内由乙方送达甲方指定的地点并初步验收合格后视为交付，乙方同时   </w:t>
      </w:r>
      <w:r>
        <w:rPr>
          <w:color w:val="000000" w:themeColor="text1"/>
          <w:spacing w:val="-3"/>
          <w:sz w:val="21"/>
          <w:highlight w:val="none"/>
          <w14:textFill>
            <w14:solidFill>
              <w14:schemeClr w14:val="tx1"/>
            </w14:solidFill>
          </w14:textFill>
        </w:rPr>
        <w:t>需通知甲方货物已送达。</w:t>
      </w:r>
    </w:p>
    <w:p>
      <w:pPr>
        <w:pStyle w:val="7"/>
        <w:spacing w:before="123"/>
        <w:ind w:left="6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第十三条 交货及验收要求</w:t>
      </w:r>
    </w:p>
    <w:p>
      <w:pPr>
        <w:pStyle w:val="13"/>
        <w:spacing w:before="8"/>
        <w:rPr>
          <w:b/>
          <w:color w:val="000000" w:themeColor="text1"/>
          <w:sz w:val="22"/>
          <w:highlight w:val="none"/>
          <w14:textFill>
            <w14:solidFill>
              <w14:schemeClr w14:val="tx1"/>
            </w14:solidFill>
          </w14:textFill>
        </w:rPr>
      </w:pPr>
    </w:p>
    <w:p>
      <w:pPr>
        <w:pStyle w:val="31"/>
        <w:numPr>
          <w:ilvl w:val="0"/>
          <w:numId w:val="42"/>
        </w:numPr>
        <w:tabs>
          <w:tab w:val="left" w:pos="953"/>
        </w:tabs>
        <w:spacing w:before="1" w:line="393" w:lineRule="auto"/>
        <w:ind w:left="215" w:right="319"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甲方对乙方提交的货物依据招标文件上的技术规格要求和国家有关质量标准进行现场初步验收，外观、说明书符合招标文件技术要求的，给予签收，初步验收不合格的不予签收。货到后，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甲方应当在到货并安装、调试完后七个工作日内进行初步验收。</w:t>
      </w:r>
    </w:p>
    <w:p>
      <w:pPr>
        <w:pStyle w:val="31"/>
        <w:numPr>
          <w:ilvl w:val="0"/>
          <w:numId w:val="42"/>
        </w:numPr>
        <w:tabs>
          <w:tab w:val="left" w:pos="953"/>
        </w:tabs>
        <w:spacing w:before="116" w:line="393" w:lineRule="auto"/>
        <w:ind w:left="215" w:right="319"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乙方交货前应对产品作出全面检查和对验收文件进行整理，并列出清单，作为甲方收货验收   和使用的技术条件依据，检验的结果应随货物交甲方。乙方不能完整交付货物及本款规定的单证和</w:t>
      </w:r>
      <w:r>
        <w:rPr>
          <w:color w:val="000000" w:themeColor="text1"/>
          <w:spacing w:val="-4"/>
          <w:sz w:val="21"/>
          <w:highlight w:val="none"/>
          <w14:textFill>
            <w14:solidFill>
              <w14:schemeClr w14:val="tx1"/>
            </w14:solidFill>
          </w14:textFill>
        </w:rPr>
        <w:t>工具的，必须负责补齐，否则视为未按合同约定交货。</w:t>
      </w:r>
    </w:p>
    <w:p>
      <w:pPr>
        <w:pStyle w:val="31"/>
        <w:numPr>
          <w:ilvl w:val="0"/>
          <w:numId w:val="42"/>
        </w:numPr>
        <w:tabs>
          <w:tab w:val="left" w:pos="953"/>
        </w:tabs>
        <w:spacing w:before="116" w:line="391" w:lineRule="auto"/>
        <w:ind w:left="215" w:right="21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甲方对乙方提供的货物在使用前进行调试时，乙方需负责安装并培训甲方的使用操作人员，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并协助甲方一起调试，直到符合技术要求，甲方才做最终验收。</w:t>
      </w:r>
    </w:p>
    <w:p>
      <w:pPr>
        <w:pStyle w:val="31"/>
        <w:numPr>
          <w:ilvl w:val="0"/>
          <w:numId w:val="42"/>
        </w:numPr>
        <w:tabs>
          <w:tab w:val="left" w:pos="953"/>
        </w:tabs>
        <w:spacing w:before="124" w:line="391" w:lineRule="auto"/>
        <w:ind w:left="215" w:right="316"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验收由甲方组织，乙方配合进行。对技术复杂的货物，甲方应请国家认可的专业检测机构参</w:t>
      </w:r>
      <w:r>
        <w:rPr>
          <w:color w:val="000000" w:themeColor="text1"/>
          <w:spacing w:val="-9"/>
          <w:w w:val="95"/>
          <w:sz w:val="21"/>
          <w:highlight w:val="none"/>
          <w14:textFill>
            <w14:solidFill>
              <w14:schemeClr w14:val="tx1"/>
            </w14:solidFill>
          </w14:textFill>
        </w:rPr>
        <w:t xml:space="preserve">   </w:t>
      </w:r>
      <w:r>
        <w:rPr>
          <w:color w:val="000000" w:themeColor="text1"/>
          <w:spacing w:val="-9"/>
          <w:sz w:val="21"/>
          <w:highlight w:val="none"/>
          <w14:textFill>
            <w14:solidFill>
              <w14:schemeClr w14:val="tx1"/>
            </w14:solidFill>
          </w14:textFill>
        </w:rPr>
        <w:t>与初步验收及最终验收，并由其出具质量检测报告。</w:t>
      </w:r>
    </w:p>
    <w:p>
      <w:pPr>
        <w:pStyle w:val="31"/>
        <w:numPr>
          <w:ilvl w:val="0"/>
          <w:numId w:val="43"/>
        </w:numPr>
        <w:tabs>
          <w:tab w:val="left" w:pos="1268"/>
        </w:tabs>
        <w:spacing w:before="121"/>
        <w:ind w:hanging="63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货物在乙方通知安装调试完毕后</w:t>
      </w:r>
      <w:r>
        <w:rPr>
          <w:color w:val="000000" w:themeColor="text1"/>
          <w:sz w:val="21"/>
          <w:highlight w:val="none"/>
          <w:u w:val="single"/>
          <w14:textFill>
            <w14:solidFill>
              <w14:schemeClr w14:val="tx1"/>
            </w14:solidFill>
          </w14:textFill>
        </w:rPr>
        <w:t>七个工作日</w:t>
      </w:r>
      <w:r>
        <w:rPr>
          <w:color w:val="000000" w:themeColor="text1"/>
          <w:sz w:val="21"/>
          <w:highlight w:val="none"/>
          <w14:textFill>
            <w14:solidFill>
              <w14:schemeClr w14:val="tx1"/>
            </w14:solidFill>
          </w14:textFill>
        </w:rPr>
        <w:t>内初步验收。初步验收合格后，进入</w:t>
      </w:r>
      <w:r>
        <w:rPr>
          <w:color w:val="000000" w:themeColor="text1"/>
          <w:sz w:val="21"/>
          <w:highlight w:val="none"/>
          <w:u w:val="single"/>
          <w14:textFill>
            <w14:solidFill>
              <w14:schemeClr w14:val="tx1"/>
            </w14:solidFill>
          </w14:textFill>
        </w:rPr>
        <w:t>一个月</w:t>
      </w:r>
    </w:p>
    <w:p>
      <w:pPr>
        <w:pStyle w:val="13"/>
        <w:rPr>
          <w:color w:val="000000" w:themeColor="text1"/>
          <w:sz w:val="8"/>
          <w:highlight w:val="none"/>
          <w14:textFill>
            <w14:solidFill>
              <w14:schemeClr w14:val="tx1"/>
            </w14:solidFill>
          </w14:textFill>
        </w:rPr>
      </w:pPr>
    </w:p>
    <w:p>
      <w:pPr>
        <w:pStyle w:val="13"/>
        <w:spacing w:before="70" w:line="391" w:lineRule="auto"/>
        <w:ind w:left="215" w:right="319"/>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 xml:space="preserve">试用期；试用期间发生重大质量问题，修复后试用相应顺延；试用期结束后七个工作日内完成最终 </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验收；</w:t>
      </w:r>
    </w:p>
    <w:p>
      <w:pPr>
        <w:pStyle w:val="31"/>
        <w:numPr>
          <w:ilvl w:val="0"/>
          <w:numId w:val="43"/>
        </w:numPr>
        <w:tabs>
          <w:tab w:val="left" w:pos="1163"/>
        </w:tabs>
        <w:spacing w:before="121" w:line="393" w:lineRule="auto"/>
        <w:ind w:left="215" w:right="319" w:firstLine="420"/>
        <w:jc w:val="both"/>
        <w:rPr>
          <w:color w:val="000000" w:themeColor="text1"/>
          <w:sz w:val="21"/>
          <w:highlight w:val="none"/>
          <w14:textFill>
            <w14:solidFill>
              <w14:schemeClr w14:val="tx1"/>
            </w14:solidFill>
          </w14:textFill>
        </w:rPr>
      </w:pPr>
      <w:r>
        <w:rPr>
          <w:color w:val="000000" w:themeColor="text1"/>
          <w:spacing w:val="-7"/>
          <w:sz w:val="21"/>
          <w:highlight w:val="none"/>
          <w14:textFill>
            <w14:solidFill>
              <w14:schemeClr w14:val="tx1"/>
            </w14:solidFill>
          </w14:textFill>
        </w:rPr>
        <w:t>验收标准：按国家有关规定以及甲方招标文件的质量要求和技术指标、乙方的投标文件</w:t>
      </w:r>
      <w:r>
        <w:rPr>
          <w:color w:val="000000" w:themeColor="text1"/>
          <w:spacing w:val="-7"/>
          <w:w w:val="95"/>
          <w:sz w:val="21"/>
          <w:highlight w:val="none"/>
          <w14:textFill>
            <w14:solidFill>
              <w14:schemeClr w14:val="tx1"/>
            </w14:solidFill>
          </w14:textFill>
        </w:rPr>
        <w:t>及</w:t>
      </w:r>
      <w:r>
        <w:rPr>
          <w:color w:val="000000" w:themeColor="text1"/>
          <w:spacing w:val="-7"/>
          <w:sz w:val="21"/>
          <w:highlight w:val="none"/>
          <w14:textFill>
            <w14:solidFill>
              <w14:schemeClr w14:val="tx1"/>
            </w14:solidFill>
          </w14:textFill>
        </w:rPr>
        <w:t>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31"/>
        <w:numPr>
          <w:ilvl w:val="0"/>
          <w:numId w:val="43"/>
        </w:numPr>
        <w:tabs>
          <w:tab w:val="left" w:pos="1163"/>
        </w:tabs>
        <w:spacing w:before="117"/>
        <w:ind w:left="1162" w:hanging="528"/>
        <w:rPr>
          <w:color w:val="000000" w:themeColor="text1"/>
          <w:sz w:val="21"/>
          <w:highlight w:val="none"/>
          <w14:textFill>
            <w14:solidFill>
              <w14:schemeClr w14:val="tx1"/>
            </w14:solidFill>
          </w14:textFill>
        </w:rPr>
        <w:sectPr>
          <w:pgSz w:w="11910" w:h="16840"/>
          <w:pgMar w:top="1500" w:right="1140" w:bottom="900" w:left="1200" w:header="0" w:footer="640" w:gutter="0"/>
          <w:cols w:space="720" w:num="1"/>
        </w:sectPr>
      </w:pPr>
      <w:r>
        <w:rPr>
          <w:color w:val="000000" w:themeColor="text1"/>
          <w:spacing w:val="-9"/>
          <w:sz w:val="21"/>
          <w:highlight w:val="none"/>
          <w14:textFill>
            <w14:solidFill>
              <w14:schemeClr w14:val="tx1"/>
            </w14:solidFill>
          </w14:textFill>
        </w:rPr>
        <w:t>验收时如发现所交付的货物有短装、次品、损坏或其它不符合标准及本合同规定之情形者，</w:t>
      </w:r>
    </w:p>
    <w:p>
      <w:pPr>
        <w:pStyle w:val="13"/>
        <w:spacing w:before="42" w:line="392" w:lineRule="auto"/>
        <w:ind w:left="215"/>
        <w:rPr>
          <w:color w:val="000000" w:themeColor="text1"/>
          <w:highlight w:val="none"/>
          <w14:textFill>
            <w14:solidFill>
              <w14:schemeClr w14:val="tx1"/>
            </w14:solidFill>
          </w14:textFill>
        </w:rPr>
      </w:pPr>
      <w:r>
        <w:rPr>
          <w:color w:val="000000" w:themeColor="text1"/>
          <w:spacing w:val="-5"/>
          <w:szCs w:val="22"/>
          <w:highlight w:val="none"/>
          <w14:textFill>
            <w14:solidFill>
              <w14:schemeClr w14:val="tx1"/>
            </w14:solidFill>
          </w14:textFill>
        </w:rPr>
        <w:t>甲方应做出详尽的现场记录，或由甲乙双方签署备忘录，此现场记录或备忘录可用作补充、缺失和</w:t>
      </w:r>
      <w:r>
        <w:rPr>
          <w:color w:val="000000" w:themeColor="text1"/>
          <w:highlight w:val="none"/>
          <w14:textFill>
            <w14:solidFill>
              <w14:schemeClr w14:val="tx1"/>
            </w14:solidFill>
          </w14:textFill>
        </w:rPr>
        <w:t>更换损坏部件的有效证据，由此产生的时间延误与有关费用由乙方承担，验收期限相应顺延。</w:t>
      </w:r>
    </w:p>
    <w:p>
      <w:pPr>
        <w:pStyle w:val="31"/>
        <w:numPr>
          <w:ilvl w:val="0"/>
          <w:numId w:val="43"/>
        </w:numPr>
        <w:tabs>
          <w:tab w:val="left" w:pos="1163"/>
        </w:tabs>
        <w:spacing w:before="121" w:line="394" w:lineRule="auto"/>
        <w:ind w:left="215"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如货物经乙方</w:t>
      </w:r>
      <w:r>
        <w:rPr>
          <w:color w:val="000000" w:themeColor="text1"/>
          <w:sz w:val="21"/>
          <w:highlight w:val="none"/>
          <w:u w:val="single"/>
          <w14:textFill>
            <w14:solidFill>
              <w14:schemeClr w14:val="tx1"/>
            </w14:solidFill>
          </w14:textFill>
        </w:rPr>
        <w:t>两次</w:t>
      </w:r>
      <w:r>
        <w:rPr>
          <w:color w:val="000000" w:themeColor="text1"/>
          <w:spacing w:val="-5"/>
          <w:sz w:val="21"/>
          <w:highlight w:val="none"/>
          <w14:textFill>
            <w14:solidFill>
              <w14:schemeClr w14:val="tx1"/>
            </w14:solidFill>
          </w14:textFill>
        </w:rPr>
        <w:t>维修仍不能达到合同约定的质量标准，甲方有权退货，并视作乙方不能交付货物而须支付违约赔偿金给甲方，甲方还可依法追究乙方的违约责任。</w:t>
      </w:r>
    </w:p>
    <w:p>
      <w:pPr>
        <w:pStyle w:val="31"/>
        <w:numPr>
          <w:ilvl w:val="0"/>
          <w:numId w:val="43"/>
        </w:numPr>
        <w:tabs>
          <w:tab w:val="left" w:pos="1268"/>
        </w:tabs>
        <w:spacing w:before="118" w:line="392" w:lineRule="auto"/>
        <w:ind w:left="215" w:firstLine="420"/>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验收结束后，应当出具验收书，列明各项标准的验收情况及项目总体评价，由验收双方</w:t>
      </w:r>
      <w:r>
        <w:rPr>
          <w:color w:val="000000" w:themeColor="text1"/>
          <w:sz w:val="21"/>
          <w:highlight w:val="none"/>
          <w14:textFill>
            <w14:solidFill>
              <w14:schemeClr w14:val="tx1"/>
            </w14:solidFill>
          </w14:textFill>
        </w:rPr>
        <w:t>共同签署。</w:t>
      </w:r>
    </w:p>
    <w:p>
      <w:pPr>
        <w:pStyle w:val="31"/>
        <w:numPr>
          <w:ilvl w:val="0"/>
          <w:numId w:val="42"/>
        </w:numPr>
        <w:tabs>
          <w:tab w:val="left" w:pos="848"/>
        </w:tabs>
        <w:spacing w:before="124" w:line="392" w:lineRule="auto"/>
        <w:ind w:left="215" w:firstLine="420"/>
        <w:jc w:val="both"/>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货物安装完成后七个工作日内，甲方无故不进行初步验收工作并已使用货物的，视同已安装调试完成并初步验收合格。验收不合格的项目，将按本合同第十四条违约责任处理，未作约定的，</w:t>
      </w:r>
      <w:r>
        <w:rPr>
          <w:color w:val="000000" w:themeColor="text1"/>
          <w:sz w:val="21"/>
          <w:highlight w:val="none"/>
          <w14:textFill>
            <w14:solidFill>
              <w14:schemeClr w14:val="tx1"/>
            </w14:solidFill>
          </w14:textFill>
        </w:rPr>
        <w:t>按照《合同法》规定处理。</w:t>
      </w:r>
    </w:p>
    <w:p>
      <w:pPr>
        <w:pStyle w:val="31"/>
        <w:numPr>
          <w:ilvl w:val="0"/>
          <w:numId w:val="42"/>
        </w:numPr>
        <w:tabs>
          <w:tab w:val="left" w:pos="953"/>
        </w:tabs>
        <w:spacing w:before="124" w:line="392" w:lineRule="auto"/>
        <w:ind w:left="215" w:firstLine="420"/>
        <w:jc w:val="both"/>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验收时乙方必须在现场，验收完毕后作出验收结果报告（验收书）；验收费用由乙方负责。</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费用标准参照国家或自治区有关规定执行。</w:t>
      </w:r>
    </w:p>
    <w:p>
      <w:pPr>
        <w:pStyle w:val="31"/>
        <w:numPr>
          <w:ilvl w:val="0"/>
          <w:numId w:val="42"/>
        </w:numPr>
        <w:tabs>
          <w:tab w:val="left" w:pos="848"/>
        </w:tabs>
        <w:spacing w:before="121" w:line="394" w:lineRule="auto"/>
        <w:ind w:left="215" w:firstLine="420"/>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其他未尽事宜应严格按照《关于印发广西壮族自治区政府采购项目履约验收管理办法的通知》</w:t>
      </w:r>
      <w:r>
        <w:rPr>
          <w:color w:val="000000" w:themeColor="text1"/>
          <w:spacing w:val="-10"/>
          <w:w w:val="95"/>
          <w:sz w:val="21"/>
          <w:highlight w:val="none"/>
          <w14:textFill>
            <w14:solidFill>
              <w14:schemeClr w14:val="tx1"/>
            </w14:solidFill>
          </w14:textFill>
        </w:rPr>
        <w:t xml:space="preserve">    </w:t>
      </w:r>
      <w:r>
        <w:rPr>
          <w:color w:val="000000" w:themeColor="text1"/>
          <w:spacing w:val="-15"/>
          <w:sz w:val="21"/>
          <w:highlight w:val="none"/>
          <w14:textFill>
            <w14:solidFill>
              <w14:schemeClr w14:val="tx1"/>
            </w14:solidFill>
          </w14:textFill>
        </w:rPr>
        <w:t>[桂财采〔</w:t>
      </w:r>
      <w:r>
        <w:rPr>
          <w:color w:val="000000" w:themeColor="text1"/>
          <w:sz w:val="21"/>
          <w:highlight w:val="none"/>
          <w14:textFill>
            <w14:solidFill>
              <w14:schemeClr w14:val="tx1"/>
            </w14:solidFill>
          </w14:textFill>
        </w:rPr>
        <w:t>2015</w:t>
      </w:r>
      <w:r>
        <w:rPr>
          <w:color w:val="000000" w:themeColor="text1"/>
          <w:spacing w:val="-37"/>
          <w:sz w:val="21"/>
          <w:highlight w:val="none"/>
          <w14:textFill>
            <w14:solidFill>
              <w14:schemeClr w14:val="tx1"/>
            </w14:solidFill>
          </w14:textFill>
        </w:rPr>
        <w:t>〕</w:t>
      </w:r>
      <w:r>
        <w:rPr>
          <w:color w:val="000000" w:themeColor="text1"/>
          <w:sz w:val="21"/>
          <w:highlight w:val="none"/>
          <w14:textFill>
            <w14:solidFill>
              <w14:schemeClr w14:val="tx1"/>
            </w14:solidFill>
          </w14:textFill>
        </w:rPr>
        <w:t>22</w:t>
      </w:r>
      <w:r>
        <w:rPr>
          <w:color w:val="000000" w:themeColor="text1"/>
          <w:spacing w:val="-12"/>
          <w:sz w:val="21"/>
          <w:highlight w:val="none"/>
          <w14:textFill>
            <w14:solidFill>
              <w14:schemeClr w14:val="tx1"/>
            </w14:solidFill>
          </w14:textFill>
        </w:rPr>
        <w:t xml:space="preserve"> 号]以及《财政部关于进一步加强政府采购需求和履约验收管理的指导意见》[财库〔2016〕205</w:t>
      </w:r>
      <w:r>
        <w:rPr>
          <w:color w:val="000000" w:themeColor="text1"/>
          <w:spacing w:val="-8"/>
          <w:sz w:val="21"/>
          <w:highlight w:val="none"/>
          <w14:textFill>
            <w14:solidFill>
              <w14:schemeClr w14:val="tx1"/>
            </w14:solidFill>
          </w14:textFill>
        </w:rPr>
        <w:t xml:space="preserve"> 号]规定执行。</w:t>
      </w:r>
    </w:p>
    <w:p>
      <w:pPr>
        <w:pStyle w:val="7"/>
        <w:tabs>
          <w:tab w:val="left" w:pos="1691"/>
        </w:tabs>
        <w:spacing w:before="1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第十四条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违约责任</w:t>
      </w:r>
    </w:p>
    <w:p>
      <w:pPr>
        <w:pStyle w:val="31"/>
        <w:tabs>
          <w:tab w:val="left" w:pos="848"/>
        </w:tabs>
        <w:spacing w:before="0" w:line="440" w:lineRule="exact"/>
        <w:ind w:left="0" w:firstLine="400" w:firstLineChars="200"/>
        <w:jc w:val="both"/>
        <w:rPr>
          <w:color w:val="000000" w:themeColor="text1"/>
          <w:sz w:val="21"/>
          <w:highlight w:val="none"/>
          <w14:textFill>
            <w14:solidFill>
              <w14:schemeClr w14:val="tx1"/>
            </w14:solidFill>
          </w14:textFill>
        </w:rPr>
      </w:pPr>
      <w:r>
        <w:rPr>
          <w:rFonts w:hint="eastAsia"/>
          <w:color w:val="000000" w:themeColor="text1"/>
          <w:spacing w:val="-5"/>
          <w:sz w:val="21"/>
          <w:highlight w:val="none"/>
          <w:lang w:val="en-US"/>
          <w14:textFill>
            <w14:solidFill>
              <w14:schemeClr w14:val="tx1"/>
            </w14:solidFill>
          </w14:textFill>
        </w:rPr>
        <w:t>1.</w:t>
      </w:r>
      <w:r>
        <w:rPr>
          <w:color w:val="000000" w:themeColor="text1"/>
          <w:spacing w:val="-5"/>
          <w:sz w:val="21"/>
          <w:highlight w:val="none"/>
          <w14:textFill>
            <w14:solidFill>
              <w14:schemeClr w14:val="tx1"/>
            </w14:solidFill>
          </w14:textFill>
        </w:rPr>
        <w:t>乙方所提供的货物规格、技术标准、材料等质量不合格的，应及时更换，更换不及时的按逾期交货处罚；因质量问题甲方不同意接收的或特殊情况甲方同意接收的，乙方应向甲方支付违约货</w:t>
      </w:r>
      <w:r>
        <w:rPr>
          <w:color w:val="000000" w:themeColor="text1"/>
          <w:sz w:val="21"/>
          <w:highlight w:val="none"/>
          <w14:textFill>
            <w14:solidFill>
              <w14:schemeClr w14:val="tx1"/>
            </w14:solidFill>
          </w14:textFill>
        </w:rPr>
        <w:t xml:space="preserve">款额 </w:t>
      </w:r>
      <w:r>
        <w:rPr>
          <w:color w:val="000000" w:themeColor="text1"/>
          <w:sz w:val="21"/>
          <w:highlight w:val="none"/>
          <w:u w:val="single"/>
          <w14:textFill>
            <w14:solidFill>
              <w14:schemeClr w14:val="tx1"/>
            </w14:solidFill>
          </w14:textFill>
        </w:rPr>
        <w:t>5%</w:t>
      </w:r>
      <w:r>
        <w:rPr>
          <w:color w:val="000000" w:themeColor="text1"/>
          <w:sz w:val="21"/>
          <w:highlight w:val="none"/>
          <w14:textFill>
            <w14:solidFill>
              <w14:schemeClr w14:val="tx1"/>
            </w14:solidFill>
          </w14:textFill>
        </w:rPr>
        <w:t>违约金并赔偿甲方</w:t>
      </w:r>
      <w:r>
        <w:rPr>
          <w:rFonts w:hint="eastAsia"/>
          <w:color w:val="000000" w:themeColor="text1"/>
          <w:sz w:val="21"/>
          <w:highlight w:val="none"/>
          <w14:textFill>
            <w14:solidFill>
              <w14:schemeClr w14:val="tx1"/>
            </w14:solidFill>
          </w14:textFill>
        </w:rPr>
        <w:t>经济</w:t>
      </w:r>
      <w:r>
        <w:rPr>
          <w:color w:val="000000" w:themeColor="text1"/>
          <w:sz w:val="21"/>
          <w:highlight w:val="none"/>
          <w14:textFill>
            <w14:solidFill>
              <w14:schemeClr w14:val="tx1"/>
            </w14:solidFill>
          </w14:textFill>
        </w:rPr>
        <w:t>损失。</w:t>
      </w:r>
    </w:p>
    <w:p>
      <w:pPr>
        <w:pStyle w:val="31"/>
        <w:tabs>
          <w:tab w:val="left" w:pos="848"/>
        </w:tabs>
        <w:spacing w:before="0" w:line="440" w:lineRule="exact"/>
        <w:ind w:left="0" w:firstLine="400" w:firstLineChars="200"/>
        <w:rPr>
          <w:color w:val="000000" w:themeColor="text1"/>
          <w:sz w:val="21"/>
          <w:highlight w:val="none"/>
          <w14:textFill>
            <w14:solidFill>
              <w14:schemeClr w14:val="tx1"/>
            </w14:solidFill>
          </w14:textFill>
        </w:rPr>
      </w:pPr>
      <w:r>
        <w:rPr>
          <w:rFonts w:hint="eastAsia"/>
          <w:color w:val="000000" w:themeColor="text1"/>
          <w:spacing w:val="-5"/>
          <w:sz w:val="21"/>
          <w:highlight w:val="none"/>
          <w:lang w:val="en-US"/>
          <w14:textFill>
            <w14:solidFill>
              <w14:schemeClr w14:val="tx1"/>
            </w14:solidFill>
          </w14:textFill>
        </w:rPr>
        <w:t>2.</w:t>
      </w:r>
      <w:r>
        <w:rPr>
          <w:color w:val="000000" w:themeColor="text1"/>
          <w:spacing w:val="-5"/>
          <w:sz w:val="21"/>
          <w:highlight w:val="none"/>
          <w14:textFill>
            <w14:solidFill>
              <w14:schemeClr w14:val="tx1"/>
            </w14:solidFill>
          </w14:textFill>
        </w:rPr>
        <w:t>乙方提供的货物如侵犯了第三方合法权益而引发的任何纠纷或诉讼，均由乙方负责交涉并承</w:t>
      </w:r>
      <w:r>
        <w:rPr>
          <w:color w:val="000000" w:themeColor="text1"/>
          <w:sz w:val="21"/>
          <w:highlight w:val="none"/>
          <w14:textFill>
            <w14:solidFill>
              <w14:schemeClr w14:val="tx1"/>
            </w14:solidFill>
          </w14:textFill>
        </w:rPr>
        <w:t>担全部责任。</w:t>
      </w:r>
    </w:p>
    <w:p>
      <w:pPr>
        <w:pStyle w:val="31"/>
        <w:tabs>
          <w:tab w:val="left" w:pos="848"/>
        </w:tabs>
        <w:spacing w:before="0" w:line="440" w:lineRule="exact"/>
        <w:ind w:left="0" w:firstLineChars="200"/>
        <w:rPr>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3.</w:t>
      </w:r>
      <w:r>
        <w:rPr>
          <w:color w:val="000000" w:themeColor="text1"/>
          <w:sz w:val="21"/>
          <w:highlight w:val="none"/>
          <w14:textFill>
            <w14:solidFill>
              <w14:schemeClr w14:val="tx1"/>
            </w14:solidFill>
          </w14:textFill>
        </w:rPr>
        <w:t>因包装、运输引起的货物损坏，按质量不合格处罚。</w:t>
      </w:r>
    </w:p>
    <w:p>
      <w:pPr>
        <w:pStyle w:val="31"/>
        <w:tabs>
          <w:tab w:val="left" w:pos="848"/>
        </w:tabs>
        <w:spacing w:before="0" w:line="440" w:lineRule="exact"/>
        <w:ind w:left="0" w:firstLine="416" w:firstLineChars="200"/>
        <w:jc w:val="both"/>
        <w:rPr>
          <w:color w:val="000000" w:themeColor="text1"/>
          <w:sz w:val="21"/>
          <w:highlight w:val="none"/>
          <w14:textFill>
            <w14:solidFill>
              <w14:schemeClr w14:val="tx1"/>
            </w14:solidFill>
          </w14:textFill>
        </w:rPr>
      </w:pPr>
      <w:r>
        <w:rPr>
          <w:rFonts w:hint="eastAsia"/>
          <w:color w:val="000000" w:themeColor="text1"/>
          <w:spacing w:val="-1"/>
          <w:sz w:val="21"/>
          <w:highlight w:val="none"/>
          <w:lang w:val="en-US"/>
          <w14:textFill>
            <w14:solidFill>
              <w14:schemeClr w14:val="tx1"/>
            </w14:solidFill>
          </w14:textFill>
        </w:rPr>
        <w:t>4.</w:t>
      </w:r>
      <w:r>
        <w:rPr>
          <w:color w:val="000000" w:themeColor="text1"/>
          <w:spacing w:val="-1"/>
          <w:sz w:val="21"/>
          <w:highlight w:val="none"/>
          <w14:textFill>
            <w14:solidFill>
              <w14:schemeClr w14:val="tx1"/>
            </w14:solidFill>
          </w14:textFill>
        </w:rPr>
        <w:t xml:space="preserve">甲方无故延期接收货物、乙方逾期交货的，每天向对方偿付违约货款额 </w:t>
      </w:r>
      <w:r>
        <w:rPr>
          <w:color w:val="000000" w:themeColor="text1"/>
          <w:sz w:val="21"/>
          <w:highlight w:val="none"/>
          <w14:textFill>
            <w14:solidFill>
              <w14:schemeClr w14:val="tx1"/>
            </w14:solidFill>
          </w14:textFill>
        </w:rPr>
        <w:t>3‰违约金，但违约</w:t>
      </w:r>
      <w:r>
        <w:rPr>
          <w:color w:val="000000" w:themeColor="text1"/>
          <w:spacing w:val="-5"/>
          <w:sz w:val="21"/>
          <w:highlight w:val="none"/>
          <w14:textFill>
            <w14:solidFill>
              <w14:schemeClr w14:val="tx1"/>
            </w14:solidFill>
          </w14:textFill>
        </w:rPr>
        <w:t xml:space="preserve">金累计不得超过违约货款额 </w:t>
      </w:r>
      <w:r>
        <w:rPr>
          <w:color w:val="000000" w:themeColor="text1"/>
          <w:spacing w:val="-8"/>
          <w:sz w:val="21"/>
          <w:highlight w:val="none"/>
          <w:u w:val="single"/>
          <w14:textFill>
            <w14:solidFill>
              <w14:schemeClr w14:val="tx1"/>
            </w14:solidFill>
          </w14:textFill>
        </w:rPr>
        <w:t>5%</w:t>
      </w:r>
      <w:r>
        <w:rPr>
          <w:color w:val="000000" w:themeColor="text1"/>
          <w:spacing w:val="-3"/>
          <w:sz w:val="21"/>
          <w:highlight w:val="none"/>
          <w14:textFill>
            <w14:solidFill>
              <w14:schemeClr w14:val="tx1"/>
            </w14:solidFill>
          </w14:textFill>
        </w:rPr>
        <w:t>，超过</w:t>
      </w:r>
      <w:r>
        <w:rPr>
          <w:color w:val="000000" w:themeColor="text1"/>
          <w:spacing w:val="-9"/>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30</w:t>
      </w:r>
      <w:r>
        <w:rPr>
          <w:color w:val="000000" w:themeColor="text1"/>
          <w:spacing w:val="-5"/>
          <w:sz w:val="21"/>
          <w:highlight w:val="none"/>
          <w14:textFill>
            <w14:solidFill>
              <w14:schemeClr w14:val="tx1"/>
            </w14:solidFill>
          </w14:textFill>
        </w:rPr>
        <w:t xml:space="preserve"> 天对方有权解除合同，违约方承担因此给对方造成经济损</w:t>
      </w:r>
      <w:r>
        <w:rPr>
          <w:color w:val="000000" w:themeColor="text1"/>
          <w:spacing w:val="-9"/>
          <w:sz w:val="21"/>
          <w:highlight w:val="none"/>
          <w14:textFill>
            <w14:solidFill>
              <w14:schemeClr w14:val="tx1"/>
            </w14:solidFill>
          </w14:textFill>
        </w:rPr>
        <w:t xml:space="preserve">失；甲方延期付货款的，每天向乙方偿付延期货款额 </w:t>
      </w:r>
      <w:r>
        <w:rPr>
          <w:color w:val="000000" w:themeColor="text1"/>
          <w:sz w:val="21"/>
          <w:highlight w:val="none"/>
          <w:u w:val="single"/>
          <w14:textFill>
            <w14:solidFill>
              <w14:schemeClr w14:val="tx1"/>
            </w14:solidFill>
          </w14:textFill>
        </w:rPr>
        <w:t>3‰</w:t>
      </w:r>
      <w:r>
        <w:rPr>
          <w:color w:val="000000" w:themeColor="text1"/>
          <w:spacing w:val="-5"/>
          <w:sz w:val="21"/>
          <w:highlight w:val="none"/>
          <w14:textFill>
            <w14:solidFill>
              <w14:schemeClr w14:val="tx1"/>
            </w14:solidFill>
          </w14:textFill>
        </w:rPr>
        <w:t xml:space="preserve"> 滞纳金，但滞纳金累计不得超过延期货款</w:t>
      </w:r>
      <w:r>
        <w:rPr>
          <w:color w:val="000000" w:themeColor="text1"/>
          <w:spacing w:val="-28"/>
          <w:sz w:val="21"/>
          <w:highlight w:val="none"/>
          <w14:textFill>
            <w14:solidFill>
              <w14:schemeClr w14:val="tx1"/>
            </w14:solidFill>
          </w14:textFill>
        </w:rPr>
        <w:t xml:space="preserve">额 </w:t>
      </w:r>
      <w:r>
        <w:rPr>
          <w:color w:val="000000" w:themeColor="text1"/>
          <w:sz w:val="21"/>
          <w:highlight w:val="none"/>
          <w:u w:val="single"/>
          <w14:textFill>
            <w14:solidFill>
              <w14:schemeClr w14:val="tx1"/>
            </w14:solidFill>
          </w14:textFill>
        </w:rPr>
        <w:t>5%</w:t>
      </w:r>
      <w:r>
        <w:rPr>
          <w:color w:val="000000" w:themeColor="text1"/>
          <w:sz w:val="21"/>
          <w:highlight w:val="none"/>
          <w14:textFill>
            <w14:solidFill>
              <w14:schemeClr w14:val="tx1"/>
            </w14:solidFill>
          </w14:textFill>
        </w:rPr>
        <w:t>。</w:t>
      </w:r>
    </w:p>
    <w:p>
      <w:pPr>
        <w:pStyle w:val="31"/>
        <w:tabs>
          <w:tab w:val="left" w:pos="848"/>
        </w:tabs>
        <w:spacing w:before="0" w:line="440" w:lineRule="exact"/>
        <w:ind w:left="0" w:firstLine="404" w:firstLineChars="200"/>
        <w:rPr>
          <w:color w:val="000000" w:themeColor="text1"/>
          <w:highlight w:val="none"/>
          <w14:textFill>
            <w14:solidFill>
              <w14:schemeClr w14:val="tx1"/>
            </w14:solidFill>
          </w14:textFill>
        </w:rPr>
      </w:pPr>
      <w:r>
        <w:rPr>
          <w:rFonts w:hint="eastAsia"/>
          <w:color w:val="000000" w:themeColor="text1"/>
          <w:spacing w:val="-4"/>
          <w:sz w:val="21"/>
          <w:highlight w:val="none"/>
          <w:lang w:val="en-US"/>
          <w14:textFill>
            <w14:solidFill>
              <w14:schemeClr w14:val="tx1"/>
            </w14:solidFill>
          </w14:textFill>
        </w:rPr>
        <w:t>5.</w:t>
      </w:r>
      <w:r>
        <w:rPr>
          <w:color w:val="000000" w:themeColor="text1"/>
          <w:spacing w:val="-1"/>
          <w:sz w:val="21"/>
          <w:highlight w:val="none"/>
          <w14:textFill>
            <w14:solidFill>
              <w14:schemeClr w14:val="tx1"/>
            </w14:solidFill>
          </w14:textFill>
        </w:rPr>
        <w:t>乙方未按本合同和投标文件中规定的服务承诺提供售后服务的，乙方应按本合同合计金额 5%向甲方支付违约金</w:t>
      </w:r>
      <w:r>
        <w:rPr>
          <w:rFonts w:hint="eastAsia"/>
          <w:color w:val="000000" w:themeColor="text1"/>
          <w:spacing w:val="-1"/>
          <w:sz w:val="21"/>
          <w:highlight w:val="none"/>
          <w14:textFill>
            <w14:solidFill>
              <w14:schemeClr w14:val="tx1"/>
            </w14:solidFill>
          </w14:textFill>
        </w:rPr>
        <w:t>并赔偿损失</w:t>
      </w:r>
      <w:r>
        <w:rPr>
          <w:color w:val="000000" w:themeColor="text1"/>
          <w:spacing w:val="-1"/>
          <w:sz w:val="21"/>
          <w:highlight w:val="none"/>
          <w14:textFill>
            <w14:solidFill>
              <w14:schemeClr w14:val="tx1"/>
            </w14:solidFill>
          </w14:textFill>
        </w:rPr>
        <w:t>。</w:t>
      </w:r>
    </w:p>
    <w:p>
      <w:pPr>
        <w:pStyle w:val="31"/>
        <w:tabs>
          <w:tab w:val="left" w:pos="848"/>
        </w:tabs>
        <w:spacing w:before="0" w:line="440" w:lineRule="exact"/>
        <w:ind w:left="0" w:firstLine="400" w:firstLineChars="200"/>
        <w:rPr>
          <w:color w:val="000000" w:themeColor="text1"/>
          <w:sz w:val="21"/>
          <w:highlight w:val="none"/>
          <w14:textFill>
            <w14:solidFill>
              <w14:schemeClr w14:val="tx1"/>
            </w14:solidFill>
          </w14:textFill>
        </w:rPr>
      </w:pPr>
      <w:r>
        <w:rPr>
          <w:rFonts w:hint="eastAsia"/>
          <w:color w:val="000000" w:themeColor="text1"/>
          <w:spacing w:val="-5"/>
          <w:sz w:val="21"/>
          <w:highlight w:val="none"/>
          <w:lang w:val="en-US"/>
          <w14:textFill>
            <w14:solidFill>
              <w14:schemeClr w14:val="tx1"/>
            </w14:solidFill>
          </w14:textFill>
        </w:rPr>
        <w:t>6.</w:t>
      </w:r>
      <w:r>
        <w:rPr>
          <w:color w:val="000000" w:themeColor="text1"/>
          <w:spacing w:val="-5"/>
          <w:sz w:val="21"/>
          <w:highlight w:val="none"/>
          <w14:textFill>
            <w14:solidFill>
              <w14:schemeClr w14:val="tx1"/>
            </w14:solidFill>
          </w14:textFill>
        </w:rPr>
        <w:t>乙方提供的货物在质量保证期内，因设计、工艺或材料的缺陷和其它质量原因造成的问题，</w:t>
      </w:r>
      <w:r>
        <w:rPr>
          <w:color w:val="000000" w:themeColor="text1"/>
          <w:sz w:val="21"/>
          <w:highlight w:val="none"/>
          <w14:textFill>
            <w14:solidFill>
              <w14:schemeClr w14:val="tx1"/>
            </w14:solidFill>
          </w14:textFill>
        </w:rPr>
        <w:t>由乙方负责，费用从质量保证金中扣除，质量保证金不足以支付的，由乙方另行支付。</w:t>
      </w:r>
    </w:p>
    <w:p>
      <w:pPr>
        <w:pStyle w:val="31"/>
        <w:tabs>
          <w:tab w:val="left" w:pos="848"/>
        </w:tabs>
        <w:spacing w:before="0" w:line="440" w:lineRule="exact"/>
        <w:ind w:left="0" w:firstLine="404" w:firstLineChars="200"/>
        <w:rPr>
          <w:color w:val="000000" w:themeColor="text1"/>
          <w:highlight w:val="none"/>
          <w14:textFill>
            <w14:solidFill>
              <w14:schemeClr w14:val="tx1"/>
            </w14:solidFill>
          </w14:textFill>
        </w:rPr>
      </w:pPr>
      <w:r>
        <w:rPr>
          <w:rFonts w:hint="eastAsia"/>
          <w:color w:val="000000" w:themeColor="text1"/>
          <w:spacing w:val="-4"/>
          <w:sz w:val="21"/>
          <w:highlight w:val="none"/>
          <w:lang w:val="en-US"/>
          <w14:textFill>
            <w14:solidFill>
              <w14:schemeClr w14:val="tx1"/>
            </w14:solidFill>
          </w14:textFill>
        </w:rPr>
        <w:t>7.</w:t>
      </w:r>
      <w:r>
        <w:rPr>
          <w:rFonts w:hint="eastAsia"/>
          <w:color w:val="000000" w:themeColor="text1"/>
          <w:spacing w:val="-4"/>
          <w:sz w:val="21"/>
          <w:highlight w:val="none"/>
          <w14:textFill>
            <w14:solidFill>
              <w14:schemeClr w14:val="tx1"/>
            </w14:solidFill>
          </w14:textFill>
        </w:rPr>
        <w:t>乙方未按照约定提供培训服务的，以及其他</w:t>
      </w:r>
      <w:r>
        <w:rPr>
          <w:color w:val="000000" w:themeColor="text1"/>
          <w:spacing w:val="-4"/>
          <w:sz w:val="21"/>
          <w:highlight w:val="none"/>
          <w14:textFill>
            <w14:solidFill>
              <w14:schemeClr w14:val="tx1"/>
            </w14:solidFill>
          </w14:textFill>
        </w:rPr>
        <w:t xml:space="preserve">行为按违约货款额 </w:t>
      </w:r>
      <w:r>
        <w:rPr>
          <w:color w:val="000000" w:themeColor="text1"/>
          <w:sz w:val="21"/>
          <w:highlight w:val="none"/>
          <w14:textFill>
            <w14:solidFill>
              <w14:schemeClr w14:val="tx1"/>
            </w14:solidFill>
          </w14:textFill>
        </w:rPr>
        <w:t>5%收取违约金并赔偿经济损失。</w:t>
      </w:r>
    </w:p>
    <w:p>
      <w:pPr>
        <w:pStyle w:val="7"/>
        <w:spacing w:before="42"/>
        <w:ind w:left="62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第十五条 不可抗力事件处理</w:t>
      </w:r>
    </w:p>
    <w:p>
      <w:pPr>
        <w:pStyle w:val="13"/>
        <w:spacing w:before="8"/>
        <w:rPr>
          <w:color w:val="000000" w:themeColor="text1"/>
          <w:spacing w:val="-5"/>
          <w:szCs w:val="22"/>
          <w:highlight w:val="none"/>
          <w14:textFill>
            <w14:solidFill>
              <w14:schemeClr w14:val="tx1"/>
            </w14:solidFill>
          </w14:textFill>
        </w:rPr>
      </w:pPr>
    </w:p>
    <w:p>
      <w:pPr>
        <w:pStyle w:val="31"/>
        <w:tabs>
          <w:tab w:val="left" w:pos="953"/>
        </w:tabs>
        <w:spacing w:before="0" w:line="392" w:lineRule="auto"/>
        <w:ind w:left="0" w:firstLine="400" w:firstLineChars="200"/>
        <w:rPr>
          <w:color w:val="000000" w:themeColor="text1"/>
          <w:sz w:val="21"/>
          <w:highlight w:val="none"/>
          <w14:textFill>
            <w14:solidFill>
              <w14:schemeClr w14:val="tx1"/>
            </w14:solidFill>
          </w14:textFill>
        </w:rPr>
      </w:pPr>
      <w:r>
        <w:rPr>
          <w:rFonts w:hint="eastAsia"/>
          <w:color w:val="000000" w:themeColor="text1"/>
          <w:spacing w:val="-5"/>
          <w:sz w:val="21"/>
          <w:highlight w:val="none"/>
          <w:lang w:val="en-US"/>
          <w14:textFill>
            <w14:solidFill>
              <w14:schemeClr w14:val="tx1"/>
            </w14:solidFill>
          </w14:textFill>
        </w:rPr>
        <w:t>1.</w:t>
      </w:r>
      <w:r>
        <w:rPr>
          <w:color w:val="000000" w:themeColor="text1"/>
          <w:spacing w:val="-5"/>
          <w:sz w:val="21"/>
          <w:highlight w:val="none"/>
          <w14:textFill>
            <w14:solidFill>
              <w14:schemeClr w14:val="tx1"/>
            </w14:solidFill>
          </w14:textFill>
        </w:rPr>
        <w:t>在合同有效期内，任何一方因不可抗力事件导致不能履行合同，则合同履行期可延长，其延</w:t>
      </w:r>
      <w:r>
        <w:rPr>
          <w:color w:val="000000" w:themeColor="text1"/>
          <w:spacing w:val="-8"/>
          <w:sz w:val="21"/>
          <w:highlight w:val="none"/>
          <w14:textFill>
            <w14:solidFill>
              <w14:schemeClr w14:val="tx1"/>
            </w14:solidFill>
          </w14:textFill>
        </w:rPr>
        <w:t>长期与不可抗力影响期相同。</w:t>
      </w:r>
    </w:p>
    <w:p>
      <w:pPr>
        <w:pStyle w:val="31"/>
        <w:tabs>
          <w:tab w:val="left" w:pos="953"/>
        </w:tabs>
        <w:spacing w:before="3"/>
        <w:ind w:left="634" w:firstLine="0"/>
        <w:rPr>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2.</w:t>
      </w:r>
      <w:r>
        <w:rPr>
          <w:color w:val="000000" w:themeColor="text1"/>
          <w:sz w:val="21"/>
          <w:highlight w:val="none"/>
          <w14:textFill>
            <w14:solidFill>
              <w14:schemeClr w14:val="tx1"/>
            </w14:solidFill>
          </w14:textFill>
        </w:rPr>
        <w:t>不可抗力事件发生后，应立即通知对方，并寄送有关权威机构出具的证明。</w:t>
      </w:r>
    </w:p>
    <w:p>
      <w:pPr>
        <w:pStyle w:val="31"/>
        <w:tabs>
          <w:tab w:val="left" w:pos="953"/>
          <w:tab w:val="left" w:pos="1691"/>
        </w:tabs>
        <w:spacing w:before="171" w:line="391" w:lineRule="auto"/>
        <w:ind w:left="635" w:right="842" w:firstLine="0"/>
        <w:rPr>
          <w:color w:val="000000" w:themeColor="text1"/>
          <w:w w:val="95"/>
          <w:sz w:val="21"/>
          <w:highlight w:val="none"/>
          <w14:textFill>
            <w14:solidFill>
              <w14:schemeClr w14:val="tx1"/>
            </w14:solidFill>
          </w14:textFill>
        </w:rPr>
      </w:pPr>
      <w:r>
        <w:rPr>
          <w:rFonts w:hint="eastAsia"/>
          <w:color w:val="000000" w:themeColor="text1"/>
          <w:spacing w:val="-5"/>
          <w:sz w:val="21"/>
          <w:highlight w:val="none"/>
          <w:lang w:val="en-US"/>
          <w14:textFill>
            <w14:solidFill>
              <w14:schemeClr w14:val="tx1"/>
            </w14:solidFill>
          </w14:textFill>
        </w:rPr>
        <w:t>3.</w:t>
      </w:r>
      <w:r>
        <w:rPr>
          <w:color w:val="000000" w:themeColor="text1"/>
          <w:spacing w:val="-5"/>
          <w:sz w:val="21"/>
          <w:highlight w:val="none"/>
          <w14:textFill>
            <w14:solidFill>
              <w14:schemeClr w14:val="tx1"/>
            </w14:solidFill>
          </w14:textFill>
        </w:rPr>
        <w:t>不可抗力事件延续一百二十天以上，双方应通过友好协商，确定是否继续履行合同。</w:t>
      </w:r>
      <w:r>
        <w:rPr>
          <w:color w:val="000000" w:themeColor="text1"/>
          <w:w w:val="95"/>
          <w:sz w:val="21"/>
          <w:highlight w:val="none"/>
          <w14:textFill>
            <w14:solidFill>
              <w14:schemeClr w14:val="tx1"/>
            </w14:solidFill>
          </w14:textFill>
        </w:rPr>
        <w:t xml:space="preserve">  </w:t>
      </w:r>
    </w:p>
    <w:p>
      <w:pPr>
        <w:pStyle w:val="31"/>
        <w:tabs>
          <w:tab w:val="left" w:pos="953"/>
          <w:tab w:val="left" w:pos="1691"/>
        </w:tabs>
        <w:spacing w:before="171" w:line="391" w:lineRule="auto"/>
        <w:ind w:left="635" w:right="842" w:firstLine="0"/>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第十六条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合同争议解决</w:t>
      </w:r>
    </w:p>
    <w:p>
      <w:pPr>
        <w:pStyle w:val="31"/>
        <w:numPr>
          <w:ilvl w:val="0"/>
          <w:numId w:val="44"/>
        </w:numPr>
        <w:tabs>
          <w:tab w:val="left" w:pos="848"/>
        </w:tabs>
        <w:spacing w:before="3" w:line="391" w:lineRule="auto"/>
        <w:ind w:left="215" w:firstLine="420"/>
        <w:rPr>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w:t>
      </w:r>
      <w:r>
        <w:rPr>
          <w:color w:val="000000" w:themeColor="text1"/>
          <w:sz w:val="21"/>
          <w:highlight w:val="none"/>
          <w14:textFill>
            <w14:solidFill>
              <w14:schemeClr w14:val="tx1"/>
            </w14:solidFill>
          </w14:textFill>
        </w:rPr>
        <w:t>因货物质量问题发生争议的，应邀请国家认可的质量检测机构按照国家标准对货物质量</w:t>
      </w:r>
      <w:r>
        <w:rPr>
          <w:color w:val="000000" w:themeColor="text1"/>
          <w:spacing w:val="-5"/>
          <w:sz w:val="21"/>
          <w:highlight w:val="none"/>
          <w14:textFill>
            <w14:solidFill>
              <w14:schemeClr w14:val="tx1"/>
            </w14:solidFill>
          </w14:textFill>
        </w:rPr>
        <w:t>进行</w:t>
      </w:r>
      <w:r>
        <w:rPr>
          <w:color w:val="000000" w:themeColor="text1"/>
          <w:sz w:val="21"/>
          <w:highlight w:val="none"/>
          <w14:textFill>
            <w14:solidFill>
              <w14:schemeClr w14:val="tx1"/>
            </w14:solidFill>
          </w14:textFill>
        </w:rPr>
        <w:t>验收。货物符合国家标准的，鉴定费由甲方承担；货物不符合国家标准的，鉴定费由乙方承担。</w:t>
      </w:r>
    </w:p>
    <w:p>
      <w:pPr>
        <w:pStyle w:val="31"/>
        <w:numPr>
          <w:ilvl w:val="0"/>
          <w:numId w:val="44"/>
        </w:numPr>
        <w:tabs>
          <w:tab w:val="left" w:pos="848"/>
        </w:tabs>
        <w:spacing w:before="1" w:line="393" w:lineRule="auto"/>
        <w:ind w:left="215" w:firstLine="420"/>
        <w:rPr>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w:t>
      </w:r>
      <w:r>
        <w:rPr>
          <w:color w:val="000000" w:themeColor="text1"/>
          <w:sz w:val="21"/>
          <w:highlight w:val="none"/>
          <w14:textFill>
            <w14:solidFill>
              <w14:schemeClr w14:val="tx1"/>
            </w14:solidFill>
          </w14:textFill>
        </w:rPr>
        <w:t xml:space="preserve">因履行本合同引起的或与本合同有关的争议，甲乙双方应首先通过友好协商解决，如果协商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不能解决，可向甲方所在地人民法院提起诉讼。</w:t>
      </w:r>
    </w:p>
    <w:p>
      <w:pPr>
        <w:pStyle w:val="31"/>
        <w:numPr>
          <w:ilvl w:val="0"/>
          <w:numId w:val="44"/>
        </w:numPr>
        <w:tabs>
          <w:tab w:val="left" w:pos="848"/>
        </w:tabs>
        <w:spacing w:before="0" w:line="391" w:lineRule="auto"/>
        <w:ind w:left="635" w:right="5987" w:firstLine="0"/>
        <w:rPr>
          <w:b/>
          <w:color w:val="000000" w:themeColor="text1"/>
          <w:sz w:val="21"/>
          <w:highlight w:val="none"/>
          <w14:textFill>
            <w14:solidFill>
              <w14:schemeClr w14:val="tx1"/>
            </w14:solidFill>
          </w14:textFill>
        </w:rPr>
      </w:pPr>
      <w:r>
        <w:rPr>
          <w:rFonts w:hint="eastAsia"/>
          <w:color w:val="000000" w:themeColor="text1"/>
          <w:sz w:val="21"/>
          <w:highlight w:val="none"/>
          <w:lang w:val="en-US"/>
          <w14:textFill>
            <w14:solidFill>
              <w14:schemeClr w14:val="tx1"/>
            </w14:solidFill>
          </w14:textFill>
        </w:rPr>
        <w:t>.</w:t>
      </w:r>
      <w:r>
        <w:rPr>
          <w:color w:val="000000" w:themeColor="text1"/>
          <w:sz w:val="21"/>
          <w:highlight w:val="none"/>
          <w14:textFill>
            <w14:solidFill>
              <w14:schemeClr w14:val="tx1"/>
            </w14:solidFill>
          </w14:textFill>
        </w:rPr>
        <w:t>诉讼期间，本合同继续履行。</w:t>
      </w:r>
      <w:r>
        <w:rPr>
          <w:b/>
          <w:color w:val="000000" w:themeColor="text1"/>
          <w:spacing w:val="-1"/>
          <w:sz w:val="21"/>
          <w:highlight w:val="none"/>
          <w14:textFill>
            <w14:solidFill>
              <w14:schemeClr w14:val="tx1"/>
            </w14:solidFill>
          </w14:textFill>
        </w:rPr>
        <w:t>第十七条 合同生效及其它</w:t>
      </w:r>
    </w:p>
    <w:p>
      <w:pPr>
        <w:pStyle w:val="31"/>
        <w:numPr>
          <w:ilvl w:val="0"/>
          <w:numId w:val="45"/>
        </w:numPr>
        <w:tabs>
          <w:tab w:val="left" w:pos="952"/>
          <w:tab w:val="left" w:pos="3155"/>
        </w:tabs>
        <w:spacing w:before="0" w:line="392" w:lineRule="auto"/>
        <w:ind w:left="215" w:firstLine="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本合同履行期限为：自合同签订之日起至质保期满，各环节时间节点按相应合同条款；合同履行地点为：</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；合同履行的方式：</w:t>
      </w:r>
      <w:r>
        <w:rPr>
          <w:color w:val="000000" w:themeColor="text1"/>
          <w:sz w:val="21"/>
          <w:highlight w:val="none"/>
          <w:u w:val="single"/>
          <w14:textFill>
            <w14:solidFill>
              <w14:schemeClr w14:val="tx1"/>
            </w14:solidFill>
          </w14:textFill>
        </w:rPr>
        <w:t xml:space="preserve"> 按照本合同约定。</w:t>
      </w:r>
    </w:p>
    <w:p>
      <w:pPr>
        <w:pStyle w:val="31"/>
        <w:numPr>
          <w:ilvl w:val="0"/>
          <w:numId w:val="45"/>
        </w:numPr>
        <w:tabs>
          <w:tab w:val="left" w:pos="952"/>
        </w:tabs>
        <w:spacing w:before="2"/>
        <w:ind w:left="951" w:hanging="31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合同经双方法定代表人或授权代表签字并加盖单位公章后生效。</w:t>
      </w:r>
    </w:p>
    <w:p>
      <w:pPr>
        <w:pStyle w:val="31"/>
        <w:numPr>
          <w:ilvl w:val="0"/>
          <w:numId w:val="45"/>
        </w:numPr>
        <w:tabs>
          <w:tab w:val="left" w:pos="952"/>
        </w:tabs>
        <w:spacing w:before="0" w:line="392" w:lineRule="auto"/>
        <w:ind w:left="215" w:firstLine="420"/>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合同执行中涉及采购资金和采购内容修改或补充的，须经财政部门审批，并签书面补充协议报财政部门备案，方可作为主合同不可分割的一部分。</w:t>
      </w:r>
    </w:p>
    <w:p>
      <w:pPr>
        <w:pStyle w:val="31"/>
        <w:numPr>
          <w:ilvl w:val="0"/>
          <w:numId w:val="45"/>
        </w:numPr>
        <w:tabs>
          <w:tab w:val="left" w:pos="952"/>
          <w:tab w:val="left" w:pos="1691"/>
        </w:tabs>
        <w:spacing w:before="1" w:line="393" w:lineRule="auto"/>
        <w:ind w:left="635" w:right="3993" w:firstLine="0"/>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本合同未尽事宜，遵照《合同法》有关条文执行。</w:t>
      </w:r>
      <w:r>
        <w:rPr>
          <w:b/>
          <w:color w:val="000000" w:themeColor="text1"/>
          <w:sz w:val="21"/>
          <w:highlight w:val="none"/>
          <w14:textFill>
            <w14:solidFill>
              <w14:schemeClr w14:val="tx1"/>
            </w14:solidFill>
          </w14:textFill>
        </w:rPr>
        <w:t>第十八条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合同的变更、终止与转让</w:t>
      </w:r>
    </w:p>
    <w:p>
      <w:pPr>
        <w:pStyle w:val="31"/>
        <w:numPr>
          <w:ilvl w:val="0"/>
          <w:numId w:val="46"/>
        </w:numPr>
        <w:tabs>
          <w:tab w:val="left" w:pos="848"/>
        </w:tabs>
        <w:spacing w:before="0" w:line="392" w:lineRule="auto"/>
        <w:ind w:left="215" w:firstLine="420"/>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除《中华人民共和国政府采购法》第五十条规定的情形外，本合同一经签订，甲乙双方不得</w:t>
      </w:r>
      <w:r>
        <w:rPr>
          <w:color w:val="000000" w:themeColor="text1"/>
          <w:sz w:val="21"/>
          <w:highlight w:val="none"/>
          <w14:textFill>
            <w14:solidFill>
              <w14:schemeClr w14:val="tx1"/>
            </w14:solidFill>
          </w14:textFill>
        </w:rPr>
        <w:t>擅自变更、中止或终止。</w:t>
      </w:r>
    </w:p>
    <w:p>
      <w:pPr>
        <w:pStyle w:val="31"/>
        <w:numPr>
          <w:ilvl w:val="0"/>
          <w:numId w:val="46"/>
        </w:numPr>
        <w:tabs>
          <w:tab w:val="left" w:pos="848"/>
        </w:tabs>
        <w:spacing w:before="0" w:line="391" w:lineRule="auto"/>
        <w:ind w:left="215" w:firstLine="420"/>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未经甲方书面同意，乙方不得擅自转让（无进口资格的乙方委托进口货物除外）其应履行的</w:t>
      </w:r>
      <w:r>
        <w:rPr>
          <w:color w:val="000000" w:themeColor="text1"/>
          <w:sz w:val="21"/>
          <w:highlight w:val="none"/>
          <w14:textFill>
            <w14:solidFill>
              <w14:schemeClr w14:val="tx1"/>
            </w14:solidFill>
          </w14:textFill>
        </w:rPr>
        <w:t>合同义务。</w:t>
      </w:r>
    </w:p>
    <w:p>
      <w:pPr>
        <w:tabs>
          <w:tab w:val="left" w:pos="1691"/>
        </w:tabs>
        <w:spacing w:before="2" w:line="393" w:lineRule="auto"/>
        <w:ind w:left="635" w:right="6398"/>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第十九条</w:t>
      </w:r>
      <w:r>
        <w:rPr>
          <w:b/>
          <w:color w:val="000000" w:themeColor="text1"/>
          <w:sz w:val="21"/>
          <w:highlight w:val="none"/>
          <w14:textFill>
            <w14:solidFill>
              <w14:schemeClr w14:val="tx1"/>
            </w14:solidFill>
          </w14:textFill>
        </w:rPr>
        <w:tab/>
      </w:r>
      <w:r>
        <w:rPr>
          <w:b/>
          <w:color w:val="000000" w:themeColor="text1"/>
          <w:sz w:val="21"/>
          <w:highlight w:val="none"/>
          <w14:textFill>
            <w14:solidFill>
              <w14:schemeClr w14:val="tx1"/>
            </w14:solidFill>
          </w14:textFill>
        </w:rPr>
        <w:t>签订本合同依</w:t>
      </w:r>
      <w:r>
        <w:rPr>
          <w:b/>
          <w:color w:val="000000" w:themeColor="text1"/>
          <w:spacing w:val="-15"/>
          <w:sz w:val="21"/>
          <w:highlight w:val="none"/>
          <w14:textFill>
            <w14:solidFill>
              <w14:schemeClr w14:val="tx1"/>
            </w14:solidFill>
          </w14:textFill>
        </w:rPr>
        <w:t>据</w:t>
      </w:r>
      <w:r>
        <w:rPr>
          <w:color w:val="000000" w:themeColor="text1"/>
          <w:sz w:val="21"/>
          <w:highlight w:val="none"/>
          <w14:textFill>
            <w14:solidFill>
              <w14:schemeClr w14:val="tx1"/>
            </w14:solidFill>
          </w14:textFill>
        </w:rPr>
        <w:t>1.政府采购招标文件；</w:t>
      </w:r>
    </w:p>
    <w:p>
      <w:pPr>
        <w:pStyle w:val="31"/>
        <w:numPr>
          <w:ilvl w:val="0"/>
          <w:numId w:val="47"/>
        </w:numPr>
        <w:tabs>
          <w:tab w:val="left" w:pos="848"/>
        </w:tabs>
        <w:spacing w:before="0" w:line="267" w:lineRule="exact"/>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乙方提供的投标文件；</w:t>
      </w:r>
    </w:p>
    <w:p>
      <w:pPr>
        <w:pStyle w:val="31"/>
        <w:numPr>
          <w:ilvl w:val="0"/>
          <w:numId w:val="47"/>
        </w:numPr>
        <w:tabs>
          <w:tab w:val="left" w:pos="848"/>
        </w:tabs>
        <w:ind w:hanging="213"/>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投标承诺书</w:t>
      </w:r>
      <w:r>
        <w:rPr>
          <w:color w:val="000000" w:themeColor="text1"/>
          <w:w w:val="95"/>
          <w:sz w:val="21"/>
          <w:highlight w:val="none"/>
          <w14:textFill>
            <w14:solidFill>
              <w14:schemeClr w14:val="tx1"/>
            </w14:solidFill>
          </w14:textFill>
        </w:rPr>
        <w:t>；</w:t>
      </w:r>
    </w:p>
    <w:p>
      <w:pPr>
        <w:pStyle w:val="31"/>
        <w:numPr>
          <w:ilvl w:val="0"/>
          <w:numId w:val="47"/>
        </w:numPr>
        <w:tabs>
          <w:tab w:val="left" w:pos="848"/>
        </w:tabs>
        <w:spacing w:before="172"/>
        <w:ind w:hanging="213"/>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中标通知书。</w:t>
      </w:r>
    </w:p>
    <w:p>
      <w:pPr>
        <w:pStyle w:val="13"/>
        <w:tabs>
          <w:tab w:val="left" w:pos="1691"/>
        </w:tabs>
        <w:spacing w:line="440" w:lineRule="exact"/>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第二十条</w:t>
      </w:r>
      <w:r>
        <w:rPr>
          <w:b/>
          <w:color w:val="000000" w:themeColor="text1"/>
          <w:highlight w:val="none"/>
          <w14:textFill>
            <w14:solidFill>
              <w14:schemeClr w14:val="tx1"/>
            </w14:solidFill>
          </w14:textFill>
        </w:rPr>
        <w:tab/>
      </w:r>
      <w:r>
        <w:rPr>
          <w:rFonts w:hint="eastAsia"/>
          <w:b/>
          <w:color w:val="000000" w:themeColor="text1"/>
          <w:highlight w:val="none"/>
          <w14:textFill>
            <w14:solidFill>
              <w14:schemeClr w14:val="tx1"/>
            </w14:solidFill>
          </w14:textFill>
        </w:rPr>
        <w:t>送达地址</w:t>
      </w:r>
    </w:p>
    <w:p>
      <w:pPr>
        <w:pStyle w:val="31"/>
        <w:tabs>
          <w:tab w:val="left" w:pos="848"/>
        </w:tabs>
        <w:spacing w:before="1" w:line="394" w:lineRule="auto"/>
        <w:ind w:left="0" w:firstLineChars="20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双方确认合同载明的地址及联系方式为可顺利接收法律文书（含</w:t>
      </w:r>
      <w:r>
        <w:rPr>
          <w:rFonts w:hint="eastAsia"/>
          <w:color w:val="000000" w:themeColor="text1"/>
          <w:sz w:val="21"/>
          <w:highlight w:val="none"/>
          <w:lang w:val="en-US"/>
          <w14:textFill>
            <w14:solidFill>
              <w14:schemeClr w14:val="tx1"/>
            </w14:solidFill>
          </w14:textFill>
        </w:rPr>
        <w:t>诉讼文书）及其他文书的地址及联系方式。文书邮寄后若退回视为送达，电子邮件发出后视为送达。</w:t>
      </w:r>
    </w:p>
    <w:p>
      <w:pPr>
        <w:pStyle w:val="13"/>
        <w:tabs>
          <w:tab w:val="left" w:pos="1691"/>
        </w:tabs>
        <w:spacing w:line="392" w:lineRule="auto"/>
        <w:ind w:left="215" w:firstLine="42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第二十</w:t>
      </w:r>
      <w:r>
        <w:rPr>
          <w:rFonts w:hint="eastAsia"/>
          <w:b/>
          <w:color w:val="000000" w:themeColor="text1"/>
          <w:highlight w:val="none"/>
          <w14:textFill>
            <w14:solidFill>
              <w14:schemeClr w14:val="tx1"/>
            </w14:solidFill>
          </w14:textFill>
        </w:rPr>
        <w:t>一</w:t>
      </w:r>
      <w:r>
        <w:rPr>
          <w:b/>
          <w:color w:val="000000" w:themeColor="text1"/>
          <w:highlight w:val="none"/>
          <w14:textFill>
            <w14:solidFill>
              <w14:schemeClr w14:val="tx1"/>
            </w14:solidFill>
          </w14:textFill>
        </w:rPr>
        <w:t>条</w:t>
      </w:r>
      <w:r>
        <w:rPr>
          <w:b/>
          <w:color w:val="000000" w:themeColor="text1"/>
          <w:highlight w:val="none"/>
          <w14:textFill>
            <w14:solidFill>
              <w14:schemeClr w14:val="tx1"/>
            </w14:solidFill>
          </w14:textFill>
        </w:rPr>
        <w:tab/>
      </w:r>
      <w:r>
        <w:rPr>
          <w:color w:val="000000" w:themeColor="text1"/>
          <w:spacing w:val="-3"/>
          <w:szCs w:val="22"/>
          <w:highlight w:val="none"/>
          <w14:textFill>
            <w14:solidFill>
              <w14:schemeClr w14:val="tx1"/>
            </w14:solidFill>
          </w14:textFill>
        </w:rPr>
        <w:t>本合同一式柒份，具有同等法律效力。乙方、政府采购监督管理部门、招标代理机</w:t>
      </w:r>
      <w:r>
        <w:rPr>
          <w:color w:val="000000" w:themeColor="text1"/>
          <w:highlight w:val="none"/>
          <w14:textFill>
            <w14:solidFill>
              <w14:schemeClr w14:val="tx1"/>
            </w14:solidFill>
          </w14:textFill>
        </w:rPr>
        <w:t>构各壹份，甲方肆份。</w:t>
      </w:r>
    </w:p>
    <w:p>
      <w:pPr>
        <w:pStyle w:val="13"/>
        <w:spacing w:before="4"/>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本合同经甲乙双方法定代表人或授权代表签字并加盖单位公章后生效。</w:t>
      </w:r>
    </w:p>
    <w:p>
      <w:pPr>
        <w:pStyle w:val="13"/>
        <w:spacing w:before="42" w:line="391" w:lineRule="auto"/>
        <w:ind w:right="7247" w:firstLine="210" w:firstLineChars="100"/>
        <w:rPr>
          <w:color w:val="000000" w:themeColor="text1"/>
          <w:highlight w:val="none"/>
          <w14:textFill>
            <w14:solidFill>
              <w14:schemeClr w14:val="tx1"/>
            </w14:solidFill>
          </w14:textFill>
        </w:rPr>
      </w:pPr>
      <w:bookmarkStart w:id="112" w:name="合同附件1"/>
      <w:bookmarkEnd w:id="112"/>
      <w:r>
        <w:rPr>
          <w:color w:val="000000" w:themeColor="text1"/>
          <w:highlight w:val="none"/>
          <w14:textFill>
            <w14:solidFill>
              <w14:schemeClr w14:val="tx1"/>
            </w14:solidFill>
          </w14:textFill>
        </w:rPr>
        <w:t>附：1.开标一览表</w:t>
      </w:r>
    </w:p>
    <w:p>
      <w:pPr>
        <w:pStyle w:val="13"/>
        <w:spacing w:before="42" w:line="391" w:lineRule="auto"/>
        <w:ind w:right="7247"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2.投标报价明细表</w:t>
      </w:r>
    </w:p>
    <w:p>
      <w:pPr>
        <w:pStyle w:val="31"/>
        <w:numPr>
          <w:ilvl w:val="0"/>
          <w:numId w:val="48"/>
        </w:numPr>
        <w:tabs>
          <w:tab w:val="left" w:pos="848"/>
        </w:tabs>
        <w:spacing w:before="1"/>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设备配置清单</w:t>
      </w:r>
    </w:p>
    <w:p>
      <w:pPr>
        <w:pStyle w:val="31"/>
        <w:numPr>
          <w:ilvl w:val="0"/>
          <w:numId w:val="48"/>
        </w:numPr>
        <w:tabs>
          <w:tab w:val="left" w:pos="848"/>
        </w:tabs>
        <w:spacing w:before="172"/>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耗材报价</w:t>
      </w:r>
    </w:p>
    <w:p>
      <w:pPr>
        <w:pStyle w:val="31"/>
        <w:numPr>
          <w:ilvl w:val="0"/>
          <w:numId w:val="48"/>
        </w:numPr>
        <w:tabs>
          <w:tab w:val="left" w:pos="848"/>
        </w:tabs>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售后服务方案</w:t>
      </w:r>
    </w:p>
    <w:p>
      <w:pPr>
        <w:pStyle w:val="31"/>
        <w:numPr>
          <w:ilvl w:val="0"/>
          <w:numId w:val="48"/>
        </w:numPr>
        <w:tabs>
          <w:tab w:val="left" w:pos="848"/>
        </w:tabs>
        <w:spacing w:before="171"/>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招标文件商务技术要求</w:t>
      </w:r>
    </w:p>
    <w:p>
      <w:pPr>
        <w:pStyle w:val="31"/>
        <w:numPr>
          <w:ilvl w:val="0"/>
          <w:numId w:val="48"/>
        </w:numPr>
        <w:tabs>
          <w:tab w:val="left" w:pos="848"/>
        </w:tabs>
        <w:spacing w:before="172"/>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乙方投标文件商务技术响应</w:t>
      </w:r>
    </w:p>
    <w:p>
      <w:pPr>
        <w:pStyle w:val="31"/>
        <w:numPr>
          <w:ilvl w:val="0"/>
          <w:numId w:val="48"/>
        </w:numPr>
        <w:tabs>
          <w:tab w:val="left" w:pos="848"/>
        </w:tabs>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乙方投标声明书</w:t>
      </w:r>
    </w:p>
    <w:p>
      <w:pPr>
        <w:pStyle w:val="31"/>
        <w:numPr>
          <w:ilvl w:val="0"/>
          <w:numId w:val="48"/>
        </w:numPr>
        <w:tabs>
          <w:tab w:val="left" w:pos="848"/>
        </w:tabs>
        <w:ind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中标通知书</w:t>
      </w:r>
    </w:p>
    <w:p>
      <w:pPr>
        <w:pStyle w:val="31"/>
        <w:numPr>
          <w:ilvl w:val="0"/>
          <w:numId w:val="48"/>
        </w:numPr>
        <w:tabs>
          <w:tab w:val="left" w:pos="953"/>
        </w:tabs>
        <w:spacing w:before="173" w:after="28"/>
        <w:ind w:left="952" w:hanging="3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说明函</w:t>
      </w:r>
    </w:p>
    <w:tbl>
      <w:tblPr>
        <w:tblStyle w:val="23"/>
        <w:tblW w:w="903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7"/>
        <w:gridCol w:w="4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447" w:type="dxa"/>
          </w:tcPr>
          <w:p>
            <w:pPr>
              <w:pStyle w:val="32"/>
              <w:spacing w:before="9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甲方（章） </w:t>
            </w:r>
          </w:p>
        </w:tc>
        <w:tc>
          <w:tcPr>
            <w:tcW w:w="4592" w:type="dxa"/>
          </w:tcPr>
          <w:p>
            <w:pPr>
              <w:pStyle w:val="32"/>
              <w:spacing w:before="9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乙方（章）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447" w:type="dxa"/>
          </w:tcPr>
          <w:p>
            <w:pPr>
              <w:pStyle w:val="32"/>
              <w:spacing w:before="150"/>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单位地址：</w:t>
            </w:r>
          </w:p>
        </w:tc>
        <w:tc>
          <w:tcPr>
            <w:tcW w:w="4592" w:type="dxa"/>
          </w:tcPr>
          <w:p>
            <w:pPr>
              <w:pStyle w:val="32"/>
              <w:spacing w:before="150"/>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4447" w:type="dxa"/>
          </w:tcPr>
          <w:p>
            <w:pPr>
              <w:pStyle w:val="32"/>
              <w:spacing w:before="139"/>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w:t>
            </w:r>
          </w:p>
        </w:tc>
        <w:tc>
          <w:tcPr>
            <w:tcW w:w="4592" w:type="dxa"/>
          </w:tcPr>
          <w:p>
            <w:pPr>
              <w:pStyle w:val="32"/>
              <w:spacing w:before="139"/>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447" w:type="dxa"/>
          </w:tcPr>
          <w:p>
            <w:pPr>
              <w:pStyle w:val="32"/>
              <w:spacing w:before="12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w:t>
            </w:r>
          </w:p>
        </w:tc>
        <w:tc>
          <w:tcPr>
            <w:tcW w:w="4592" w:type="dxa"/>
          </w:tcPr>
          <w:p>
            <w:pPr>
              <w:pStyle w:val="32"/>
              <w:spacing w:before="12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447" w:type="dxa"/>
          </w:tcPr>
          <w:p>
            <w:pPr>
              <w:pStyle w:val="32"/>
              <w:spacing w:before="115"/>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c>
          <w:tcPr>
            <w:tcW w:w="4592" w:type="dxa"/>
          </w:tcPr>
          <w:p>
            <w:pPr>
              <w:pStyle w:val="32"/>
              <w:spacing w:before="115"/>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447" w:type="dxa"/>
          </w:tcPr>
          <w:p>
            <w:pPr>
              <w:pStyle w:val="32"/>
              <w:spacing w:before="11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电子邮箱：</w:t>
            </w:r>
          </w:p>
        </w:tc>
        <w:tc>
          <w:tcPr>
            <w:tcW w:w="4592" w:type="dxa"/>
          </w:tcPr>
          <w:p>
            <w:pPr>
              <w:pStyle w:val="32"/>
              <w:spacing w:before="11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447" w:type="dxa"/>
          </w:tcPr>
          <w:p>
            <w:pPr>
              <w:pStyle w:val="32"/>
              <w:spacing w:before="109"/>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开户银行：</w:t>
            </w:r>
          </w:p>
        </w:tc>
        <w:tc>
          <w:tcPr>
            <w:tcW w:w="4592" w:type="dxa"/>
          </w:tcPr>
          <w:p>
            <w:pPr>
              <w:pStyle w:val="32"/>
              <w:spacing w:before="64"/>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447" w:type="dxa"/>
          </w:tcPr>
          <w:p>
            <w:pPr>
              <w:pStyle w:val="32"/>
              <w:spacing w:before="117"/>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账号：</w:t>
            </w:r>
          </w:p>
        </w:tc>
        <w:tc>
          <w:tcPr>
            <w:tcW w:w="4592" w:type="dxa"/>
          </w:tcPr>
          <w:p>
            <w:pPr>
              <w:pStyle w:val="32"/>
              <w:spacing w:before="7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4447" w:type="dxa"/>
          </w:tcPr>
          <w:p>
            <w:pPr>
              <w:pStyle w:val="32"/>
              <w:spacing w:before="118"/>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邮政编码：</w:t>
            </w:r>
          </w:p>
        </w:tc>
        <w:tc>
          <w:tcPr>
            <w:tcW w:w="4592" w:type="dxa"/>
          </w:tcPr>
          <w:p>
            <w:pPr>
              <w:pStyle w:val="32"/>
              <w:spacing w:before="118"/>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39" w:type="dxa"/>
            <w:gridSpan w:val="2"/>
          </w:tcPr>
          <w:p>
            <w:pPr>
              <w:pStyle w:val="32"/>
              <w:tabs>
                <w:tab w:val="left" w:pos="2417"/>
                <w:tab w:val="left" w:pos="3466"/>
                <w:tab w:val="left" w:pos="4517"/>
              </w:tabs>
              <w:spacing w:before="110"/>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签订时间：</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年</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月</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日</w:t>
            </w:r>
          </w:p>
        </w:tc>
      </w:tr>
    </w:tbl>
    <w:p>
      <w:pPr>
        <w:rPr>
          <w:color w:val="000000" w:themeColor="text1"/>
          <w:sz w:val="21"/>
          <w:highlight w:val="none"/>
          <w14:textFill>
            <w14:solidFill>
              <w14:schemeClr w14:val="tx1"/>
            </w14:solidFill>
          </w14:textFill>
        </w:rPr>
        <w:sectPr>
          <w:footerReference r:id="rId12" w:type="default"/>
          <w:pgSz w:w="11910" w:h="16840"/>
          <w:pgMar w:top="1500" w:right="1140" w:bottom="900" w:left="1200" w:header="0" w:footer="720" w:gutter="0"/>
          <w:cols w:space="720" w:num="1"/>
        </w:sectPr>
      </w:pPr>
    </w:p>
    <w:p>
      <w:pPr>
        <w:spacing w:before="49" w:line="616" w:lineRule="auto"/>
        <w:ind w:left="215" w:right="17"/>
        <w:rPr>
          <w:color w:val="000000" w:themeColor="text1"/>
          <w:sz w:val="2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1052195</wp:posOffset>
                </wp:positionH>
                <wp:positionV relativeFrom="paragraph">
                  <wp:posOffset>660400</wp:posOffset>
                </wp:positionV>
                <wp:extent cx="5459095" cy="3254375"/>
                <wp:effectExtent l="0" t="0" r="0" b="0"/>
                <wp:wrapNone/>
                <wp:docPr id="5" name="文本框 8"/>
                <wp:cNvGraphicFramePr/>
                <a:graphic xmlns:a="http://schemas.openxmlformats.org/drawingml/2006/main">
                  <a:graphicData uri="http://schemas.microsoft.com/office/word/2010/wordprocessingShape">
                    <wps:wsp>
                      <wps:cNvSpPr txBox="1"/>
                      <wps:spPr>
                        <a:xfrm>
                          <a:off x="0" y="0"/>
                          <a:ext cx="5459095" cy="3254375"/>
                        </a:xfrm>
                        <a:prstGeom prst="rect">
                          <a:avLst/>
                        </a:prstGeom>
                        <a:noFill/>
                        <a:ln>
                          <a:noFill/>
                        </a:ln>
                      </wps:spPr>
                      <wps:txbx>
                        <w:txbxContent>
                          <w:tbl>
                            <w:tblPr>
                              <w:tblStyle w:val="23"/>
                              <w:tblW w:w="8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1"/>
                              <w:gridCol w:w="1357"/>
                              <w:gridCol w:w="471"/>
                              <w:gridCol w:w="475"/>
                              <w:gridCol w:w="1983"/>
                              <w:gridCol w:w="1350"/>
                              <w:gridCol w:w="471"/>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1"/>
                                    <w:ind w:left="106"/>
                                    <w:rPr>
                                      <w:sz w:val="21"/>
                                    </w:rPr>
                                  </w:pPr>
                                  <w:r>
                                    <w:rPr>
                                      <w:sz w:val="21"/>
                                    </w:rPr>
                                    <w:t>1．乙方承诺具体事项：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2"/>
                                    <w:ind w:left="106"/>
                                    <w:rPr>
                                      <w:sz w:val="21"/>
                                    </w:rPr>
                                  </w:pPr>
                                  <w:r>
                                    <w:rPr>
                                      <w:sz w:val="21"/>
                                    </w:rPr>
                                    <w:t>2．售后服务具体事项：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0"/>
                                    <w:ind w:left="106"/>
                                    <w:rPr>
                                      <w:sz w:val="21"/>
                                    </w:rPr>
                                  </w:pPr>
                                  <w:r>
                                    <w:rPr>
                                      <w:sz w:val="21"/>
                                    </w:rPr>
                                    <w:t>3．质保期责任：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1"/>
                                    <w:ind w:left="106"/>
                                    <w:rPr>
                                      <w:sz w:val="21"/>
                                    </w:rPr>
                                  </w:pPr>
                                  <w:r>
                                    <w:rPr>
                                      <w:sz w:val="21"/>
                                    </w:rPr>
                                    <w:t>4．其他具体事项：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991" w:type="dxa"/>
                                  <w:tcBorders>
                                    <w:right w:val="nil"/>
                                  </w:tcBorders>
                                </w:tcPr>
                                <w:p>
                                  <w:pPr>
                                    <w:pStyle w:val="32"/>
                                    <w:spacing w:before="171"/>
                                    <w:ind w:left="106"/>
                                    <w:rPr>
                                      <w:sz w:val="21"/>
                                    </w:rPr>
                                  </w:pPr>
                                  <w:r>
                                    <w:rPr>
                                      <w:sz w:val="21"/>
                                    </w:rPr>
                                    <w:t>甲方(章)</w:t>
                                  </w:r>
                                </w:p>
                              </w:tc>
                              <w:tc>
                                <w:tcPr>
                                  <w:tcW w:w="1357"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right="97"/>
                                    <w:jc w:val="right"/>
                                    <w:rPr>
                                      <w:sz w:val="21"/>
                                    </w:rPr>
                                  </w:pPr>
                                  <w:r>
                                    <w:rPr>
                                      <w:w w:val="99"/>
                                      <w:sz w:val="21"/>
                                    </w:rPr>
                                    <w:t>年</w:t>
                                  </w:r>
                                </w:p>
                              </w:tc>
                              <w:tc>
                                <w:tcPr>
                                  <w:tcW w:w="471"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11"/>
                                    <w:rPr>
                                      <w:sz w:val="21"/>
                                    </w:rPr>
                                  </w:pPr>
                                  <w:r>
                                    <w:rPr>
                                      <w:w w:val="99"/>
                                      <w:sz w:val="21"/>
                                    </w:rPr>
                                    <w:t>月</w:t>
                                  </w:r>
                                </w:p>
                              </w:tc>
                              <w:tc>
                                <w:tcPr>
                                  <w:tcW w:w="475" w:type="dxa"/>
                                  <w:tcBorders>
                                    <w:lef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63"/>
                                    <w:rPr>
                                      <w:sz w:val="21"/>
                                    </w:rPr>
                                  </w:pPr>
                                  <w:r>
                                    <w:rPr>
                                      <w:w w:val="99"/>
                                      <w:sz w:val="21"/>
                                    </w:rPr>
                                    <w:t>日</w:t>
                                  </w:r>
                                </w:p>
                              </w:tc>
                              <w:tc>
                                <w:tcPr>
                                  <w:tcW w:w="1983" w:type="dxa"/>
                                  <w:tcBorders>
                                    <w:right w:val="nil"/>
                                  </w:tcBorders>
                                </w:tcPr>
                                <w:p>
                                  <w:pPr>
                                    <w:pStyle w:val="32"/>
                                    <w:spacing w:before="171"/>
                                    <w:ind w:left="110"/>
                                    <w:rPr>
                                      <w:sz w:val="21"/>
                                    </w:rPr>
                                  </w:pPr>
                                  <w:r>
                                    <w:rPr>
                                      <w:sz w:val="21"/>
                                    </w:rPr>
                                    <w:t>乙方(章)</w:t>
                                  </w:r>
                                </w:p>
                              </w:tc>
                              <w:tc>
                                <w:tcPr>
                                  <w:tcW w:w="1350"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right="92"/>
                                    <w:jc w:val="right"/>
                                    <w:rPr>
                                      <w:sz w:val="21"/>
                                    </w:rPr>
                                  </w:pPr>
                                  <w:r>
                                    <w:rPr>
                                      <w:w w:val="99"/>
                                      <w:sz w:val="21"/>
                                    </w:rPr>
                                    <w:t>年</w:t>
                                  </w:r>
                                </w:p>
                              </w:tc>
                              <w:tc>
                                <w:tcPr>
                                  <w:tcW w:w="471"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16"/>
                                    <w:rPr>
                                      <w:sz w:val="21"/>
                                    </w:rPr>
                                  </w:pPr>
                                  <w:r>
                                    <w:rPr>
                                      <w:w w:val="99"/>
                                      <w:sz w:val="21"/>
                                    </w:rPr>
                                    <w:t>月</w:t>
                                  </w:r>
                                </w:p>
                              </w:tc>
                              <w:tc>
                                <w:tcPr>
                                  <w:tcW w:w="474" w:type="dxa"/>
                                  <w:tcBorders>
                                    <w:lef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71"/>
                                    <w:rPr>
                                      <w:sz w:val="21"/>
                                    </w:rPr>
                                  </w:pPr>
                                  <w:r>
                                    <w:rPr>
                                      <w:w w:val="99"/>
                                      <w:sz w:val="21"/>
                                    </w:rPr>
                                    <w:t>日</w:t>
                                  </w:r>
                                </w:p>
                              </w:tc>
                            </w:tr>
                          </w:tbl>
                          <w:p>
                            <w:pPr>
                              <w:pStyle w:val="13"/>
                            </w:pPr>
                          </w:p>
                        </w:txbxContent>
                      </wps:txbx>
                      <wps:bodyPr lIns="0" tIns="0" rIns="0" bIns="0" upright="1"/>
                    </wps:wsp>
                  </a:graphicData>
                </a:graphic>
              </wp:anchor>
            </w:drawing>
          </mc:Choice>
          <mc:Fallback>
            <w:pict>
              <v:shape id="文本框 8" o:spid="_x0000_s1026" o:spt="202" type="#_x0000_t202" style="position:absolute;left:0pt;margin-left:82.85pt;margin-top:52pt;height:256.25pt;width:429.85pt;mso-position-horizontal-relative:page;z-index:251664384;mso-width-relative:page;mso-height-relative:page;" filled="f" stroked="f" coordsize="21600,21600" o:gfxdata="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72z4tgAAAAMAQAADwAAAAAA&#10;AAABACAAAAAiAAAAZHJzL2Rvd25yZXYueG1sUEsBAhQAFAAAAAgAh07iQKlaqbChAQAAJQMAAA4A&#10;AAAAAAAAAQAgAAAAJwEAAGRycy9lMm9Eb2MueG1sUEsFBgAAAAAGAAYAWQEAADoFAAAAAA==&#10;">
                <v:fill on="f" focussize="0,0"/>
                <v:stroke on="f"/>
                <v:imagedata o:title=""/>
                <o:lock v:ext="edit" aspectratio="f"/>
                <v:textbox inset="0mm,0mm,0mm,0mm">
                  <w:txbxContent>
                    <w:tbl>
                      <w:tblPr>
                        <w:tblStyle w:val="23"/>
                        <w:tblW w:w="85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1"/>
                        <w:gridCol w:w="1357"/>
                        <w:gridCol w:w="471"/>
                        <w:gridCol w:w="475"/>
                        <w:gridCol w:w="1983"/>
                        <w:gridCol w:w="1350"/>
                        <w:gridCol w:w="471"/>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1"/>
                              <w:ind w:left="106"/>
                              <w:rPr>
                                <w:sz w:val="21"/>
                              </w:rPr>
                            </w:pPr>
                            <w:r>
                              <w:rPr>
                                <w:sz w:val="21"/>
                              </w:rPr>
                              <w:t>1．乙方承诺具体事项：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2"/>
                              <w:ind w:left="106"/>
                              <w:rPr>
                                <w:sz w:val="21"/>
                              </w:rPr>
                            </w:pPr>
                            <w:r>
                              <w:rPr>
                                <w:sz w:val="21"/>
                              </w:rPr>
                              <w:t>2．售后服务具体事项：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0"/>
                              <w:ind w:left="106"/>
                              <w:rPr>
                                <w:sz w:val="21"/>
                              </w:rPr>
                            </w:pPr>
                            <w:r>
                              <w:rPr>
                                <w:sz w:val="21"/>
                              </w:rPr>
                              <w:t>3．质保期责任：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8572" w:type="dxa"/>
                            <w:gridSpan w:val="8"/>
                          </w:tcPr>
                          <w:p>
                            <w:pPr>
                              <w:pStyle w:val="32"/>
                              <w:spacing w:before="131"/>
                              <w:ind w:left="106"/>
                              <w:rPr>
                                <w:sz w:val="21"/>
                              </w:rPr>
                            </w:pPr>
                            <w:r>
                              <w:rPr>
                                <w:sz w:val="21"/>
                              </w:rPr>
                              <w:t>4．其他具体事项：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991" w:type="dxa"/>
                            <w:tcBorders>
                              <w:right w:val="nil"/>
                            </w:tcBorders>
                          </w:tcPr>
                          <w:p>
                            <w:pPr>
                              <w:pStyle w:val="32"/>
                              <w:spacing w:before="171"/>
                              <w:ind w:left="106"/>
                              <w:rPr>
                                <w:sz w:val="21"/>
                              </w:rPr>
                            </w:pPr>
                            <w:r>
                              <w:rPr>
                                <w:sz w:val="21"/>
                              </w:rPr>
                              <w:t>甲方(章)</w:t>
                            </w:r>
                          </w:p>
                        </w:tc>
                        <w:tc>
                          <w:tcPr>
                            <w:tcW w:w="1357"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right="97"/>
                              <w:jc w:val="right"/>
                              <w:rPr>
                                <w:sz w:val="21"/>
                              </w:rPr>
                            </w:pPr>
                            <w:r>
                              <w:rPr>
                                <w:w w:val="99"/>
                                <w:sz w:val="21"/>
                              </w:rPr>
                              <w:t>年</w:t>
                            </w:r>
                          </w:p>
                        </w:tc>
                        <w:tc>
                          <w:tcPr>
                            <w:tcW w:w="471"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11"/>
                              <w:rPr>
                                <w:sz w:val="21"/>
                              </w:rPr>
                            </w:pPr>
                            <w:r>
                              <w:rPr>
                                <w:w w:val="99"/>
                                <w:sz w:val="21"/>
                              </w:rPr>
                              <w:t>月</w:t>
                            </w:r>
                          </w:p>
                        </w:tc>
                        <w:tc>
                          <w:tcPr>
                            <w:tcW w:w="475" w:type="dxa"/>
                            <w:tcBorders>
                              <w:lef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63"/>
                              <w:rPr>
                                <w:sz w:val="21"/>
                              </w:rPr>
                            </w:pPr>
                            <w:r>
                              <w:rPr>
                                <w:w w:val="99"/>
                                <w:sz w:val="21"/>
                              </w:rPr>
                              <w:t>日</w:t>
                            </w:r>
                          </w:p>
                        </w:tc>
                        <w:tc>
                          <w:tcPr>
                            <w:tcW w:w="1983" w:type="dxa"/>
                            <w:tcBorders>
                              <w:right w:val="nil"/>
                            </w:tcBorders>
                          </w:tcPr>
                          <w:p>
                            <w:pPr>
                              <w:pStyle w:val="32"/>
                              <w:spacing w:before="171"/>
                              <w:ind w:left="110"/>
                              <w:rPr>
                                <w:sz w:val="21"/>
                              </w:rPr>
                            </w:pPr>
                            <w:r>
                              <w:rPr>
                                <w:sz w:val="21"/>
                              </w:rPr>
                              <w:t>乙方(章)</w:t>
                            </w:r>
                          </w:p>
                        </w:tc>
                        <w:tc>
                          <w:tcPr>
                            <w:tcW w:w="1350"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right="92"/>
                              <w:jc w:val="right"/>
                              <w:rPr>
                                <w:sz w:val="21"/>
                              </w:rPr>
                            </w:pPr>
                            <w:r>
                              <w:rPr>
                                <w:w w:val="99"/>
                                <w:sz w:val="21"/>
                              </w:rPr>
                              <w:t>年</w:t>
                            </w:r>
                          </w:p>
                        </w:tc>
                        <w:tc>
                          <w:tcPr>
                            <w:tcW w:w="471" w:type="dxa"/>
                            <w:tcBorders>
                              <w:left w:val="nil"/>
                              <w:righ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16"/>
                              <w:rPr>
                                <w:sz w:val="21"/>
                              </w:rPr>
                            </w:pPr>
                            <w:r>
                              <w:rPr>
                                <w:w w:val="99"/>
                                <w:sz w:val="21"/>
                              </w:rPr>
                              <w:t>月</w:t>
                            </w:r>
                          </w:p>
                        </w:tc>
                        <w:tc>
                          <w:tcPr>
                            <w:tcW w:w="474" w:type="dxa"/>
                            <w:tcBorders>
                              <w:left w:val="nil"/>
                            </w:tcBorders>
                          </w:tcPr>
                          <w:p>
                            <w:pPr>
                              <w:pStyle w:val="32"/>
                              <w:rPr>
                                <w:sz w:val="20"/>
                              </w:rPr>
                            </w:pPr>
                          </w:p>
                          <w:p>
                            <w:pPr>
                              <w:pStyle w:val="32"/>
                              <w:rPr>
                                <w:sz w:val="20"/>
                              </w:rPr>
                            </w:pPr>
                          </w:p>
                          <w:p>
                            <w:pPr>
                              <w:pStyle w:val="32"/>
                              <w:rPr>
                                <w:sz w:val="20"/>
                              </w:rPr>
                            </w:pPr>
                          </w:p>
                          <w:p>
                            <w:pPr>
                              <w:pStyle w:val="32"/>
                              <w:rPr>
                                <w:sz w:val="20"/>
                              </w:rPr>
                            </w:pPr>
                          </w:p>
                          <w:p>
                            <w:pPr>
                              <w:pStyle w:val="32"/>
                              <w:spacing w:before="137"/>
                              <w:ind w:left="171"/>
                              <w:rPr>
                                <w:sz w:val="21"/>
                              </w:rPr>
                            </w:pPr>
                            <w:r>
                              <w:rPr>
                                <w:w w:val="99"/>
                                <w:sz w:val="21"/>
                              </w:rPr>
                              <w:t>日</w:t>
                            </w:r>
                          </w:p>
                        </w:tc>
                      </w:tr>
                    </w:tbl>
                    <w:p>
                      <w:pPr>
                        <w:pStyle w:val="13"/>
                      </w:pPr>
                    </w:p>
                  </w:txbxContent>
                </v:textbox>
              </v:shape>
            </w:pict>
          </mc:Fallback>
        </mc:AlternateContent>
      </w:r>
      <w:r>
        <w:rPr>
          <w:b/>
          <w:color w:val="000000" w:themeColor="text1"/>
          <w:sz w:val="21"/>
          <w:highlight w:val="none"/>
          <w14:textFill>
            <w14:solidFill>
              <w14:schemeClr w14:val="tx1"/>
            </w14:solidFill>
          </w14:textFill>
        </w:rPr>
        <w:t xml:space="preserve">合同附件 1 </w:t>
      </w:r>
      <w:r>
        <w:rPr>
          <w:color w:val="000000" w:themeColor="text1"/>
          <w:sz w:val="21"/>
          <w:highlight w:val="none"/>
          <w14:textFill>
            <w14:solidFill>
              <w14:schemeClr w14:val="tx1"/>
            </w14:solidFill>
          </w14:textFill>
        </w:rPr>
        <w:t>一般货物类</w:t>
      </w:r>
    </w:p>
    <w:p>
      <w:pPr>
        <w:pStyle w:val="13"/>
        <w:rPr>
          <w:color w:val="000000" w:themeColor="text1"/>
          <w:sz w:val="20"/>
          <w:highlight w:val="none"/>
          <w14:textFill>
            <w14:solidFill>
              <w14:schemeClr w14:val="tx1"/>
            </w14:solidFill>
          </w14:textFill>
        </w:rPr>
      </w:pPr>
      <w:r>
        <w:rPr>
          <w:color w:val="000000" w:themeColor="text1"/>
          <w:highlight w:val="none"/>
          <w14:textFill>
            <w14:solidFill>
              <w14:schemeClr w14:val="tx1"/>
            </w14:solidFill>
          </w14:textFill>
        </w:rPr>
        <w:br w:type="column"/>
      </w:r>
    </w:p>
    <w:p>
      <w:pPr>
        <w:pStyle w:val="7"/>
        <w:spacing w:before="172"/>
        <w:ind w:left="2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投标承诺书</w:t>
      </w:r>
    </w:p>
    <w:p>
      <w:pPr>
        <w:rPr>
          <w:color w:val="000000" w:themeColor="text1"/>
          <w:highlight w:val="none"/>
          <w14:textFill>
            <w14:solidFill>
              <w14:schemeClr w14:val="tx1"/>
            </w14:solidFill>
          </w14:textFill>
        </w:rPr>
        <w:sectPr>
          <w:pgSz w:w="11910" w:h="16840"/>
          <w:pgMar w:top="1500" w:right="1140" w:bottom="900" w:left="1200" w:header="0" w:footer="720" w:gutter="0"/>
          <w:cols w:equalWidth="0" w:num="2">
            <w:col w:w="1305" w:space="2686"/>
            <w:col w:w="5579"/>
          </w:cols>
        </w:sect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1"/>
        <w:rPr>
          <w:b/>
          <w:color w:val="000000" w:themeColor="text1"/>
          <w:sz w:val="18"/>
          <w:highlight w:val="none"/>
          <w14:textFill>
            <w14:solidFill>
              <w14:schemeClr w14:val="tx1"/>
            </w14:solidFill>
          </w14:textFill>
        </w:rPr>
      </w:pPr>
    </w:p>
    <w:p>
      <w:pPr>
        <w:pStyle w:val="13"/>
        <w:spacing w:before="1"/>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注：售后服务事项填不下时可另加附页。</w:t>
      </w:r>
    </w:p>
    <w:p>
      <w:pPr>
        <w:rPr>
          <w:color w:val="000000" w:themeColor="text1"/>
          <w:highlight w:val="none"/>
          <w14:textFill>
            <w14:solidFill>
              <w14:schemeClr w14:val="tx1"/>
            </w14:solidFill>
          </w14:textFill>
        </w:rPr>
        <w:sectPr>
          <w:type w:val="continuous"/>
          <w:pgSz w:w="11910" w:h="16840"/>
          <w:pgMar w:top="1580" w:right="1140" w:bottom="280" w:left="1200" w:header="720" w:footer="720" w:gutter="0"/>
          <w:cols w:space="720" w:num="1"/>
        </w:sectPr>
      </w:pPr>
    </w:p>
    <w:p>
      <w:pPr>
        <w:pStyle w:val="7"/>
        <w:spacing w:before="49"/>
        <w:ind w:left="215"/>
        <w:rPr>
          <w:color w:val="000000" w:themeColor="text1"/>
          <w:highlight w:val="none"/>
          <w14:textFill>
            <w14:solidFill>
              <w14:schemeClr w14:val="tx1"/>
            </w14:solidFill>
          </w14:textFill>
        </w:rPr>
      </w:pPr>
      <w:bookmarkStart w:id="113" w:name="合同附件3"/>
      <w:bookmarkEnd w:id="113"/>
      <w:r>
        <w:rPr>
          <w:color w:val="000000" w:themeColor="text1"/>
          <w:highlight w:val="none"/>
          <w14:textFill>
            <w14:solidFill>
              <w14:schemeClr w14:val="tx1"/>
            </w14:solidFill>
          </w14:textFill>
        </w:rPr>
        <w:t>合同附件 2</w:t>
      </w:r>
    </w:p>
    <w:p>
      <w:pPr>
        <w:pStyle w:val="13"/>
        <w:rPr>
          <w:b/>
          <w:color w:val="000000" w:themeColor="text1"/>
          <w:sz w:val="20"/>
          <w:highlight w:val="none"/>
          <w14:textFill>
            <w14:solidFill>
              <w14:schemeClr w14:val="tx1"/>
            </w14:solidFill>
          </w14:textFill>
        </w:rPr>
      </w:pPr>
    </w:p>
    <w:p>
      <w:pPr>
        <w:pStyle w:val="13"/>
        <w:spacing w:before="1"/>
        <w:rPr>
          <w:b/>
          <w:color w:val="000000" w:themeColor="text1"/>
          <w:sz w:val="19"/>
          <w:highlight w:val="none"/>
          <w14:textFill>
            <w14:solidFill>
              <w14:schemeClr w14:val="tx1"/>
            </w14:solidFill>
          </w14:textFill>
        </w:rPr>
      </w:pPr>
    </w:p>
    <w:p>
      <w:pPr>
        <w:ind w:left="2841"/>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广西壮族自治区政府采购项目合同验收书</w:t>
      </w:r>
    </w:p>
    <w:p>
      <w:pPr>
        <w:pStyle w:val="13"/>
        <w:tabs>
          <w:tab w:val="left" w:pos="4154"/>
          <w:tab w:val="left" w:pos="4731"/>
          <w:tab w:val="left" w:pos="6464"/>
          <w:tab w:val="left" w:pos="8615"/>
        </w:tabs>
        <w:spacing w:before="156" w:line="393" w:lineRule="auto"/>
        <w:ind w:left="215" w:right="212" w:firstLine="420"/>
        <w:rPr>
          <w:color w:val="000000" w:themeColor="text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859155</wp:posOffset>
                </wp:positionH>
                <wp:positionV relativeFrom="paragraph">
                  <wp:posOffset>846455</wp:posOffset>
                </wp:positionV>
                <wp:extent cx="5847715" cy="7019290"/>
                <wp:effectExtent l="0" t="0" r="0" b="0"/>
                <wp:wrapNone/>
                <wp:docPr id="6" name="文本框 9"/>
                <wp:cNvGraphicFramePr/>
                <a:graphic xmlns:a="http://schemas.openxmlformats.org/drawingml/2006/main">
                  <a:graphicData uri="http://schemas.microsoft.com/office/word/2010/wordprocessingShape">
                    <wps:wsp>
                      <wps:cNvSpPr txBox="1"/>
                      <wps:spPr>
                        <a:xfrm>
                          <a:off x="0" y="0"/>
                          <a:ext cx="5847715" cy="7019290"/>
                        </a:xfrm>
                        <a:prstGeom prst="rect">
                          <a:avLst/>
                        </a:prstGeom>
                        <a:noFill/>
                        <a:ln>
                          <a:noFill/>
                        </a:ln>
                      </wps:spPr>
                      <wps:txbx>
                        <w:txbxContent>
                          <w:tbl>
                            <w:tblPr>
                              <w:tblStyle w:val="23"/>
                              <w:tblW w:w="91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9"/>
                              <w:gridCol w:w="1605"/>
                              <w:gridCol w:w="1303"/>
                              <w:gridCol w:w="2451"/>
                              <w:gridCol w:w="200"/>
                              <w:gridCol w:w="780"/>
                              <w:gridCol w:w="723"/>
                              <w:gridCol w:w="6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3104" w:type="dxa"/>
                                  <w:gridSpan w:val="2"/>
                                </w:tcPr>
                                <w:p>
                                  <w:pPr>
                                    <w:pStyle w:val="32"/>
                                    <w:spacing w:before="170"/>
                                    <w:ind w:left="1026"/>
                                    <w:rPr>
                                      <w:sz w:val="21"/>
                                    </w:rPr>
                                  </w:pPr>
                                  <w:r>
                                    <w:rPr>
                                      <w:sz w:val="21"/>
                                    </w:rPr>
                                    <w:t>验收方式：</w:t>
                                  </w:r>
                                </w:p>
                              </w:tc>
                              <w:tc>
                                <w:tcPr>
                                  <w:tcW w:w="6076" w:type="dxa"/>
                                  <w:gridSpan w:val="6"/>
                                </w:tcPr>
                                <w:p>
                                  <w:pPr>
                                    <w:pStyle w:val="32"/>
                                    <w:tabs>
                                      <w:tab w:val="left" w:pos="4138"/>
                                    </w:tabs>
                                    <w:spacing w:before="170"/>
                                    <w:ind w:left="1304"/>
                                    <w:rPr>
                                      <w:sz w:val="21"/>
                                    </w:rPr>
                                  </w:pPr>
                                  <w:r>
                                    <w:rPr>
                                      <w:sz w:val="21"/>
                                    </w:rPr>
                                    <w:t>□自行验收</w:t>
                                  </w:r>
                                  <w:r>
                                    <w:rPr>
                                      <w:sz w:val="21"/>
                                    </w:rPr>
                                    <w:tab/>
                                  </w:r>
                                  <w:r>
                                    <w:rPr>
                                      <w:sz w:val="21"/>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1499" w:type="dxa"/>
                                </w:tcPr>
                                <w:p>
                                  <w:pPr>
                                    <w:pStyle w:val="32"/>
                                    <w:spacing w:before="3"/>
                                    <w:rPr>
                                      <w:sz w:val="28"/>
                                    </w:rPr>
                                  </w:pPr>
                                </w:p>
                                <w:p>
                                  <w:pPr>
                                    <w:pStyle w:val="32"/>
                                    <w:ind w:left="518" w:right="500"/>
                                    <w:jc w:val="center"/>
                                    <w:rPr>
                                      <w:sz w:val="21"/>
                                    </w:rPr>
                                  </w:pPr>
                                  <w:r>
                                    <w:rPr>
                                      <w:sz w:val="21"/>
                                    </w:rPr>
                                    <w:t>序号</w:t>
                                  </w:r>
                                </w:p>
                              </w:tc>
                              <w:tc>
                                <w:tcPr>
                                  <w:tcW w:w="1605" w:type="dxa"/>
                                </w:tcPr>
                                <w:p>
                                  <w:pPr>
                                    <w:pStyle w:val="32"/>
                                    <w:spacing w:before="3"/>
                                    <w:rPr>
                                      <w:sz w:val="28"/>
                                    </w:rPr>
                                  </w:pPr>
                                </w:p>
                                <w:p>
                                  <w:pPr>
                                    <w:pStyle w:val="32"/>
                                    <w:tabs>
                                      <w:tab w:val="left" w:pos="958"/>
                                    </w:tabs>
                                    <w:ind w:left="432"/>
                                    <w:rPr>
                                      <w:sz w:val="21"/>
                                    </w:rPr>
                                  </w:pPr>
                                  <w:r>
                                    <w:rPr>
                                      <w:sz w:val="21"/>
                                    </w:rPr>
                                    <w:t>名</w:t>
                                  </w:r>
                                  <w:r>
                                    <w:rPr>
                                      <w:sz w:val="21"/>
                                    </w:rPr>
                                    <w:tab/>
                                  </w:r>
                                  <w:r>
                                    <w:rPr>
                                      <w:sz w:val="21"/>
                                    </w:rPr>
                                    <w:t>称</w:t>
                                  </w:r>
                                </w:p>
                              </w:tc>
                              <w:tc>
                                <w:tcPr>
                                  <w:tcW w:w="3754" w:type="dxa"/>
                                  <w:gridSpan w:val="2"/>
                                </w:tcPr>
                                <w:p>
                                  <w:pPr>
                                    <w:pStyle w:val="32"/>
                                    <w:spacing w:before="172"/>
                                    <w:ind w:left="94" w:right="79"/>
                                    <w:jc w:val="center"/>
                                    <w:rPr>
                                      <w:sz w:val="21"/>
                                    </w:rPr>
                                  </w:pPr>
                                  <w:r>
                                    <w:rPr>
                                      <w:sz w:val="21"/>
                                    </w:rPr>
                                    <w:t>货物型号规格、标准及配置等（或服务内容、标准）</w:t>
                                  </w:r>
                                </w:p>
                              </w:tc>
                              <w:tc>
                                <w:tcPr>
                                  <w:tcW w:w="980" w:type="dxa"/>
                                  <w:gridSpan w:val="2"/>
                                </w:tcPr>
                                <w:p>
                                  <w:pPr>
                                    <w:pStyle w:val="32"/>
                                    <w:spacing w:before="3"/>
                                    <w:rPr>
                                      <w:sz w:val="28"/>
                                    </w:rPr>
                                  </w:pPr>
                                </w:p>
                                <w:p>
                                  <w:pPr>
                                    <w:pStyle w:val="32"/>
                                    <w:ind w:left="279"/>
                                    <w:rPr>
                                      <w:sz w:val="21"/>
                                    </w:rPr>
                                  </w:pPr>
                                  <w:r>
                                    <w:rPr>
                                      <w:sz w:val="21"/>
                                    </w:rPr>
                                    <w:t>数量</w:t>
                                  </w:r>
                                </w:p>
                              </w:tc>
                              <w:tc>
                                <w:tcPr>
                                  <w:tcW w:w="723" w:type="dxa"/>
                                  <w:tcBorders>
                                    <w:right w:val="nil"/>
                                  </w:tcBorders>
                                </w:tcPr>
                                <w:p>
                                  <w:pPr>
                                    <w:pStyle w:val="32"/>
                                    <w:ind w:left="279"/>
                                    <w:rPr>
                                      <w:sz w:val="21"/>
                                    </w:rPr>
                                  </w:pPr>
                                </w:p>
                                <w:p>
                                  <w:pPr>
                                    <w:pStyle w:val="32"/>
                                    <w:ind w:left="279"/>
                                    <w:rPr>
                                      <w:sz w:val="21"/>
                                    </w:rPr>
                                  </w:pPr>
                                  <w:r>
                                    <w:rPr>
                                      <w:sz w:val="21"/>
                                    </w:rPr>
                                    <w:t>金</w:t>
                                  </w:r>
                                </w:p>
                              </w:tc>
                              <w:tc>
                                <w:tcPr>
                                  <w:tcW w:w="619" w:type="dxa"/>
                                  <w:tcBorders>
                                    <w:left w:val="nil"/>
                                  </w:tcBorders>
                                </w:tcPr>
                                <w:p>
                                  <w:pPr>
                                    <w:pStyle w:val="32"/>
                                    <w:ind w:left="279"/>
                                    <w:rPr>
                                      <w:sz w:val="21"/>
                                    </w:rPr>
                                  </w:pPr>
                                </w:p>
                                <w:p>
                                  <w:pPr>
                                    <w:pStyle w:val="32"/>
                                    <w:ind w:left="279"/>
                                    <w:rPr>
                                      <w:sz w:val="21"/>
                                    </w:rPr>
                                  </w:pPr>
                                  <w:r>
                                    <w:rPr>
                                      <w:sz w:val="21"/>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858" w:type="dxa"/>
                                  <w:gridSpan w:val="4"/>
                                </w:tcPr>
                                <w:p>
                                  <w:pPr>
                                    <w:pStyle w:val="32"/>
                                    <w:tabs>
                                      <w:tab w:val="left" w:pos="1794"/>
                                    </w:tabs>
                                    <w:spacing w:before="165"/>
                                    <w:ind w:left="9"/>
                                    <w:rPr>
                                      <w:sz w:val="21"/>
                                    </w:rPr>
                                  </w:pPr>
                                  <w:r>
                                    <w:rPr>
                                      <w:sz w:val="21"/>
                                    </w:rPr>
                                    <w:t>合</w:t>
                                  </w:r>
                                  <w:r>
                                    <w:rPr>
                                      <w:sz w:val="21"/>
                                    </w:rPr>
                                    <w:tab/>
                                  </w:r>
                                  <w:r>
                                    <w:rPr>
                                      <w:sz w:val="21"/>
                                    </w:rPr>
                                    <w:t>计</w:t>
                                  </w: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4407" w:type="dxa"/>
                                  <w:gridSpan w:val="3"/>
                                  <w:tcBorders>
                                    <w:right w:val="nil"/>
                                  </w:tcBorders>
                                </w:tcPr>
                                <w:p>
                                  <w:pPr>
                                    <w:pStyle w:val="32"/>
                                    <w:spacing w:before="8"/>
                                    <w:rPr>
                                      <w:sz w:val="18"/>
                                    </w:rPr>
                                  </w:pPr>
                                </w:p>
                                <w:p>
                                  <w:pPr>
                                    <w:pStyle w:val="32"/>
                                    <w:tabs>
                                      <w:tab w:val="left" w:pos="2006"/>
                                      <w:tab w:val="left" w:pos="2951"/>
                                      <w:tab w:val="left" w:pos="3897"/>
                                    </w:tabs>
                                    <w:ind w:left="11"/>
                                    <w:rPr>
                                      <w:sz w:val="21"/>
                                    </w:rPr>
                                  </w:pPr>
                                  <w:r>
                                    <w:rPr>
                                      <w:sz w:val="21"/>
                                    </w:rPr>
                                    <w:t>合计大写金额：</w:t>
                                  </w:r>
                                  <w:r>
                                    <w:rPr>
                                      <w:sz w:val="21"/>
                                    </w:rPr>
                                    <w:tab/>
                                  </w:r>
                                  <w:r>
                                    <w:rPr>
                                      <w:sz w:val="21"/>
                                    </w:rPr>
                                    <w:t>仟</w:t>
                                  </w:r>
                                  <w:r>
                                    <w:rPr>
                                      <w:sz w:val="21"/>
                                    </w:rPr>
                                    <w:tab/>
                                  </w:r>
                                  <w:r>
                                    <w:rPr>
                                      <w:sz w:val="21"/>
                                    </w:rPr>
                                    <w:t>佰</w:t>
                                  </w:r>
                                  <w:r>
                                    <w:rPr>
                                      <w:sz w:val="21"/>
                                    </w:rPr>
                                    <w:tab/>
                                  </w:r>
                                  <w:r>
                                    <w:rPr>
                                      <w:sz w:val="21"/>
                                    </w:rPr>
                                    <w:t>拾</w:t>
                                  </w:r>
                                </w:p>
                              </w:tc>
                              <w:tc>
                                <w:tcPr>
                                  <w:tcW w:w="4154" w:type="dxa"/>
                                  <w:gridSpan w:val="4"/>
                                  <w:tcBorders>
                                    <w:left w:val="nil"/>
                                    <w:right w:val="nil"/>
                                  </w:tcBorders>
                                </w:tcPr>
                                <w:p>
                                  <w:pPr>
                                    <w:pStyle w:val="32"/>
                                    <w:spacing w:before="8"/>
                                    <w:rPr>
                                      <w:sz w:val="18"/>
                                    </w:rPr>
                                  </w:pPr>
                                </w:p>
                                <w:p>
                                  <w:pPr>
                                    <w:pStyle w:val="32"/>
                                    <w:tabs>
                                      <w:tab w:val="left" w:pos="1389"/>
                                      <w:tab w:val="left" w:pos="2334"/>
                                      <w:tab w:val="left" w:pos="3280"/>
                                    </w:tabs>
                                    <w:ind w:left="443"/>
                                    <w:rPr>
                                      <w:sz w:val="21"/>
                                    </w:rPr>
                                  </w:pPr>
                                  <w:r>
                                    <w:rPr>
                                      <w:sz w:val="21"/>
                                    </w:rPr>
                                    <w:t>万</w:t>
                                  </w:r>
                                  <w:r>
                                    <w:rPr>
                                      <w:sz w:val="21"/>
                                    </w:rPr>
                                    <w:tab/>
                                  </w:r>
                                  <w:r>
                                    <w:rPr>
                                      <w:sz w:val="21"/>
                                    </w:rPr>
                                    <w:t>仟</w:t>
                                  </w:r>
                                  <w:r>
                                    <w:rPr>
                                      <w:sz w:val="21"/>
                                    </w:rPr>
                                    <w:tab/>
                                  </w:r>
                                  <w:r>
                                    <w:rPr>
                                      <w:sz w:val="21"/>
                                    </w:rPr>
                                    <w:t>佰</w:t>
                                  </w:r>
                                  <w:r>
                                    <w:rPr>
                                      <w:sz w:val="21"/>
                                    </w:rPr>
                                    <w:tab/>
                                  </w:r>
                                  <w:r>
                                    <w:rPr>
                                      <w:sz w:val="21"/>
                                    </w:rPr>
                                    <w:t>拾</w:t>
                                  </w:r>
                                </w:p>
                              </w:tc>
                              <w:tc>
                                <w:tcPr>
                                  <w:tcW w:w="619" w:type="dxa"/>
                                  <w:tcBorders>
                                    <w:left w:val="nil"/>
                                  </w:tcBorders>
                                </w:tcPr>
                                <w:p>
                                  <w:pPr>
                                    <w:pStyle w:val="32"/>
                                    <w:spacing w:before="8"/>
                                    <w:rPr>
                                      <w:sz w:val="18"/>
                                    </w:rPr>
                                  </w:pPr>
                                </w:p>
                                <w:p>
                                  <w:pPr>
                                    <w:pStyle w:val="32"/>
                                    <w:ind w:left="69"/>
                                    <w:rPr>
                                      <w:sz w:val="21"/>
                                    </w:rPr>
                                  </w:pPr>
                                  <w:r>
                                    <w:rPr>
                                      <w:w w:val="99"/>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1499" w:type="dxa"/>
                                </w:tcPr>
                                <w:p>
                                  <w:pPr>
                                    <w:pStyle w:val="32"/>
                                    <w:spacing w:before="7"/>
                                    <w:rPr>
                                      <w:sz w:val="18"/>
                                    </w:rPr>
                                  </w:pPr>
                                </w:p>
                                <w:p>
                                  <w:pPr>
                                    <w:pStyle w:val="32"/>
                                    <w:ind w:left="11"/>
                                    <w:rPr>
                                      <w:sz w:val="21"/>
                                    </w:rPr>
                                  </w:pPr>
                                  <w:r>
                                    <w:rPr>
                                      <w:sz w:val="21"/>
                                    </w:rPr>
                                    <w:t>实际供货日期</w:t>
                                  </w:r>
                                </w:p>
                              </w:tc>
                              <w:tc>
                                <w:tcPr>
                                  <w:tcW w:w="2908" w:type="dxa"/>
                                  <w:gridSpan w:val="2"/>
                                </w:tcPr>
                                <w:p>
                                  <w:pPr>
                                    <w:pStyle w:val="32"/>
                                    <w:rPr>
                                      <w:rFonts w:ascii="Times New Roman"/>
                                      <w:sz w:val="20"/>
                                    </w:rPr>
                                  </w:pPr>
                                </w:p>
                              </w:tc>
                              <w:tc>
                                <w:tcPr>
                                  <w:tcW w:w="2651" w:type="dxa"/>
                                  <w:gridSpan w:val="2"/>
                                </w:tcPr>
                                <w:p>
                                  <w:pPr>
                                    <w:pStyle w:val="32"/>
                                    <w:spacing w:before="7"/>
                                    <w:rPr>
                                      <w:sz w:val="18"/>
                                    </w:rPr>
                                  </w:pPr>
                                </w:p>
                                <w:p>
                                  <w:pPr>
                                    <w:pStyle w:val="32"/>
                                    <w:ind w:left="505"/>
                                    <w:rPr>
                                      <w:sz w:val="21"/>
                                    </w:rPr>
                                  </w:pPr>
                                  <w:r>
                                    <w:rPr>
                                      <w:sz w:val="21"/>
                                    </w:rPr>
                                    <w:t>合同交货验收日期</w:t>
                                  </w:r>
                                </w:p>
                              </w:tc>
                              <w:tc>
                                <w:tcPr>
                                  <w:tcW w:w="2122" w:type="dxa"/>
                                  <w:gridSpan w:val="3"/>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 w:hRule="atLeast"/>
                              </w:trPr>
                              <w:tc>
                                <w:tcPr>
                                  <w:tcW w:w="1499" w:type="dxa"/>
                                </w:tcPr>
                                <w:p>
                                  <w:pPr>
                                    <w:pStyle w:val="32"/>
                                    <w:rPr>
                                      <w:sz w:val="20"/>
                                    </w:rPr>
                                  </w:pPr>
                                </w:p>
                                <w:p>
                                  <w:pPr>
                                    <w:pStyle w:val="32"/>
                                    <w:spacing w:before="5"/>
                                    <w:rPr>
                                      <w:sz w:val="25"/>
                                    </w:rPr>
                                  </w:pPr>
                                </w:p>
                                <w:p>
                                  <w:pPr>
                                    <w:pStyle w:val="32"/>
                                    <w:ind w:left="107"/>
                                    <w:rPr>
                                      <w:sz w:val="21"/>
                                    </w:rPr>
                                  </w:pPr>
                                  <w:r>
                                    <w:rPr>
                                      <w:sz w:val="21"/>
                                    </w:rPr>
                                    <w:t>验收具体内容</w:t>
                                  </w:r>
                                </w:p>
                              </w:tc>
                              <w:tc>
                                <w:tcPr>
                                  <w:tcW w:w="7681" w:type="dxa"/>
                                  <w:gridSpan w:val="7"/>
                                </w:tcPr>
                                <w:p>
                                  <w:pPr>
                                    <w:pStyle w:val="32"/>
                                    <w:spacing w:before="4"/>
                                    <w:ind w:left="106"/>
                                    <w:rPr>
                                      <w:sz w:val="21"/>
                                    </w:rPr>
                                  </w:pPr>
                                  <w:r>
                                    <w:rPr>
                                      <w:sz w:val="21"/>
                                    </w:rPr>
                                    <w:t>（应按采购合同、招标文件、投标投标文件及验收方案等进行验收；并核对中标或  者成交人在安装调试等方面是否违反合同约定或服务规范要求、提供的质量保证证明材料是否齐全、应有的配件及附件是否达到合同约定等。可附件)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499" w:type="dxa"/>
                                  <w:vMerge w:val="restart"/>
                                </w:tcPr>
                                <w:p>
                                  <w:pPr>
                                    <w:pStyle w:val="32"/>
                                    <w:rPr>
                                      <w:sz w:val="20"/>
                                    </w:rPr>
                                  </w:pPr>
                                </w:p>
                                <w:p>
                                  <w:pPr>
                                    <w:pStyle w:val="32"/>
                                    <w:rPr>
                                      <w:sz w:val="20"/>
                                    </w:rPr>
                                  </w:pPr>
                                </w:p>
                                <w:p>
                                  <w:pPr>
                                    <w:pStyle w:val="32"/>
                                    <w:rPr>
                                      <w:sz w:val="20"/>
                                    </w:rPr>
                                  </w:pPr>
                                </w:p>
                                <w:p>
                                  <w:pPr>
                                    <w:pStyle w:val="32"/>
                                    <w:spacing w:before="8"/>
                                    <w:rPr>
                                      <w:sz w:val="18"/>
                                    </w:rPr>
                                  </w:pPr>
                                </w:p>
                                <w:p>
                                  <w:pPr>
                                    <w:pStyle w:val="32"/>
                                    <w:spacing w:before="1"/>
                                    <w:ind w:left="107"/>
                                    <w:rPr>
                                      <w:sz w:val="21"/>
                                    </w:rPr>
                                  </w:pPr>
                                  <w:r>
                                    <w:rPr>
                                      <w:sz w:val="21"/>
                                    </w:rPr>
                                    <w:t>验收小组意见</w:t>
                                  </w:r>
                                </w:p>
                              </w:tc>
                              <w:tc>
                                <w:tcPr>
                                  <w:tcW w:w="7681" w:type="dxa"/>
                                  <w:gridSpan w:val="7"/>
                                  <w:tcBorders>
                                    <w:bottom w:val="single" w:color="000000" w:sz="4" w:space="0"/>
                                  </w:tcBorders>
                                </w:tcPr>
                                <w:p>
                                  <w:pPr>
                                    <w:pStyle w:val="32"/>
                                    <w:rPr>
                                      <w:sz w:val="20"/>
                                    </w:rPr>
                                  </w:pPr>
                                </w:p>
                                <w:p>
                                  <w:pPr>
                                    <w:pStyle w:val="32"/>
                                    <w:spacing w:before="164"/>
                                    <w:ind w:left="10"/>
                                    <w:rPr>
                                      <w:sz w:val="21"/>
                                    </w:rPr>
                                  </w:pPr>
                                  <w:r>
                                    <w:rPr>
                                      <w:sz w:val="21"/>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4" w:hRule="atLeast"/>
                              </w:trPr>
                              <w:tc>
                                <w:tcPr>
                                  <w:tcW w:w="1499" w:type="dxa"/>
                                  <w:vMerge w:val="continue"/>
                                  <w:tcBorders>
                                    <w:top w:val="nil"/>
                                  </w:tcBorders>
                                </w:tcPr>
                                <w:p>
                                  <w:pPr>
                                    <w:rPr>
                                      <w:sz w:val="2"/>
                                      <w:szCs w:val="2"/>
                                    </w:rPr>
                                  </w:pPr>
                                </w:p>
                              </w:tc>
                              <w:tc>
                                <w:tcPr>
                                  <w:tcW w:w="2908" w:type="dxa"/>
                                  <w:gridSpan w:val="2"/>
                                  <w:tcBorders>
                                    <w:top w:val="single" w:color="000000" w:sz="4" w:space="0"/>
                                    <w:right w:val="nil"/>
                                  </w:tcBorders>
                                </w:tcPr>
                                <w:p>
                                  <w:pPr>
                                    <w:pStyle w:val="32"/>
                                    <w:spacing w:before="147"/>
                                    <w:ind w:left="10"/>
                                    <w:rPr>
                                      <w:sz w:val="21"/>
                                    </w:rPr>
                                  </w:pPr>
                                  <w:r>
                                    <w:rPr>
                                      <w:sz w:val="21"/>
                                    </w:rPr>
                                    <w:t>有异议的意见和说明理由：</w:t>
                                  </w:r>
                                </w:p>
                              </w:tc>
                              <w:tc>
                                <w:tcPr>
                                  <w:tcW w:w="4154" w:type="dxa"/>
                                  <w:gridSpan w:val="4"/>
                                  <w:tcBorders>
                                    <w:top w:val="single" w:color="000000" w:sz="4" w:space="0"/>
                                    <w:left w:val="nil"/>
                                    <w:right w:val="nil"/>
                                  </w:tcBorders>
                                </w:tcPr>
                                <w:p>
                                  <w:pPr>
                                    <w:pStyle w:val="32"/>
                                    <w:rPr>
                                      <w:sz w:val="20"/>
                                    </w:rPr>
                                  </w:pPr>
                                </w:p>
                                <w:p>
                                  <w:pPr>
                                    <w:pStyle w:val="32"/>
                                    <w:rPr>
                                      <w:sz w:val="20"/>
                                    </w:rPr>
                                  </w:pPr>
                                </w:p>
                                <w:p>
                                  <w:pPr>
                                    <w:pStyle w:val="32"/>
                                    <w:spacing w:before="9"/>
                                    <w:rPr>
                                      <w:sz w:val="27"/>
                                    </w:rPr>
                                  </w:pPr>
                                </w:p>
                                <w:p>
                                  <w:pPr>
                                    <w:pStyle w:val="32"/>
                                    <w:ind w:left="1101"/>
                                    <w:rPr>
                                      <w:sz w:val="21"/>
                                    </w:rPr>
                                  </w:pPr>
                                  <w:r>
                                    <w:rPr>
                                      <w:sz w:val="21"/>
                                    </w:rPr>
                                    <w:t>签字：</w:t>
                                  </w:r>
                                </w:p>
                              </w:tc>
                              <w:tc>
                                <w:tcPr>
                                  <w:tcW w:w="619" w:type="dxa"/>
                                  <w:tcBorders>
                                    <w:top w:val="single" w:color="000000" w:sz="4" w:space="0"/>
                                    <w:left w:val="nil"/>
                                  </w:tcBorders>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9180" w:type="dxa"/>
                                  <w:gridSpan w:val="8"/>
                                </w:tcPr>
                                <w:p>
                                  <w:pPr>
                                    <w:pStyle w:val="32"/>
                                    <w:spacing w:before="177"/>
                                    <w:ind w:left="107"/>
                                    <w:rPr>
                                      <w:sz w:val="21"/>
                                    </w:rPr>
                                  </w:pPr>
                                  <w:r>
                                    <w:rPr>
                                      <w:sz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9180" w:type="dxa"/>
                                  <w:gridSpan w:val="8"/>
                                </w:tcPr>
                                <w:p>
                                  <w:pPr>
                                    <w:pStyle w:val="32"/>
                                    <w:spacing w:before="141"/>
                                    <w:ind w:left="107"/>
                                    <w:rPr>
                                      <w:sz w:val="21"/>
                                    </w:rPr>
                                  </w:pPr>
                                  <w:r>
                                    <w:rPr>
                                      <w:sz w:val="21"/>
                                    </w:rPr>
                                    <w:t>监督人员或其他相关人员签字：</w:t>
                                  </w:r>
                                </w:p>
                                <w:p>
                                  <w:pPr>
                                    <w:pStyle w:val="32"/>
                                    <w:rPr>
                                      <w:sz w:val="20"/>
                                    </w:rPr>
                                  </w:pPr>
                                </w:p>
                                <w:p>
                                  <w:pPr>
                                    <w:pStyle w:val="32"/>
                                    <w:spacing w:before="2"/>
                                    <w:rPr>
                                      <w:sz w:val="15"/>
                                    </w:rPr>
                                  </w:pPr>
                                </w:p>
                                <w:p>
                                  <w:pPr>
                                    <w:pStyle w:val="32"/>
                                    <w:spacing w:before="1"/>
                                    <w:ind w:left="172"/>
                                    <w:rPr>
                                      <w:sz w:val="21"/>
                                    </w:rPr>
                                  </w:pPr>
                                  <w:r>
                                    <w:rPr>
                                      <w:sz w:val="21"/>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4407" w:type="dxa"/>
                                  <w:gridSpan w:val="3"/>
                                  <w:tcBorders>
                                    <w:right w:val="nil"/>
                                  </w:tcBorders>
                                </w:tcPr>
                                <w:p>
                                  <w:pPr>
                                    <w:pStyle w:val="32"/>
                                    <w:spacing w:before="142"/>
                                    <w:ind w:left="172"/>
                                    <w:rPr>
                                      <w:sz w:val="21"/>
                                    </w:rPr>
                                  </w:pPr>
                                  <w:r>
                                    <w:rPr>
                                      <w:sz w:val="21"/>
                                    </w:rPr>
                                    <w:t>中标或者成交人负责人签字或盖章：</w:t>
                                  </w:r>
                                </w:p>
                                <w:p>
                                  <w:pPr>
                                    <w:pStyle w:val="32"/>
                                    <w:rPr>
                                      <w:sz w:val="20"/>
                                    </w:rPr>
                                  </w:pPr>
                                </w:p>
                                <w:p>
                                  <w:pPr>
                                    <w:pStyle w:val="32"/>
                                    <w:spacing w:before="2"/>
                                    <w:rPr>
                                      <w:sz w:val="15"/>
                                    </w:rPr>
                                  </w:pPr>
                                </w:p>
                                <w:p>
                                  <w:pPr>
                                    <w:pStyle w:val="32"/>
                                    <w:tabs>
                                      <w:tab w:val="left" w:pos="2942"/>
                                      <w:tab w:val="left" w:pos="3362"/>
                                      <w:tab w:val="left" w:pos="3782"/>
                                    </w:tabs>
                                    <w:ind w:left="107"/>
                                    <w:rPr>
                                      <w:sz w:val="21"/>
                                    </w:rPr>
                                  </w:pPr>
                                  <w:r>
                                    <w:rPr>
                                      <w:sz w:val="21"/>
                                    </w:rPr>
                                    <w:t>联系电话：</w:t>
                                  </w:r>
                                  <w:r>
                                    <w:rPr>
                                      <w:sz w:val="21"/>
                                    </w:rPr>
                                    <w:tab/>
                                  </w:r>
                                  <w:r>
                                    <w:rPr>
                                      <w:sz w:val="21"/>
                                    </w:rPr>
                                    <w:t>年</w:t>
                                  </w:r>
                                  <w:r>
                                    <w:rPr>
                                      <w:sz w:val="21"/>
                                    </w:rPr>
                                    <w:tab/>
                                  </w:r>
                                  <w:r>
                                    <w:rPr>
                                      <w:sz w:val="21"/>
                                    </w:rPr>
                                    <w:t>月</w:t>
                                  </w:r>
                                  <w:r>
                                    <w:rPr>
                                      <w:sz w:val="21"/>
                                    </w:rPr>
                                    <w:tab/>
                                  </w:r>
                                  <w:r>
                                    <w:rPr>
                                      <w:sz w:val="21"/>
                                    </w:rPr>
                                    <w:t>日</w:t>
                                  </w:r>
                                </w:p>
                              </w:tc>
                              <w:tc>
                                <w:tcPr>
                                  <w:tcW w:w="4154" w:type="dxa"/>
                                  <w:gridSpan w:val="4"/>
                                  <w:tcBorders>
                                    <w:left w:val="nil"/>
                                    <w:right w:val="nil"/>
                                  </w:tcBorders>
                                </w:tcPr>
                                <w:p>
                                  <w:pPr>
                                    <w:pStyle w:val="32"/>
                                    <w:spacing w:before="142"/>
                                    <w:ind w:left="220"/>
                                    <w:rPr>
                                      <w:sz w:val="21"/>
                                    </w:rPr>
                                  </w:pPr>
                                  <w:r>
                                    <w:rPr>
                                      <w:sz w:val="21"/>
                                    </w:rPr>
                                    <w:t>招标人或受托机构的意见（盖章）：</w:t>
                                  </w:r>
                                </w:p>
                                <w:p>
                                  <w:pPr>
                                    <w:pStyle w:val="32"/>
                                    <w:rPr>
                                      <w:sz w:val="20"/>
                                    </w:rPr>
                                  </w:pPr>
                                </w:p>
                                <w:p>
                                  <w:pPr>
                                    <w:pStyle w:val="32"/>
                                    <w:spacing w:before="2"/>
                                    <w:rPr>
                                      <w:sz w:val="15"/>
                                    </w:rPr>
                                  </w:pPr>
                                </w:p>
                                <w:p>
                                  <w:pPr>
                                    <w:pStyle w:val="32"/>
                                    <w:tabs>
                                      <w:tab w:val="left" w:pos="2843"/>
                                      <w:tab w:val="left" w:pos="3369"/>
                                      <w:tab w:val="left" w:pos="3894"/>
                                    </w:tabs>
                                    <w:ind w:left="9"/>
                                    <w:rPr>
                                      <w:sz w:val="21"/>
                                    </w:rPr>
                                  </w:pPr>
                                  <w:r>
                                    <w:rPr>
                                      <w:sz w:val="21"/>
                                    </w:rPr>
                                    <w:t>联系电话：</w:t>
                                  </w:r>
                                  <w:r>
                                    <w:rPr>
                                      <w:sz w:val="21"/>
                                    </w:rPr>
                                    <w:tab/>
                                  </w:r>
                                  <w:r>
                                    <w:rPr>
                                      <w:sz w:val="21"/>
                                    </w:rPr>
                                    <w:t>年</w:t>
                                  </w:r>
                                  <w:r>
                                    <w:rPr>
                                      <w:sz w:val="21"/>
                                    </w:rPr>
                                    <w:tab/>
                                  </w:r>
                                  <w:r>
                                    <w:rPr>
                                      <w:sz w:val="21"/>
                                    </w:rPr>
                                    <w:t>月</w:t>
                                  </w:r>
                                  <w:r>
                                    <w:rPr>
                                      <w:sz w:val="21"/>
                                    </w:rPr>
                                    <w:tab/>
                                  </w:r>
                                  <w:r>
                                    <w:rPr>
                                      <w:sz w:val="21"/>
                                    </w:rPr>
                                    <w:t>日</w:t>
                                  </w:r>
                                </w:p>
                              </w:tc>
                              <w:tc>
                                <w:tcPr>
                                  <w:tcW w:w="619" w:type="dxa"/>
                                  <w:tcBorders>
                                    <w:left w:val="nil"/>
                                  </w:tcBorders>
                                </w:tcPr>
                                <w:p>
                                  <w:pPr>
                                    <w:pStyle w:val="32"/>
                                    <w:rPr>
                                      <w:rFonts w:ascii="Times New Roman"/>
                                      <w:sz w:val="20"/>
                                    </w:rPr>
                                  </w:pPr>
                                </w:p>
                              </w:tc>
                            </w:tr>
                          </w:tbl>
                          <w:p>
                            <w:pPr>
                              <w:pStyle w:val="13"/>
                            </w:pPr>
                          </w:p>
                        </w:txbxContent>
                      </wps:txbx>
                      <wps:bodyPr lIns="0" tIns="0" rIns="0" bIns="0" upright="1"/>
                    </wps:wsp>
                  </a:graphicData>
                </a:graphic>
              </wp:anchor>
            </w:drawing>
          </mc:Choice>
          <mc:Fallback>
            <w:pict>
              <v:shape id="文本框 9" o:spid="_x0000_s1026" o:spt="202" type="#_x0000_t202" style="position:absolute;left:0pt;margin-left:67.65pt;margin-top:66.65pt;height:552.7pt;width:460.45pt;mso-position-horizontal-relative:page;z-index:251665408;mso-width-relative:page;mso-height-relative:page;" filled="f" stroked="f" coordsize="21600,21600" o:gfxdata="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0Fgf/2QAAAA0BAAAPAAAA&#10;AAAAAAEAIAAAACIAAABkcnMvZG93bnJldi54bWxQSwECFAAUAAAACACHTuJAIxc9EqIBAAAlAwAA&#10;DgAAAAAAAAABACAAAAAoAQAAZHJzL2Uyb0RvYy54bWxQSwUGAAAAAAYABgBZAQAAPAUAAAAA&#10;">
                <v:fill on="f" focussize="0,0"/>
                <v:stroke on="f"/>
                <v:imagedata o:title=""/>
                <o:lock v:ext="edit" aspectratio="f"/>
                <v:textbox inset="0mm,0mm,0mm,0mm">
                  <w:txbxContent>
                    <w:tbl>
                      <w:tblPr>
                        <w:tblStyle w:val="23"/>
                        <w:tblW w:w="91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9"/>
                        <w:gridCol w:w="1605"/>
                        <w:gridCol w:w="1303"/>
                        <w:gridCol w:w="2451"/>
                        <w:gridCol w:w="200"/>
                        <w:gridCol w:w="780"/>
                        <w:gridCol w:w="723"/>
                        <w:gridCol w:w="6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3104" w:type="dxa"/>
                            <w:gridSpan w:val="2"/>
                          </w:tcPr>
                          <w:p>
                            <w:pPr>
                              <w:pStyle w:val="32"/>
                              <w:spacing w:before="170"/>
                              <w:ind w:left="1026"/>
                              <w:rPr>
                                <w:sz w:val="21"/>
                              </w:rPr>
                            </w:pPr>
                            <w:r>
                              <w:rPr>
                                <w:sz w:val="21"/>
                              </w:rPr>
                              <w:t>验收方式：</w:t>
                            </w:r>
                          </w:p>
                        </w:tc>
                        <w:tc>
                          <w:tcPr>
                            <w:tcW w:w="6076" w:type="dxa"/>
                            <w:gridSpan w:val="6"/>
                          </w:tcPr>
                          <w:p>
                            <w:pPr>
                              <w:pStyle w:val="32"/>
                              <w:tabs>
                                <w:tab w:val="left" w:pos="4138"/>
                              </w:tabs>
                              <w:spacing w:before="170"/>
                              <w:ind w:left="1304"/>
                              <w:rPr>
                                <w:sz w:val="21"/>
                              </w:rPr>
                            </w:pPr>
                            <w:r>
                              <w:rPr>
                                <w:sz w:val="21"/>
                              </w:rPr>
                              <w:t>□自行验收</w:t>
                            </w:r>
                            <w:r>
                              <w:rPr>
                                <w:sz w:val="21"/>
                              </w:rPr>
                              <w:tab/>
                            </w:r>
                            <w:r>
                              <w:rPr>
                                <w:sz w:val="21"/>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1499" w:type="dxa"/>
                          </w:tcPr>
                          <w:p>
                            <w:pPr>
                              <w:pStyle w:val="32"/>
                              <w:spacing w:before="3"/>
                              <w:rPr>
                                <w:sz w:val="28"/>
                              </w:rPr>
                            </w:pPr>
                          </w:p>
                          <w:p>
                            <w:pPr>
                              <w:pStyle w:val="32"/>
                              <w:ind w:left="518" w:right="500"/>
                              <w:jc w:val="center"/>
                              <w:rPr>
                                <w:sz w:val="21"/>
                              </w:rPr>
                            </w:pPr>
                            <w:r>
                              <w:rPr>
                                <w:sz w:val="21"/>
                              </w:rPr>
                              <w:t>序号</w:t>
                            </w:r>
                          </w:p>
                        </w:tc>
                        <w:tc>
                          <w:tcPr>
                            <w:tcW w:w="1605" w:type="dxa"/>
                          </w:tcPr>
                          <w:p>
                            <w:pPr>
                              <w:pStyle w:val="32"/>
                              <w:spacing w:before="3"/>
                              <w:rPr>
                                <w:sz w:val="28"/>
                              </w:rPr>
                            </w:pPr>
                          </w:p>
                          <w:p>
                            <w:pPr>
                              <w:pStyle w:val="32"/>
                              <w:tabs>
                                <w:tab w:val="left" w:pos="958"/>
                              </w:tabs>
                              <w:ind w:left="432"/>
                              <w:rPr>
                                <w:sz w:val="21"/>
                              </w:rPr>
                            </w:pPr>
                            <w:r>
                              <w:rPr>
                                <w:sz w:val="21"/>
                              </w:rPr>
                              <w:t>名</w:t>
                            </w:r>
                            <w:r>
                              <w:rPr>
                                <w:sz w:val="21"/>
                              </w:rPr>
                              <w:tab/>
                            </w:r>
                            <w:r>
                              <w:rPr>
                                <w:sz w:val="21"/>
                              </w:rPr>
                              <w:t>称</w:t>
                            </w:r>
                          </w:p>
                        </w:tc>
                        <w:tc>
                          <w:tcPr>
                            <w:tcW w:w="3754" w:type="dxa"/>
                            <w:gridSpan w:val="2"/>
                          </w:tcPr>
                          <w:p>
                            <w:pPr>
                              <w:pStyle w:val="32"/>
                              <w:spacing w:before="172"/>
                              <w:ind w:left="94" w:right="79"/>
                              <w:jc w:val="center"/>
                              <w:rPr>
                                <w:sz w:val="21"/>
                              </w:rPr>
                            </w:pPr>
                            <w:r>
                              <w:rPr>
                                <w:sz w:val="21"/>
                              </w:rPr>
                              <w:t>货物型号规格、标准及配置等（或服务内容、标准）</w:t>
                            </w:r>
                          </w:p>
                        </w:tc>
                        <w:tc>
                          <w:tcPr>
                            <w:tcW w:w="980" w:type="dxa"/>
                            <w:gridSpan w:val="2"/>
                          </w:tcPr>
                          <w:p>
                            <w:pPr>
                              <w:pStyle w:val="32"/>
                              <w:spacing w:before="3"/>
                              <w:rPr>
                                <w:sz w:val="28"/>
                              </w:rPr>
                            </w:pPr>
                          </w:p>
                          <w:p>
                            <w:pPr>
                              <w:pStyle w:val="32"/>
                              <w:ind w:left="279"/>
                              <w:rPr>
                                <w:sz w:val="21"/>
                              </w:rPr>
                            </w:pPr>
                            <w:r>
                              <w:rPr>
                                <w:sz w:val="21"/>
                              </w:rPr>
                              <w:t>数量</w:t>
                            </w:r>
                          </w:p>
                        </w:tc>
                        <w:tc>
                          <w:tcPr>
                            <w:tcW w:w="723" w:type="dxa"/>
                            <w:tcBorders>
                              <w:right w:val="nil"/>
                            </w:tcBorders>
                          </w:tcPr>
                          <w:p>
                            <w:pPr>
                              <w:pStyle w:val="32"/>
                              <w:ind w:left="279"/>
                              <w:rPr>
                                <w:sz w:val="21"/>
                              </w:rPr>
                            </w:pPr>
                          </w:p>
                          <w:p>
                            <w:pPr>
                              <w:pStyle w:val="32"/>
                              <w:ind w:left="279"/>
                              <w:rPr>
                                <w:sz w:val="21"/>
                              </w:rPr>
                            </w:pPr>
                            <w:r>
                              <w:rPr>
                                <w:sz w:val="21"/>
                              </w:rPr>
                              <w:t>金</w:t>
                            </w:r>
                          </w:p>
                        </w:tc>
                        <w:tc>
                          <w:tcPr>
                            <w:tcW w:w="619" w:type="dxa"/>
                            <w:tcBorders>
                              <w:left w:val="nil"/>
                            </w:tcBorders>
                          </w:tcPr>
                          <w:p>
                            <w:pPr>
                              <w:pStyle w:val="32"/>
                              <w:ind w:left="279"/>
                              <w:rPr>
                                <w:sz w:val="21"/>
                              </w:rPr>
                            </w:pPr>
                          </w:p>
                          <w:p>
                            <w:pPr>
                              <w:pStyle w:val="32"/>
                              <w:ind w:left="279"/>
                              <w:rPr>
                                <w:sz w:val="21"/>
                              </w:rPr>
                            </w:pPr>
                            <w:r>
                              <w:rPr>
                                <w:sz w:val="21"/>
                              </w:rPr>
                              <w:t>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99" w:type="dxa"/>
                          </w:tcPr>
                          <w:p>
                            <w:pPr>
                              <w:pStyle w:val="32"/>
                              <w:rPr>
                                <w:rFonts w:ascii="Times New Roman"/>
                                <w:sz w:val="20"/>
                              </w:rPr>
                            </w:pPr>
                          </w:p>
                        </w:tc>
                        <w:tc>
                          <w:tcPr>
                            <w:tcW w:w="1605" w:type="dxa"/>
                          </w:tcPr>
                          <w:p>
                            <w:pPr>
                              <w:pStyle w:val="32"/>
                              <w:rPr>
                                <w:rFonts w:ascii="Times New Roman"/>
                                <w:sz w:val="20"/>
                              </w:rPr>
                            </w:pPr>
                          </w:p>
                        </w:tc>
                        <w:tc>
                          <w:tcPr>
                            <w:tcW w:w="3754" w:type="dxa"/>
                            <w:gridSpan w:val="2"/>
                          </w:tcPr>
                          <w:p>
                            <w:pPr>
                              <w:pStyle w:val="32"/>
                              <w:rPr>
                                <w:rFonts w:ascii="Times New Roman"/>
                                <w:sz w:val="20"/>
                              </w:rPr>
                            </w:pP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858" w:type="dxa"/>
                            <w:gridSpan w:val="4"/>
                          </w:tcPr>
                          <w:p>
                            <w:pPr>
                              <w:pStyle w:val="32"/>
                              <w:tabs>
                                <w:tab w:val="left" w:pos="1794"/>
                              </w:tabs>
                              <w:spacing w:before="165"/>
                              <w:ind w:left="9"/>
                              <w:rPr>
                                <w:sz w:val="21"/>
                              </w:rPr>
                            </w:pPr>
                            <w:r>
                              <w:rPr>
                                <w:sz w:val="21"/>
                              </w:rPr>
                              <w:t>合</w:t>
                            </w:r>
                            <w:r>
                              <w:rPr>
                                <w:sz w:val="21"/>
                              </w:rPr>
                              <w:tab/>
                            </w:r>
                            <w:r>
                              <w:rPr>
                                <w:sz w:val="21"/>
                              </w:rPr>
                              <w:t>计</w:t>
                            </w:r>
                          </w:p>
                        </w:tc>
                        <w:tc>
                          <w:tcPr>
                            <w:tcW w:w="980" w:type="dxa"/>
                            <w:gridSpan w:val="2"/>
                          </w:tcPr>
                          <w:p>
                            <w:pPr>
                              <w:pStyle w:val="32"/>
                              <w:rPr>
                                <w:rFonts w:ascii="Times New Roman"/>
                                <w:sz w:val="20"/>
                              </w:rPr>
                            </w:pPr>
                          </w:p>
                        </w:tc>
                        <w:tc>
                          <w:tcPr>
                            <w:tcW w:w="1342" w:type="dxa"/>
                            <w:gridSpan w:val="2"/>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4407" w:type="dxa"/>
                            <w:gridSpan w:val="3"/>
                            <w:tcBorders>
                              <w:right w:val="nil"/>
                            </w:tcBorders>
                          </w:tcPr>
                          <w:p>
                            <w:pPr>
                              <w:pStyle w:val="32"/>
                              <w:spacing w:before="8"/>
                              <w:rPr>
                                <w:sz w:val="18"/>
                              </w:rPr>
                            </w:pPr>
                          </w:p>
                          <w:p>
                            <w:pPr>
                              <w:pStyle w:val="32"/>
                              <w:tabs>
                                <w:tab w:val="left" w:pos="2006"/>
                                <w:tab w:val="left" w:pos="2951"/>
                                <w:tab w:val="left" w:pos="3897"/>
                              </w:tabs>
                              <w:ind w:left="11"/>
                              <w:rPr>
                                <w:sz w:val="21"/>
                              </w:rPr>
                            </w:pPr>
                            <w:r>
                              <w:rPr>
                                <w:sz w:val="21"/>
                              </w:rPr>
                              <w:t>合计大写金额：</w:t>
                            </w:r>
                            <w:r>
                              <w:rPr>
                                <w:sz w:val="21"/>
                              </w:rPr>
                              <w:tab/>
                            </w:r>
                            <w:r>
                              <w:rPr>
                                <w:sz w:val="21"/>
                              </w:rPr>
                              <w:t>仟</w:t>
                            </w:r>
                            <w:r>
                              <w:rPr>
                                <w:sz w:val="21"/>
                              </w:rPr>
                              <w:tab/>
                            </w:r>
                            <w:r>
                              <w:rPr>
                                <w:sz w:val="21"/>
                              </w:rPr>
                              <w:t>佰</w:t>
                            </w:r>
                            <w:r>
                              <w:rPr>
                                <w:sz w:val="21"/>
                              </w:rPr>
                              <w:tab/>
                            </w:r>
                            <w:r>
                              <w:rPr>
                                <w:sz w:val="21"/>
                              </w:rPr>
                              <w:t>拾</w:t>
                            </w:r>
                          </w:p>
                        </w:tc>
                        <w:tc>
                          <w:tcPr>
                            <w:tcW w:w="4154" w:type="dxa"/>
                            <w:gridSpan w:val="4"/>
                            <w:tcBorders>
                              <w:left w:val="nil"/>
                              <w:right w:val="nil"/>
                            </w:tcBorders>
                          </w:tcPr>
                          <w:p>
                            <w:pPr>
                              <w:pStyle w:val="32"/>
                              <w:spacing w:before="8"/>
                              <w:rPr>
                                <w:sz w:val="18"/>
                              </w:rPr>
                            </w:pPr>
                          </w:p>
                          <w:p>
                            <w:pPr>
                              <w:pStyle w:val="32"/>
                              <w:tabs>
                                <w:tab w:val="left" w:pos="1389"/>
                                <w:tab w:val="left" w:pos="2334"/>
                                <w:tab w:val="left" w:pos="3280"/>
                              </w:tabs>
                              <w:ind w:left="443"/>
                              <w:rPr>
                                <w:sz w:val="21"/>
                              </w:rPr>
                            </w:pPr>
                            <w:r>
                              <w:rPr>
                                <w:sz w:val="21"/>
                              </w:rPr>
                              <w:t>万</w:t>
                            </w:r>
                            <w:r>
                              <w:rPr>
                                <w:sz w:val="21"/>
                              </w:rPr>
                              <w:tab/>
                            </w:r>
                            <w:r>
                              <w:rPr>
                                <w:sz w:val="21"/>
                              </w:rPr>
                              <w:t>仟</w:t>
                            </w:r>
                            <w:r>
                              <w:rPr>
                                <w:sz w:val="21"/>
                              </w:rPr>
                              <w:tab/>
                            </w:r>
                            <w:r>
                              <w:rPr>
                                <w:sz w:val="21"/>
                              </w:rPr>
                              <w:t>佰</w:t>
                            </w:r>
                            <w:r>
                              <w:rPr>
                                <w:sz w:val="21"/>
                              </w:rPr>
                              <w:tab/>
                            </w:r>
                            <w:r>
                              <w:rPr>
                                <w:sz w:val="21"/>
                              </w:rPr>
                              <w:t>拾</w:t>
                            </w:r>
                          </w:p>
                        </w:tc>
                        <w:tc>
                          <w:tcPr>
                            <w:tcW w:w="619" w:type="dxa"/>
                            <w:tcBorders>
                              <w:left w:val="nil"/>
                            </w:tcBorders>
                          </w:tcPr>
                          <w:p>
                            <w:pPr>
                              <w:pStyle w:val="32"/>
                              <w:spacing w:before="8"/>
                              <w:rPr>
                                <w:sz w:val="18"/>
                              </w:rPr>
                            </w:pPr>
                          </w:p>
                          <w:p>
                            <w:pPr>
                              <w:pStyle w:val="32"/>
                              <w:ind w:left="69"/>
                              <w:rPr>
                                <w:sz w:val="21"/>
                              </w:rPr>
                            </w:pPr>
                            <w:r>
                              <w:rPr>
                                <w:w w:val="99"/>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1499" w:type="dxa"/>
                          </w:tcPr>
                          <w:p>
                            <w:pPr>
                              <w:pStyle w:val="32"/>
                              <w:spacing w:before="7"/>
                              <w:rPr>
                                <w:sz w:val="18"/>
                              </w:rPr>
                            </w:pPr>
                          </w:p>
                          <w:p>
                            <w:pPr>
                              <w:pStyle w:val="32"/>
                              <w:ind w:left="11"/>
                              <w:rPr>
                                <w:sz w:val="21"/>
                              </w:rPr>
                            </w:pPr>
                            <w:r>
                              <w:rPr>
                                <w:sz w:val="21"/>
                              </w:rPr>
                              <w:t>实际供货日期</w:t>
                            </w:r>
                          </w:p>
                        </w:tc>
                        <w:tc>
                          <w:tcPr>
                            <w:tcW w:w="2908" w:type="dxa"/>
                            <w:gridSpan w:val="2"/>
                          </w:tcPr>
                          <w:p>
                            <w:pPr>
                              <w:pStyle w:val="32"/>
                              <w:rPr>
                                <w:rFonts w:ascii="Times New Roman"/>
                                <w:sz w:val="20"/>
                              </w:rPr>
                            </w:pPr>
                          </w:p>
                        </w:tc>
                        <w:tc>
                          <w:tcPr>
                            <w:tcW w:w="2651" w:type="dxa"/>
                            <w:gridSpan w:val="2"/>
                          </w:tcPr>
                          <w:p>
                            <w:pPr>
                              <w:pStyle w:val="32"/>
                              <w:spacing w:before="7"/>
                              <w:rPr>
                                <w:sz w:val="18"/>
                              </w:rPr>
                            </w:pPr>
                          </w:p>
                          <w:p>
                            <w:pPr>
                              <w:pStyle w:val="32"/>
                              <w:ind w:left="505"/>
                              <w:rPr>
                                <w:sz w:val="21"/>
                              </w:rPr>
                            </w:pPr>
                            <w:r>
                              <w:rPr>
                                <w:sz w:val="21"/>
                              </w:rPr>
                              <w:t>合同交货验收日期</w:t>
                            </w:r>
                          </w:p>
                        </w:tc>
                        <w:tc>
                          <w:tcPr>
                            <w:tcW w:w="2122" w:type="dxa"/>
                            <w:gridSpan w:val="3"/>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0" w:hRule="atLeast"/>
                        </w:trPr>
                        <w:tc>
                          <w:tcPr>
                            <w:tcW w:w="1499" w:type="dxa"/>
                          </w:tcPr>
                          <w:p>
                            <w:pPr>
                              <w:pStyle w:val="32"/>
                              <w:rPr>
                                <w:sz w:val="20"/>
                              </w:rPr>
                            </w:pPr>
                          </w:p>
                          <w:p>
                            <w:pPr>
                              <w:pStyle w:val="32"/>
                              <w:spacing w:before="5"/>
                              <w:rPr>
                                <w:sz w:val="25"/>
                              </w:rPr>
                            </w:pPr>
                          </w:p>
                          <w:p>
                            <w:pPr>
                              <w:pStyle w:val="32"/>
                              <w:ind w:left="107"/>
                              <w:rPr>
                                <w:sz w:val="21"/>
                              </w:rPr>
                            </w:pPr>
                            <w:r>
                              <w:rPr>
                                <w:sz w:val="21"/>
                              </w:rPr>
                              <w:t>验收具体内容</w:t>
                            </w:r>
                          </w:p>
                        </w:tc>
                        <w:tc>
                          <w:tcPr>
                            <w:tcW w:w="7681" w:type="dxa"/>
                            <w:gridSpan w:val="7"/>
                          </w:tcPr>
                          <w:p>
                            <w:pPr>
                              <w:pStyle w:val="32"/>
                              <w:spacing w:before="4"/>
                              <w:ind w:left="106"/>
                              <w:rPr>
                                <w:sz w:val="21"/>
                              </w:rPr>
                            </w:pPr>
                            <w:r>
                              <w:rPr>
                                <w:sz w:val="21"/>
                              </w:rPr>
                              <w:t>（应按采购合同、招标文件、投标投标文件及验收方案等进行验收；并核对中标或  者成交人在安装调试等方面是否违反合同约定或服务规范要求、提供的质量保证证明材料是否齐全、应有的配件及附件是否达到合同约定等。可附件)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499" w:type="dxa"/>
                            <w:vMerge w:val="restart"/>
                          </w:tcPr>
                          <w:p>
                            <w:pPr>
                              <w:pStyle w:val="32"/>
                              <w:rPr>
                                <w:sz w:val="20"/>
                              </w:rPr>
                            </w:pPr>
                          </w:p>
                          <w:p>
                            <w:pPr>
                              <w:pStyle w:val="32"/>
                              <w:rPr>
                                <w:sz w:val="20"/>
                              </w:rPr>
                            </w:pPr>
                          </w:p>
                          <w:p>
                            <w:pPr>
                              <w:pStyle w:val="32"/>
                              <w:rPr>
                                <w:sz w:val="20"/>
                              </w:rPr>
                            </w:pPr>
                          </w:p>
                          <w:p>
                            <w:pPr>
                              <w:pStyle w:val="32"/>
                              <w:spacing w:before="8"/>
                              <w:rPr>
                                <w:sz w:val="18"/>
                              </w:rPr>
                            </w:pPr>
                          </w:p>
                          <w:p>
                            <w:pPr>
                              <w:pStyle w:val="32"/>
                              <w:spacing w:before="1"/>
                              <w:ind w:left="107"/>
                              <w:rPr>
                                <w:sz w:val="21"/>
                              </w:rPr>
                            </w:pPr>
                            <w:r>
                              <w:rPr>
                                <w:sz w:val="21"/>
                              </w:rPr>
                              <w:t>验收小组意见</w:t>
                            </w:r>
                          </w:p>
                        </w:tc>
                        <w:tc>
                          <w:tcPr>
                            <w:tcW w:w="7681" w:type="dxa"/>
                            <w:gridSpan w:val="7"/>
                            <w:tcBorders>
                              <w:bottom w:val="single" w:color="000000" w:sz="4" w:space="0"/>
                            </w:tcBorders>
                          </w:tcPr>
                          <w:p>
                            <w:pPr>
                              <w:pStyle w:val="32"/>
                              <w:rPr>
                                <w:sz w:val="20"/>
                              </w:rPr>
                            </w:pPr>
                          </w:p>
                          <w:p>
                            <w:pPr>
                              <w:pStyle w:val="32"/>
                              <w:spacing w:before="164"/>
                              <w:ind w:left="10"/>
                              <w:rPr>
                                <w:sz w:val="21"/>
                              </w:rPr>
                            </w:pPr>
                            <w:r>
                              <w:rPr>
                                <w:sz w:val="21"/>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4" w:hRule="atLeast"/>
                        </w:trPr>
                        <w:tc>
                          <w:tcPr>
                            <w:tcW w:w="1499" w:type="dxa"/>
                            <w:vMerge w:val="continue"/>
                            <w:tcBorders>
                              <w:top w:val="nil"/>
                            </w:tcBorders>
                          </w:tcPr>
                          <w:p>
                            <w:pPr>
                              <w:rPr>
                                <w:sz w:val="2"/>
                                <w:szCs w:val="2"/>
                              </w:rPr>
                            </w:pPr>
                          </w:p>
                        </w:tc>
                        <w:tc>
                          <w:tcPr>
                            <w:tcW w:w="2908" w:type="dxa"/>
                            <w:gridSpan w:val="2"/>
                            <w:tcBorders>
                              <w:top w:val="single" w:color="000000" w:sz="4" w:space="0"/>
                              <w:right w:val="nil"/>
                            </w:tcBorders>
                          </w:tcPr>
                          <w:p>
                            <w:pPr>
                              <w:pStyle w:val="32"/>
                              <w:spacing w:before="147"/>
                              <w:ind w:left="10"/>
                              <w:rPr>
                                <w:sz w:val="21"/>
                              </w:rPr>
                            </w:pPr>
                            <w:r>
                              <w:rPr>
                                <w:sz w:val="21"/>
                              </w:rPr>
                              <w:t>有异议的意见和说明理由：</w:t>
                            </w:r>
                          </w:p>
                        </w:tc>
                        <w:tc>
                          <w:tcPr>
                            <w:tcW w:w="4154" w:type="dxa"/>
                            <w:gridSpan w:val="4"/>
                            <w:tcBorders>
                              <w:top w:val="single" w:color="000000" w:sz="4" w:space="0"/>
                              <w:left w:val="nil"/>
                              <w:right w:val="nil"/>
                            </w:tcBorders>
                          </w:tcPr>
                          <w:p>
                            <w:pPr>
                              <w:pStyle w:val="32"/>
                              <w:rPr>
                                <w:sz w:val="20"/>
                              </w:rPr>
                            </w:pPr>
                          </w:p>
                          <w:p>
                            <w:pPr>
                              <w:pStyle w:val="32"/>
                              <w:rPr>
                                <w:sz w:val="20"/>
                              </w:rPr>
                            </w:pPr>
                          </w:p>
                          <w:p>
                            <w:pPr>
                              <w:pStyle w:val="32"/>
                              <w:spacing w:before="9"/>
                              <w:rPr>
                                <w:sz w:val="27"/>
                              </w:rPr>
                            </w:pPr>
                          </w:p>
                          <w:p>
                            <w:pPr>
                              <w:pStyle w:val="32"/>
                              <w:ind w:left="1101"/>
                              <w:rPr>
                                <w:sz w:val="21"/>
                              </w:rPr>
                            </w:pPr>
                            <w:r>
                              <w:rPr>
                                <w:sz w:val="21"/>
                              </w:rPr>
                              <w:t>签字：</w:t>
                            </w:r>
                          </w:p>
                        </w:tc>
                        <w:tc>
                          <w:tcPr>
                            <w:tcW w:w="619" w:type="dxa"/>
                            <w:tcBorders>
                              <w:top w:val="single" w:color="000000" w:sz="4" w:space="0"/>
                              <w:left w:val="nil"/>
                            </w:tcBorders>
                          </w:tcPr>
                          <w:p>
                            <w:pPr>
                              <w:pStyle w:val="3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9180" w:type="dxa"/>
                            <w:gridSpan w:val="8"/>
                          </w:tcPr>
                          <w:p>
                            <w:pPr>
                              <w:pStyle w:val="32"/>
                              <w:spacing w:before="177"/>
                              <w:ind w:left="107"/>
                              <w:rPr>
                                <w:sz w:val="21"/>
                              </w:rPr>
                            </w:pPr>
                            <w:r>
                              <w:rPr>
                                <w:sz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9180" w:type="dxa"/>
                            <w:gridSpan w:val="8"/>
                          </w:tcPr>
                          <w:p>
                            <w:pPr>
                              <w:pStyle w:val="32"/>
                              <w:spacing w:before="141"/>
                              <w:ind w:left="107"/>
                              <w:rPr>
                                <w:sz w:val="21"/>
                              </w:rPr>
                            </w:pPr>
                            <w:r>
                              <w:rPr>
                                <w:sz w:val="21"/>
                              </w:rPr>
                              <w:t>监督人员或其他相关人员签字：</w:t>
                            </w:r>
                          </w:p>
                          <w:p>
                            <w:pPr>
                              <w:pStyle w:val="32"/>
                              <w:rPr>
                                <w:sz w:val="20"/>
                              </w:rPr>
                            </w:pPr>
                          </w:p>
                          <w:p>
                            <w:pPr>
                              <w:pStyle w:val="32"/>
                              <w:spacing w:before="2"/>
                              <w:rPr>
                                <w:sz w:val="15"/>
                              </w:rPr>
                            </w:pPr>
                          </w:p>
                          <w:p>
                            <w:pPr>
                              <w:pStyle w:val="32"/>
                              <w:spacing w:before="1"/>
                              <w:ind w:left="172"/>
                              <w:rPr>
                                <w:sz w:val="21"/>
                              </w:rPr>
                            </w:pPr>
                            <w:r>
                              <w:rPr>
                                <w:sz w:val="21"/>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4407" w:type="dxa"/>
                            <w:gridSpan w:val="3"/>
                            <w:tcBorders>
                              <w:right w:val="nil"/>
                            </w:tcBorders>
                          </w:tcPr>
                          <w:p>
                            <w:pPr>
                              <w:pStyle w:val="32"/>
                              <w:spacing w:before="142"/>
                              <w:ind w:left="172"/>
                              <w:rPr>
                                <w:sz w:val="21"/>
                              </w:rPr>
                            </w:pPr>
                            <w:r>
                              <w:rPr>
                                <w:sz w:val="21"/>
                              </w:rPr>
                              <w:t>中标或者成交人负责人签字或盖章：</w:t>
                            </w:r>
                          </w:p>
                          <w:p>
                            <w:pPr>
                              <w:pStyle w:val="32"/>
                              <w:rPr>
                                <w:sz w:val="20"/>
                              </w:rPr>
                            </w:pPr>
                          </w:p>
                          <w:p>
                            <w:pPr>
                              <w:pStyle w:val="32"/>
                              <w:spacing w:before="2"/>
                              <w:rPr>
                                <w:sz w:val="15"/>
                              </w:rPr>
                            </w:pPr>
                          </w:p>
                          <w:p>
                            <w:pPr>
                              <w:pStyle w:val="32"/>
                              <w:tabs>
                                <w:tab w:val="left" w:pos="2942"/>
                                <w:tab w:val="left" w:pos="3362"/>
                                <w:tab w:val="left" w:pos="3782"/>
                              </w:tabs>
                              <w:ind w:left="107"/>
                              <w:rPr>
                                <w:sz w:val="21"/>
                              </w:rPr>
                            </w:pPr>
                            <w:r>
                              <w:rPr>
                                <w:sz w:val="21"/>
                              </w:rPr>
                              <w:t>联系电话：</w:t>
                            </w:r>
                            <w:r>
                              <w:rPr>
                                <w:sz w:val="21"/>
                              </w:rPr>
                              <w:tab/>
                            </w:r>
                            <w:r>
                              <w:rPr>
                                <w:sz w:val="21"/>
                              </w:rPr>
                              <w:t>年</w:t>
                            </w:r>
                            <w:r>
                              <w:rPr>
                                <w:sz w:val="21"/>
                              </w:rPr>
                              <w:tab/>
                            </w:r>
                            <w:r>
                              <w:rPr>
                                <w:sz w:val="21"/>
                              </w:rPr>
                              <w:t>月</w:t>
                            </w:r>
                            <w:r>
                              <w:rPr>
                                <w:sz w:val="21"/>
                              </w:rPr>
                              <w:tab/>
                            </w:r>
                            <w:r>
                              <w:rPr>
                                <w:sz w:val="21"/>
                              </w:rPr>
                              <w:t>日</w:t>
                            </w:r>
                          </w:p>
                        </w:tc>
                        <w:tc>
                          <w:tcPr>
                            <w:tcW w:w="4154" w:type="dxa"/>
                            <w:gridSpan w:val="4"/>
                            <w:tcBorders>
                              <w:left w:val="nil"/>
                              <w:right w:val="nil"/>
                            </w:tcBorders>
                          </w:tcPr>
                          <w:p>
                            <w:pPr>
                              <w:pStyle w:val="32"/>
                              <w:spacing w:before="142"/>
                              <w:ind w:left="220"/>
                              <w:rPr>
                                <w:sz w:val="21"/>
                              </w:rPr>
                            </w:pPr>
                            <w:r>
                              <w:rPr>
                                <w:sz w:val="21"/>
                              </w:rPr>
                              <w:t>招标人或受托机构的意见（盖章）：</w:t>
                            </w:r>
                          </w:p>
                          <w:p>
                            <w:pPr>
                              <w:pStyle w:val="32"/>
                              <w:rPr>
                                <w:sz w:val="20"/>
                              </w:rPr>
                            </w:pPr>
                          </w:p>
                          <w:p>
                            <w:pPr>
                              <w:pStyle w:val="32"/>
                              <w:spacing w:before="2"/>
                              <w:rPr>
                                <w:sz w:val="15"/>
                              </w:rPr>
                            </w:pPr>
                          </w:p>
                          <w:p>
                            <w:pPr>
                              <w:pStyle w:val="32"/>
                              <w:tabs>
                                <w:tab w:val="left" w:pos="2843"/>
                                <w:tab w:val="left" w:pos="3369"/>
                                <w:tab w:val="left" w:pos="3894"/>
                              </w:tabs>
                              <w:ind w:left="9"/>
                              <w:rPr>
                                <w:sz w:val="21"/>
                              </w:rPr>
                            </w:pPr>
                            <w:r>
                              <w:rPr>
                                <w:sz w:val="21"/>
                              </w:rPr>
                              <w:t>联系电话：</w:t>
                            </w:r>
                            <w:r>
                              <w:rPr>
                                <w:sz w:val="21"/>
                              </w:rPr>
                              <w:tab/>
                            </w:r>
                            <w:r>
                              <w:rPr>
                                <w:sz w:val="21"/>
                              </w:rPr>
                              <w:t>年</w:t>
                            </w:r>
                            <w:r>
                              <w:rPr>
                                <w:sz w:val="21"/>
                              </w:rPr>
                              <w:tab/>
                            </w:r>
                            <w:r>
                              <w:rPr>
                                <w:sz w:val="21"/>
                              </w:rPr>
                              <w:t>月</w:t>
                            </w:r>
                            <w:r>
                              <w:rPr>
                                <w:sz w:val="21"/>
                              </w:rPr>
                              <w:tab/>
                            </w:r>
                            <w:r>
                              <w:rPr>
                                <w:sz w:val="21"/>
                              </w:rPr>
                              <w:t>日</w:t>
                            </w:r>
                          </w:p>
                        </w:tc>
                        <w:tc>
                          <w:tcPr>
                            <w:tcW w:w="619" w:type="dxa"/>
                            <w:tcBorders>
                              <w:left w:val="nil"/>
                            </w:tcBorders>
                          </w:tcPr>
                          <w:p>
                            <w:pPr>
                              <w:pStyle w:val="32"/>
                              <w:rPr>
                                <w:rFonts w:ascii="Times New Roman"/>
                                <w:sz w:val="20"/>
                              </w:rPr>
                            </w:pPr>
                          </w:p>
                        </w:tc>
                      </w:tr>
                    </w:tbl>
                    <w:p>
                      <w:pPr>
                        <w:pStyle w:val="13"/>
                      </w:pPr>
                    </w:p>
                  </w:txbxContent>
                </v:textbox>
              </v:shape>
            </w:pict>
          </mc:Fallback>
        </mc:AlternateContent>
      </w:r>
      <w:r>
        <w:rPr>
          <w:color w:val="000000" w:themeColor="text1"/>
          <w:highlight w:val="none"/>
          <w14:textFill>
            <w14:solidFill>
              <w14:schemeClr w14:val="tx1"/>
            </w14:solidFill>
          </w14:textFill>
        </w:rPr>
        <w:t>根据政府采购项目（</w:t>
      </w:r>
      <w:r>
        <w:rPr>
          <w:color w:val="000000" w:themeColor="text1"/>
          <w:highlight w:val="none"/>
          <w:u w:val="single"/>
          <w14:textFill>
            <w14:solidFill>
              <w14:schemeClr w14:val="tx1"/>
            </w14:solidFill>
          </w14:textFill>
        </w:rPr>
        <w:t>采购合同编号：</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）的约定，我单位对（</w:t>
      </w:r>
      <w:r>
        <w:rPr>
          <w:color w:val="000000" w:themeColor="text1"/>
          <w:spacing w:val="97"/>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采购项目名称</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）政府采购项目中</w:t>
      </w:r>
      <w:r>
        <w:rPr>
          <w:color w:val="000000" w:themeColor="text1"/>
          <w:spacing w:val="-15"/>
          <w:highlight w:val="none"/>
          <w14:textFill>
            <w14:solidFill>
              <w14:schemeClr w14:val="tx1"/>
            </w14:solidFill>
          </w14:textFill>
        </w:rPr>
        <w:t>标</w:t>
      </w:r>
      <w:r>
        <w:rPr>
          <w:color w:val="000000" w:themeColor="text1"/>
          <w:highlight w:val="none"/>
          <w14:textFill>
            <w14:solidFill>
              <w14:schemeClr w14:val="tx1"/>
            </w14:solidFill>
          </w14:textFill>
        </w:rPr>
        <w:t>（或成交</w:t>
      </w:r>
      <w:r>
        <w:rPr>
          <w:color w:val="000000" w:themeColor="text1"/>
          <w:spacing w:val="-17"/>
          <w:highlight w:val="none"/>
          <w14:textFill>
            <w14:solidFill>
              <w14:schemeClr w14:val="tx1"/>
            </w14:solidFill>
          </w14:textFill>
        </w:rPr>
        <w:t>）</w:t>
      </w:r>
      <w:r>
        <w:rPr>
          <w:color w:val="000000" w:themeColor="text1"/>
          <w:spacing w:val="-15"/>
          <w:highlight w:val="none"/>
          <w14:textFill>
            <w14:solidFill>
              <w14:schemeClr w14:val="tx1"/>
            </w14:solidFill>
          </w14:textFill>
        </w:rPr>
        <w:t>人</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公司名称</w:t>
      </w:r>
      <w:r>
        <w:rPr>
          <w:color w:val="000000" w:themeColor="text1"/>
          <w:highlight w:val="none"/>
          <w:u w:val="single"/>
          <w14:textFill>
            <w14:solidFill>
              <w14:schemeClr w14:val="tx1"/>
            </w14:solidFill>
          </w14:textFill>
        </w:rPr>
        <w:tab/>
      </w:r>
      <w:r>
        <w:rPr>
          <w:color w:val="000000" w:themeColor="text1"/>
          <w:spacing w:val="-17"/>
          <w:highlight w:val="none"/>
          <w14:textFill>
            <w14:solidFill>
              <w14:schemeClr w14:val="tx1"/>
            </w14:solidFill>
          </w14:textFill>
        </w:rPr>
        <w:t>）</w:t>
      </w:r>
      <w:r>
        <w:rPr>
          <w:color w:val="000000" w:themeColor="text1"/>
          <w:highlight w:val="none"/>
          <w14:textFill>
            <w14:solidFill>
              <w14:schemeClr w14:val="tx1"/>
            </w14:solidFill>
          </w14:textFill>
        </w:rPr>
        <w:t>提供的货</w:t>
      </w:r>
      <w:r>
        <w:rPr>
          <w:color w:val="000000" w:themeColor="text1"/>
          <w:spacing w:val="-17"/>
          <w:highlight w:val="none"/>
          <w14:textFill>
            <w14:solidFill>
              <w14:schemeClr w14:val="tx1"/>
            </w14:solidFill>
          </w14:textFill>
        </w:rPr>
        <w:t>物</w:t>
      </w:r>
      <w:r>
        <w:rPr>
          <w:color w:val="000000" w:themeColor="text1"/>
          <w:highlight w:val="none"/>
          <w14:textFill>
            <w14:solidFill>
              <w14:schemeClr w14:val="tx1"/>
            </w14:solidFill>
          </w14:textFill>
        </w:rPr>
        <w:t>（或工程</w:t>
      </w:r>
      <w:r>
        <w:rPr>
          <w:color w:val="000000" w:themeColor="text1"/>
          <w:spacing w:val="-15"/>
          <w:highlight w:val="none"/>
          <w14:textFill>
            <w14:solidFill>
              <w14:schemeClr w14:val="tx1"/>
            </w14:solidFill>
          </w14:textFill>
        </w:rPr>
        <w:t>、</w:t>
      </w:r>
      <w:r>
        <w:rPr>
          <w:color w:val="000000" w:themeColor="text1"/>
          <w:highlight w:val="none"/>
          <w14:textFill>
            <w14:solidFill>
              <w14:schemeClr w14:val="tx1"/>
            </w14:solidFill>
          </w14:textFill>
        </w:rPr>
        <w:t>服务</w:t>
      </w:r>
      <w:r>
        <w:rPr>
          <w:color w:val="000000" w:themeColor="text1"/>
          <w:spacing w:val="-12"/>
          <w:highlight w:val="none"/>
          <w14:textFill>
            <w14:solidFill>
              <w14:schemeClr w14:val="tx1"/>
            </w14:solidFill>
          </w14:textFill>
        </w:rPr>
        <w:t xml:space="preserve">） </w:t>
      </w:r>
      <w:r>
        <w:rPr>
          <w:color w:val="000000" w:themeColor="text1"/>
          <w:highlight w:val="none"/>
          <w14:textFill>
            <w14:solidFill>
              <w14:schemeClr w14:val="tx1"/>
            </w14:solidFill>
          </w14:textFill>
        </w:rPr>
        <w:t>进行了验收，验收情况如下：</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6"/>
        <w:rPr>
          <w:color w:val="000000" w:themeColor="text1"/>
          <w:sz w:val="22"/>
          <w:highlight w:val="none"/>
          <w14:textFill>
            <w14:solidFill>
              <w14:schemeClr w14:val="tx1"/>
            </w14:solidFill>
          </w14:textFill>
        </w:rPr>
      </w:pPr>
    </w:p>
    <w:p>
      <w:pPr>
        <w:pStyle w:val="13"/>
        <w:ind w:left="215"/>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备注：本报告单一式</w:t>
      </w:r>
      <w:r>
        <w:rPr>
          <w:color w:val="000000" w:themeColor="text1"/>
          <w:highlight w:val="none"/>
          <w14:textFill>
            <w14:solidFill>
              <w14:schemeClr w14:val="tx1"/>
            </w14:solidFill>
          </w14:textFill>
        </w:rPr>
        <w:t>4</w:t>
      </w:r>
      <w:r>
        <w:rPr>
          <w:color w:val="000000" w:themeColor="text1"/>
          <w:spacing w:val="-44"/>
          <w:highlight w:val="none"/>
          <w14:textFill>
            <w14:solidFill>
              <w14:schemeClr w14:val="tx1"/>
            </w14:solidFill>
          </w14:textFill>
        </w:rPr>
        <w:t xml:space="preserve"> 份</w:t>
      </w:r>
      <w:r>
        <w:rPr>
          <w:color w:val="000000" w:themeColor="text1"/>
          <w:spacing w:val="-20"/>
          <w:highlight w:val="none"/>
          <w14:textFill>
            <w14:solidFill>
              <w14:schemeClr w14:val="tx1"/>
            </w14:solidFill>
          </w14:textFill>
        </w:rPr>
        <w:t>（</w:t>
      </w:r>
      <w:r>
        <w:rPr>
          <w:color w:val="000000" w:themeColor="text1"/>
          <w:spacing w:val="-4"/>
          <w:highlight w:val="none"/>
          <w14:textFill>
            <w14:solidFill>
              <w14:schemeClr w14:val="tx1"/>
            </w14:solidFill>
          </w14:textFill>
        </w:rPr>
        <w:t>采购人</w:t>
      </w:r>
      <w:r>
        <w:rPr>
          <w:color w:val="000000" w:themeColor="text1"/>
          <w:highlight w:val="none"/>
          <w14:textFill>
            <w14:solidFill>
              <w14:schemeClr w14:val="tx1"/>
            </w14:solidFill>
          </w14:textFill>
        </w:rPr>
        <w:t>1</w:t>
      </w:r>
      <w:r>
        <w:rPr>
          <w:color w:val="000000" w:themeColor="text1"/>
          <w:spacing w:val="-20"/>
          <w:highlight w:val="none"/>
          <w14:textFill>
            <w14:solidFill>
              <w14:schemeClr w14:val="tx1"/>
            </w14:solidFill>
          </w14:textFill>
        </w:rPr>
        <w:t xml:space="preserve"> 份、中标人</w:t>
      </w:r>
      <w:r>
        <w:rPr>
          <w:color w:val="000000" w:themeColor="text1"/>
          <w:highlight w:val="none"/>
          <w14:textFill>
            <w14:solidFill>
              <w14:schemeClr w14:val="tx1"/>
            </w14:solidFill>
          </w14:textFill>
        </w:rPr>
        <w:t>1</w:t>
      </w:r>
      <w:r>
        <w:rPr>
          <w:color w:val="000000" w:themeColor="text1"/>
          <w:spacing w:val="-22"/>
          <w:highlight w:val="none"/>
          <w14:textFill>
            <w14:solidFill>
              <w14:schemeClr w14:val="tx1"/>
            </w14:solidFill>
          </w14:textFill>
        </w:rPr>
        <w:t xml:space="preserve"> 份、采购监督部门备案</w:t>
      </w:r>
      <w:r>
        <w:rPr>
          <w:color w:val="000000" w:themeColor="text1"/>
          <w:highlight w:val="none"/>
          <w14:textFill>
            <w14:solidFill>
              <w14:schemeClr w14:val="tx1"/>
            </w14:solidFill>
          </w14:textFill>
        </w:rPr>
        <w:t>1</w:t>
      </w:r>
      <w:r>
        <w:rPr>
          <w:color w:val="000000" w:themeColor="text1"/>
          <w:spacing w:val="-21"/>
          <w:highlight w:val="none"/>
          <w14:textFill>
            <w14:solidFill>
              <w14:schemeClr w14:val="tx1"/>
            </w14:solidFill>
          </w14:textFill>
        </w:rPr>
        <w:t xml:space="preserve"> 份、招标代理机构</w:t>
      </w:r>
      <w:r>
        <w:rPr>
          <w:color w:val="000000" w:themeColor="text1"/>
          <w:highlight w:val="none"/>
          <w14:textFill>
            <w14:solidFill>
              <w14:schemeClr w14:val="tx1"/>
            </w14:solidFill>
          </w14:textFill>
        </w:rPr>
        <w:t>1</w:t>
      </w:r>
      <w:r>
        <w:rPr>
          <w:color w:val="000000" w:themeColor="text1"/>
          <w:spacing w:val="-45"/>
          <w:highlight w:val="none"/>
          <w14:textFill>
            <w14:solidFill>
              <w14:schemeClr w14:val="tx1"/>
            </w14:solidFill>
          </w14:textFill>
        </w:rPr>
        <w:t xml:space="preserve"> 份</w:t>
      </w:r>
      <w:r>
        <w:rPr>
          <w:color w:val="000000" w:themeColor="text1"/>
          <w:spacing w:val="-20"/>
          <w:highlight w:val="none"/>
          <w14:textFill>
            <w14:solidFill>
              <w14:schemeClr w14:val="tx1"/>
            </w14:solidFill>
          </w14:textFill>
        </w:rPr>
        <w:t>）</w:t>
      </w:r>
      <w:r>
        <w:rPr>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sectPr>
          <w:pgSz w:w="11910" w:h="16840"/>
          <w:pgMar w:top="1380" w:right="1140" w:bottom="900" w:left="1200" w:header="0" w:footer="720" w:gutter="0"/>
          <w:cols w:space="720" w:num="1"/>
        </w:sectPr>
      </w:pPr>
    </w:p>
    <w:p>
      <w:pPr>
        <w:pStyle w:val="7"/>
        <w:spacing w:before="49"/>
        <w:ind w:left="0" w:right="813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合同附件 3</w:t>
      </w:r>
    </w:p>
    <w:p>
      <w:pPr>
        <w:spacing w:before="110"/>
        <w:ind w:right="86"/>
        <w:jc w:val="center"/>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政府采购项目履约保证金退付意见书</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8"/>
        <w:rPr>
          <w:b/>
          <w:color w:val="000000" w:themeColor="text1"/>
          <w:sz w:val="12"/>
          <w:highlight w:val="none"/>
          <w14:textFill>
            <w14:solidFill>
              <w14:schemeClr w14:val="tx1"/>
            </w14:solidFill>
          </w14:textFill>
        </w:rPr>
      </w:pPr>
    </w:p>
    <w:tbl>
      <w:tblPr>
        <w:tblStyle w:val="23"/>
        <w:tblW w:w="917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4884"/>
        <w:gridCol w:w="1615"/>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dxa"/>
            <w:vMerge w:val="restart"/>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
              <w:rPr>
                <w:b/>
                <w:color w:val="000000" w:themeColor="text1"/>
                <w:sz w:val="20"/>
                <w:highlight w:val="none"/>
                <w14:textFill>
                  <w14:solidFill>
                    <w14:schemeClr w14:val="tx1"/>
                  </w14:solidFill>
                </w14:textFill>
              </w:rPr>
            </w:pPr>
          </w:p>
          <w:p>
            <w:pPr>
              <w:pStyle w:val="32"/>
              <w:spacing w:line="295" w:lineRule="auto"/>
              <w:ind w:left="399" w:right="38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供应商申请</w:t>
            </w:r>
          </w:p>
        </w:tc>
        <w:tc>
          <w:tcPr>
            <w:tcW w:w="8171" w:type="dxa"/>
            <w:gridSpan w:val="3"/>
          </w:tcPr>
          <w:p>
            <w:pPr>
              <w:pStyle w:val="32"/>
              <w:spacing w:before="17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Pr>
          <w:p>
            <w:pPr>
              <w:pStyle w:val="32"/>
              <w:spacing w:before="168"/>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1"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Pr>
          <w:p>
            <w:pPr>
              <w:pStyle w:val="32"/>
              <w:rPr>
                <w:b/>
                <w:color w:val="000000" w:themeColor="text1"/>
                <w:highlight w:val="none"/>
                <w14:textFill>
                  <w14:solidFill>
                    <w14:schemeClr w14:val="tx1"/>
                  </w14:solidFill>
                </w14:textFill>
              </w:rPr>
            </w:pPr>
          </w:p>
          <w:p>
            <w:pPr>
              <w:pStyle w:val="32"/>
              <w:tabs>
                <w:tab w:val="left" w:pos="2333"/>
                <w:tab w:val="left" w:pos="2732"/>
                <w:tab w:val="left" w:pos="3080"/>
                <w:tab w:val="left" w:pos="3572"/>
                <w:tab w:val="left" w:pos="3826"/>
                <w:tab w:val="left" w:pos="4517"/>
              </w:tabs>
              <w:spacing w:before="159" w:line="357" w:lineRule="auto"/>
              <w:ind w:left="106" w:right="98"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该</w:t>
            </w:r>
            <w:r>
              <w:rPr>
                <w:color w:val="000000" w:themeColor="text1"/>
                <w:spacing w:val="4"/>
                <w:sz w:val="21"/>
                <w:highlight w:val="none"/>
                <w14:textFill>
                  <w14:solidFill>
                    <w14:schemeClr w14:val="tx1"/>
                  </w14:solidFill>
                </w14:textFill>
              </w:rPr>
              <w:t>项</w:t>
            </w:r>
            <w:r>
              <w:rPr>
                <w:color w:val="000000" w:themeColor="text1"/>
                <w:sz w:val="21"/>
                <w:highlight w:val="none"/>
                <w14:textFill>
                  <w14:solidFill>
                    <w14:schemeClr w14:val="tx1"/>
                  </w14:solidFill>
                </w14:textFill>
              </w:rPr>
              <w:t>目已</w:t>
            </w:r>
            <w:r>
              <w:rPr>
                <w:color w:val="000000" w:themeColor="text1"/>
                <w:spacing w:val="3"/>
                <w:sz w:val="21"/>
                <w:highlight w:val="none"/>
                <w14:textFill>
                  <w14:solidFill>
                    <w14:schemeClr w14:val="tx1"/>
                  </w14:solidFill>
                </w14:textFill>
              </w:rPr>
              <w:t>于</w:t>
            </w:r>
            <w:r>
              <w:rPr>
                <w:color w:val="000000" w:themeColor="text1"/>
                <w:spacing w:val="3"/>
                <w:sz w:val="21"/>
                <w:highlight w:val="none"/>
                <w:u w:val="single"/>
                <w14:textFill>
                  <w14:solidFill>
                    <w14:schemeClr w14:val="tx1"/>
                  </w14:solidFill>
                </w14:textFill>
              </w:rPr>
              <w:t xml:space="preserve"> </w:t>
            </w:r>
            <w:r>
              <w:rPr>
                <w:color w:val="000000" w:themeColor="text1"/>
                <w:spacing w:val="3"/>
                <w:sz w:val="21"/>
                <w:highlight w:val="none"/>
                <w:u w:val="single"/>
                <w14:textFill>
                  <w14:solidFill>
                    <w14:schemeClr w14:val="tx1"/>
                  </w14:solidFill>
                </w14:textFill>
              </w:rPr>
              <w:tab/>
            </w:r>
            <w:r>
              <w:rPr>
                <w:color w:val="000000" w:themeColor="text1"/>
                <w:spacing w:val="3"/>
                <w:sz w:val="21"/>
                <w:highlight w:val="none"/>
                <w14:textFill>
                  <w14:solidFill>
                    <w14:schemeClr w14:val="tx1"/>
                  </w14:solidFill>
                </w14:textFill>
              </w:rPr>
              <w:t>年</w:t>
            </w:r>
            <w:r>
              <w:rPr>
                <w:color w:val="000000" w:themeColor="text1"/>
                <w:spacing w:val="3"/>
                <w:sz w:val="21"/>
                <w:highlight w:val="none"/>
                <w:u w:val="single"/>
                <w14:textFill>
                  <w14:solidFill>
                    <w14:schemeClr w14:val="tx1"/>
                  </w14:solidFill>
                </w14:textFill>
              </w:rPr>
              <w:t xml:space="preserve"> </w:t>
            </w:r>
            <w:r>
              <w:rPr>
                <w:color w:val="000000" w:themeColor="text1"/>
                <w:spacing w:val="3"/>
                <w:sz w:val="21"/>
                <w:highlight w:val="none"/>
                <w:u w:val="single"/>
                <w14:textFill>
                  <w14:solidFill>
                    <w14:schemeClr w14:val="tx1"/>
                  </w14:solidFill>
                </w14:textFill>
              </w:rPr>
              <w:tab/>
            </w:r>
            <w:r>
              <w:rPr>
                <w:color w:val="000000" w:themeColor="text1"/>
                <w:spacing w:val="3"/>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r>
              <w:rPr>
                <w:color w:val="000000" w:themeColor="text1"/>
                <w:spacing w:val="4"/>
                <w:sz w:val="21"/>
                <w:highlight w:val="none"/>
                <w14:textFill>
                  <w14:solidFill>
                    <w14:schemeClr w14:val="tx1"/>
                  </w14:solidFill>
                </w14:textFill>
              </w:rPr>
              <w:t>验</w:t>
            </w:r>
            <w:r>
              <w:rPr>
                <w:color w:val="000000" w:themeColor="text1"/>
                <w:sz w:val="21"/>
                <w:highlight w:val="none"/>
                <w14:textFill>
                  <w14:solidFill>
                    <w14:schemeClr w14:val="tx1"/>
                  </w14:solidFill>
                </w14:textFill>
              </w:rPr>
              <w:t>收并交</w:t>
            </w:r>
            <w:r>
              <w:rPr>
                <w:color w:val="000000" w:themeColor="text1"/>
                <w:spacing w:val="4"/>
                <w:sz w:val="21"/>
                <w:highlight w:val="none"/>
                <w14:textFill>
                  <w14:solidFill>
                    <w14:schemeClr w14:val="tx1"/>
                  </w14:solidFill>
                </w14:textFill>
              </w:rPr>
              <w:t>付</w:t>
            </w:r>
            <w:r>
              <w:rPr>
                <w:color w:val="000000" w:themeColor="text1"/>
                <w:sz w:val="21"/>
                <w:highlight w:val="none"/>
                <w14:textFill>
                  <w14:solidFill>
                    <w14:schemeClr w14:val="tx1"/>
                  </w14:solidFill>
                </w14:textFill>
              </w:rPr>
              <w:t>使用</w:t>
            </w:r>
            <w:r>
              <w:rPr>
                <w:color w:val="000000" w:themeColor="text1"/>
                <w:spacing w:val="4"/>
                <w:sz w:val="21"/>
                <w:highlight w:val="none"/>
                <w14:textFill>
                  <w14:solidFill>
                    <w14:schemeClr w14:val="tx1"/>
                  </w14:solidFill>
                </w14:textFill>
              </w:rPr>
              <w:t>。</w:t>
            </w:r>
            <w:r>
              <w:rPr>
                <w:color w:val="000000" w:themeColor="text1"/>
                <w:sz w:val="21"/>
                <w:highlight w:val="none"/>
                <w14:textFill>
                  <w14:solidFill>
                    <w14:schemeClr w14:val="tx1"/>
                  </w14:solidFill>
                </w14:textFill>
              </w:rPr>
              <w:t>根据合</w:t>
            </w:r>
            <w:r>
              <w:rPr>
                <w:color w:val="000000" w:themeColor="text1"/>
                <w:spacing w:val="4"/>
                <w:sz w:val="21"/>
                <w:highlight w:val="none"/>
                <w14:textFill>
                  <w14:solidFill>
                    <w14:schemeClr w14:val="tx1"/>
                  </w14:solidFill>
                </w14:textFill>
              </w:rPr>
              <w:t>同</w:t>
            </w:r>
            <w:r>
              <w:rPr>
                <w:color w:val="000000" w:themeColor="text1"/>
                <w:sz w:val="21"/>
                <w:highlight w:val="none"/>
                <w14:textFill>
                  <w14:solidFill>
                    <w14:schemeClr w14:val="tx1"/>
                  </w14:solidFill>
                </w14:textFill>
              </w:rPr>
              <w:t>规定</w:t>
            </w:r>
            <w:r>
              <w:rPr>
                <w:color w:val="000000" w:themeColor="text1"/>
                <w:spacing w:val="4"/>
                <w:sz w:val="21"/>
                <w:highlight w:val="none"/>
                <w14:textFill>
                  <w14:solidFill>
                    <w14:schemeClr w14:val="tx1"/>
                  </w14:solidFill>
                </w14:textFill>
              </w:rPr>
              <w:t>，</w:t>
            </w:r>
            <w:r>
              <w:rPr>
                <w:color w:val="000000" w:themeColor="text1"/>
                <w:sz w:val="21"/>
                <w:highlight w:val="none"/>
                <w14:textFill>
                  <w14:solidFill>
                    <w14:schemeClr w14:val="tx1"/>
                  </w14:solidFill>
                </w14:textFill>
              </w:rPr>
              <w:t>该项目</w:t>
            </w:r>
            <w:r>
              <w:rPr>
                <w:color w:val="000000" w:themeColor="text1"/>
                <w:spacing w:val="-11"/>
                <w:sz w:val="21"/>
                <w:highlight w:val="none"/>
                <w14:textFill>
                  <w14:solidFill>
                    <w14:schemeClr w14:val="tx1"/>
                  </w14:solidFill>
                </w14:textFill>
              </w:rPr>
              <w:t>的</w:t>
            </w:r>
            <w:r>
              <w:rPr>
                <w:color w:val="000000" w:themeColor="text1"/>
                <w:sz w:val="21"/>
                <w:highlight w:val="none"/>
                <w14:textFill>
                  <w14:solidFill>
                    <w14:schemeClr w14:val="tx1"/>
                  </w14:solidFill>
                </w14:textFill>
              </w:rPr>
              <w:t>履约保证金期限于</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日已满，请将履约保证金</w:t>
            </w:r>
          </w:p>
          <w:p>
            <w:pPr>
              <w:pStyle w:val="32"/>
              <w:tabs>
                <w:tab w:val="left" w:pos="4306"/>
                <w:tab w:val="left" w:pos="6356"/>
              </w:tabs>
              <w:spacing w:line="357" w:lineRule="auto"/>
              <w:ind w:left="106" w:right="96"/>
              <w:rPr>
                <w:color w:val="000000" w:themeColor="text1"/>
                <w:sz w:val="21"/>
                <w:highlight w:val="none"/>
                <w14:textFill>
                  <w14:solidFill>
                    <w14:schemeClr w14:val="tx1"/>
                  </w14:solidFill>
                </w14:textFill>
              </w:rPr>
            </w:pPr>
            <w:r>
              <w:rPr>
                <w:rFonts w:ascii="Times New Roman" w:hAnsi="Times New Roman" w:eastAsia="Times New Roman"/>
                <w:color w:val="000000" w:themeColor="text1"/>
                <w:w w:val="99"/>
                <w:sz w:val="21"/>
                <w:highlight w:val="none"/>
                <w:u w:val="single"/>
                <w14:textFill>
                  <w14:solidFill>
                    <w14:schemeClr w14:val="tx1"/>
                  </w14:solidFill>
                </w14:textFill>
              </w:rPr>
              <w:t xml:space="preserve"> </w:t>
            </w:r>
            <w:r>
              <w:rPr>
                <w:rFonts w:ascii="Times New Roman" w:hAnsi="Times New Roman" w:eastAsia="Times New Roman"/>
                <w:color w:val="000000" w:themeColor="text1"/>
                <w:sz w:val="21"/>
                <w:highlight w:val="none"/>
                <w:u w:val="single"/>
                <w14:textFill>
                  <w14:solidFill>
                    <w14:schemeClr w14:val="tx1"/>
                  </w14:solidFill>
                </w14:textFill>
              </w:rPr>
              <w:tab/>
            </w:r>
            <w:r>
              <w:rPr>
                <w:color w:val="000000" w:themeColor="text1"/>
                <w:spacing w:val="4"/>
                <w:sz w:val="21"/>
                <w:highlight w:val="none"/>
                <w14:textFill>
                  <w14:solidFill>
                    <w14:schemeClr w14:val="tx1"/>
                  </w14:solidFill>
                </w14:textFill>
              </w:rPr>
              <w:t>（大写</w:t>
            </w:r>
            <w:r>
              <w:rPr>
                <w:color w:val="000000" w:themeColor="text1"/>
                <w:spacing w:val="2"/>
                <w:sz w:val="21"/>
                <w:highlight w:val="none"/>
                <w14:textFill>
                  <w14:solidFill>
                    <w14:schemeClr w14:val="tx1"/>
                  </w14:solidFill>
                </w14:textFill>
              </w:rPr>
              <w:t>）¥</w:t>
            </w:r>
            <w:r>
              <w:rPr>
                <w:color w:val="000000" w:themeColor="text1"/>
                <w:spacing w:val="2"/>
                <w:sz w:val="21"/>
                <w:highlight w:val="none"/>
                <w:u w:val="single"/>
                <w14:textFill>
                  <w14:solidFill>
                    <w14:schemeClr w14:val="tx1"/>
                  </w14:solidFill>
                </w14:textFill>
              </w:rPr>
              <w:t xml:space="preserve"> </w:t>
            </w:r>
            <w:r>
              <w:rPr>
                <w:color w:val="000000" w:themeColor="text1"/>
                <w:spacing w:val="2"/>
                <w:sz w:val="21"/>
                <w:highlight w:val="none"/>
                <w:u w:val="single"/>
                <w14:textFill>
                  <w14:solidFill>
                    <w14:schemeClr w14:val="tx1"/>
                  </w14:solidFill>
                </w14:textFill>
              </w:rPr>
              <w:tab/>
            </w:r>
            <w:r>
              <w:rPr>
                <w:color w:val="000000" w:themeColor="text1"/>
                <w:spacing w:val="4"/>
                <w:sz w:val="21"/>
                <w:highlight w:val="none"/>
                <w14:textFill>
                  <w14:solidFill>
                    <w14:schemeClr w14:val="tx1"/>
                  </w14:solidFill>
                </w14:textFill>
              </w:rPr>
              <w:t>（小写）</w:t>
            </w:r>
            <w:r>
              <w:rPr>
                <w:color w:val="000000" w:themeColor="text1"/>
                <w:spacing w:val="7"/>
                <w:sz w:val="21"/>
                <w:highlight w:val="none"/>
                <w14:textFill>
                  <w14:solidFill>
                    <w14:schemeClr w14:val="tx1"/>
                  </w14:solidFill>
                </w14:textFill>
              </w:rPr>
              <w:t>退</w:t>
            </w:r>
            <w:r>
              <w:rPr>
                <w:color w:val="000000" w:themeColor="text1"/>
                <w:spacing w:val="4"/>
                <w:sz w:val="21"/>
                <w:highlight w:val="none"/>
                <w14:textFill>
                  <w14:solidFill>
                    <w14:schemeClr w14:val="tx1"/>
                  </w14:solidFill>
                </w14:textFill>
              </w:rPr>
              <w:t>付到</w:t>
            </w:r>
            <w:r>
              <w:rPr>
                <w:color w:val="000000" w:themeColor="text1"/>
                <w:spacing w:val="-14"/>
                <w:sz w:val="21"/>
                <w:highlight w:val="none"/>
                <w14:textFill>
                  <w14:solidFill>
                    <w14:schemeClr w14:val="tx1"/>
                  </w14:solidFill>
                </w14:textFill>
              </w:rPr>
              <w:t>达</w:t>
            </w:r>
            <w:r>
              <w:rPr>
                <w:color w:val="000000" w:themeColor="text1"/>
                <w:sz w:val="21"/>
                <w:highlight w:val="none"/>
                <w14:textFill>
                  <w14:solidFill>
                    <w14:schemeClr w14:val="tx1"/>
                  </w14:solidFill>
                </w14:textFill>
              </w:rPr>
              <w:t>以下帐户。</w:t>
            </w:r>
          </w:p>
          <w:p>
            <w:pPr>
              <w:pStyle w:val="32"/>
              <w:spacing w:line="357" w:lineRule="auto"/>
              <w:ind w:left="812" w:right="629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单位名称： 开户银行： 帐 号 ：</w:t>
            </w:r>
          </w:p>
          <w:p>
            <w:pPr>
              <w:pStyle w:val="32"/>
              <w:spacing w:line="266" w:lineRule="exact"/>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联系人及电话：</w:t>
            </w:r>
          </w:p>
          <w:p>
            <w:pPr>
              <w:pStyle w:val="32"/>
              <w:rPr>
                <w:b/>
                <w:color w:val="000000" w:themeColor="text1"/>
                <w:sz w:val="20"/>
                <w:highlight w:val="none"/>
                <w14:textFill>
                  <w14:solidFill>
                    <w14:schemeClr w14:val="tx1"/>
                  </w14:solidFill>
                </w14:textFill>
              </w:rPr>
            </w:pPr>
          </w:p>
          <w:p>
            <w:pPr>
              <w:pStyle w:val="32"/>
              <w:spacing w:before="8"/>
              <w:rPr>
                <w:b/>
                <w:color w:val="000000" w:themeColor="text1"/>
                <w:sz w:val="28"/>
                <w:highlight w:val="none"/>
                <w14:textFill>
                  <w14:solidFill>
                    <w14:schemeClr w14:val="tx1"/>
                  </w14:solidFill>
                </w14:textFill>
              </w:rPr>
            </w:pPr>
          </w:p>
          <w:p>
            <w:pPr>
              <w:pStyle w:val="32"/>
              <w:ind w:left="539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投标人签章：</w:t>
            </w:r>
          </w:p>
          <w:p>
            <w:pPr>
              <w:pStyle w:val="32"/>
              <w:spacing w:before="8"/>
              <w:rPr>
                <w:b/>
                <w:color w:val="000000" w:themeColor="text1"/>
                <w:sz w:val="19"/>
                <w:highlight w:val="none"/>
                <w14:textFill>
                  <w14:solidFill>
                    <w14:schemeClr w14:val="tx1"/>
                  </w14:solidFill>
                </w14:textFill>
              </w:rPr>
            </w:pPr>
          </w:p>
          <w:p>
            <w:pPr>
              <w:pStyle w:val="32"/>
              <w:tabs>
                <w:tab w:val="left" w:pos="5345"/>
                <w:tab w:val="left" w:pos="6080"/>
              </w:tabs>
              <w:ind w:left="471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月</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4" w:hRule="atLeast"/>
        </w:trPr>
        <w:tc>
          <w:tcPr>
            <w:tcW w:w="1008" w:type="dxa"/>
          </w:tcPr>
          <w:p>
            <w:pPr>
              <w:pStyle w:val="32"/>
              <w:spacing w:before="1"/>
              <w:rPr>
                <w:b/>
                <w:color w:val="000000" w:themeColor="text1"/>
                <w:sz w:val="17"/>
                <w:highlight w:val="none"/>
                <w14:textFill>
                  <w14:solidFill>
                    <w14:schemeClr w14:val="tx1"/>
                  </w14:solidFill>
                </w14:textFill>
              </w:rPr>
            </w:pPr>
          </w:p>
          <w:p>
            <w:pPr>
              <w:pStyle w:val="32"/>
              <w:spacing w:line="295" w:lineRule="auto"/>
              <w:ind w:left="399" w:right="38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采购单位意见</w:t>
            </w:r>
          </w:p>
        </w:tc>
        <w:tc>
          <w:tcPr>
            <w:tcW w:w="4884" w:type="dxa"/>
            <w:tcBorders>
              <w:right w:val="nil"/>
            </w:tcBorders>
          </w:tcPr>
          <w:p>
            <w:pPr>
              <w:pStyle w:val="32"/>
              <w:spacing w:before="2"/>
              <w:rPr>
                <w:b/>
                <w:color w:val="000000" w:themeColor="text1"/>
                <w:sz w:val="28"/>
                <w:highlight w:val="none"/>
                <w14:textFill>
                  <w14:solidFill>
                    <w14:schemeClr w14:val="tx1"/>
                  </w14:solidFill>
                </w14:textFill>
              </w:rPr>
            </w:pPr>
          </w:p>
          <w:p>
            <w:pPr>
              <w:pStyle w:val="3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退付意见：是否同意退付履约保证金及退付金额：</w:t>
            </w: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13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联系人及电话：</w:t>
            </w:r>
          </w:p>
        </w:tc>
        <w:tc>
          <w:tcPr>
            <w:tcW w:w="1615" w:type="dxa"/>
            <w:tcBorders>
              <w:left w:val="nil"/>
              <w:right w:val="nil"/>
            </w:tcBorders>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spacing w:before="4"/>
              <w:rPr>
                <w:b/>
                <w:color w:val="000000" w:themeColor="text1"/>
                <w:sz w:val="19"/>
                <w:highlight w:val="none"/>
                <w14:textFill>
                  <w14:solidFill>
                    <w14:schemeClr w14:val="tx1"/>
                  </w14:solidFill>
                </w14:textFill>
              </w:rPr>
            </w:pPr>
          </w:p>
          <w:p>
            <w:pPr>
              <w:pStyle w:val="32"/>
              <w:spacing w:before="1"/>
              <w:ind w:left="16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采购人签章</w:t>
            </w:r>
          </w:p>
          <w:p>
            <w:pPr>
              <w:pStyle w:val="32"/>
              <w:spacing w:before="8"/>
              <w:rPr>
                <w:b/>
                <w:color w:val="000000" w:themeColor="text1"/>
                <w:sz w:val="19"/>
                <w:highlight w:val="none"/>
                <w14:textFill>
                  <w14:solidFill>
                    <w14:schemeClr w14:val="tx1"/>
                  </w14:solidFill>
                </w14:textFill>
              </w:rPr>
            </w:pPr>
          </w:p>
          <w:p>
            <w:pPr>
              <w:pStyle w:val="32"/>
              <w:tabs>
                <w:tab w:val="left" w:pos="1148"/>
              </w:tabs>
              <w:ind w:left="51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月</w:t>
            </w:r>
          </w:p>
        </w:tc>
        <w:tc>
          <w:tcPr>
            <w:tcW w:w="1672" w:type="dxa"/>
            <w:tcBorders>
              <w:left w:val="nil"/>
            </w:tcBorders>
          </w:tcPr>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rPr>
                <w:b/>
                <w:color w:val="000000" w:themeColor="text1"/>
                <w:sz w:val="20"/>
                <w:highlight w:val="none"/>
                <w14:textFill>
                  <w14:solidFill>
                    <w14:schemeClr w14:val="tx1"/>
                  </w14:solidFill>
                </w14:textFill>
              </w:rPr>
            </w:pPr>
          </w:p>
          <w:p>
            <w:pPr>
              <w:pStyle w:val="32"/>
              <w:ind w:left="267"/>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008" w:type="dxa"/>
            <w:vMerge w:val="restart"/>
          </w:tcPr>
          <w:p>
            <w:pPr>
              <w:pStyle w:val="32"/>
              <w:rPr>
                <w:b/>
                <w:color w:val="000000" w:themeColor="text1"/>
                <w:sz w:val="20"/>
                <w:highlight w:val="none"/>
                <w14:textFill>
                  <w14:solidFill>
                    <w14:schemeClr w14:val="tx1"/>
                  </w14:solidFill>
                </w14:textFill>
              </w:rPr>
            </w:pPr>
          </w:p>
          <w:p>
            <w:pPr>
              <w:pStyle w:val="32"/>
              <w:spacing w:before="8"/>
              <w:rPr>
                <w:b/>
                <w:color w:val="000000" w:themeColor="text1"/>
                <w:sz w:val="29"/>
                <w:highlight w:val="none"/>
                <w14:textFill>
                  <w14:solidFill>
                    <w14:schemeClr w14:val="tx1"/>
                  </w14:solidFill>
                </w14:textFill>
              </w:rPr>
            </w:pPr>
          </w:p>
          <w:p>
            <w:pPr>
              <w:pStyle w:val="32"/>
              <w:spacing w:line="295" w:lineRule="auto"/>
              <w:ind w:left="399" w:right="387"/>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财务部门意见</w:t>
            </w:r>
          </w:p>
        </w:tc>
        <w:tc>
          <w:tcPr>
            <w:tcW w:w="8171" w:type="dxa"/>
            <w:gridSpan w:val="3"/>
            <w:tcBorders>
              <w:bottom w:val="nil"/>
            </w:tcBorders>
          </w:tcPr>
          <w:p>
            <w:pPr>
              <w:pStyle w:val="32"/>
              <w:spacing w:before="8"/>
              <w:rPr>
                <w:b/>
                <w:color w:val="000000" w:themeColor="text1"/>
                <w:sz w:val="23"/>
                <w:highlight w:val="none"/>
                <w14:textFill>
                  <w14:solidFill>
                    <w14:schemeClr w14:val="tx1"/>
                  </w14:solidFill>
                </w14:textFill>
              </w:rPr>
            </w:pPr>
          </w:p>
          <w:p>
            <w:pPr>
              <w:pStyle w:val="32"/>
              <w:tabs>
                <w:tab w:val="left" w:pos="1263"/>
                <w:tab w:val="left" w:pos="1943"/>
                <w:tab w:val="left" w:pos="2678"/>
              </w:tabs>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此表于</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Borders>
              <w:top w:val="nil"/>
              <w:bottom w:val="nil"/>
            </w:tcBorders>
          </w:tcPr>
          <w:p>
            <w:pPr>
              <w:pStyle w:val="32"/>
              <w:spacing w:before="17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会计审核：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Borders>
              <w:top w:val="nil"/>
              <w:bottom w:val="nil"/>
            </w:tcBorders>
          </w:tcPr>
          <w:p>
            <w:pPr>
              <w:pStyle w:val="32"/>
              <w:spacing w:before="1"/>
              <w:rPr>
                <w:b/>
                <w:color w:val="000000" w:themeColor="text1"/>
                <w:sz w:val="14"/>
                <w:highlight w:val="none"/>
                <w14:textFill>
                  <w14:solidFill>
                    <w14:schemeClr w14:val="tx1"/>
                  </w14:solidFill>
                </w14:textFill>
              </w:rPr>
            </w:pPr>
          </w:p>
          <w:p>
            <w:pPr>
              <w:pStyle w:val="3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财务负责人审核：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Borders>
              <w:top w:val="nil"/>
              <w:bottom w:val="nil"/>
            </w:tcBorders>
          </w:tcPr>
          <w:p>
            <w:pPr>
              <w:pStyle w:val="32"/>
              <w:spacing w:before="1"/>
              <w:rPr>
                <w:b/>
                <w:color w:val="000000" w:themeColor="text1"/>
                <w:sz w:val="14"/>
                <w:highlight w:val="none"/>
                <w14:textFill>
                  <w14:solidFill>
                    <w14:schemeClr w14:val="tx1"/>
                  </w14:solidFill>
                </w14:textFill>
              </w:rPr>
            </w:pPr>
          </w:p>
          <w:p>
            <w:pPr>
              <w:pStyle w:val="3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008" w:type="dxa"/>
            <w:vMerge w:val="continue"/>
            <w:tcBorders>
              <w:top w:val="nil"/>
            </w:tcBorders>
          </w:tcPr>
          <w:p>
            <w:pPr>
              <w:rPr>
                <w:color w:val="000000" w:themeColor="text1"/>
                <w:sz w:val="2"/>
                <w:szCs w:val="2"/>
                <w:highlight w:val="none"/>
                <w14:textFill>
                  <w14:solidFill>
                    <w14:schemeClr w14:val="tx1"/>
                  </w14:solidFill>
                </w14:textFill>
              </w:rPr>
            </w:pPr>
          </w:p>
        </w:tc>
        <w:tc>
          <w:tcPr>
            <w:tcW w:w="8171" w:type="dxa"/>
            <w:gridSpan w:val="3"/>
            <w:tcBorders>
              <w:top w:val="nil"/>
            </w:tcBorders>
          </w:tcPr>
          <w:p>
            <w:pPr>
              <w:pStyle w:val="32"/>
              <w:spacing w:before="179"/>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出纳办理转帐日期：</w:t>
            </w:r>
          </w:p>
        </w:tc>
      </w:tr>
    </w:tbl>
    <w:p>
      <w:pPr>
        <w:spacing w:before="30"/>
        <w:ind w:left="455"/>
        <w:rPr>
          <w:b/>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注：投标人凭经采购人审批的退付意见书到相关财务部办理履约保证金退付事宜。</w:t>
      </w:r>
    </w:p>
    <w:p>
      <w:pPr>
        <w:rPr>
          <w:color w:val="000000" w:themeColor="text1"/>
          <w:sz w:val="21"/>
          <w:highlight w:val="none"/>
          <w14:textFill>
            <w14:solidFill>
              <w14:schemeClr w14:val="tx1"/>
            </w14:solidFill>
          </w14:textFill>
        </w:rPr>
        <w:sectPr>
          <w:pgSz w:w="11910" w:h="16840"/>
          <w:pgMar w:top="1500" w:right="1140" w:bottom="900" w:left="1200" w:header="0" w:footer="720" w:gutter="0"/>
          <w:cols w:space="720" w:num="1"/>
        </w:sect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10"/>
        <w:rPr>
          <w:b/>
          <w:color w:val="000000" w:themeColor="text1"/>
          <w:sz w:val="16"/>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4" w:name="第六章_投标文件格式"/>
      <w:bookmarkEnd w:id="114"/>
      <w:bookmarkStart w:id="115" w:name="_Toc3970"/>
      <w:r>
        <w:rPr>
          <w:color w:val="000000" w:themeColor="text1"/>
          <w:highlight w:val="none"/>
          <w14:textFill>
            <w14:solidFill>
              <w14:schemeClr w14:val="tx1"/>
            </w14:solidFill>
          </w14:textFill>
        </w:rPr>
        <w:t>第六章 投标文件格式</w:t>
      </w:r>
      <w:bookmarkEnd w:id="115"/>
    </w:p>
    <w:p>
      <w:pPr>
        <w:rPr>
          <w:color w:val="000000" w:themeColor="text1"/>
          <w:highlight w:val="none"/>
          <w14:textFill>
            <w14:solidFill>
              <w14:schemeClr w14:val="tx1"/>
            </w14:solidFill>
          </w14:textFill>
        </w:rPr>
        <w:sectPr>
          <w:pgSz w:w="11910" w:h="16840"/>
          <w:pgMar w:top="1580" w:right="1140" w:bottom="900" w:left="1200" w:header="0" w:footer="720" w:gutter="0"/>
          <w:cols w:space="720" w:num="1"/>
        </w:sectPr>
      </w:pPr>
    </w:p>
    <w:p>
      <w:pPr>
        <w:spacing w:before="48"/>
        <w:ind w:left="215"/>
        <w:rPr>
          <w:b/>
          <w:color w:val="000000" w:themeColor="text1"/>
          <w:highlight w:val="none"/>
          <w14:textFill>
            <w14:solidFill>
              <w14:schemeClr w14:val="tx1"/>
            </w14:solidFill>
          </w14:textFill>
        </w:rPr>
      </w:pPr>
      <w:bookmarkStart w:id="116" w:name="一、投标人相应的法定代表人或负责人或自然人身份证正反面复印件（必须提供）"/>
      <w:bookmarkEnd w:id="116"/>
      <w:r>
        <w:rPr>
          <w:b/>
          <w:color w:val="000000" w:themeColor="text1"/>
          <w:highlight w:val="none"/>
          <w14:textFill>
            <w14:solidFill>
              <w14:schemeClr w14:val="tx1"/>
            </w14:solidFill>
          </w14:textFill>
        </w:rPr>
        <w:t>资格文件</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3"/>
        <w:rPr>
          <w:b/>
          <w:color w:val="000000" w:themeColor="text1"/>
          <w:sz w:val="23"/>
          <w:highlight w:val="none"/>
          <w14:textFill>
            <w14:solidFill>
              <w14:schemeClr w14:val="tx1"/>
            </w14:solidFill>
          </w14:textFill>
        </w:rPr>
      </w:pPr>
    </w:p>
    <w:p>
      <w:pPr>
        <w:pStyle w:val="13"/>
        <w:spacing w:before="70"/>
        <w:ind w:right="316"/>
        <w:jc w:val="right"/>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正本/或副本</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17" w:name="_Toc30489"/>
      <w:r>
        <w:rPr>
          <w:color w:val="000000" w:themeColor="text1"/>
          <w:highlight w:val="none"/>
          <w14:textFill>
            <w14:solidFill>
              <w14:schemeClr w14:val="tx1"/>
            </w14:solidFill>
          </w14:textFill>
        </w:rPr>
        <w:t>投标文件</w:t>
      </w:r>
      <w:bookmarkEnd w:id="117"/>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12"/>
        <w:rPr>
          <w:b/>
          <w:color w:val="000000" w:themeColor="text1"/>
          <w:sz w:val="19"/>
          <w:highlight w:val="none"/>
          <w14:textFill>
            <w14:solidFill>
              <w14:schemeClr w14:val="tx1"/>
            </w14:solidFill>
          </w14:textFill>
        </w:rPr>
      </w:pPr>
    </w:p>
    <w:p>
      <w:pPr>
        <w:spacing w:before="67" w:line="525" w:lineRule="auto"/>
        <w:ind w:left="575" w:right="730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采购项目名称： 采购项目编号：</w:t>
      </w:r>
    </w:p>
    <w:p>
      <w:pPr>
        <w:spacing w:line="526" w:lineRule="auto"/>
        <w:ind w:left="573"/>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招标代理机构：</w:t>
      </w:r>
      <w:r>
        <w:rPr>
          <w:rFonts w:hint="eastAsia"/>
          <w:color w:val="000000" w:themeColor="text1"/>
          <w:sz w:val="24"/>
          <w:highlight w:val="none"/>
          <w14:textFill>
            <w14:solidFill>
              <w14:schemeClr w14:val="tx1"/>
            </w14:solidFill>
          </w14:textFill>
        </w:rPr>
        <w:t>广西真诚工程咨询有限公司</w:t>
      </w:r>
    </w:p>
    <w:p>
      <w:pPr>
        <w:spacing w:line="526" w:lineRule="auto"/>
        <w:ind w:left="573"/>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05" w:lineRule="exact"/>
        <w:ind w:left="57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投标文件内容：资格文件</w:t>
      </w:r>
    </w:p>
    <w:p>
      <w:pPr>
        <w:spacing w:line="305" w:lineRule="exact"/>
        <w:rPr>
          <w:color w:val="000000" w:themeColor="text1"/>
          <w:sz w:val="24"/>
          <w:highlight w:val="none"/>
          <w14:textFill>
            <w14:solidFill>
              <w14:schemeClr w14:val="tx1"/>
            </w14:solidFill>
          </w14:textFill>
        </w:rPr>
        <w:sectPr>
          <w:pgSz w:w="11910" w:h="16840"/>
          <w:pgMar w:top="1520" w:right="1140" w:bottom="900" w:left="1200" w:header="0" w:footer="720" w:gutter="0"/>
          <w:cols w:space="720" w:num="1"/>
        </w:sectPr>
      </w:pPr>
    </w:p>
    <w:p>
      <w:pPr>
        <w:pStyle w:val="13"/>
        <w:spacing w:before="11"/>
        <w:rPr>
          <w:color w:val="000000" w:themeColor="text1"/>
          <w:sz w:val="11"/>
          <w:highlight w:val="none"/>
          <w14:textFill>
            <w14:solidFill>
              <w14:schemeClr w14:val="tx1"/>
            </w14:solidFill>
          </w14:textFill>
        </w:rPr>
      </w:pPr>
    </w:p>
    <w:p>
      <w:pPr>
        <w:spacing w:before="55" w:line="386" w:lineRule="auto"/>
        <w:ind w:left="237" w:right="333"/>
        <w:jc w:val="center"/>
        <w:rPr>
          <w:b/>
          <w:color w:val="000000" w:themeColor="text1"/>
          <w:sz w:val="32"/>
          <w:highlight w:val="none"/>
          <w14:textFill>
            <w14:solidFill>
              <w14:schemeClr w14:val="tx1"/>
            </w14:solidFill>
          </w14:textFill>
        </w:rPr>
      </w:pPr>
      <w:r>
        <w:rPr>
          <w:b/>
          <w:color w:val="000000" w:themeColor="text1"/>
          <w:w w:val="95"/>
          <w:sz w:val="32"/>
          <w:highlight w:val="none"/>
          <w14:textFill>
            <w14:solidFill>
              <w14:schemeClr w14:val="tx1"/>
            </w14:solidFill>
          </w14:textFill>
        </w:rPr>
        <w:t xml:space="preserve">一、投标人相应的法定代表人或负责人或自然人身份证正反面复 </w:t>
      </w:r>
      <w:r>
        <w:rPr>
          <w:b/>
          <w:color w:val="000000" w:themeColor="text1"/>
          <w:sz w:val="32"/>
          <w:highlight w:val="none"/>
          <w14:textFill>
            <w14:solidFill>
              <w14:schemeClr w14:val="tx1"/>
            </w14:solidFill>
          </w14:textFill>
        </w:rPr>
        <w:t>印件（必须提供）</w:t>
      </w:r>
    </w:p>
    <w:p>
      <w:pPr>
        <w:spacing w:before="274"/>
        <w:ind w:right="100"/>
        <w:jc w:val="center"/>
        <w:outlineLvl w:val="1"/>
        <w:rPr>
          <w:color w:val="000000" w:themeColor="text1"/>
          <w:sz w:val="30"/>
          <w:highlight w:val="none"/>
          <w14:textFill>
            <w14:solidFill>
              <w14:schemeClr w14:val="tx1"/>
            </w14:solidFill>
          </w14:textFill>
        </w:rPr>
      </w:pPr>
      <w:bookmarkStart w:id="118" w:name="_Toc17883"/>
      <w:r>
        <w:rPr>
          <w:color w:val="000000" w:themeColor="text1"/>
          <w:sz w:val="30"/>
          <w:highlight w:val="none"/>
          <w14:textFill>
            <w14:solidFill>
              <w14:schemeClr w14:val="tx1"/>
            </w14:solidFill>
          </w14:textFill>
        </w:rPr>
        <w:t>法定代表人身份证明</w:t>
      </w:r>
      <w:bookmarkEnd w:id="118"/>
    </w:p>
    <w:p>
      <w:pPr>
        <w:pStyle w:val="13"/>
        <w:rPr>
          <w:color w:val="000000" w:themeColor="text1"/>
          <w:sz w:val="30"/>
          <w:highlight w:val="none"/>
          <w14:textFill>
            <w14:solidFill>
              <w14:schemeClr w14:val="tx1"/>
            </w14:solidFill>
          </w14:textFill>
        </w:rPr>
      </w:pPr>
    </w:p>
    <w:p>
      <w:pPr>
        <w:pStyle w:val="13"/>
        <w:rPr>
          <w:color w:val="000000" w:themeColor="text1"/>
          <w:sz w:val="30"/>
          <w:highlight w:val="none"/>
          <w14:textFill>
            <w14:solidFill>
              <w14:schemeClr w14:val="tx1"/>
            </w14:solidFill>
          </w14:textFill>
        </w:rPr>
      </w:pPr>
    </w:p>
    <w:p>
      <w:pPr>
        <w:pStyle w:val="13"/>
        <w:tabs>
          <w:tab w:val="left" w:pos="6147"/>
        </w:tabs>
        <w:spacing w:before="228"/>
        <w:ind w:left="1476"/>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spacing w:before="6"/>
        <w:rPr>
          <w:rFonts w:ascii="Times New Roman"/>
          <w:color w:val="000000" w:themeColor="text1"/>
          <w:sz w:val="27"/>
          <w:highlight w:val="none"/>
          <w14:textFill>
            <w14:solidFill>
              <w14:schemeClr w14:val="tx1"/>
            </w14:solidFill>
          </w14:textFill>
        </w:rPr>
      </w:pPr>
    </w:p>
    <w:p>
      <w:pPr>
        <w:pStyle w:val="13"/>
        <w:tabs>
          <w:tab w:val="left" w:pos="6147"/>
        </w:tabs>
        <w:spacing w:before="77"/>
        <w:ind w:left="1476"/>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单位性质</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spacing w:before="6"/>
        <w:rPr>
          <w:rFonts w:ascii="Times New Roman"/>
          <w:color w:val="000000" w:themeColor="text1"/>
          <w:sz w:val="27"/>
          <w:highlight w:val="none"/>
          <w14:textFill>
            <w14:solidFill>
              <w14:schemeClr w14:val="tx1"/>
            </w14:solidFill>
          </w14:textFill>
        </w:rPr>
      </w:pPr>
    </w:p>
    <w:p>
      <w:pPr>
        <w:pStyle w:val="13"/>
        <w:tabs>
          <w:tab w:val="left" w:pos="6147"/>
        </w:tabs>
        <w:spacing w:before="77"/>
        <w:ind w:left="1476"/>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spacing w:before="6"/>
        <w:rPr>
          <w:rFonts w:ascii="Times New Roman"/>
          <w:color w:val="000000" w:themeColor="text1"/>
          <w:sz w:val="27"/>
          <w:highlight w:val="none"/>
          <w14:textFill>
            <w14:solidFill>
              <w14:schemeClr w14:val="tx1"/>
            </w14:solidFill>
          </w14:textFill>
        </w:rPr>
      </w:pPr>
    </w:p>
    <w:p>
      <w:pPr>
        <w:pStyle w:val="13"/>
        <w:tabs>
          <w:tab w:val="left" w:pos="3207"/>
          <w:tab w:val="left" w:pos="4047"/>
          <w:tab w:val="left" w:pos="4887"/>
        </w:tabs>
        <w:spacing w:before="77"/>
        <w:ind w:left="14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成立时间：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pStyle w:val="13"/>
        <w:spacing w:before="6"/>
        <w:rPr>
          <w:color w:val="000000" w:themeColor="text1"/>
          <w:sz w:val="30"/>
          <w:highlight w:val="none"/>
          <w14:textFill>
            <w14:solidFill>
              <w14:schemeClr w14:val="tx1"/>
            </w14:solidFill>
          </w14:textFill>
        </w:rPr>
      </w:pPr>
    </w:p>
    <w:p>
      <w:pPr>
        <w:pStyle w:val="13"/>
        <w:tabs>
          <w:tab w:val="left" w:pos="2787"/>
          <w:tab w:val="left" w:pos="4047"/>
          <w:tab w:val="left" w:pos="5255"/>
          <w:tab w:val="left" w:pos="6567"/>
        </w:tabs>
        <w:ind w:left="1476"/>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性别：</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年龄：</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职务：</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rPr>
          <w:rFonts w:ascii="Times New Roman"/>
          <w:color w:val="000000" w:themeColor="text1"/>
          <w:sz w:val="20"/>
          <w:highlight w:val="none"/>
          <w14:textFill>
            <w14:solidFill>
              <w14:schemeClr w14:val="tx1"/>
            </w14:solidFill>
          </w14:textFill>
        </w:rPr>
      </w:pPr>
    </w:p>
    <w:p>
      <w:pPr>
        <w:pStyle w:val="13"/>
        <w:rPr>
          <w:rFonts w:ascii="Times New Roman"/>
          <w:color w:val="000000" w:themeColor="text1"/>
          <w:sz w:val="20"/>
          <w:highlight w:val="none"/>
          <w14:textFill>
            <w14:solidFill>
              <w14:schemeClr w14:val="tx1"/>
            </w14:solidFill>
          </w14:textFill>
        </w:rPr>
      </w:pPr>
    </w:p>
    <w:p>
      <w:pPr>
        <w:pStyle w:val="13"/>
        <w:spacing w:before="2"/>
        <w:rPr>
          <w:rFonts w:ascii="Times New Roman"/>
          <w:color w:val="000000" w:themeColor="text1"/>
          <w:sz w:val="25"/>
          <w:highlight w:val="none"/>
          <w14:textFill>
            <w14:solidFill>
              <w14:schemeClr w14:val="tx1"/>
            </w14:solidFill>
          </w14:textFill>
        </w:rPr>
      </w:pPr>
    </w:p>
    <w:p>
      <w:pPr>
        <w:pStyle w:val="13"/>
        <w:tabs>
          <w:tab w:val="left" w:pos="3627"/>
        </w:tabs>
        <w:spacing w:before="77" w:line="590" w:lineRule="auto"/>
        <w:ind w:left="1476" w:right="294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（投标人名称）的法定代表人。特此证明。</w:t>
      </w:r>
    </w:p>
    <w:p>
      <w:pPr>
        <w:pStyle w:val="13"/>
        <w:spacing w:before="1"/>
        <w:ind w:left="147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附：法定代表人身份证正反面复印件</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2"/>
        <w:rPr>
          <w:color w:val="000000" w:themeColor="text1"/>
          <w:sz w:val="22"/>
          <w:highlight w:val="none"/>
          <w14:textFill>
            <w14:solidFill>
              <w14:schemeClr w14:val="tx1"/>
            </w14:solidFill>
          </w14:textFill>
        </w:rPr>
      </w:pPr>
    </w:p>
    <w:p>
      <w:pPr>
        <w:pStyle w:val="13"/>
        <w:tabs>
          <w:tab w:val="left" w:pos="7355"/>
        </w:tabs>
        <w:ind w:left="46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17"/>
          <w:highlight w:val="none"/>
          <w14:textFill>
            <w14:solidFill>
              <w14:schemeClr w14:val="tx1"/>
            </w14:solidFill>
          </w14:textFill>
        </w:rPr>
      </w:pPr>
    </w:p>
    <w:p>
      <w:pPr>
        <w:pStyle w:val="13"/>
        <w:tabs>
          <w:tab w:val="left" w:pos="5675"/>
          <w:tab w:val="left" w:pos="6935"/>
        </w:tabs>
        <w:spacing w:before="69"/>
        <w:ind w:left="5032"/>
        <w:rPr>
          <w:color w:val="000000" w:themeColor="text1"/>
          <w:highlight w:val="none"/>
          <w14:textFill>
            <w14:solidFill>
              <w14:schemeClr w14:val="tx1"/>
            </w14:solidFill>
          </w14:textFill>
        </w:rPr>
      </w:pPr>
      <w:r>
        <w:rPr>
          <w:rFonts w:ascii="Times New Roman" w:eastAsia="Times New Roman"/>
          <w:color w:val="000000" w:themeColor="text1"/>
          <w:w w:val="99"/>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spacing w:val="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pgSz w:w="11910" w:h="16840"/>
          <w:pgMar w:top="1580" w:right="1140" w:bottom="900" w:left="1200" w:header="0" w:footer="720" w:gutter="0"/>
          <w:cols w:space="720" w:num="1"/>
        </w:sectPr>
      </w:pPr>
    </w:p>
    <w:p>
      <w:pPr>
        <w:pStyle w:val="13"/>
        <w:rPr>
          <w:color w:val="000000" w:themeColor="text1"/>
          <w:sz w:val="20"/>
          <w:highlight w:val="none"/>
          <w14:textFill>
            <w14:solidFill>
              <w14:schemeClr w14:val="tx1"/>
            </w14:solidFill>
          </w14:textFill>
        </w:rPr>
      </w:pPr>
    </w:p>
    <w:p>
      <w:pPr>
        <w:pStyle w:val="13"/>
        <w:rPr>
          <w:color w:val="000000" w:themeColor="text1"/>
          <w:sz w:val="23"/>
          <w:highlight w:val="none"/>
          <w14:textFill>
            <w14:solidFill>
              <w14:schemeClr w14:val="tx1"/>
            </w14:solidFill>
          </w14:textFill>
        </w:rPr>
      </w:pPr>
    </w:p>
    <w:p>
      <w:pPr>
        <w:spacing w:before="54" w:line="386" w:lineRule="auto"/>
        <w:ind w:left="237" w:right="333"/>
        <w:jc w:val="center"/>
        <w:rPr>
          <w:b/>
          <w:color w:val="000000" w:themeColor="text1"/>
          <w:sz w:val="32"/>
          <w:highlight w:val="none"/>
          <w14:textFill>
            <w14:solidFill>
              <w14:schemeClr w14:val="tx1"/>
            </w14:solidFill>
          </w14:textFill>
        </w:rPr>
      </w:pPr>
      <w:bookmarkStart w:id="119" w:name="二、投标人的授权委托书原件、委托代理人身份证正反面复印件以及由县级以上（含县级）"/>
      <w:bookmarkEnd w:id="119"/>
      <w:r>
        <w:rPr>
          <w:b/>
          <w:color w:val="000000" w:themeColor="text1"/>
          <w:w w:val="95"/>
          <w:sz w:val="32"/>
          <w:highlight w:val="none"/>
          <w14:textFill>
            <w14:solidFill>
              <w14:schemeClr w14:val="tx1"/>
            </w14:solidFill>
          </w14:textFill>
        </w:rPr>
        <w:t xml:space="preserve">二、投标人的授权委托书原件、委托代理人身份证正反面复印件 以及由县级以上（含县级）社会养老保险经办机构出具的投标人 为委托代理人交纳的社保证明（投标截止日当月的前六个月中任 意连续三个月）复印件【自然人投标的应提供由县级以上（含县 级）社会养老保险经办机构出具的自然人本人及委托代理人所交 </w:t>
      </w:r>
      <w:r>
        <w:rPr>
          <w:b/>
          <w:color w:val="000000" w:themeColor="text1"/>
          <w:sz w:val="32"/>
          <w:highlight w:val="none"/>
          <w14:textFill>
            <w14:solidFill>
              <w14:schemeClr w14:val="tx1"/>
            </w14:solidFill>
          </w14:textFill>
        </w:rPr>
        <w:t>纳的社保证明复印件】（委托代理时必须提供）</w:t>
      </w:r>
    </w:p>
    <w:p>
      <w:pPr>
        <w:spacing w:before="146"/>
        <w:ind w:right="7013"/>
        <w:jc w:val="center"/>
        <w:outlineLvl w:val="1"/>
        <w:rPr>
          <w:b/>
          <w:color w:val="000000" w:themeColor="text1"/>
          <w:sz w:val="32"/>
          <w:highlight w:val="none"/>
          <w14:textFill>
            <w14:solidFill>
              <w14:schemeClr w14:val="tx1"/>
            </w14:solidFill>
          </w14:textFill>
        </w:rPr>
      </w:pPr>
      <w:bookmarkStart w:id="120" w:name="_Toc16174"/>
      <w:r>
        <w:rPr>
          <w:b/>
          <w:color w:val="000000" w:themeColor="text1"/>
          <w:sz w:val="32"/>
          <w:highlight w:val="none"/>
          <w14:textFill>
            <w14:solidFill>
              <w14:schemeClr w14:val="tx1"/>
            </w14:solidFill>
          </w14:textFill>
        </w:rPr>
        <w:t>附件：</w:t>
      </w:r>
      <w:bookmarkEnd w:id="120"/>
    </w:p>
    <w:p>
      <w:pPr>
        <w:spacing w:before="116"/>
        <w:ind w:left="237" w:right="17"/>
        <w:jc w:val="center"/>
        <w:outlineLvl w:val="1"/>
        <w:rPr>
          <w:b/>
          <w:color w:val="000000" w:themeColor="text1"/>
          <w:sz w:val="32"/>
          <w:highlight w:val="none"/>
          <w14:textFill>
            <w14:solidFill>
              <w14:schemeClr w14:val="tx1"/>
            </w14:solidFill>
          </w14:textFill>
        </w:rPr>
      </w:pPr>
      <w:bookmarkStart w:id="121" w:name="_Toc32732"/>
      <w:r>
        <w:rPr>
          <w:b/>
          <w:color w:val="000000" w:themeColor="text1"/>
          <w:sz w:val="32"/>
          <w:highlight w:val="none"/>
          <w14:textFill>
            <w14:solidFill>
              <w14:schemeClr w14:val="tx1"/>
            </w14:solidFill>
          </w14:textFill>
        </w:rPr>
        <w:t>授权委托书（格式一）</w:t>
      </w:r>
      <w:bookmarkEnd w:id="121"/>
    </w:p>
    <w:p>
      <w:pPr>
        <w:pStyle w:val="13"/>
        <w:spacing w:before="4"/>
        <w:rPr>
          <w:b/>
          <w:color w:val="000000" w:themeColor="text1"/>
          <w:sz w:val="15"/>
          <w:highlight w:val="none"/>
          <w14:textFill>
            <w14:solidFill>
              <w14:schemeClr w14:val="tx1"/>
            </w14:solidFill>
          </w14:textFill>
        </w:rPr>
      </w:pPr>
    </w:p>
    <w:p>
      <w:pPr>
        <w:pStyle w:val="13"/>
        <w:spacing w:before="70"/>
        <w:ind w:left="215"/>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致</w:t>
      </w:r>
      <w:r>
        <w:rPr>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广西真诚工程咨询有限公司</w:t>
      </w:r>
    </w:p>
    <w:p>
      <w:pPr>
        <w:pStyle w:val="13"/>
        <w:tabs>
          <w:tab w:val="left" w:pos="1653"/>
          <w:tab w:val="left" w:pos="5803"/>
        </w:tabs>
        <w:spacing w:before="172"/>
        <w:ind w:right="319"/>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w:t>
      </w:r>
      <w:r>
        <w:rPr>
          <w:color w:val="000000" w:themeColor="text1"/>
          <w:spacing w:val="-27"/>
          <w:highlight w:val="none"/>
          <w14:textFill>
            <w14:solidFill>
              <w14:schemeClr w14:val="tx1"/>
            </w14:solidFill>
          </w14:textFill>
        </w:rPr>
        <w:t>）</w:t>
      </w: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w:t>
      </w:r>
    </w:p>
    <w:p>
      <w:pPr>
        <w:pStyle w:val="13"/>
        <w:tabs>
          <w:tab w:val="left" w:pos="5039"/>
          <w:tab w:val="left" w:pos="8191"/>
        </w:tabs>
        <w:spacing w:before="170"/>
        <w:ind w:right="31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（负责人），现授权委托本单位在职职工</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（姓名）以我公司名义参加</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（采购项</w:t>
      </w:r>
    </w:p>
    <w:p>
      <w:pPr>
        <w:pStyle w:val="13"/>
        <w:spacing w:before="11"/>
        <w:rPr>
          <w:color w:val="000000" w:themeColor="text1"/>
          <w:sz w:val="7"/>
          <w:highlight w:val="none"/>
          <w14:textFill>
            <w14:solidFill>
              <w14:schemeClr w14:val="tx1"/>
            </w14:solidFill>
          </w14:textFill>
        </w:rPr>
      </w:pPr>
    </w:p>
    <w:p>
      <w:pPr>
        <w:pStyle w:val="13"/>
        <w:tabs>
          <w:tab w:val="left" w:pos="3366"/>
        </w:tabs>
        <w:spacing w:before="70" w:line="393" w:lineRule="auto"/>
        <w:ind w:left="215" w:right="316"/>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目名称及采购项目编号）</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项目的投标活动，并代表我方全权办理针对上述项目的投标、开标、评标、签约等具体事务和签署相关文件。</w:t>
      </w:r>
    </w:p>
    <w:p>
      <w:pPr>
        <w:pStyle w:val="13"/>
        <w:tabs>
          <w:tab w:val="left" w:pos="5039"/>
          <w:tab w:val="left" w:pos="8191"/>
        </w:tabs>
        <w:spacing w:before="170"/>
        <w:ind w:right="316"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我方对被授权人的签字事项负全部责任。</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2"/>
          <w:highlight w:val="none"/>
          <w14:textFill>
            <w14:solidFill>
              <w14:schemeClr w14:val="tx1"/>
            </w14:solidFill>
          </w14:textFill>
        </w:rPr>
      </w:pPr>
    </w:p>
    <w:p>
      <w:pPr>
        <w:pStyle w:val="13"/>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代理人无转委托权,特此委托。</w:t>
      </w:r>
    </w:p>
    <w:p>
      <w:pPr>
        <w:pStyle w:val="13"/>
        <w:rPr>
          <w:color w:val="000000" w:themeColor="text1"/>
          <w:sz w:val="20"/>
          <w:highlight w:val="none"/>
          <w14:textFill>
            <w14:solidFill>
              <w14:schemeClr w14:val="tx1"/>
            </w14:solidFill>
          </w14:textFill>
        </w:rPr>
      </w:pPr>
    </w:p>
    <w:p>
      <w:pPr>
        <w:pStyle w:val="13"/>
        <w:spacing w:before="10"/>
        <w:rPr>
          <w:color w:val="000000" w:themeColor="text1"/>
          <w:sz w:val="27"/>
          <w:highlight w:val="none"/>
          <w14:textFill>
            <w14:solidFill>
              <w14:schemeClr w14:val="tx1"/>
            </w14:solidFill>
          </w14:textFill>
        </w:rPr>
      </w:pPr>
    </w:p>
    <w:p>
      <w:pPr>
        <w:pStyle w:val="13"/>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我已在下面签字，以资证明。</w:t>
      </w:r>
    </w:p>
    <w:p>
      <w:pPr>
        <w:pStyle w:val="13"/>
        <w:rPr>
          <w:color w:val="000000" w:themeColor="text1"/>
          <w:sz w:val="20"/>
          <w:highlight w:val="none"/>
          <w14:textFill>
            <w14:solidFill>
              <w14:schemeClr w14:val="tx1"/>
            </w14:solidFill>
          </w14:textFill>
        </w:rPr>
      </w:pPr>
    </w:p>
    <w:p>
      <w:pPr>
        <w:pStyle w:val="13"/>
        <w:spacing w:before="7"/>
        <w:rPr>
          <w:color w:val="000000" w:themeColor="text1"/>
          <w:sz w:val="27"/>
          <w:highlight w:val="none"/>
          <w14:textFill>
            <w14:solidFill>
              <w14:schemeClr w14:val="tx1"/>
            </w14:solidFill>
          </w14:textFill>
        </w:rPr>
      </w:pPr>
    </w:p>
    <w:p>
      <w:pPr>
        <w:pStyle w:val="13"/>
        <w:ind w:left="53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投标人（公章）：</w:t>
      </w:r>
    </w:p>
    <w:p>
      <w:pPr>
        <w:pStyle w:val="13"/>
        <w:rPr>
          <w:color w:val="000000" w:themeColor="text1"/>
          <w:sz w:val="20"/>
          <w:highlight w:val="none"/>
          <w14:textFill>
            <w14:solidFill>
              <w14:schemeClr w14:val="tx1"/>
            </w14:solidFill>
          </w14:textFill>
        </w:rPr>
      </w:pPr>
    </w:p>
    <w:p>
      <w:pPr>
        <w:pStyle w:val="13"/>
        <w:spacing w:before="9"/>
        <w:rPr>
          <w:color w:val="000000" w:themeColor="text1"/>
          <w:sz w:val="27"/>
          <w:highlight w:val="none"/>
          <w14:textFill>
            <w14:solidFill>
              <w14:schemeClr w14:val="tx1"/>
            </w14:solidFill>
          </w14:textFill>
        </w:rPr>
      </w:pPr>
    </w:p>
    <w:p>
      <w:pPr>
        <w:pStyle w:val="13"/>
        <w:tabs>
          <w:tab w:val="left" w:pos="7463"/>
          <w:tab w:val="left" w:pos="8303"/>
          <w:tab w:val="left" w:pos="9038"/>
        </w:tabs>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w:t>
      </w:r>
      <w:r>
        <w:rPr>
          <w:color w:val="000000" w:themeColor="text1"/>
          <w:spacing w:val="-39"/>
          <w:highlight w:val="none"/>
          <w14:textFill>
            <w14:solidFill>
              <w14:schemeClr w14:val="tx1"/>
            </w14:solidFill>
          </w14:textFill>
        </w:rPr>
        <w:t>人</w:t>
      </w:r>
      <w:r>
        <w:rPr>
          <w:color w:val="000000" w:themeColor="text1"/>
          <w:highlight w:val="none"/>
          <w14:textFill>
            <w14:solidFill>
              <w14:schemeClr w14:val="tx1"/>
            </w14:solidFill>
          </w14:textFill>
        </w:rPr>
        <w:t>（负责人</w:t>
      </w:r>
      <w:r>
        <w:rPr>
          <w:color w:val="000000" w:themeColor="text1"/>
          <w:spacing w:val="-41"/>
          <w:highlight w:val="none"/>
          <w14:textFill>
            <w14:solidFill>
              <w14:schemeClr w14:val="tx1"/>
            </w14:solidFill>
          </w14:textFill>
        </w:rPr>
        <w:t>）</w:t>
      </w:r>
      <w:r>
        <w:rPr>
          <w:color w:val="000000" w:themeColor="text1"/>
          <w:highlight w:val="none"/>
          <w14:textFill>
            <w14:solidFill>
              <w14:schemeClr w14:val="tx1"/>
            </w14:solidFill>
          </w14:textFill>
        </w:rPr>
        <w:t>签</w:t>
      </w:r>
      <w:r>
        <w:rPr>
          <w:color w:val="000000" w:themeColor="text1"/>
          <w:spacing w:val="-39"/>
          <w:highlight w:val="none"/>
          <w14:textFill>
            <w14:solidFill>
              <w14:schemeClr w14:val="tx1"/>
            </w14:solidFill>
          </w14:textFill>
        </w:rPr>
        <w:t>字</w:t>
      </w:r>
      <w:r>
        <w:rPr>
          <w:color w:val="000000" w:themeColor="text1"/>
          <w:highlight w:val="none"/>
          <w14:textFill>
            <w14:solidFill>
              <w14:schemeClr w14:val="tx1"/>
            </w14:solidFill>
          </w14:textFill>
        </w:rPr>
        <w:t>（或盖章</w:t>
      </w:r>
      <w:r>
        <w:rPr>
          <w:color w:val="000000" w:themeColor="text1"/>
          <w:spacing w:val="-21"/>
          <w:highlight w:val="none"/>
          <w14:textFill>
            <w14:solidFill>
              <w14:schemeClr w14:val="tx1"/>
            </w14:solidFill>
          </w14:textFill>
        </w:rPr>
        <w:t>）：</w:t>
      </w:r>
      <w:r>
        <w:rPr>
          <w:color w:val="000000" w:themeColor="text1"/>
          <w:spacing w:val="-2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pStyle w:val="13"/>
        <w:rPr>
          <w:color w:val="000000" w:themeColor="text1"/>
          <w:sz w:val="20"/>
          <w:highlight w:val="none"/>
          <w14:textFill>
            <w14:solidFill>
              <w14:schemeClr w14:val="tx1"/>
            </w14:solidFill>
          </w14:textFill>
        </w:rPr>
      </w:pPr>
    </w:p>
    <w:p>
      <w:pPr>
        <w:pStyle w:val="13"/>
        <w:spacing w:before="10"/>
        <w:rPr>
          <w:color w:val="000000" w:themeColor="text1"/>
          <w:sz w:val="19"/>
          <w:highlight w:val="none"/>
          <w14:textFill>
            <w14:solidFill>
              <w14:schemeClr w14:val="tx1"/>
            </w14:solidFill>
          </w14:textFill>
        </w:rPr>
      </w:pPr>
    </w:p>
    <w:p>
      <w:pPr>
        <w:spacing w:line="312" w:lineRule="auto"/>
        <w:ind w:left="215" w:right="288" w:firstLine="6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附：委托代理人身份证正反面复印件以及由县级以上（含县级）社会养老保险经办机构出具的投标人为委托代理人交纳社保证明复印件（委托代理时必须提供）。</w:t>
      </w:r>
    </w:p>
    <w:p>
      <w:pPr>
        <w:spacing w:line="312" w:lineRule="auto"/>
        <w:rPr>
          <w:color w:val="000000" w:themeColor="text1"/>
          <w:sz w:val="24"/>
          <w:highlight w:val="none"/>
          <w14:textFill>
            <w14:solidFill>
              <w14:schemeClr w14:val="tx1"/>
            </w14:solidFill>
          </w14:textFill>
        </w:rPr>
        <w:sectPr>
          <w:pgSz w:w="11910" w:h="16840"/>
          <w:pgMar w:top="1580" w:right="1140" w:bottom="900" w:left="1200" w:header="0" w:footer="720" w:gutter="0"/>
          <w:cols w:space="720" w:num="1"/>
        </w:sectPr>
      </w:pPr>
    </w:p>
    <w:p>
      <w:pPr>
        <w:pStyle w:val="13"/>
        <w:spacing w:before="4"/>
        <w:rPr>
          <w:b/>
          <w:color w:val="000000" w:themeColor="text1"/>
          <w:sz w:val="17"/>
          <w:highlight w:val="none"/>
          <w14:textFill>
            <w14:solidFill>
              <w14:schemeClr w14:val="tx1"/>
            </w14:solidFill>
          </w14:textFill>
        </w:rPr>
      </w:pPr>
    </w:p>
    <w:p>
      <w:pPr>
        <w:spacing w:before="54"/>
        <w:ind w:right="98"/>
        <w:jc w:val="center"/>
        <w:outlineLvl w:val="1"/>
        <w:rPr>
          <w:b/>
          <w:color w:val="000000" w:themeColor="text1"/>
          <w:sz w:val="32"/>
          <w:highlight w:val="none"/>
          <w14:textFill>
            <w14:solidFill>
              <w14:schemeClr w14:val="tx1"/>
            </w14:solidFill>
          </w14:textFill>
        </w:rPr>
      </w:pPr>
      <w:bookmarkStart w:id="122" w:name="三、投标人参加政府采购活动前3年内在经营活动中没有重大违法记录的书面声明（必须提"/>
      <w:bookmarkEnd w:id="122"/>
      <w:bookmarkStart w:id="123" w:name="_Toc24464"/>
      <w:r>
        <w:rPr>
          <w:b/>
          <w:color w:val="000000" w:themeColor="text1"/>
          <w:sz w:val="32"/>
          <w:highlight w:val="none"/>
          <w14:textFill>
            <w14:solidFill>
              <w14:schemeClr w14:val="tx1"/>
            </w14:solidFill>
          </w14:textFill>
        </w:rPr>
        <w:t>授权委托书（格式二）</w:t>
      </w:r>
      <w:bookmarkEnd w:id="123"/>
    </w:p>
    <w:p>
      <w:pPr>
        <w:pStyle w:val="13"/>
        <w:spacing w:before="5"/>
        <w:rPr>
          <w:b/>
          <w:color w:val="000000" w:themeColor="text1"/>
          <w:sz w:val="15"/>
          <w:highlight w:val="none"/>
          <w14:textFill>
            <w14:solidFill>
              <w14:schemeClr w14:val="tx1"/>
            </w14:solidFill>
          </w14:textFill>
        </w:rPr>
      </w:pPr>
    </w:p>
    <w:p>
      <w:pPr>
        <w:pStyle w:val="13"/>
        <w:spacing w:before="70"/>
        <w:ind w:left="215"/>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致</w:t>
      </w:r>
      <w:r>
        <w:rPr>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广西真诚工程咨询有限公司</w:t>
      </w:r>
    </w:p>
    <w:p>
      <w:pPr>
        <w:pStyle w:val="13"/>
        <w:tabs>
          <w:tab w:val="left" w:pos="2407"/>
          <w:tab w:val="left" w:pos="6765"/>
        </w:tabs>
        <w:spacing w:before="172"/>
        <w:ind w:left="63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我</w:t>
      </w:r>
      <w:r>
        <w:rPr>
          <w:color w:val="000000" w:themeColor="text1"/>
          <w:spacing w:val="7"/>
          <w:highlight w:val="none"/>
          <w:u w:val="single"/>
          <w14:textFill>
            <w14:solidFill>
              <w14:schemeClr w14:val="tx1"/>
            </w14:solidFill>
          </w14:textFill>
        </w:rPr>
        <w:t xml:space="preserve"> </w:t>
      </w:r>
      <w:r>
        <w:rPr>
          <w:color w:val="000000" w:themeColor="text1"/>
          <w:spacing w:val="7"/>
          <w:highlight w:val="none"/>
          <w:u w:val="single"/>
          <w14:textFill>
            <w14:solidFill>
              <w14:schemeClr w14:val="tx1"/>
            </w14:solidFill>
          </w14:textFill>
        </w:rPr>
        <w:tab/>
      </w:r>
      <w:r>
        <w:rPr>
          <w:color w:val="000000" w:themeColor="text1"/>
          <w:spacing w:val="7"/>
          <w:highlight w:val="none"/>
          <w14:textFill>
            <w14:solidFill>
              <w14:schemeClr w14:val="tx1"/>
            </w14:solidFill>
          </w14:textFill>
        </w:rPr>
        <w:t>（姓名）系自然人，现授权委</w:t>
      </w:r>
      <w:r>
        <w:rPr>
          <w:color w:val="000000" w:themeColor="text1"/>
          <w:spacing w:val="8"/>
          <w:highlight w:val="none"/>
          <w14:textFill>
            <w14:solidFill>
              <w14:schemeClr w14:val="tx1"/>
            </w14:solidFill>
          </w14:textFill>
        </w:rPr>
        <w:t>托</w:t>
      </w:r>
      <w:r>
        <w:rPr>
          <w:color w:val="000000" w:themeColor="text1"/>
          <w:spacing w:val="8"/>
          <w:highlight w:val="none"/>
          <w:u w:val="single"/>
          <w14:textFill>
            <w14:solidFill>
              <w14:schemeClr w14:val="tx1"/>
            </w14:solidFill>
          </w14:textFill>
        </w:rPr>
        <w:t xml:space="preserve"> </w:t>
      </w:r>
      <w:r>
        <w:rPr>
          <w:color w:val="000000" w:themeColor="text1"/>
          <w:spacing w:val="8"/>
          <w:highlight w:val="none"/>
          <w:u w:val="single"/>
          <w14:textFill>
            <w14:solidFill>
              <w14:schemeClr w14:val="tx1"/>
            </w14:solidFill>
          </w14:textFill>
        </w:rPr>
        <w:tab/>
      </w:r>
      <w:r>
        <w:rPr>
          <w:color w:val="000000" w:themeColor="text1"/>
          <w:spacing w:val="7"/>
          <w:highlight w:val="none"/>
          <w14:textFill>
            <w14:solidFill>
              <w14:schemeClr w14:val="tx1"/>
            </w14:solidFill>
          </w14:textFill>
        </w:rPr>
        <w:t>（</w:t>
      </w:r>
      <w:r>
        <w:rPr>
          <w:color w:val="000000" w:themeColor="text1"/>
          <w:highlight w:val="none"/>
          <w14:textFill>
            <w14:solidFill>
              <w14:schemeClr w14:val="tx1"/>
            </w14:solidFill>
          </w14:textFill>
        </w:rPr>
        <w:t>姓</w:t>
      </w:r>
      <w:r>
        <w:rPr>
          <w:color w:val="000000" w:themeColor="text1"/>
          <w:spacing w:val="9"/>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名）以本人名义参</w:t>
      </w:r>
      <w:r>
        <w:rPr>
          <w:color w:val="000000" w:themeColor="text1"/>
          <w:highlight w:val="none"/>
          <w14:textFill>
            <w14:solidFill>
              <w14:schemeClr w14:val="tx1"/>
            </w14:solidFill>
          </w14:textFill>
        </w:rPr>
        <w:t>加</w:t>
      </w:r>
    </w:p>
    <w:p>
      <w:pPr>
        <w:pStyle w:val="13"/>
        <w:tabs>
          <w:tab w:val="left" w:pos="4206"/>
        </w:tabs>
        <w:spacing w:before="170" w:line="391" w:lineRule="auto"/>
        <w:ind w:left="215" w:right="316"/>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（采购项目名称及采购项目编号）</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项目的投标活动，并代表本人全权办理针对上述项目的投标、开标、评标、签约等具体事务和签署相关文件。</w:t>
      </w:r>
    </w:p>
    <w:p>
      <w:pPr>
        <w:pStyle w:val="13"/>
        <w:spacing w:before="4"/>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本人对被授权人的签字事项负全部责任。</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
        <w:rPr>
          <w:color w:val="000000" w:themeColor="text1"/>
          <w:sz w:val="20"/>
          <w:highlight w:val="none"/>
          <w14:textFill>
            <w14:solidFill>
              <w14:schemeClr w14:val="tx1"/>
            </w14:solidFill>
          </w14:textFill>
        </w:rPr>
      </w:pPr>
    </w:p>
    <w:p>
      <w:pPr>
        <w:pStyle w:val="13"/>
        <w:spacing w:line="568" w:lineRule="auto"/>
        <w:ind w:left="215" w:right="6093"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代理人无转委托权,特此委托。我已在下面签字，以资证明。</w:t>
      </w:r>
    </w:p>
    <w:p>
      <w:pPr>
        <w:pStyle w:val="13"/>
        <w:tabs>
          <w:tab w:val="left" w:pos="7461"/>
          <w:tab w:val="left" w:pos="8301"/>
          <w:tab w:val="left" w:pos="9035"/>
        </w:tabs>
        <w:spacing w:before="26"/>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自然人签字并在签名处加盖食指指印：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日</w:t>
      </w:r>
    </w:p>
    <w:p>
      <w:pPr>
        <w:pStyle w:val="13"/>
        <w:rPr>
          <w:color w:val="000000" w:themeColor="text1"/>
          <w:sz w:val="20"/>
          <w:highlight w:val="none"/>
          <w14:textFill>
            <w14:solidFill>
              <w14:schemeClr w14:val="tx1"/>
            </w14:solidFill>
          </w14:textFill>
        </w:rPr>
      </w:pPr>
    </w:p>
    <w:p>
      <w:pPr>
        <w:pStyle w:val="13"/>
        <w:spacing w:before="2"/>
        <w:rPr>
          <w:color w:val="000000" w:themeColor="text1"/>
          <w:sz w:val="17"/>
          <w:highlight w:val="none"/>
          <w14:textFill>
            <w14:solidFill>
              <w14:schemeClr w14:val="tx1"/>
            </w14:solidFill>
          </w14:textFill>
        </w:rPr>
      </w:pPr>
    </w:p>
    <w:p>
      <w:pPr>
        <w:spacing w:line="343" w:lineRule="auto"/>
        <w:ind w:left="215" w:right="283" w:firstLine="600"/>
        <w:jc w:val="both"/>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附：委托代理人身份证正反面复印件以及由县级以上（含县级）社会养老保险经</w:t>
      </w:r>
      <w:r>
        <w:rPr>
          <w:b/>
          <w:color w:val="000000" w:themeColor="text1"/>
          <w:spacing w:val="4"/>
          <w:w w:val="95"/>
          <w:sz w:val="24"/>
          <w:highlight w:val="none"/>
          <w14:textFill>
            <w14:solidFill>
              <w14:schemeClr w14:val="tx1"/>
            </w14:solidFill>
          </w14:textFill>
        </w:rPr>
        <w:t>办机构出具的自然人本人及委托代理人所交纳的社保证明复印件（</w:t>
      </w:r>
      <w:r>
        <w:rPr>
          <w:b/>
          <w:color w:val="000000" w:themeColor="text1"/>
          <w:spacing w:val="3"/>
          <w:w w:val="95"/>
          <w:sz w:val="24"/>
          <w:highlight w:val="none"/>
          <w14:textFill>
            <w14:solidFill>
              <w14:schemeClr w14:val="tx1"/>
            </w14:solidFill>
          </w14:textFill>
        </w:rPr>
        <w:t xml:space="preserve">委托代理时必须提  </w:t>
      </w:r>
      <w:r>
        <w:rPr>
          <w:b/>
          <w:color w:val="000000" w:themeColor="text1"/>
          <w:spacing w:val="3"/>
          <w:sz w:val="24"/>
          <w:highlight w:val="none"/>
          <w14:textFill>
            <w14:solidFill>
              <w14:schemeClr w14:val="tx1"/>
            </w14:solidFill>
          </w14:textFill>
        </w:rPr>
        <w:t>供）。</w:t>
      </w:r>
    </w:p>
    <w:p>
      <w:pPr>
        <w:spacing w:line="343" w:lineRule="auto"/>
        <w:jc w:val="both"/>
        <w:rPr>
          <w:color w:val="000000" w:themeColor="text1"/>
          <w:sz w:val="24"/>
          <w:highlight w:val="none"/>
          <w14:textFill>
            <w14:solidFill>
              <w14:schemeClr w14:val="tx1"/>
            </w14:solidFill>
          </w14:textFill>
        </w:rPr>
        <w:sectPr>
          <w:footerReference r:id="rId13" w:type="default"/>
          <w:pgSz w:w="11910" w:h="16840"/>
          <w:pgMar w:top="1580" w:right="1140" w:bottom="900" w:left="1200" w:header="0" w:footer="720" w:gutter="0"/>
          <w:pgNumType w:start="60"/>
          <w:cols w:space="720" w:num="1"/>
        </w:sectPr>
      </w:pPr>
    </w:p>
    <w:p>
      <w:pPr>
        <w:pStyle w:val="13"/>
        <w:spacing w:before="11"/>
        <w:rPr>
          <w:b/>
          <w:color w:val="000000" w:themeColor="text1"/>
          <w:sz w:val="11"/>
          <w:highlight w:val="none"/>
          <w14:textFill>
            <w14:solidFill>
              <w14:schemeClr w14:val="tx1"/>
            </w14:solidFill>
          </w14:textFill>
        </w:rPr>
      </w:pPr>
    </w:p>
    <w:p>
      <w:pPr>
        <w:pStyle w:val="2"/>
        <w:spacing w:before="55" w:line="386" w:lineRule="auto"/>
        <w:ind w:left="2325" w:right="333" w:hanging="2088"/>
        <w:jc w:val="left"/>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三、投标人参加政府采购活动前 </w:t>
      </w:r>
      <w:r>
        <w:rPr>
          <w:color w:val="000000" w:themeColor="text1"/>
          <w:highlight w:val="none"/>
          <w14:textFill>
            <w14:solidFill>
              <w14:schemeClr w14:val="tx1"/>
            </w14:solidFill>
          </w14:textFill>
        </w:rPr>
        <w:t>3</w:t>
      </w:r>
      <w:r>
        <w:rPr>
          <w:color w:val="000000" w:themeColor="text1"/>
          <w:spacing w:val="-10"/>
          <w:highlight w:val="none"/>
          <w14:textFill>
            <w14:solidFill>
              <w14:schemeClr w14:val="tx1"/>
            </w14:solidFill>
          </w14:textFill>
        </w:rPr>
        <w:t xml:space="preserve"> 年内在经营活动中没有重大违法记录的书面声明（必须提供）；</w:t>
      </w:r>
    </w:p>
    <w:p>
      <w:pPr>
        <w:spacing w:before="136" w:line="405" w:lineRule="exact"/>
        <w:ind w:left="794"/>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附件：</w:t>
      </w:r>
    </w:p>
    <w:p>
      <w:pPr>
        <w:tabs>
          <w:tab w:val="left" w:pos="4972"/>
        </w:tabs>
        <w:spacing w:line="405" w:lineRule="exact"/>
        <w:ind w:left="4171"/>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声</w:t>
      </w:r>
      <w:r>
        <w:rPr>
          <w:b/>
          <w:color w:val="000000" w:themeColor="text1"/>
          <w:sz w:val="32"/>
          <w:highlight w:val="none"/>
          <w14:textFill>
            <w14:solidFill>
              <w14:schemeClr w14:val="tx1"/>
            </w14:solidFill>
          </w14:textFill>
        </w:rPr>
        <w:tab/>
      </w:r>
      <w:r>
        <w:rPr>
          <w:b/>
          <w:color w:val="000000" w:themeColor="text1"/>
          <w:sz w:val="32"/>
          <w:highlight w:val="none"/>
          <w14:textFill>
            <w14:solidFill>
              <w14:schemeClr w14:val="tx1"/>
            </w14:solidFill>
          </w14:textFill>
        </w:rPr>
        <w:t>明</w:t>
      </w:r>
    </w:p>
    <w:p>
      <w:pPr>
        <w:pStyle w:val="13"/>
        <w:spacing w:before="20"/>
        <w:ind w:left="215"/>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致</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广西真诚工程咨询有限公司</w:t>
      </w:r>
    </w:p>
    <w:p>
      <w:pPr>
        <w:pStyle w:val="13"/>
        <w:rPr>
          <w:color w:val="000000" w:themeColor="text1"/>
          <w:sz w:val="20"/>
          <w:highlight w:val="none"/>
          <w14:textFill>
            <w14:solidFill>
              <w14:schemeClr w14:val="tx1"/>
            </w14:solidFill>
          </w14:textFill>
        </w:rPr>
      </w:pPr>
    </w:p>
    <w:p>
      <w:pPr>
        <w:pStyle w:val="13"/>
        <w:spacing w:before="3"/>
        <w:rPr>
          <w:color w:val="000000" w:themeColor="text1"/>
          <w:sz w:val="19"/>
          <w:highlight w:val="none"/>
          <w14:textFill>
            <w14:solidFill>
              <w14:schemeClr w14:val="tx1"/>
            </w14:solidFill>
          </w14:textFill>
        </w:rPr>
      </w:pPr>
    </w:p>
    <w:p>
      <w:pPr>
        <w:pStyle w:val="13"/>
        <w:spacing w:before="1" w:line="393" w:lineRule="auto"/>
        <w:ind w:left="215" w:right="316"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我（公司）</w:t>
      </w:r>
      <w:r>
        <w:rPr>
          <w:color w:val="000000" w:themeColor="text1"/>
          <w:spacing w:val="-4"/>
          <w:highlight w:val="none"/>
          <w14:textFill>
            <w14:solidFill>
              <w14:schemeClr w14:val="tx1"/>
            </w14:solidFill>
          </w14:textFill>
        </w:rPr>
        <w:t xml:space="preserve">郑重声明，在参加政府采购活动前 </w:t>
      </w:r>
      <w:r>
        <w:rPr>
          <w:color w:val="000000" w:themeColor="text1"/>
          <w:highlight w:val="none"/>
          <w14:textFill>
            <w14:solidFill>
              <w14:schemeClr w14:val="tx1"/>
            </w14:solidFill>
          </w14:textFill>
        </w:rPr>
        <w:t>3</w:t>
      </w:r>
      <w:r>
        <w:rPr>
          <w:color w:val="000000" w:themeColor="text1"/>
          <w:spacing w:val="-8"/>
          <w:highlight w:val="none"/>
          <w14:textFill>
            <w14:solidFill>
              <w14:schemeClr w14:val="tx1"/>
            </w14:solidFill>
          </w14:textFill>
        </w:rPr>
        <w:t xml:space="preserve"> 年内在经营活动中没有重大违法记录</w:t>
      </w:r>
      <w:r>
        <w:rPr>
          <w:color w:val="000000" w:themeColor="text1"/>
          <w:highlight w:val="none"/>
          <w14:textFill>
            <w14:solidFill>
              <w14:schemeClr w14:val="tx1"/>
            </w14:solidFill>
          </w14:textFill>
        </w:rPr>
        <w:t>（重大违</w:t>
      </w:r>
      <w:r>
        <w:rPr>
          <w:color w:val="000000" w:themeColor="text1"/>
          <w:spacing w:val="-4"/>
          <w:highlight w:val="none"/>
          <w14:textFill>
            <w14:solidFill>
              <w14:schemeClr w14:val="tx1"/>
            </w14:solidFill>
          </w14:textFill>
        </w:rPr>
        <w:t xml:space="preserve">法记录是指投标人因违法经营受到刑事处罚或者责令停产停业、吊销许可证或者执照、较大数额罚  </w:t>
      </w:r>
      <w:r>
        <w:rPr>
          <w:color w:val="000000" w:themeColor="text1"/>
          <w:w w:val="95"/>
          <w:highlight w:val="none"/>
          <w14:textFill>
            <w14:solidFill>
              <w14:schemeClr w14:val="tx1"/>
            </w14:solidFill>
          </w14:textFill>
        </w:rPr>
        <w:t xml:space="preserve"> </w:t>
      </w:r>
      <w:r>
        <w:rPr>
          <w:color w:val="000000" w:themeColor="text1"/>
          <w:highlight w:val="none"/>
          <w14:textFill>
            <w14:solidFill>
              <w14:schemeClr w14:val="tx1"/>
            </w14:solidFill>
          </w14:textFill>
        </w:rPr>
        <w:t>款等行政处罚）。</w:t>
      </w:r>
    </w:p>
    <w:p>
      <w:pPr>
        <w:pStyle w:val="13"/>
        <w:spacing w:before="7"/>
        <w:rPr>
          <w:color w:val="000000" w:themeColor="text1"/>
          <w:sz w:val="25"/>
          <w:highlight w:val="none"/>
          <w14:textFill>
            <w14:solidFill>
              <w14:schemeClr w14:val="tx1"/>
            </w14:solidFill>
          </w14:textFill>
        </w:rPr>
      </w:pPr>
    </w:p>
    <w:p>
      <w:pPr>
        <w:pStyle w:val="13"/>
        <w:ind w:left="368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投标人（公章，自然人除外）：</w:t>
      </w:r>
    </w:p>
    <w:p>
      <w:pPr>
        <w:pStyle w:val="13"/>
        <w:rPr>
          <w:color w:val="000000" w:themeColor="text1"/>
          <w:sz w:val="20"/>
          <w:highlight w:val="none"/>
          <w14:textFill>
            <w14:solidFill>
              <w14:schemeClr w14:val="tx1"/>
            </w14:solidFill>
          </w14:textFill>
        </w:rPr>
      </w:pPr>
    </w:p>
    <w:p>
      <w:pPr>
        <w:pStyle w:val="13"/>
        <w:spacing w:before="9"/>
        <w:rPr>
          <w:color w:val="000000" w:themeColor="text1"/>
          <w:sz w:val="27"/>
          <w:highlight w:val="none"/>
          <w14:textFill>
            <w14:solidFill>
              <w14:schemeClr w14:val="tx1"/>
            </w14:solidFill>
          </w14:textFill>
        </w:rPr>
      </w:pPr>
    </w:p>
    <w:p>
      <w:pPr>
        <w:pStyle w:val="13"/>
        <w:tabs>
          <w:tab w:val="left" w:pos="9298"/>
        </w:tabs>
        <w:spacing w:line="391" w:lineRule="auto"/>
        <w:ind w:left="3576" w:right="266"/>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法定代表人、负责人、自然人或相应的委托代理人签字（或盖</w:t>
      </w:r>
      <w:r>
        <w:rPr>
          <w:color w:val="000000" w:themeColor="text1"/>
          <w:spacing w:val="-4"/>
          <w:highlight w:val="none"/>
          <w14:textFill>
            <w14:solidFill>
              <w14:schemeClr w14:val="tx1"/>
            </w14:solidFill>
          </w14:textFill>
        </w:rPr>
        <w:t>章）（属自然人的应在签名处加盖食指指印）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6"/>
        <w:rPr>
          <w:rFonts w:ascii="Times New Roman"/>
          <w:color w:val="000000" w:themeColor="text1"/>
          <w:sz w:val="18"/>
          <w:highlight w:val="none"/>
          <w14:textFill>
            <w14:solidFill>
              <w14:schemeClr w14:val="tx1"/>
            </w14:solidFill>
          </w14:textFill>
        </w:rPr>
      </w:pPr>
    </w:p>
    <w:p>
      <w:pPr>
        <w:pStyle w:val="13"/>
        <w:tabs>
          <w:tab w:val="left" w:pos="4835"/>
          <w:tab w:val="left" w:pos="9298"/>
        </w:tabs>
        <w:ind w:left="378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w w:val="95"/>
          <w:highlight w:val="none"/>
          <w14:textFill>
            <w14:solidFill>
              <w14:schemeClr w14:val="tx1"/>
            </w14:solidFill>
          </w14:textFill>
        </w:rPr>
        <w:t>期：</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10"/>
        <w:rPr>
          <w:rFonts w:ascii="Times New Roman"/>
          <w:color w:val="000000" w:themeColor="text1"/>
          <w:sz w:val="27"/>
          <w:highlight w:val="none"/>
          <w14:textFill>
            <w14:solidFill>
              <w14:schemeClr w14:val="tx1"/>
            </w14:solidFill>
          </w14:textFill>
        </w:rPr>
      </w:pPr>
    </w:p>
    <w:p>
      <w:pPr>
        <w:pStyle w:val="2"/>
        <w:spacing w:before="55" w:line="388" w:lineRule="auto"/>
        <w:ind w:left="3768" w:right="153" w:hanging="3548"/>
        <w:jc w:val="left"/>
        <w:rPr>
          <w:color w:val="000000" w:themeColor="text1"/>
          <w:highlight w:val="none"/>
          <w14:textFill>
            <w14:solidFill>
              <w14:schemeClr w14:val="tx1"/>
            </w14:solidFill>
          </w14:textFill>
        </w:rPr>
      </w:pPr>
      <w:bookmarkStart w:id="124" w:name="四、投标人的法人或者其他组织营业执照等证明文件（必须提供，自然人除外）"/>
      <w:bookmarkEnd w:id="124"/>
      <w:r>
        <w:rPr>
          <w:color w:val="000000" w:themeColor="text1"/>
          <w:spacing w:val="-11"/>
          <w:w w:val="95"/>
          <w:highlight w:val="none"/>
          <w14:textFill>
            <w14:solidFill>
              <w14:schemeClr w14:val="tx1"/>
            </w14:solidFill>
          </w14:textFill>
        </w:rPr>
        <w:t>四、投标人的法人或者其他组织营业执照等证明文件</w:t>
      </w:r>
      <w:r>
        <w:rPr>
          <w:color w:val="000000" w:themeColor="text1"/>
          <w:w w:val="95"/>
          <w:highlight w:val="none"/>
          <w14:textFill>
            <w14:solidFill>
              <w14:schemeClr w14:val="tx1"/>
            </w14:solidFill>
          </w14:textFill>
        </w:rPr>
        <w:t xml:space="preserve">（必须提供， </w:t>
      </w:r>
      <w:r>
        <w:rPr>
          <w:color w:val="000000" w:themeColor="text1"/>
          <w:highlight w:val="none"/>
          <w14:textFill>
            <w14:solidFill>
              <w14:schemeClr w14:val="tx1"/>
            </w14:solidFill>
          </w14:textFill>
        </w:rPr>
        <w:t>自然人除外）</w:t>
      </w:r>
    </w:p>
    <w:p>
      <w:pPr>
        <w:pStyle w:val="13"/>
        <w:spacing w:before="272" w:line="391" w:lineRule="auto"/>
        <w:ind w:left="635" w:right="316"/>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注：①法人包括企业法人、机关法人、事业单位法人和社会团体法人；其他组织主要包括合伙</w:t>
      </w:r>
      <w:r>
        <w:rPr>
          <w:color w:val="000000" w:themeColor="text1"/>
          <w:spacing w:val="-4"/>
          <w:highlight w:val="none"/>
          <w14:textFill>
            <w14:solidFill>
              <w14:schemeClr w14:val="tx1"/>
            </w14:solidFill>
          </w14:textFill>
        </w:rPr>
        <w:t>企业、非企业专业服务机构、个体工商户、农村承包经营户。②如投标人为企业（包括合伙企   业），应提供工商部门注册的有效“企业法人营业执照”或“营业执照；投标人为事业单位， 应提供有效的“事业单位法人证书”；投标人为非企业专业服务机构的，应提供执业许可证</w:t>
      </w:r>
      <w:r>
        <w:rPr>
          <w:color w:val="000000" w:themeColor="text1"/>
          <w:w w:val="95"/>
          <w:highlight w:val="none"/>
          <w14:textFill>
            <w14:solidFill>
              <w14:schemeClr w14:val="tx1"/>
            </w14:solidFill>
          </w14:textFill>
        </w:rPr>
        <w:t xml:space="preserve">等   </w:t>
      </w:r>
      <w:r>
        <w:rPr>
          <w:color w:val="000000" w:themeColor="text1"/>
          <w:highlight w:val="none"/>
          <w14:textFill>
            <w14:solidFill>
              <w14:schemeClr w14:val="tx1"/>
            </w14:solidFill>
          </w14:textFill>
        </w:rPr>
        <w:t>证明文件；投标人为个体工商户，应提供有效的“个体工商户营业执照”。</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
        <w:rPr>
          <w:color w:val="000000" w:themeColor="text1"/>
          <w:sz w:val="22"/>
          <w:highlight w:val="none"/>
          <w14:textFill>
            <w14:solidFill>
              <w14:schemeClr w14:val="tx1"/>
            </w14:solidFill>
          </w14:textFill>
        </w:rPr>
      </w:pPr>
    </w:p>
    <w:p>
      <w:pPr>
        <w:pStyle w:val="2"/>
        <w:spacing w:before="0" w:line="386" w:lineRule="auto"/>
        <w:ind w:left="880" w:right="318" w:hanging="660"/>
        <w:jc w:val="left"/>
        <w:rPr>
          <w:color w:val="000000" w:themeColor="text1"/>
          <w:highlight w:val="none"/>
          <w14:textFill>
            <w14:solidFill>
              <w14:schemeClr w14:val="tx1"/>
            </w14:solidFill>
          </w14:textFill>
        </w:rPr>
      </w:pPr>
      <w:bookmarkStart w:id="125" w:name="五、投标人有效的组织机构代码证复印件、税务登记证复印件（必须提供，已经取得“三证"/>
      <w:bookmarkEnd w:id="125"/>
      <w:r>
        <w:rPr>
          <w:color w:val="000000" w:themeColor="text1"/>
          <w:spacing w:val="-19"/>
          <w:w w:val="95"/>
          <w:highlight w:val="none"/>
          <w14:textFill>
            <w14:solidFill>
              <w14:schemeClr w14:val="tx1"/>
            </w14:solidFill>
          </w14:textFill>
        </w:rPr>
        <w:t>五、投标人有效的组织机构代码证复印件、税务登记证复印件</w:t>
      </w:r>
      <w:r>
        <w:rPr>
          <w:color w:val="000000" w:themeColor="text1"/>
          <w:w w:val="95"/>
          <w:highlight w:val="none"/>
          <w14:textFill>
            <w14:solidFill>
              <w14:schemeClr w14:val="tx1"/>
            </w14:solidFill>
          </w14:textFill>
        </w:rPr>
        <w:t xml:space="preserve">（必 </w:t>
      </w:r>
      <w:r>
        <w:rPr>
          <w:color w:val="000000" w:themeColor="text1"/>
          <w:highlight w:val="none"/>
          <w14:textFill>
            <w14:solidFill>
              <w14:schemeClr w14:val="tx1"/>
            </w14:solidFill>
          </w14:textFill>
        </w:rPr>
        <w:t>须提供，已经取得“三证合一”的或为自然人的除外）</w:t>
      </w:r>
    </w:p>
    <w:p>
      <w:pPr>
        <w:spacing w:line="386" w:lineRule="auto"/>
        <w:rPr>
          <w:color w:val="000000" w:themeColor="text1"/>
          <w:highlight w:val="none"/>
          <w14:textFill>
            <w14:solidFill>
              <w14:schemeClr w14:val="tx1"/>
            </w14:solidFill>
          </w14:textFill>
        </w:rPr>
        <w:sectPr>
          <w:pgSz w:w="11910" w:h="16840"/>
          <w:pgMar w:top="1580" w:right="1140" w:bottom="900" w:left="1200" w:header="0" w:footer="720" w:gutter="0"/>
          <w:cols w:space="720" w:num="1"/>
        </w:sectPr>
      </w:pPr>
    </w:p>
    <w:p>
      <w:pPr>
        <w:pStyle w:val="13"/>
        <w:spacing w:before="5"/>
        <w:rPr>
          <w:b/>
          <w:color w:val="000000" w:themeColor="text1"/>
          <w:sz w:val="19"/>
          <w:highlight w:val="none"/>
          <w14:textFill>
            <w14:solidFill>
              <w14:schemeClr w14:val="tx1"/>
            </w14:solidFill>
          </w14:textFill>
        </w:rPr>
      </w:pPr>
    </w:p>
    <w:p>
      <w:pPr>
        <w:pStyle w:val="6"/>
        <w:spacing w:before="70"/>
        <w:rPr>
          <w:color w:val="000000" w:themeColor="text1"/>
          <w:highlight w:val="none"/>
          <w14:textFill>
            <w14:solidFill>
              <w14:schemeClr w14:val="tx1"/>
            </w14:solidFill>
          </w14:textFill>
        </w:rPr>
      </w:pPr>
      <w:bookmarkStart w:id="126" w:name="一、投标函"/>
      <w:bookmarkEnd w:id="126"/>
      <w:bookmarkStart w:id="127" w:name="资信及商务文件"/>
      <w:bookmarkEnd w:id="127"/>
      <w:r>
        <w:rPr>
          <w:color w:val="000000" w:themeColor="text1"/>
          <w:highlight w:val="none"/>
          <w14:textFill>
            <w14:solidFill>
              <w14:schemeClr w14:val="tx1"/>
            </w14:solidFill>
          </w14:textFill>
        </w:rPr>
        <w:t>资信及商务文件</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4"/>
        <w:rPr>
          <w:b/>
          <w:color w:val="000000" w:themeColor="text1"/>
          <w:sz w:val="23"/>
          <w:highlight w:val="none"/>
          <w14:textFill>
            <w14:solidFill>
              <w14:schemeClr w14:val="tx1"/>
            </w14:solidFill>
          </w14:textFill>
        </w:rPr>
      </w:pPr>
    </w:p>
    <w:p>
      <w:pPr>
        <w:pStyle w:val="13"/>
        <w:spacing w:before="70"/>
        <w:ind w:right="316"/>
        <w:jc w:val="right"/>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正本/或副本</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28" w:name="_Toc9261"/>
      <w:r>
        <w:rPr>
          <w:color w:val="000000" w:themeColor="text1"/>
          <w:highlight w:val="none"/>
          <w14:textFill>
            <w14:solidFill>
              <w14:schemeClr w14:val="tx1"/>
            </w14:solidFill>
          </w14:textFill>
        </w:rPr>
        <w:t>投标文件</w:t>
      </w:r>
      <w:bookmarkEnd w:id="128"/>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16"/>
          <w:highlight w:val="none"/>
          <w14:textFill>
            <w14:solidFill>
              <w14:schemeClr w14:val="tx1"/>
            </w14:solidFill>
          </w14:textFill>
        </w:rPr>
      </w:pPr>
    </w:p>
    <w:p>
      <w:pPr>
        <w:spacing w:before="66" w:line="487" w:lineRule="auto"/>
        <w:ind w:left="575" w:right="730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采购项目名称： 采购项目编号：</w:t>
      </w:r>
    </w:p>
    <w:p>
      <w:pPr>
        <w:spacing w:line="488" w:lineRule="auto"/>
        <w:ind w:left="573"/>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招标代理机构：</w:t>
      </w:r>
      <w:r>
        <w:rPr>
          <w:rFonts w:hint="eastAsia"/>
          <w:color w:val="000000" w:themeColor="text1"/>
          <w:sz w:val="24"/>
          <w:highlight w:val="none"/>
          <w14:textFill>
            <w14:solidFill>
              <w14:schemeClr w14:val="tx1"/>
            </w14:solidFill>
          </w14:textFill>
        </w:rPr>
        <w:t>广西真诚工程咨询有限公司</w:t>
      </w:r>
    </w:p>
    <w:p>
      <w:pPr>
        <w:spacing w:line="488" w:lineRule="auto"/>
        <w:ind w:left="573"/>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before="170"/>
        <w:ind w:left="57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投标文件内容：资信及商务文件</w:t>
      </w:r>
    </w:p>
    <w:p>
      <w:pPr>
        <w:rPr>
          <w:color w:val="000000" w:themeColor="text1"/>
          <w:sz w:val="24"/>
          <w:highlight w:val="none"/>
          <w14:textFill>
            <w14:solidFill>
              <w14:schemeClr w14:val="tx1"/>
            </w14:solidFill>
          </w14:textFill>
        </w:rPr>
        <w:sectPr>
          <w:pgSz w:w="11910" w:h="16840"/>
          <w:pgMar w:top="1580" w:right="1140" w:bottom="900" w:left="1200" w:header="0" w:footer="720" w:gutter="0"/>
          <w:cols w:space="720" w:num="1"/>
        </w:sectPr>
      </w:pPr>
    </w:p>
    <w:p>
      <w:pPr>
        <w:pStyle w:val="2"/>
        <w:spacing w:before="55"/>
        <w:ind w:right="10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w:t>
      </w:r>
    </w:p>
    <w:p>
      <w:pPr>
        <w:pStyle w:val="13"/>
        <w:spacing w:before="10"/>
        <w:rPr>
          <w:b/>
          <w:color w:val="000000" w:themeColor="text1"/>
          <w:sz w:val="25"/>
          <w:highlight w:val="none"/>
          <w14:textFill>
            <w14:solidFill>
              <w14:schemeClr w14:val="tx1"/>
            </w14:solidFill>
          </w14:textFill>
        </w:rPr>
      </w:pPr>
    </w:p>
    <w:p>
      <w:pPr>
        <w:spacing w:before="54"/>
        <w:ind w:left="794"/>
        <w:outlineLvl w:val="0"/>
        <w:rPr>
          <w:b/>
          <w:color w:val="000000" w:themeColor="text1"/>
          <w:sz w:val="32"/>
          <w:highlight w:val="none"/>
          <w14:textFill>
            <w14:solidFill>
              <w14:schemeClr w14:val="tx1"/>
            </w14:solidFill>
          </w14:textFill>
        </w:rPr>
      </w:pPr>
      <w:bookmarkStart w:id="129" w:name="_Toc4191"/>
      <w:r>
        <w:rPr>
          <w:b/>
          <w:color w:val="000000" w:themeColor="text1"/>
          <w:sz w:val="32"/>
          <w:highlight w:val="none"/>
          <w14:textFill>
            <w14:solidFill>
              <w14:schemeClr w14:val="tx1"/>
            </w14:solidFill>
          </w14:textFill>
        </w:rPr>
        <w:t>附件：</w:t>
      </w:r>
      <w:bookmarkEnd w:id="129"/>
    </w:p>
    <w:p>
      <w:pPr>
        <w:spacing w:before="115"/>
        <w:ind w:left="3688"/>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投 标 函 （格 式）</w:t>
      </w:r>
    </w:p>
    <w:p>
      <w:pPr>
        <w:pStyle w:val="13"/>
        <w:spacing w:before="7"/>
        <w:rPr>
          <w:b/>
          <w:color w:val="000000" w:themeColor="text1"/>
          <w:sz w:val="15"/>
          <w:highlight w:val="none"/>
          <w14:textFill>
            <w14:solidFill>
              <w14:schemeClr w14:val="tx1"/>
            </w14:solidFill>
          </w14:textFill>
        </w:rPr>
      </w:pPr>
    </w:p>
    <w:p>
      <w:pPr>
        <w:pStyle w:val="13"/>
        <w:spacing w:before="70"/>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广西真诚工程咨询有限公司</w:t>
      </w:r>
    </w:p>
    <w:p>
      <w:pPr>
        <w:pStyle w:val="13"/>
        <w:tabs>
          <w:tab w:val="left" w:pos="3155"/>
          <w:tab w:val="left" w:pos="5887"/>
          <w:tab w:val="left" w:pos="6971"/>
          <w:tab w:val="left" w:pos="8829"/>
        </w:tabs>
        <w:spacing w:before="170" w:line="393" w:lineRule="auto"/>
        <w:ind w:left="215" w:right="316"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根据贵方</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项目招标文件</w:t>
      </w:r>
      <w:r>
        <w:rPr>
          <w:color w:val="000000" w:themeColor="text1"/>
          <w:spacing w:val="-68"/>
          <w:highlight w:val="none"/>
          <w14:textFill>
            <w14:solidFill>
              <w14:schemeClr w14:val="tx1"/>
            </w14:solidFill>
          </w14:textFill>
        </w:rPr>
        <w:t>，</w:t>
      </w:r>
      <w:r>
        <w:rPr>
          <w:color w:val="000000" w:themeColor="text1"/>
          <w:highlight w:val="none"/>
          <w14:textFill>
            <w14:solidFill>
              <w14:schemeClr w14:val="tx1"/>
            </w14:solidFill>
          </w14:textFill>
        </w:rPr>
        <w:t>采购项目编号</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spacing w:val="-68"/>
          <w:highlight w:val="none"/>
          <w14:textFill>
            <w14:solidFill>
              <w14:schemeClr w14:val="tx1"/>
            </w14:solidFill>
          </w14:textFill>
        </w:rPr>
        <w:t>，</w:t>
      </w:r>
      <w:r>
        <w:rPr>
          <w:color w:val="000000" w:themeColor="text1"/>
          <w:highlight w:val="none"/>
          <w14:textFill>
            <w14:solidFill>
              <w14:schemeClr w14:val="tx1"/>
            </w14:solidFill>
          </w14:textFill>
        </w:rPr>
        <w:t>签字代表</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spacing w:val="-16"/>
          <w:highlight w:val="none"/>
          <w14:textFill>
            <w14:solidFill>
              <w14:schemeClr w14:val="tx1"/>
            </w14:solidFill>
          </w14:textFill>
        </w:rPr>
        <w:t>姓</w:t>
      </w:r>
      <w:r>
        <w:rPr>
          <w:color w:val="000000" w:themeColor="text1"/>
          <w:highlight w:val="none"/>
          <w14:textFill>
            <w14:solidFill>
              <w14:schemeClr w14:val="tx1"/>
            </w14:solidFill>
          </w14:textFill>
        </w:rPr>
        <w:t>名）经正式授权并代表投标人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投标人名称）提交投标文件正本及副本。</w:t>
      </w:r>
    </w:p>
    <w:p>
      <w:pPr>
        <w:pStyle w:val="13"/>
        <w:spacing w:line="265" w:lineRule="exact"/>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据此函，签字代表宣布同意如下：</w:t>
      </w:r>
    </w:p>
    <w:p>
      <w:pPr>
        <w:pStyle w:val="13"/>
        <w:spacing w:before="170"/>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1.按招标文件采购需求和投标报价表：</w:t>
      </w:r>
    </w:p>
    <w:p>
      <w:pPr>
        <w:tabs>
          <w:tab w:val="left" w:pos="6011"/>
          <w:tab w:val="left" w:pos="8752"/>
        </w:tabs>
        <w:spacing w:before="173" w:line="391" w:lineRule="auto"/>
        <w:ind w:left="575" w:right="602" w:firstLine="60"/>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投标报价人民币：大写</w:t>
      </w:r>
      <w:r>
        <w:rPr>
          <w:b/>
          <w:color w:val="000000" w:themeColor="text1"/>
          <w:sz w:val="21"/>
          <w:highlight w:val="none"/>
          <w:u w:val="single"/>
          <w14:textFill>
            <w14:solidFill>
              <w14:schemeClr w14:val="tx1"/>
            </w14:solidFill>
          </w14:textFill>
        </w:rPr>
        <w:t xml:space="preserve"> </w:t>
      </w:r>
      <w:r>
        <w:rPr>
          <w:b/>
          <w:color w:val="000000" w:themeColor="text1"/>
          <w:sz w:val="21"/>
          <w:highlight w:val="none"/>
          <w:u w:val="single"/>
          <w14:textFill>
            <w14:solidFill>
              <w14:schemeClr w14:val="tx1"/>
            </w14:solidFill>
          </w14:textFill>
        </w:rPr>
        <w:tab/>
      </w:r>
      <w:r>
        <w:rPr>
          <w:b/>
          <w:color w:val="000000" w:themeColor="text1"/>
          <w:sz w:val="21"/>
          <w:highlight w:val="none"/>
          <w14:textFill>
            <w14:solidFill>
              <w14:schemeClr w14:val="tx1"/>
            </w14:solidFill>
          </w14:textFill>
        </w:rPr>
        <w:t>（￥</w:t>
      </w:r>
      <w:r>
        <w:rPr>
          <w:b/>
          <w:color w:val="000000" w:themeColor="text1"/>
          <w:sz w:val="21"/>
          <w:highlight w:val="none"/>
          <w:u w:val="single"/>
          <w14:textFill>
            <w14:solidFill>
              <w14:schemeClr w14:val="tx1"/>
            </w14:solidFill>
          </w14:textFill>
        </w:rPr>
        <w:t xml:space="preserve"> </w:t>
      </w:r>
      <w:r>
        <w:rPr>
          <w:b/>
          <w:color w:val="000000" w:themeColor="text1"/>
          <w:sz w:val="21"/>
          <w:highlight w:val="none"/>
          <w:u w:val="single"/>
          <w14:textFill>
            <w14:solidFill>
              <w14:schemeClr w14:val="tx1"/>
            </w14:solidFill>
          </w14:textFill>
        </w:rPr>
        <w:tab/>
      </w:r>
      <w:r>
        <w:rPr>
          <w:b/>
          <w:color w:val="000000" w:themeColor="text1"/>
          <w:spacing w:val="-17"/>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2.我方承诺已具备招标文件规定的投标人资格条件。</w:t>
      </w:r>
    </w:p>
    <w:p>
      <w:pPr>
        <w:pStyle w:val="31"/>
        <w:numPr>
          <w:ilvl w:val="0"/>
          <w:numId w:val="49"/>
        </w:numPr>
        <w:tabs>
          <w:tab w:val="left" w:pos="788"/>
        </w:tabs>
        <w:spacing w:before="1" w:line="393" w:lineRule="auto"/>
        <w:ind w:left="215" w:right="319" w:firstLine="36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我方已详细审核招标文件，包括修改文件</w:t>
      </w:r>
      <w:r>
        <w:rPr>
          <w:color w:val="000000" w:themeColor="text1"/>
          <w:spacing w:val="4"/>
          <w:sz w:val="21"/>
          <w:highlight w:val="none"/>
          <w14:textFill>
            <w14:solidFill>
              <w14:schemeClr w14:val="tx1"/>
            </w14:solidFill>
          </w14:textFill>
        </w:rPr>
        <w:t>（</w:t>
      </w:r>
      <w:r>
        <w:rPr>
          <w:color w:val="000000" w:themeColor="text1"/>
          <w:sz w:val="21"/>
          <w:highlight w:val="none"/>
          <w14:textFill>
            <w14:solidFill>
              <w14:schemeClr w14:val="tx1"/>
            </w14:solidFill>
          </w14:textFill>
        </w:rPr>
        <w:t>如有的话）和有关附件，将自行承担因对全部招标文件理解不正确或误解而产生的相应后果。</w:t>
      </w:r>
    </w:p>
    <w:p>
      <w:pPr>
        <w:pStyle w:val="31"/>
        <w:numPr>
          <w:ilvl w:val="0"/>
          <w:numId w:val="49"/>
        </w:numPr>
        <w:tabs>
          <w:tab w:val="left" w:pos="788"/>
        </w:tabs>
        <w:spacing w:before="0" w:line="267" w:lineRule="exact"/>
        <w:ind w:left="787" w:hanging="213"/>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 xml:space="preserve">本项目投标有效期为投标截止时间之日起 </w:t>
      </w:r>
      <w:r>
        <w:rPr>
          <w:color w:val="000000" w:themeColor="text1"/>
          <w:sz w:val="21"/>
          <w:highlight w:val="none"/>
          <w14:textFill>
            <w14:solidFill>
              <w14:schemeClr w14:val="tx1"/>
            </w14:solidFill>
          </w14:textFill>
        </w:rPr>
        <w:t>90</w:t>
      </w:r>
      <w:r>
        <w:rPr>
          <w:color w:val="000000" w:themeColor="text1"/>
          <w:spacing w:val="-18"/>
          <w:sz w:val="21"/>
          <w:highlight w:val="none"/>
          <w14:textFill>
            <w14:solidFill>
              <w14:schemeClr w14:val="tx1"/>
            </w14:solidFill>
          </w14:textFill>
        </w:rPr>
        <w:t xml:space="preserve"> 天。</w:t>
      </w:r>
    </w:p>
    <w:p>
      <w:pPr>
        <w:pStyle w:val="31"/>
        <w:numPr>
          <w:ilvl w:val="0"/>
          <w:numId w:val="49"/>
        </w:numPr>
        <w:tabs>
          <w:tab w:val="left" w:pos="788"/>
        </w:tabs>
        <w:ind w:left="787" w:hanging="2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如我方中标：</w:t>
      </w:r>
    </w:p>
    <w:p>
      <w:pPr>
        <w:pStyle w:val="31"/>
        <w:numPr>
          <w:ilvl w:val="0"/>
          <w:numId w:val="50"/>
        </w:numPr>
        <w:tabs>
          <w:tab w:val="left" w:pos="1163"/>
        </w:tabs>
        <w:spacing w:before="173"/>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我方承诺在收到中标通知书后，在中标通知书规定的期限内与招标人签订政府采购合同。</w:t>
      </w:r>
    </w:p>
    <w:p>
      <w:pPr>
        <w:pStyle w:val="31"/>
        <w:numPr>
          <w:ilvl w:val="0"/>
          <w:numId w:val="50"/>
        </w:numPr>
        <w:tabs>
          <w:tab w:val="left" w:pos="1163"/>
        </w:tabs>
        <w:ind w:hanging="5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我方承诺按照招标文件规定递交履约保证金。</w:t>
      </w:r>
    </w:p>
    <w:p>
      <w:pPr>
        <w:pStyle w:val="31"/>
        <w:numPr>
          <w:ilvl w:val="0"/>
          <w:numId w:val="50"/>
        </w:numPr>
        <w:tabs>
          <w:tab w:val="left" w:pos="1163"/>
        </w:tabs>
        <w:spacing w:line="393" w:lineRule="auto"/>
        <w:ind w:left="215" w:right="213"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我方承诺本投标文件至本项目合同履行完毕止均保持有效，按招标文件及政府采购法律、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法规的规定履行合同责任和义务。</w:t>
      </w:r>
    </w:p>
    <w:p>
      <w:pPr>
        <w:pStyle w:val="13"/>
        <w:spacing w:line="267" w:lineRule="exact"/>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与本投标有关的正式通讯地址为：</w:t>
      </w:r>
    </w:p>
    <w:p>
      <w:pPr>
        <w:pStyle w:val="13"/>
        <w:tabs>
          <w:tab w:val="left" w:pos="4992"/>
        </w:tabs>
        <w:spacing w:before="170"/>
        <w:ind w:left="63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w:t>
      </w:r>
      <w:r>
        <w:rPr>
          <w:rFonts w:ascii="Times New Roman" w:eastAsia="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14:textFill>
            <w14:solidFill>
              <w14:schemeClr w14:val="tx1"/>
            </w14:solidFill>
          </w14:textFill>
        </w:rPr>
        <w:t xml:space="preserve">                   </w:t>
      </w:r>
      <w:r>
        <w:rPr>
          <w:color w:val="000000" w:themeColor="text1"/>
          <w:highlight w:val="none"/>
          <w14:textFill>
            <w14:solidFill>
              <w14:schemeClr w14:val="tx1"/>
            </w14:solidFill>
          </w14:textFill>
        </w:rPr>
        <w:t>邮编：</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zCs w:val="22"/>
          <w:highlight w:val="none"/>
          <w14:textFill>
            <w14:solidFill>
              <w14:schemeClr w14:val="tx1"/>
            </w14:solidFill>
          </w14:textFill>
        </w:rPr>
        <w:t>电话、传真</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tabs>
          <w:tab w:val="left" w:pos="5938"/>
        </w:tabs>
        <w:spacing w:before="170"/>
        <w:ind w:left="635"/>
        <w:rPr>
          <w:rFonts w:ascii="Times New Roman" w:eastAsia="Times New Roman"/>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开户名称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tabs>
          <w:tab w:val="left" w:pos="5938"/>
        </w:tabs>
        <w:spacing w:before="173"/>
        <w:ind w:left="635"/>
        <w:rPr>
          <w:rFonts w:ascii="Times New Roman" w:eastAsia="Times New Roman"/>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开户银行</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tabs>
          <w:tab w:val="left" w:pos="5938"/>
        </w:tabs>
        <w:spacing w:before="170"/>
        <w:ind w:left="63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tabs>
          <w:tab w:val="left" w:pos="8458"/>
        </w:tabs>
        <w:spacing w:before="170"/>
        <w:ind w:left="635"/>
        <w:rPr>
          <w:rFonts w:ascii="Times New Roman" w:eastAsia="Times New Roman"/>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投标人（公章，自然人除外）</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spacing w:before="11"/>
        <w:rPr>
          <w:rFonts w:ascii="Times New Roman"/>
          <w:color w:val="000000" w:themeColor="text1"/>
          <w:sz w:val="8"/>
          <w:highlight w:val="none"/>
          <w14:textFill>
            <w14:solidFill>
              <w14:schemeClr w14:val="tx1"/>
            </w14:solidFill>
          </w14:textFill>
        </w:rPr>
      </w:pPr>
    </w:p>
    <w:p>
      <w:pPr>
        <w:pStyle w:val="13"/>
        <w:spacing w:before="69"/>
        <w:ind w:left="6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法定代表人、负责人、自然人或相应的委托代理人签字（或盖章）</w:t>
      </w:r>
    </w:p>
    <w:p>
      <w:pPr>
        <w:pStyle w:val="13"/>
        <w:tabs>
          <w:tab w:val="left" w:pos="7092"/>
        </w:tabs>
        <w:spacing w:before="170"/>
        <w:ind w:left="635"/>
        <w:rPr>
          <w:rFonts w:ascii="Times New Roman" w:eastAsia="Times New Roman"/>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（属自然人的应在签名处加盖食指指印）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tabs>
          <w:tab w:val="left" w:pos="4572"/>
        </w:tabs>
        <w:spacing w:before="42"/>
        <w:ind w:left="63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10"/>
        <w:rPr>
          <w:rFonts w:ascii="Times New Roman"/>
          <w:color w:val="000000" w:themeColor="text1"/>
          <w:sz w:val="26"/>
          <w:highlight w:val="none"/>
          <w14:textFill>
            <w14:solidFill>
              <w14:schemeClr w14:val="tx1"/>
            </w14:solidFill>
          </w14:textFill>
        </w:rPr>
      </w:pPr>
    </w:p>
    <w:p>
      <w:pPr>
        <w:pStyle w:val="13"/>
        <w:spacing w:before="70" w:line="393" w:lineRule="auto"/>
        <w:ind w:left="215" w:right="316"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注：投标函须由法定代表人、负责人、自然人或相应的委托代理人签字（或盖章）（属自然人的应在签名处加盖食指指印）并加盖投标人公章（自然人除外）。</w:t>
      </w:r>
    </w:p>
    <w:p>
      <w:pPr>
        <w:spacing w:line="393" w:lineRule="auto"/>
        <w:rPr>
          <w:color w:val="000000" w:themeColor="text1"/>
          <w:highlight w:val="none"/>
          <w14:textFill>
            <w14:solidFill>
              <w14:schemeClr w14:val="tx1"/>
            </w14:solidFill>
          </w14:textFill>
        </w:rPr>
        <w:sectPr>
          <w:pgSz w:w="11910" w:h="16840"/>
          <w:pgMar w:top="1500" w:right="1140" w:bottom="900" w:left="1200" w:header="0" w:footer="720" w:gutter="0"/>
          <w:cols w:space="720" w:num="1"/>
        </w:sectPr>
      </w:pPr>
    </w:p>
    <w:p>
      <w:pPr>
        <w:pStyle w:val="13"/>
        <w:rPr>
          <w:color w:val="000000" w:themeColor="text1"/>
          <w:sz w:val="20"/>
          <w:highlight w:val="none"/>
          <w14:textFill>
            <w14:solidFill>
              <w14:schemeClr w14:val="tx1"/>
            </w14:solidFill>
          </w14:textFill>
        </w:rPr>
      </w:pPr>
    </w:p>
    <w:p>
      <w:pPr>
        <w:pStyle w:val="13"/>
        <w:spacing w:before="10"/>
        <w:rPr>
          <w:color w:val="000000" w:themeColor="text1"/>
          <w:sz w:val="28"/>
          <w:highlight w:val="none"/>
          <w14:textFill>
            <w14:solidFill>
              <w14:schemeClr w14:val="tx1"/>
            </w14:solidFill>
          </w14:textFill>
        </w:rPr>
      </w:pPr>
    </w:p>
    <w:p>
      <w:pPr>
        <w:pStyle w:val="2"/>
        <w:ind w:left="517" w:right="616"/>
        <w:rPr>
          <w:color w:val="000000" w:themeColor="text1"/>
          <w:highlight w:val="none"/>
          <w14:textFill>
            <w14:solidFill>
              <w14:schemeClr w14:val="tx1"/>
            </w14:solidFill>
          </w14:textFill>
        </w:rPr>
      </w:pPr>
      <w:bookmarkStart w:id="130" w:name="二、投标报价表（必须提供）"/>
      <w:bookmarkEnd w:id="130"/>
      <w:r>
        <w:rPr>
          <w:color w:val="000000" w:themeColor="text1"/>
          <w:highlight w:val="none"/>
          <w14:textFill>
            <w14:solidFill>
              <w14:schemeClr w14:val="tx1"/>
            </w14:solidFill>
          </w14:textFill>
        </w:rPr>
        <w:t>二、投标报价表（必须提供）</w:t>
      </w:r>
    </w:p>
    <w:p>
      <w:pPr>
        <w:pStyle w:val="13"/>
        <w:spacing w:before="2"/>
        <w:rPr>
          <w:b/>
          <w:color w:val="000000" w:themeColor="text1"/>
          <w:sz w:val="18"/>
          <w:highlight w:val="none"/>
          <w14:textFill>
            <w14:solidFill>
              <w14:schemeClr w14:val="tx1"/>
            </w14:solidFill>
          </w14:textFill>
        </w:rPr>
      </w:pPr>
    </w:p>
    <w:p>
      <w:pPr>
        <w:spacing w:before="54"/>
        <w:ind w:left="517" w:right="12678"/>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附件：</w:t>
      </w:r>
    </w:p>
    <w:p>
      <w:pPr>
        <w:spacing w:before="77"/>
        <w:ind w:left="517" w:right="199"/>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投标报价表（格式）</w:t>
      </w:r>
    </w:p>
    <w:p>
      <w:pPr>
        <w:pStyle w:val="13"/>
        <w:spacing w:before="3" w:after="1"/>
        <w:rPr>
          <w:b/>
          <w:color w:val="000000" w:themeColor="text1"/>
          <w:sz w:val="8"/>
          <w:highlight w:val="none"/>
          <w14:textFill>
            <w14:solidFill>
              <w14:schemeClr w14:val="tx1"/>
            </w14:solidFill>
          </w14:textFill>
        </w:rPr>
      </w:pPr>
    </w:p>
    <w:tbl>
      <w:tblPr>
        <w:tblStyle w:val="23"/>
        <w:tblW w:w="1366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2551"/>
        <w:gridCol w:w="1568"/>
        <w:gridCol w:w="2995"/>
        <w:gridCol w:w="910"/>
        <w:gridCol w:w="756"/>
        <w:gridCol w:w="856"/>
        <w:gridCol w:w="2323"/>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43" w:type="dxa"/>
          </w:tcPr>
          <w:p>
            <w:pPr>
              <w:pStyle w:val="32"/>
              <w:spacing w:before="141"/>
              <w:ind w:left="166"/>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项</w:t>
            </w:r>
          </w:p>
          <w:p>
            <w:pPr>
              <w:pStyle w:val="32"/>
              <w:spacing w:before="172"/>
              <w:ind w:left="166"/>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号</w:t>
            </w:r>
          </w:p>
        </w:tc>
        <w:tc>
          <w:tcPr>
            <w:tcW w:w="2551" w:type="dxa"/>
          </w:tcPr>
          <w:p>
            <w:pPr>
              <w:pStyle w:val="32"/>
              <w:spacing w:before="3"/>
              <w:rPr>
                <w:b/>
                <w:color w:val="000000" w:themeColor="text1"/>
                <w:sz w:val="28"/>
                <w:highlight w:val="none"/>
                <w14:textFill>
                  <w14:solidFill>
                    <w14:schemeClr w14:val="tx1"/>
                  </w14:solidFill>
                </w14:textFill>
              </w:rPr>
            </w:pPr>
          </w:p>
          <w:p>
            <w:pPr>
              <w:pStyle w:val="32"/>
              <w:ind w:left="833" w:right="82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货物名称</w:t>
            </w:r>
          </w:p>
        </w:tc>
        <w:tc>
          <w:tcPr>
            <w:tcW w:w="1568" w:type="dxa"/>
          </w:tcPr>
          <w:p>
            <w:pPr>
              <w:pStyle w:val="32"/>
              <w:spacing w:before="3"/>
              <w:rPr>
                <w:b/>
                <w:color w:val="000000" w:themeColor="text1"/>
                <w:sz w:val="28"/>
                <w:highlight w:val="none"/>
                <w14:textFill>
                  <w14:solidFill>
                    <w14:schemeClr w14:val="tx1"/>
                  </w14:solidFill>
                </w14:textFill>
              </w:rPr>
            </w:pPr>
          </w:p>
          <w:p>
            <w:pPr>
              <w:pStyle w:val="32"/>
              <w:ind w:left="36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生产厂家</w:t>
            </w:r>
          </w:p>
        </w:tc>
        <w:tc>
          <w:tcPr>
            <w:tcW w:w="2995" w:type="dxa"/>
          </w:tcPr>
          <w:p>
            <w:pPr>
              <w:pStyle w:val="32"/>
              <w:spacing w:before="3"/>
              <w:rPr>
                <w:b/>
                <w:color w:val="000000" w:themeColor="text1"/>
                <w:sz w:val="28"/>
                <w:highlight w:val="none"/>
                <w14:textFill>
                  <w14:solidFill>
                    <w14:schemeClr w14:val="tx1"/>
                  </w14:solidFill>
                </w14:textFill>
              </w:rPr>
            </w:pPr>
          </w:p>
          <w:p>
            <w:pPr>
              <w:pStyle w:val="32"/>
              <w:ind w:left="76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品牌、规格型号</w:t>
            </w:r>
          </w:p>
        </w:tc>
        <w:tc>
          <w:tcPr>
            <w:tcW w:w="910" w:type="dxa"/>
          </w:tcPr>
          <w:p>
            <w:pPr>
              <w:pStyle w:val="32"/>
              <w:spacing w:before="141"/>
              <w:ind w:left="223" w:right="2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数量</w:t>
            </w:r>
          </w:p>
          <w:p>
            <w:pPr>
              <w:pStyle w:val="32"/>
              <w:spacing w:before="172"/>
              <w:ind w:left="10"/>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①</w:t>
            </w:r>
          </w:p>
        </w:tc>
        <w:tc>
          <w:tcPr>
            <w:tcW w:w="756" w:type="dxa"/>
          </w:tcPr>
          <w:p>
            <w:pPr>
              <w:pStyle w:val="32"/>
              <w:spacing w:before="3"/>
              <w:rPr>
                <w:b/>
                <w:color w:val="000000" w:themeColor="text1"/>
                <w:sz w:val="28"/>
                <w:highlight w:val="none"/>
                <w14:textFill>
                  <w14:solidFill>
                    <w14:schemeClr w14:val="tx1"/>
                  </w14:solidFill>
                </w14:textFill>
              </w:rPr>
            </w:pPr>
          </w:p>
          <w:p>
            <w:pPr>
              <w:pStyle w:val="32"/>
              <w:ind w:left="16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w:t>
            </w:r>
          </w:p>
        </w:tc>
        <w:tc>
          <w:tcPr>
            <w:tcW w:w="856" w:type="dxa"/>
          </w:tcPr>
          <w:p>
            <w:pPr>
              <w:pStyle w:val="32"/>
              <w:spacing w:before="141"/>
              <w:ind w:left="91" w:right="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单价</w:t>
            </w:r>
          </w:p>
          <w:p>
            <w:pPr>
              <w:pStyle w:val="32"/>
              <w:spacing w:before="172"/>
              <w:ind w:left="10"/>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②</w:t>
            </w:r>
          </w:p>
        </w:tc>
        <w:tc>
          <w:tcPr>
            <w:tcW w:w="2323" w:type="dxa"/>
          </w:tcPr>
          <w:p>
            <w:pPr>
              <w:pStyle w:val="32"/>
              <w:spacing w:before="141"/>
              <w:ind w:left="142" w:right="13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单项合计=数量×单价</w:t>
            </w:r>
          </w:p>
          <w:p>
            <w:pPr>
              <w:pStyle w:val="32"/>
              <w:spacing w:before="172"/>
              <w:ind w:left="142" w:right="13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③＝①×②</w:t>
            </w:r>
          </w:p>
        </w:tc>
        <w:tc>
          <w:tcPr>
            <w:tcW w:w="1159" w:type="dxa"/>
          </w:tcPr>
          <w:p>
            <w:pPr>
              <w:pStyle w:val="32"/>
              <w:spacing w:before="3"/>
              <w:rPr>
                <w:b/>
                <w:color w:val="000000" w:themeColor="text1"/>
                <w:sz w:val="28"/>
                <w:highlight w:val="none"/>
                <w14:textFill>
                  <w14:solidFill>
                    <w14:schemeClr w14:val="tx1"/>
                  </w14:solidFill>
                </w14:textFill>
              </w:rPr>
            </w:pPr>
          </w:p>
          <w:p>
            <w:pPr>
              <w:pStyle w:val="32"/>
              <w:ind w:left="36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3" w:type="dxa"/>
          </w:tcPr>
          <w:p>
            <w:pPr>
              <w:pStyle w:val="32"/>
              <w:spacing w:before="141"/>
              <w:ind w:left="219"/>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2551" w:type="dxa"/>
          </w:tcPr>
          <w:p>
            <w:pPr>
              <w:pStyle w:val="32"/>
              <w:rPr>
                <w:rFonts w:ascii="Times New Roman"/>
                <w:color w:val="000000" w:themeColor="text1"/>
                <w:sz w:val="20"/>
                <w:highlight w:val="none"/>
                <w14:textFill>
                  <w14:solidFill>
                    <w14:schemeClr w14:val="tx1"/>
                  </w14:solidFill>
                </w14:textFill>
              </w:rPr>
            </w:pPr>
          </w:p>
        </w:tc>
        <w:tc>
          <w:tcPr>
            <w:tcW w:w="1568" w:type="dxa"/>
          </w:tcPr>
          <w:p>
            <w:pPr>
              <w:pStyle w:val="32"/>
              <w:rPr>
                <w:rFonts w:ascii="Times New Roman"/>
                <w:color w:val="000000" w:themeColor="text1"/>
                <w:sz w:val="20"/>
                <w:highlight w:val="none"/>
                <w14:textFill>
                  <w14:solidFill>
                    <w14:schemeClr w14:val="tx1"/>
                  </w14:solidFill>
                </w14:textFill>
              </w:rPr>
            </w:pPr>
          </w:p>
        </w:tc>
        <w:tc>
          <w:tcPr>
            <w:tcW w:w="2995" w:type="dxa"/>
          </w:tcPr>
          <w:p>
            <w:pPr>
              <w:pStyle w:val="32"/>
              <w:rPr>
                <w:rFonts w:ascii="Times New Roman"/>
                <w:color w:val="000000" w:themeColor="text1"/>
                <w:sz w:val="20"/>
                <w:highlight w:val="none"/>
                <w14:textFill>
                  <w14:solidFill>
                    <w14:schemeClr w14:val="tx1"/>
                  </w14:solidFill>
                </w14:textFill>
              </w:rPr>
            </w:pPr>
          </w:p>
        </w:tc>
        <w:tc>
          <w:tcPr>
            <w:tcW w:w="910" w:type="dxa"/>
          </w:tcPr>
          <w:p>
            <w:pPr>
              <w:pStyle w:val="32"/>
              <w:rPr>
                <w:rFonts w:ascii="Times New Roman"/>
                <w:color w:val="000000" w:themeColor="text1"/>
                <w:sz w:val="20"/>
                <w:highlight w:val="none"/>
                <w14:textFill>
                  <w14:solidFill>
                    <w14:schemeClr w14:val="tx1"/>
                  </w14:solidFill>
                </w14:textFill>
              </w:rPr>
            </w:pPr>
          </w:p>
        </w:tc>
        <w:tc>
          <w:tcPr>
            <w:tcW w:w="756" w:type="dxa"/>
          </w:tcPr>
          <w:p>
            <w:pPr>
              <w:pStyle w:val="32"/>
              <w:rPr>
                <w:rFonts w:ascii="Times New Roman"/>
                <w:color w:val="000000" w:themeColor="text1"/>
                <w:sz w:val="20"/>
                <w:highlight w:val="none"/>
                <w14:textFill>
                  <w14:solidFill>
                    <w14:schemeClr w14:val="tx1"/>
                  </w14:solidFill>
                </w14:textFill>
              </w:rPr>
            </w:pPr>
          </w:p>
        </w:tc>
        <w:tc>
          <w:tcPr>
            <w:tcW w:w="856" w:type="dxa"/>
          </w:tcPr>
          <w:p>
            <w:pPr>
              <w:pStyle w:val="32"/>
              <w:rPr>
                <w:rFonts w:ascii="Times New Roman"/>
                <w:color w:val="000000" w:themeColor="text1"/>
                <w:sz w:val="20"/>
                <w:highlight w:val="none"/>
                <w14:textFill>
                  <w14:solidFill>
                    <w14:schemeClr w14:val="tx1"/>
                  </w14:solidFill>
                </w14:textFill>
              </w:rPr>
            </w:pPr>
          </w:p>
        </w:tc>
        <w:tc>
          <w:tcPr>
            <w:tcW w:w="2323" w:type="dxa"/>
          </w:tcPr>
          <w:p>
            <w:pPr>
              <w:pStyle w:val="32"/>
              <w:rPr>
                <w:rFonts w:ascii="Times New Roman"/>
                <w:color w:val="000000" w:themeColor="text1"/>
                <w:sz w:val="20"/>
                <w:highlight w:val="none"/>
                <w14:textFill>
                  <w14:solidFill>
                    <w14:schemeClr w14:val="tx1"/>
                  </w14:solidFill>
                </w14:textFill>
              </w:rPr>
            </w:pPr>
          </w:p>
        </w:tc>
        <w:tc>
          <w:tcPr>
            <w:tcW w:w="1159"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3" w:type="dxa"/>
          </w:tcPr>
          <w:p>
            <w:pPr>
              <w:pStyle w:val="32"/>
              <w:spacing w:before="142"/>
              <w:ind w:left="219"/>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2</w:t>
            </w:r>
          </w:p>
        </w:tc>
        <w:tc>
          <w:tcPr>
            <w:tcW w:w="2551" w:type="dxa"/>
          </w:tcPr>
          <w:p>
            <w:pPr>
              <w:pStyle w:val="32"/>
              <w:rPr>
                <w:rFonts w:ascii="Times New Roman"/>
                <w:color w:val="000000" w:themeColor="text1"/>
                <w:sz w:val="20"/>
                <w:highlight w:val="none"/>
                <w14:textFill>
                  <w14:solidFill>
                    <w14:schemeClr w14:val="tx1"/>
                  </w14:solidFill>
                </w14:textFill>
              </w:rPr>
            </w:pPr>
          </w:p>
        </w:tc>
        <w:tc>
          <w:tcPr>
            <w:tcW w:w="1568" w:type="dxa"/>
          </w:tcPr>
          <w:p>
            <w:pPr>
              <w:pStyle w:val="32"/>
              <w:rPr>
                <w:rFonts w:ascii="Times New Roman"/>
                <w:color w:val="000000" w:themeColor="text1"/>
                <w:sz w:val="20"/>
                <w:highlight w:val="none"/>
                <w14:textFill>
                  <w14:solidFill>
                    <w14:schemeClr w14:val="tx1"/>
                  </w14:solidFill>
                </w14:textFill>
              </w:rPr>
            </w:pPr>
          </w:p>
        </w:tc>
        <w:tc>
          <w:tcPr>
            <w:tcW w:w="2995" w:type="dxa"/>
          </w:tcPr>
          <w:p>
            <w:pPr>
              <w:pStyle w:val="32"/>
              <w:rPr>
                <w:rFonts w:ascii="Times New Roman"/>
                <w:color w:val="000000" w:themeColor="text1"/>
                <w:sz w:val="20"/>
                <w:highlight w:val="none"/>
                <w14:textFill>
                  <w14:solidFill>
                    <w14:schemeClr w14:val="tx1"/>
                  </w14:solidFill>
                </w14:textFill>
              </w:rPr>
            </w:pPr>
          </w:p>
        </w:tc>
        <w:tc>
          <w:tcPr>
            <w:tcW w:w="910" w:type="dxa"/>
          </w:tcPr>
          <w:p>
            <w:pPr>
              <w:pStyle w:val="32"/>
              <w:rPr>
                <w:rFonts w:ascii="Times New Roman"/>
                <w:color w:val="000000" w:themeColor="text1"/>
                <w:sz w:val="20"/>
                <w:highlight w:val="none"/>
                <w14:textFill>
                  <w14:solidFill>
                    <w14:schemeClr w14:val="tx1"/>
                  </w14:solidFill>
                </w14:textFill>
              </w:rPr>
            </w:pPr>
          </w:p>
        </w:tc>
        <w:tc>
          <w:tcPr>
            <w:tcW w:w="756" w:type="dxa"/>
          </w:tcPr>
          <w:p>
            <w:pPr>
              <w:pStyle w:val="32"/>
              <w:rPr>
                <w:rFonts w:ascii="Times New Roman"/>
                <w:color w:val="000000" w:themeColor="text1"/>
                <w:sz w:val="20"/>
                <w:highlight w:val="none"/>
                <w14:textFill>
                  <w14:solidFill>
                    <w14:schemeClr w14:val="tx1"/>
                  </w14:solidFill>
                </w14:textFill>
              </w:rPr>
            </w:pPr>
          </w:p>
        </w:tc>
        <w:tc>
          <w:tcPr>
            <w:tcW w:w="856" w:type="dxa"/>
          </w:tcPr>
          <w:p>
            <w:pPr>
              <w:pStyle w:val="32"/>
              <w:rPr>
                <w:rFonts w:ascii="Times New Roman"/>
                <w:color w:val="000000" w:themeColor="text1"/>
                <w:sz w:val="20"/>
                <w:highlight w:val="none"/>
                <w14:textFill>
                  <w14:solidFill>
                    <w14:schemeClr w14:val="tx1"/>
                  </w14:solidFill>
                </w14:textFill>
              </w:rPr>
            </w:pPr>
          </w:p>
        </w:tc>
        <w:tc>
          <w:tcPr>
            <w:tcW w:w="2323" w:type="dxa"/>
          </w:tcPr>
          <w:p>
            <w:pPr>
              <w:pStyle w:val="32"/>
              <w:rPr>
                <w:rFonts w:ascii="Times New Roman"/>
                <w:color w:val="000000" w:themeColor="text1"/>
                <w:sz w:val="20"/>
                <w:highlight w:val="none"/>
                <w14:textFill>
                  <w14:solidFill>
                    <w14:schemeClr w14:val="tx1"/>
                  </w14:solidFill>
                </w14:textFill>
              </w:rPr>
            </w:pPr>
          </w:p>
        </w:tc>
        <w:tc>
          <w:tcPr>
            <w:tcW w:w="1159"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3" w:type="dxa"/>
          </w:tcPr>
          <w:p>
            <w:pPr>
              <w:pStyle w:val="32"/>
              <w:spacing w:before="141"/>
              <w:ind w:left="166"/>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w:t>
            </w:r>
          </w:p>
        </w:tc>
        <w:tc>
          <w:tcPr>
            <w:tcW w:w="2551" w:type="dxa"/>
          </w:tcPr>
          <w:p>
            <w:pPr>
              <w:pStyle w:val="32"/>
              <w:rPr>
                <w:rFonts w:ascii="Times New Roman"/>
                <w:color w:val="000000" w:themeColor="text1"/>
                <w:sz w:val="20"/>
                <w:highlight w:val="none"/>
                <w14:textFill>
                  <w14:solidFill>
                    <w14:schemeClr w14:val="tx1"/>
                  </w14:solidFill>
                </w14:textFill>
              </w:rPr>
            </w:pPr>
          </w:p>
        </w:tc>
        <w:tc>
          <w:tcPr>
            <w:tcW w:w="1568" w:type="dxa"/>
          </w:tcPr>
          <w:p>
            <w:pPr>
              <w:pStyle w:val="32"/>
              <w:rPr>
                <w:rFonts w:ascii="Times New Roman"/>
                <w:color w:val="000000" w:themeColor="text1"/>
                <w:sz w:val="20"/>
                <w:highlight w:val="none"/>
                <w14:textFill>
                  <w14:solidFill>
                    <w14:schemeClr w14:val="tx1"/>
                  </w14:solidFill>
                </w14:textFill>
              </w:rPr>
            </w:pPr>
          </w:p>
        </w:tc>
        <w:tc>
          <w:tcPr>
            <w:tcW w:w="2995" w:type="dxa"/>
          </w:tcPr>
          <w:p>
            <w:pPr>
              <w:pStyle w:val="32"/>
              <w:rPr>
                <w:rFonts w:ascii="Times New Roman"/>
                <w:color w:val="000000" w:themeColor="text1"/>
                <w:sz w:val="20"/>
                <w:highlight w:val="none"/>
                <w14:textFill>
                  <w14:solidFill>
                    <w14:schemeClr w14:val="tx1"/>
                  </w14:solidFill>
                </w14:textFill>
              </w:rPr>
            </w:pPr>
          </w:p>
        </w:tc>
        <w:tc>
          <w:tcPr>
            <w:tcW w:w="910" w:type="dxa"/>
          </w:tcPr>
          <w:p>
            <w:pPr>
              <w:pStyle w:val="32"/>
              <w:rPr>
                <w:rFonts w:ascii="Times New Roman"/>
                <w:color w:val="000000" w:themeColor="text1"/>
                <w:sz w:val="20"/>
                <w:highlight w:val="none"/>
                <w14:textFill>
                  <w14:solidFill>
                    <w14:schemeClr w14:val="tx1"/>
                  </w14:solidFill>
                </w14:textFill>
              </w:rPr>
            </w:pPr>
          </w:p>
        </w:tc>
        <w:tc>
          <w:tcPr>
            <w:tcW w:w="756" w:type="dxa"/>
          </w:tcPr>
          <w:p>
            <w:pPr>
              <w:pStyle w:val="32"/>
              <w:rPr>
                <w:rFonts w:ascii="Times New Roman"/>
                <w:color w:val="000000" w:themeColor="text1"/>
                <w:sz w:val="20"/>
                <w:highlight w:val="none"/>
                <w14:textFill>
                  <w14:solidFill>
                    <w14:schemeClr w14:val="tx1"/>
                  </w14:solidFill>
                </w14:textFill>
              </w:rPr>
            </w:pPr>
          </w:p>
        </w:tc>
        <w:tc>
          <w:tcPr>
            <w:tcW w:w="856" w:type="dxa"/>
          </w:tcPr>
          <w:p>
            <w:pPr>
              <w:pStyle w:val="32"/>
              <w:rPr>
                <w:rFonts w:ascii="Times New Roman"/>
                <w:color w:val="000000" w:themeColor="text1"/>
                <w:sz w:val="20"/>
                <w:highlight w:val="none"/>
                <w14:textFill>
                  <w14:solidFill>
                    <w14:schemeClr w14:val="tx1"/>
                  </w14:solidFill>
                </w14:textFill>
              </w:rPr>
            </w:pPr>
          </w:p>
        </w:tc>
        <w:tc>
          <w:tcPr>
            <w:tcW w:w="2323" w:type="dxa"/>
          </w:tcPr>
          <w:p>
            <w:pPr>
              <w:pStyle w:val="32"/>
              <w:rPr>
                <w:rFonts w:ascii="Times New Roman"/>
                <w:color w:val="000000" w:themeColor="text1"/>
                <w:sz w:val="20"/>
                <w:highlight w:val="none"/>
                <w14:textFill>
                  <w14:solidFill>
                    <w14:schemeClr w14:val="tx1"/>
                  </w14:solidFill>
                </w14:textFill>
              </w:rPr>
            </w:pPr>
          </w:p>
        </w:tc>
        <w:tc>
          <w:tcPr>
            <w:tcW w:w="1159"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43" w:type="dxa"/>
          </w:tcPr>
          <w:p>
            <w:pPr>
              <w:pStyle w:val="32"/>
              <w:spacing w:before="142"/>
              <w:ind w:left="219"/>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N</w:t>
            </w:r>
          </w:p>
        </w:tc>
        <w:tc>
          <w:tcPr>
            <w:tcW w:w="2551" w:type="dxa"/>
          </w:tcPr>
          <w:p>
            <w:pPr>
              <w:pStyle w:val="32"/>
              <w:spacing w:before="142"/>
              <w:ind w:left="6"/>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w:t>
            </w:r>
          </w:p>
        </w:tc>
        <w:tc>
          <w:tcPr>
            <w:tcW w:w="1568" w:type="dxa"/>
          </w:tcPr>
          <w:p>
            <w:pPr>
              <w:pStyle w:val="32"/>
              <w:rPr>
                <w:rFonts w:ascii="Times New Roman"/>
                <w:color w:val="000000" w:themeColor="text1"/>
                <w:sz w:val="20"/>
                <w:highlight w:val="none"/>
                <w14:textFill>
                  <w14:solidFill>
                    <w14:schemeClr w14:val="tx1"/>
                  </w14:solidFill>
                </w14:textFill>
              </w:rPr>
            </w:pPr>
          </w:p>
        </w:tc>
        <w:tc>
          <w:tcPr>
            <w:tcW w:w="2995" w:type="dxa"/>
          </w:tcPr>
          <w:p>
            <w:pPr>
              <w:pStyle w:val="32"/>
              <w:rPr>
                <w:rFonts w:ascii="Times New Roman"/>
                <w:color w:val="000000" w:themeColor="text1"/>
                <w:sz w:val="20"/>
                <w:highlight w:val="none"/>
                <w14:textFill>
                  <w14:solidFill>
                    <w14:schemeClr w14:val="tx1"/>
                  </w14:solidFill>
                </w14:textFill>
              </w:rPr>
            </w:pPr>
          </w:p>
        </w:tc>
        <w:tc>
          <w:tcPr>
            <w:tcW w:w="910" w:type="dxa"/>
          </w:tcPr>
          <w:p>
            <w:pPr>
              <w:pStyle w:val="32"/>
              <w:spacing w:before="142"/>
              <w:ind w:left="10"/>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w:t>
            </w:r>
          </w:p>
        </w:tc>
        <w:tc>
          <w:tcPr>
            <w:tcW w:w="756" w:type="dxa"/>
          </w:tcPr>
          <w:p>
            <w:pPr>
              <w:pStyle w:val="32"/>
              <w:rPr>
                <w:rFonts w:ascii="Times New Roman"/>
                <w:color w:val="000000" w:themeColor="text1"/>
                <w:sz w:val="20"/>
                <w:highlight w:val="none"/>
                <w14:textFill>
                  <w14:solidFill>
                    <w14:schemeClr w14:val="tx1"/>
                  </w14:solidFill>
                </w14:textFill>
              </w:rPr>
            </w:pPr>
          </w:p>
        </w:tc>
        <w:tc>
          <w:tcPr>
            <w:tcW w:w="856" w:type="dxa"/>
          </w:tcPr>
          <w:p>
            <w:pPr>
              <w:pStyle w:val="32"/>
              <w:rPr>
                <w:rFonts w:ascii="Times New Roman"/>
                <w:color w:val="000000" w:themeColor="text1"/>
                <w:sz w:val="20"/>
                <w:highlight w:val="none"/>
                <w14:textFill>
                  <w14:solidFill>
                    <w14:schemeClr w14:val="tx1"/>
                  </w14:solidFill>
                </w14:textFill>
              </w:rPr>
            </w:pPr>
          </w:p>
        </w:tc>
        <w:tc>
          <w:tcPr>
            <w:tcW w:w="2323" w:type="dxa"/>
          </w:tcPr>
          <w:p>
            <w:pPr>
              <w:pStyle w:val="32"/>
              <w:rPr>
                <w:rFonts w:ascii="Times New Roman"/>
                <w:color w:val="000000" w:themeColor="text1"/>
                <w:sz w:val="20"/>
                <w:highlight w:val="none"/>
                <w14:textFill>
                  <w14:solidFill>
                    <w14:schemeClr w14:val="tx1"/>
                  </w14:solidFill>
                </w14:textFill>
              </w:rPr>
            </w:pPr>
          </w:p>
        </w:tc>
        <w:tc>
          <w:tcPr>
            <w:tcW w:w="1159"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61" w:type="dxa"/>
            <w:gridSpan w:val="9"/>
          </w:tcPr>
          <w:p>
            <w:pPr>
              <w:pStyle w:val="32"/>
              <w:tabs>
                <w:tab w:val="left" w:pos="7935"/>
                <w:tab w:val="left" w:pos="10971"/>
              </w:tabs>
              <w:spacing w:before="141"/>
              <w:ind w:left="106"/>
              <w:rPr>
                <w:color w:val="000000" w:themeColor="text1"/>
                <w:sz w:val="21"/>
                <w:highlight w:val="none"/>
                <w14:textFill>
                  <w14:solidFill>
                    <w14:schemeClr w14:val="tx1"/>
                  </w14:solidFill>
                </w14:textFill>
              </w:rPr>
            </w:pPr>
            <w:r>
              <w:rPr>
                <w:color w:val="000000" w:themeColor="text1"/>
                <w:spacing w:val="-13"/>
                <w:sz w:val="21"/>
                <w:highlight w:val="none"/>
                <w14:textFill>
                  <w14:solidFill>
                    <w14:schemeClr w14:val="tx1"/>
                  </w14:solidFill>
                </w14:textFill>
              </w:rPr>
              <w:t>投</w:t>
            </w:r>
            <w:r>
              <w:rPr>
                <w:color w:val="000000" w:themeColor="text1"/>
                <w:spacing w:val="-10"/>
                <w:sz w:val="21"/>
                <w:highlight w:val="none"/>
                <w14:textFill>
                  <w14:solidFill>
                    <w14:schemeClr w14:val="tx1"/>
                  </w14:solidFill>
                </w14:textFill>
              </w:rPr>
              <w:t>标</w:t>
            </w:r>
            <w:r>
              <w:rPr>
                <w:color w:val="000000" w:themeColor="text1"/>
                <w:spacing w:val="-13"/>
                <w:sz w:val="21"/>
                <w:highlight w:val="none"/>
                <w14:textFill>
                  <w14:solidFill>
                    <w14:schemeClr w14:val="tx1"/>
                  </w14:solidFill>
                </w14:textFill>
              </w:rPr>
              <w:t>报</w:t>
            </w:r>
            <w:r>
              <w:rPr>
                <w:color w:val="000000" w:themeColor="text1"/>
                <w:spacing w:val="-10"/>
                <w:sz w:val="21"/>
                <w:highlight w:val="none"/>
                <w14:textFill>
                  <w14:solidFill>
                    <w14:schemeClr w14:val="tx1"/>
                  </w14:solidFill>
                </w14:textFill>
              </w:rPr>
              <w:t>价</w:t>
            </w:r>
            <w:r>
              <w:rPr>
                <w:color w:val="000000" w:themeColor="text1"/>
                <w:spacing w:val="-13"/>
                <w:sz w:val="21"/>
                <w:highlight w:val="none"/>
                <w14:textFill>
                  <w14:solidFill>
                    <w14:schemeClr w14:val="tx1"/>
                  </w14:solidFill>
                </w14:textFill>
              </w:rPr>
              <w:t>（</w:t>
            </w:r>
            <w:r>
              <w:rPr>
                <w:color w:val="000000" w:themeColor="text1"/>
                <w:spacing w:val="-10"/>
                <w:sz w:val="21"/>
                <w:highlight w:val="none"/>
                <w14:textFill>
                  <w14:solidFill>
                    <w14:schemeClr w14:val="tx1"/>
                  </w14:solidFill>
                </w14:textFill>
              </w:rPr>
              <w:t>大</w:t>
            </w:r>
            <w:r>
              <w:rPr>
                <w:color w:val="000000" w:themeColor="text1"/>
                <w:spacing w:val="-13"/>
                <w:sz w:val="21"/>
                <w:highlight w:val="none"/>
                <w14:textFill>
                  <w14:solidFill>
                    <w14:schemeClr w14:val="tx1"/>
                  </w14:solidFill>
                </w14:textFill>
              </w:rPr>
              <w:t>写</w:t>
            </w:r>
            <w:r>
              <w:rPr>
                <w:color w:val="000000" w:themeColor="text1"/>
                <w:spacing w:val="-5"/>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ab/>
            </w:r>
            <w:r>
              <w:rPr>
                <w:color w:val="000000" w:themeColor="text1"/>
                <w:spacing w:val="-13"/>
                <w:sz w:val="21"/>
                <w:highlight w:val="none"/>
                <w14:textFill>
                  <w14:solidFill>
                    <w14:schemeClr w14:val="tx1"/>
                  </w14:solidFill>
                </w14:textFill>
              </w:rPr>
              <w:t>人</w:t>
            </w:r>
            <w:r>
              <w:rPr>
                <w:color w:val="000000" w:themeColor="text1"/>
                <w:spacing w:val="-10"/>
                <w:sz w:val="21"/>
                <w:highlight w:val="none"/>
                <w14:textFill>
                  <w14:solidFill>
                    <w14:schemeClr w14:val="tx1"/>
                  </w14:solidFill>
                </w14:textFill>
              </w:rPr>
              <w:t>民</w:t>
            </w:r>
            <w:r>
              <w:rPr>
                <w:color w:val="000000" w:themeColor="text1"/>
                <w:spacing w:val="-13"/>
                <w:sz w:val="21"/>
                <w:highlight w:val="none"/>
                <w14:textFill>
                  <w14:solidFill>
                    <w14:schemeClr w14:val="tx1"/>
                  </w14:solidFill>
                </w14:textFill>
              </w:rPr>
              <w:t>币</w:t>
            </w:r>
            <w:r>
              <w:rPr>
                <w:color w:val="000000" w:themeColor="text1"/>
                <w:spacing w:val="-5"/>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ab/>
            </w:r>
            <w:r>
              <w:rPr>
                <w:color w:val="000000" w:themeColor="text1"/>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61" w:type="dxa"/>
            <w:gridSpan w:val="9"/>
          </w:tcPr>
          <w:p>
            <w:pPr>
              <w:pStyle w:val="32"/>
              <w:spacing w:before="142"/>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交付使用期: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61" w:type="dxa"/>
            <w:gridSpan w:val="9"/>
          </w:tcPr>
          <w:p>
            <w:pPr>
              <w:pStyle w:val="32"/>
              <w:spacing w:before="141"/>
              <w:ind w:left="1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免费保修期: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3661" w:type="dxa"/>
            <w:gridSpan w:val="9"/>
          </w:tcPr>
          <w:p>
            <w:pPr>
              <w:pStyle w:val="32"/>
              <w:tabs>
                <w:tab w:val="left" w:pos="8432"/>
                <w:tab w:val="left" w:pos="10143"/>
              </w:tabs>
              <w:spacing w:before="142"/>
              <w:ind w:left="106"/>
              <w:rPr>
                <w:color w:val="000000" w:themeColor="text1"/>
                <w:sz w:val="21"/>
                <w:highlight w:val="none"/>
                <w14:textFill>
                  <w14:solidFill>
                    <w14:schemeClr w14:val="tx1"/>
                  </w14:solidFill>
                </w14:textFill>
              </w:rPr>
            </w:pPr>
            <w:r>
              <w:rPr>
                <w:color w:val="000000" w:themeColor="text1"/>
                <w:spacing w:val="-13"/>
                <w:sz w:val="21"/>
                <w:highlight w:val="none"/>
                <w14:textFill>
                  <w14:solidFill>
                    <w14:schemeClr w14:val="tx1"/>
                  </w14:solidFill>
                </w14:textFill>
              </w:rPr>
              <w:t>其</w:t>
            </w:r>
            <w:r>
              <w:rPr>
                <w:color w:val="000000" w:themeColor="text1"/>
                <w:spacing w:val="-10"/>
                <w:sz w:val="21"/>
                <w:highlight w:val="none"/>
                <w14:textFill>
                  <w14:solidFill>
                    <w14:schemeClr w14:val="tx1"/>
                  </w14:solidFill>
                </w14:textFill>
              </w:rPr>
              <w:t>中</w:t>
            </w:r>
            <w:r>
              <w:rPr>
                <w:color w:val="000000" w:themeColor="text1"/>
                <w:spacing w:val="-13"/>
                <w:sz w:val="21"/>
                <w:highlight w:val="none"/>
                <w14:textFill>
                  <w14:solidFill>
                    <w14:schemeClr w14:val="tx1"/>
                  </w14:solidFill>
                </w14:textFill>
              </w:rPr>
              <w:t>：</w:t>
            </w:r>
            <w:r>
              <w:rPr>
                <w:color w:val="000000" w:themeColor="text1"/>
                <w:spacing w:val="-10"/>
                <w:sz w:val="21"/>
                <w:highlight w:val="none"/>
                <w14:textFill>
                  <w14:solidFill>
                    <w14:schemeClr w14:val="tx1"/>
                  </w14:solidFill>
                </w14:textFill>
              </w:rPr>
              <w:t>属</w:t>
            </w:r>
            <w:r>
              <w:rPr>
                <w:color w:val="000000" w:themeColor="text1"/>
                <w:spacing w:val="-13"/>
                <w:sz w:val="21"/>
                <w:highlight w:val="none"/>
                <w14:textFill>
                  <w14:solidFill>
                    <w14:schemeClr w14:val="tx1"/>
                  </w14:solidFill>
                </w14:textFill>
              </w:rPr>
              <w:t>于</w:t>
            </w:r>
            <w:r>
              <w:rPr>
                <w:color w:val="000000" w:themeColor="text1"/>
                <w:spacing w:val="-10"/>
                <w:sz w:val="21"/>
                <w:highlight w:val="none"/>
                <w14:textFill>
                  <w14:solidFill>
                    <w14:schemeClr w14:val="tx1"/>
                  </w14:solidFill>
                </w14:textFill>
              </w:rPr>
              <w:t>《</w:t>
            </w:r>
            <w:r>
              <w:rPr>
                <w:color w:val="000000" w:themeColor="text1"/>
                <w:spacing w:val="-13"/>
                <w:sz w:val="21"/>
                <w:highlight w:val="none"/>
                <w14:textFill>
                  <w14:solidFill>
                    <w14:schemeClr w14:val="tx1"/>
                  </w14:solidFill>
                </w14:textFill>
              </w:rPr>
              <w:t>节</w:t>
            </w:r>
            <w:r>
              <w:rPr>
                <w:color w:val="000000" w:themeColor="text1"/>
                <w:spacing w:val="-10"/>
                <w:sz w:val="21"/>
                <w:highlight w:val="none"/>
                <w14:textFill>
                  <w14:solidFill>
                    <w14:schemeClr w14:val="tx1"/>
                  </w14:solidFill>
                </w14:textFill>
              </w:rPr>
              <w:t>能</w:t>
            </w:r>
            <w:r>
              <w:rPr>
                <w:color w:val="000000" w:themeColor="text1"/>
                <w:spacing w:val="-13"/>
                <w:sz w:val="21"/>
                <w:highlight w:val="none"/>
                <w14:textFill>
                  <w14:solidFill>
                    <w14:schemeClr w14:val="tx1"/>
                  </w14:solidFill>
                </w14:textFill>
              </w:rPr>
              <w:t>产</w:t>
            </w:r>
            <w:r>
              <w:rPr>
                <w:color w:val="000000" w:themeColor="text1"/>
                <w:spacing w:val="-10"/>
                <w:sz w:val="21"/>
                <w:highlight w:val="none"/>
                <w14:textFill>
                  <w14:solidFill>
                    <w14:schemeClr w14:val="tx1"/>
                  </w14:solidFill>
                </w14:textFill>
              </w:rPr>
              <w:t>品</w:t>
            </w:r>
            <w:r>
              <w:rPr>
                <w:color w:val="000000" w:themeColor="text1"/>
                <w:spacing w:val="-13"/>
                <w:sz w:val="21"/>
                <w:highlight w:val="none"/>
                <w14:textFill>
                  <w14:solidFill>
                    <w14:schemeClr w14:val="tx1"/>
                  </w14:solidFill>
                </w14:textFill>
              </w:rPr>
              <w:t>政</w:t>
            </w:r>
            <w:r>
              <w:rPr>
                <w:color w:val="000000" w:themeColor="text1"/>
                <w:spacing w:val="-10"/>
                <w:sz w:val="21"/>
                <w:highlight w:val="none"/>
                <w14:textFill>
                  <w14:solidFill>
                    <w14:schemeClr w14:val="tx1"/>
                  </w14:solidFill>
                </w14:textFill>
              </w:rPr>
              <w:t>府</w:t>
            </w:r>
            <w:r>
              <w:rPr>
                <w:color w:val="000000" w:themeColor="text1"/>
                <w:spacing w:val="-13"/>
                <w:sz w:val="21"/>
                <w:highlight w:val="none"/>
                <w14:textFill>
                  <w14:solidFill>
                    <w14:schemeClr w14:val="tx1"/>
                  </w14:solidFill>
                </w14:textFill>
              </w:rPr>
              <w:t>采</w:t>
            </w:r>
            <w:r>
              <w:rPr>
                <w:color w:val="000000" w:themeColor="text1"/>
                <w:spacing w:val="-10"/>
                <w:sz w:val="21"/>
                <w:highlight w:val="none"/>
                <w14:textFill>
                  <w14:solidFill>
                    <w14:schemeClr w14:val="tx1"/>
                  </w14:solidFill>
                </w14:textFill>
              </w:rPr>
              <w:t>购</w:t>
            </w:r>
            <w:r>
              <w:rPr>
                <w:color w:val="000000" w:themeColor="text1"/>
                <w:spacing w:val="-13"/>
                <w:sz w:val="21"/>
                <w:highlight w:val="none"/>
                <w14:textFill>
                  <w14:solidFill>
                    <w14:schemeClr w14:val="tx1"/>
                  </w14:solidFill>
                </w14:textFill>
              </w:rPr>
              <w:t>清</w:t>
            </w:r>
            <w:r>
              <w:rPr>
                <w:color w:val="000000" w:themeColor="text1"/>
                <w:spacing w:val="-10"/>
                <w:sz w:val="21"/>
                <w:highlight w:val="none"/>
                <w14:textFill>
                  <w14:solidFill>
                    <w14:schemeClr w14:val="tx1"/>
                  </w14:solidFill>
                </w14:textFill>
              </w:rPr>
              <w:t>单</w:t>
            </w:r>
            <w:r>
              <w:rPr>
                <w:color w:val="000000" w:themeColor="text1"/>
                <w:spacing w:val="-13"/>
                <w:sz w:val="21"/>
                <w:highlight w:val="none"/>
                <w14:textFill>
                  <w14:solidFill>
                    <w14:schemeClr w14:val="tx1"/>
                  </w14:solidFill>
                </w14:textFill>
              </w:rPr>
              <w:t>》</w:t>
            </w:r>
            <w:r>
              <w:rPr>
                <w:color w:val="000000" w:themeColor="text1"/>
                <w:spacing w:val="-10"/>
                <w:sz w:val="21"/>
                <w:highlight w:val="none"/>
                <w14:textFill>
                  <w14:solidFill>
                    <w14:schemeClr w14:val="tx1"/>
                  </w14:solidFill>
                </w14:textFill>
              </w:rPr>
              <w:t>目</w:t>
            </w:r>
            <w:r>
              <w:rPr>
                <w:color w:val="000000" w:themeColor="text1"/>
                <w:spacing w:val="-13"/>
                <w:sz w:val="21"/>
                <w:highlight w:val="none"/>
                <w14:textFill>
                  <w14:solidFill>
                    <w14:schemeClr w14:val="tx1"/>
                  </w14:solidFill>
                </w14:textFill>
              </w:rPr>
              <w:t>录</w:t>
            </w:r>
            <w:r>
              <w:rPr>
                <w:color w:val="000000" w:themeColor="text1"/>
                <w:spacing w:val="-10"/>
                <w:sz w:val="21"/>
                <w:highlight w:val="none"/>
                <w14:textFill>
                  <w14:solidFill>
                    <w14:schemeClr w14:val="tx1"/>
                  </w14:solidFill>
                </w14:textFill>
              </w:rPr>
              <w:t>内</w:t>
            </w:r>
            <w:r>
              <w:rPr>
                <w:color w:val="000000" w:themeColor="text1"/>
                <w:spacing w:val="-13"/>
                <w:sz w:val="21"/>
                <w:highlight w:val="none"/>
                <w14:textFill>
                  <w14:solidFill>
                    <w14:schemeClr w14:val="tx1"/>
                  </w14:solidFill>
                </w14:textFill>
              </w:rPr>
              <w:t>产</w:t>
            </w:r>
            <w:r>
              <w:rPr>
                <w:color w:val="000000" w:themeColor="text1"/>
                <w:spacing w:val="-10"/>
                <w:sz w:val="21"/>
                <w:highlight w:val="none"/>
                <w14:textFill>
                  <w14:solidFill>
                    <w14:schemeClr w14:val="tx1"/>
                  </w14:solidFill>
                </w14:textFill>
              </w:rPr>
              <w:t>品</w:t>
            </w:r>
            <w:r>
              <w:rPr>
                <w:color w:val="000000" w:themeColor="text1"/>
                <w:spacing w:val="-13"/>
                <w:sz w:val="21"/>
                <w:highlight w:val="none"/>
                <w14:textFill>
                  <w14:solidFill>
                    <w14:schemeClr w14:val="tx1"/>
                  </w14:solidFill>
                </w14:textFill>
              </w:rPr>
              <w:t>的</w:t>
            </w:r>
            <w:r>
              <w:rPr>
                <w:color w:val="000000" w:themeColor="text1"/>
                <w:spacing w:val="-10"/>
                <w:sz w:val="21"/>
                <w:highlight w:val="none"/>
                <w14:textFill>
                  <w14:solidFill>
                    <w14:schemeClr w14:val="tx1"/>
                  </w14:solidFill>
                </w14:textFill>
              </w:rPr>
              <w:t>总</w:t>
            </w:r>
            <w:r>
              <w:rPr>
                <w:color w:val="000000" w:themeColor="text1"/>
                <w:spacing w:val="-13"/>
                <w:sz w:val="21"/>
                <w:highlight w:val="none"/>
                <w14:textFill>
                  <w14:solidFill>
                    <w14:schemeClr w14:val="tx1"/>
                  </w14:solidFill>
                </w14:textFill>
              </w:rPr>
              <w:t>金</w:t>
            </w:r>
            <w:r>
              <w:rPr>
                <w:color w:val="000000" w:themeColor="text1"/>
                <w:spacing w:val="-10"/>
                <w:sz w:val="21"/>
                <w:highlight w:val="none"/>
                <w14:textFill>
                  <w14:solidFill>
                    <w14:schemeClr w14:val="tx1"/>
                  </w14:solidFill>
                </w14:textFill>
              </w:rPr>
              <w:t>额</w:t>
            </w:r>
            <w:r>
              <w:rPr>
                <w:color w:val="000000" w:themeColor="text1"/>
                <w:spacing w:val="-13"/>
                <w:sz w:val="21"/>
                <w:highlight w:val="none"/>
                <w14:textFill>
                  <w14:solidFill>
                    <w14:schemeClr w14:val="tx1"/>
                  </w14:solidFill>
                </w14:textFill>
              </w:rPr>
              <w:t>为</w:t>
            </w:r>
            <w:r>
              <w:rPr>
                <w:color w:val="000000" w:themeColor="text1"/>
                <w:spacing w:val="-10"/>
                <w:sz w:val="21"/>
                <w:highlight w:val="none"/>
                <w14:textFill>
                  <w14:solidFill>
                    <w14:schemeClr w14:val="tx1"/>
                  </w14:solidFill>
                </w14:textFill>
              </w:rPr>
              <w:t>人</w:t>
            </w:r>
            <w:r>
              <w:rPr>
                <w:color w:val="000000" w:themeColor="text1"/>
                <w:spacing w:val="-13"/>
                <w:sz w:val="21"/>
                <w:highlight w:val="none"/>
                <w14:textFill>
                  <w14:solidFill>
                    <w14:schemeClr w14:val="tx1"/>
                  </w14:solidFill>
                </w14:textFill>
              </w:rPr>
              <w:t>民</w:t>
            </w:r>
            <w:r>
              <w:rPr>
                <w:color w:val="000000" w:themeColor="text1"/>
                <w:spacing w:val="-10"/>
                <w:sz w:val="21"/>
                <w:highlight w:val="none"/>
                <w14:textFill>
                  <w14:solidFill>
                    <w14:schemeClr w14:val="tx1"/>
                  </w14:solidFill>
                </w14:textFill>
              </w:rPr>
              <w:t>币</w:t>
            </w:r>
            <w:r>
              <w:rPr>
                <w:color w:val="000000" w:themeColor="text1"/>
                <w:spacing w:val="-13"/>
                <w:sz w:val="21"/>
                <w:highlight w:val="none"/>
                <w14:textFill>
                  <w14:solidFill>
                    <w14:schemeClr w14:val="tx1"/>
                  </w14:solidFill>
                </w14:textFill>
              </w:rPr>
              <w:t>（</w:t>
            </w:r>
            <w:r>
              <w:rPr>
                <w:color w:val="000000" w:themeColor="text1"/>
                <w:spacing w:val="-10"/>
                <w:sz w:val="21"/>
                <w:highlight w:val="none"/>
                <w14:textFill>
                  <w14:solidFill>
                    <w14:schemeClr w14:val="tx1"/>
                  </w14:solidFill>
                </w14:textFill>
              </w:rPr>
              <w:t>大</w:t>
            </w:r>
            <w:r>
              <w:rPr>
                <w:color w:val="000000" w:themeColor="text1"/>
                <w:spacing w:val="-13"/>
                <w:sz w:val="21"/>
                <w:highlight w:val="none"/>
                <w14:textFill>
                  <w14:solidFill>
                    <w14:schemeClr w14:val="tx1"/>
                  </w14:solidFill>
                </w14:textFill>
              </w:rPr>
              <w:t>写</w:t>
            </w:r>
            <w:r>
              <w:rPr>
                <w:color w:val="000000" w:themeColor="text1"/>
                <w:spacing w:val="-5"/>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ab/>
            </w:r>
            <w:r>
              <w:rPr>
                <w:color w:val="000000" w:themeColor="text1"/>
                <w:spacing w:val="-13"/>
                <w:sz w:val="21"/>
                <w:highlight w:val="none"/>
                <w14:textFill>
                  <w14:solidFill>
                    <w14:schemeClr w14:val="tx1"/>
                  </w14:solidFill>
                </w14:textFill>
              </w:rPr>
              <w:t>元</w:t>
            </w:r>
            <w:r>
              <w:rPr>
                <w:color w:val="000000" w:themeColor="text1"/>
                <w:spacing w:val="-5"/>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ab/>
            </w:r>
            <w:r>
              <w:rPr>
                <w:color w:val="000000" w:themeColor="text1"/>
                <w:spacing w:val="-7"/>
                <w:sz w:val="21"/>
                <w:highlight w:val="none"/>
                <w14:textFill>
                  <w14:solidFill>
                    <w14:schemeClr w14:val="tx1"/>
                  </w14:solidFill>
                </w14:textFill>
              </w:rPr>
              <w:t>）；</w:t>
            </w:r>
          </w:p>
          <w:p>
            <w:pPr>
              <w:pStyle w:val="32"/>
              <w:tabs>
                <w:tab w:val="left" w:pos="9200"/>
                <w:tab w:val="left" w:pos="11002"/>
              </w:tabs>
              <w:spacing w:line="440" w:lineRule="atLeast"/>
              <w:ind w:left="106" w:right="2240" w:firstLine="595"/>
              <w:rPr>
                <w:b/>
                <w:color w:val="000000" w:themeColor="text1"/>
                <w:sz w:val="21"/>
                <w:highlight w:val="none"/>
                <w14:textFill>
                  <w14:solidFill>
                    <w14:schemeClr w14:val="tx1"/>
                  </w14:solidFill>
                </w14:textFill>
              </w:rPr>
            </w:pPr>
            <w:r>
              <w:rPr>
                <w:color w:val="000000" w:themeColor="text1"/>
                <w:spacing w:val="-13"/>
                <w:sz w:val="21"/>
                <w:highlight w:val="none"/>
                <w14:textFill>
                  <w14:solidFill>
                    <w14:schemeClr w14:val="tx1"/>
                  </w14:solidFill>
                </w14:textFill>
              </w:rPr>
              <w:t>属</w:t>
            </w:r>
            <w:r>
              <w:rPr>
                <w:color w:val="000000" w:themeColor="text1"/>
                <w:spacing w:val="-10"/>
                <w:sz w:val="21"/>
                <w:highlight w:val="none"/>
                <w14:textFill>
                  <w14:solidFill>
                    <w14:schemeClr w14:val="tx1"/>
                  </w14:solidFill>
                </w14:textFill>
              </w:rPr>
              <w:t>于</w:t>
            </w:r>
            <w:r>
              <w:rPr>
                <w:color w:val="000000" w:themeColor="text1"/>
                <w:spacing w:val="-13"/>
                <w:sz w:val="21"/>
                <w:highlight w:val="none"/>
                <w14:textFill>
                  <w14:solidFill>
                    <w14:schemeClr w14:val="tx1"/>
                  </w14:solidFill>
                </w14:textFill>
              </w:rPr>
              <w:t>《</w:t>
            </w:r>
            <w:r>
              <w:rPr>
                <w:color w:val="000000" w:themeColor="text1"/>
                <w:spacing w:val="-10"/>
                <w:sz w:val="21"/>
                <w:highlight w:val="none"/>
                <w14:textFill>
                  <w14:solidFill>
                    <w14:schemeClr w14:val="tx1"/>
                  </w14:solidFill>
                </w14:textFill>
              </w:rPr>
              <w:t>环</w:t>
            </w:r>
            <w:r>
              <w:rPr>
                <w:color w:val="000000" w:themeColor="text1"/>
                <w:spacing w:val="-13"/>
                <w:sz w:val="21"/>
                <w:highlight w:val="none"/>
                <w14:textFill>
                  <w14:solidFill>
                    <w14:schemeClr w14:val="tx1"/>
                  </w14:solidFill>
                </w14:textFill>
              </w:rPr>
              <w:t>境</w:t>
            </w:r>
            <w:r>
              <w:rPr>
                <w:color w:val="000000" w:themeColor="text1"/>
                <w:spacing w:val="-10"/>
                <w:sz w:val="21"/>
                <w:highlight w:val="none"/>
                <w14:textFill>
                  <w14:solidFill>
                    <w14:schemeClr w14:val="tx1"/>
                  </w14:solidFill>
                </w14:textFill>
              </w:rPr>
              <w:t>标</w:t>
            </w:r>
            <w:r>
              <w:rPr>
                <w:color w:val="000000" w:themeColor="text1"/>
                <w:spacing w:val="-13"/>
                <w:sz w:val="21"/>
                <w:highlight w:val="none"/>
                <w14:textFill>
                  <w14:solidFill>
                    <w14:schemeClr w14:val="tx1"/>
                  </w14:solidFill>
                </w14:textFill>
              </w:rPr>
              <w:t>志</w:t>
            </w:r>
            <w:r>
              <w:rPr>
                <w:color w:val="000000" w:themeColor="text1"/>
                <w:spacing w:val="-10"/>
                <w:sz w:val="21"/>
                <w:highlight w:val="none"/>
                <w14:textFill>
                  <w14:solidFill>
                    <w14:schemeClr w14:val="tx1"/>
                  </w14:solidFill>
                </w14:textFill>
              </w:rPr>
              <w:t>产</w:t>
            </w:r>
            <w:r>
              <w:rPr>
                <w:color w:val="000000" w:themeColor="text1"/>
                <w:spacing w:val="-13"/>
                <w:sz w:val="21"/>
                <w:highlight w:val="none"/>
                <w14:textFill>
                  <w14:solidFill>
                    <w14:schemeClr w14:val="tx1"/>
                  </w14:solidFill>
                </w14:textFill>
              </w:rPr>
              <w:t>品</w:t>
            </w:r>
            <w:r>
              <w:rPr>
                <w:color w:val="000000" w:themeColor="text1"/>
                <w:spacing w:val="-10"/>
                <w:sz w:val="21"/>
                <w:highlight w:val="none"/>
                <w14:textFill>
                  <w14:solidFill>
                    <w14:schemeClr w14:val="tx1"/>
                  </w14:solidFill>
                </w14:textFill>
              </w:rPr>
              <w:t>政</w:t>
            </w:r>
            <w:r>
              <w:rPr>
                <w:color w:val="000000" w:themeColor="text1"/>
                <w:spacing w:val="-13"/>
                <w:sz w:val="21"/>
                <w:highlight w:val="none"/>
                <w14:textFill>
                  <w14:solidFill>
                    <w14:schemeClr w14:val="tx1"/>
                  </w14:solidFill>
                </w14:textFill>
              </w:rPr>
              <w:t>府</w:t>
            </w:r>
            <w:r>
              <w:rPr>
                <w:color w:val="000000" w:themeColor="text1"/>
                <w:spacing w:val="-10"/>
                <w:sz w:val="21"/>
                <w:highlight w:val="none"/>
                <w14:textFill>
                  <w14:solidFill>
                    <w14:schemeClr w14:val="tx1"/>
                  </w14:solidFill>
                </w14:textFill>
              </w:rPr>
              <w:t>采</w:t>
            </w:r>
            <w:r>
              <w:rPr>
                <w:color w:val="000000" w:themeColor="text1"/>
                <w:spacing w:val="-13"/>
                <w:sz w:val="21"/>
                <w:highlight w:val="none"/>
                <w14:textFill>
                  <w14:solidFill>
                    <w14:schemeClr w14:val="tx1"/>
                  </w14:solidFill>
                </w14:textFill>
              </w:rPr>
              <w:t>购</w:t>
            </w:r>
            <w:r>
              <w:rPr>
                <w:color w:val="000000" w:themeColor="text1"/>
                <w:spacing w:val="-10"/>
                <w:sz w:val="21"/>
                <w:highlight w:val="none"/>
                <w14:textFill>
                  <w14:solidFill>
                    <w14:schemeClr w14:val="tx1"/>
                  </w14:solidFill>
                </w14:textFill>
              </w:rPr>
              <w:t>清</w:t>
            </w:r>
            <w:r>
              <w:rPr>
                <w:color w:val="000000" w:themeColor="text1"/>
                <w:spacing w:val="-13"/>
                <w:sz w:val="21"/>
                <w:highlight w:val="none"/>
                <w14:textFill>
                  <w14:solidFill>
                    <w14:schemeClr w14:val="tx1"/>
                  </w14:solidFill>
                </w14:textFill>
              </w:rPr>
              <w:t>单</w:t>
            </w:r>
            <w:r>
              <w:rPr>
                <w:color w:val="000000" w:themeColor="text1"/>
                <w:spacing w:val="-10"/>
                <w:sz w:val="21"/>
                <w:highlight w:val="none"/>
                <w14:textFill>
                  <w14:solidFill>
                    <w14:schemeClr w14:val="tx1"/>
                  </w14:solidFill>
                </w14:textFill>
              </w:rPr>
              <w:t>》</w:t>
            </w:r>
            <w:r>
              <w:rPr>
                <w:color w:val="000000" w:themeColor="text1"/>
                <w:spacing w:val="-13"/>
                <w:sz w:val="21"/>
                <w:highlight w:val="none"/>
                <w14:textFill>
                  <w14:solidFill>
                    <w14:schemeClr w14:val="tx1"/>
                  </w14:solidFill>
                </w14:textFill>
              </w:rPr>
              <w:t>目</w:t>
            </w:r>
            <w:r>
              <w:rPr>
                <w:color w:val="000000" w:themeColor="text1"/>
                <w:spacing w:val="-10"/>
                <w:sz w:val="21"/>
                <w:highlight w:val="none"/>
                <w14:textFill>
                  <w14:solidFill>
                    <w14:schemeClr w14:val="tx1"/>
                  </w14:solidFill>
                </w14:textFill>
              </w:rPr>
              <w:t>录</w:t>
            </w:r>
            <w:r>
              <w:rPr>
                <w:color w:val="000000" w:themeColor="text1"/>
                <w:spacing w:val="-13"/>
                <w:sz w:val="21"/>
                <w:highlight w:val="none"/>
                <w14:textFill>
                  <w14:solidFill>
                    <w14:schemeClr w14:val="tx1"/>
                  </w14:solidFill>
                </w14:textFill>
              </w:rPr>
              <w:t>内</w:t>
            </w:r>
            <w:r>
              <w:rPr>
                <w:color w:val="000000" w:themeColor="text1"/>
                <w:spacing w:val="-10"/>
                <w:sz w:val="21"/>
                <w:highlight w:val="none"/>
                <w14:textFill>
                  <w14:solidFill>
                    <w14:schemeClr w14:val="tx1"/>
                  </w14:solidFill>
                </w14:textFill>
              </w:rPr>
              <w:t>产</w:t>
            </w:r>
            <w:r>
              <w:rPr>
                <w:color w:val="000000" w:themeColor="text1"/>
                <w:spacing w:val="-13"/>
                <w:sz w:val="21"/>
                <w:highlight w:val="none"/>
                <w14:textFill>
                  <w14:solidFill>
                    <w14:schemeClr w14:val="tx1"/>
                  </w14:solidFill>
                </w14:textFill>
              </w:rPr>
              <w:t>品</w:t>
            </w:r>
            <w:r>
              <w:rPr>
                <w:color w:val="000000" w:themeColor="text1"/>
                <w:spacing w:val="-10"/>
                <w:sz w:val="21"/>
                <w:highlight w:val="none"/>
                <w14:textFill>
                  <w14:solidFill>
                    <w14:schemeClr w14:val="tx1"/>
                  </w14:solidFill>
                </w14:textFill>
              </w:rPr>
              <w:t>的</w:t>
            </w:r>
            <w:r>
              <w:rPr>
                <w:color w:val="000000" w:themeColor="text1"/>
                <w:spacing w:val="-13"/>
                <w:sz w:val="21"/>
                <w:highlight w:val="none"/>
                <w14:textFill>
                  <w14:solidFill>
                    <w14:schemeClr w14:val="tx1"/>
                  </w14:solidFill>
                </w14:textFill>
              </w:rPr>
              <w:t>总</w:t>
            </w:r>
            <w:r>
              <w:rPr>
                <w:color w:val="000000" w:themeColor="text1"/>
                <w:spacing w:val="-10"/>
                <w:sz w:val="21"/>
                <w:highlight w:val="none"/>
                <w14:textFill>
                  <w14:solidFill>
                    <w14:schemeClr w14:val="tx1"/>
                  </w14:solidFill>
                </w14:textFill>
              </w:rPr>
              <w:t>金</w:t>
            </w:r>
            <w:r>
              <w:rPr>
                <w:color w:val="000000" w:themeColor="text1"/>
                <w:spacing w:val="-13"/>
                <w:sz w:val="21"/>
                <w:highlight w:val="none"/>
                <w14:textFill>
                  <w14:solidFill>
                    <w14:schemeClr w14:val="tx1"/>
                  </w14:solidFill>
                </w14:textFill>
              </w:rPr>
              <w:t>额</w:t>
            </w:r>
            <w:r>
              <w:rPr>
                <w:color w:val="000000" w:themeColor="text1"/>
                <w:spacing w:val="-10"/>
                <w:sz w:val="21"/>
                <w:highlight w:val="none"/>
                <w14:textFill>
                  <w14:solidFill>
                    <w14:schemeClr w14:val="tx1"/>
                  </w14:solidFill>
                </w14:textFill>
              </w:rPr>
              <w:t>为</w:t>
            </w:r>
            <w:r>
              <w:rPr>
                <w:color w:val="000000" w:themeColor="text1"/>
                <w:spacing w:val="-13"/>
                <w:sz w:val="21"/>
                <w:highlight w:val="none"/>
                <w14:textFill>
                  <w14:solidFill>
                    <w14:schemeClr w14:val="tx1"/>
                  </w14:solidFill>
                </w14:textFill>
              </w:rPr>
              <w:t>人</w:t>
            </w:r>
            <w:r>
              <w:rPr>
                <w:color w:val="000000" w:themeColor="text1"/>
                <w:spacing w:val="-10"/>
                <w:sz w:val="21"/>
                <w:highlight w:val="none"/>
                <w14:textFill>
                  <w14:solidFill>
                    <w14:schemeClr w14:val="tx1"/>
                  </w14:solidFill>
                </w14:textFill>
              </w:rPr>
              <w:t>民</w:t>
            </w:r>
            <w:r>
              <w:rPr>
                <w:color w:val="000000" w:themeColor="text1"/>
                <w:spacing w:val="-13"/>
                <w:sz w:val="21"/>
                <w:highlight w:val="none"/>
                <w14:textFill>
                  <w14:solidFill>
                    <w14:schemeClr w14:val="tx1"/>
                  </w14:solidFill>
                </w14:textFill>
              </w:rPr>
              <w:t>币</w:t>
            </w:r>
            <w:r>
              <w:rPr>
                <w:color w:val="000000" w:themeColor="text1"/>
                <w:spacing w:val="-10"/>
                <w:sz w:val="21"/>
                <w:highlight w:val="none"/>
                <w14:textFill>
                  <w14:solidFill>
                    <w14:schemeClr w14:val="tx1"/>
                  </w14:solidFill>
                </w14:textFill>
              </w:rPr>
              <w:t>（</w:t>
            </w:r>
            <w:r>
              <w:rPr>
                <w:color w:val="000000" w:themeColor="text1"/>
                <w:spacing w:val="-13"/>
                <w:sz w:val="21"/>
                <w:highlight w:val="none"/>
                <w14:textFill>
                  <w14:solidFill>
                    <w14:schemeClr w14:val="tx1"/>
                  </w14:solidFill>
                </w14:textFill>
              </w:rPr>
              <w:t>大</w:t>
            </w:r>
            <w:r>
              <w:rPr>
                <w:color w:val="000000" w:themeColor="text1"/>
                <w:spacing w:val="-10"/>
                <w:sz w:val="21"/>
                <w:highlight w:val="none"/>
                <w14:textFill>
                  <w14:solidFill>
                    <w14:schemeClr w14:val="tx1"/>
                  </w14:solidFill>
                </w14:textFill>
              </w:rPr>
              <w:t>写</w:t>
            </w:r>
            <w:r>
              <w:rPr>
                <w:color w:val="000000" w:themeColor="text1"/>
                <w:spacing w:val="-7"/>
                <w:sz w:val="21"/>
                <w:highlight w:val="none"/>
                <w14:textFill>
                  <w14:solidFill>
                    <w14:schemeClr w14:val="tx1"/>
                  </w14:solidFill>
                </w14:textFill>
              </w:rPr>
              <w:t>）：</w:t>
            </w:r>
            <w:r>
              <w:rPr>
                <w:color w:val="000000" w:themeColor="text1"/>
                <w:spacing w:val="-7"/>
                <w:sz w:val="21"/>
                <w:highlight w:val="none"/>
                <w14:textFill>
                  <w14:solidFill>
                    <w14:schemeClr w14:val="tx1"/>
                  </w14:solidFill>
                </w14:textFill>
              </w:rPr>
              <w:tab/>
            </w:r>
            <w:r>
              <w:rPr>
                <w:color w:val="000000" w:themeColor="text1"/>
                <w:spacing w:val="-13"/>
                <w:sz w:val="21"/>
                <w:highlight w:val="none"/>
                <w14:textFill>
                  <w14:solidFill>
                    <w14:schemeClr w14:val="tx1"/>
                  </w14:solidFill>
                </w14:textFill>
              </w:rPr>
              <w:t>元</w:t>
            </w:r>
            <w:r>
              <w:rPr>
                <w:color w:val="000000" w:themeColor="text1"/>
                <w:spacing w:val="-5"/>
                <w:sz w:val="21"/>
                <w:highlight w:val="none"/>
                <w14:textFill>
                  <w14:solidFill>
                    <w14:schemeClr w14:val="tx1"/>
                  </w14:solidFill>
                </w14:textFill>
              </w:rPr>
              <w:t>（￥</w:t>
            </w:r>
            <w:r>
              <w:rPr>
                <w:color w:val="000000" w:themeColor="text1"/>
                <w:spacing w:val="-5"/>
                <w:sz w:val="21"/>
                <w:highlight w:val="none"/>
                <w14:textFill>
                  <w14:solidFill>
                    <w14:schemeClr w14:val="tx1"/>
                  </w14:solidFill>
                </w14:textFill>
              </w:rPr>
              <w:tab/>
            </w:r>
            <w:r>
              <w:rPr>
                <w:color w:val="000000" w:themeColor="text1"/>
                <w:spacing w:val="-13"/>
                <w:sz w:val="21"/>
                <w:highlight w:val="none"/>
                <w14:textFill>
                  <w14:solidFill>
                    <w14:schemeClr w14:val="tx1"/>
                  </w14:solidFill>
                </w14:textFill>
              </w:rPr>
              <w:t>）</w:t>
            </w:r>
            <w:r>
              <w:rPr>
                <w:color w:val="000000" w:themeColor="text1"/>
                <w:spacing w:val="-16"/>
                <w:sz w:val="21"/>
                <w:highlight w:val="none"/>
                <w14:textFill>
                  <w14:solidFill>
                    <w14:schemeClr w14:val="tx1"/>
                  </w14:solidFill>
                </w14:textFill>
              </w:rPr>
              <w:t>。</w:t>
            </w:r>
            <w:r>
              <w:rPr>
                <w:b/>
                <w:color w:val="000000" w:themeColor="text1"/>
                <w:spacing w:val="-10"/>
                <w:sz w:val="21"/>
                <w:highlight w:val="none"/>
                <w14:textFill>
                  <w14:solidFill>
                    <w14:schemeClr w14:val="tx1"/>
                  </w14:solidFill>
                </w14:textFill>
              </w:rPr>
              <w:t>备注：</w:t>
            </w:r>
            <w:r>
              <w:rPr>
                <w:b/>
                <w:color w:val="000000" w:themeColor="text1"/>
                <w:spacing w:val="-13"/>
                <w:sz w:val="21"/>
                <w:highlight w:val="none"/>
                <w14:textFill>
                  <w14:solidFill>
                    <w14:schemeClr w14:val="tx1"/>
                  </w14:solidFill>
                </w14:textFill>
              </w:rPr>
              <w:t>若</w:t>
            </w:r>
            <w:r>
              <w:rPr>
                <w:b/>
                <w:color w:val="000000" w:themeColor="text1"/>
                <w:spacing w:val="-10"/>
                <w:sz w:val="21"/>
                <w:highlight w:val="none"/>
                <w14:textFill>
                  <w14:solidFill>
                    <w14:schemeClr w14:val="tx1"/>
                  </w14:solidFill>
                </w14:textFill>
              </w:rPr>
              <w:t>不属于《节</w:t>
            </w:r>
            <w:r>
              <w:rPr>
                <w:b/>
                <w:color w:val="000000" w:themeColor="text1"/>
                <w:spacing w:val="-13"/>
                <w:sz w:val="21"/>
                <w:highlight w:val="none"/>
                <w14:textFill>
                  <w14:solidFill>
                    <w14:schemeClr w14:val="tx1"/>
                  </w14:solidFill>
                </w14:textFill>
              </w:rPr>
              <w:t>能</w:t>
            </w:r>
            <w:r>
              <w:rPr>
                <w:b/>
                <w:color w:val="000000" w:themeColor="text1"/>
                <w:spacing w:val="-10"/>
                <w:sz w:val="21"/>
                <w:highlight w:val="none"/>
                <w14:textFill>
                  <w14:solidFill>
                    <w14:schemeClr w14:val="tx1"/>
                  </w14:solidFill>
                </w14:textFill>
              </w:rPr>
              <w:t>产品政府采</w:t>
            </w:r>
            <w:r>
              <w:rPr>
                <w:b/>
                <w:color w:val="000000" w:themeColor="text1"/>
                <w:spacing w:val="-13"/>
                <w:sz w:val="21"/>
                <w:highlight w:val="none"/>
                <w14:textFill>
                  <w14:solidFill>
                    <w14:schemeClr w14:val="tx1"/>
                  </w14:solidFill>
                </w14:textFill>
              </w:rPr>
              <w:t>购</w:t>
            </w:r>
            <w:r>
              <w:rPr>
                <w:b/>
                <w:color w:val="000000" w:themeColor="text1"/>
                <w:spacing w:val="-10"/>
                <w:sz w:val="21"/>
                <w:highlight w:val="none"/>
                <w14:textFill>
                  <w14:solidFill>
                    <w14:schemeClr w14:val="tx1"/>
                  </w14:solidFill>
                </w14:textFill>
              </w:rPr>
              <w:t>清单》及《环</w:t>
            </w:r>
            <w:r>
              <w:rPr>
                <w:b/>
                <w:color w:val="000000" w:themeColor="text1"/>
                <w:spacing w:val="-13"/>
                <w:sz w:val="21"/>
                <w:highlight w:val="none"/>
                <w14:textFill>
                  <w14:solidFill>
                    <w14:schemeClr w14:val="tx1"/>
                  </w14:solidFill>
                </w14:textFill>
              </w:rPr>
              <w:t>境</w:t>
            </w:r>
            <w:r>
              <w:rPr>
                <w:b/>
                <w:color w:val="000000" w:themeColor="text1"/>
                <w:spacing w:val="-10"/>
                <w:sz w:val="21"/>
                <w:highlight w:val="none"/>
                <w14:textFill>
                  <w14:solidFill>
                    <w14:schemeClr w14:val="tx1"/>
                  </w14:solidFill>
                </w14:textFill>
              </w:rPr>
              <w:t>标志产品政</w:t>
            </w:r>
            <w:r>
              <w:rPr>
                <w:b/>
                <w:color w:val="000000" w:themeColor="text1"/>
                <w:spacing w:val="-13"/>
                <w:sz w:val="21"/>
                <w:highlight w:val="none"/>
                <w14:textFill>
                  <w14:solidFill>
                    <w14:schemeClr w14:val="tx1"/>
                  </w14:solidFill>
                </w14:textFill>
              </w:rPr>
              <w:t>府</w:t>
            </w:r>
            <w:r>
              <w:rPr>
                <w:b/>
                <w:color w:val="000000" w:themeColor="text1"/>
                <w:spacing w:val="-10"/>
                <w:sz w:val="21"/>
                <w:highlight w:val="none"/>
                <w14:textFill>
                  <w14:solidFill>
                    <w14:schemeClr w14:val="tx1"/>
                  </w14:solidFill>
                </w14:textFill>
              </w:rPr>
              <w:t>采购清单》</w:t>
            </w:r>
            <w:r>
              <w:rPr>
                <w:b/>
                <w:color w:val="000000" w:themeColor="text1"/>
                <w:spacing w:val="-13"/>
                <w:sz w:val="21"/>
                <w:highlight w:val="none"/>
                <w14:textFill>
                  <w14:solidFill>
                    <w14:schemeClr w14:val="tx1"/>
                  </w14:solidFill>
                </w14:textFill>
              </w:rPr>
              <w:t>目</w:t>
            </w:r>
            <w:r>
              <w:rPr>
                <w:b/>
                <w:color w:val="000000" w:themeColor="text1"/>
                <w:spacing w:val="-10"/>
                <w:sz w:val="21"/>
                <w:highlight w:val="none"/>
                <w14:textFill>
                  <w14:solidFill>
                    <w14:schemeClr w14:val="tx1"/>
                  </w14:solidFill>
                </w14:textFill>
              </w:rPr>
              <w:t>录内产品的，</w:t>
            </w:r>
            <w:r>
              <w:rPr>
                <w:b/>
                <w:color w:val="000000" w:themeColor="text1"/>
                <w:spacing w:val="-13"/>
                <w:sz w:val="21"/>
                <w:highlight w:val="none"/>
                <w14:textFill>
                  <w14:solidFill>
                    <w14:schemeClr w14:val="tx1"/>
                  </w14:solidFill>
                </w14:textFill>
              </w:rPr>
              <w:t>则</w:t>
            </w:r>
            <w:r>
              <w:rPr>
                <w:b/>
                <w:color w:val="000000" w:themeColor="text1"/>
                <w:spacing w:val="-10"/>
                <w:sz w:val="21"/>
                <w:highlight w:val="none"/>
                <w14:textFill>
                  <w14:solidFill>
                    <w14:schemeClr w14:val="tx1"/>
                  </w14:solidFill>
                </w14:textFill>
              </w:rPr>
              <w:t>该处填写“无”字样</w:t>
            </w:r>
            <w:r>
              <w:rPr>
                <w:b/>
                <w:color w:val="000000" w:themeColor="text1"/>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3661" w:type="dxa"/>
            <w:gridSpan w:val="9"/>
          </w:tcPr>
          <w:p>
            <w:pPr>
              <w:pStyle w:val="32"/>
              <w:spacing w:line="440" w:lineRule="exact"/>
              <w:ind w:left="106" w:right="97"/>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 xml:space="preserve">说明：投标报价应包括但不限于本次招标采购范围内货物货款、货物标准附件、备品备件、专用工具、包装、运输、装卸、保险、税金、货到就位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以及安装、调试、培训、保修等一切税金和费用。</w:t>
            </w:r>
          </w:p>
        </w:tc>
      </w:tr>
    </w:tbl>
    <w:p>
      <w:pPr>
        <w:pStyle w:val="13"/>
        <w:spacing w:before="9"/>
        <w:rPr>
          <w:b/>
          <w:color w:val="000000" w:themeColor="text1"/>
          <w:sz w:val="5"/>
          <w:highlight w:val="none"/>
          <w14:textFill>
            <w14:solidFill>
              <w14:schemeClr w14:val="tx1"/>
            </w14:solidFill>
          </w14:textFill>
        </w:rPr>
      </w:pPr>
    </w:p>
    <w:p>
      <w:pPr>
        <w:pStyle w:val="13"/>
        <w:tabs>
          <w:tab w:val="left" w:pos="7307"/>
        </w:tabs>
        <w:spacing w:before="69"/>
        <w:ind w:left="115"/>
        <w:rPr>
          <w:rFonts w:ascii="Times New Roman" w:eastAsia="Times New Roman"/>
          <w:color w:val="000000" w:themeColor="text1"/>
          <w:highlight w:val="none"/>
          <w14:textFill>
            <w14:solidFill>
              <w14:schemeClr w14:val="tx1"/>
            </w14:solidFill>
          </w14:textFill>
        </w:rPr>
      </w:pPr>
      <w:r>
        <w:rPr>
          <w:color w:val="000000" w:themeColor="text1"/>
          <w:spacing w:val="-10"/>
          <w:szCs w:val="22"/>
          <w:highlight w:val="none"/>
          <w14:textFill>
            <w14:solidFill>
              <w14:schemeClr w14:val="tx1"/>
            </w14:solidFill>
          </w14:textFill>
        </w:rPr>
        <w:t>投标人（公章，自然人除外）</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rPr>
          <w:rFonts w:ascii="Times New Roman" w:eastAsia="Times New Roman"/>
          <w:color w:val="000000" w:themeColor="text1"/>
          <w:highlight w:val="none"/>
          <w14:textFill>
            <w14:solidFill>
              <w14:schemeClr w14:val="tx1"/>
            </w14:solidFill>
          </w14:textFill>
        </w:rPr>
        <w:sectPr>
          <w:footerReference r:id="rId14" w:type="default"/>
          <w:pgSz w:w="16840" w:h="11910" w:orient="landscape"/>
          <w:pgMar w:top="1100" w:right="1340" w:bottom="260" w:left="1300" w:header="0" w:footer="69" w:gutter="0"/>
          <w:pgNumType w:start="66"/>
          <w:cols w:space="720" w:num="1"/>
        </w:sectPr>
      </w:pPr>
    </w:p>
    <w:p>
      <w:pPr>
        <w:pStyle w:val="13"/>
        <w:rPr>
          <w:rFonts w:ascii="Times New Roman"/>
          <w:color w:val="000000" w:themeColor="text1"/>
          <w:sz w:val="20"/>
          <w:highlight w:val="none"/>
          <w14:textFill>
            <w14:solidFill>
              <w14:schemeClr w14:val="tx1"/>
            </w14:solidFill>
          </w14:textFill>
        </w:rPr>
      </w:pPr>
    </w:p>
    <w:p>
      <w:pPr>
        <w:pStyle w:val="13"/>
        <w:tabs>
          <w:tab w:val="left" w:pos="7307"/>
        </w:tabs>
        <w:spacing w:before="69"/>
        <w:ind w:left="115"/>
        <w:rPr>
          <w:rFonts w:ascii="Times New Roman" w:eastAsia="Times New Roman"/>
          <w:color w:val="000000" w:themeColor="text1"/>
          <w:highlight w:val="none"/>
          <w14:textFill>
            <w14:solidFill>
              <w14:schemeClr w14:val="tx1"/>
            </w14:solidFill>
          </w14:textFill>
        </w:rPr>
      </w:pPr>
      <w:r>
        <w:rPr>
          <w:color w:val="000000" w:themeColor="text1"/>
          <w:spacing w:val="-10"/>
          <w:szCs w:val="22"/>
          <w:highlight w:val="none"/>
          <w14:textFill>
            <w14:solidFill>
              <w14:schemeClr w14:val="tx1"/>
            </w14:solidFill>
          </w14:textFill>
        </w:rPr>
        <w:t>法定代表人、负责人、自然人或相应的委托代理人签字及盖章（属自然人的应在签名处加盖食指指印）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11"/>
        <w:rPr>
          <w:rFonts w:ascii="Times New Roman"/>
          <w:color w:val="000000" w:themeColor="text1"/>
          <w:sz w:val="26"/>
          <w:highlight w:val="none"/>
          <w14:textFill>
            <w14:solidFill>
              <w14:schemeClr w14:val="tx1"/>
            </w14:solidFill>
          </w14:textFill>
        </w:rPr>
      </w:pPr>
    </w:p>
    <w:p>
      <w:pPr>
        <w:pStyle w:val="13"/>
        <w:spacing w:before="69" w:line="393" w:lineRule="auto"/>
        <w:ind w:left="747" w:right="2324" w:hanging="425"/>
        <w:rPr>
          <w:color w:val="000000" w:themeColor="text1"/>
          <w:w w:val="95"/>
          <w:highlight w:val="none"/>
          <w14:textFill>
            <w14:solidFill>
              <w14:schemeClr w14:val="tx1"/>
            </w14:solidFill>
          </w14:textFill>
        </w:rPr>
      </w:pPr>
      <w:r>
        <w:rPr>
          <w:color w:val="000000" w:themeColor="text1"/>
          <w:w w:val="95"/>
          <w:highlight w:val="none"/>
          <w14:textFill>
            <w14:solidFill>
              <w14:schemeClr w14:val="tx1"/>
            </w14:solidFill>
          </w14:textFill>
        </w:rPr>
        <w:t>注</w:t>
      </w:r>
      <w:r>
        <w:rPr>
          <w:b/>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1.</w:t>
      </w:r>
      <w:r>
        <w:rPr>
          <w:color w:val="000000" w:themeColor="text1"/>
          <w:spacing w:val="-10"/>
          <w:szCs w:val="22"/>
          <w:highlight w:val="none"/>
          <w14:textFill>
            <w14:solidFill>
              <w14:schemeClr w14:val="tx1"/>
            </w14:solidFill>
          </w14:textFill>
        </w:rPr>
        <w:t>各投标人必须就“货物采购需求”中所有内容作完整唯一报价，否则，其投标将被拒绝。投标文件只允许有一个报价。</w:t>
      </w:r>
      <w:r>
        <w:rPr>
          <w:color w:val="000000" w:themeColor="text1"/>
          <w:w w:val="95"/>
          <w:highlight w:val="none"/>
          <w14:textFill>
            <w14:solidFill>
              <w14:schemeClr w14:val="tx1"/>
            </w14:solidFill>
          </w14:textFill>
        </w:rPr>
        <w:t xml:space="preserve">    </w:t>
      </w:r>
    </w:p>
    <w:p>
      <w:pPr>
        <w:pStyle w:val="13"/>
        <w:spacing w:before="69" w:line="393" w:lineRule="auto"/>
        <w:ind w:left="774" w:leftChars="352" w:right="2324" w:firstLine="12" w:firstLineChars="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2.投标人应根据所投货物如实填写投标报价表的各项内容。</w:t>
      </w:r>
    </w:p>
    <w:p>
      <w:pPr>
        <w:pStyle w:val="31"/>
        <w:numPr>
          <w:ilvl w:val="1"/>
          <w:numId w:val="49"/>
        </w:numPr>
        <w:tabs>
          <w:tab w:val="left" w:pos="959"/>
        </w:tabs>
        <w:spacing w:before="0" w:line="391" w:lineRule="auto"/>
        <w:ind w:right="111" w:firstLine="0"/>
        <w:rPr>
          <w:b/>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投标报价表须由法定代表人、自然人或相应的委托代理人签字或盖章（属自然人的应在签名处加盖食指指印）并加盖投标人公章（自然人除外）</w:t>
      </w:r>
      <w:r>
        <w:rPr>
          <w:color w:val="000000" w:themeColor="text1"/>
          <w:w w:val="95"/>
          <w:sz w:val="21"/>
          <w:highlight w:val="none"/>
          <w14:textFill>
            <w14:solidFill>
              <w14:schemeClr w14:val="tx1"/>
            </w14:solidFill>
          </w14:textFill>
        </w:rPr>
        <w:t xml:space="preserve">。     </w:t>
      </w:r>
      <w:r>
        <w:rPr>
          <w:b/>
          <w:color w:val="000000" w:themeColor="text1"/>
          <w:sz w:val="21"/>
          <w:highlight w:val="none"/>
          <w14:textFill>
            <w14:solidFill>
              <w14:schemeClr w14:val="tx1"/>
            </w14:solidFill>
          </w14:textFill>
        </w:rPr>
        <w:t>当本表由多页构成时，需逐页加盖投标人公章（属自然人的须逐页签字）。</w:t>
      </w:r>
    </w:p>
    <w:p>
      <w:pPr>
        <w:pStyle w:val="31"/>
        <w:numPr>
          <w:ilvl w:val="1"/>
          <w:numId w:val="49"/>
        </w:numPr>
        <w:tabs>
          <w:tab w:val="left" w:pos="959"/>
        </w:tabs>
        <w:spacing w:before="2" w:line="391" w:lineRule="auto"/>
        <w:ind w:right="220" w:firstLine="0"/>
        <w:rPr>
          <w:color w:val="000000" w:themeColor="text1"/>
          <w:sz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如投标的全部或部分产品属于《节能产品政府采购清单》或《环境标志产品政府采购清单》目录范围的，投标人应在本表备注栏内写明各分项  </w:t>
      </w:r>
      <w:r>
        <w:rPr>
          <w:color w:val="000000" w:themeColor="text1"/>
          <w:w w:val="95"/>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货物属于节能（或环境标志）产品政府采购清单第几类第几项序号的产品，以便评标委员会作为优先采购或评分的依据。</w:t>
      </w:r>
    </w:p>
    <w:p>
      <w:pPr>
        <w:spacing w:line="391" w:lineRule="auto"/>
        <w:rPr>
          <w:color w:val="000000" w:themeColor="text1"/>
          <w:sz w:val="21"/>
          <w:highlight w:val="none"/>
          <w14:textFill>
            <w14:solidFill>
              <w14:schemeClr w14:val="tx1"/>
            </w14:solidFill>
          </w14:textFill>
        </w:rPr>
        <w:sectPr>
          <w:pgSz w:w="16840" w:h="11910" w:orient="landscape"/>
          <w:pgMar w:top="1100" w:right="1340" w:bottom="260" w:left="1300" w:header="0" w:footer="69" w:gutter="0"/>
          <w:cols w:space="720" w:num="1"/>
        </w:sectPr>
      </w:pPr>
    </w:p>
    <w:p>
      <w:pPr>
        <w:pStyle w:val="13"/>
        <w:spacing w:before="5"/>
        <w:rPr>
          <w:color w:val="000000" w:themeColor="text1"/>
          <w:sz w:val="10"/>
          <w:highlight w:val="none"/>
          <w14:textFill>
            <w14:solidFill>
              <w14:schemeClr w14:val="tx1"/>
            </w14:solidFill>
          </w14:textFill>
        </w:rPr>
      </w:pPr>
    </w:p>
    <w:p>
      <w:pPr>
        <w:pStyle w:val="2"/>
        <w:ind w:right="57"/>
        <w:rPr>
          <w:color w:val="000000" w:themeColor="text1"/>
          <w:highlight w:val="none"/>
          <w14:textFill>
            <w14:solidFill>
              <w14:schemeClr w14:val="tx1"/>
            </w14:solidFill>
          </w14:textFill>
        </w:rPr>
      </w:pPr>
      <w:bookmarkStart w:id="131" w:name="三、技术规格偏离表（必须提供）"/>
      <w:bookmarkEnd w:id="131"/>
      <w:bookmarkStart w:id="132" w:name="四、项目技术设计实施方案（如有，请提供）"/>
      <w:bookmarkEnd w:id="132"/>
      <w:r>
        <w:rPr>
          <w:color w:val="000000" w:themeColor="text1"/>
          <w:highlight w:val="none"/>
          <w14:textFill>
            <w14:solidFill>
              <w14:schemeClr w14:val="tx1"/>
            </w14:solidFill>
          </w14:textFill>
        </w:rPr>
        <w:t>三、技术规格偏离表（必须提供）</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1"/>
        <w:rPr>
          <w:b/>
          <w:color w:val="000000" w:themeColor="text1"/>
          <w:sz w:val="17"/>
          <w:highlight w:val="none"/>
          <w14:textFill>
            <w14:solidFill>
              <w14:schemeClr w14:val="tx1"/>
            </w14:solidFill>
          </w14:textFill>
        </w:rPr>
      </w:pPr>
    </w:p>
    <w:p>
      <w:pPr>
        <w:spacing w:before="54"/>
        <w:ind w:left="686"/>
        <w:outlineLvl w:val="0"/>
        <w:rPr>
          <w:b/>
          <w:color w:val="000000" w:themeColor="text1"/>
          <w:sz w:val="32"/>
          <w:highlight w:val="none"/>
          <w14:textFill>
            <w14:solidFill>
              <w14:schemeClr w14:val="tx1"/>
            </w14:solidFill>
          </w14:textFill>
        </w:rPr>
      </w:pPr>
      <w:bookmarkStart w:id="133" w:name="_Toc11803"/>
      <w:r>
        <w:rPr>
          <w:b/>
          <w:color w:val="000000" w:themeColor="text1"/>
          <w:sz w:val="32"/>
          <w:highlight w:val="none"/>
          <w14:textFill>
            <w14:solidFill>
              <w14:schemeClr w14:val="tx1"/>
            </w14:solidFill>
          </w14:textFill>
        </w:rPr>
        <w:t>附件：</w:t>
      </w:r>
      <w:bookmarkEnd w:id="133"/>
    </w:p>
    <w:p>
      <w:pPr>
        <w:spacing w:before="214"/>
        <w:ind w:left="741" w:right="333"/>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技术规格偏离表（格式）</w:t>
      </w:r>
    </w:p>
    <w:p>
      <w:pPr>
        <w:pStyle w:val="13"/>
        <w:rPr>
          <w:b/>
          <w:color w:val="000000" w:themeColor="text1"/>
          <w:sz w:val="20"/>
          <w:highlight w:val="none"/>
          <w14:textFill>
            <w14:solidFill>
              <w14:schemeClr w14:val="tx1"/>
            </w14:solidFill>
          </w14:textFill>
        </w:rPr>
      </w:pPr>
    </w:p>
    <w:p>
      <w:pPr>
        <w:pStyle w:val="13"/>
        <w:spacing w:before="8"/>
        <w:rPr>
          <w:b/>
          <w:color w:val="000000" w:themeColor="text1"/>
          <w:sz w:val="12"/>
          <w:highlight w:val="none"/>
          <w14:textFill>
            <w14:solidFill>
              <w14:schemeClr w14:val="tx1"/>
            </w14:solidFill>
          </w14:textFill>
        </w:rPr>
      </w:pPr>
    </w:p>
    <w:tbl>
      <w:tblPr>
        <w:tblStyle w:val="23"/>
        <w:tblW w:w="91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651"/>
        <w:gridCol w:w="2145"/>
        <w:gridCol w:w="216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12" w:type="dxa"/>
          </w:tcPr>
          <w:p>
            <w:pPr>
              <w:pStyle w:val="32"/>
              <w:spacing w:before="1"/>
              <w:rPr>
                <w:b/>
                <w:color w:val="000000" w:themeColor="text1"/>
                <w:sz w:val="18"/>
                <w:highlight w:val="none"/>
                <w14:textFill>
                  <w14:solidFill>
                    <w14:schemeClr w14:val="tx1"/>
                  </w14:solidFill>
                </w14:textFill>
              </w:rPr>
            </w:pPr>
          </w:p>
          <w:p>
            <w:pPr>
              <w:pStyle w:val="32"/>
              <w:ind w:left="19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项号</w:t>
            </w:r>
          </w:p>
        </w:tc>
        <w:tc>
          <w:tcPr>
            <w:tcW w:w="1651" w:type="dxa"/>
          </w:tcPr>
          <w:p>
            <w:pPr>
              <w:pStyle w:val="32"/>
              <w:spacing w:before="1"/>
              <w:rPr>
                <w:b/>
                <w:color w:val="000000" w:themeColor="text1"/>
                <w:sz w:val="18"/>
                <w:highlight w:val="none"/>
                <w14:textFill>
                  <w14:solidFill>
                    <w14:schemeClr w14:val="tx1"/>
                  </w14:solidFill>
                </w14:textFill>
              </w:rPr>
            </w:pPr>
          </w:p>
          <w:p>
            <w:pPr>
              <w:pStyle w:val="32"/>
              <w:ind w:left="4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货物名称</w:t>
            </w:r>
          </w:p>
        </w:tc>
        <w:tc>
          <w:tcPr>
            <w:tcW w:w="2145" w:type="dxa"/>
          </w:tcPr>
          <w:p>
            <w:pPr>
              <w:pStyle w:val="32"/>
              <w:spacing w:before="8"/>
              <w:rPr>
                <w:b/>
                <w:color w:val="000000" w:themeColor="text1"/>
                <w:sz w:val="15"/>
                <w:highlight w:val="none"/>
                <w14:textFill>
                  <w14:solidFill>
                    <w14:schemeClr w14:val="tx1"/>
                  </w14:solidFill>
                </w14:textFill>
              </w:rPr>
            </w:pPr>
          </w:p>
          <w:p>
            <w:pPr>
              <w:pStyle w:val="32"/>
              <w:spacing w:before="1"/>
              <w:ind w:left="44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技术参数要求</w:t>
            </w:r>
          </w:p>
        </w:tc>
        <w:tc>
          <w:tcPr>
            <w:tcW w:w="2160" w:type="dxa"/>
          </w:tcPr>
          <w:p>
            <w:pPr>
              <w:pStyle w:val="32"/>
              <w:spacing w:before="8"/>
              <w:rPr>
                <w:b/>
                <w:color w:val="000000" w:themeColor="text1"/>
                <w:sz w:val="15"/>
                <w:highlight w:val="none"/>
                <w14:textFill>
                  <w14:solidFill>
                    <w14:schemeClr w14:val="tx1"/>
                  </w14:solidFill>
                </w14:textFill>
              </w:rPr>
            </w:pPr>
          </w:p>
          <w:p>
            <w:pPr>
              <w:pStyle w:val="32"/>
              <w:spacing w:before="1"/>
              <w:ind w:left="13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投标文件的响应情况</w:t>
            </w:r>
          </w:p>
        </w:tc>
        <w:tc>
          <w:tcPr>
            <w:tcW w:w="2340" w:type="dxa"/>
          </w:tcPr>
          <w:p>
            <w:pPr>
              <w:pStyle w:val="32"/>
              <w:spacing w:before="1"/>
              <w:rPr>
                <w:b/>
                <w:color w:val="000000" w:themeColor="text1"/>
                <w:sz w:val="18"/>
                <w:highlight w:val="none"/>
                <w14:textFill>
                  <w14:solidFill>
                    <w14:schemeClr w14:val="tx1"/>
                  </w14:solidFill>
                </w14:textFill>
              </w:rPr>
            </w:pPr>
          </w:p>
          <w:p>
            <w:pPr>
              <w:pStyle w:val="32"/>
              <w:ind w:left="53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2" w:type="dxa"/>
          </w:tcPr>
          <w:p>
            <w:pPr>
              <w:pStyle w:val="32"/>
              <w:rPr>
                <w:rFonts w:ascii="Times New Roman"/>
                <w:color w:val="000000" w:themeColor="text1"/>
                <w:sz w:val="20"/>
                <w:highlight w:val="none"/>
                <w14:textFill>
                  <w14:solidFill>
                    <w14:schemeClr w14:val="tx1"/>
                  </w14:solidFill>
                </w14:textFill>
              </w:rPr>
            </w:pPr>
          </w:p>
        </w:tc>
        <w:tc>
          <w:tcPr>
            <w:tcW w:w="1651" w:type="dxa"/>
          </w:tcPr>
          <w:p>
            <w:pPr>
              <w:pStyle w:val="32"/>
              <w:rPr>
                <w:rFonts w:ascii="Times New Roman"/>
                <w:color w:val="000000" w:themeColor="text1"/>
                <w:sz w:val="20"/>
                <w:highlight w:val="none"/>
                <w14:textFill>
                  <w14:solidFill>
                    <w14:schemeClr w14:val="tx1"/>
                  </w14:solidFill>
                </w14:textFill>
              </w:rPr>
            </w:pPr>
          </w:p>
        </w:tc>
        <w:tc>
          <w:tcPr>
            <w:tcW w:w="2145" w:type="dxa"/>
          </w:tcPr>
          <w:p>
            <w:pPr>
              <w:pStyle w:val="32"/>
              <w:rPr>
                <w:rFonts w:ascii="Times New Roman"/>
                <w:color w:val="000000" w:themeColor="text1"/>
                <w:sz w:val="20"/>
                <w:highlight w:val="none"/>
                <w14:textFill>
                  <w14:solidFill>
                    <w14:schemeClr w14:val="tx1"/>
                  </w14:solidFill>
                </w14:textFill>
              </w:rPr>
            </w:pPr>
          </w:p>
        </w:tc>
        <w:tc>
          <w:tcPr>
            <w:tcW w:w="2160" w:type="dxa"/>
          </w:tcPr>
          <w:p>
            <w:pPr>
              <w:pStyle w:val="32"/>
              <w:rPr>
                <w:rFonts w:ascii="Times New Roman"/>
                <w:color w:val="000000" w:themeColor="text1"/>
                <w:sz w:val="20"/>
                <w:highlight w:val="none"/>
                <w14:textFill>
                  <w14:solidFill>
                    <w14:schemeClr w14:val="tx1"/>
                  </w14:solidFill>
                </w14:textFill>
              </w:rPr>
            </w:pPr>
          </w:p>
        </w:tc>
        <w:tc>
          <w:tcPr>
            <w:tcW w:w="2340"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2" w:type="dxa"/>
          </w:tcPr>
          <w:p>
            <w:pPr>
              <w:pStyle w:val="32"/>
              <w:rPr>
                <w:rFonts w:ascii="Times New Roman"/>
                <w:color w:val="000000" w:themeColor="text1"/>
                <w:sz w:val="20"/>
                <w:highlight w:val="none"/>
                <w14:textFill>
                  <w14:solidFill>
                    <w14:schemeClr w14:val="tx1"/>
                  </w14:solidFill>
                </w14:textFill>
              </w:rPr>
            </w:pPr>
          </w:p>
        </w:tc>
        <w:tc>
          <w:tcPr>
            <w:tcW w:w="1651" w:type="dxa"/>
          </w:tcPr>
          <w:p>
            <w:pPr>
              <w:pStyle w:val="32"/>
              <w:rPr>
                <w:rFonts w:ascii="Times New Roman"/>
                <w:color w:val="000000" w:themeColor="text1"/>
                <w:sz w:val="20"/>
                <w:highlight w:val="none"/>
                <w14:textFill>
                  <w14:solidFill>
                    <w14:schemeClr w14:val="tx1"/>
                  </w14:solidFill>
                </w14:textFill>
              </w:rPr>
            </w:pPr>
          </w:p>
        </w:tc>
        <w:tc>
          <w:tcPr>
            <w:tcW w:w="2145" w:type="dxa"/>
          </w:tcPr>
          <w:p>
            <w:pPr>
              <w:pStyle w:val="32"/>
              <w:rPr>
                <w:rFonts w:ascii="Times New Roman"/>
                <w:color w:val="000000" w:themeColor="text1"/>
                <w:sz w:val="20"/>
                <w:highlight w:val="none"/>
                <w14:textFill>
                  <w14:solidFill>
                    <w14:schemeClr w14:val="tx1"/>
                  </w14:solidFill>
                </w14:textFill>
              </w:rPr>
            </w:pPr>
          </w:p>
        </w:tc>
        <w:tc>
          <w:tcPr>
            <w:tcW w:w="2160" w:type="dxa"/>
          </w:tcPr>
          <w:p>
            <w:pPr>
              <w:pStyle w:val="32"/>
              <w:rPr>
                <w:rFonts w:ascii="Times New Roman"/>
                <w:color w:val="000000" w:themeColor="text1"/>
                <w:sz w:val="20"/>
                <w:highlight w:val="none"/>
                <w14:textFill>
                  <w14:solidFill>
                    <w14:schemeClr w14:val="tx1"/>
                  </w14:solidFill>
                </w14:textFill>
              </w:rPr>
            </w:pPr>
          </w:p>
        </w:tc>
        <w:tc>
          <w:tcPr>
            <w:tcW w:w="2340"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2" w:type="dxa"/>
          </w:tcPr>
          <w:p>
            <w:pPr>
              <w:pStyle w:val="32"/>
              <w:rPr>
                <w:rFonts w:ascii="Times New Roman"/>
                <w:color w:val="000000" w:themeColor="text1"/>
                <w:sz w:val="20"/>
                <w:highlight w:val="none"/>
                <w14:textFill>
                  <w14:solidFill>
                    <w14:schemeClr w14:val="tx1"/>
                  </w14:solidFill>
                </w14:textFill>
              </w:rPr>
            </w:pPr>
          </w:p>
        </w:tc>
        <w:tc>
          <w:tcPr>
            <w:tcW w:w="1651" w:type="dxa"/>
          </w:tcPr>
          <w:p>
            <w:pPr>
              <w:pStyle w:val="32"/>
              <w:rPr>
                <w:rFonts w:ascii="Times New Roman"/>
                <w:color w:val="000000" w:themeColor="text1"/>
                <w:sz w:val="20"/>
                <w:highlight w:val="none"/>
                <w14:textFill>
                  <w14:solidFill>
                    <w14:schemeClr w14:val="tx1"/>
                  </w14:solidFill>
                </w14:textFill>
              </w:rPr>
            </w:pPr>
          </w:p>
        </w:tc>
        <w:tc>
          <w:tcPr>
            <w:tcW w:w="2145" w:type="dxa"/>
          </w:tcPr>
          <w:p>
            <w:pPr>
              <w:pStyle w:val="32"/>
              <w:rPr>
                <w:rFonts w:ascii="Times New Roman"/>
                <w:color w:val="000000" w:themeColor="text1"/>
                <w:sz w:val="20"/>
                <w:highlight w:val="none"/>
                <w14:textFill>
                  <w14:solidFill>
                    <w14:schemeClr w14:val="tx1"/>
                  </w14:solidFill>
                </w14:textFill>
              </w:rPr>
            </w:pPr>
          </w:p>
        </w:tc>
        <w:tc>
          <w:tcPr>
            <w:tcW w:w="2160" w:type="dxa"/>
          </w:tcPr>
          <w:p>
            <w:pPr>
              <w:pStyle w:val="32"/>
              <w:rPr>
                <w:rFonts w:ascii="Times New Roman"/>
                <w:color w:val="000000" w:themeColor="text1"/>
                <w:sz w:val="20"/>
                <w:highlight w:val="none"/>
                <w14:textFill>
                  <w14:solidFill>
                    <w14:schemeClr w14:val="tx1"/>
                  </w14:solidFill>
                </w14:textFill>
              </w:rPr>
            </w:pPr>
          </w:p>
        </w:tc>
        <w:tc>
          <w:tcPr>
            <w:tcW w:w="2340"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2" w:type="dxa"/>
          </w:tcPr>
          <w:p>
            <w:pPr>
              <w:pStyle w:val="32"/>
              <w:rPr>
                <w:rFonts w:ascii="Times New Roman"/>
                <w:color w:val="000000" w:themeColor="text1"/>
                <w:sz w:val="20"/>
                <w:highlight w:val="none"/>
                <w14:textFill>
                  <w14:solidFill>
                    <w14:schemeClr w14:val="tx1"/>
                  </w14:solidFill>
                </w14:textFill>
              </w:rPr>
            </w:pPr>
          </w:p>
        </w:tc>
        <w:tc>
          <w:tcPr>
            <w:tcW w:w="1651" w:type="dxa"/>
          </w:tcPr>
          <w:p>
            <w:pPr>
              <w:pStyle w:val="32"/>
              <w:rPr>
                <w:rFonts w:ascii="Times New Roman"/>
                <w:color w:val="000000" w:themeColor="text1"/>
                <w:sz w:val="20"/>
                <w:highlight w:val="none"/>
                <w14:textFill>
                  <w14:solidFill>
                    <w14:schemeClr w14:val="tx1"/>
                  </w14:solidFill>
                </w14:textFill>
              </w:rPr>
            </w:pPr>
          </w:p>
        </w:tc>
        <w:tc>
          <w:tcPr>
            <w:tcW w:w="2145" w:type="dxa"/>
          </w:tcPr>
          <w:p>
            <w:pPr>
              <w:pStyle w:val="32"/>
              <w:rPr>
                <w:rFonts w:ascii="Times New Roman"/>
                <w:color w:val="000000" w:themeColor="text1"/>
                <w:sz w:val="20"/>
                <w:highlight w:val="none"/>
                <w14:textFill>
                  <w14:solidFill>
                    <w14:schemeClr w14:val="tx1"/>
                  </w14:solidFill>
                </w14:textFill>
              </w:rPr>
            </w:pPr>
          </w:p>
        </w:tc>
        <w:tc>
          <w:tcPr>
            <w:tcW w:w="2160" w:type="dxa"/>
          </w:tcPr>
          <w:p>
            <w:pPr>
              <w:pStyle w:val="32"/>
              <w:rPr>
                <w:rFonts w:ascii="Times New Roman"/>
                <w:color w:val="000000" w:themeColor="text1"/>
                <w:sz w:val="20"/>
                <w:highlight w:val="none"/>
                <w14:textFill>
                  <w14:solidFill>
                    <w14:schemeClr w14:val="tx1"/>
                  </w14:solidFill>
                </w14:textFill>
              </w:rPr>
            </w:pPr>
          </w:p>
        </w:tc>
        <w:tc>
          <w:tcPr>
            <w:tcW w:w="2340" w:type="dxa"/>
          </w:tcPr>
          <w:p>
            <w:pPr>
              <w:pStyle w:val="32"/>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2" w:type="dxa"/>
          </w:tcPr>
          <w:p>
            <w:pPr>
              <w:pStyle w:val="32"/>
              <w:rPr>
                <w:rFonts w:ascii="Times New Roman"/>
                <w:color w:val="000000" w:themeColor="text1"/>
                <w:sz w:val="20"/>
                <w:highlight w:val="none"/>
                <w14:textFill>
                  <w14:solidFill>
                    <w14:schemeClr w14:val="tx1"/>
                  </w14:solidFill>
                </w14:textFill>
              </w:rPr>
            </w:pPr>
          </w:p>
        </w:tc>
        <w:tc>
          <w:tcPr>
            <w:tcW w:w="1651" w:type="dxa"/>
          </w:tcPr>
          <w:p>
            <w:pPr>
              <w:pStyle w:val="32"/>
              <w:rPr>
                <w:rFonts w:ascii="Times New Roman"/>
                <w:color w:val="000000" w:themeColor="text1"/>
                <w:sz w:val="20"/>
                <w:highlight w:val="none"/>
                <w14:textFill>
                  <w14:solidFill>
                    <w14:schemeClr w14:val="tx1"/>
                  </w14:solidFill>
                </w14:textFill>
              </w:rPr>
            </w:pPr>
          </w:p>
        </w:tc>
        <w:tc>
          <w:tcPr>
            <w:tcW w:w="2145" w:type="dxa"/>
          </w:tcPr>
          <w:p>
            <w:pPr>
              <w:pStyle w:val="32"/>
              <w:rPr>
                <w:rFonts w:ascii="Times New Roman"/>
                <w:color w:val="000000" w:themeColor="text1"/>
                <w:sz w:val="20"/>
                <w:highlight w:val="none"/>
                <w14:textFill>
                  <w14:solidFill>
                    <w14:schemeClr w14:val="tx1"/>
                  </w14:solidFill>
                </w14:textFill>
              </w:rPr>
            </w:pPr>
          </w:p>
        </w:tc>
        <w:tc>
          <w:tcPr>
            <w:tcW w:w="2160" w:type="dxa"/>
          </w:tcPr>
          <w:p>
            <w:pPr>
              <w:pStyle w:val="32"/>
              <w:rPr>
                <w:rFonts w:ascii="Times New Roman"/>
                <w:color w:val="000000" w:themeColor="text1"/>
                <w:sz w:val="20"/>
                <w:highlight w:val="none"/>
                <w14:textFill>
                  <w14:solidFill>
                    <w14:schemeClr w14:val="tx1"/>
                  </w14:solidFill>
                </w14:textFill>
              </w:rPr>
            </w:pPr>
          </w:p>
        </w:tc>
        <w:tc>
          <w:tcPr>
            <w:tcW w:w="2340" w:type="dxa"/>
          </w:tcPr>
          <w:p>
            <w:pPr>
              <w:pStyle w:val="32"/>
              <w:rPr>
                <w:rFonts w:ascii="Times New Roman"/>
                <w:color w:val="000000" w:themeColor="text1"/>
                <w:sz w:val="20"/>
                <w:highlight w:val="none"/>
                <w14:textFill>
                  <w14:solidFill>
                    <w14:schemeClr w14:val="tx1"/>
                  </w14:solidFill>
                </w14:textFill>
              </w:rPr>
            </w:pPr>
          </w:p>
        </w:tc>
      </w:tr>
    </w:tbl>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3"/>
        <w:rPr>
          <w:b/>
          <w:color w:val="000000" w:themeColor="text1"/>
          <w:sz w:val="14"/>
          <w:highlight w:val="none"/>
          <w14:textFill>
            <w14:solidFill>
              <w14:schemeClr w14:val="tx1"/>
            </w14:solidFill>
          </w14:textFill>
        </w:rPr>
      </w:pPr>
    </w:p>
    <w:p>
      <w:pPr>
        <w:pStyle w:val="13"/>
        <w:spacing w:before="70"/>
        <w:ind w:left="32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投标人（公章，自然人除外）：</w:t>
      </w:r>
    </w:p>
    <w:p>
      <w:pPr>
        <w:pStyle w:val="13"/>
        <w:rPr>
          <w:color w:val="000000" w:themeColor="text1"/>
          <w:sz w:val="20"/>
          <w:highlight w:val="none"/>
          <w14:textFill>
            <w14:solidFill>
              <w14:schemeClr w14:val="tx1"/>
            </w14:solidFill>
          </w14:textFill>
        </w:rPr>
      </w:pPr>
    </w:p>
    <w:p>
      <w:pPr>
        <w:pStyle w:val="13"/>
        <w:spacing w:before="10"/>
        <w:rPr>
          <w:color w:val="000000" w:themeColor="text1"/>
          <w:sz w:val="27"/>
          <w:highlight w:val="none"/>
          <w14:textFill>
            <w14:solidFill>
              <w14:schemeClr w14:val="tx1"/>
            </w14:solidFill>
          </w14:textFill>
        </w:rPr>
      </w:pPr>
    </w:p>
    <w:p>
      <w:pPr>
        <w:pStyle w:val="13"/>
        <w:tabs>
          <w:tab w:val="left" w:pos="9339"/>
        </w:tabs>
        <w:spacing w:line="391" w:lineRule="auto"/>
        <w:ind w:left="3261" w:right="22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w:t>
      </w:r>
      <w:r>
        <w:rPr>
          <w:color w:val="000000" w:themeColor="text1"/>
          <w:spacing w:val="-22"/>
          <w:highlight w:val="none"/>
          <w14:textFill>
            <w14:solidFill>
              <w14:schemeClr w14:val="tx1"/>
            </w14:solidFill>
          </w14:textFill>
        </w:rPr>
        <w:t>、</w:t>
      </w:r>
      <w:r>
        <w:rPr>
          <w:color w:val="000000" w:themeColor="text1"/>
          <w:highlight w:val="none"/>
          <w14:textFill>
            <w14:solidFill>
              <w14:schemeClr w14:val="tx1"/>
            </w14:solidFill>
          </w14:textFill>
        </w:rPr>
        <w:t>负责人</w:t>
      </w:r>
      <w:r>
        <w:rPr>
          <w:color w:val="000000" w:themeColor="text1"/>
          <w:spacing w:val="-20"/>
          <w:highlight w:val="none"/>
          <w14:textFill>
            <w14:solidFill>
              <w14:schemeClr w14:val="tx1"/>
            </w14:solidFill>
          </w14:textFill>
        </w:rPr>
        <w:t>、</w:t>
      </w:r>
      <w:r>
        <w:rPr>
          <w:color w:val="000000" w:themeColor="text1"/>
          <w:highlight w:val="none"/>
          <w14:textFill>
            <w14:solidFill>
              <w14:schemeClr w14:val="tx1"/>
            </w14:solidFill>
          </w14:textFill>
        </w:rPr>
        <w:t>自然人或相应的委托代理人签字或盖</w:t>
      </w:r>
      <w:r>
        <w:rPr>
          <w:color w:val="000000" w:themeColor="text1"/>
          <w:spacing w:val="-22"/>
          <w:highlight w:val="none"/>
          <w14:textFill>
            <w14:solidFill>
              <w14:schemeClr w14:val="tx1"/>
            </w14:solidFill>
          </w14:textFill>
        </w:rPr>
        <w:t>章</w:t>
      </w:r>
      <w:r>
        <w:rPr>
          <w:color w:val="000000" w:themeColor="text1"/>
          <w:highlight w:val="none"/>
          <w14:textFill>
            <w14:solidFill>
              <w14:schemeClr w14:val="tx1"/>
            </w14:solidFill>
          </w14:textFill>
        </w:rPr>
        <w:t>（属自然人的应在签名处加盖食指指印）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rPr>
          <w:rFonts w:ascii="Times New Roman"/>
          <w:color w:val="000000" w:themeColor="text1"/>
          <w:sz w:val="20"/>
          <w:highlight w:val="none"/>
          <w14:textFill>
            <w14:solidFill>
              <w14:schemeClr w14:val="tx1"/>
            </w14:solidFill>
          </w14:textFill>
        </w:rPr>
      </w:pPr>
    </w:p>
    <w:p>
      <w:pPr>
        <w:pStyle w:val="13"/>
        <w:spacing w:before="10"/>
        <w:rPr>
          <w:rFonts w:ascii="Times New Roman"/>
          <w:color w:val="000000" w:themeColor="text1"/>
          <w:sz w:val="16"/>
          <w:highlight w:val="none"/>
          <w14:textFill>
            <w14:solidFill>
              <w14:schemeClr w14:val="tx1"/>
            </w14:solidFill>
          </w14:textFill>
        </w:rPr>
      </w:pPr>
    </w:p>
    <w:p>
      <w:pPr>
        <w:pStyle w:val="13"/>
        <w:spacing w:before="69" w:line="391" w:lineRule="auto"/>
        <w:ind w:left="635" w:right="276" w:hanging="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注：1.投标人应对照“货物采购需求”注明所投产品技术参数的响应情况及偏离情况（无偏离、正偏离、负偏离），当出现“正偏离”或“负偏离”情况时应对应填写偏离情况说明及提供相应有效的证明材料。</w:t>
      </w:r>
    </w:p>
    <w:p>
      <w:pPr>
        <w:spacing w:before="5" w:line="391" w:lineRule="auto"/>
        <w:ind w:left="635" w:right="268"/>
        <w:jc w:val="both"/>
        <w:rPr>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2.技术规格偏离表须由法定代表人、负责人、自然人或相应的委托代理人签字或盖章（属自然人的应在签名处加盖食指指印）并加盖投标人公章（自然人除外）。</w:t>
      </w:r>
      <w:r>
        <w:rPr>
          <w:b/>
          <w:color w:val="000000" w:themeColor="text1"/>
          <w:sz w:val="21"/>
          <w:highlight w:val="none"/>
          <w14:textFill>
            <w14:solidFill>
              <w14:schemeClr w14:val="tx1"/>
            </w14:solidFill>
          </w14:textFill>
        </w:rPr>
        <w:t>当本表由多页构成时，需逐页加盖投标人公章（属自然人的须逐页签字）。</w:t>
      </w:r>
    </w:p>
    <w:p>
      <w:pPr>
        <w:spacing w:line="391" w:lineRule="auto"/>
        <w:jc w:val="both"/>
        <w:rPr>
          <w:color w:val="000000" w:themeColor="text1"/>
          <w:sz w:val="21"/>
          <w:highlight w:val="none"/>
          <w14:textFill>
            <w14:solidFill>
              <w14:schemeClr w14:val="tx1"/>
            </w14:solidFill>
          </w14:textFill>
        </w:rPr>
        <w:sectPr>
          <w:footerReference r:id="rId15" w:type="default"/>
          <w:pgSz w:w="11910" w:h="16840"/>
          <w:pgMar w:top="1580" w:right="1140" w:bottom="1180" w:left="1200" w:header="0" w:footer="993" w:gutter="0"/>
          <w:pgNumType w:start="68"/>
          <w:cols w:space="720" w:num="1"/>
        </w:sectPr>
      </w:pPr>
    </w:p>
    <w:p>
      <w:pPr>
        <w:pStyle w:val="13"/>
        <w:spacing w:before="5"/>
        <w:rPr>
          <w:b/>
          <w:color w:val="000000" w:themeColor="text1"/>
          <w:sz w:val="10"/>
          <w:highlight w:val="none"/>
          <w14:textFill>
            <w14:solidFill>
              <w14:schemeClr w14:val="tx1"/>
            </w14:solidFill>
          </w14:textFill>
        </w:rPr>
      </w:pPr>
    </w:p>
    <w:p>
      <w:pPr>
        <w:pStyle w:val="2"/>
        <w:ind w:right="5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四、项目技术设计实施方案（如有，请提供）</w:t>
      </w:r>
    </w:p>
    <w:p>
      <w:pPr>
        <w:pStyle w:val="13"/>
        <w:spacing w:before="3"/>
        <w:rPr>
          <w:b/>
          <w:color w:val="000000" w:themeColor="text1"/>
          <w:sz w:val="29"/>
          <w:highlight w:val="none"/>
          <w14:textFill>
            <w14:solidFill>
              <w14:schemeClr w14:val="tx1"/>
            </w14:solidFill>
          </w14:textFill>
        </w:rPr>
      </w:pPr>
    </w:p>
    <w:p>
      <w:pPr>
        <w:ind w:right="57"/>
        <w:jc w:val="cente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（格式自拟）</w:t>
      </w: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rPr>
          <w:b/>
          <w:color w:val="000000" w:themeColor="text1"/>
          <w:sz w:val="28"/>
          <w:highlight w:val="none"/>
          <w14:textFill>
            <w14:solidFill>
              <w14:schemeClr w14:val="tx1"/>
            </w14:solidFill>
          </w14:textFill>
        </w:rPr>
      </w:pPr>
    </w:p>
    <w:p>
      <w:pPr>
        <w:pStyle w:val="13"/>
        <w:spacing w:before="6"/>
        <w:rPr>
          <w:b/>
          <w:color w:val="000000" w:themeColor="text1"/>
          <w:sz w:val="41"/>
          <w:highlight w:val="none"/>
          <w14:textFill>
            <w14:solidFill>
              <w14:schemeClr w14:val="tx1"/>
            </w14:solidFill>
          </w14:textFill>
        </w:rPr>
      </w:pPr>
    </w:p>
    <w:p>
      <w:pPr>
        <w:pStyle w:val="2"/>
        <w:spacing w:before="0"/>
        <w:ind w:right="55"/>
        <w:rPr>
          <w:color w:val="000000" w:themeColor="text1"/>
          <w:highlight w:val="none"/>
          <w14:textFill>
            <w14:solidFill>
              <w14:schemeClr w14:val="tx1"/>
            </w14:solidFill>
          </w14:textFill>
        </w:rPr>
      </w:pPr>
      <w:bookmarkStart w:id="134" w:name="五、投标人相关获奖证书、认证证书等复印件（如有请提供）"/>
      <w:bookmarkEnd w:id="134"/>
      <w:r>
        <w:rPr>
          <w:color w:val="000000" w:themeColor="text1"/>
          <w:highlight w:val="none"/>
          <w14:textFill>
            <w14:solidFill>
              <w14:schemeClr w14:val="tx1"/>
            </w14:solidFill>
          </w14:textFill>
        </w:rPr>
        <w:t>五、投标人相关获奖证书、认证证书等复印件（如有请提供）</w:t>
      </w: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2"/>
        <w:spacing w:before="227" w:line="364" w:lineRule="auto"/>
        <w:ind w:left="220" w:right="189" w:firstLine="38"/>
        <w:jc w:val="both"/>
        <w:rPr>
          <w:color w:val="000000" w:themeColor="text1"/>
          <w:highlight w:val="none"/>
          <w14:textFill>
            <w14:solidFill>
              <w14:schemeClr w14:val="tx1"/>
            </w14:solidFill>
          </w14:textFill>
        </w:rPr>
      </w:pPr>
      <w:bookmarkStart w:id="135" w:name="六、投标人具有同类产品的销售业绩【无不良记录，以中标（成交）通知书、签订的销售合"/>
      <w:bookmarkEnd w:id="135"/>
      <w:r>
        <w:rPr>
          <w:color w:val="000000" w:themeColor="text1"/>
          <w:highlight w:val="none"/>
          <w14:textFill>
            <w14:solidFill>
              <w14:schemeClr w14:val="tx1"/>
            </w14:solidFill>
          </w14:textFill>
        </w:rPr>
        <w:t>六、投标人具有同类产品的销售业绩【无不良记录，以中标（成交）通知书、签订的销售合同和用户评价为准，并能清晰反映所销售的货物名称、种类、金额、数量】。 （如有，请提供）；</w:t>
      </w: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spacing w:before="12"/>
        <w:rPr>
          <w:b/>
          <w:color w:val="000000" w:themeColor="text1"/>
          <w:sz w:val="35"/>
          <w:highlight w:val="none"/>
          <w14:textFill>
            <w14:solidFill>
              <w14:schemeClr w14:val="tx1"/>
            </w14:solidFill>
          </w14:textFill>
        </w:rPr>
      </w:pPr>
    </w:p>
    <w:p>
      <w:pPr>
        <w:pStyle w:val="2"/>
        <w:spacing w:before="0"/>
        <w:ind w:right="57"/>
        <w:rPr>
          <w:color w:val="000000" w:themeColor="text1"/>
          <w:highlight w:val="none"/>
          <w14:textFill>
            <w14:solidFill>
              <w14:schemeClr w14:val="tx1"/>
            </w14:solidFill>
          </w14:textFill>
        </w:rPr>
      </w:pPr>
      <w:bookmarkStart w:id="136" w:name="七、售后服务方案（如有，请提供）"/>
      <w:bookmarkEnd w:id="136"/>
      <w:r>
        <w:rPr>
          <w:color w:val="000000" w:themeColor="text1"/>
          <w:highlight w:val="none"/>
          <w14:textFill>
            <w14:solidFill>
              <w14:schemeClr w14:val="tx1"/>
            </w14:solidFill>
          </w14:textFill>
        </w:rPr>
        <w:t>七、售后服务方案（如有，请提供）</w:t>
      </w:r>
    </w:p>
    <w:p>
      <w:pPr>
        <w:pStyle w:val="13"/>
        <w:spacing w:before="3"/>
        <w:rPr>
          <w:b/>
          <w:color w:val="000000" w:themeColor="text1"/>
          <w:sz w:val="29"/>
          <w:highlight w:val="none"/>
          <w14:textFill>
            <w14:solidFill>
              <w14:schemeClr w14:val="tx1"/>
            </w14:solidFill>
          </w14:textFill>
        </w:rPr>
      </w:pPr>
    </w:p>
    <w:p>
      <w:pPr>
        <w:ind w:right="57"/>
        <w:jc w:val="cente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（格式自拟）</w:t>
      </w:r>
    </w:p>
    <w:p>
      <w:pPr>
        <w:jc w:val="center"/>
        <w:rPr>
          <w:color w:val="000000" w:themeColor="text1"/>
          <w:sz w:val="28"/>
          <w:highlight w:val="none"/>
          <w14:textFill>
            <w14:solidFill>
              <w14:schemeClr w14:val="tx1"/>
            </w14:solidFill>
          </w14:textFill>
        </w:rPr>
        <w:sectPr>
          <w:pgSz w:w="11910" w:h="16840"/>
          <w:pgMar w:top="1580" w:right="1140" w:bottom="1180" w:left="1200" w:header="0" w:footer="993" w:gutter="0"/>
          <w:cols w:space="720" w:num="1"/>
        </w:sectPr>
      </w:pPr>
    </w:p>
    <w:p>
      <w:pPr>
        <w:pStyle w:val="13"/>
        <w:spacing w:before="10"/>
        <w:rPr>
          <w:b/>
          <w:color w:val="000000" w:themeColor="text1"/>
          <w:sz w:val="14"/>
          <w:highlight w:val="none"/>
          <w14:textFill>
            <w14:solidFill>
              <w14:schemeClr w14:val="tx1"/>
            </w14:solidFill>
          </w14:textFill>
        </w:rPr>
      </w:pPr>
    </w:p>
    <w:p>
      <w:pPr>
        <w:pStyle w:val="2"/>
        <w:spacing w:line="364" w:lineRule="auto"/>
        <w:ind w:left="420" w:right="312" w:hanging="161"/>
        <w:jc w:val="left"/>
        <w:rPr>
          <w:color w:val="000000" w:themeColor="text1"/>
          <w:highlight w:val="none"/>
          <w14:textFill>
            <w14:solidFill>
              <w14:schemeClr w14:val="tx1"/>
            </w14:solidFill>
          </w14:textFill>
        </w:rPr>
      </w:pPr>
      <w:bookmarkStart w:id="137" w:name="八、投标人的售后服务承诺书（含交付使用期、免费保修期、技术服务、技术培训、售后服"/>
      <w:bookmarkEnd w:id="137"/>
      <w:r>
        <w:rPr>
          <w:color w:val="000000" w:themeColor="text1"/>
          <w:w w:val="95"/>
          <w:highlight w:val="none"/>
          <w14:textFill>
            <w14:solidFill>
              <w14:schemeClr w14:val="tx1"/>
            </w14:solidFill>
          </w14:textFill>
        </w:rPr>
        <w:t xml:space="preserve">八、投标人的售后服务承诺书（含交付使用期、免费保修期、技 </w:t>
      </w:r>
      <w:r>
        <w:rPr>
          <w:color w:val="000000" w:themeColor="text1"/>
          <w:highlight w:val="none"/>
          <w14:textFill>
            <w14:solidFill>
              <w14:schemeClr w14:val="tx1"/>
            </w14:solidFill>
          </w14:textFill>
        </w:rPr>
        <w:t>术服务、技术培训、售后服务的内容和措施等）（必须提供）</w:t>
      </w:r>
    </w:p>
    <w:p>
      <w:pPr>
        <w:pStyle w:val="13"/>
        <w:spacing w:before="1"/>
        <w:rPr>
          <w:b/>
          <w:color w:val="000000" w:themeColor="text1"/>
          <w:sz w:val="16"/>
          <w:highlight w:val="none"/>
          <w14:textFill>
            <w14:solidFill>
              <w14:schemeClr w14:val="tx1"/>
            </w14:solidFill>
          </w14:textFill>
        </w:rPr>
      </w:pPr>
    </w:p>
    <w:p>
      <w:pPr>
        <w:spacing w:before="55"/>
        <w:ind w:left="686"/>
        <w:outlineLvl w:val="0"/>
        <w:rPr>
          <w:b/>
          <w:color w:val="000000" w:themeColor="text1"/>
          <w:sz w:val="32"/>
          <w:highlight w:val="none"/>
          <w14:textFill>
            <w14:solidFill>
              <w14:schemeClr w14:val="tx1"/>
            </w14:solidFill>
          </w14:textFill>
        </w:rPr>
      </w:pPr>
      <w:bookmarkStart w:id="138" w:name="_Toc15516"/>
      <w:r>
        <w:rPr>
          <w:b/>
          <w:color w:val="000000" w:themeColor="text1"/>
          <w:sz w:val="32"/>
          <w:highlight w:val="none"/>
          <w14:textFill>
            <w14:solidFill>
              <w14:schemeClr w14:val="tx1"/>
            </w14:solidFill>
          </w14:textFill>
        </w:rPr>
        <w:t>附件：</w:t>
      </w:r>
      <w:bookmarkEnd w:id="138"/>
    </w:p>
    <w:p>
      <w:pPr>
        <w:spacing w:before="214"/>
        <w:ind w:left="741" w:right="333"/>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售后服务承诺书（格式自拟）</w:t>
      </w: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spacing w:before="6"/>
        <w:rPr>
          <w:b/>
          <w:color w:val="000000" w:themeColor="text1"/>
          <w:sz w:val="47"/>
          <w:highlight w:val="none"/>
          <w14:textFill>
            <w14:solidFill>
              <w14:schemeClr w14:val="tx1"/>
            </w14:solidFill>
          </w14:textFill>
        </w:rPr>
      </w:pPr>
    </w:p>
    <w:p>
      <w:pPr>
        <w:pStyle w:val="13"/>
        <w:ind w:left="179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投标人（公章，自然人除外）：</w:t>
      </w:r>
    </w:p>
    <w:p>
      <w:pPr>
        <w:pStyle w:val="13"/>
        <w:tabs>
          <w:tab w:val="left" w:pos="9192"/>
        </w:tabs>
        <w:spacing w:before="170" w:line="391" w:lineRule="auto"/>
        <w:ind w:left="1896" w:right="278"/>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法定代表人、负责人、自然人或相应的委托代理人签字及盖章（属自然人的应</w:t>
      </w:r>
      <w:r>
        <w:rPr>
          <w:color w:val="000000" w:themeColor="text1"/>
          <w:spacing w:val="-12"/>
          <w:highlight w:val="none"/>
          <w14:textFill>
            <w14:solidFill>
              <w14:schemeClr w14:val="tx1"/>
            </w14:solidFill>
          </w14:textFill>
        </w:rPr>
        <w:t>在</w:t>
      </w:r>
      <w:r>
        <w:rPr>
          <w:color w:val="000000" w:themeColor="text1"/>
          <w:highlight w:val="none"/>
          <w14:textFill>
            <w14:solidFill>
              <w14:schemeClr w14:val="tx1"/>
            </w14:solidFill>
          </w14:textFill>
        </w:rPr>
        <w:t>签名处加盖食指指印）</w:t>
      </w:r>
      <w:r>
        <w:rPr>
          <w:color w:val="000000" w:themeColor="text1"/>
          <w:w w:val="95"/>
          <w:highlight w:val="none"/>
          <w14:textFill>
            <w14:solidFill>
              <w14:schemeClr w14:val="tx1"/>
            </w14:solidFill>
          </w14:textFill>
        </w:rPr>
        <w:t>：</w:t>
      </w:r>
      <w:r>
        <w:rPr>
          <w:rFonts w:ascii="Times New Roman" w:eastAsia="Times New Roman"/>
          <w:color w:val="000000" w:themeColor="text1"/>
          <w:w w:val="95"/>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rPr>
          <w:rFonts w:ascii="Times New Roman"/>
          <w:color w:val="000000" w:themeColor="text1"/>
          <w:sz w:val="20"/>
          <w:highlight w:val="none"/>
          <w14:textFill>
            <w14:solidFill>
              <w14:schemeClr w14:val="tx1"/>
            </w14:solidFill>
          </w14:textFill>
        </w:rPr>
      </w:pPr>
    </w:p>
    <w:p>
      <w:pPr>
        <w:pStyle w:val="13"/>
        <w:spacing w:before="3"/>
        <w:rPr>
          <w:rFonts w:ascii="Times New Roman"/>
          <w:color w:val="000000" w:themeColor="text1"/>
          <w:sz w:val="28"/>
          <w:highlight w:val="none"/>
          <w14:textFill>
            <w14:solidFill>
              <w14:schemeClr w14:val="tx1"/>
            </w14:solidFill>
          </w14:textFill>
        </w:rPr>
      </w:pPr>
    </w:p>
    <w:p>
      <w:pPr>
        <w:pStyle w:val="2"/>
        <w:spacing w:line="364" w:lineRule="auto"/>
        <w:ind w:left="220" w:right="114" w:hanging="161"/>
        <w:jc w:val="left"/>
        <w:rPr>
          <w:color w:val="000000" w:themeColor="text1"/>
          <w:highlight w:val="none"/>
          <w14:textFill>
            <w14:solidFill>
              <w14:schemeClr w14:val="tx1"/>
            </w14:solidFill>
          </w14:textFill>
        </w:rPr>
      </w:pPr>
      <w:bookmarkStart w:id="139" w:name="九、项目实施人员一览表_【如有，请提供，并一起提供由县级以上（含县级）社会养老保"/>
      <w:bookmarkEnd w:id="139"/>
      <w:r>
        <w:rPr>
          <w:color w:val="000000" w:themeColor="text1"/>
          <w:spacing w:val="-10"/>
          <w:highlight w:val="none"/>
          <w14:textFill>
            <w14:solidFill>
              <w14:schemeClr w14:val="tx1"/>
            </w14:solidFill>
          </w14:textFill>
        </w:rPr>
        <w:t xml:space="preserve">九、项目实施人员一览表 【如有，请提供，并一起提供由县级以 上（含县级）社会养老保险经办机构出具的投标人为项目实施人 </w:t>
      </w:r>
      <w:r>
        <w:rPr>
          <w:color w:val="000000" w:themeColor="text1"/>
          <w:spacing w:val="-21"/>
          <w:w w:val="95"/>
          <w:highlight w:val="none"/>
          <w14:textFill>
            <w14:solidFill>
              <w14:schemeClr w14:val="tx1"/>
            </w14:solidFill>
          </w14:textFill>
        </w:rPr>
        <w:t>员交纳社保证明</w:t>
      </w:r>
      <w:r>
        <w:rPr>
          <w:color w:val="000000" w:themeColor="text1"/>
          <w:w w:val="95"/>
          <w:highlight w:val="none"/>
          <w14:textFill>
            <w14:solidFill>
              <w14:schemeClr w14:val="tx1"/>
            </w14:solidFill>
          </w14:textFill>
        </w:rPr>
        <w:t>（投标截止日当月的前六个月中任意连续三个月）</w:t>
      </w:r>
      <w:r>
        <w:rPr>
          <w:color w:val="000000" w:themeColor="text1"/>
          <w:highlight w:val="none"/>
          <w14:textFill>
            <w14:solidFill>
              <w14:schemeClr w14:val="tx1"/>
            </w14:solidFill>
          </w14:textFill>
        </w:rPr>
        <w:t>复印</w:t>
      </w:r>
      <w:r>
        <w:rPr>
          <w:rFonts w:hint="eastAsia"/>
          <w:color w:val="000000" w:themeColor="text1"/>
          <w:highlight w:val="none"/>
          <w14:textFill>
            <w14:solidFill>
              <w14:schemeClr w14:val="tx1"/>
            </w14:solidFill>
          </w14:textFill>
        </w:rPr>
        <w:t>件</w:t>
      </w:r>
      <w:r>
        <w:rPr>
          <w:color w:val="000000" w:themeColor="text1"/>
          <w:highlight w:val="none"/>
          <w14:textFill>
            <w14:solidFill>
              <w14:schemeClr w14:val="tx1"/>
            </w14:solidFill>
          </w14:textFill>
        </w:rPr>
        <w:t>】；</w:t>
      </w:r>
    </w:p>
    <w:p>
      <w:pPr>
        <w:pStyle w:val="13"/>
        <w:spacing w:before="3"/>
        <w:rPr>
          <w:b/>
          <w:color w:val="000000" w:themeColor="text1"/>
          <w:sz w:val="16"/>
          <w:highlight w:val="none"/>
          <w14:textFill>
            <w14:solidFill>
              <w14:schemeClr w14:val="tx1"/>
            </w14:solidFill>
          </w14:textFill>
        </w:rPr>
      </w:pPr>
    </w:p>
    <w:p>
      <w:pPr>
        <w:spacing w:before="55"/>
        <w:ind w:left="686"/>
        <w:outlineLvl w:val="0"/>
        <w:rPr>
          <w:b/>
          <w:color w:val="000000" w:themeColor="text1"/>
          <w:sz w:val="32"/>
          <w:highlight w:val="none"/>
          <w14:textFill>
            <w14:solidFill>
              <w14:schemeClr w14:val="tx1"/>
            </w14:solidFill>
          </w14:textFill>
        </w:rPr>
      </w:pPr>
      <w:bookmarkStart w:id="140" w:name="_Toc28139"/>
      <w:r>
        <w:rPr>
          <w:b/>
          <w:color w:val="000000" w:themeColor="text1"/>
          <w:sz w:val="32"/>
          <w:highlight w:val="none"/>
          <w14:textFill>
            <w14:solidFill>
              <w14:schemeClr w14:val="tx1"/>
            </w14:solidFill>
          </w14:textFill>
        </w:rPr>
        <w:t>附件：</w:t>
      </w:r>
      <w:bookmarkEnd w:id="140"/>
    </w:p>
    <w:p>
      <w:pPr>
        <w:spacing w:before="214"/>
        <w:ind w:left="743" w:right="333"/>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项目实施人员一览表（格式）</w:t>
      </w:r>
    </w:p>
    <w:p>
      <w:pPr>
        <w:pStyle w:val="13"/>
        <w:rPr>
          <w:b/>
          <w:color w:val="000000" w:themeColor="text1"/>
          <w:sz w:val="20"/>
          <w:highlight w:val="none"/>
          <w14:textFill>
            <w14:solidFill>
              <w14:schemeClr w14:val="tx1"/>
            </w14:solidFill>
          </w14:textFill>
        </w:rPr>
      </w:pPr>
    </w:p>
    <w:p>
      <w:pPr>
        <w:pStyle w:val="13"/>
        <w:spacing w:before="8" w:after="1"/>
        <w:rPr>
          <w:b/>
          <w:color w:val="000000" w:themeColor="text1"/>
          <w:sz w:val="12"/>
          <w:highlight w:val="none"/>
          <w14:textFill>
            <w14:solidFill>
              <w14:schemeClr w14:val="tx1"/>
            </w14:solidFill>
          </w14:textFill>
        </w:rPr>
      </w:pPr>
    </w:p>
    <w:tbl>
      <w:tblPr>
        <w:tblStyle w:val="23"/>
        <w:tblW w:w="921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06"/>
        <w:gridCol w:w="1537"/>
        <w:gridCol w:w="1371"/>
        <w:gridCol w:w="2163"/>
        <w:gridCol w:w="2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42" w:type="dxa"/>
          </w:tcPr>
          <w:p>
            <w:pPr>
              <w:pStyle w:val="32"/>
              <w:spacing w:before="3"/>
              <w:rPr>
                <w:b/>
                <w:color w:val="000000" w:themeColor="text1"/>
                <w:sz w:val="24"/>
                <w:highlight w:val="none"/>
                <w14:textFill>
                  <w14:solidFill>
                    <w14:schemeClr w14:val="tx1"/>
                  </w14:solidFill>
                </w14:textFill>
              </w:rPr>
            </w:pPr>
          </w:p>
          <w:p>
            <w:pPr>
              <w:pStyle w:val="32"/>
              <w:ind w:left="4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姓 名</w:t>
            </w:r>
          </w:p>
        </w:tc>
        <w:tc>
          <w:tcPr>
            <w:tcW w:w="806" w:type="dxa"/>
          </w:tcPr>
          <w:p>
            <w:pPr>
              <w:pStyle w:val="32"/>
              <w:spacing w:before="3"/>
              <w:rPr>
                <w:b/>
                <w:color w:val="000000" w:themeColor="text1"/>
                <w:sz w:val="24"/>
                <w:highlight w:val="none"/>
                <w14:textFill>
                  <w14:solidFill>
                    <w14:schemeClr w14:val="tx1"/>
                  </w14:solidFill>
                </w14:textFill>
              </w:rPr>
            </w:pPr>
          </w:p>
          <w:p>
            <w:pPr>
              <w:pStyle w:val="32"/>
              <w:ind w:left="19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职务</w:t>
            </w:r>
          </w:p>
        </w:tc>
        <w:tc>
          <w:tcPr>
            <w:tcW w:w="1537" w:type="dxa"/>
          </w:tcPr>
          <w:p>
            <w:pPr>
              <w:pStyle w:val="32"/>
              <w:spacing w:before="3"/>
              <w:rPr>
                <w:b/>
                <w:color w:val="000000" w:themeColor="text1"/>
                <w:sz w:val="24"/>
                <w:highlight w:val="none"/>
                <w14:textFill>
                  <w14:solidFill>
                    <w14:schemeClr w14:val="tx1"/>
                  </w14:solidFill>
                </w14:textFill>
              </w:rPr>
            </w:pPr>
          </w:p>
          <w:p>
            <w:pPr>
              <w:pStyle w:val="32"/>
              <w:ind w:left="13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专业技术资格</w:t>
            </w:r>
          </w:p>
        </w:tc>
        <w:tc>
          <w:tcPr>
            <w:tcW w:w="1371" w:type="dxa"/>
          </w:tcPr>
          <w:p>
            <w:pPr>
              <w:pStyle w:val="32"/>
              <w:spacing w:before="3"/>
              <w:rPr>
                <w:b/>
                <w:color w:val="000000" w:themeColor="text1"/>
                <w:sz w:val="24"/>
                <w:highlight w:val="none"/>
                <w14:textFill>
                  <w14:solidFill>
                    <w14:schemeClr w14:val="tx1"/>
                  </w14:solidFill>
                </w14:textFill>
              </w:rPr>
            </w:pPr>
          </w:p>
          <w:p>
            <w:pPr>
              <w:pStyle w:val="32"/>
              <w:ind w:left="26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证书编号</w:t>
            </w:r>
          </w:p>
        </w:tc>
        <w:tc>
          <w:tcPr>
            <w:tcW w:w="2163" w:type="dxa"/>
          </w:tcPr>
          <w:p>
            <w:pPr>
              <w:pStyle w:val="32"/>
              <w:spacing w:before="109"/>
              <w:ind w:left="55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参加本单位</w:t>
            </w:r>
          </w:p>
          <w:p>
            <w:pPr>
              <w:pStyle w:val="32"/>
              <w:spacing w:before="131"/>
              <w:ind w:left="65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工作时间</w:t>
            </w:r>
          </w:p>
        </w:tc>
        <w:tc>
          <w:tcPr>
            <w:tcW w:w="2000" w:type="dxa"/>
          </w:tcPr>
          <w:p>
            <w:pPr>
              <w:pStyle w:val="32"/>
              <w:spacing w:before="3"/>
              <w:rPr>
                <w:b/>
                <w:color w:val="000000" w:themeColor="text1"/>
                <w:sz w:val="24"/>
                <w:highlight w:val="none"/>
                <w14:textFill>
                  <w14:solidFill>
                    <w14:schemeClr w14:val="tx1"/>
                  </w14:solidFill>
                </w14:textFill>
              </w:rPr>
            </w:pPr>
          </w:p>
          <w:p>
            <w:pPr>
              <w:pStyle w:val="32"/>
              <w:ind w:left="36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32"/>
              <w:rPr>
                <w:rFonts w:ascii="Times New Roman"/>
                <w:color w:val="000000" w:themeColor="text1"/>
                <w:sz w:val="28"/>
                <w:highlight w:val="none"/>
                <w14:textFill>
                  <w14:solidFill>
                    <w14:schemeClr w14:val="tx1"/>
                  </w14:solidFill>
                </w14:textFill>
              </w:rPr>
            </w:pPr>
          </w:p>
        </w:tc>
        <w:tc>
          <w:tcPr>
            <w:tcW w:w="806" w:type="dxa"/>
          </w:tcPr>
          <w:p>
            <w:pPr>
              <w:pStyle w:val="32"/>
              <w:rPr>
                <w:rFonts w:ascii="Times New Roman"/>
                <w:color w:val="000000" w:themeColor="text1"/>
                <w:sz w:val="28"/>
                <w:highlight w:val="none"/>
                <w14:textFill>
                  <w14:solidFill>
                    <w14:schemeClr w14:val="tx1"/>
                  </w14:solidFill>
                </w14:textFill>
              </w:rPr>
            </w:pPr>
          </w:p>
        </w:tc>
        <w:tc>
          <w:tcPr>
            <w:tcW w:w="1537" w:type="dxa"/>
          </w:tcPr>
          <w:p>
            <w:pPr>
              <w:pStyle w:val="32"/>
              <w:rPr>
                <w:rFonts w:ascii="Times New Roman"/>
                <w:color w:val="000000" w:themeColor="text1"/>
                <w:sz w:val="28"/>
                <w:highlight w:val="none"/>
                <w14:textFill>
                  <w14:solidFill>
                    <w14:schemeClr w14:val="tx1"/>
                  </w14:solidFill>
                </w14:textFill>
              </w:rPr>
            </w:pPr>
          </w:p>
        </w:tc>
        <w:tc>
          <w:tcPr>
            <w:tcW w:w="1371" w:type="dxa"/>
          </w:tcPr>
          <w:p>
            <w:pPr>
              <w:pStyle w:val="32"/>
              <w:rPr>
                <w:rFonts w:ascii="Times New Roman"/>
                <w:color w:val="000000" w:themeColor="text1"/>
                <w:sz w:val="28"/>
                <w:highlight w:val="none"/>
                <w14:textFill>
                  <w14:solidFill>
                    <w14:schemeClr w14:val="tx1"/>
                  </w14:solidFill>
                </w14:textFill>
              </w:rPr>
            </w:pPr>
          </w:p>
        </w:tc>
        <w:tc>
          <w:tcPr>
            <w:tcW w:w="2163" w:type="dxa"/>
          </w:tcPr>
          <w:p>
            <w:pPr>
              <w:pStyle w:val="32"/>
              <w:rPr>
                <w:rFonts w:ascii="Times New Roman"/>
                <w:color w:val="000000" w:themeColor="text1"/>
                <w:sz w:val="28"/>
                <w:highlight w:val="none"/>
                <w14:textFill>
                  <w14:solidFill>
                    <w14:schemeClr w14:val="tx1"/>
                  </w14:solidFill>
                </w14:textFill>
              </w:rPr>
            </w:pPr>
          </w:p>
        </w:tc>
        <w:tc>
          <w:tcPr>
            <w:tcW w:w="2000" w:type="dxa"/>
          </w:tcPr>
          <w:p>
            <w:pPr>
              <w:pStyle w:val="32"/>
              <w:rPr>
                <w:rFonts w:ascii="Times New Roman"/>
                <w:color w:val="000000" w:themeColor="text1"/>
                <w:sz w:val="2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32"/>
              <w:rPr>
                <w:rFonts w:ascii="Times New Roman"/>
                <w:color w:val="000000" w:themeColor="text1"/>
                <w:sz w:val="28"/>
                <w:highlight w:val="none"/>
                <w14:textFill>
                  <w14:solidFill>
                    <w14:schemeClr w14:val="tx1"/>
                  </w14:solidFill>
                </w14:textFill>
              </w:rPr>
            </w:pPr>
          </w:p>
        </w:tc>
        <w:tc>
          <w:tcPr>
            <w:tcW w:w="806" w:type="dxa"/>
          </w:tcPr>
          <w:p>
            <w:pPr>
              <w:pStyle w:val="32"/>
              <w:rPr>
                <w:rFonts w:ascii="Times New Roman"/>
                <w:color w:val="000000" w:themeColor="text1"/>
                <w:sz w:val="28"/>
                <w:highlight w:val="none"/>
                <w14:textFill>
                  <w14:solidFill>
                    <w14:schemeClr w14:val="tx1"/>
                  </w14:solidFill>
                </w14:textFill>
              </w:rPr>
            </w:pPr>
          </w:p>
        </w:tc>
        <w:tc>
          <w:tcPr>
            <w:tcW w:w="1537" w:type="dxa"/>
          </w:tcPr>
          <w:p>
            <w:pPr>
              <w:pStyle w:val="32"/>
              <w:rPr>
                <w:rFonts w:ascii="Times New Roman"/>
                <w:color w:val="000000" w:themeColor="text1"/>
                <w:sz w:val="28"/>
                <w:highlight w:val="none"/>
                <w14:textFill>
                  <w14:solidFill>
                    <w14:schemeClr w14:val="tx1"/>
                  </w14:solidFill>
                </w14:textFill>
              </w:rPr>
            </w:pPr>
          </w:p>
        </w:tc>
        <w:tc>
          <w:tcPr>
            <w:tcW w:w="1371" w:type="dxa"/>
          </w:tcPr>
          <w:p>
            <w:pPr>
              <w:pStyle w:val="32"/>
              <w:rPr>
                <w:rFonts w:ascii="Times New Roman"/>
                <w:color w:val="000000" w:themeColor="text1"/>
                <w:sz w:val="28"/>
                <w:highlight w:val="none"/>
                <w14:textFill>
                  <w14:solidFill>
                    <w14:schemeClr w14:val="tx1"/>
                  </w14:solidFill>
                </w14:textFill>
              </w:rPr>
            </w:pPr>
          </w:p>
        </w:tc>
        <w:tc>
          <w:tcPr>
            <w:tcW w:w="2163" w:type="dxa"/>
          </w:tcPr>
          <w:p>
            <w:pPr>
              <w:pStyle w:val="32"/>
              <w:rPr>
                <w:rFonts w:ascii="Times New Roman"/>
                <w:color w:val="000000" w:themeColor="text1"/>
                <w:sz w:val="28"/>
                <w:highlight w:val="none"/>
                <w14:textFill>
                  <w14:solidFill>
                    <w14:schemeClr w14:val="tx1"/>
                  </w14:solidFill>
                </w14:textFill>
              </w:rPr>
            </w:pPr>
          </w:p>
        </w:tc>
        <w:tc>
          <w:tcPr>
            <w:tcW w:w="2000" w:type="dxa"/>
          </w:tcPr>
          <w:p>
            <w:pPr>
              <w:pStyle w:val="32"/>
              <w:rPr>
                <w:rFonts w:ascii="Times New Roman"/>
                <w:color w:val="000000" w:themeColor="text1"/>
                <w:sz w:val="28"/>
                <w:highlight w:val="none"/>
                <w14:textFill>
                  <w14:solidFill>
                    <w14:schemeClr w14:val="tx1"/>
                  </w14:solidFill>
                </w14:textFill>
              </w:rPr>
            </w:pPr>
          </w:p>
        </w:tc>
      </w:tr>
    </w:tbl>
    <w:p>
      <w:pPr>
        <w:pStyle w:val="13"/>
        <w:spacing w:before="42"/>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注：1.在填写时，如本表格不适合投标人的实际情况，可根据本表格式自行制表填写。</w:t>
      </w:r>
    </w:p>
    <w:p>
      <w:pPr>
        <w:pStyle w:val="13"/>
        <w:spacing w:before="170" w:line="391" w:lineRule="auto"/>
        <w:ind w:left="215" w:right="275"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2.项目实施人员一览表须由法定代表人、负责人、自然人或相应的委托代理人签字或盖章（属自然人的应在签名处加盖食指指印）并加盖投标人公章（自然人除外）。</w:t>
      </w:r>
    </w:p>
    <w:p>
      <w:pPr>
        <w:pStyle w:val="13"/>
        <w:spacing w:before="11"/>
        <w:rPr>
          <w:color w:val="000000" w:themeColor="text1"/>
          <w:sz w:val="16"/>
          <w:highlight w:val="none"/>
          <w14:textFill>
            <w14:solidFill>
              <w14:schemeClr w14:val="tx1"/>
            </w14:solidFill>
          </w14:textFill>
        </w:rPr>
      </w:pPr>
    </w:p>
    <w:p>
      <w:pPr>
        <w:pStyle w:val="13"/>
        <w:spacing w:before="1"/>
        <w:ind w:left="37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投标人（公章，自然人除外）：</w:t>
      </w:r>
    </w:p>
    <w:p>
      <w:pPr>
        <w:pStyle w:val="13"/>
        <w:tabs>
          <w:tab w:val="left" w:pos="2472"/>
        </w:tabs>
        <w:spacing w:before="50" w:line="278" w:lineRule="auto"/>
        <w:ind w:left="215" w:right="278"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法定代表人、负责人、自然人或相应的委托代理人签字或盖章</w:t>
      </w:r>
    </w:p>
    <w:p>
      <w:pPr>
        <w:pStyle w:val="13"/>
        <w:tabs>
          <w:tab w:val="left" w:pos="2472"/>
        </w:tabs>
        <w:spacing w:before="50" w:line="278" w:lineRule="auto"/>
        <w:ind w:left="215" w:right="278" w:firstLine="2730" w:firstLineChars="130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（属自然人的应在签名处加盖食指指印）：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13"/>
        <w:spacing w:before="6"/>
        <w:rPr>
          <w:rFonts w:ascii="Times New Roman"/>
          <w:color w:val="000000" w:themeColor="text1"/>
          <w:sz w:val="25"/>
          <w:highlight w:val="none"/>
          <w14:textFill>
            <w14:solidFill>
              <w14:schemeClr w14:val="tx1"/>
            </w14:solidFill>
          </w14:textFill>
        </w:rPr>
      </w:pPr>
    </w:p>
    <w:p>
      <w:pPr>
        <w:pStyle w:val="2"/>
        <w:spacing w:before="55"/>
        <w:ind w:right="55"/>
        <w:jc w:val="both"/>
        <w:rPr>
          <w:color w:val="000000" w:themeColor="text1"/>
          <w:highlight w:val="none"/>
          <w14:textFill>
            <w14:solidFill>
              <w14:schemeClr w14:val="tx1"/>
            </w14:solidFill>
          </w14:textFill>
        </w:rPr>
      </w:pPr>
      <w:bookmarkStart w:id="141" w:name="十、节能方面的资质证书复印件（如有，请提供）"/>
      <w:bookmarkEnd w:id="141"/>
      <w:r>
        <w:rPr>
          <w:color w:val="000000" w:themeColor="text1"/>
          <w:highlight w:val="none"/>
          <w14:textFill>
            <w14:solidFill>
              <w14:schemeClr w14:val="tx1"/>
            </w14:solidFill>
          </w14:textFill>
        </w:rPr>
        <w:t>十、节能方面的资质证书复印件（如有，请提供）</w:t>
      </w: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spacing w:before="2"/>
        <w:rPr>
          <w:b/>
          <w:color w:val="000000" w:themeColor="text1"/>
          <w:sz w:val="47"/>
          <w:highlight w:val="none"/>
          <w14:textFill>
            <w14:solidFill>
              <w14:schemeClr w14:val="tx1"/>
            </w14:solidFill>
          </w14:textFill>
        </w:rPr>
      </w:pPr>
    </w:p>
    <w:p>
      <w:pPr>
        <w:pStyle w:val="2"/>
        <w:spacing w:before="0"/>
        <w:ind w:right="55"/>
        <w:jc w:val="both"/>
        <w:rPr>
          <w:color w:val="000000" w:themeColor="text1"/>
          <w:highlight w:val="none"/>
          <w14:textFill>
            <w14:solidFill>
              <w14:schemeClr w14:val="tx1"/>
            </w14:solidFill>
          </w14:textFill>
        </w:rPr>
      </w:pPr>
      <w:bookmarkStart w:id="142" w:name="十一、环保方面的资质证书复印件（如有，请提供）"/>
      <w:bookmarkEnd w:id="142"/>
      <w:r>
        <w:rPr>
          <w:color w:val="000000" w:themeColor="text1"/>
          <w:highlight w:val="none"/>
          <w14:textFill>
            <w14:solidFill>
              <w14:schemeClr w14:val="tx1"/>
            </w14:solidFill>
          </w14:textFill>
        </w:rPr>
        <w:t>十一、环保方面的资质证书复印件（如有，请提供）</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1"/>
        <w:rPr>
          <w:b/>
          <w:color w:val="000000" w:themeColor="text1"/>
          <w:sz w:val="16"/>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page">
                  <wp:posOffset>3166745</wp:posOffset>
                </wp:positionH>
                <wp:positionV relativeFrom="paragraph">
                  <wp:posOffset>158750</wp:posOffset>
                </wp:positionV>
                <wp:extent cx="66675" cy="0"/>
                <wp:effectExtent l="0" t="0" r="0" b="0"/>
                <wp:wrapTopAndBottom/>
                <wp:docPr id="7" name="直线 10"/>
                <wp:cNvGraphicFramePr/>
                <a:graphic xmlns:a="http://schemas.openxmlformats.org/drawingml/2006/main">
                  <a:graphicData uri="http://schemas.microsoft.com/office/word/2010/wordprocessingShape">
                    <wps:wsp>
                      <wps:cNvCnPr/>
                      <wps:spPr>
                        <a:xfrm>
                          <a:off x="0" y="0"/>
                          <a:ext cx="666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49.35pt;margin-top:12.5pt;height:0pt;width:5.25pt;mso-position-horizontal-relative:page;mso-wrap-distance-bottom:0pt;mso-wrap-distance-top:0pt;z-index:-251650048;mso-width-relative:page;mso-height-relative:page;" filled="f" stroked="t" coordsize="21600,21600" o:gfxdata="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ukSp2AAAAAkBAAAPAAAAAAAAAAEAIAAAACIAAABkcnMvZG93bnJldi54&#10;bWxQSwECFAAUAAAACACHTuJAvbf7XcEBAACAAwAADgAAAAAAAAABACAAAAAnAQAAZHJzL2Uyb0Rv&#10;Yy54bWxQSwUGAAAAAAYABgBZAQAAWgUAAAAA&#10;">
                <v:fill on="f" focussize="0,0"/>
                <v:stroke weight="0.48pt" color="#000000" joinstyle="round"/>
                <v:imagedata o:title=""/>
                <o:lock v:ext="edit" aspectratio="f"/>
                <w10:wrap type="topAndBottom"/>
              </v:line>
            </w:pict>
          </mc:Fallback>
        </mc:AlternateConten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spacing w:before="6"/>
        <w:rPr>
          <w:b/>
          <w:color w:val="000000" w:themeColor="text1"/>
          <w:sz w:val="16"/>
          <w:highlight w:val="none"/>
          <w14:textFill>
            <w14:solidFill>
              <w14:schemeClr w14:val="tx1"/>
            </w14:solidFill>
          </w14:textFill>
        </w:rPr>
      </w:pPr>
    </w:p>
    <w:p>
      <w:pPr>
        <w:spacing w:before="54" w:line="364" w:lineRule="auto"/>
        <w:ind w:left="900" w:right="273" w:hanging="680"/>
        <w:rPr>
          <w:b/>
          <w:color w:val="000000" w:themeColor="text1"/>
          <w:sz w:val="32"/>
          <w:highlight w:val="none"/>
          <w14:textFill>
            <w14:solidFill>
              <w14:schemeClr w14:val="tx1"/>
            </w14:solidFill>
          </w14:textFill>
        </w:rPr>
      </w:pPr>
      <w:bookmarkStart w:id="143" w:name="十二、投标人2018年度以来通过中介第三方审计的有效财务审计报告复印件、企业缴纳"/>
      <w:bookmarkEnd w:id="143"/>
      <w:r>
        <w:rPr>
          <w:b/>
          <w:color w:val="000000" w:themeColor="text1"/>
          <w:spacing w:val="-26"/>
          <w:sz w:val="32"/>
          <w:highlight w:val="none"/>
          <w14:textFill>
            <w14:solidFill>
              <w14:schemeClr w14:val="tx1"/>
            </w14:solidFill>
          </w14:textFill>
        </w:rPr>
        <w:t xml:space="preserve">十二、投标人 </w:t>
      </w:r>
      <w:r>
        <w:rPr>
          <w:b/>
          <w:color w:val="000000" w:themeColor="text1"/>
          <w:sz w:val="32"/>
          <w:highlight w:val="none"/>
          <w14:textFill>
            <w14:solidFill>
              <w14:schemeClr w14:val="tx1"/>
            </w14:solidFill>
          </w14:textFill>
        </w:rPr>
        <w:t>2018</w:t>
      </w:r>
      <w:r>
        <w:rPr>
          <w:b/>
          <w:color w:val="000000" w:themeColor="text1"/>
          <w:spacing w:val="-10"/>
          <w:sz w:val="32"/>
          <w:highlight w:val="none"/>
          <w14:textFill>
            <w14:solidFill>
              <w14:schemeClr w14:val="tx1"/>
            </w14:solidFill>
          </w14:textFill>
        </w:rPr>
        <w:t xml:space="preserve"> 年度以来通过中介第三方审计的有效财务审计报告复印件、企业缴纳税费证明材料（如有，请提供）</w:t>
      </w:r>
    </w:p>
    <w:p>
      <w:pPr>
        <w:pStyle w:val="2"/>
        <w:spacing w:before="26"/>
        <w:ind w:right="53"/>
        <w:rPr>
          <w:color w:val="000000" w:themeColor="text1"/>
          <w:highlight w:val="none"/>
          <w14:textFill>
            <w14:solidFill>
              <w14:schemeClr w14:val="tx1"/>
            </w14:solidFill>
          </w14:textFill>
        </w:rPr>
      </w:pPr>
      <w:bookmarkStart w:id="144" w:name="十三、“货物采购需求”需提供的有效证明文件（如有请提供）"/>
      <w:bookmarkEnd w:id="144"/>
    </w:p>
    <w:p/>
    <w:p>
      <w:pPr>
        <w:pStyle w:val="2"/>
        <w:spacing w:before="26"/>
        <w:ind w:right="53"/>
        <w:rPr>
          <w:color w:val="000000" w:themeColor="text1"/>
          <w:highlight w:val="none"/>
          <w14:textFill>
            <w14:solidFill>
              <w14:schemeClr w14:val="tx1"/>
            </w14:solidFill>
          </w14:textFill>
        </w:rPr>
      </w:pPr>
    </w:p>
    <w:p>
      <w:pPr>
        <w:pStyle w:val="2"/>
        <w:spacing w:before="26"/>
        <w:ind w:right="53"/>
        <w:rPr>
          <w:color w:val="000000" w:themeColor="text1"/>
          <w:highlight w:val="none"/>
          <w14:textFill>
            <w14:solidFill>
              <w14:schemeClr w14:val="tx1"/>
            </w14:solidFill>
          </w14:textFill>
        </w:rPr>
      </w:pPr>
    </w:p>
    <w:p>
      <w:pPr>
        <w:pStyle w:val="2"/>
        <w:spacing w:before="26"/>
        <w:ind w:right="5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十三、“货物采购需求”需提供的有效证明文件（如有请提供）</w:t>
      </w: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rPr>
          <w:b/>
          <w:color w:val="000000" w:themeColor="text1"/>
          <w:sz w:val="32"/>
          <w:highlight w:val="none"/>
          <w14:textFill>
            <w14:solidFill>
              <w14:schemeClr w14:val="tx1"/>
            </w14:solidFill>
          </w14:textFill>
        </w:rPr>
      </w:pPr>
    </w:p>
    <w:p>
      <w:pPr>
        <w:pStyle w:val="13"/>
        <w:spacing w:before="7"/>
        <w:rPr>
          <w:b/>
          <w:color w:val="000000" w:themeColor="text1"/>
          <w:sz w:val="22"/>
          <w:highlight w:val="none"/>
          <w14:textFill>
            <w14:solidFill>
              <w14:schemeClr w14:val="tx1"/>
            </w14:solidFill>
          </w14:textFill>
        </w:rPr>
      </w:pPr>
    </w:p>
    <w:p>
      <w:pPr>
        <w:numPr>
          <w:ilvl w:val="0"/>
          <w:numId w:val="51"/>
        </w:numPr>
        <w:spacing w:line="920" w:lineRule="atLeast"/>
        <w:ind w:right="2405"/>
        <w:rPr>
          <w:b/>
          <w:color w:val="000000" w:themeColor="text1"/>
          <w:w w:val="95"/>
          <w:sz w:val="32"/>
          <w:highlight w:val="none"/>
          <w14:textFill>
            <w14:solidFill>
              <w14:schemeClr w14:val="tx1"/>
            </w14:solidFill>
          </w14:textFill>
        </w:rPr>
      </w:pPr>
      <w:bookmarkStart w:id="145" w:name="十四、其他有效证明文件的复印件"/>
      <w:bookmarkEnd w:id="145"/>
      <w:r>
        <w:rPr>
          <w:b/>
          <w:color w:val="000000" w:themeColor="text1"/>
          <w:w w:val="95"/>
          <w:sz w:val="32"/>
          <w:highlight w:val="none"/>
          <w14:textFill>
            <w14:solidFill>
              <w14:schemeClr w14:val="tx1"/>
            </w14:solidFill>
          </w14:textFill>
        </w:rPr>
        <w:t>其他有效证明文件的复印件</w:t>
      </w:r>
    </w:p>
    <w:p>
      <w:pPr>
        <w:numPr>
          <w:ilvl w:val="0"/>
          <w:numId w:val="0"/>
        </w:numPr>
        <w:spacing w:line="920" w:lineRule="atLeast"/>
        <w:ind w:right="2405" w:rightChars="0" w:firstLine="3855" w:firstLineChars="1200"/>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中小企业声明函</w:t>
      </w:r>
    </w:p>
    <w:p>
      <w:pPr>
        <w:pStyle w:val="13"/>
        <w:tabs>
          <w:tab w:val="left" w:leader="underscore" w:pos="2625"/>
        </w:tabs>
        <w:spacing w:before="177" w:line="391" w:lineRule="auto"/>
        <w:ind w:left="215" w:right="177" w:firstLine="444"/>
        <w:rPr>
          <w:color w:val="000000" w:themeColor="text1"/>
          <w:spacing w:val="14"/>
          <w:highlight w:val="none"/>
          <w14:textFill>
            <w14:solidFill>
              <w14:schemeClr w14:val="tx1"/>
            </w14:solidFill>
          </w14:textFill>
        </w:rPr>
      </w:pPr>
    </w:p>
    <w:p>
      <w:pPr>
        <w:pStyle w:val="13"/>
        <w:tabs>
          <w:tab w:val="left" w:leader="underscore" w:pos="2625"/>
        </w:tabs>
        <w:spacing w:before="177" w:line="391" w:lineRule="auto"/>
        <w:ind w:left="215" w:right="177" w:firstLine="444"/>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本公</w:t>
      </w:r>
      <w:r>
        <w:rPr>
          <w:color w:val="000000" w:themeColor="text1"/>
          <w:spacing w:val="11"/>
          <w:highlight w:val="none"/>
          <w14:textFill>
            <w14:solidFill>
              <w14:schemeClr w14:val="tx1"/>
            </w14:solidFill>
          </w14:textFill>
        </w:rPr>
        <w:t>司</w:t>
      </w:r>
      <w:r>
        <w:rPr>
          <w:color w:val="000000" w:themeColor="text1"/>
          <w:spacing w:val="14"/>
          <w:highlight w:val="none"/>
          <w14:textFill>
            <w14:solidFill>
              <w14:schemeClr w14:val="tx1"/>
            </w14:solidFill>
          </w14:textFill>
        </w:rPr>
        <w:t>郑重声明</w:t>
      </w:r>
      <w:r>
        <w:rPr>
          <w:color w:val="000000" w:themeColor="text1"/>
          <w:spacing w:val="11"/>
          <w:highlight w:val="none"/>
          <w14:textFill>
            <w14:solidFill>
              <w14:schemeClr w14:val="tx1"/>
            </w14:solidFill>
          </w14:textFill>
        </w:rPr>
        <w:t>，</w:t>
      </w:r>
      <w:r>
        <w:rPr>
          <w:color w:val="000000" w:themeColor="text1"/>
          <w:spacing w:val="14"/>
          <w:highlight w:val="none"/>
          <w14:textFill>
            <w14:solidFill>
              <w14:schemeClr w14:val="tx1"/>
            </w14:solidFill>
          </w14:textFill>
        </w:rPr>
        <w:t>根据《政</w:t>
      </w:r>
      <w:r>
        <w:rPr>
          <w:color w:val="000000" w:themeColor="text1"/>
          <w:spacing w:val="11"/>
          <w:highlight w:val="none"/>
          <w14:textFill>
            <w14:solidFill>
              <w14:schemeClr w14:val="tx1"/>
            </w14:solidFill>
          </w14:textFill>
        </w:rPr>
        <w:t>府</w:t>
      </w:r>
      <w:r>
        <w:rPr>
          <w:color w:val="000000" w:themeColor="text1"/>
          <w:spacing w:val="14"/>
          <w:highlight w:val="none"/>
          <w14:textFill>
            <w14:solidFill>
              <w14:schemeClr w14:val="tx1"/>
            </w14:solidFill>
          </w14:textFill>
        </w:rPr>
        <w:t>采购促进</w:t>
      </w:r>
      <w:r>
        <w:rPr>
          <w:color w:val="000000" w:themeColor="text1"/>
          <w:spacing w:val="11"/>
          <w:highlight w:val="none"/>
          <w14:textFill>
            <w14:solidFill>
              <w14:schemeClr w14:val="tx1"/>
            </w14:solidFill>
          </w14:textFill>
        </w:rPr>
        <w:t>中</w:t>
      </w:r>
      <w:r>
        <w:rPr>
          <w:color w:val="000000" w:themeColor="text1"/>
          <w:spacing w:val="14"/>
          <w:highlight w:val="none"/>
          <w14:textFill>
            <w14:solidFill>
              <w14:schemeClr w14:val="tx1"/>
            </w14:solidFill>
          </w14:textFill>
        </w:rPr>
        <w:t>小企业发</w:t>
      </w:r>
      <w:r>
        <w:rPr>
          <w:color w:val="000000" w:themeColor="text1"/>
          <w:spacing w:val="11"/>
          <w:highlight w:val="none"/>
          <w14:textFill>
            <w14:solidFill>
              <w14:schemeClr w14:val="tx1"/>
            </w14:solidFill>
          </w14:textFill>
        </w:rPr>
        <w:t>展</w:t>
      </w:r>
      <w:r>
        <w:rPr>
          <w:color w:val="000000" w:themeColor="text1"/>
          <w:spacing w:val="14"/>
          <w:highlight w:val="none"/>
          <w14:textFill>
            <w14:solidFill>
              <w14:schemeClr w14:val="tx1"/>
            </w14:solidFill>
          </w14:textFill>
        </w:rPr>
        <w:t>暂行办法</w:t>
      </w:r>
      <w:r>
        <w:rPr>
          <w:color w:val="000000" w:themeColor="text1"/>
          <w:spacing w:val="11"/>
          <w:highlight w:val="none"/>
          <w14:textFill>
            <w14:solidFill>
              <w14:schemeClr w14:val="tx1"/>
            </w14:solidFill>
          </w14:textFill>
        </w:rPr>
        <w:t>》</w:t>
      </w:r>
      <w:r>
        <w:rPr>
          <w:color w:val="000000" w:themeColor="text1"/>
          <w:spacing w:val="14"/>
          <w:highlight w:val="none"/>
          <w14:textFill>
            <w14:solidFill>
              <w14:schemeClr w14:val="tx1"/>
            </w14:solidFill>
          </w14:textFill>
        </w:rPr>
        <w:t>（财库〔</w:t>
      </w:r>
      <w:r>
        <w:rPr>
          <w:color w:val="000000" w:themeColor="text1"/>
          <w:spacing w:val="5"/>
          <w:highlight w:val="none"/>
          <w14:textFill>
            <w14:solidFill>
              <w14:schemeClr w14:val="tx1"/>
            </w14:solidFill>
          </w14:textFill>
        </w:rPr>
        <w:t>2011</w:t>
      </w:r>
      <w:r>
        <w:rPr>
          <w:color w:val="000000" w:themeColor="text1"/>
          <w:spacing w:val="14"/>
          <w:highlight w:val="none"/>
          <w14:textFill>
            <w14:solidFill>
              <w14:schemeClr w14:val="tx1"/>
            </w14:solidFill>
          </w14:textFill>
        </w:rPr>
        <w:t>〕</w:t>
      </w:r>
      <w:r>
        <w:rPr>
          <w:color w:val="000000" w:themeColor="text1"/>
          <w:spacing w:val="2"/>
          <w:highlight w:val="none"/>
          <w14:textFill>
            <w14:solidFill>
              <w14:schemeClr w14:val="tx1"/>
            </w14:solidFill>
          </w14:textFill>
        </w:rPr>
        <w:t>181</w:t>
      </w:r>
      <w:r>
        <w:rPr>
          <w:color w:val="000000" w:themeColor="text1"/>
          <w:spacing w:val="-51"/>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号</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的</w:t>
      </w:r>
      <w:r>
        <w:rPr>
          <w:color w:val="000000" w:themeColor="text1"/>
          <w:spacing w:val="14"/>
          <w:highlight w:val="none"/>
          <w14:textFill>
            <w14:solidFill>
              <w14:schemeClr w14:val="tx1"/>
            </w14:solidFill>
          </w14:textFill>
        </w:rPr>
        <w:t>规定</w:t>
      </w:r>
      <w:r>
        <w:rPr>
          <w:color w:val="000000" w:themeColor="text1"/>
          <w:spacing w:val="-5"/>
          <w:highlight w:val="none"/>
          <w14:textFill>
            <w14:solidFill>
              <w14:schemeClr w14:val="tx1"/>
            </w14:solidFill>
          </w14:textFill>
        </w:rPr>
        <w:t>，</w:t>
      </w:r>
      <w:r>
        <w:rPr>
          <w:color w:val="000000" w:themeColor="text1"/>
          <w:spacing w:val="11"/>
          <w:highlight w:val="none"/>
          <w14:textFill>
            <w14:solidFill>
              <w14:schemeClr w14:val="tx1"/>
            </w14:solidFill>
          </w14:textFill>
        </w:rPr>
        <w:t>本</w:t>
      </w:r>
      <w:r>
        <w:rPr>
          <w:color w:val="000000" w:themeColor="text1"/>
          <w:spacing w:val="14"/>
          <w:highlight w:val="none"/>
          <w14:textFill>
            <w14:solidFill>
              <w14:schemeClr w14:val="tx1"/>
            </w14:solidFill>
          </w14:textFill>
        </w:rPr>
        <w:t>公</w:t>
      </w:r>
      <w:r>
        <w:rPr>
          <w:color w:val="000000" w:themeColor="text1"/>
          <w:spacing w:val="11"/>
          <w:highlight w:val="none"/>
          <w14:textFill>
            <w14:solidFill>
              <w14:schemeClr w14:val="tx1"/>
            </w14:solidFill>
          </w14:textFill>
        </w:rPr>
        <w:t>司</w:t>
      </w:r>
      <w:r>
        <w:rPr>
          <w:color w:val="000000" w:themeColor="text1"/>
          <w:highlight w:val="none"/>
          <w14:textFill>
            <w14:solidFill>
              <w14:schemeClr w14:val="tx1"/>
            </w14:solidFill>
          </w14:textFill>
        </w:rPr>
        <w:t>为</w:t>
      </w:r>
      <w:r>
        <w:rPr>
          <w:color w:val="000000" w:themeColor="text1"/>
          <w:highlight w:val="none"/>
          <w14:textFill>
            <w14:solidFill>
              <w14:schemeClr w14:val="tx1"/>
            </w14:solidFill>
          </w14:textFill>
        </w:rPr>
        <w:tab/>
      </w:r>
      <w:r>
        <w:rPr>
          <w:color w:val="000000" w:themeColor="text1"/>
          <w:spacing w:val="14"/>
          <w:highlight w:val="none"/>
          <w14:textFill>
            <w14:solidFill>
              <w14:schemeClr w14:val="tx1"/>
            </w14:solidFill>
          </w14:textFill>
        </w:rPr>
        <w:t>（请填写：中型、小型、微型）企业。即，本公司同时满足以下条件</w:t>
      </w:r>
      <w:r>
        <w:rPr>
          <w:color w:val="000000" w:themeColor="text1"/>
          <w:w w:val="95"/>
          <w:highlight w:val="none"/>
          <w14:textFill>
            <w14:solidFill>
              <w14:schemeClr w14:val="tx1"/>
            </w14:solidFill>
          </w14:textFill>
        </w:rPr>
        <w:t>：</w:t>
      </w:r>
    </w:p>
    <w:p>
      <w:pPr>
        <w:pStyle w:val="31"/>
        <w:numPr>
          <w:ilvl w:val="0"/>
          <w:numId w:val="52"/>
        </w:numPr>
        <w:tabs>
          <w:tab w:val="left" w:pos="996"/>
        </w:tabs>
        <w:spacing w:before="1" w:line="393" w:lineRule="auto"/>
        <w:ind w:left="215" w:right="284" w:firstLine="444"/>
        <w:rPr>
          <w:color w:val="000000" w:themeColor="text1"/>
          <w:highlight w:val="none"/>
          <w14:textFill>
            <w14:solidFill>
              <w14:schemeClr w14:val="tx1"/>
            </w14:solidFill>
          </w14:textFill>
        </w:rPr>
      </w:pPr>
      <w:r>
        <w:rPr>
          <w:color w:val="000000" w:themeColor="text1"/>
          <w:spacing w:val="14"/>
          <w:sz w:val="21"/>
          <w:szCs w:val="21"/>
          <w:highlight w:val="none"/>
          <w14:textFill>
            <w14:solidFill>
              <w14:schemeClr w14:val="tx1"/>
            </w14:solidFill>
          </w14:textFill>
        </w:rPr>
        <w:t xml:space="preserve">根据《工业和信息化部、国家统计局、国家发展和改革委员会、财政部关于印发中小 </w:t>
      </w:r>
      <w:r>
        <w:rPr>
          <w:color w:val="000000" w:themeColor="text1"/>
          <w:spacing w:val="13"/>
          <w:w w:val="95"/>
          <w:sz w:val="21"/>
          <w:highlight w:val="none"/>
          <w14:textFill>
            <w14:solidFill>
              <w14:schemeClr w14:val="tx1"/>
            </w14:solidFill>
          </w14:textFill>
        </w:rPr>
        <w:t xml:space="preserve"> </w:t>
      </w:r>
      <w:r>
        <w:rPr>
          <w:color w:val="000000" w:themeColor="text1"/>
          <w:spacing w:val="5"/>
          <w:sz w:val="21"/>
          <w:highlight w:val="none"/>
          <w14:textFill>
            <w14:solidFill>
              <w14:schemeClr w14:val="tx1"/>
            </w14:solidFill>
          </w14:textFill>
        </w:rPr>
        <w:t>企业划型标准规定的通知》</w:t>
      </w:r>
      <w:r>
        <w:rPr>
          <w:color w:val="000000" w:themeColor="text1"/>
          <w:spacing w:val="14"/>
          <w:sz w:val="21"/>
          <w:highlight w:val="none"/>
          <w14:textFill>
            <w14:solidFill>
              <w14:schemeClr w14:val="tx1"/>
            </w14:solidFill>
          </w14:textFill>
        </w:rPr>
        <w:t>（</w:t>
      </w:r>
      <w:r>
        <w:rPr>
          <w:color w:val="000000" w:themeColor="text1"/>
          <w:spacing w:val="6"/>
          <w:sz w:val="21"/>
          <w:highlight w:val="none"/>
          <w14:textFill>
            <w14:solidFill>
              <w14:schemeClr w14:val="tx1"/>
            </w14:solidFill>
          </w14:textFill>
        </w:rPr>
        <w:t>工信部联企业〔</w:t>
      </w:r>
      <w:r>
        <w:rPr>
          <w:color w:val="000000" w:themeColor="text1"/>
          <w:spacing w:val="5"/>
          <w:sz w:val="21"/>
          <w:highlight w:val="none"/>
          <w14:textFill>
            <w14:solidFill>
              <w14:schemeClr w14:val="tx1"/>
            </w14:solidFill>
          </w14:textFill>
        </w:rPr>
        <w:t>2011</w:t>
      </w:r>
      <w:r>
        <w:rPr>
          <w:color w:val="000000" w:themeColor="text1"/>
          <w:spacing w:val="-20"/>
          <w:sz w:val="21"/>
          <w:highlight w:val="none"/>
          <w14:textFill>
            <w14:solidFill>
              <w14:schemeClr w14:val="tx1"/>
            </w14:solidFill>
          </w14:textFill>
        </w:rPr>
        <w:t>〕</w:t>
      </w:r>
      <w:r>
        <w:rPr>
          <w:color w:val="000000" w:themeColor="text1"/>
          <w:spacing w:val="2"/>
          <w:sz w:val="21"/>
          <w:highlight w:val="none"/>
          <w14:textFill>
            <w14:solidFill>
              <w14:schemeClr w14:val="tx1"/>
            </w14:solidFill>
          </w14:textFill>
        </w:rPr>
        <w:t>300</w:t>
      </w:r>
      <w:r>
        <w:rPr>
          <w:color w:val="000000" w:themeColor="text1"/>
          <w:spacing w:val="-26"/>
          <w:sz w:val="21"/>
          <w:highlight w:val="none"/>
          <w14:textFill>
            <w14:solidFill>
              <w14:schemeClr w14:val="tx1"/>
            </w14:solidFill>
          </w14:textFill>
        </w:rPr>
        <w:t xml:space="preserve"> 号</w:t>
      </w:r>
      <w:r>
        <w:rPr>
          <w:color w:val="000000" w:themeColor="text1"/>
          <w:spacing w:val="-20"/>
          <w:sz w:val="21"/>
          <w:highlight w:val="none"/>
          <w14:textFill>
            <w14:solidFill>
              <w14:schemeClr w14:val="tx1"/>
            </w14:solidFill>
          </w14:textFill>
        </w:rPr>
        <w:t>）</w:t>
      </w:r>
      <w:r>
        <w:rPr>
          <w:color w:val="000000" w:themeColor="text1"/>
          <w:spacing w:val="6"/>
          <w:sz w:val="21"/>
          <w:highlight w:val="none"/>
          <w14:textFill>
            <w14:solidFill>
              <w14:schemeClr w14:val="tx1"/>
            </w14:solidFill>
          </w14:textFill>
        </w:rPr>
        <w:t>规定的划分标准，本公司为</w:t>
      </w:r>
      <w:r>
        <w:rPr>
          <w:color w:val="000000" w:themeColor="text1"/>
          <w:spacing w:val="4"/>
          <w:sz w:val="21"/>
          <w:highlight w:val="none"/>
          <w14:textFill>
            <w14:solidFill>
              <w14:schemeClr w14:val="tx1"/>
            </w14:solidFill>
          </w14:textFill>
        </w:rPr>
        <w:t>______</w:t>
      </w:r>
      <w:r>
        <w:rPr>
          <w:color w:val="000000" w:themeColor="text1"/>
          <w:highlight w:val="none"/>
          <w14:textFill>
            <w14:solidFill>
              <w14:schemeClr w14:val="tx1"/>
            </w14:solidFill>
          </w14:textFill>
        </w:rPr>
        <w:t>（请填写：中型、小型、微型）企业。</w:t>
      </w:r>
    </w:p>
    <w:p>
      <w:pPr>
        <w:pStyle w:val="31"/>
        <w:numPr>
          <w:ilvl w:val="0"/>
          <w:numId w:val="52"/>
        </w:numPr>
        <w:tabs>
          <w:tab w:val="left" w:pos="996"/>
        </w:tabs>
        <w:spacing w:before="1" w:line="393" w:lineRule="auto"/>
        <w:ind w:left="215" w:right="284" w:firstLine="444"/>
        <w:rPr>
          <w:color w:val="000000" w:themeColor="text1"/>
          <w:highlight w:val="none"/>
          <w14:textFill>
            <w14:solidFill>
              <w14:schemeClr w14:val="tx1"/>
            </w14:solidFill>
          </w14:textFill>
        </w:rPr>
      </w:pPr>
      <w:r>
        <w:rPr>
          <w:color w:val="000000" w:themeColor="text1"/>
          <w:spacing w:val="16"/>
          <w:sz w:val="21"/>
          <w:highlight w:val="none"/>
          <w14:textFill>
            <w14:solidFill>
              <w14:schemeClr w14:val="tx1"/>
            </w14:solidFill>
          </w14:textFill>
        </w:rPr>
        <w:t>本</w:t>
      </w:r>
      <w:r>
        <w:rPr>
          <w:color w:val="000000" w:themeColor="text1"/>
          <w:spacing w:val="14"/>
          <w:sz w:val="21"/>
          <w:highlight w:val="none"/>
          <w14:textFill>
            <w14:solidFill>
              <w14:schemeClr w14:val="tx1"/>
            </w14:solidFill>
          </w14:textFill>
        </w:rPr>
        <w:t>公</w:t>
      </w:r>
      <w:r>
        <w:rPr>
          <w:color w:val="000000" w:themeColor="text1"/>
          <w:spacing w:val="16"/>
          <w:sz w:val="21"/>
          <w:highlight w:val="none"/>
          <w14:textFill>
            <w14:solidFill>
              <w14:schemeClr w14:val="tx1"/>
            </w14:solidFill>
          </w14:textFill>
        </w:rPr>
        <w:t>司</w:t>
      </w:r>
      <w:r>
        <w:rPr>
          <w:color w:val="000000" w:themeColor="text1"/>
          <w:spacing w:val="14"/>
          <w:sz w:val="21"/>
          <w:highlight w:val="none"/>
          <w14:textFill>
            <w14:solidFill>
              <w14:schemeClr w14:val="tx1"/>
            </w14:solidFill>
          </w14:textFill>
        </w:rPr>
        <w:t>参</w:t>
      </w:r>
      <w:r>
        <w:rPr>
          <w:color w:val="000000" w:themeColor="text1"/>
          <w:spacing w:val="16"/>
          <w:sz w:val="21"/>
          <w:highlight w:val="none"/>
          <w14:textFill>
            <w14:solidFill>
              <w14:schemeClr w14:val="tx1"/>
            </w14:solidFill>
          </w14:textFill>
        </w:rPr>
        <w:t>加</w:t>
      </w:r>
      <w:r>
        <w:rPr>
          <w:color w:val="000000" w:themeColor="text1"/>
          <w:spacing w:val="14"/>
          <w:sz w:val="21"/>
          <w:szCs w:val="21"/>
          <w:highlight w:val="none"/>
          <w14:textFill>
            <w14:solidFill>
              <w14:schemeClr w14:val="tx1"/>
            </w14:solidFill>
          </w14:textFill>
        </w:rPr>
        <w:t>______单位的_____项目采购活动提供本企业制造的货物，由本企业承担工程、提供服务，或者提供其他_____（请填写：中型、小型、微型）企业制造的货物。本条</w:t>
      </w:r>
      <w:r>
        <w:rPr>
          <w:color w:val="000000" w:themeColor="text1"/>
          <w:spacing w:val="5"/>
          <w:sz w:val="21"/>
          <w:highlight w:val="none"/>
          <w14:textFill>
            <w14:solidFill>
              <w14:schemeClr w14:val="tx1"/>
            </w14:solidFill>
          </w14:textFill>
        </w:rPr>
        <w:t>所称货物不包括使用大型企业注册商标的货物。</w:t>
      </w:r>
    </w:p>
    <w:p>
      <w:pPr>
        <w:pStyle w:val="13"/>
        <w:spacing w:before="170"/>
        <w:ind w:left="6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本公司对上述声明的真实性负责。如有虚假，将依法承担相应责任。</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2"/>
          <w:highlight w:val="none"/>
          <w14:textFill>
            <w14:solidFill>
              <w14:schemeClr w14:val="tx1"/>
            </w14:solidFill>
          </w14:textFill>
        </w:rPr>
      </w:pPr>
    </w:p>
    <w:p>
      <w:pPr>
        <w:pStyle w:val="13"/>
        <w:tabs>
          <w:tab w:val="left" w:pos="4799"/>
          <w:tab w:val="left" w:pos="5371"/>
          <w:tab w:val="left" w:pos="5944"/>
        </w:tabs>
        <w:spacing w:line="393" w:lineRule="auto"/>
        <w:ind w:left="3782" w:right="3410" w:firstLine="304"/>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企</w:t>
      </w:r>
      <w:r>
        <w:rPr>
          <w:color w:val="000000" w:themeColor="text1"/>
          <w:spacing w:val="14"/>
          <w:highlight w:val="none"/>
          <w14:textFill>
            <w14:solidFill>
              <w14:schemeClr w14:val="tx1"/>
            </w14:solidFill>
          </w14:textFill>
        </w:rPr>
        <w:t>业</w:t>
      </w:r>
      <w:r>
        <w:rPr>
          <w:color w:val="000000" w:themeColor="text1"/>
          <w:spacing w:val="11"/>
          <w:highlight w:val="none"/>
          <w14:textFill>
            <w14:solidFill>
              <w14:schemeClr w14:val="tx1"/>
            </w14:solidFill>
          </w14:textFill>
        </w:rPr>
        <w:t>名</w:t>
      </w:r>
      <w:r>
        <w:rPr>
          <w:color w:val="000000" w:themeColor="text1"/>
          <w:spacing w:val="14"/>
          <w:highlight w:val="none"/>
          <w14:textFill>
            <w14:solidFill>
              <w14:schemeClr w14:val="tx1"/>
            </w14:solidFill>
          </w14:textFill>
        </w:rPr>
        <w:t>称</w:t>
      </w:r>
      <w:r>
        <w:rPr>
          <w:color w:val="000000" w:themeColor="text1"/>
          <w:spacing w:val="11"/>
          <w:highlight w:val="none"/>
          <w14:textFill>
            <w14:solidFill>
              <w14:schemeClr w14:val="tx1"/>
            </w14:solidFill>
          </w14:textFill>
        </w:rPr>
        <w:t>（</w:t>
      </w:r>
      <w:r>
        <w:rPr>
          <w:color w:val="000000" w:themeColor="text1"/>
          <w:spacing w:val="14"/>
          <w:highlight w:val="none"/>
          <w14:textFill>
            <w14:solidFill>
              <w14:schemeClr w14:val="tx1"/>
            </w14:solidFill>
          </w14:textFill>
        </w:rPr>
        <w:t>盖</w:t>
      </w:r>
      <w:r>
        <w:rPr>
          <w:color w:val="000000" w:themeColor="text1"/>
          <w:spacing w:val="11"/>
          <w:highlight w:val="none"/>
          <w14:textFill>
            <w14:solidFill>
              <w14:schemeClr w14:val="tx1"/>
            </w14:solidFill>
          </w14:textFill>
        </w:rPr>
        <w:t>章</w:t>
      </w:r>
      <w:r>
        <w:rPr>
          <w:color w:val="000000" w:themeColor="text1"/>
          <w:spacing w:val="7"/>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日</w:t>
      </w:r>
      <w:r>
        <w:rPr>
          <w:color w:val="000000" w:themeColor="text1"/>
          <w:spacing w:val="14"/>
          <w:highlight w:val="none"/>
          <w14:textFill>
            <w14:solidFill>
              <w14:schemeClr w14:val="tx1"/>
            </w14:solidFill>
          </w14:textFill>
        </w:rPr>
        <w:t>期</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spacing w:val="-17"/>
          <w:highlight w:val="none"/>
          <w14:textFill>
            <w14:solidFill>
              <w14:schemeClr w14:val="tx1"/>
            </w14:solidFill>
          </w14:textFill>
        </w:rPr>
        <w:t>日</w:t>
      </w:r>
    </w:p>
    <w:p>
      <w:pPr>
        <w:pStyle w:val="13"/>
        <w:spacing w:line="391" w:lineRule="auto"/>
        <w:ind w:left="215" w:right="287" w:firstLine="444"/>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备注：如果投标产品中有小型或微型企业的产品，应在投标报价明细表备注栏中注明生产</w:t>
      </w:r>
      <w:r>
        <w:rPr>
          <w:color w:val="000000" w:themeColor="text1"/>
          <w:highlight w:val="none"/>
          <w14:textFill>
            <w14:solidFill>
              <w14:schemeClr w14:val="tx1"/>
            </w14:solidFill>
          </w14:textFill>
        </w:rPr>
        <w:t>企业名称，否则不认可该产品为小型或微型企业的产品。</w:t>
      </w:r>
    </w:p>
    <w:p>
      <w:pPr>
        <w:spacing w:line="391" w:lineRule="auto"/>
        <w:rPr>
          <w:color w:val="000000" w:themeColor="text1"/>
          <w:highlight w:val="none"/>
          <w14:textFill>
            <w14:solidFill>
              <w14:schemeClr w14:val="tx1"/>
            </w14:solidFill>
          </w14:textFill>
        </w:rPr>
        <w:sectPr>
          <w:footerReference r:id="rId16" w:type="default"/>
          <w:pgSz w:w="11910" w:h="16840"/>
          <w:pgMar w:top="1480" w:right="1140" w:bottom="1180" w:left="1200" w:header="0" w:footer="993" w:gutter="0"/>
          <w:cols w:space="720" w:num="1"/>
        </w:sectPr>
      </w:pPr>
    </w:p>
    <w:p>
      <w:pPr>
        <w:pStyle w:val="13"/>
        <w:rPr>
          <w:color w:val="000000" w:themeColor="text1"/>
          <w:sz w:val="20"/>
          <w:highlight w:val="none"/>
          <w14:textFill>
            <w14:solidFill>
              <w14:schemeClr w14:val="tx1"/>
            </w14:solidFill>
          </w14:textFill>
        </w:rPr>
      </w:pPr>
    </w:p>
    <w:p>
      <w:pPr>
        <w:pStyle w:val="13"/>
        <w:spacing w:before="10"/>
        <w:rPr>
          <w:color w:val="000000" w:themeColor="text1"/>
          <w:sz w:val="14"/>
          <w:highlight w:val="none"/>
          <w14:textFill>
            <w14:solidFill>
              <w14:schemeClr w14:val="tx1"/>
            </w14:solidFill>
          </w14:textFill>
        </w:rPr>
      </w:pPr>
    </w:p>
    <w:p>
      <w:pPr>
        <w:pStyle w:val="2"/>
        <w:ind w:left="1060"/>
        <w:jc w:val="left"/>
        <w:rPr>
          <w:color w:val="000000" w:themeColor="text1"/>
          <w:highlight w:val="none"/>
          <w14:textFill>
            <w14:solidFill>
              <w14:schemeClr w14:val="tx1"/>
            </w14:solidFill>
          </w14:textFill>
        </w:rPr>
      </w:pPr>
      <w:bookmarkStart w:id="146" w:name="十五、《残疾人福利性单位声明函》（如有请提供）"/>
      <w:bookmarkEnd w:id="146"/>
      <w:bookmarkStart w:id="147" w:name="十六、投标人可结合本项目的评标办法视自身情况自行提交相关证明材料"/>
      <w:bookmarkEnd w:id="147"/>
      <w:r>
        <w:rPr>
          <w:color w:val="000000" w:themeColor="text1"/>
          <w:highlight w:val="none"/>
          <w14:textFill>
            <w14:solidFill>
              <w14:schemeClr w14:val="tx1"/>
            </w14:solidFill>
          </w14:textFill>
        </w:rPr>
        <w:t>十五、《残疾人福利性单位声明函》（如有请提供）</w:t>
      </w:r>
    </w:p>
    <w:p>
      <w:pPr>
        <w:pStyle w:val="13"/>
        <w:rPr>
          <w:b/>
          <w:color w:val="000000" w:themeColor="text1"/>
          <w:sz w:val="20"/>
          <w:highlight w:val="none"/>
          <w14:textFill>
            <w14:solidFill>
              <w14:schemeClr w14:val="tx1"/>
            </w14:solidFill>
          </w14:textFill>
        </w:rPr>
      </w:pPr>
    </w:p>
    <w:p>
      <w:pPr>
        <w:pStyle w:val="13"/>
        <w:spacing w:before="1"/>
        <w:rPr>
          <w:b/>
          <w:color w:val="000000" w:themeColor="text1"/>
          <w:sz w:val="16"/>
          <w:highlight w:val="none"/>
          <w14:textFill>
            <w14:solidFill>
              <w14:schemeClr w14:val="tx1"/>
            </w14:solidFill>
          </w14:textFill>
        </w:rPr>
      </w:pPr>
    </w:p>
    <w:p>
      <w:pPr>
        <w:spacing w:before="54"/>
        <w:ind w:right="8479"/>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格式</w:t>
      </w:r>
    </w:p>
    <w:p>
      <w:pPr>
        <w:spacing w:before="178"/>
        <w:ind w:right="69"/>
        <w:jc w:val="center"/>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残疾人福利性单位声明函</w:t>
      </w:r>
    </w:p>
    <w:p>
      <w:pPr>
        <w:pStyle w:val="13"/>
        <w:rPr>
          <w:b/>
          <w:color w:val="000000" w:themeColor="text1"/>
          <w:sz w:val="20"/>
          <w:highlight w:val="none"/>
          <w14:textFill>
            <w14:solidFill>
              <w14:schemeClr w14:val="tx1"/>
            </w14:solidFill>
          </w14:textFill>
        </w:rPr>
      </w:pPr>
    </w:p>
    <w:p>
      <w:pPr>
        <w:pStyle w:val="13"/>
        <w:rPr>
          <w:b/>
          <w:color w:val="000000" w:themeColor="text1"/>
          <w:sz w:val="20"/>
          <w:highlight w:val="none"/>
          <w14:textFill>
            <w14:solidFill>
              <w14:schemeClr w14:val="tx1"/>
            </w14:solidFill>
          </w14:textFill>
        </w:rPr>
      </w:pPr>
    </w:p>
    <w:p>
      <w:pPr>
        <w:pStyle w:val="13"/>
        <w:rPr>
          <w:b/>
          <w:color w:val="000000" w:themeColor="text1"/>
          <w:sz w:val="19"/>
          <w:highlight w:val="none"/>
          <w14:textFill>
            <w14:solidFill>
              <w14:schemeClr w14:val="tx1"/>
            </w14:solidFill>
          </w14:textFill>
        </w:rPr>
      </w:pPr>
    </w:p>
    <w:p>
      <w:pPr>
        <w:pStyle w:val="13"/>
        <w:tabs>
          <w:tab w:val="left" w:leader="underscore" w:pos="2899"/>
        </w:tabs>
        <w:spacing w:line="393" w:lineRule="auto"/>
        <w:ind w:left="215" w:right="285" w:firstLine="444"/>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本单位郑重声明，根据《财政部民政部中国残疾人联合会关于促进残疾人就业政府采购政</w:t>
      </w:r>
      <w:r>
        <w:rPr>
          <w:color w:val="000000" w:themeColor="text1"/>
          <w:w w:val="95"/>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策</w:t>
      </w:r>
      <w:r>
        <w:rPr>
          <w:color w:val="000000" w:themeColor="text1"/>
          <w:spacing w:val="11"/>
          <w:highlight w:val="none"/>
          <w14:textFill>
            <w14:solidFill>
              <w14:schemeClr w14:val="tx1"/>
            </w14:solidFill>
          </w14:textFill>
        </w:rPr>
        <w:t>的</w:t>
      </w:r>
      <w:r>
        <w:rPr>
          <w:color w:val="000000" w:themeColor="text1"/>
          <w:spacing w:val="14"/>
          <w:highlight w:val="none"/>
          <w14:textFill>
            <w14:solidFill>
              <w14:schemeClr w14:val="tx1"/>
            </w14:solidFill>
          </w14:textFill>
        </w:rPr>
        <w:t>通</w:t>
      </w:r>
      <w:r>
        <w:rPr>
          <w:color w:val="000000" w:themeColor="text1"/>
          <w:spacing w:val="11"/>
          <w:highlight w:val="none"/>
          <w14:textFill>
            <w14:solidFill>
              <w14:schemeClr w14:val="tx1"/>
            </w14:solidFill>
          </w14:textFill>
        </w:rPr>
        <w:t>知》（</w:t>
      </w:r>
      <w:r>
        <w:rPr>
          <w:color w:val="000000" w:themeColor="text1"/>
          <w:spacing w:val="14"/>
          <w:highlight w:val="none"/>
          <w14:textFill>
            <w14:solidFill>
              <w14:schemeClr w14:val="tx1"/>
            </w14:solidFill>
          </w14:textFill>
        </w:rPr>
        <w:t>财</w:t>
      </w:r>
      <w:r>
        <w:rPr>
          <w:color w:val="000000" w:themeColor="text1"/>
          <w:spacing w:val="11"/>
          <w:highlight w:val="none"/>
          <w14:textFill>
            <w14:solidFill>
              <w14:schemeClr w14:val="tx1"/>
            </w14:solidFill>
          </w14:textFill>
        </w:rPr>
        <w:t>库</w:t>
      </w:r>
      <w:r>
        <w:rPr>
          <w:color w:val="000000" w:themeColor="text1"/>
          <w:highlight w:val="none"/>
          <w14:textFill>
            <w14:solidFill>
              <w14:schemeClr w14:val="tx1"/>
            </w14:solidFill>
          </w14:textFill>
        </w:rPr>
        <w:t>〔2017〕</w:t>
      </w:r>
      <w:r>
        <w:rPr>
          <w:color w:val="000000" w:themeColor="text1"/>
          <w:spacing w:val="-22"/>
          <w:highlight w:val="none"/>
          <w14:textFill>
            <w14:solidFill>
              <w14:schemeClr w14:val="tx1"/>
            </w14:solidFill>
          </w14:textFill>
        </w:rPr>
        <w:t xml:space="preserve"> </w:t>
      </w:r>
      <w:r>
        <w:rPr>
          <w:color w:val="000000" w:themeColor="text1"/>
          <w:highlight w:val="none"/>
          <w14:textFill>
            <w14:solidFill>
              <w14:schemeClr w14:val="tx1"/>
            </w14:solidFill>
          </w14:textFill>
        </w:rPr>
        <w:t>141</w:t>
      </w:r>
      <w:r>
        <w:rPr>
          <w:color w:val="000000" w:themeColor="text1"/>
          <w:spacing w:val="-65"/>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号</w:t>
      </w:r>
      <w:r>
        <w:rPr>
          <w:color w:val="000000" w:themeColor="text1"/>
          <w:spacing w:val="11"/>
          <w:highlight w:val="none"/>
          <w14:textFill>
            <w14:solidFill>
              <w14:schemeClr w14:val="tx1"/>
            </w14:solidFill>
          </w14:textFill>
        </w:rPr>
        <w:t>）</w:t>
      </w:r>
      <w:r>
        <w:rPr>
          <w:color w:val="000000" w:themeColor="text1"/>
          <w:spacing w:val="14"/>
          <w:highlight w:val="none"/>
          <w14:textFill>
            <w14:solidFill>
              <w14:schemeClr w14:val="tx1"/>
            </w14:solidFill>
          </w14:textFill>
        </w:rPr>
        <w:t>的</w:t>
      </w:r>
      <w:r>
        <w:rPr>
          <w:color w:val="000000" w:themeColor="text1"/>
          <w:spacing w:val="11"/>
          <w:highlight w:val="none"/>
          <w14:textFill>
            <w14:solidFill>
              <w14:schemeClr w14:val="tx1"/>
            </w14:solidFill>
          </w14:textFill>
        </w:rPr>
        <w:t>规定，</w:t>
      </w:r>
      <w:r>
        <w:rPr>
          <w:color w:val="000000" w:themeColor="text1"/>
          <w:spacing w:val="14"/>
          <w:highlight w:val="none"/>
          <w14:textFill>
            <w14:solidFill>
              <w14:schemeClr w14:val="tx1"/>
            </w14:solidFill>
          </w14:textFill>
        </w:rPr>
        <w:t>本</w:t>
      </w:r>
      <w:r>
        <w:rPr>
          <w:color w:val="000000" w:themeColor="text1"/>
          <w:spacing w:val="11"/>
          <w:highlight w:val="none"/>
          <w14:textFill>
            <w14:solidFill>
              <w14:schemeClr w14:val="tx1"/>
            </w14:solidFill>
          </w14:textFill>
        </w:rPr>
        <w:t>单</w:t>
      </w:r>
      <w:r>
        <w:rPr>
          <w:color w:val="000000" w:themeColor="text1"/>
          <w:spacing w:val="14"/>
          <w:highlight w:val="none"/>
          <w14:textFill>
            <w14:solidFill>
              <w14:schemeClr w14:val="tx1"/>
            </w14:solidFill>
          </w14:textFill>
        </w:rPr>
        <w:t>位</w:t>
      </w:r>
      <w:r>
        <w:rPr>
          <w:color w:val="000000" w:themeColor="text1"/>
          <w:spacing w:val="11"/>
          <w:highlight w:val="none"/>
          <w14:textFill>
            <w14:solidFill>
              <w14:schemeClr w14:val="tx1"/>
            </w14:solidFill>
          </w14:textFill>
        </w:rPr>
        <w:t>为</w:t>
      </w:r>
      <w:r>
        <w:rPr>
          <w:color w:val="000000" w:themeColor="text1"/>
          <w:spacing w:val="14"/>
          <w:highlight w:val="none"/>
          <w14:textFill>
            <w14:solidFill>
              <w14:schemeClr w14:val="tx1"/>
            </w14:solidFill>
          </w14:textFill>
        </w:rPr>
        <w:t>符</w:t>
      </w:r>
      <w:r>
        <w:rPr>
          <w:color w:val="000000" w:themeColor="text1"/>
          <w:spacing w:val="11"/>
          <w:highlight w:val="none"/>
          <w14:textFill>
            <w14:solidFill>
              <w14:schemeClr w14:val="tx1"/>
            </w14:solidFill>
          </w14:textFill>
        </w:rPr>
        <w:t>合</w:t>
      </w:r>
      <w:r>
        <w:rPr>
          <w:color w:val="000000" w:themeColor="text1"/>
          <w:spacing w:val="14"/>
          <w:highlight w:val="none"/>
          <w14:textFill>
            <w14:solidFill>
              <w14:schemeClr w14:val="tx1"/>
            </w14:solidFill>
          </w14:textFill>
        </w:rPr>
        <w:t>条</w:t>
      </w:r>
      <w:r>
        <w:rPr>
          <w:color w:val="000000" w:themeColor="text1"/>
          <w:spacing w:val="11"/>
          <w:highlight w:val="none"/>
          <w14:textFill>
            <w14:solidFill>
              <w14:schemeClr w14:val="tx1"/>
            </w14:solidFill>
          </w14:textFill>
        </w:rPr>
        <w:t>件</w:t>
      </w:r>
      <w:r>
        <w:rPr>
          <w:color w:val="000000" w:themeColor="text1"/>
          <w:spacing w:val="14"/>
          <w:highlight w:val="none"/>
          <w14:textFill>
            <w14:solidFill>
              <w14:schemeClr w14:val="tx1"/>
            </w14:solidFill>
          </w14:textFill>
        </w:rPr>
        <w:t>的</w:t>
      </w:r>
      <w:r>
        <w:rPr>
          <w:color w:val="000000" w:themeColor="text1"/>
          <w:spacing w:val="11"/>
          <w:highlight w:val="none"/>
          <w14:textFill>
            <w14:solidFill>
              <w14:schemeClr w14:val="tx1"/>
            </w14:solidFill>
          </w14:textFill>
        </w:rPr>
        <w:t>残</w:t>
      </w:r>
      <w:r>
        <w:rPr>
          <w:color w:val="000000" w:themeColor="text1"/>
          <w:spacing w:val="14"/>
          <w:highlight w:val="none"/>
          <w14:textFill>
            <w14:solidFill>
              <w14:schemeClr w14:val="tx1"/>
            </w14:solidFill>
          </w14:textFill>
        </w:rPr>
        <w:t>疾人</w:t>
      </w:r>
      <w:r>
        <w:rPr>
          <w:color w:val="000000" w:themeColor="text1"/>
          <w:spacing w:val="11"/>
          <w:highlight w:val="none"/>
          <w14:textFill>
            <w14:solidFill>
              <w14:schemeClr w14:val="tx1"/>
            </w14:solidFill>
          </w14:textFill>
        </w:rPr>
        <w:t>福</w:t>
      </w:r>
      <w:r>
        <w:rPr>
          <w:color w:val="000000" w:themeColor="text1"/>
          <w:spacing w:val="14"/>
          <w:highlight w:val="none"/>
          <w14:textFill>
            <w14:solidFill>
              <w14:schemeClr w14:val="tx1"/>
            </w14:solidFill>
          </w14:textFill>
        </w:rPr>
        <w:t>利</w:t>
      </w:r>
      <w:r>
        <w:rPr>
          <w:color w:val="000000" w:themeColor="text1"/>
          <w:spacing w:val="11"/>
          <w:highlight w:val="none"/>
          <w14:textFill>
            <w14:solidFill>
              <w14:schemeClr w14:val="tx1"/>
            </w14:solidFill>
          </w14:textFill>
        </w:rPr>
        <w:t>性</w:t>
      </w:r>
      <w:r>
        <w:rPr>
          <w:color w:val="000000" w:themeColor="text1"/>
          <w:spacing w:val="14"/>
          <w:highlight w:val="none"/>
          <w14:textFill>
            <w14:solidFill>
              <w14:schemeClr w14:val="tx1"/>
            </w14:solidFill>
          </w14:textFill>
        </w:rPr>
        <w:t>单</w:t>
      </w:r>
      <w:r>
        <w:rPr>
          <w:color w:val="000000" w:themeColor="text1"/>
          <w:spacing w:val="11"/>
          <w:highlight w:val="none"/>
          <w14:textFill>
            <w14:solidFill>
              <w14:schemeClr w14:val="tx1"/>
            </w14:solidFill>
          </w14:textFill>
        </w:rPr>
        <w:t>位，</w:t>
      </w:r>
      <w:r>
        <w:rPr>
          <w:color w:val="000000" w:themeColor="text1"/>
          <w:spacing w:val="14"/>
          <w:highlight w:val="none"/>
          <w14:textFill>
            <w14:solidFill>
              <w14:schemeClr w14:val="tx1"/>
            </w14:solidFill>
          </w14:textFill>
        </w:rPr>
        <w:t>且</w:t>
      </w:r>
      <w:r>
        <w:rPr>
          <w:color w:val="000000" w:themeColor="text1"/>
          <w:spacing w:val="11"/>
          <w:highlight w:val="none"/>
          <w14:textFill>
            <w14:solidFill>
              <w14:schemeClr w14:val="tx1"/>
            </w14:solidFill>
          </w14:textFill>
        </w:rPr>
        <w:t>本</w:t>
      </w:r>
      <w:r>
        <w:rPr>
          <w:color w:val="000000" w:themeColor="text1"/>
          <w:highlight w:val="none"/>
          <w14:textFill>
            <w14:solidFill>
              <w14:schemeClr w14:val="tx1"/>
            </w14:solidFill>
          </w14:textFill>
        </w:rPr>
        <w:t>单</w:t>
      </w:r>
      <w:r>
        <w:rPr>
          <w:color w:val="000000" w:themeColor="text1"/>
          <w:spacing w:val="14"/>
          <w:highlight w:val="none"/>
          <w14:textFill>
            <w14:solidFill>
              <w14:schemeClr w14:val="tx1"/>
            </w14:solidFill>
          </w14:textFill>
        </w:rPr>
        <w:t>位</w:t>
      </w:r>
      <w:r>
        <w:rPr>
          <w:color w:val="000000" w:themeColor="text1"/>
          <w:spacing w:val="16"/>
          <w:highlight w:val="none"/>
          <w14:textFill>
            <w14:solidFill>
              <w14:schemeClr w14:val="tx1"/>
            </w14:solidFill>
          </w14:textFill>
        </w:rPr>
        <w:t>参</w:t>
      </w:r>
      <w:r>
        <w:rPr>
          <w:color w:val="000000" w:themeColor="text1"/>
          <w:spacing w:val="14"/>
          <w:highlight w:val="none"/>
          <w14:textFill>
            <w14:solidFill>
              <w14:schemeClr w14:val="tx1"/>
            </w14:solidFill>
          </w14:textFill>
        </w:rPr>
        <w:t>加</w:t>
      </w:r>
      <w:r>
        <w:rPr>
          <w:color w:val="000000" w:themeColor="text1"/>
          <w:spacing w:val="6"/>
          <w:highlight w:val="none"/>
          <w14:textFill>
            <w14:solidFill>
              <w14:schemeClr w14:val="tx1"/>
            </w14:solidFill>
          </w14:textFill>
        </w:rPr>
        <w:t>______</w:t>
      </w:r>
      <w:r>
        <w:rPr>
          <w:color w:val="000000" w:themeColor="text1"/>
          <w:spacing w:val="14"/>
          <w:highlight w:val="none"/>
          <w14:textFill>
            <w14:solidFill>
              <w14:schemeClr w14:val="tx1"/>
            </w14:solidFill>
          </w14:textFill>
        </w:rPr>
        <w:t>单</w:t>
      </w:r>
      <w:r>
        <w:rPr>
          <w:color w:val="000000" w:themeColor="text1"/>
          <w:spacing w:val="16"/>
          <w:highlight w:val="none"/>
          <w14:textFill>
            <w14:solidFill>
              <w14:schemeClr w14:val="tx1"/>
            </w14:solidFill>
          </w14:textFill>
        </w:rPr>
        <w:t>位</w:t>
      </w:r>
      <w:r>
        <w:rPr>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ab/>
      </w:r>
      <w:r>
        <w:rPr>
          <w:color w:val="000000" w:themeColor="text1"/>
          <w:spacing w:val="1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w:t>
      </w:r>
      <w:r>
        <w:rPr>
          <w:color w:val="000000" w:themeColor="text1"/>
          <w:highlight w:val="none"/>
          <w14:textFill>
            <w14:solidFill>
              <w14:schemeClr w14:val="tx1"/>
            </w14:solidFill>
          </w14:textFill>
        </w:rPr>
        <w:t>的货物）。</w:t>
      </w:r>
    </w:p>
    <w:p>
      <w:pPr>
        <w:pStyle w:val="13"/>
        <w:spacing w:line="267" w:lineRule="exact"/>
        <w:ind w:left="6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本单位对上述声明的真实性负责。如有虚假，将依法承担相应责任。</w:t>
      </w: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79"/>
        <w:ind w:right="1185"/>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单位名称（盖章）：</w:t>
      </w:r>
    </w:p>
    <w:p>
      <w:pPr>
        <w:pStyle w:val="13"/>
        <w:spacing w:before="11"/>
        <w:rPr>
          <w:color w:val="000000" w:themeColor="text1"/>
          <w:sz w:val="24"/>
          <w:highlight w:val="none"/>
          <w14:textFill>
            <w14:solidFill>
              <w14:schemeClr w14:val="tx1"/>
            </w14:solidFill>
          </w14:textFill>
        </w:rPr>
      </w:pPr>
    </w:p>
    <w:p>
      <w:pPr>
        <w:pStyle w:val="13"/>
        <w:tabs>
          <w:tab w:val="left" w:pos="455"/>
        </w:tabs>
        <w:ind w:right="36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11"/>
          <w:highlight w:val="none"/>
          <w14:textFill>
            <w14:solidFill>
              <w14:schemeClr w14:val="tx1"/>
            </w14:solidFill>
          </w14:textFill>
        </w:rPr>
        <w:t>期</w:t>
      </w:r>
      <w:r>
        <w:rPr>
          <w:color w:val="000000" w:themeColor="text1"/>
          <w:highlight w:val="none"/>
          <w14:textFill>
            <w14:solidFill>
              <w14:schemeClr w14:val="tx1"/>
            </w14:solidFill>
          </w14:textFill>
        </w:rPr>
        <w:t>：</w:t>
      </w:r>
    </w:p>
    <w:p>
      <w:pPr>
        <w:pStyle w:val="13"/>
        <w:rPr>
          <w:color w:val="000000" w:themeColor="text1"/>
          <w:sz w:val="20"/>
          <w:highlight w:val="none"/>
          <w14:textFill>
            <w14:solidFill>
              <w14:schemeClr w14:val="tx1"/>
            </w14:solidFill>
          </w14:textFill>
        </w:rPr>
      </w:pPr>
    </w:p>
    <w:p>
      <w:pPr>
        <w:pStyle w:val="13"/>
        <w:spacing w:before="137"/>
        <w:ind w:left="2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附相关证明材料扫描件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3"/>
        <w:spacing w:before="5"/>
        <w:rPr>
          <w:color w:val="000000" w:themeColor="text1"/>
          <w:sz w:val="10"/>
          <w:highlight w:val="none"/>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5" w:lineRule="auto"/>
        <w:ind w:left="261" w:right="0" w:firstLine="0"/>
        <w:jc w:val="left"/>
        <w:textAlignment w:val="auto"/>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十六、投标人可结合本项目的评标办法视自身情况自行提交相关</w:t>
      </w:r>
      <w:r>
        <w:rPr>
          <w:color w:val="000000" w:themeColor="text1"/>
          <w:highlight w:val="none"/>
          <w14:textFill>
            <w14:solidFill>
              <w14:schemeClr w14:val="tx1"/>
            </w14:solidFill>
          </w14:textFill>
        </w:rPr>
        <w:t>证明材料</w:t>
      </w:r>
    </w:p>
    <w:sectPr>
      <w:pgSz w:w="11910" w:h="16840"/>
      <w:pgMar w:top="1580" w:right="1140" w:bottom="1180" w:left="120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lang w:val="en-US" w:bidi="ar-SA"/>
      </w:rPr>
      <mc:AlternateContent>
        <mc:Choice Requires="wps">
          <w:drawing>
            <wp:anchor distT="0" distB="0" distL="114300" distR="114300" simplePos="0" relativeHeight="245675008" behindDoc="1" locked="0" layoutInCell="1" allowOverlap="1">
              <wp:simplePos x="0" y="0"/>
              <wp:positionH relativeFrom="page">
                <wp:posOffset>3600450</wp:posOffset>
              </wp:positionH>
              <wp:positionV relativeFrom="page">
                <wp:posOffset>10095230</wp:posOffset>
              </wp:positionV>
              <wp:extent cx="82550" cy="1524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3.5pt;margin-top:794.9pt;height:12pt;width:6.5pt;mso-position-horizontal-relative:page;mso-position-vertical-relative:page;z-index:-257641472;mso-width-relative:page;mso-height-relative:page;" filled="f" stroked="f" coordsize="21600,21600" o:gfxdata="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nxbJ9oAAAANAQAADwAAAAAAAAAB&#10;ACAAAAAiAAAAZHJzL2Rvd25yZXYueG1sUEsBAhQAFAAAAAgAh07iQCRPiXucAQAAIgMAAA4AAAAA&#10;AAAAAQAgAAAAKQEAAGRycy9lMm9Eb2MueG1sUEsFBgAAAAAGAAYAWQEAADcFAAAAAA==&#10;">
              <v:fill on="f" focussize="0,0"/>
              <v:stroke on="f"/>
              <v:imagedata o:title=""/>
              <o:lock v:ext="edit" aspectratio="f"/>
              <v:textbox inset="0mm,0mm,0mm,0mm">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82176" behindDoc="1" locked="0" layoutInCell="1" allowOverlap="1">
              <wp:simplePos x="0" y="0"/>
              <wp:positionH relativeFrom="page">
                <wp:posOffset>5153025</wp:posOffset>
              </wp:positionH>
              <wp:positionV relativeFrom="page">
                <wp:posOffset>7376160</wp:posOffset>
              </wp:positionV>
              <wp:extent cx="166370" cy="1524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67</w:t>
                          </w:r>
                          <w:r>
                            <w:fldChar w:fldCharType="end"/>
                          </w:r>
                        </w:p>
                      </w:txbxContent>
                    </wps:txbx>
                    <wps:bodyPr lIns="0" tIns="0" rIns="0" bIns="0" upright="1"/>
                  </wps:wsp>
                </a:graphicData>
              </a:graphic>
            </wp:anchor>
          </w:drawing>
        </mc:Choice>
        <mc:Fallback>
          <w:pict>
            <v:shape id="文本框 8" o:spid="_x0000_s1026" o:spt="202" type="#_x0000_t202" style="position:absolute;left:0pt;margin-left:405.75pt;margin-top:580.8pt;height:12pt;width:13.1pt;mso-position-horizontal-relative:page;mso-position-vertical-relative:page;z-index:-257634304;mso-width-relative:page;mso-height-relative:page;" filled="f" stroked="f" coordsize="21600,21600" o:gfxdata="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A9mtj2gAAAA0BAAAPAAAAAAAA&#10;AAEAIAAAACIAAABkcnMvZG93bnJldi54bWxQSwECFAAUAAAACACHTuJAeZOIip4BAAAkAwAADgAA&#10;AAAAAAABACAAAAApAQAAZHJzL2Uyb0RvYy54bWxQSwUGAAAAAAYABgBZAQAAO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8320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81.2pt;height:12pt;width:13.1pt;mso-position-horizontal-relative:page;mso-position-vertical-relative:page;z-index:-25763328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Pvq1xGeAQAAJAMAAA4A&#10;AAAAAAAAAQAgAAAAKg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8422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7"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73</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81.2pt;height:12pt;width:13.1pt;mso-position-horizontal-relative:page;mso-position-vertical-relative:page;z-index:-25763225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8n8Z2wAAAA0BAAAPAAAAAAAA&#10;AAEAIAAAACIAAABkcnMvZG93bnJldi54bWxQSwECFAAUAAAACACHTuJAYDMoyJ0BAAAlAwAADgAA&#10;AAAAAAABACAAAAAqAQAAZHJzL2Uyb0RvYy54bWxQSwUGAAAAAAYABgBZAQAAO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lang w:val="en-US" w:bidi="ar-SA"/>
      </w:rPr>
      <mc:AlternateContent>
        <mc:Choice Requires="wps">
          <w:drawing>
            <wp:anchor distT="0" distB="0" distL="114300" distR="114300" simplePos="0" relativeHeight="245687296" behindDoc="1" locked="0" layoutInCell="1" allowOverlap="1">
              <wp:simplePos x="0" y="0"/>
              <wp:positionH relativeFrom="page">
                <wp:posOffset>3600450</wp:posOffset>
              </wp:positionH>
              <wp:positionV relativeFrom="page">
                <wp:posOffset>10095230</wp:posOffset>
              </wp:positionV>
              <wp:extent cx="82550" cy="1524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3.5pt;margin-top:794.9pt;height:12pt;width:6.5pt;mso-position-horizontal-relative:page;mso-position-vertical-relative:page;z-index:-257629184;mso-width-relative:page;mso-height-relative:page;" filled="f" stroked="f" coordsize="21600,21600" o:gfxdata="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qfFsn2gAAAA0BAAAPAAAAAAAA&#10;AAEAIAAAACIAAABkcnMvZG93bnJldi54bWxQSwECFAAUAAAACACHTuJAS7KS+54BAAAjAwAADgAA&#10;AAAAAAABACAAAAApAQAAZHJzL2Uyb0RvYy54bWxQSwUGAAAAAAYABgBZAQAAOQUAAAAA&#10;">
              <v:fill on="f" focussize="0,0"/>
              <v:stroke on="f"/>
              <v:imagedata o:title=""/>
              <o:lock v:ext="edit" aspectratio="f"/>
              <v:textbox inset="0mm,0mm,0mm,0mm">
                <w:txbxContent>
                  <w:p>
                    <w:pPr>
                      <w:spacing w:before="12"/>
                      <w:ind w:left="2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76032" behindDoc="1" locked="0" layoutInCell="1" allowOverlap="1">
              <wp:simplePos x="0" y="0"/>
              <wp:positionH relativeFrom="page">
                <wp:posOffset>3587750</wp:posOffset>
              </wp:positionH>
              <wp:positionV relativeFrom="page">
                <wp:posOffset>10095230</wp:posOffset>
              </wp:positionV>
              <wp:extent cx="166370"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2.5pt;margin-top:794.9pt;height:12pt;width:13.1pt;mso-position-horizontal-relative:page;mso-position-vertical-relative:page;z-index:-257640448;mso-width-relative:page;mso-height-relative:page;" filled="f" stroked="f" coordsize="21600,21600" o:gfxdata="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J0SFtsAAAANAQAADwAAAAAA&#10;AAABACAAAAAiAAAAZHJzL2Rvd25yZXYueG1sUEsBAhQAFAAAAAgAh07iQIdkxQaeAQAAIwMAAA4A&#10;AAAAAAAAAQAgAAAAKg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lang w:val="en-US" w:bidi="ar-SA"/>
      </w:rPr>
      <mc:AlternateContent>
        <mc:Choice Requires="wps">
          <w:drawing>
            <wp:anchor distT="0" distB="0" distL="114300" distR="114300" simplePos="0" relativeHeight="245677056" behindDoc="1" locked="0" layoutInCell="1" allowOverlap="1">
              <wp:simplePos x="0" y="0"/>
              <wp:positionH relativeFrom="page">
                <wp:posOffset>3587750</wp:posOffset>
              </wp:positionH>
              <wp:positionV relativeFrom="page">
                <wp:posOffset>10095230</wp:posOffset>
              </wp:positionV>
              <wp:extent cx="275590" cy="1524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2755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wps:txbx>
                    <wps:bodyPr lIns="0" tIns="0" rIns="0" bIns="0" upright="1"/>
                  </wps:wsp>
                </a:graphicData>
              </a:graphic>
            </wp:anchor>
          </w:drawing>
        </mc:Choice>
        <mc:Fallback>
          <w:pict>
            <v:shape id="文本框 3" o:spid="_x0000_s1026" o:spt="202" type="#_x0000_t202" style="position:absolute;left:0pt;margin-left:282.5pt;margin-top:794.9pt;height:12pt;width:21.7pt;mso-position-horizontal-relative:page;mso-position-vertical-relative:page;z-index:-257639424;mso-width-relative:page;mso-height-relative:page;" filled="f" stroked="f" coordsize="21600,21600" o:gfxdata="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FqIz2gAAAA0BAAAPAAAAAAAA&#10;AAEAIAAAACIAAABkcnMvZG93bnJldi54bWxQSwECFAAUAAAACACHTuJAkO+eC54BAAAkAwAADgAA&#10;AAAAAAABACAAAAApAQAAZHJzL2Uyb0RvYy54bWxQSwUGAAAAAAYABgBZAQAAO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_x0000_s2051" o:spid="_x0000_s205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38</w:t>
                </w:r>
                <w:r>
                  <w:rPr>
                    <w:sz w:val="18"/>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73</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YZSK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h9SmhReEq01CEoVbrnCA&#10;PRbGmRV1x/3KS/H6XrJe/o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NhlIrgEAAE0D&#10;AAAOAAAAAAAAAAEAIAAAAB4BAABkcnMvZTJvRG9jLnhtbFBLBQYAAAAABgAGAFkBAAA+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73</w:t>
                    </w:r>
                    <w:r>
                      <w:rPr>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lang w:val="en-US" w:bidi="ar-SA"/>
      </w:rPr>
      <mc:AlternateContent>
        <mc:Choice Requires="wps">
          <w:drawing>
            <wp:anchor distT="0" distB="0" distL="114300" distR="114300" simplePos="0" relativeHeight="245679104" behindDoc="1" locked="0" layoutInCell="1" allowOverlap="1">
              <wp:simplePos x="0" y="0"/>
              <wp:positionH relativeFrom="page">
                <wp:posOffset>3587750</wp:posOffset>
              </wp:positionH>
              <wp:positionV relativeFrom="page">
                <wp:posOffset>10095230</wp:posOffset>
              </wp:positionV>
              <wp:extent cx="166370" cy="1524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82.5pt;margin-top:794.9pt;height:12pt;width:13.1pt;mso-position-horizontal-relative:page;mso-position-vertical-relative:page;z-index:-257637376;mso-width-relative:page;mso-height-relative:page;" filled="f" stroked="f" coordsize="21600,21600" o:gfxdata="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J0SFtsAAAANAQAADwAAAAAA&#10;AAABACAAAAAiAAAAZHJzL2Rvd25yZXYueG1sUEsBAhQAFAAAAAgAh07iQF+aIQieAQAAJAMAAA4A&#10;AAAAAAAAAQAgAAAAKg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80128" behindDoc="1" locked="0" layoutInCell="1" allowOverlap="1">
              <wp:simplePos x="0" y="0"/>
              <wp:positionH relativeFrom="page">
                <wp:posOffset>3587750</wp:posOffset>
              </wp:positionH>
              <wp:positionV relativeFrom="page">
                <wp:posOffset>10095230</wp:posOffset>
              </wp:positionV>
              <wp:extent cx="166370" cy="1524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wps:txbx>
                    <wps:bodyPr lIns="0" tIns="0" rIns="0" bIns="0" upright="1"/>
                  </wps:wsp>
                </a:graphicData>
              </a:graphic>
            </wp:anchor>
          </w:drawing>
        </mc:Choice>
        <mc:Fallback>
          <w:pict>
            <v:shape id="文本框 6" o:spid="_x0000_s1026" o:spt="202" type="#_x0000_t202" style="position:absolute;left:0pt;margin-left:282.5pt;margin-top:794.9pt;height:12pt;width:13.1pt;mso-position-horizontal-relative:page;mso-position-vertical-relative:page;z-index:-257636352;mso-width-relative:page;mso-height-relative:page;" filled="f" stroked="f" coordsize="21600,21600" o:gfxdata="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J0SFtsAAAANAQAADwAAAAAA&#10;AAABACAAAAAiAAAAZHJzL2Rvd25yZXYueG1sUEsBAhQAFAAAAAgAh07iQHYGXA6eAQAAJAMAAA4A&#10;AAAAAAAAAQAgAAAAKg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45681152" behindDoc="1" locked="0" layoutInCell="1" allowOverlap="1">
              <wp:simplePos x="0" y="0"/>
              <wp:positionH relativeFrom="page">
                <wp:posOffset>3587750</wp:posOffset>
              </wp:positionH>
              <wp:positionV relativeFrom="page">
                <wp:posOffset>10095230</wp:posOffset>
              </wp:positionV>
              <wp:extent cx="166370" cy="1524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63</w:t>
                          </w:r>
                          <w:r>
                            <w:fldChar w:fldCharType="end"/>
                          </w:r>
                        </w:p>
                      </w:txbxContent>
                    </wps:txbx>
                    <wps:bodyPr lIns="0" tIns="0" rIns="0" bIns="0" upright="1"/>
                  </wps:wsp>
                </a:graphicData>
              </a:graphic>
            </wp:anchor>
          </w:drawing>
        </mc:Choice>
        <mc:Fallback>
          <w:pict>
            <v:shape id="文本框 7" o:spid="_x0000_s1026" o:spt="202" type="#_x0000_t202" style="position:absolute;left:0pt;margin-left:282.5pt;margin-top:794.9pt;height:12pt;width:13.1pt;mso-position-horizontal-relative:page;mso-position-vertical-relative:page;z-index:-257635328;mso-width-relative:page;mso-height-relative:page;" filled="f" stroked="f" coordsize="21600,21600" o:gfxdata="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J0SFtsAAAANAQAADwAAAAAA&#10;AAABACAAAAAiAAAAZHJzL2Rvd25yZXYueG1sUEsBAhQAFAAAAAgAh07iQBpv7uWeAQAAJAMAAA4A&#10;AAAAAAAAAQAgAAAAKgEAAGRycy9lMm9Eb2MueG1sUEsFBgAAAAAGAAYAWQEAAD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line="240" w:lineRule="atLeast"/>
      <w:rPr>
        <w:rFonts w:cs="Times New Roman"/>
        <w:color w:val="4F81BD"/>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spacing w:line="240" w:lineRule="atLeast"/>
      <w:rPr>
        <w:rFonts w:cs="Times New Roman"/>
        <w:color w:val="4F81B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6"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44" w:hanging="528"/>
      </w:pPr>
      <w:rPr>
        <w:rFonts w:hint="default"/>
        <w:lang w:val="zh-CN" w:eastAsia="zh-CN" w:bidi="zh-CN"/>
      </w:rPr>
    </w:lvl>
    <w:lvl w:ilvl="2" w:tentative="0">
      <w:start w:val="0"/>
      <w:numFmt w:val="bullet"/>
      <w:lvlText w:val="•"/>
      <w:lvlJc w:val="left"/>
      <w:pPr>
        <w:ind w:left="1879" w:hanging="528"/>
      </w:pPr>
      <w:rPr>
        <w:rFonts w:hint="default"/>
        <w:lang w:val="zh-CN" w:eastAsia="zh-CN" w:bidi="zh-CN"/>
      </w:rPr>
    </w:lvl>
    <w:lvl w:ilvl="3" w:tentative="0">
      <w:start w:val="0"/>
      <w:numFmt w:val="bullet"/>
      <w:lvlText w:val="•"/>
      <w:lvlJc w:val="left"/>
      <w:pPr>
        <w:ind w:left="2813" w:hanging="528"/>
      </w:pPr>
      <w:rPr>
        <w:rFonts w:hint="default"/>
        <w:lang w:val="zh-CN" w:eastAsia="zh-CN" w:bidi="zh-CN"/>
      </w:rPr>
    </w:lvl>
    <w:lvl w:ilvl="4" w:tentative="0">
      <w:start w:val="0"/>
      <w:numFmt w:val="bullet"/>
      <w:lvlText w:val="•"/>
      <w:lvlJc w:val="left"/>
      <w:pPr>
        <w:ind w:left="3748" w:hanging="528"/>
      </w:pPr>
      <w:rPr>
        <w:rFonts w:hint="default"/>
        <w:lang w:val="zh-CN" w:eastAsia="zh-CN" w:bidi="zh-CN"/>
      </w:rPr>
    </w:lvl>
    <w:lvl w:ilvl="5" w:tentative="0">
      <w:start w:val="0"/>
      <w:numFmt w:val="bullet"/>
      <w:lvlText w:val="•"/>
      <w:lvlJc w:val="left"/>
      <w:pPr>
        <w:ind w:left="4683" w:hanging="528"/>
      </w:pPr>
      <w:rPr>
        <w:rFonts w:hint="default"/>
        <w:lang w:val="zh-CN" w:eastAsia="zh-CN" w:bidi="zh-CN"/>
      </w:rPr>
    </w:lvl>
    <w:lvl w:ilvl="6" w:tentative="0">
      <w:start w:val="0"/>
      <w:numFmt w:val="bullet"/>
      <w:lvlText w:val="•"/>
      <w:lvlJc w:val="left"/>
      <w:pPr>
        <w:ind w:left="5617" w:hanging="528"/>
      </w:pPr>
      <w:rPr>
        <w:rFonts w:hint="default"/>
        <w:lang w:val="zh-CN" w:eastAsia="zh-CN" w:bidi="zh-CN"/>
      </w:rPr>
    </w:lvl>
    <w:lvl w:ilvl="7" w:tentative="0">
      <w:start w:val="0"/>
      <w:numFmt w:val="bullet"/>
      <w:lvlText w:val="•"/>
      <w:lvlJc w:val="left"/>
      <w:pPr>
        <w:ind w:left="6552" w:hanging="528"/>
      </w:pPr>
      <w:rPr>
        <w:rFonts w:hint="default"/>
        <w:lang w:val="zh-CN" w:eastAsia="zh-CN" w:bidi="zh-CN"/>
      </w:rPr>
    </w:lvl>
    <w:lvl w:ilvl="8" w:tentative="0">
      <w:start w:val="0"/>
      <w:numFmt w:val="bullet"/>
      <w:lvlText w:val="•"/>
      <w:lvlJc w:val="left"/>
      <w:pPr>
        <w:ind w:left="7486" w:hanging="528"/>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267" w:hanging="632"/>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090" w:hanging="632"/>
      </w:pPr>
      <w:rPr>
        <w:rFonts w:hint="default"/>
        <w:lang w:val="zh-CN" w:eastAsia="zh-CN" w:bidi="zh-CN"/>
      </w:rPr>
    </w:lvl>
    <w:lvl w:ilvl="2" w:tentative="0">
      <w:start w:val="0"/>
      <w:numFmt w:val="bullet"/>
      <w:lvlText w:val="•"/>
      <w:lvlJc w:val="left"/>
      <w:pPr>
        <w:ind w:left="2921" w:hanging="632"/>
      </w:pPr>
      <w:rPr>
        <w:rFonts w:hint="default"/>
        <w:lang w:val="zh-CN" w:eastAsia="zh-CN" w:bidi="zh-CN"/>
      </w:rPr>
    </w:lvl>
    <w:lvl w:ilvl="3" w:tentative="0">
      <w:start w:val="0"/>
      <w:numFmt w:val="bullet"/>
      <w:lvlText w:val="•"/>
      <w:lvlJc w:val="left"/>
      <w:pPr>
        <w:ind w:left="375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413" w:hanging="632"/>
      </w:pPr>
      <w:rPr>
        <w:rFonts w:hint="default"/>
        <w:lang w:val="zh-CN" w:eastAsia="zh-CN" w:bidi="zh-CN"/>
      </w:rPr>
    </w:lvl>
    <w:lvl w:ilvl="6" w:tentative="0">
      <w:start w:val="0"/>
      <w:numFmt w:val="bullet"/>
      <w:lvlText w:val="•"/>
      <w:lvlJc w:val="left"/>
      <w:pPr>
        <w:ind w:left="6243" w:hanging="632"/>
      </w:pPr>
      <w:rPr>
        <w:rFonts w:hint="default"/>
        <w:lang w:val="zh-CN" w:eastAsia="zh-CN" w:bidi="zh-CN"/>
      </w:rPr>
    </w:lvl>
    <w:lvl w:ilvl="7" w:tentative="0">
      <w:start w:val="0"/>
      <w:numFmt w:val="bullet"/>
      <w:lvlText w:val="•"/>
      <w:lvlJc w:val="left"/>
      <w:pPr>
        <w:ind w:left="7074" w:hanging="632"/>
      </w:pPr>
      <w:rPr>
        <w:rFonts w:hint="default"/>
        <w:lang w:val="zh-CN" w:eastAsia="zh-CN" w:bidi="zh-CN"/>
      </w:rPr>
    </w:lvl>
    <w:lvl w:ilvl="8" w:tentative="0">
      <w:start w:val="0"/>
      <w:numFmt w:val="bullet"/>
      <w:lvlText w:val="•"/>
      <w:lvlJc w:val="left"/>
      <w:pPr>
        <w:ind w:left="7904" w:hanging="632"/>
      </w:pPr>
      <w:rPr>
        <w:rFonts w:hint="default"/>
        <w:lang w:val="zh-CN" w:eastAsia="zh-CN" w:bidi="zh-CN"/>
      </w:rPr>
    </w:lvl>
  </w:abstractNum>
  <w:abstractNum w:abstractNumId="2">
    <w:nsid w:val="90F47A2D"/>
    <w:multiLevelType w:val="singleLevel"/>
    <w:tmpl w:val="90F47A2D"/>
    <w:lvl w:ilvl="0" w:tentative="0">
      <w:start w:val="1"/>
      <w:numFmt w:val="decimal"/>
      <w:lvlText w:val="%1."/>
      <w:lvlJc w:val="left"/>
      <w:pPr>
        <w:tabs>
          <w:tab w:val="left" w:pos="312"/>
        </w:tabs>
      </w:pPr>
    </w:lvl>
  </w:abstractNum>
  <w:abstractNum w:abstractNumId="3">
    <w:nsid w:val="91995D4F"/>
    <w:multiLevelType w:val="multilevel"/>
    <w:tmpl w:val="91995D4F"/>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5">
    <w:nsid w:val="9C8AC8EF"/>
    <w:multiLevelType w:val="multilevel"/>
    <w:tmpl w:val="9C8AC8EF"/>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6">
    <w:nsid w:val="AA458455"/>
    <w:multiLevelType w:val="singleLevel"/>
    <w:tmpl w:val="AA458455"/>
    <w:lvl w:ilvl="0" w:tentative="0">
      <w:start w:val="2"/>
      <w:numFmt w:val="decimal"/>
      <w:lvlText w:val="%1."/>
      <w:lvlJc w:val="left"/>
      <w:pPr>
        <w:tabs>
          <w:tab w:val="left" w:pos="312"/>
        </w:tabs>
      </w:pPr>
    </w:lvl>
  </w:abstractNum>
  <w:abstractNum w:abstractNumId="7">
    <w:nsid w:val="B06412FC"/>
    <w:multiLevelType w:val="singleLevel"/>
    <w:tmpl w:val="B06412FC"/>
    <w:lvl w:ilvl="0" w:tentative="0">
      <w:start w:val="1"/>
      <w:numFmt w:val="chineseCounting"/>
      <w:suff w:val="nothing"/>
      <w:lvlText w:val="%1、"/>
      <w:lvlJc w:val="left"/>
      <w:rPr>
        <w:rFonts w:hint="eastAsia"/>
      </w:rPr>
    </w:lvl>
  </w:abstractNum>
  <w:abstractNum w:abstractNumId="8">
    <w:nsid w:val="B5E306ED"/>
    <w:multiLevelType w:val="multilevel"/>
    <w:tmpl w:val="B5E306ED"/>
    <w:lvl w:ilvl="0" w:tentative="0">
      <w:start w:val="0"/>
      <w:numFmt w:val="bullet"/>
      <w:lvlText w:val="■"/>
      <w:lvlJc w:val="left"/>
      <w:pPr>
        <w:ind w:left="106"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46" w:hanging="212"/>
      </w:pPr>
      <w:rPr>
        <w:rFonts w:hint="default"/>
        <w:lang w:val="zh-CN" w:eastAsia="zh-CN" w:bidi="zh-CN"/>
      </w:rPr>
    </w:lvl>
    <w:lvl w:ilvl="2" w:tentative="0">
      <w:start w:val="0"/>
      <w:numFmt w:val="bullet"/>
      <w:lvlText w:val="•"/>
      <w:lvlJc w:val="left"/>
      <w:pPr>
        <w:ind w:left="1193" w:hanging="212"/>
      </w:pPr>
      <w:rPr>
        <w:rFonts w:hint="default"/>
        <w:lang w:val="zh-CN" w:eastAsia="zh-CN" w:bidi="zh-CN"/>
      </w:rPr>
    </w:lvl>
    <w:lvl w:ilvl="3" w:tentative="0">
      <w:start w:val="0"/>
      <w:numFmt w:val="bullet"/>
      <w:lvlText w:val="•"/>
      <w:lvlJc w:val="left"/>
      <w:pPr>
        <w:ind w:left="1739" w:hanging="212"/>
      </w:pPr>
      <w:rPr>
        <w:rFonts w:hint="default"/>
        <w:lang w:val="zh-CN" w:eastAsia="zh-CN" w:bidi="zh-CN"/>
      </w:rPr>
    </w:lvl>
    <w:lvl w:ilvl="4" w:tentative="0">
      <w:start w:val="0"/>
      <w:numFmt w:val="bullet"/>
      <w:lvlText w:val="•"/>
      <w:lvlJc w:val="left"/>
      <w:pPr>
        <w:ind w:left="2286" w:hanging="212"/>
      </w:pPr>
      <w:rPr>
        <w:rFonts w:hint="default"/>
        <w:lang w:val="zh-CN" w:eastAsia="zh-CN" w:bidi="zh-CN"/>
      </w:rPr>
    </w:lvl>
    <w:lvl w:ilvl="5" w:tentative="0">
      <w:start w:val="0"/>
      <w:numFmt w:val="bullet"/>
      <w:lvlText w:val="•"/>
      <w:lvlJc w:val="left"/>
      <w:pPr>
        <w:ind w:left="2832" w:hanging="212"/>
      </w:pPr>
      <w:rPr>
        <w:rFonts w:hint="default"/>
        <w:lang w:val="zh-CN" w:eastAsia="zh-CN" w:bidi="zh-CN"/>
      </w:rPr>
    </w:lvl>
    <w:lvl w:ilvl="6" w:tentative="0">
      <w:start w:val="0"/>
      <w:numFmt w:val="bullet"/>
      <w:lvlText w:val="•"/>
      <w:lvlJc w:val="left"/>
      <w:pPr>
        <w:ind w:left="3379" w:hanging="212"/>
      </w:pPr>
      <w:rPr>
        <w:rFonts w:hint="default"/>
        <w:lang w:val="zh-CN" w:eastAsia="zh-CN" w:bidi="zh-CN"/>
      </w:rPr>
    </w:lvl>
    <w:lvl w:ilvl="7" w:tentative="0">
      <w:start w:val="0"/>
      <w:numFmt w:val="bullet"/>
      <w:lvlText w:val="•"/>
      <w:lvlJc w:val="left"/>
      <w:pPr>
        <w:ind w:left="3925" w:hanging="212"/>
      </w:pPr>
      <w:rPr>
        <w:rFonts w:hint="default"/>
        <w:lang w:val="zh-CN" w:eastAsia="zh-CN" w:bidi="zh-CN"/>
      </w:rPr>
    </w:lvl>
    <w:lvl w:ilvl="8" w:tentative="0">
      <w:start w:val="0"/>
      <w:numFmt w:val="bullet"/>
      <w:lvlText w:val="•"/>
      <w:lvlJc w:val="left"/>
      <w:pPr>
        <w:ind w:left="4472" w:hanging="212"/>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2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154" w:hanging="317"/>
      </w:pPr>
      <w:rPr>
        <w:rFonts w:hint="default"/>
        <w:lang w:val="zh-CN" w:eastAsia="zh-CN" w:bidi="zh-CN"/>
      </w:rPr>
    </w:lvl>
    <w:lvl w:ilvl="2" w:tentative="0">
      <w:start w:val="0"/>
      <w:numFmt w:val="bullet"/>
      <w:lvlText w:val="•"/>
      <w:lvlJc w:val="left"/>
      <w:pPr>
        <w:ind w:left="2089" w:hanging="317"/>
      </w:pPr>
      <w:rPr>
        <w:rFonts w:hint="default"/>
        <w:lang w:val="zh-CN" w:eastAsia="zh-CN" w:bidi="zh-CN"/>
      </w:rPr>
    </w:lvl>
    <w:lvl w:ilvl="3" w:tentative="0">
      <w:start w:val="0"/>
      <w:numFmt w:val="bullet"/>
      <w:lvlText w:val="•"/>
      <w:lvlJc w:val="left"/>
      <w:pPr>
        <w:ind w:left="3023" w:hanging="317"/>
      </w:pPr>
      <w:rPr>
        <w:rFonts w:hint="default"/>
        <w:lang w:val="zh-CN" w:eastAsia="zh-CN" w:bidi="zh-CN"/>
      </w:rPr>
    </w:lvl>
    <w:lvl w:ilvl="4" w:tentative="0">
      <w:start w:val="0"/>
      <w:numFmt w:val="bullet"/>
      <w:lvlText w:val="•"/>
      <w:lvlJc w:val="left"/>
      <w:pPr>
        <w:ind w:left="3958" w:hanging="317"/>
      </w:pPr>
      <w:rPr>
        <w:rFonts w:hint="default"/>
        <w:lang w:val="zh-CN" w:eastAsia="zh-CN" w:bidi="zh-CN"/>
      </w:rPr>
    </w:lvl>
    <w:lvl w:ilvl="5" w:tentative="0">
      <w:start w:val="0"/>
      <w:numFmt w:val="bullet"/>
      <w:lvlText w:val="•"/>
      <w:lvlJc w:val="left"/>
      <w:pPr>
        <w:ind w:left="4893" w:hanging="317"/>
      </w:pPr>
      <w:rPr>
        <w:rFonts w:hint="default"/>
        <w:lang w:val="zh-CN" w:eastAsia="zh-CN" w:bidi="zh-CN"/>
      </w:rPr>
    </w:lvl>
    <w:lvl w:ilvl="6" w:tentative="0">
      <w:start w:val="0"/>
      <w:numFmt w:val="bullet"/>
      <w:lvlText w:val="•"/>
      <w:lvlJc w:val="left"/>
      <w:pPr>
        <w:ind w:left="5827" w:hanging="317"/>
      </w:pPr>
      <w:rPr>
        <w:rFonts w:hint="default"/>
        <w:lang w:val="zh-CN" w:eastAsia="zh-CN" w:bidi="zh-CN"/>
      </w:rPr>
    </w:lvl>
    <w:lvl w:ilvl="7" w:tentative="0">
      <w:start w:val="0"/>
      <w:numFmt w:val="bullet"/>
      <w:lvlText w:val="•"/>
      <w:lvlJc w:val="left"/>
      <w:pPr>
        <w:ind w:left="6762" w:hanging="317"/>
      </w:pPr>
      <w:rPr>
        <w:rFonts w:hint="default"/>
        <w:lang w:val="zh-CN" w:eastAsia="zh-CN" w:bidi="zh-CN"/>
      </w:rPr>
    </w:lvl>
    <w:lvl w:ilvl="8" w:tentative="0">
      <w:start w:val="0"/>
      <w:numFmt w:val="bullet"/>
      <w:lvlText w:val="•"/>
      <w:lvlJc w:val="left"/>
      <w:pPr>
        <w:ind w:left="7696" w:hanging="317"/>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12">
    <w:nsid w:val="BF205925"/>
    <w:multiLevelType w:val="multilevel"/>
    <w:tmpl w:val="BF205925"/>
    <w:lvl w:ilvl="0" w:tentative="0">
      <w:start w:val="15"/>
      <w:numFmt w:val="decimal"/>
      <w:lvlText w:val="%1"/>
      <w:lvlJc w:val="left"/>
      <w:pPr>
        <w:ind w:left="106" w:hanging="476"/>
      </w:pPr>
      <w:rPr>
        <w:rFonts w:hint="default"/>
        <w:lang w:val="zh-CN" w:eastAsia="zh-CN" w:bidi="zh-CN"/>
      </w:rPr>
    </w:lvl>
    <w:lvl w:ilvl="1" w:tentative="0">
      <w:start w:val="1"/>
      <w:numFmt w:val="decimal"/>
      <w:lvlText w:val="%1.%2"/>
      <w:lvlJc w:val="left"/>
      <w:pPr>
        <w:ind w:left="106" w:hanging="47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93" w:hanging="476"/>
      </w:pPr>
      <w:rPr>
        <w:rFonts w:hint="default"/>
        <w:lang w:val="zh-CN" w:eastAsia="zh-CN" w:bidi="zh-CN"/>
      </w:rPr>
    </w:lvl>
    <w:lvl w:ilvl="3" w:tentative="0">
      <w:start w:val="0"/>
      <w:numFmt w:val="bullet"/>
      <w:lvlText w:val="•"/>
      <w:lvlJc w:val="left"/>
      <w:pPr>
        <w:ind w:left="1739" w:hanging="476"/>
      </w:pPr>
      <w:rPr>
        <w:rFonts w:hint="default"/>
        <w:lang w:val="zh-CN" w:eastAsia="zh-CN" w:bidi="zh-CN"/>
      </w:rPr>
    </w:lvl>
    <w:lvl w:ilvl="4" w:tentative="0">
      <w:start w:val="0"/>
      <w:numFmt w:val="bullet"/>
      <w:lvlText w:val="•"/>
      <w:lvlJc w:val="left"/>
      <w:pPr>
        <w:ind w:left="2286" w:hanging="476"/>
      </w:pPr>
      <w:rPr>
        <w:rFonts w:hint="default"/>
        <w:lang w:val="zh-CN" w:eastAsia="zh-CN" w:bidi="zh-CN"/>
      </w:rPr>
    </w:lvl>
    <w:lvl w:ilvl="5" w:tentative="0">
      <w:start w:val="0"/>
      <w:numFmt w:val="bullet"/>
      <w:lvlText w:val="•"/>
      <w:lvlJc w:val="left"/>
      <w:pPr>
        <w:ind w:left="2832" w:hanging="476"/>
      </w:pPr>
      <w:rPr>
        <w:rFonts w:hint="default"/>
        <w:lang w:val="zh-CN" w:eastAsia="zh-CN" w:bidi="zh-CN"/>
      </w:rPr>
    </w:lvl>
    <w:lvl w:ilvl="6" w:tentative="0">
      <w:start w:val="0"/>
      <w:numFmt w:val="bullet"/>
      <w:lvlText w:val="•"/>
      <w:lvlJc w:val="left"/>
      <w:pPr>
        <w:ind w:left="3379" w:hanging="476"/>
      </w:pPr>
      <w:rPr>
        <w:rFonts w:hint="default"/>
        <w:lang w:val="zh-CN" w:eastAsia="zh-CN" w:bidi="zh-CN"/>
      </w:rPr>
    </w:lvl>
    <w:lvl w:ilvl="7" w:tentative="0">
      <w:start w:val="0"/>
      <w:numFmt w:val="bullet"/>
      <w:lvlText w:val="•"/>
      <w:lvlJc w:val="left"/>
      <w:pPr>
        <w:ind w:left="3925" w:hanging="476"/>
      </w:pPr>
      <w:rPr>
        <w:rFonts w:hint="default"/>
        <w:lang w:val="zh-CN" w:eastAsia="zh-CN" w:bidi="zh-CN"/>
      </w:rPr>
    </w:lvl>
    <w:lvl w:ilvl="8" w:tentative="0">
      <w:start w:val="0"/>
      <w:numFmt w:val="bullet"/>
      <w:lvlText w:val="•"/>
      <w:lvlJc w:val="left"/>
      <w:pPr>
        <w:ind w:left="4472" w:hanging="476"/>
      </w:pPr>
      <w:rPr>
        <w:rFonts w:hint="default"/>
        <w:lang w:val="zh-CN" w:eastAsia="zh-CN" w:bidi="zh-CN"/>
      </w:rPr>
    </w:lvl>
  </w:abstractNum>
  <w:abstractNum w:abstractNumId="13">
    <w:nsid w:val="C2BAE4E7"/>
    <w:multiLevelType w:val="singleLevel"/>
    <w:tmpl w:val="C2BAE4E7"/>
    <w:lvl w:ilvl="0" w:tentative="0">
      <w:start w:val="1"/>
      <w:numFmt w:val="chineseCounting"/>
      <w:suff w:val="nothing"/>
      <w:lvlText w:val="%1、"/>
      <w:lvlJc w:val="left"/>
      <w:rPr>
        <w:rFonts w:hint="eastAsia"/>
      </w:rPr>
    </w:lvl>
  </w:abstractNum>
  <w:abstractNum w:abstractNumId="14">
    <w:nsid w:val="C8879AEF"/>
    <w:multiLevelType w:val="multilevel"/>
    <w:tmpl w:val="C8879AEF"/>
    <w:lvl w:ilvl="0" w:tentative="0">
      <w:start w:val="1"/>
      <w:numFmt w:val="decimal"/>
      <w:lvlText w:val="（%1）"/>
      <w:lvlJc w:val="left"/>
      <w:pPr>
        <w:ind w:left="117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18" w:hanging="527"/>
      </w:pPr>
      <w:rPr>
        <w:rFonts w:hint="default"/>
        <w:lang w:val="zh-CN" w:eastAsia="zh-CN" w:bidi="zh-CN"/>
      </w:rPr>
    </w:lvl>
    <w:lvl w:ilvl="2" w:tentative="0">
      <w:start w:val="0"/>
      <w:numFmt w:val="bullet"/>
      <w:lvlText w:val="•"/>
      <w:lvlJc w:val="left"/>
      <w:pPr>
        <w:ind w:left="2857" w:hanging="527"/>
      </w:pPr>
      <w:rPr>
        <w:rFonts w:hint="default"/>
        <w:lang w:val="zh-CN" w:eastAsia="zh-CN" w:bidi="zh-CN"/>
      </w:rPr>
    </w:lvl>
    <w:lvl w:ilvl="3" w:tentative="0">
      <w:start w:val="0"/>
      <w:numFmt w:val="bullet"/>
      <w:lvlText w:val="•"/>
      <w:lvlJc w:val="left"/>
      <w:pPr>
        <w:ind w:left="3695" w:hanging="527"/>
      </w:pPr>
      <w:rPr>
        <w:rFonts w:hint="default"/>
        <w:lang w:val="zh-CN" w:eastAsia="zh-CN" w:bidi="zh-CN"/>
      </w:rPr>
    </w:lvl>
    <w:lvl w:ilvl="4" w:tentative="0">
      <w:start w:val="0"/>
      <w:numFmt w:val="bullet"/>
      <w:lvlText w:val="•"/>
      <w:lvlJc w:val="left"/>
      <w:pPr>
        <w:ind w:left="4534" w:hanging="527"/>
      </w:pPr>
      <w:rPr>
        <w:rFonts w:hint="default"/>
        <w:lang w:val="zh-CN" w:eastAsia="zh-CN" w:bidi="zh-CN"/>
      </w:rPr>
    </w:lvl>
    <w:lvl w:ilvl="5" w:tentative="0">
      <w:start w:val="0"/>
      <w:numFmt w:val="bullet"/>
      <w:lvlText w:val="•"/>
      <w:lvlJc w:val="left"/>
      <w:pPr>
        <w:ind w:left="5373" w:hanging="527"/>
      </w:pPr>
      <w:rPr>
        <w:rFonts w:hint="default"/>
        <w:lang w:val="zh-CN" w:eastAsia="zh-CN" w:bidi="zh-CN"/>
      </w:rPr>
    </w:lvl>
    <w:lvl w:ilvl="6" w:tentative="0">
      <w:start w:val="0"/>
      <w:numFmt w:val="bullet"/>
      <w:lvlText w:val="•"/>
      <w:lvlJc w:val="left"/>
      <w:pPr>
        <w:ind w:left="6211" w:hanging="527"/>
      </w:pPr>
      <w:rPr>
        <w:rFonts w:hint="default"/>
        <w:lang w:val="zh-CN" w:eastAsia="zh-CN" w:bidi="zh-CN"/>
      </w:rPr>
    </w:lvl>
    <w:lvl w:ilvl="7" w:tentative="0">
      <w:start w:val="0"/>
      <w:numFmt w:val="bullet"/>
      <w:lvlText w:val="•"/>
      <w:lvlJc w:val="left"/>
      <w:pPr>
        <w:ind w:left="7050" w:hanging="527"/>
      </w:pPr>
      <w:rPr>
        <w:rFonts w:hint="default"/>
        <w:lang w:val="zh-CN" w:eastAsia="zh-CN" w:bidi="zh-CN"/>
      </w:rPr>
    </w:lvl>
    <w:lvl w:ilvl="8" w:tentative="0">
      <w:start w:val="0"/>
      <w:numFmt w:val="bullet"/>
      <w:lvlText w:val="•"/>
      <w:lvlJc w:val="left"/>
      <w:pPr>
        <w:ind w:left="7888" w:hanging="527"/>
      </w:pPr>
      <w:rPr>
        <w:rFonts w:hint="default"/>
        <w:lang w:val="zh-CN" w:eastAsia="zh-CN" w:bidi="zh-CN"/>
      </w:rPr>
    </w:lvl>
  </w:abstractNum>
  <w:abstractNum w:abstractNumId="15">
    <w:nsid w:val="CF092B84"/>
    <w:multiLevelType w:val="multilevel"/>
    <w:tmpl w:val="CF092B84"/>
    <w:lvl w:ilvl="0" w:tentative="0">
      <w:start w:val="2"/>
      <w:numFmt w:val="decimal"/>
      <w:lvlText w:val="%1"/>
      <w:lvlJc w:val="left"/>
      <w:pPr>
        <w:ind w:left="1058" w:hanging="423"/>
      </w:pPr>
      <w:rPr>
        <w:rFonts w:hint="default"/>
        <w:lang w:val="zh-CN" w:eastAsia="zh-CN" w:bidi="zh-CN"/>
      </w:rPr>
    </w:lvl>
    <w:lvl w:ilvl="1" w:tentative="0">
      <w:start w:val="6"/>
      <w:numFmt w:val="decimal"/>
      <w:lvlText w:val="%1.%2."/>
      <w:lvlJc w:val="left"/>
      <w:pPr>
        <w:ind w:left="1058" w:hanging="423"/>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761" w:hanging="423"/>
      </w:pPr>
      <w:rPr>
        <w:rFonts w:hint="default"/>
        <w:lang w:val="zh-CN" w:eastAsia="zh-CN" w:bidi="zh-CN"/>
      </w:rPr>
    </w:lvl>
    <w:lvl w:ilvl="3" w:tentative="0">
      <w:start w:val="0"/>
      <w:numFmt w:val="bullet"/>
      <w:lvlText w:val="•"/>
      <w:lvlJc w:val="left"/>
      <w:pPr>
        <w:ind w:left="3611" w:hanging="423"/>
      </w:pPr>
      <w:rPr>
        <w:rFonts w:hint="default"/>
        <w:lang w:val="zh-CN" w:eastAsia="zh-CN" w:bidi="zh-CN"/>
      </w:rPr>
    </w:lvl>
    <w:lvl w:ilvl="4" w:tentative="0">
      <w:start w:val="0"/>
      <w:numFmt w:val="bullet"/>
      <w:lvlText w:val="•"/>
      <w:lvlJc w:val="left"/>
      <w:pPr>
        <w:ind w:left="4462" w:hanging="423"/>
      </w:pPr>
      <w:rPr>
        <w:rFonts w:hint="default"/>
        <w:lang w:val="zh-CN" w:eastAsia="zh-CN" w:bidi="zh-CN"/>
      </w:rPr>
    </w:lvl>
    <w:lvl w:ilvl="5" w:tentative="0">
      <w:start w:val="0"/>
      <w:numFmt w:val="bullet"/>
      <w:lvlText w:val="•"/>
      <w:lvlJc w:val="left"/>
      <w:pPr>
        <w:ind w:left="5313" w:hanging="423"/>
      </w:pPr>
      <w:rPr>
        <w:rFonts w:hint="default"/>
        <w:lang w:val="zh-CN" w:eastAsia="zh-CN" w:bidi="zh-CN"/>
      </w:rPr>
    </w:lvl>
    <w:lvl w:ilvl="6" w:tentative="0">
      <w:start w:val="0"/>
      <w:numFmt w:val="bullet"/>
      <w:lvlText w:val="•"/>
      <w:lvlJc w:val="left"/>
      <w:pPr>
        <w:ind w:left="6163" w:hanging="423"/>
      </w:pPr>
      <w:rPr>
        <w:rFonts w:hint="default"/>
        <w:lang w:val="zh-CN" w:eastAsia="zh-CN" w:bidi="zh-CN"/>
      </w:rPr>
    </w:lvl>
    <w:lvl w:ilvl="7" w:tentative="0">
      <w:start w:val="0"/>
      <w:numFmt w:val="bullet"/>
      <w:lvlText w:val="•"/>
      <w:lvlJc w:val="left"/>
      <w:pPr>
        <w:ind w:left="7014" w:hanging="423"/>
      </w:pPr>
      <w:rPr>
        <w:rFonts w:hint="default"/>
        <w:lang w:val="zh-CN" w:eastAsia="zh-CN" w:bidi="zh-CN"/>
      </w:rPr>
    </w:lvl>
    <w:lvl w:ilvl="8" w:tentative="0">
      <w:start w:val="0"/>
      <w:numFmt w:val="bullet"/>
      <w:lvlText w:val="•"/>
      <w:lvlJc w:val="left"/>
      <w:pPr>
        <w:ind w:left="7864" w:hanging="423"/>
      </w:pPr>
      <w:rPr>
        <w:rFonts w:hint="default"/>
        <w:lang w:val="zh-CN" w:eastAsia="zh-CN" w:bidi="zh-CN"/>
      </w:rPr>
    </w:lvl>
  </w:abstractNum>
  <w:abstractNum w:abstractNumId="16">
    <w:nsid w:val="D7D140E4"/>
    <w:multiLevelType w:val="multilevel"/>
    <w:tmpl w:val="D7D140E4"/>
    <w:lvl w:ilvl="0" w:tentative="0">
      <w:start w:val="1"/>
      <w:numFmt w:val="decimal"/>
      <w:lvlText w:val="%1."/>
      <w:lvlJc w:val="left"/>
      <w:pPr>
        <w:ind w:left="216" w:hanging="336"/>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154" w:hanging="336"/>
      </w:pPr>
      <w:rPr>
        <w:rFonts w:hint="default"/>
        <w:lang w:val="zh-CN" w:eastAsia="zh-CN" w:bidi="zh-CN"/>
      </w:rPr>
    </w:lvl>
    <w:lvl w:ilvl="2" w:tentative="0">
      <w:start w:val="0"/>
      <w:numFmt w:val="bullet"/>
      <w:lvlText w:val="•"/>
      <w:lvlJc w:val="left"/>
      <w:pPr>
        <w:ind w:left="2089" w:hanging="336"/>
      </w:pPr>
      <w:rPr>
        <w:rFonts w:hint="default"/>
        <w:lang w:val="zh-CN" w:eastAsia="zh-CN" w:bidi="zh-CN"/>
      </w:rPr>
    </w:lvl>
    <w:lvl w:ilvl="3" w:tentative="0">
      <w:start w:val="0"/>
      <w:numFmt w:val="bullet"/>
      <w:lvlText w:val="•"/>
      <w:lvlJc w:val="left"/>
      <w:pPr>
        <w:ind w:left="3023" w:hanging="336"/>
      </w:pPr>
      <w:rPr>
        <w:rFonts w:hint="default"/>
        <w:lang w:val="zh-CN" w:eastAsia="zh-CN" w:bidi="zh-CN"/>
      </w:rPr>
    </w:lvl>
    <w:lvl w:ilvl="4" w:tentative="0">
      <w:start w:val="0"/>
      <w:numFmt w:val="bullet"/>
      <w:lvlText w:val="•"/>
      <w:lvlJc w:val="left"/>
      <w:pPr>
        <w:ind w:left="3958" w:hanging="336"/>
      </w:pPr>
      <w:rPr>
        <w:rFonts w:hint="default"/>
        <w:lang w:val="zh-CN" w:eastAsia="zh-CN" w:bidi="zh-CN"/>
      </w:rPr>
    </w:lvl>
    <w:lvl w:ilvl="5" w:tentative="0">
      <w:start w:val="0"/>
      <w:numFmt w:val="bullet"/>
      <w:lvlText w:val="•"/>
      <w:lvlJc w:val="left"/>
      <w:pPr>
        <w:ind w:left="4893" w:hanging="336"/>
      </w:pPr>
      <w:rPr>
        <w:rFonts w:hint="default"/>
        <w:lang w:val="zh-CN" w:eastAsia="zh-CN" w:bidi="zh-CN"/>
      </w:rPr>
    </w:lvl>
    <w:lvl w:ilvl="6" w:tentative="0">
      <w:start w:val="0"/>
      <w:numFmt w:val="bullet"/>
      <w:lvlText w:val="•"/>
      <w:lvlJc w:val="left"/>
      <w:pPr>
        <w:ind w:left="5827" w:hanging="336"/>
      </w:pPr>
      <w:rPr>
        <w:rFonts w:hint="default"/>
        <w:lang w:val="zh-CN" w:eastAsia="zh-CN" w:bidi="zh-CN"/>
      </w:rPr>
    </w:lvl>
    <w:lvl w:ilvl="7" w:tentative="0">
      <w:start w:val="0"/>
      <w:numFmt w:val="bullet"/>
      <w:lvlText w:val="•"/>
      <w:lvlJc w:val="left"/>
      <w:pPr>
        <w:ind w:left="6762" w:hanging="336"/>
      </w:pPr>
      <w:rPr>
        <w:rFonts w:hint="default"/>
        <w:lang w:val="zh-CN" w:eastAsia="zh-CN" w:bidi="zh-CN"/>
      </w:rPr>
    </w:lvl>
    <w:lvl w:ilvl="8" w:tentative="0">
      <w:start w:val="0"/>
      <w:numFmt w:val="bullet"/>
      <w:lvlText w:val="•"/>
      <w:lvlJc w:val="left"/>
      <w:pPr>
        <w:ind w:left="7696" w:hanging="336"/>
      </w:pPr>
      <w:rPr>
        <w:rFonts w:hint="default"/>
        <w:lang w:val="zh-CN" w:eastAsia="zh-CN" w:bidi="zh-CN"/>
      </w:rPr>
    </w:lvl>
  </w:abstractNum>
  <w:abstractNum w:abstractNumId="17">
    <w:nsid w:val="D7F9FE59"/>
    <w:multiLevelType w:val="multilevel"/>
    <w:tmpl w:val="D7F9FE59"/>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18">
    <w:nsid w:val="E093A4B0"/>
    <w:multiLevelType w:val="multilevel"/>
    <w:tmpl w:val="E093A4B0"/>
    <w:lvl w:ilvl="0" w:tentative="0">
      <w:start w:val="1"/>
      <w:numFmt w:val="decimal"/>
      <w:lvlText w:val="%1."/>
      <w:lvlJc w:val="left"/>
      <w:pPr>
        <w:ind w:left="63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32" w:hanging="212"/>
      </w:pPr>
      <w:rPr>
        <w:rFonts w:hint="default"/>
        <w:lang w:val="zh-CN" w:eastAsia="zh-CN" w:bidi="zh-CN"/>
      </w:rPr>
    </w:lvl>
    <w:lvl w:ilvl="2" w:tentative="0">
      <w:start w:val="0"/>
      <w:numFmt w:val="bullet"/>
      <w:lvlText w:val="•"/>
      <w:lvlJc w:val="left"/>
      <w:pPr>
        <w:ind w:left="2425" w:hanging="212"/>
      </w:pPr>
      <w:rPr>
        <w:rFonts w:hint="default"/>
        <w:lang w:val="zh-CN" w:eastAsia="zh-CN" w:bidi="zh-CN"/>
      </w:rPr>
    </w:lvl>
    <w:lvl w:ilvl="3" w:tentative="0">
      <w:start w:val="0"/>
      <w:numFmt w:val="bullet"/>
      <w:lvlText w:val="•"/>
      <w:lvlJc w:val="left"/>
      <w:pPr>
        <w:ind w:left="3317" w:hanging="212"/>
      </w:pPr>
      <w:rPr>
        <w:rFonts w:hint="default"/>
        <w:lang w:val="zh-CN" w:eastAsia="zh-CN" w:bidi="zh-CN"/>
      </w:rPr>
    </w:lvl>
    <w:lvl w:ilvl="4" w:tentative="0">
      <w:start w:val="0"/>
      <w:numFmt w:val="bullet"/>
      <w:lvlText w:val="•"/>
      <w:lvlJc w:val="left"/>
      <w:pPr>
        <w:ind w:left="4210" w:hanging="212"/>
      </w:pPr>
      <w:rPr>
        <w:rFonts w:hint="default"/>
        <w:lang w:val="zh-CN" w:eastAsia="zh-CN" w:bidi="zh-CN"/>
      </w:rPr>
    </w:lvl>
    <w:lvl w:ilvl="5" w:tentative="0">
      <w:start w:val="0"/>
      <w:numFmt w:val="bullet"/>
      <w:lvlText w:val="•"/>
      <w:lvlJc w:val="left"/>
      <w:pPr>
        <w:ind w:left="5103" w:hanging="212"/>
      </w:pPr>
      <w:rPr>
        <w:rFonts w:hint="default"/>
        <w:lang w:val="zh-CN" w:eastAsia="zh-CN" w:bidi="zh-CN"/>
      </w:rPr>
    </w:lvl>
    <w:lvl w:ilvl="6" w:tentative="0">
      <w:start w:val="0"/>
      <w:numFmt w:val="bullet"/>
      <w:lvlText w:val="•"/>
      <w:lvlJc w:val="left"/>
      <w:pPr>
        <w:ind w:left="5995" w:hanging="212"/>
      </w:pPr>
      <w:rPr>
        <w:rFonts w:hint="default"/>
        <w:lang w:val="zh-CN" w:eastAsia="zh-CN" w:bidi="zh-CN"/>
      </w:rPr>
    </w:lvl>
    <w:lvl w:ilvl="7" w:tentative="0">
      <w:start w:val="0"/>
      <w:numFmt w:val="bullet"/>
      <w:lvlText w:val="•"/>
      <w:lvlJc w:val="left"/>
      <w:pPr>
        <w:ind w:left="6888" w:hanging="212"/>
      </w:pPr>
      <w:rPr>
        <w:rFonts w:hint="default"/>
        <w:lang w:val="zh-CN" w:eastAsia="zh-CN" w:bidi="zh-CN"/>
      </w:rPr>
    </w:lvl>
    <w:lvl w:ilvl="8" w:tentative="0">
      <w:start w:val="0"/>
      <w:numFmt w:val="bullet"/>
      <w:lvlText w:val="•"/>
      <w:lvlJc w:val="left"/>
      <w:pPr>
        <w:ind w:left="7780" w:hanging="212"/>
      </w:pPr>
      <w:rPr>
        <w:rFonts w:hint="default"/>
        <w:lang w:val="zh-CN" w:eastAsia="zh-CN" w:bidi="zh-CN"/>
      </w:rPr>
    </w:lvl>
  </w:abstractNum>
  <w:abstractNum w:abstractNumId="19">
    <w:nsid w:val="F4B5D9F5"/>
    <w:multiLevelType w:val="multilevel"/>
    <w:tmpl w:val="F4B5D9F5"/>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20">
    <w:nsid w:val="F7735DC9"/>
    <w:multiLevelType w:val="multilevel"/>
    <w:tmpl w:val="F7735DC9"/>
    <w:lvl w:ilvl="0" w:tentative="0">
      <w:start w:val="1"/>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21">
    <w:nsid w:val="F82873F4"/>
    <w:multiLevelType w:val="singleLevel"/>
    <w:tmpl w:val="F82873F4"/>
    <w:lvl w:ilvl="0" w:tentative="0">
      <w:start w:val="1"/>
      <w:numFmt w:val="decimal"/>
      <w:suff w:val="nothing"/>
      <w:lvlText w:val="%1、"/>
      <w:lvlJc w:val="left"/>
    </w:lvl>
  </w:abstractNum>
  <w:abstractNum w:abstractNumId="22">
    <w:nsid w:val="0053208E"/>
    <w:multiLevelType w:val="multilevel"/>
    <w:tmpl w:val="0053208E"/>
    <w:lvl w:ilvl="0" w:tentative="0">
      <w:start w:val="1"/>
      <w:numFmt w:val="decimal"/>
      <w:lvlText w:val="%1."/>
      <w:lvlJc w:val="left"/>
      <w:pPr>
        <w:ind w:left="847" w:hanging="212"/>
      </w:pPr>
      <w:rPr>
        <w:rFonts w:hint="default"/>
        <w:spacing w:val="1"/>
        <w:w w:val="99"/>
        <w:lang w:val="zh-CN" w:eastAsia="zh-CN" w:bidi="zh-CN"/>
      </w:rPr>
    </w:lvl>
    <w:lvl w:ilvl="1" w:tentative="0">
      <w:start w:val="1"/>
      <w:numFmt w:val="decimal"/>
      <w:lvlText w:val="%1.%2"/>
      <w:lvlJc w:val="left"/>
      <w:pPr>
        <w:ind w:left="952" w:hanging="31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1916" w:hanging="317"/>
      </w:pPr>
      <w:rPr>
        <w:rFonts w:hint="default"/>
        <w:lang w:val="zh-CN" w:eastAsia="zh-CN" w:bidi="zh-CN"/>
      </w:rPr>
    </w:lvl>
    <w:lvl w:ilvl="3" w:tentative="0">
      <w:start w:val="0"/>
      <w:numFmt w:val="bullet"/>
      <w:lvlText w:val="•"/>
      <w:lvlJc w:val="left"/>
      <w:pPr>
        <w:ind w:left="2872" w:hanging="317"/>
      </w:pPr>
      <w:rPr>
        <w:rFonts w:hint="default"/>
        <w:lang w:val="zh-CN" w:eastAsia="zh-CN" w:bidi="zh-CN"/>
      </w:rPr>
    </w:lvl>
    <w:lvl w:ilvl="4" w:tentative="0">
      <w:start w:val="0"/>
      <w:numFmt w:val="bullet"/>
      <w:lvlText w:val="•"/>
      <w:lvlJc w:val="left"/>
      <w:pPr>
        <w:ind w:left="3828" w:hanging="317"/>
      </w:pPr>
      <w:rPr>
        <w:rFonts w:hint="default"/>
        <w:lang w:val="zh-CN" w:eastAsia="zh-CN" w:bidi="zh-CN"/>
      </w:rPr>
    </w:lvl>
    <w:lvl w:ilvl="5" w:tentative="0">
      <w:start w:val="0"/>
      <w:numFmt w:val="bullet"/>
      <w:lvlText w:val="•"/>
      <w:lvlJc w:val="left"/>
      <w:pPr>
        <w:ind w:left="4784" w:hanging="317"/>
      </w:pPr>
      <w:rPr>
        <w:rFonts w:hint="default"/>
        <w:lang w:val="zh-CN" w:eastAsia="zh-CN" w:bidi="zh-CN"/>
      </w:rPr>
    </w:lvl>
    <w:lvl w:ilvl="6" w:tentative="0">
      <w:start w:val="0"/>
      <w:numFmt w:val="bullet"/>
      <w:lvlText w:val="•"/>
      <w:lvlJc w:val="left"/>
      <w:pPr>
        <w:ind w:left="5741" w:hanging="317"/>
      </w:pPr>
      <w:rPr>
        <w:rFonts w:hint="default"/>
        <w:lang w:val="zh-CN" w:eastAsia="zh-CN" w:bidi="zh-CN"/>
      </w:rPr>
    </w:lvl>
    <w:lvl w:ilvl="7" w:tentative="0">
      <w:start w:val="0"/>
      <w:numFmt w:val="bullet"/>
      <w:lvlText w:val="•"/>
      <w:lvlJc w:val="left"/>
      <w:pPr>
        <w:ind w:left="6697" w:hanging="317"/>
      </w:pPr>
      <w:rPr>
        <w:rFonts w:hint="default"/>
        <w:lang w:val="zh-CN" w:eastAsia="zh-CN" w:bidi="zh-CN"/>
      </w:rPr>
    </w:lvl>
    <w:lvl w:ilvl="8" w:tentative="0">
      <w:start w:val="0"/>
      <w:numFmt w:val="bullet"/>
      <w:lvlText w:val="•"/>
      <w:lvlJc w:val="left"/>
      <w:pPr>
        <w:ind w:left="7653" w:hanging="317"/>
      </w:pPr>
      <w:rPr>
        <w:rFonts w:hint="default"/>
        <w:lang w:val="zh-CN" w:eastAsia="zh-CN" w:bidi="zh-CN"/>
      </w:rPr>
    </w:lvl>
  </w:abstractNum>
  <w:abstractNum w:abstractNumId="23">
    <w:nsid w:val="0248C179"/>
    <w:multiLevelType w:val="multilevel"/>
    <w:tmpl w:val="0248C179"/>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24">
    <w:nsid w:val="03D62ECE"/>
    <w:multiLevelType w:val="multilevel"/>
    <w:tmpl w:val="03D62ECE"/>
    <w:lvl w:ilvl="0" w:tentative="0">
      <w:start w:val="32"/>
      <w:numFmt w:val="decimal"/>
      <w:lvlText w:val="%1"/>
      <w:lvlJc w:val="left"/>
      <w:pPr>
        <w:ind w:left="106" w:hanging="526"/>
      </w:pPr>
      <w:rPr>
        <w:rFonts w:hint="default"/>
        <w:lang w:val="zh-CN" w:eastAsia="zh-CN" w:bidi="zh-CN"/>
      </w:rPr>
    </w:lvl>
    <w:lvl w:ilvl="1" w:tentative="0">
      <w:start w:val="1"/>
      <w:numFmt w:val="decimal"/>
      <w:lvlText w:val="%1.%2"/>
      <w:lvlJc w:val="left"/>
      <w:pPr>
        <w:ind w:left="106"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93" w:hanging="526"/>
      </w:pPr>
      <w:rPr>
        <w:rFonts w:hint="default"/>
        <w:lang w:val="zh-CN" w:eastAsia="zh-CN" w:bidi="zh-CN"/>
      </w:rPr>
    </w:lvl>
    <w:lvl w:ilvl="3" w:tentative="0">
      <w:start w:val="0"/>
      <w:numFmt w:val="bullet"/>
      <w:lvlText w:val="•"/>
      <w:lvlJc w:val="left"/>
      <w:pPr>
        <w:ind w:left="1739" w:hanging="526"/>
      </w:pPr>
      <w:rPr>
        <w:rFonts w:hint="default"/>
        <w:lang w:val="zh-CN" w:eastAsia="zh-CN" w:bidi="zh-CN"/>
      </w:rPr>
    </w:lvl>
    <w:lvl w:ilvl="4" w:tentative="0">
      <w:start w:val="0"/>
      <w:numFmt w:val="bullet"/>
      <w:lvlText w:val="•"/>
      <w:lvlJc w:val="left"/>
      <w:pPr>
        <w:ind w:left="2286" w:hanging="526"/>
      </w:pPr>
      <w:rPr>
        <w:rFonts w:hint="default"/>
        <w:lang w:val="zh-CN" w:eastAsia="zh-CN" w:bidi="zh-CN"/>
      </w:rPr>
    </w:lvl>
    <w:lvl w:ilvl="5" w:tentative="0">
      <w:start w:val="0"/>
      <w:numFmt w:val="bullet"/>
      <w:lvlText w:val="•"/>
      <w:lvlJc w:val="left"/>
      <w:pPr>
        <w:ind w:left="2832" w:hanging="526"/>
      </w:pPr>
      <w:rPr>
        <w:rFonts w:hint="default"/>
        <w:lang w:val="zh-CN" w:eastAsia="zh-CN" w:bidi="zh-CN"/>
      </w:rPr>
    </w:lvl>
    <w:lvl w:ilvl="6" w:tentative="0">
      <w:start w:val="0"/>
      <w:numFmt w:val="bullet"/>
      <w:lvlText w:val="•"/>
      <w:lvlJc w:val="left"/>
      <w:pPr>
        <w:ind w:left="3379" w:hanging="526"/>
      </w:pPr>
      <w:rPr>
        <w:rFonts w:hint="default"/>
        <w:lang w:val="zh-CN" w:eastAsia="zh-CN" w:bidi="zh-CN"/>
      </w:rPr>
    </w:lvl>
    <w:lvl w:ilvl="7" w:tentative="0">
      <w:start w:val="0"/>
      <w:numFmt w:val="bullet"/>
      <w:lvlText w:val="•"/>
      <w:lvlJc w:val="left"/>
      <w:pPr>
        <w:ind w:left="3925" w:hanging="526"/>
      </w:pPr>
      <w:rPr>
        <w:rFonts w:hint="default"/>
        <w:lang w:val="zh-CN" w:eastAsia="zh-CN" w:bidi="zh-CN"/>
      </w:rPr>
    </w:lvl>
    <w:lvl w:ilvl="8" w:tentative="0">
      <w:start w:val="0"/>
      <w:numFmt w:val="bullet"/>
      <w:lvlText w:val="•"/>
      <w:lvlJc w:val="left"/>
      <w:pPr>
        <w:ind w:left="4472" w:hanging="526"/>
      </w:pPr>
      <w:rPr>
        <w:rFonts w:hint="default"/>
        <w:lang w:val="zh-CN" w:eastAsia="zh-CN" w:bidi="zh-CN"/>
      </w:rPr>
    </w:lvl>
  </w:abstractNum>
  <w:abstractNum w:abstractNumId="25">
    <w:nsid w:val="0709FD3E"/>
    <w:multiLevelType w:val="multilevel"/>
    <w:tmpl w:val="0709FD3E"/>
    <w:lvl w:ilvl="0" w:tentative="0">
      <w:start w:val="3"/>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3"/>
      <w:numFmt w:val="decimal"/>
      <w:lvlText w:val="%2."/>
      <w:lvlJc w:val="left"/>
      <w:pPr>
        <w:ind w:left="747" w:hanging="212"/>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709" w:hanging="212"/>
      </w:pPr>
      <w:rPr>
        <w:rFonts w:hint="default"/>
        <w:lang w:val="zh-CN" w:eastAsia="zh-CN" w:bidi="zh-CN"/>
      </w:rPr>
    </w:lvl>
    <w:lvl w:ilvl="3" w:tentative="0">
      <w:start w:val="0"/>
      <w:numFmt w:val="bullet"/>
      <w:lvlText w:val="•"/>
      <w:lvlJc w:val="left"/>
      <w:pPr>
        <w:ind w:left="2679" w:hanging="212"/>
      </w:pPr>
      <w:rPr>
        <w:rFonts w:hint="default"/>
        <w:lang w:val="zh-CN" w:eastAsia="zh-CN" w:bidi="zh-CN"/>
      </w:rPr>
    </w:lvl>
    <w:lvl w:ilvl="4" w:tentative="0">
      <w:start w:val="0"/>
      <w:numFmt w:val="bullet"/>
      <w:lvlText w:val="•"/>
      <w:lvlJc w:val="left"/>
      <w:pPr>
        <w:ind w:left="3648" w:hanging="212"/>
      </w:pPr>
      <w:rPr>
        <w:rFonts w:hint="default"/>
        <w:lang w:val="zh-CN" w:eastAsia="zh-CN" w:bidi="zh-CN"/>
      </w:rPr>
    </w:lvl>
    <w:lvl w:ilvl="5" w:tentative="0">
      <w:start w:val="0"/>
      <w:numFmt w:val="bullet"/>
      <w:lvlText w:val="•"/>
      <w:lvlJc w:val="left"/>
      <w:pPr>
        <w:ind w:left="4618" w:hanging="212"/>
      </w:pPr>
      <w:rPr>
        <w:rFonts w:hint="default"/>
        <w:lang w:val="zh-CN" w:eastAsia="zh-CN" w:bidi="zh-CN"/>
      </w:rPr>
    </w:lvl>
    <w:lvl w:ilvl="6" w:tentative="0">
      <w:start w:val="0"/>
      <w:numFmt w:val="bullet"/>
      <w:lvlText w:val="•"/>
      <w:lvlJc w:val="left"/>
      <w:pPr>
        <w:ind w:left="5587" w:hanging="212"/>
      </w:pPr>
      <w:rPr>
        <w:rFonts w:hint="default"/>
        <w:lang w:val="zh-CN" w:eastAsia="zh-CN" w:bidi="zh-CN"/>
      </w:rPr>
    </w:lvl>
    <w:lvl w:ilvl="7" w:tentative="0">
      <w:start w:val="0"/>
      <w:numFmt w:val="bullet"/>
      <w:lvlText w:val="•"/>
      <w:lvlJc w:val="left"/>
      <w:pPr>
        <w:ind w:left="6557" w:hanging="212"/>
      </w:pPr>
      <w:rPr>
        <w:rFonts w:hint="default"/>
        <w:lang w:val="zh-CN" w:eastAsia="zh-CN" w:bidi="zh-CN"/>
      </w:rPr>
    </w:lvl>
    <w:lvl w:ilvl="8" w:tentative="0">
      <w:start w:val="0"/>
      <w:numFmt w:val="bullet"/>
      <w:lvlText w:val="•"/>
      <w:lvlJc w:val="left"/>
      <w:pPr>
        <w:ind w:left="7526" w:hanging="212"/>
      </w:pPr>
      <w:rPr>
        <w:rFonts w:hint="default"/>
        <w:lang w:val="zh-CN" w:eastAsia="zh-CN" w:bidi="zh-CN"/>
      </w:rPr>
    </w:lvl>
  </w:abstractNum>
  <w:abstractNum w:abstractNumId="26">
    <w:nsid w:val="0CEF100B"/>
    <w:multiLevelType w:val="multilevel"/>
    <w:tmpl w:val="0CEF100B"/>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27">
    <w:nsid w:val="0DEBAFDE"/>
    <w:multiLevelType w:val="singleLevel"/>
    <w:tmpl w:val="0DEBAFDE"/>
    <w:lvl w:ilvl="0" w:tentative="0">
      <w:start w:val="2"/>
      <w:numFmt w:val="decimal"/>
      <w:suff w:val="nothing"/>
      <w:lvlText w:val="%1、"/>
      <w:lvlJc w:val="left"/>
    </w:lvl>
  </w:abstractNum>
  <w:abstractNum w:abstractNumId="28">
    <w:nsid w:val="243FCF68"/>
    <w:multiLevelType w:val="multilevel"/>
    <w:tmpl w:val="243FCF68"/>
    <w:lvl w:ilvl="0" w:tentative="0">
      <w:start w:val="1"/>
      <w:numFmt w:val="decimal"/>
      <w:lvlText w:val="%1."/>
      <w:lvlJc w:val="left"/>
      <w:pPr>
        <w:ind w:left="84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12" w:hanging="212"/>
      </w:pPr>
      <w:rPr>
        <w:rFonts w:hint="default"/>
        <w:lang w:val="zh-CN" w:eastAsia="zh-CN" w:bidi="zh-CN"/>
      </w:rPr>
    </w:lvl>
    <w:lvl w:ilvl="2" w:tentative="0">
      <w:start w:val="0"/>
      <w:numFmt w:val="bullet"/>
      <w:lvlText w:val="•"/>
      <w:lvlJc w:val="left"/>
      <w:pPr>
        <w:ind w:left="2585" w:hanging="212"/>
      </w:pPr>
      <w:rPr>
        <w:rFonts w:hint="default"/>
        <w:lang w:val="zh-CN" w:eastAsia="zh-CN" w:bidi="zh-CN"/>
      </w:rPr>
    </w:lvl>
    <w:lvl w:ilvl="3" w:tentative="0">
      <w:start w:val="0"/>
      <w:numFmt w:val="bullet"/>
      <w:lvlText w:val="•"/>
      <w:lvlJc w:val="left"/>
      <w:pPr>
        <w:ind w:left="3457" w:hanging="212"/>
      </w:pPr>
      <w:rPr>
        <w:rFonts w:hint="default"/>
        <w:lang w:val="zh-CN" w:eastAsia="zh-CN" w:bidi="zh-CN"/>
      </w:rPr>
    </w:lvl>
    <w:lvl w:ilvl="4" w:tentative="0">
      <w:start w:val="0"/>
      <w:numFmt w:val="bullet"/>
      <w:lvlText w:val="•"/>
      <w:lvlJc w:val="left"/>
      <w:pPr>
        <w:ind w:left="4330" w:hanging="212"/>
      </w:pPr>
      <w:rPr>
        <w:rFonts w:hint="default"/>
        <w:lang w:val="zh-CN" w:eastAsia="zh-CN" w:bidi="zh-CN"/>
      </w:rPr>
    </w:lvl>
    <w:lvl w:ilvl="5" w:tentative="0">
      <w:start w:val="0"/>
      <w:numFmt w:val="bullet"/>
      <w:lvlText w:val="•"/>
      <w:lvlJc w:val="left"/>
      <w:pPr>
        <w:ind w:left="5203" w:hanging="212"/>
      </w:pPr>
      <w:rPr>
        <w:rFonts w:hint="default"/>
        <w:lang w:val="zh-CN" w:eastAsia="zh-CN" w:bidi="zh-CN"/>
      </w:rPr>
    </w:lvl>
    <w:lvl w:ilvl="6" w:tentative="0">
      <w:start w:val="0"/>
      <w:numFmt w:val="bullet"/>
      <w:lvlText w:val="•"/>
      <w:lvlJc w:val="left"/>
      <w:pPr>
        <w:ind w:left="6075" w:hanging="212"/>
      </w:pPr>
      <w:rPr>
        <w:rFonts w:hint="default"/>
        <w:lang w:val="zh-CN" w:eastAsia="zh-CN" w:bidi="zh-CN"/>
      </w:rPr>
    </w:lvl>
    <w:lvl w:ilvl="7" w:tentative="0">
      <w:start w:val="0"/>
      <w:numFmt w:val="bullet"/>
      <w:lvlText w:val="•"/>
      <w:lvlJc w:val="left"/>
      <w:pPr>
        <w:ind w:left="6948" w:hanging="212"/>
      </w:pPr>
      <w:rPr>
        <w:rFonts w:hint="default"/>
        <w:lang w:val="zh-CN" w:eastAsia="zh-CN" w:bidi="zh-CN"/>
      </w:rPr>
    </w:lvl>
    <w:lvl w:ilvl="8" w:tentative="0">
      <w:start w:val="0"/>
      <w:numFmt w:val="bullet"/>
      <w:lvlText w:val="•"/>
      <w:lvlJc w:val="left"/>
      <w:pPr>
        <w:ind w:left="7820" w:hanging="212"/>
      </w:pPr>
      <w:rPr>
        <w:rFonts w:hint="default"/>
        <w:lang w:val="zh-CN" w:eastAsia="zh-CN" w:bidi="zh-CN"/>
      </w:rPr>
    </w:lvl>
  </w:abstractNum>
  <w:abstractNum w:abstractNumId="29">
    <w:nsid w:val="2470EC97"/>
    <w:multiLevelType w:val="multilevel"/>
    <w:tmpl w:val="2470EC97"/>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30">
    <w:nsid w:val="25B654F3"/>
    <w:multiLevelType w:val="multilevel"/>
    <w:tmpl w:val="25B654F3"/>
    <w:lvl w:ilvl="0" w:tentative="0">
      <w:start w:val="1"/>
      <w:numFmt w:val="decimal"/>
      <w:lvlText w:val="%1."/>
      <w:lvlJc w:val="left"/>
      <w:pPr>
        <w:ind w:left="628"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969" w:hanging="317"/>
      </w:pPr>
      <w:rPr>
        <w:rFonts w:hint="default" w:ascii="宋体" w:hAnsi="宋体" w:eastAsia="宋体" w:cs="宋体"/>
        <w:spacing w:val="-2"/>
        <w:w w:val="99"/>
        <w:sz w:val="19"/>
        <w:szCs w:val="19"/>
        <w:lang w:val="zh-CN" w:eastAsia="zh-CN" w:bidi="zh-CN"/>
      </w:rPr>
    </w:lvl>
    <w:lvl w:ilvl="2" w:tentative="0">
      <w:start w:val="1"/>
      <w:numFmt w:val="decimal"/>
      <w:lvlText w:val="%1.%2.%3"/>
      <w:lvlJc w:val="left"/>
      <w:pPr>
        <w:ind w:left="1228" w:hanging="576"/>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020" w:hanging="576"/>
      </w:pPr>
      <w:rPr>
        <w:rFonts w:hint="default"/>
        <w:lang w:val="zh-CN" w:eastAsia="zh-CN" w:bidi="zh-CN"/>
      </w:rPr>
    </w:lvl>
    <w:lvl w:ilvl="4" w:tentative="0">
      <w:start w:val="0"/>
      <w:numFmt w:val="bullet"/>
      <w:lvlText w:val="•"/>
      <w:lvlJc w:val="left"/>
      <w:pPr>
        <w:ind w:left="1100" w:hanging="576"/>
      </w:pPr>
      <w:rPr>
        <w:rFonts w:hint="default"/>
        <w:lang w:val="zh-CN" w:eastAsia="zh-CN" w:bidi="zh-CN"/>
      </w:rPr>
    </w:lvl>
    <w:lvl w:ilvl="5" w:tentative="0">
      <w:start w:val="0"/>
      <w:numFmt w:val="bullet"/>
      <w:lvlText w:val="•"/>
      <w:lvlJc w:val="left"/>
      <w:pPr>
        <w:ind w:left="1120" w:hanging="576"/>
      </w:pPr>
      <w:rPr>
        <w:rFonts w:hint="default"/>
        <w:lang w:val="zh-CN" w:eastAsia="zh-CN" w:bidi="zh-CN"/>
      </w:rPr>
    </w:lvl>
    <w:lvl w:ilvl="6" w:tentative="0">
      <w:start w:val="0"/>
      <w:numFmt w:val="bullet"/>
      <w:lvlText w:val="•"/>
      <w:lvlJc w:val="left"/>
      <w:pPr>
        <w:ind w:left="1220" w:hanging="576"/>
      </w:pPr>
      <w:rPr>
        <w:rFonts w:hint="default"/>
        <w:lang w:val="zh-CN" w:eastAsia="zh-CN" w:bidi="zh-CN"/>
      </w:rPr>
    </w:lvl>
    <w:lvl w:ilvl="7" w:tentative="0">
      <w:start w:val="0"/>
      <w:numFmt w:val="bullet"/>
      <w:lvlText w:val="•"/>
      <w:lvlJc w:val="left"/>
      <w:pPr>
        <w:ind w:left="1320" w:hanging="576"/>
      </w:pPr>
      <w:rPr>
        <w:rFonts w:hint="default"/>
        <w:lang w:val="zh-CN" w:eastAsia="zh-CN" w:bidi="zh-CN"/>
      </w:rPr>
    </w:lvl>
    <w:lvl w:ilvl="8" w:tentative="0">
      <w:start w:val="0"/>
      <w:numFmt w:val="bullet"/>
      <w:lvlText w:val="•"/>
      <w:lvlJc w:val="left"/>
      <w:pPr>
        <w:ind w:left="4068" w:hanging="576"/>
      </w:pPr>
      <w:rPr>
        <w:rFonts w:hint="default"/>
        <w:lang w:val="zh-CN" w:eastAsia="zh-CN" w:bidi="zh-CN"/>
      </w:rPr>
    </w:lvl>
  </w:abstractNum>
  <w:abstractNum w:abstractNumId="31">
    <w:nsid w:val="2A8F537B"/>
    <w:multiLevelType w:val="multilevel"/>
    <w:tmpl w:val="2A8F537B"/>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32">
    <w:nsid w:val="30FC5B15"/>
    <w:multiLevelType w:val="multilevel"/>
    <w:tmpl w:val="30FC5B15"/>
    <w:lvl w:ilvl="0" w:tentative="0">
      <w:start w:val="1"/>
      <w:numFmt w:val="decimal"/>
      <w:lvlText w:val="%1."/>
      <w:lvlJc w:val="left"/>
      <w:pPr>
        <w:ind w:left="84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12" w:hanging="212"/>
      </w:pPr>
      <w:rPr>
        <w:rFonts w:hint="default"/>
        <w:lang w:val="zh-CN" w:eastAsia="zh-CN" w:bidi="zh-CN"/>
      </w:rPr>
    </w:lvl>
    <w:lvl w:ilvl="2" w:tentative="0">
      <w:start w:val="0"/>
      <w:numFmt w:val="bullet"/>
      <w:lvlText w:val="•"/>
      <w:lvlJc w:val="left"/>
      <w:pPr>
        <w:ind w:left="2585" w:hanging="212"/>
      </w:pPr>
      <w:rPr>
        <w:rFonts w:hint="default"/>
        <w:lang w:val="zh-CN" w:eastAsia="zh-CN" w:bidi="zh-CN"/>
      </w:rPr>
    </w:lvl>
    <w:lvl w:ilvl="3" w:tentative="0">
      <w:start w:val="0"/>
      <w:numFmt w:val="bullet"/>
      <w:lvlText w:val="•"/>
      <w:lvlJc w:val="left"/>
      <w:pPr>
        <w:ind w:left="3457" w:hanging="212"/>
      </w:pPr>
      <w:rPr>
        <w:rFonts w:hint="default"/>
        <w:lang w:val="zh-CN" w:eastAsia="zh-CN" w:bidi="zh-CN"/>
      </w:rPr>
    </w:lvl>
    <w:lvl w:ilvl="4" w:tentative="0">
      <w:start w:val="0"/>
      <w:numFmt w:val="bullet"/>
      <w:lvlText w:val="•"/>
      <w:lvlJc w:val="left"/>
      <w:pPr>
        <w:ind w:left="4330" w:hanging="212"/>
      </w:pPr>
      <w:rPr>
        <w:rFonts w:hint="default"/>
        <w:lang w:val="zh-CN" w:eastAsia="zh-CN" w:bidi="zh-CN"/>
      </w:rPr>
    </w:lvl>
    <w:lvl w:ilvl="5" w:tentative="0">
      <w:start w:val="0"/>
      <w:numFmt w:val="bullet"/>
      <w:lvlText w:val="•"/>
      <w:lvlJc w:val="left"/>
      <w:pPr>
        <w:ind w:left="5203" w:hanging="212"/>
      </w:pPr>
      <w:rPr>
        <w:rFonts w:hint="default"/>
        <w:lang w:val="zh-CN" w:eastAsia="zh-CN" w:bidi="zh-CN"/>
      </w:rPr>
    </w:lvl>
    <w:lvl w:ilvl="6" w:tentative="0">
      <w:start w:val="0"/>
      <w:numFmt w:val="bullet"/>
      <w:lvlText w:val="•"/>
      <w:lvlJc w:val="left"/>
      <w:pPr>
        <w:ind w:left="6075" w:hanging="212"/>
      </w:pPr>
      <w:rPr>
        <w:rFonts w:hint="default"/>
        <w:lang w:val="zh-CN" w:eastAsia="zh-CN" w:bidi="zh-CN"/>
      </w:rPr>
    </w:lvl>
    <w:lvl w:ilvl="7" w:tentative="0">
      <w:start w:val="0"/>
      <w:numFmt w:val="bullet"/>
      <w:lvlText w:val="•"/>
      <w:lvlJc w:val="left"/>
      <w:pPr>
        <w:ind w:left="6948" w:hanging="212"/>
      </w:pPr>
      <w:rPr>
        <w:rFonts w:hint="default"/>
        <w:lang w:val="zh-CN" w:eastAsia="zh-CN" w:bidi="zh-CN"/>
      </w:rPr>
    </w:lvl>
    <w:lvl w:ilvl="8" w:tentative="0">
      <w:start w:val="0"/>
      <w:numFmt w:val="bullet"/>
      <w:lvlText w:val="•"/>
      <w:lvlJc w:val="left"/>
      <w:pPr>
        <w:ind w:left="7820" w:hanging="212"/>
      </w:pPr>
      <w:rPr>
        <w:rFonts w:hint="default"/>
        <w:lang w:val="zh-CN" w:eastAsia="zh-CN" w:bidi="zh-CN"/>
      </w:rPr>
    </w:lvl>
  </w:abstractNum>
  <w:abstractNum w:abstractNumId="33">
    <w:nsid w:val="322D85CA"/>
    <w:multiLevelType w:val="multilevel"/>
    <w:tmpl w:val="322D85CA"/>
    <w:lvl w:ilvl="0" w:tentative="0">
      <w:start w:val="2"/>
      <w:numFmt w:val="decimal"/>
      <w:lvlText w:val="%1."/>
      <w:lvlJc w:val="left"/>
      <w:pPr>
        <w:ind w:left="84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12" w:hanging="212"/>
      </w:pPr>
      <w:rPr>
        <w:rFonts w:hint="default"/>
        <w:lang w:val="zh-CN" w:eastAsia="zh-CN" w:bidi="zh-CN"/>
      </w:rPr>
    </w:lvl>
    <w:lvl w:ilvl="2" w:tentative="0">
      <w:start w:val="0"/>
      <w:numFmt w:val="bullet"/>
      <w:lvlText w:val="•"/>
      <w:lvlJc w:val="left"/>
      <w:pPr>
        <w:ind w:left="2585" w:hanging="212"/>
      </w:pPr>
      <w:rPr>
        <w:rFonts w:hint="default"/>
        <w:lang w:val="zh-CN" w:eastAsia="zh-CN" w:bidi="zh-CN"/>
      </w:rPr>
    </w:lvl>
    <w:lvl w:ilvl="3" w:tentative="0">
      <w:start w:val="0"/>
      <w:numFmt w:val="bullet"/>
      <w:lvlText w:val="•"/>
      <w:lvlJc w:val="left"/>
      <w:pPr>
        <w:ind w:left="3457" w:hanging="212"/>
      </w:pPr>
      <w:rPr>
        <w:rFonts w:hint="default"/>
        <w:lang w:val="zh-CN" w:eastAsia="zh-CN" w:bidi="zh-CN"/>
      </w:rPr>
    </w:lvl>
    <w:lvl w:ilvl="4" w:tentative="0">
      <w:start w:val="0"/>
      <w:numFmt w:val="bullet"/>
      <w:lvlText w:val="•"/>
      <w:lvlJc w:val="left"/>
      <w:pPr>
        <w:ind w:left="4330" w:hanging="212"/>
      </w:pPr>
      <w:rPr>
        <w:rFonts w:hint="default"/>
        <w:lang w:val="zh-CN" w:eastAsia="zh-CN" w:bidi="zh-CN"/>
      </w:rPr>
    </w:lvl>
    <w:lvl w:ilvl="5" w:tentative="0">
      <w:start w:val="0"/>
      <w:numFmt w:val="bullet"/>
      <w:lvlText w:val="•"/>
      <w:lvlJc w:val="left"/>
      <w:pPr>
        <w:ind w:left="5203" w:hanging="212"/>
      </w:pPr>
      <w:rPr>
        <w:rFonts w:hint="default"/>
        <w:lang w:val="zh-CN" w:eastAsia="zh-CN" w:bidi="zh-CN"/>
      </w:rPr>
    </w:lvl>
    <w:lvl w:ilvl="6" w:tentative="0">
      <w:start w:val="0"/>
      <w:numFmt w:val="bullet"/>
      <w:lvlText w:val="•"/>
      <w:lvlJc w:val="left"/>
      <w:pPr>
        <w:ind w:left="6075" w:hanging="212"/>
      </w:pPr>
      <w:rPr>
        <w:rFonts w:hint="default"/>
        <w:lang w:val="zh-CN" w:eastAsia="zh-CN" w:bidi="zh-CN"/>
      </w:rPr>
    </w:lvl>
    <w:lvl w:ilvl="7" w:tentative="0">
      <w:start w:val="0"/>
      <w:numFmt w:val="bullet"/>
      <w:lvlText w:val="•"/>
      <w:lvlJc w:val="left"/>
      <w:pPr>
        <w:ind w:left="6948" w:hanging="212"/>
      </w:pPr>
      <w:rPr>
        <w:rFonts w:hint="default"/>
        <w:lang w:val="zh-CN" w:eastAsia="zh-CN" w:bidi="zh-CN"/>
      </w:rPr>
    </w:lvl>
    <w:lvl w:ilvl="8" w:tentative="0">
      <w:start w:val="0"/>
      <w:numFmt w:val="bullet"/>
      <w:lvlText w:val="•"/>
      <w:lvlJc w:val="left"/>
      <w:pPr>
        <w:ind w:left="7820" w:hanging="212"/>
      </w:pPr>
      <w:rPr>
        <w:rFonts w:hint="default"/>
        <w:lang w:val="zh-CN" w:eastAsia="zh-CN" w:bidi="zh-CN"/>
      </w:rPr>
    </w:lvl>
  </w:abstractNum>
  <w:abstractNum w:abstractNumId="34">
    <w:nsid w:val="3876E8EA"/>
    <w:multiLevelType w:val="singleLevel"/>
    <w:tmpl w:val="3876E8EA"/>
    <w:lvl w:ilvl="0" w:tentative="0">
      <w:start w:val="8"/>
      <w:numFmt w:val="decimal"/>
      <w:suff w:val="nothing"/>
      <w:lvlText w:val="%1、"/>
      <w:lvlJc w:val="left"/>
    </w:lvl>
  </w:abstractNum>
  <w:abstractNum w:abstractNumId="35">
    <w:nsid w:val="4C1BAE26"/>
    <w:multiLevelType w:val="multilevel"/>
    <w:tmpl w:val="4C1BAE26"/>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36">
    <w:nsid w:val="4C3D7A74"/>
    <w:multiLevelType w:val="multilevel"/>
    <w:tmpl w:val="4C3D7A74"/>
    <w:lvl w:ilvl="0" w:tentative="0">
      <w:start w:val="1"/>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37">
    <w:nsid w:val="4D4DC07F"/>
    <w:multiLevelType w:val="multilevel"/>
    <w:tmpl w:val="4D4DC07F"/>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38">
    <w:nsid w:val="4D94DA66"/>
    <w:multiLevelType w:val="multilevel"/>
    <w:tmpl w:val="4D94DA66"/>
    <w:lvl w:ilvl="0" w:tentative="0">
      <w:start w:val="1"/>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39">
    <w:nsid w:val="59ADCABA"/>
    <w:multiLevelType w:val="multilevel"/>
    <w:tmpl w:val="59ADCABA"/>
    <w:lvl w:ilvl="0" w:tentative="0">
      <w:start w:val="1"/>
      <w:numFmt w:val="decimal"/>
      <w:lvlText w:val="%1."/>
      <w:lvlJc w:val="left"/>
      <w:pPr>
        <w:ind w:left="10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46" w:hanging="212"/>
      </w:pPr>
      <w:rPr>
        <w:rFonts w:hint="default"/>
        <w:lang w:val="zh-CN" w:eastAsia="zh-CN" w:bidi="zh-CN"/>
      </w:rPr>
    </w:lvl>
    <w:lvl w:ilvl="2" w:tentative="0">
      <w:start w:val="0"/>
      <w:numFmt w:val="bullet"/>
      <w:lvlText w:val="•"/>
      <w:lvlJc w:val="left"/>
      <w:pPr>
        <w:ind w:left="1193" w:hanging="212"/>
      </w:pPr>
      <w:rPr>
        <w:rFonts w:hint="default"/>
        <w:lang w:val="zh-CN" w:eastAsia="zh-CN" w:bidi="zh-CN"/>
      </w:rPr>
    </w:lvl>
    <w:lvl w:ilvl="3" w:tentative="0">
      <w:start w:val="0"/>
      <w:numFmt w:val="bullet"/>
      <w:lvlText w:val="•"/>
      <w:lvlJc w:val="left"/>
      <w:pPr>
        <w:ind w:left="1739" w:hanging="212"/>
      </w:pPr>
      <w:rPr>
        <w:rFonts w:hint="default"/>
        <w:lang w:val="zh-CN" w:eastAsia="zh-CN" w:bidi="zh-CN"/>
      </w:rPr>
    </w:lvl>
    <w:lvl w:ilvl="4" w:tentative="0">
      <w:start w:val="0"/>
      <w:numFmt w:val="bullet"/>
      <w:lvlText w:val="•"/>
      <w:lvlJc w:val="left"/>
      <w:pPr>
        <w:ind w:left="2286" w:hanging="212"/>
      </w:pPr>
      <w:rPr>
        <w:rFonts w:hint="default"/>
        <w:lang w:val="zh-CN" w:eastAsia="zh-CN" w:bidi="zh-CN"/>
      </w:rPr>
    </w:lvl>
    <w:lvl w:ilvl="5" w:tentative="0">
      <w:start w:val="0"/>
      <w:numFmt w:val="bullet"/>
      <w:lvlText w:val="•"/>
      <w:lvlJc w:val="left"/>
      <w:pPr>
        <w:ind w:left="2832" w:hanging="212"/>
      </w:pPr>
      <w:rPr>
        <w:rFonts w:hint="default"/>
        <w:lang w:val="zh-CN" w:eastAsia="zh-CN" w:bidi="zh-CN"/>
      </w:rPr>
    </w:lvl>
    <w:lvl w:ilvl="6" w:tentative="0">
      <w:start w:val="0"/>
      <w:numFmt w:val="bullet"/>
      <w:lvlText w:val="•"/>
      <w:lvlJc w:val="left"/>
      <w:pPr>
        <w:ind w:left="3379" w:hanging="212"/>
      </w:pPr>
      <w:rPr>
        <w:rFonts w:hint="default"/>
        <w:lang w:val="zh-CN" w:eastAsia="zh-CN" w:bidi="zh-CN"/>
      </w:rPr>
    </w:lvl>
    <w:lvl w:ilvl="7" w:tentative="0">
      <w:start w:val="0"/>
      <w:numFmt w:val="bullet"/>
      <w:lvlText w:val="•"/>
      <w:lvlJc w:val="left"/>
      <w:pPr>
        <w:ind w:left="3925" w:hanging="212"/>
      </w:pPr>
      <w:rPr>
        <w:rFonts w:hint="default"/>
        <w:lang w:val="zh-CN" w:eastAsia="zh-CN" w:bidi="zh-CN"/>
      </w:rPr>
    </w:lvl>
    <w:lvl w:ilvl="8" w:tentative="0">
      <w:start w:val="0"/>
      <w:numFmt w:val="bullet"/>
      <w:lvlText w:val="•"/>
      <w:lvlJc w:val="left"/>
      <w:pPr>
        <w:ind w:left="4472" w:hanging="212"/>
      </w:pPr>
      <w:rPr>
        <w:rFonts w:hint="default"/>
        <w:lang w:val="zh-CN" w:eastAsia="zh-CN" w:bidi="zh-CN"/>
      </w:rPr>
    </w:lvl>
  </w:abstractNum>
  <w:abstractNum w:abstractNumId="40">
    <w:nsid w:val="5A241D34"/>
    <w:multiLevelType w:val="multilevel"/>
    <w:tmpl w:val="5A241D34"/>
    <w:lvl w:ilvl="0" w:tentative="0">
      <w:start w:val="1"/>
      <w:numFmt w:val="decimal"/>
      <w:lvlText w:val="（%1）"/>
      <w:lvlJc w:val="left"/>
      <w:pPr>
        <w:ind w:left="11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0" w:hanging="527"/>
      </w:pPr>
      <w:rPr>
        <w:rFonts w:hint="default"/>
        <w:lang w:val="zh-CN" w:eastAsia="zh-CN" w:bidi="zh-CN"/>
      </w:rPr>
    </w:lvl>
    <w:lvl w:ilvl="2" w:tentative="0">
      <w:start w:val="0"/>
      <w:numFmt w:val="bullet"/>
      <w:lvlText w:val="•"/>
      <w:lvlJc w:val="left"/>
      <w:pPr>
        <w:ind w:left="2841" w:hanging="527"/>
      </w:pPr>
      <w:rPr>
        <w:rFonts w:hint="default"/>
        <w:lang w:val="zh-CN" w:eastAsia="zh-CN" w:bidi="zh-CN"/>
      </w:rPr>
    </w:lvl>
    <w:lvl w:ilvl="3" w:tentative="0">
      <w:start w:val="0"/>
      <w:numFmt w:val="bullet"/>
      <w:lvlText w:val="•"/>
      <w:lvlJc w:val="left"/>
      <w:pPr>
        <w:ind w:left="3681" w:hanging="527"/>
      </w:pPr>
      <w:rPr>
        <w:rFonts w:hint="default"/>
        <w:lang w:val="zh-CN" w:eastAsia="zh-CN" w:bidi="zh-CN"/>
      </w:rPr>
    </w:lvl>
    <w:lvl w:ilvl="4" w:tentative="0">
      <w:start w:val="0"/>
      <w:numFmt w:val="bullet"/>
      <w:lvlText w:val="•"/>
      <w:lvlJc w:val="left"/>
      <w:pPr>
        <w:ind w:left="452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203" w:hanging="527"/>
      </w:pPr>
      <w:rPr>
        <w:rFonts w:hint="default"/>
        <w:lang w:val="zh-CN" w:eastAsia="zh-CN" w:bidi="zh-CN"/>
      </w:rPr>
    </w:lvl>
    <w:lvl w:ilvl="7" w:tentative="0">
      <w:start w:val="0"/>
      <w:numFmt w:val="bullet"/>
      <w:lvlText w:val="•"/>
      <w:lvlJc w:val="left"/>
      <w:pPr>
        <w:ind w:left="7044" w:hanging="527"/>
      </w:pPr>
      <w:rPr>
        <w:rFonts w:hint="default"/>
        <w:lang w:val="zh-CN" w:eastAsia="zh-CN" w:bidi="zh-CN"/>
      </w:rPr>
    </w:lvl>
    <w:lvl w:ilvl="8" w:tentative="0">
      <w:start w:val="0"/>
      <w:numFmt w:val="bullet"/>
      <w:lvlText w:val="•"/>
      <w:lvlJc w:val="left"/>
      <w:pPr>
        <w:ind w:left="7884" w:hanging="527"/>
      </w:pPr>
      <w:rPr>
        <w:rFonts w:hint="default"/>
        <w:lang w:val="zh-CN" w:eastAsia="zh-CN" w:bidi="zh-CN"/>
      </w:rPr>
    </w:lvl>
  </w:abstractNum>
  <w:abstractNum w:abstractNumId="41">
    <w:nsid w:val="5A293C58"/>
    <w:multiLevelType w:val="singleLevel"/>
    <w:tmpl w:val="5A293C58"/>
    <w:lvl w:ilvl="0" w:tentative="0">
      <w:start w:val="0"/>
      <w:numFmt w:val="decimal"/>
      <w:lvlText w:val=""/>
      <w:lvlJc w:val="left"/>
    </w:lvl>
  </w:abstractNum>
  <w:abstractNum w:abstractNumId="42">
    <w:nsid w:val="5DF37692"/>
    <w:multiLevelType w:val="multilevel"/>
    <w:tmpl w:val="5DF37692"/>
    <w:lvl w:ilvl="0" w:tentative="0">
      <w:start w:val="2"/>
      <w:numFmt w:val="decimal"/>
      <w:lvlText w:val="（%1）"/>
      <w:lvlJc w:val="left"/>
      <w:pPr>
        <w:ind w:left="720" w:hanging="72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E29AB5A"/>
    <w:multiLevelType w:val="multilevel"/>
    <w:tmpl w:val="5E29AB5A"/>
    <w:lvl w:ilvl="0" w:tentative="0">
      <w:start w:val="1"/>
      <w:numFmt w:val="decimal"/>
      <w:lvlText w:val="%1."/>
      <w:lvlJc w:val="left"/>
      <w:pPr>
        <w:ind w:left="216"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154" w:hanging="317"/>
      </w:pPr>
      <w:rPr>
        <w:rFonts w:hint="default"/>
        <w:lang w:val="zh-CN" w:eastAsia="zh-CN" w:bidi="zh-CN"/>
      </w:rPr>
    </w:lvl>
    <w:lvl w:ilvl="2" w:tentative="0">
      <w:start w:val="0"/>
      <w:numFmt w:val="bullet"/>
      <w:lvlText w:val="•"/>
      <w:lvlJc w:val="left"/>
      <w:pPr>
        <w:ind w:left="2089" w:hanging="317"/>
      </w:pPr>
      <w:rPr>
        <w:rFonts w:hint="default"/>
        <w:lang w:val="zh-CN" w:eastAsia="zh-CN" w:bidi="zh-CN"/>
      </w:rPr>
    </w:lvl>
    <w:lvl w:ilvl="3" w:tentative="0">
      <w:start w:val="0"/>
      <w:numFmt w:val="bullet"/>
      <w:lvlText w:val="•"/>
      <w:lvlJc w:val="left"/>
      <w:pPr>
        <w:ind w:left="3023" w:hanging="317"/>
      </w:pPr>
      <w:rPr>
        <w:rFonts w:hint="default"/>
        <w:lang w:val="zh-CN" w:eastAsia="zh-CN" w:bidi="zh-CN"/>
      </w:rPr>
    </w:lvl>
    <w:lvl w:ilvl="4" w:tentative="0">
      <w:start w:val="0"/>
      <w:numFmt w:val="bullet"/>
      <w:lvlText w:val="•"/>
      <w:lvlJc w:val="left"/>
      <w:pPr>
        <w:ind w:left="3958" w:hanging="317"/>
      </w:pPr>
      <w:rPr>
        <w:rFonts w:hint="default"/>
        <w:lang w:val="zh-CN" w:eastAsia="zh-CN" w:bidi="zh-CN"/>
      </w:rPr>
    </w:lvl>
    <w:lvl w:ilvl="5" w:tentative="0">
      <w:start w:val="0"/>
      <w:numFmt w:val="bullet"/>
      <w:lvlText w:val="•"/>
      <w:lvlJc w:val="left"/>
      <w:pPr>
        <w:ind w:left="4893" w:hanging="317"/>
      </w:pPr>
      <w:rPr>
        <w:rFonts w:hint="default"/>
        <w:lang w:val="zh-CN" w:eastAsia="zh-CN" w:bidi="zh-CN"/>
      </w:rPr>
    </w:lvl>
    <w:lvl w:ilvl="6" w:tentative="0">
      <w:start w:val="0"/>
      <w:numFmt w:val="bullet"/>
      <w:lvlText w:val="•"/>
      <w:lvlJc w:val="left"/>
      <w:pPr>
        <w:ind w:left="5827" w:hanging="317"/>
      </w:pPr>
      <w:rPr>
        <w:rFonts w:hint="default"/>
        <w:lang w:val="zh-CN" w:eastAsia="zh-CN" w:bidi="zh-CN"/>
      </w:rPr>
    </w:lvl>
    <w:lvl w:ilvl="7" w:tentative="0">
      <w:start w:val="0"/>
      <w:numFmt w:val="bullet"/>
      <w:lvlText w:val="•"/>
      <w:lvlJc w:val="left"/>
      <w:pPr>
        <w:ind w:left="6762" w:hanging="317"/>
      </w:pPr>
      <w:rPr>
        <w:rFonts w:hint="default"/>
        <w:lang w:val="zh-CN" w:eastAsia="zh-CN" w:bidi="zh-CN"/>
      </w:rPr>
    </w:lvl>
    <w:lvl w:ilvl="8" w:tentative="0">
      <w:start w:val="0"/>
      <w:numFmt w:val="bullet"/>
      <w:lvlText w:val="•"/>
      <w:lvlJc w:val="left"/>
      <w:pPr>
        <w:ind w:left="7696" w:hanging="317"/>
      </w:pPr>
      <w:rPr>
        <w:rFonts w:hint="default"/>
        <w:lang w:val="zh-CN" w:eastAsia="zh-CN" w:bidi="zh-CN"/>
      </w:rPr>
    </w:lvl>
  </w:abstractNum>
  <w:abstractNum w:abstractNumId="44">
    <w:nsid w:val="5FFFB1A7"/>
    <w:multiLevelType w:val="multilevel"/>
    <w:tmpl w:val="5FFFB1A7"/>
    <w:lvl w:ilvl="0" w:tentative="0">
      <w:start w:val="1"/>
      <w:numFmt w:val="decimal"/>
      <w:lvlText w:val="%1"/>
      <w:lvlJc w:val="left"/>
      <w:pPr>
        <w:ind w:left="216" w:hanging="212"/>
      </w:pPr>
      <w:rPr>
        <w:rFonts w:hint="default" w:ascii="宋体" w:hAnsi="宋体" w:eastAsia="宋体" w:cs="宋体"/>
        <w:w w:val="99"/>
        <w:sz w:val="21"/>
        <w:szCs w:val="21"/>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45">
    <w:nsid w:val="60382F6E"/>
    <w:multiLevelType w:val="multilevel"/>
    <w:tmpl w:val="60382F6E"/>
    <w:lvl w:ilvl="0" w:tentative="0">
      <w:start w:val="1"/>
      <w:numFmt w:val="decimal"/>
      <w:lvlText w:val="（%1）"/>
      <w:lvlJc w:val="left"/>
      <w:pPr>
        <w:ind w:left="1057"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10" w:hanging="525"/>
      </w:pPr>
      <w:rPr>
        <w:rFonts w:hint="default"/>
        <w:lang w:val="zh-CN" w:eastAsia="zh-CN" w:bidi="zh-CN"/>
      </w:rPr>
    </w:lvl>
    <w:lvl w:ilvl="2" w:tentative="0">
      <w:start w:val="0"/>
      <w:numFmt w:val="bullet"/>
      <w:lvlText w:val="•"/>
      <w:lvlJc w:val="left"/>
      <w:pPr>
        <w:ind w:left="2761" w:hanging="525"/>
      </w:pPr>
      <w:rPr>
        <w:rFonts w:hint="default"/>
        <w:lang w:val="zh-CN" w:eastAsia="zh-CN" w:bidi="zh-CN"/>
      </w:rPr>
    </w:lvl>
    <w:lvl w:ilvl="3" w:tentative="0">
      <w:start w:val="0"/>
      <w:numFmt w:val="bullet"/>
      <w:lvlText w:val="•"/>
      <w:lvlJc w:val="left"/>
      <w:pPr>
        <w:ind w:left="3611" w:hanging="525"/>
      </w:pPr>
      <w:rPr>
        <w:rFonts w:hint="default"/>
        <w:lang w:val="zh-CN" w:eastAsia="zh-CN" w:bidi="zh-CN"/>
      </w:rPr>
    </w:lvl>
    <w:lvl w:ilvl="4" w:tentative="0">
      <w:start w:val="0"/>
      <w:numFmt w:val="bullet"/>
      <w:lvlText w:val="•"/>
      <w:lvlJc w:val="left"/>
      <w:pPr>
        <w:ind w:left="4462" w:hanging="525"/>
      </w:pPr>
      <w:rPr>
        <w:rFonts w:hint="default"/>
        <w:lang w:val="zh-CN" w:eastAsia="zh-CN" w:bidi="zh-CN"/>
      </w:rPr>
    </w:lvl>
    <w:lvl w:ilvl="5" w:tentative="0">
      <w:start w:val="0"/>
      <w:numFmt w:val="bullet"/>
      <w:lvlText w:val="•"/>
      <w:lvlJc w:val="left"/>
      <w:pPr>
        <w:ind w:left="5313" w:hanging="525"/>
      </w:pPr>
      <w:rPr>
        <w:rFonts w:hint="default"/>
        <w:lang w:val="zh-CN" w:eastAsia="zh-CN" w:bidi="zh-CN"/>
      </w:rPr>
    </w:lvl>
    <w:lvl w:ilvl="6" w:tentative="0">
      <w:start w:val="0"/>
      <w:numFmt w:val="bullet"/>
      <w:lvlText w:val="•"/>
      <w:lvlJc w:val="left"/>
      <w:pPr>
        <w:ind w:left="6163" w:hanging="525"/>
      </w:pPr>
      <w:rPr>
        <w:rFonts w:hint="default"/>
        <w:lang w:val="zh-CN" w:eastAsia="zh-CN" w:bidi="zh-CN"/>
      </w:rPr>
    </w:lvl>
    <w:lvl w:ilvl="7" w:tentative="0">
      <w:start w:val="0"/>
      <w:numFmt w:val="bullet"/>
      <w:lvlText w:val="•"/>
      <w:lvlJc w:val="left"/>
      <w:pPr>
        <w:ind w:left="7014" w:hanging="525"/>
      </w:pPr>
      <w:rPr>
        <w:rFonts w:hint="default"/>
        <w:lang w:val="zh-CN" w:eastAsia="zh-CN" w:bidi="zh-CN"/>
      </w:rPr>
    </w:lvl>
    <w:lvl w:ilvl="8" w:tentative="0">
      <w:start w:val="0"/>
      <w:numFmt w:val="bullet"/>
      <w:lvlText w:val="•"/>
      <w:lvlJc w:val="left"/>
      <w:pPr>
        <w:ind w:left="7864" w:hanging="525"/>
      </w:pPr>
      <w:rPr>
        <w:rFonts w:hint="default"/>
        <w:lang w:val="zh-CN" w:eastAsia="zh-CN" w:bidi="zh-CN"/>
      </w:rPr>
    </w:lvl>
  </w:abstractNum>
  <w:abstractNum w:abstractNumId="46">
    <w:nsid w:val="615AD6F4"/>
    <w:multiLevelType w:val="singleLevel"/>
    <w:tmpl w:val="615AD6F4"/>
    <w:lvl w:ilvl="0" w:tentative="0">
      <w:start w:val="14"/>
      <w:numFmt w:val="chineseCounting"/>
      <w:suff w:val="nothing"/>
      <w:lvlText w:val="%1、"/>
      <w:lvlJc w:val="left"/>
      <w:rPr>
        <w:rFonts w:hint="eastAsia"/>
      </w:rPr>
    </w:lvl>
  </w:abstractNum>
  <w:abstractNum w:abstractNumId="47">
    <w:nsid w:val="65CD0074"/>
    <w:multiLevelType w:val="multilevel"/>
    <w:tmpl w:val="65CD0074"/>
    <w:lvl w:ilvl="0" w:tentative="0">
      <w:start w:val="3"/>
      <w:numFmt w:val="decimal"/>
      <w:lvlText w:val="%1."/>
      <w:lvlJc w:val="left"/>
      <w:pPr>
        <w:ind w:left="84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12" w:hanging="212"/>
      </w:pPr>
      <w:rPr>
        <w:rFonts w:hint="default"/>
        <w:lang w:val="zh-CN" w:eastAsia="zh-CN" w:bidi="zh-CN"/>
      </w:rPr>
    </w:lvl>
    <w:lvl w:ilvl="2" w:tentative="0">
      <w:start w:val="0"/>
      <w:numFmt w:val="bullet"/>
      <w:lvlText w:val="•"/>
      <w:lvlJc w:val="left"/>
      <w:pPr>
        <w:ind w:left="2585" w:hanging="212"/>
      </w:pPr>
      <w:rPr>
        <w:rFonts w:hint="default"/>
        <w:lang w:val="zh-CN" w:eastAsia="zh-CN" w:bidi="zh-CN"/>
      </w:rPr>
    </w:lvl>
    <w:lvl w:ilvl="3" w:tentative="0">
      <w:start w:val="0"/>
      <w:numFmt w:val="bullet"/>
      <w:lvlText w:val="•"/>
      <w:lvlJc w:val="left"/>
      <w:pPr>
        <w:ind w:left="3457" w:hanging="212"/>
      </w:pPr>
      <w:rPr>
        <w:rFonts w:hint="default"/>
        <w:lang w:val="zh-CN" w:eastAsia="zh-CN" w:bidi="zh-CN"/>
      </w:rPr>
    </w:lvl>
    <w:lvl w:ilvl="4" w:tentative="0">
      <w:start w:val="0"/>
      <w:numFmt w:val="bullet"/>
      <w:lvlText w:val="•"/>
      <w:lvlJc w:val="left"/>
      <w:pPr>
        <w:ind w:left="4330" w:hanging="212"/>
      </w:pPr>
      <w:rPr>
        <w:rFonts w:hint="default"/>
        <w:lang w:val="zh-CN" w:eastAsia="zh-CN" w:bidi="zh-CN"/>
      </w:rPr>
    </w:lvl>
    <w:lvl w:ilvl="5" w:tentative="0">
      <w:start w:val="0"/>
      <w:numFmt w:val="bullet"/>
      <w:lvlText w:val="•"/>
      <w:lvlJc w:val="left"/>
      <w:pPr>
        <w:ind w:left="5203" w:hanging="212"/>
      </w:pPr>
      <w:rPr>
        <w:rFonts w:hint="default"/>
        <w:lang w:val="zh-CN" w:eastAsia="zh-CN" w:bidi="zh-CN"/>
      </w:rPr>
    </w:lvl>
    <w:lvl w:ilvl="6" w:tentative="0">
      <w:start w:val="0"/>
      <w:numFmt w:val="bullet"/>
      <w:lvlText w:val="•"/>
      <w:lvlJc w:val="left"/>
      <w:pPr>
        <w:ind w:left="6075" w:hanging="212"/>
      </w:pPr>
      <w:rPr>
        <w:rFonts w:hint="default"/>
        <w:lang w:val="zh-CN" w:eastAsia="zh-CN" w:bidi="zh-CN"/>
      </w:rPr>
    </w:lvl>
    <w:lvl w:ilvl="7" w:tentative="0">
      <w:start w:val="0"/>
      <w:numFmt w:val="bullet"/>
      <w:lvlText w:val="•"/>
      <w:lvlJc w:val="left"/>
      <w:pPr>
        <w:ind w:left="6948" w:hanging="212"/>
      </w:pPr>
      <w:rPr>
        <w:rFonts w:hint="default"/>
        <w:lang w:val="zh-CN" w:eastAsia="zh-CN" w:bidi="zh-CN"/>
      </w:rPr>
    </w:lvl>
    <w:lvl w:ilvl="8" w:tentative="0">
      <w:start w:val="0"/>
      <w:numFmt w:val="bullet"/>
      <w:lvlText w:val="•"/>
      <w:lvlJc w:val="left"/>
      <w:pPr>
        <w:ind w:left="7820" w:hanging="212"/>
      </w:pPr>
      <w:rPr>
        <w:rFonts w:hint="default"/>
        <w:lang w:val="zh-CN" w:eastAsia="zh-CN" w:bidi="zh-CN"/>
      </w:rPr>
    </w:lvl>
  </w:abstractNum>
  <w:abstractNum w:abstractNumId="48">
    <w:nsid w:val="72183CF9"/>
    <w:multiLevelType w:val="multilevel"/>
    <w:tmpl w:val="72183CF9"/>
    <w:lvl w:ilvl="0" w:tentative="0">
      <w:start w:val="1"/>
      <w:numFmt w:val="decimal"/>
      <w:lvlText w:val="（%1）"/>
      <w:lvlJc w:val="left"/>
      <w:pPr>
        <w:ind w:left="225" w:hanging="527"/>
      </w:pPr>
      <w:rPr>
        <w:rFonts w:hint="default" w:ascii="宋体" w:hAnsi="宋体" w:eastAsia="宋体" w:cs="宋体"/>
        <w:spacing w:val="-34"/>
        <w:w w:val="99"/>
        <w:sz w:val="19"/>
        <w:szCs w:val="19"/>
        <w:lang w:val="zh-CN" w:eastAsia="zh-CN" w:bidi="zh-CN"/>
      </w:rPr>
    </w:lvl>
    <w:lvl w:ilvl="1" w:tentative="0">
      <w:start w:val="0"/>
      <w:numFmt w:val="bullet"/>
      <w:lvlText w:val="•"/>
      <w:lvlJc w:val="left"/>
      <w:pPr>
        <w:ind w:left="1154" w:hanging="527"/>
      </w:pPr>
      <w:rPr>
        <w:rFonts w:hint="default"/>
        <w:lang w:val="zh-CN" w:eastAsia="zh-CN" w:bidi="zh-CN"/>
      </w:rPr>
    </w:lvl>
    <w:lvl w:ilvl="2" w:tentative="0">
      <w:start w:val="0"/>
      <w:numFmt w:val="bullet"/>
      <w:lvlText w:val="•"/>
      <w:lvlJc w:val="left"/>
      <w:pPr>
        <w:ind w:left="2089" w:hanging="527"/>
      </w:pPr>
      <w:rPr>
        <w:rFonts w:hint="default"/>
        <w:lang w:val="zh-CN" w:eastAsia="zh-CN" w:bidi="zh-CN"/>
      </w:rPr>
    </w:lvl>
    <w:lvl w:ilvl="3" w:tentative="0">
      <w:start w:val="0"/>
      <w:numFmt w:val="bullet"/>
      <w:lvlText w:val="•"/>
      <w:lvlJc w:val="left"/>
      <w:pPr>
        <w:ind w:left="3023" w:hanging="527"/>
      </w:pPr>
      <w:rPr>
        <w:rFonts w:hint="default"/>
        <w:lang w:val="zh-CN" w:eastAsia="zh-CN" w:bidi="zh-CN"/>
      </w:rPr>
    </w:lvl>
    <w:lvl w:ilvl="4" w:tentative="0">
      <w:start w:val="0"/>
      <w:numFmt w:val="bullet"/>
      <w:lvlText w:val="•"/>
      <w:lvlJc w:val="left"/>
      <w:pPr>
        <w:ind w:left="3958" w:hanging="527"/>
      </w:pPr>
      <w:rPr>
        <w:rFonts w:hint="default"/>
        <w:lang w:val="zh-CN" w:eastAsia="zh-CN" w:bidi="zh-CN"/>
      </w:rPr>
    </w:lvl>
    <w:lvl w:ilvl="5" w:tentative="0">
      <w:start w:val="0"/>
      <w:numFmt w:val="bullet"/>
      <w:lvlText w:val="•"/>
      <w:lvlJc w:val="left"/>
      <w:pPr>
        <w:ind w:left="4893" w:hanging="527"/>
      </w:pPr>
      <w:rPr>
        <w:rFonts w:hint="default"/>
        <w:lang w:val="zh-CN" w:eastAsia="zh-CN" w:bidi="zh-CN"/>
      </w:rPr>
    </w:lvl>
    <w:lvl w:ilvl="6" w:tentative="0">
      <w:start w:val="0"/>
      <w:numFmt w:val="bullet"/>
      <w:lvlText w:val="•"/>
      <w:lvlJc w:val="left"/>
      <w:pPr>
        <w:ind w:left="5827" w:hanging="527"/>
      </w:pPr>
      <w:rPr>
        <w:rFonts w:hint="default"/>
        <w:lang w:val="zh-CN" w:eastAsia="zh-CN" w:bidi="zh-CN"/>
      </w:rPr>
    </w:lvl>
    <w:lvl w:ilvl="7" w:tentative="0">
      <w:start w:val="0"/>
      <w:numFmt w:val="bullet"/>
      <w:lvlText w:val="•"/>
      <w:lvlJc w:val="left"/>
      <w:pPr>
        <w:ind w:left="6762" w:hanging="527"/>
      </w:pPr>
      <w:rPr>
        <w:rFonts w:hint="default"/>
        <w:lang w:val="zh-CN" w:eastAsia="zh-CN" w:bidi="zh-CN"/>
      </w:rPr>
    </w:lvl>
    <w:lvl w:ilvl="8" w:tentative="0">
      <w:start w:val="0"/>
      <w:numFmt w:val="bullet"/>
      <w:lvlText w:val="•"/>
      <w:lvlJc w:val="left"/>
      <w:pPr>
        <w:ind w:left="7696" w:hanging="527"/>
      </w:pPr>
      <w:rPr>
        <w:rFonts w:hint="default"/>
        <w:lang w:val="zh-CN" w:eastAsia="zh-CN" w:bidi="zh-CN"/>
      </w:rPr>
    </w:lvl>
  </w:abstractNum>
  <w:abstractNum w:abstractNumId="49">
    <w:nsid w:val="74C28B35"/>
    <w:multiLevelType w:val="multilevel"/>
    <w:tmpl w:val="74C28B35"/>
    <w:lvl w:ilvl="0" w:tentative="0">
      <w:start w:val="1"/>
      <w:numFmt w:val="decimal"/>
      <w:lvlText w:val="%1."/>
      <w:lvlJc w:val="left"/>
      <w:pPr>
        <w:ind w:left="216" w:hanging="316"/>
      </w:pPr>
      <w:rPr>
        <w:rFonts w:hint="default" w:ascii="宋体" w:hAnsi="宋体" w:eastAsia="宋体" w:cs="宋体"/>
        <w:spacing w:val="-25"/>
        <w:w w:val="99"/>
        <w:sz w:val="19"/>
        <w:szCs w:val="19"/>
        <w:lang w:val="zh-CN" w:eastAsia="zh-CN" w:bidi="zh-CN"/>
      </w:rPr>
    </w:lvl>
    <w:lvl w:ilvl="1" w:tentative="0">
      <w:start w:val="0"/>
      <w:numFmt w:val="bullet"/>
      <w:lvlText w:val="•"/>
      <w:lvlJc w:val="left"/>
      <w:pPr>
        <w:ind w:left="1154" w:hanging="316"/>
      </w:pPr>
      <w:rPr>
        <w:rFonts w:hint="default"/>
        <w:lang w:val="zh-CN" w:eastAsia="zh-CN" w:bidi="zh-CN"/>
      </w:rPr>
    </w:lvl>
    <w:lvl w:ilvl="2" w:tentative="0">
      <w:start w:val="0"/>
      <w:numFmt w:val="bullet"/>
      <w:lvlText w:val="•"/>
      <w:lvlJc w:val="left"/>
      <w:pPr>
        <w:ind w:left="2089" w:hanging="316"/>
      </w:pPr>
      <w:rPr>
        <w:rFonts w:hint="default"/>
        <w:lang w:val="zh-CN" w:eastAsia="zh-CN" w:bidi="zh-CN"/>
      </w:rPr>
    </w:lvl>
    <w:lvl w:ilvl="3" w:tentative="0">
      <w:start w:val="0"/>
      <w:numFmt w:val="bullet"/>
      <w:lvlText w:val="•"/>
      <w:lvlJc w:val="left"/>
      <w:pPr>
        <w:ind w:left="3023" w:hanging="316"/>
      </w:pPr>
      <w:rPr>
        <w:rFonts w:hint="default"/>
        <w:lang w:val="zh-CN" w:eastAsia="zh-CN" w:bidi="zh-CN"/>
      </w:rPr>
    </w:lvl>
    <w:lvl w:ilvl="4" w:tentative="0">
      <w:start w:val="0"/>
      <w:numFmt w:val="bullet"/>
      <w:lvlText w:val="•"/>
      <w:lvlJc w:val="left"/>
      <w:pPr>
        <w:ind w:left="3958" w:hanging="316"/>
      </w:pPr>
      <w:rPr>
        <w:rFonts w:hint="default"/>
        <w:lang w:val="zh-CN" w:eastAsia="zh-CN" w:bidi="zh-CN"/>
      </w:rPr>
    </w:lvl>
    <w:lvl w:ilvl="5" w:tentative="0">
      <w:start w:val="0"/>
      <w:numFmt w:val="bullet"/>
      <w:lvlText w:val="•"/>
      <w:lvlJc w:val="left"/>
      <w:pPr>
        <w:ind w:left="4893" w:hanging="316"/>
      </w:pPr>
      <w:rPr>
        <w:rFonts w:hint="default"/>
        <w:lang w:val="zh-CN" w:eastAsia="zh-CN" w:bidi="zh-CN"/>
      </w:rPr>
    </w:lvl>
    <w:lvl w:ilvl="6" w:tentative="0">
      <w:start w:val="0"/>
      <w:numFmt w:val="bullet"/>
      <w:lvlText w:val="•"/>
      <w:lvlJc w:val="left"/>
      <w:pPr>
        <w:ind w:left="5827" w:hanging="316"/>
      </w:pPr>
      <w:rPr>
        <w:rFonts w:hint="default"/>
        <w:lang w:val="zh-CN" w:eastAsia="zh-CN" w:bidi="zh-CN"/>
      </w:rPr>
    </w:lvl>
    <w:lvl w:ilvl="7" w:tentative="0">
      <w:start w:val="0"/>
      <w:numFmt w:val="bullet"/>
      <w:lvlText w:val="•"/>
      <w:lvlJc w:val="left"/>
      <w:pPr>
        <w:ind w:left="6762" w:hanging="316"/>
      </w:pPr>
      <w:rPr>
        <w:rFonts w:hint="default"/>
        <w:lang w:val="zh-CN" w:eastAsia="zh-CN" w:bidi="zh-CN"/>
      </w:rPr>
    </w:lvl>
    <w:lvl w:ilvl="8" w:tentative="0">
      <w:start w:val="0"/>
      <w:numFmt w:val="bullet"/>
      <w:lvlText w:val="•"/>
      <w:lvlJc w:val="left"/>
      <w:pPr>
        <w:ind w:left="7696" w:hanging="316"/>
      </w:pPr>
      <w:rPr>
        <w:rFonts w:hint="default"/>
        <w:lang w:val="zh-CN" w:eastAsia="zh-CN" w:bidi="zh-CN"/>
      </w:rPr>
    </w:lvl>
  </w:abstractNum>
  <w:abstractNum w:abstractNumId="50">
    <w:nsid w:val="79AA4FA4"/>
    <w:multiLevelType w:val="multilevel"/>
    <w:tmpl w:val="79AA4FA4"/>
    <w:lvl w:ilvl="0" w:tentative="0">
      <w:start w:val="1"/>
      <w:numFmt w:val="decimal"/>
      <w:lvlText w:val="%1."/>
      <w:lvlJc w:val="left"/>
      <w:pPr>
        <w:ind w:left="216"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54" w:hanging="212"/>
      </w:pPr>
      <w:rPr>
        <w:rFonts w:hint="default"/>
        <w:lang w:val="zh-CN" w:eastAsia="zh-CN" w:bidi="zh-CN"/>
      </w:rPr>
    </w:lvl>
    <w:lvl w:ilvl="2" w:tentative="0">
      <w:start w:val="0"/>
      <w:numFmt w:val="bullet"/>
      <w:lvlText w:val="•"/>
      <w:lvlJc w:val="left"/>
      <w:pPr>
        <w:ind w:left="2089" w:hanging="212"/>
      </w:pPr>
      <w:rPr>
        <w:rFonts w:hint="default"/>
        <w:lang w:val="zh-CN" w:eastAsia="zh-CN" w:bidi="zh-CN"/>
      </w:rPr>
    </w:lvl>
    <w:lvl w:ilvl="3" w:tentative="0">
      <w:start w:val="0"/>
      <w:numFmt w:val="bullet"/>
      <w:lvlText w:val="•"/>
      <w:lvlJc w:val="left"/>
      <w:pPr>
        <w:ind w:left="3023" w:hanging="212"/>
      </w:pPr>
      <w:rPr>
        <w:rFonts w:hint="default"/>
        <w:lang w:val="zh-CN" w:eastAsia="zh-CN" w:bidi="zh-CN"/>
      </w:rPr>
    </w:lvl>
    <w:lvl w:ilvl="4" w:tentative="0">
      <w:start w:val="0"/>
      <w:numFmt w:val="bullet"/>
      <w:lvlText w:val="•"/>
      <w:lvlJc w:val="left"/>
      <w:pPr>
        <w:ind w:left="3958" w:hanging="212"/>
      </w:pPr>
      <w:rPr>
        <w:rFonts w:hint="default"/>
        <w:lang w:val="zh-CN" w:eastAsia="zh-CN" w:bidi="zh-CN"/>
      </w:rPr>
    </w:lvl>
    <w:lvl w:ilvl="5" w:tentative="0">
      <w:start w:val="0"/>
      <w:numFmt w:val="bullet"/>
      <w:lvlText w:val="•"/>
      <w:lvlJc w:val="left"/>
      <w:pPr>
        <w:ind w:left="4893" w:hanging="212"/>
      </w:pPr>
      <w:rPr>
        <w:rFonts w:hint="default"/>
        <w:lang w:val="zh-CN" w:eastAsia="zh-CN" w:bidi="zh-CN"/>
      </w:rPr>
    </w:lvl>
    <w:lvl w:ilvl="6" w:tentative="0">
      <w:start w:val="0"/>
      <w:numFmt w:val="bullet"/>
      <w:lvlText w:val="•"/>
      <w:lvlJc w:val="left"/>
      <w:pPr>
        <w:ind w:left="5827" w:hanging="212"/>
      </w:pPr>
      <w:rPr>
        <w:rFonts w:hint="default"/>
        <w:lang w:val="zh-CN" w:eastAsia="zh-CN" w:bidi="zh-CN"/>
      </w:rPr>
    </w:lvl>
    <w:lvl w:ilvl="7" w:tentative="0">
      <w:start w:val="0"/>
      <w:numFmt w:val="bullet"/>
      <w:lvlText w:val="•"/>
      <w:lvlJc w:val="left"/>
      <w:pPr>
        <w:ind w:left="6762" w:hanging="212"/>
      </w:pPr>
      <w:rPr>
        <w:rFonts w:hint="default"/>
        <w:lang w:val="zh-CN" w:eastAsia="zh-CN" w:bidi="zh-CN"/>
      </w:rPr>
    </w:lvl>
    <w:lvl w:ilvl="8" w:tentative="0">
      <w:start w:val="0"/>
      <w:numFmt w:val="bullet"/>
      <w:lvlText w:val="•"/>
      <w:lvlJc w:val="left"/>
      <w:pPr>
        <w:ind w:left="7696" w:hanging="212"/>
      </w:pPr>
      <w:rPr>
        <w:rFonts w:hint="default"/>
        <w:lang w:val="zh-CN" w:eastAsia="zh-CN" w:bidi="zh-CN"/>
      </w:rPr>
    </w:lvl>
  </w:abstractNum>
  <w:abstractNum w:abstractNumId="51">
    <w:nsid w:val="7F0A763E"/>
    <w:multiLevelType w:val="multilevel"/>
    <w:tmpl w:val="7F0A763E"/>
    <w:lvl w:ilvl="0" w:tentative="0">
      <w:start w:val="6"/>
      <w:numFmt w:val="decimal"/>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15"/>
  </w:num>
  <w:num w:numId="3">
    <w:abstractNumId w:val="39"/>
  </w:num>
  <w:num w:numId="4">
    <w:abstractNumId w:val="12"/>
  </w:num>
  <w:num w:numId="5">
    <w:abstractNumId w:val="8"/>
  </w:num>
  <w:num w:numId="6">
    <w:abstractNumId w:val="24"/>
  </w:num>
  <w:num w:numId="7">
    <w:abstractNumId w:val="30"/>
  </w:num>
  <w:num w:numId="8">
    <w:abstractNumId w:val="48"/>
  </w:num>
  <w:num w:numId="9">
    <w:abstractNumId w:val="23"/>
  </w:num>
  <w:num w:numId="10">
    <w:abstractNumId w:val="4"/>
  </w:num>
  <w:num w:numId="11">
    <w:abstractNumId w:val="31"/>
  </w:num>
  <w:num w:numId="12">
    <w:abstractNumId w:val="40"/>
  </w:num>
  <w:num w:numId="13">
    <w:abstractNumId w:val="14"/>
  </w:num>
  <w:num w:numId="14">
    <w:abstractNumId w:val="37"/>
  </w:num>
  <w:num w:numId="15">
    <w:abstractNumId w:val="19"/>
  </w:num>
  <w:num w:numId="16">
    <w:abstractNumId w:val="29"/>
  </w:num>
  <w:num w:numId="17">
    <w:abstractNumId w:val="17"/>
  </w:num>
  <w:num w:numId="18">
    <w:abstractNumId w:val="5"/>
  </w:num>
  <w:num w:numId="19">
    <w:abstractNumId w:val="35"/>
  </w:num>
  <w:num w:numId="20">
    <w:abstractNumId w:val="45"/>
  </w:num>
  <w:num w:numId="21">
    <w:abstractNumId w:val="13"/>
  </w:num>
  <w:num w:numId="22">
    <w:abstractNumId w:val="2"/>
  </w:num>
  <w:num w:numId="23">
    <w:abstractNumId w:val="7"/>
  </w:num>
  <w:num w:numId="24">
    <w:abstractNumId w:val="27"/>
  </w:num>
  <w:num w:numId="25">
    <w:abstractNumId w:val="51"/>
  </w:num>
  <w:num w:numId="26">
    <w:abstractNumId w:val="21"/>
  </w:num>
  <w:num w:numId="27">
    <w:abstractNumId w:val="42"/>
  </w:num>
  <w:num w:numId="28">
    <w:abstractNumId w:val="41"/>
  </w:num>
  <w:num w:numId="29">
    <w:abstractNumId w:val="34"/>
  </w:num>
  <w:num w:numId="30">
    <w:abstractNumId w:val="6"/>
  </w:num>
  <w:num w:numId="31">
    <w:abstractNumId w:val="11"/>
  </w:num>
  <w:num w:numId="32">
    <w:abstractNumId w:val="0"/>
  </w:num>
  <w:num w:numId="33">
    <w:abstractNumId w:val="28"/>
  </w:num>
  <w:num w:numId="34">
    <w:abstractNumId w:val="38"/>
  </w:num>
  <w:num w:numId="35">
    <w:abstractNumId w:val="20"/>
  </w:num>
  <w:num w:numId="36">
    <w:abstractNumId w:val="18"/>
  </w:num>
  <w:num w:numId="37">
    <w:abstractNumId w:val="32"/>
  </w:num>
  <w:num w:numId="38">
    <w:abstractNumId w:val="50"/>
  </w:num>
  <w:num w:numId="39">
    <w:abstractNumId w:val="10"/>
  </w:num>
  <w:num w:numId="40">
    <w:abstractNumId w:val="3"/>
  </w:num>
  <w:num w:numId="41">
    <w:abstractNumId w:val="9"/>
  </w:num>
  <w:num w:numId="42">
    <w:abstractNumId w:val="43"/>
  </w:num>
  <w:num w:numId="43">
    <w:abstractNumId w:val="1"/>
  </w:num>
  <w:num w:numId="44">
    <w:abstractNumId w:val="44"/>
  </w:num>
  <w:num w:numId="45">
    <w:abstractNumId w:val="49"/>
  </w:num>
  <w:num w:numId="46">
    <w:abstractNumId w:val="36"/>
  </w:num>
  <w:num w:numId="47">
    <w:abstractNumId w:val="33"/>
  </w:num>
  <w:num w:numId="48">
    <w:abstractNumId w:val="47"/>
  </w:num>
  <w:num w:numId="49">
    <w:abstractNumId w:val="25"/>
  </w:num>
  <w:num w:numId="50">
    <w:abstractNumId w:val="26"/>
  </w:num>
  <w:num w:numId="51">
    <w:abstractNumId w:val="46"/>
  </w:num>
  <w:num w:numId="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8B7"/>
    <w:rsid w:val="00045444"/>
    <w:rsid w:val="00060F44"/>
    <w:rsid w:val="00086E8C"/>
    <w:rsid w:val="00095E51"/>
    <w:rsid w:val="000B28BA"/>
    <w:rsid w:val="000C0FEF"/>
    <w:rsid w:val="0010050D"/>
    <w:rsid w:val="00105311"/>
    <w:rsid w:val="00121074"/>
    <w:rsid w:val="00133E66"/>
    <w:rsid w:val="0016368B"/>
    <w:rsid w:val="00172A27"/>
    <w:rsid w:val="001807A5"/>
    <w:rsid w:val="00191BC9"/>
    <w:rsid w:val="001A5569"/>
    <w:rsid w:val="001C7A26"/>
    <w:rsid w:val="001E786D"/>
    <w:rsid w:val="001F5FAB"/>
    <w:rsid w:val="00200392"/>
    <w:rsid w:val="0021032A"/>
    <w:rsid w:val="002258E7"/>
    <w:rsid w:val="00231EEB"/>
    <w:rsid w:val="0024337F"/>
    <w:rsid w:val="00267682"/>
    <w:rsid w:val="002771F6"/>
    <w:rsid w:val="0028419C"/>
    <w:rsid w:val="002A5DD1"/>
    <w:rsid w:val="002A60DF"/>
    <w:rsid w:val="002D0DC0"/>
    <w:rsid w:val="00324C3E"/>
    <w:rsid w:val="003347D9"/>
    <w:rsid w:val="00340995"/>
    <w:rsid w:val="00354AF6"/>
    <w:rsid w:val="00372663"/>
    <w:rsid w:val="003779CC"/>
    <w:rsid w:val="003A32C9"/>
    <w:rsid w:val="003A59E0"/>
    <w:rsid w:val="003A662F"/>
    <w:rsid w:val="003C3E71"/>
    <w:rsid w:val="003D1DE7"/>
    <w:rsid w:val="003D78A3"/>
    <w:rsid w:val="003F22C2"/>
    <w:rsid w:val="00415882"/>
    <w:rsid w:val="00471120"/>
    <w:rsid w:val="00474B61"/>
    <w:rsid w:val="0049125D"/>
    <w:rsid w:val="00493CE5"/>
    <w:rsid w:val="004B2291"/>
    <w:rsid w:val="004B2AE8"/>
    <w:rsid w:val="004C35E0"/>
    <w:rsid w:val="004E58C2"/>
    <w:rsid w:val="00523F27"/>
    <w:rsid w:val="0057320D"/>
    <w:rsid w:val="005E3861"/>
    <w:rsid w:val="005E4FFB"/>
    <w:rsid w:val="005E662F"/>
    <w:rsid w:val="00662C3A"/>
    <w:rsid w:val="00683DBD"/>
    <w:rsid w:val="006B19F0"/>
    <w:rsid w:val="006B32DF"/>
    <w:rsid w:val="006B7229"/>
    <w:rsid w:val="006F018A"/>
    <w:rsid w:val="006F07BC"/>
    <w:rsid w:val="00716154"/>
    <w:rsid w:val="007249E0"/>
    <w:rsid w:val="007360E9"/>
    <w:rsid w:val="007B7074"/>
    <w:rsid w:val="007E1807"/>
    <w:rsid w:val="007F1D9B"/>
    <w:rsid w:val="008B432F"/>
    <w:rsid w:val="008F6154"/>
    <w:rsid w:val="00910667"/>
    <w:rsid w:val="0093684B"/>
    <w:rsid w:val="00953590"/>
    <w:rsid w:val="00981729"/>
    <w:rsid w:val="00984FBE"/>
    <w:rsid w:val="00996087"/>
    <w:rsid w:val="00A033D5"/>
    <w:rsid w:val="00A037E3"/>
    <w:rsid w:val="00A2369A"/>
    <w:rsid w:val="00A474CD"/>
    <w:rsid w:val="00A62F21"/>
    <w:rsid w:val="00AC23CB"/>
    <w:rsid w:val="00AC74D7"/>
    <w:rsid w:val="00AF0DA0"/>
    <w:rsid w:val="00B125BF"/>
    <w:rsid w:val="00BD0727"/>
    <w:rsid w:val="00BD0B2D"/>
    <w:rsid w:val="00BD40D2"/>
    <w:rsid w:val="00BD6B5D"/>
    <w:rsid w:val="00BF139B"/>
    <w:rsid w:val="00C070DF"/>
    <w:rsid w:val="00C44BB5"/>
    <w:rsid w:val="00C464E7"/>
    <w:rsid w:val="00C76F15"/>
    <w:rsid w:val="00CB34B9"/>
    <w:rsid w:val="00CD035D"/>
    <w:rsid w:val="00CD6ABB"/>
    <w:rsid w:val="00CF4264"/>
    <w:rsid w:val="00D035BB"/>
    <w:rsid w:val="00D2692D"/>
    <w:rsid w:val="00D375C5"/>
    <w:rsid w:val="00D41D04"/>
    <w:rsid w:val="00D8328E"/>
    <w:rsid w:val="00D9327F"/>
    <w:rsid w:val="00DA7E94"/>
    <w:rsid w:val="00DB3F8B"/>
    <w:rsid w:val="00DB7C82"/>
    <w:rsid w:val="00DC76AE"/>
    <w:rsid w:val="00DD6996"/>
    <w:rsid w:val="00DE64E0"/>
    <w:rsid w:val="00E2743A"/>
    <w:rsid w:val="00E3430D"/>
    <w:rsid w:val="00EE28BC"/>
    <w:rsid w:val="00F02F6F"/>
    <w:rsid w:val="00F650E4"/>
    <w:rsid w:val="00F70715"/>
    <w:rsid w:val="00F713C2"/>
    <w:rsid w:val="00F83060"/>
    <w:rsid w:val="00F9509B"/>
    <w:rsid w:val="00FB197F"/>
    <w:rsid w:val="00FE7563"/>
    <w:rsid w:val="06952F64"/>
    <w:rsid w:val="06EE5069"/>
    <w:rsid w:val="0F9831EC"/>
    <w:rsid w:val="10223E71"/>
    <w:rsid w:val="12F1268D"/>
    <w:rsid w:val="13AD348F"/>
    <w:rsid w:val="1404447D"/>
    <w:rsid w:val="14126145"/>
    <w:rsid w:val="15D25C94"/>
    <w:rsid w:val="174D07B5"/>
    <w:rsid w:val="17DE382E"/>
    <w:rsid w:val="18176089"/>
    <w:rsid w:val="19F22E0A"/>
    <w:rsid w:val="1CC06475"/>
    <w:rsid w:val="1DE53EBB"/>
    <w:rsid w:val="20BB35A9"/>
    <w:rsid w:val="20CB4BFE"/>
    <w:rsid w:val="246E5CA7"/>
    <w:rsid w:val="266D51A3"/>
    <w:rsid w:val="289711BA"/>
    <w:rsid w:val="2EF861CD"/>
    <w:rsid w:val="300065CE"/>
    <w:rsid w:val="30565B8C"/>
    <w:rsid w:val="305E0D0A"/>
    <w:rsid w:val="324A5748"/>
    <w:rsid w:val="332D6FB9"/>
    <w:rsid w:val="344C3629"/>
    <w:rsid w:val="347E3746"/>
    <w:rsid w:val="36A06F3C"/>
    <w:rsid w:val="36DF0125"/>
    <w:rsid w:val="39D703FF"/>
    <w:rsid w:val="3C960D84"/>
    <w:rsid w:val="3E443170"/>
    <w:rsid w:val="4075023A"/>
    <w:rsid w:val="40A87F90"/>
    <w:rsid w:val="433178E2"/>
    <w:rsid w:val="43B44513"/>
    <w:rsid w:val="43B67540"/>
    <w:rsid w:val="44986CF9"/>
    <w:rsid w:val="450C20F9"/>
    <w:rsid w:val="468078EE"/>
    <w:rsid w:val="47315AB2"/>
    <w:rsid w:val="4740419B"/>
    <w:rsid w:val="48E000DC"/>
    <w:rsid w:val="4A451255"/>
    <w:rsid w:val="4AEF4C43"/>
    <w:rsid w:val="4C2B621D"/>
    <w:rsid w:val="4CD65A88"/>
    <w:rsid w:val="4DC16582"/>
    <w:rsid w:val="50237380"/>
    <w:rsid w:val="51B65C2B"/>
    <w:rsid w:val="535F33D8"/>
    <w:rsid w:val="54560A02"/>
    <w:rsid w:val="58615427"/>
    <w:rsid w:val="59717A39"/>
    <w:rsid w:val="5A63408C"/>
    <w:rsid w:val="5BFB18AA"/>
    <w:rsid w:val="5D9156B9"/>
    <w:rsid w:val="5EBD3B8F"/>
    <w:rsid w:val="615E138B"/>
    <w:rsid w:val="61CD2DF8"/>
    <w:rsid w:val="61EF6BC9"/>
    <w:rsid w:val="65FA3C22"/>
    <w:rsid w:val="66DC0A4B"/>
    <w:rsid w:val="67604A44"/>
    <w:rsid w:val="676716D9"/>
    <w:rsid w:val="69F94FCC"/>
    <w:rsid w:val="6D753169"/>
    <w:rsid w:val="6F057770"/>
    <w:rsid w:val="6F121CB0"/>
    <w:rsid w:val="70916F9D"/>
    <w:rsid w:val="728F661B"/>
    <w:rsid w:val="73014114"/>
    <w:rsid w:val="73192636"/>
    <w:rsid w:val="74202736"/>
    <w:rsid w:val="74E421EE"/>
    <w:rsid w:val="7A242A98"/>
    <w:rsid w:val="7C61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163"/>
    <w:qFormat/>
    <w:uiPriority w:val="99"/>
    <w:pPr>
      <w:spacing w:before="28"/>
      <w:ind w:right="98"/>
      <w:jc w:val="center"/>
      <w:outlineLvl w:val="0"/>
    </w:pPr>
    <w:rPr>
      <w:b/>
      <w:bCs/>
      <w:sz w:val="52"/>
      <w:szCs w:val="52"/>
    </w:rPr>
  </w:style>
  <w:style w:type="paragraph" w:styleId="4">
    <w:name w:val="heading 2"/>
    <w:basedOn w:val="1"/>
    <w:next w:val="1"/>
    <w:link w:val="164"/>
    <w:qFormat/>
    <w:uiPriority w:val="99"/>
    <w:pPr>
      <w:spacing w:before="37"/>
      <w:ind w:right="96"/>
      <w:jc w:val="center"/>
      <w:outlineLvl w:val="1"/>
    </w:pPr>
    <w:rPr>
      <w:b/>
      <w:bCs/>
      <w:sz w:val="44"/>
      <w:szCs w:val="44"/>
    </w:rPr>
  </w:style>
  <w:style w:type="paragraph" w:styleId="5">
    <w:name w:val="heading 3"/>
    <w:basedOn w:val="1"/>
    <w:next w:val="1"/>
    <w:link w:val="165"/>
    <w:qFormat/>
    <w:uiPriority w:val="99"/>
    <w:pPr>
      <w:spacing w:before="195"/>
      <w:ind w:right="96"/>
      <w:jc w:val="center"/>
      <w:outlineLvl w:val="2"/>
    </w:pPr>
    <w:rPr>
      <w:b/>
      <w:bCs/>
      <w:sz w:val="36"/>
      <w:szCs w:val="36"/>
    </w:rPr>
  </w:style>
  <w:style w:type="paragraph" w:styleId="2">
    <w:name w:val="heading 4"/>
    <w:basedOn w:val="1"/>
    <w:next w:val="1"/>
    <w:link w:val="166"/>
    <w:qFormat/>
    <w:uiPriority w:val="99"/>
    <w:pPr>
      <w:spacing w:before="54"/>
      <w:jc w:val="center"/>
      <w:outlineLvl w:val="3"/>
    </w:pPr>
    <w:rPr>
      <w:b/>
      <w:bCs/>
      <w:sz w:val="32"/>
      <w:szCs w:val="32"/>
    </w:rPr>
  </w:style>
  <w:style w:type="paragraph" w:styleId="6">
    <w:name w:val="heading 5"/>
    <w:basedOn w:val="1"/>
    <w:next w:val="1"/>
    <w:link w:val="167"/>
    <w:qFormat/>
    <w:uiPriority w:val="99"/>
    <w:pPr>
      <w:spacing w:before="48"/>
      <w:ind w:left="215"/>
      <w:outlineLvl w:val="4"/>
    </w:pPr>
    <w:rPr>
      <w:b/>
      <w:bCs/>
    </w:rPr>
  </w:style>
  <w:style w:type="paragraph" w:styleId="7">
    <w:name w:val="heading 6"/>
    <w:basedOn w:val="1"/>
    <w:next w:val="1"/>
    <w:link w:val="168"/>
    <w:qFormat/>
    <w:uiPriority w:val="99"/>
    <w:pPr>
      <w:ind w:left="635"/>
      <w:outlineLvl w:val="5"/>
    </w:pPr>
    <w:rPr>
      <w:b/>
      <w:bCs/>
      <w:sz w:val="21"/>
      <w:szCs w:val="21"/>
    </w:rPr>
  </w:style>
  <w:style w:type="paragraph" w:styleId="8">
    <w:name w:val="heading 7"/>
    <w:basedOn w:val="1"/>
    <w:next w:val="1"/>
    <w:link w:val="159"/>
    <w:qFormat/>
    <w:uiPriority w:val="99"/>
    <w:pPr>
      <w:keepNext/>
      <w:keepLines/>
      <w:autoSpaceDE/>
      <w:autoSpaceDN/>
      <w:spacing w:before="240" w:after="64" w:line="317" w:lineRule="auto"/>
      <w:ind w:left="1296" w:hanging="1296"/>
      <w:jc w:val="both"/>
      <w:outlineLvl w:val="6"/>
    </w:pPr>
    <w:rPr>
      <w:rFonts w:ascii="Calibri" w:hAnsi="Calibri" w:cs="Calibri"/>
      <w:b/>
      <w:bCs/>
      <w:kern w:val="2"/>
      <w:sz w:val="24"/>
      <w:szCs w:val="24"/>
      <w:lang w:val="en-US" w:bidi="ar-SA"/>
    </w:rPr>
  </w:style>
  <w:style w:type="paragraph" w:styleId="9">
    <w:name w:val="heading 8"/>
    <w:basedOn w:val="1"/>
    <w:next w:val="1"/>
    <w:link w:val="160"/>
    <w:qFormat/>
    <w:uiPriority w:val="99"/>
    <w:pPr>
      <w:keepNext/>
      <w:keepLines/>
      <w:autoSpaceDE/>
      <w:autoSpaceDN/>
      <w:spacing w:before="240" w:after="64" w:line="317" w:lineRule="auto"/>
      <w:ind w:left="1440" w:hanging="1440"/>
      <w:jc w:val="both"/>
      <w:outlineLvl w:val="7"/>
    </w:pPr>
    <w:rPr>
      <w:rFonts w:ascii="Arial" w:hAnsi="Arial" w:eastAsia="黑体" w:cs="Arial"/>
      <w:kern w:val="2"/>
      <w:sz w:val="24"/>
      <w:szCs w:val="24"/>
      <w:lang w:val="en-US" w:bidi="ar-SA"/>
    </w:rPr>
  </w:style>
  <w:style w:type="paragraph" w:styleId="10">
    <w:name w:val="heading 9"/>
    <w:basedOn w:val="1"/>
    <w:next w:val="1"/>
    <w:link w:val="161"/>
    <w:qFormat/>
    <w:uiPriority w:val="99"/>
    <w:pPr>
      <w:keepNext/>
      <w:keepLines/>
      <w:autoSpaceDE/>
      <w:autoSpaceDN/>
      <w:spacing w:before="240" w:after="64" w:line="317" w:lineRule="auto"/>
      <w:ind w:left="1583" w:hanging="1583"/>
      <w:jc w:val="both"/>
      <w:outlineLvl w:val="8"/>
    </w:pPr>
    <w:rPr>
      <w:rFonts w:ascii="Arial" w:hAnsi="Arial" w:eastAsia="黑体" w:cs="Arial"/>
      <w:kern w:val="2"/>
      <w:sz w:val="24"/>
      <w:szCs w:val="24"/>
      <w:lang w:val="en-US"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autoSpaceDE/>
      <w:autoSpaceDN/>
      <w:spacing w:before="240" w:after="240" w:line="360" w:lineRule="auto"/>
      <w:ind w:firstLine="420"/>
      <w:jc w:val="both"/>
    </w:pPr>
    <w:rPr>
      <w:rFonts w:ascii="Calibri" w:hAnsi="Calibri" w:cs="Calibri"/>
      <w:kern w:val="2"/>
      <w:sz w:val="24"/>
      <w:szCs w:val="24"/>
      <w:lang w:val="en-US" w:bidi="ar-SA"/>
    </w:rPr>
  </w:style>
  <w:style w:type="paragraph" w:styleId="12">
    <w:name w:val="annotation text"/>
    <w:basedOn w:val="1"/>
    <w:link w:val="181"/>
    <w:qFormat/>
    <w:uiPriority w:val="0"/>
  </w:style>
  <w:style w:type="paragraph" w:styleId="13">
    <w:name w:val="Body Text"/>
    <w:basedOn w:val="1"/>
    <w:link w:val="34"/>
    <w:qFormat/>
    <w:uiPriority w:val="99"/>
    <w:rPr>
      <w:sz w:val="21"/>
      <w:szCs w:val="21"/>
    </w:rPr>
  </w:style>
  <w:style w:type="paragraph" w:styleId="14">
    <w:name w:val="Balloon Text"/>
    <w:basedOn w:val="1"/>
    <w:link w:val="180"/>
    <w:qFormat/>
    <w:uiPriority w:val="0"/>
    <w:rPr>
      <w:sz w:val="18"/>
      <w:szCs w:val="18"/>
    </w:rPr>
  </w:style>
  <w:style w:type="paragraph" w:styleId="15">
    <w:name w:val="footer"/>
    <w:basedOn w:val="1"/>
    <w:link w:val="152"/>
    <w:qFormat/>
    <w:uiPriority w:val="99"/>
    <w:pPr>
      <w:tabs>
        <w:tab w:val="center" w:pos="4153"/>
        <w:tab w:val="right" w:pos="8306"/>
      </w:tabs>
      <w:snapToGrid w:val="0"/>
    </w:pPr>
    <w:rPr>
      <w:sz w:val="18"/>
      <w:szCs w:val="18"/>
    </w:rPr>
  </w:style>
  <w:style w:type="paragraph" w:styleId="16">
    <w:name w:val="header"/>
    <w:basedOn w:val="1"/>
    <w:link w:val="15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62"/>
      <w:ind w:right="274"/>
      <w:jc w:val="right"/>
    </w:pPr>
    <w:rPr>
      <w:sz w:val="21"/>
      <w:szCs w:val="21"/>
    </w:rPr>
  </w:style>
  <w:style w:type="paragraph" w:styleId="18">
    <w:name w:val="toc 2"/>
    <w:basedOn w:val="1"/>
    <w:next w:val="1"/>
    <w:qFormat/>
    <w:uiPriority w:val="99"/>
    <w:pPr>
      <w:spacing w:before="62"/>
      <w:ind w:left="635"/>
    </w:pPr>
    <w:rPr>
      <w:sz w:val="21"/>
      <w:szCs w:val="21"/>
    </w:rPr>
  </w:style>
  <w:style w:type="paragraph" w:styleId="19">
    <w:name w:val="Normal (Web)"/>
    <w:basedOn w:val="1"/>
    <w:qFormat/>
    <w:uiPriority w:val="99"/>
    <w:pPr>
      <w:autoSpaceDE/>
      <w:autoSpaceDN/>
      <w:spacing w:before="100" w:beforeAutospacing="1" w:after="100" w:afterAutospacing="1" w:line="360" w:lineRule="auto"/>
    </w:pPr>
    <w:rPr>
      <w:rFonts w:ascii="Calibri" w:hAnsi="Calibri" w:cs="Calibri"/>
      <w:sz w:val="24"/>
      <w:szCs w:val="24"/>
      <w:lang w:val="en-US" w:bidi="ar-SA"/>
    </w:rPr>
  </w:style>
  <w:style w:type="paragraph" w:styleId="20">
    <w:name w:val="Title"/>
    <w:basedOn w:val="1"/>
    <w:next w:val="1"/>
    <w:link w:val="33"/>
    <w:qFormat/>
    <w:uiPriority w:val="0"/>
    <w:pPr>
      <w:autoSpaceDE/>
      <w:autoSpaceDN/>
      <w:spacing w:before="240" w:after="60"/>
      <w:jc w:val="center"/>
      <w:outlineLvl w:val="0"/>
    </w:pPr>
    <w:rPr>
      <w:rFonts w:asciiTheme="majorHAnsi" w:hAnsiTheme="majorHAnsi" w:eastAsiaTheme="majorEastAsia" w:cstheme="majorBidi"/>
      <w:b/>
      <w:bCs/>
      <w:kern w:val="2"/>
      <w:sz w:val="32"/>
      <w:szCs w:val="32"/>
      <w:lang w:val="en-US" w:bidi="ar-SA"/>
    </w:rPr>
  </w:style>
  <w:style w:type="paragraph" w:styleId="21">
    <w:name w:val="annotation subject"/>
    <w:basedOn w:val="12"/>
    <w:next w:val="12"/>
    <w:link w:val="182"/>
    <w:qFormat/>
    <w:uiPriority w:val="0"/>
    <w:rPr>
      <w:b/>
      <w:bCs/>
    </w:rPr>
  </w:style>
  <w:style w:type="paragraph" w:styleId="22">
    <w:name w:val="Body Text First Indent"/>
    <w:basedOn w:val="13"/>
    <w:link w:val="162"/>
    <w:unhideWhenUsed/>
    <w:qFormat/>
    <w:uiPriority w:val="99"/>
    <w:pPr>
      <w:autoSpaceDE/>
      <w:autoSpaceDN/>
      <w:spacing w:before="240" w:after="240" w:line="360" w:lineRule="auto"/>
      <w:ind w:firstLine="420" w:firstLineChars="100"/>
      <w:jc w:val="both"/>
    </w:pPr>
    <w:rPr>
      <w:kern w:val="2"/>
      <w:sz w:val="23"/>
      <w:szCs w:val="23"/>
      <w:lang w:val="en-US" w:bidi="ar-SA"/>
    </w:rPr>
  </w:style>
  <w:style w:type="table" w:styleId="24">
    <w:name w:val="Table Grid"/>
    <w:basedOn w:val="23"/>
    <w:qFormat/>
    <w:uiPriority w:val="99"/>
    <w:rPr>
      <w:rFonts w:ascii="??" w:hAnsi="??" w:cs="??"/>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FollowedHyperlink"/>
    <w:basedOn w:val="25"/>
    <w:unhideWhenUsed/>
    <w:qFormat/>
    <w:uiPriority w:val="99"/>
    <w:rPr>
      <w:color w:val="954F72"/>
      <w:u w:val="single"/>
    </w:rPr>
  </w:style>
  <w:style w:type="character" w:styleId="28">
    <w:name w:val="Hyperlink"/>
    <w:basedOn w:val="25"/>
    <w:unhideWhenUsed/>
    <w:qFormat/>
    <w:uiPriority w:val="99"/>
    <w:rPr>
      <w:color w:val="0563C1"/>
      <w:u w:val="single"/>
    </w:rPr>
  </w:style>
  <w:style w:type="character" w:styleId="29">
    <w:name w:val="annotation reference"/>
    <w:basedOn w:val="25"/>
    <w:qFormat/>
    <w:uiPriority w:val="0"/>
    <w:rPr>
      <w:sz w:val="21"/>
      <w:szCs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spacing w:before="170"/>
      <w:ind w:left="215" w:firstLine="420"/>
    </w:pPr>
  </w:style>
  <w:style w:type="paragraph" w:customStyle="1" w:styleId="32">
    <w:name w:val="Table Paragraph"/>
    <w:basedOn w:val="1"/>
    <w:qFormat/>
    <w:uiPriority w:val="1"/>
  </w:style>
  <w:style w:type="character" w:customStyle="1" w:styleId="33">
    <w:name w:val="标题 Char"/>
    <w:basedOn w:val="25"/>
    <w:link w:val="20"/>
    <w:qFormat/>
    <w:uiPriority w:val="0"/>
    <w:rPr>
      <w:rFonts w:asciiTheme="majorHAnsi" w:hAnsiTheme="majorHAnsi" w:eastAsiaTheme="majorEastAsia" w:cstheme="majorBidi"/>
      <w:b/>
      <w:bCs/>
      <w:kern w:val="2"/>
      <w:sz w:val="32"/>
      <w:szCs w:val="32"/>
    </w:rPr>
  </w:style>
  <w:style w:type="character" w:customStyle="1" w:styleId="34">
    <w:name w:val="正文文本 Char"/>
    <w:basedOn w:val="25"/>
    <w:link w:val="13"/>
    <w:qFormat/>
    <w:uiPriority w:val="99"/>
    <w:rPr>
      <w:rFonts w:ascii="宋体" w:hAnsi="宋体" w:cs="宋体"/>
      <w:sz w:val="21"/>
      <w:szCs w:val="21"/>
      <w:lang w:val="zh-CN" w:bidi="zh-CN"/>
    </w:rPr>
  </w:style>
  <w:style w:type="paragraph" w:customStyle="1" w:styleId="35">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36">
    <w:name w:val="font5"/>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37">
    <w:name w:val="font6"/>
    <w:basedOn w:val="1"/>
    <w:qFormat/>
    <w:uiPriority w:val="0"/>
    <w:pPr>
      <w:widowControl/>
      <w:autoSpaceDE/>
      <w:autoSpaceDN/>
      <w:spacing w:before="100" w:beforeAutospacing="1" w:after="100" w:afterAutospacing="1"/>
    </w:pPr>
    <w:rPr>
      <w:rFonts w:ascii="Calibri" w:hAnsi="Calibri" w:cs="Calibri"/>
      <w:color w:val="000000"/>
      <w:sz w:val="21"/>
      <w:szCs w:val="21"/>
      <w:lang w:val="en-US" w:bidi="ar-SA"/>
    </w:rPr>
  </w:style>
  <w:style w:type="paragraph" w:customStyle="1" w:styleId="38">
    <w:name w:val="font7"/>
    <w:basedOn w:val="1"/>
    <w:qFormat/>
    <w:uiPriority w:val="0"/>
    <w:pPr>
      <w:widowControl/>
      <w:autoSpaceDE/>
      <w:autoSpaceDN/>
      <w:spacing w:before="100" w:beforeAutospacing="1" w:after="100" w:afterAutospacing="1"/>
    </w:pPr>
    <w:rPr>
      <w:rFonts w:ascii="Calibri" w:hAnsi="Calibri" w:cs="Calibri"/>
      <w:b/>
      <w:bCs/>
      <w:color w:val="000000"/>
      <w:sz w:val="21"/>
      <w:szCs w:val="21"/>
      <w:lang w:val="en-US" w:bidi="ar-SA"/>
    </w:rPr>
  </w:style>
  <w:style w:type="paragraph" w:customStyle="1" w:styleId="39">
    <w:name w:val="font8"/>
    <w:basedOn w:val="1"/>
    <w:qFormat/>
    <w:uiPriority w:val="0"/>
    <w:pPr>
      <w:widowControl/>
      <w:autoSpaceDE/>
      <w:autoSpaceDN/>
      <w:spacing w:before="100" w:beforeAutospacing="1" w:after="100" w:afterAutospacing="1"/>
    </w:pPr>
    <w:rPr>
      <w:color w:val="FF0000"/>
      <w:lang w:val="en-US" w:bidi="ar-SA"/>
    </w:rPr>
  </w:style>
  <w:style w:type="paragraph" w:customStyle="1" w:styleId="40">
    <w:name w:val="font9"/>
    <w:basedOn w:val="1"/>
    <w:qFormat/>
    <w:uiPriority w:val="0"/>
    <w:pPr>
      <w:widowControl/>
      <w:autoSpaceDE/>
      <w:autoSpaceDN/>
      <w:spacing w:before="100" w:beforeAutospacing="1" w:after="100" w:afterAutospacing="1"/>
    </w:pPr>
    <w:rPr>
      <w:color w:val="FF0000"/>
      <w:sz w:val="24"/>
      <w:szCs w:val="24"/>
      <w:lang w:val="en-US" w:bidi="ar-SA"/>
    </w:rPr>
  </w:style>
  <w:style w:type="paragraph" w:customStyle="1" w:styleId="41">
    <w:name w:val="font10"/>
    <w:basedOn w:val="1"/>
    <w:qFormat/>
    <w:uiPriority w:val="0"/>
    <w:pPr>
      <w:widowControl/>
      <w:autoSpaceDE/>
      <w:autoSpaceDN/>
      <w:spacing w:before="100" w:beforeAutospacing="1" w:after="100" w:afterAutospacing="1"/>
    </w:pPr>
    <w:rPr>
      <w:color w:val="000000"/>
      <w:sz w:val="21"/>
      <w:szCs w:val="21"/>
      <w:lang w:val="en-US" w:bidi="ar-SA"/>
    </w:rPr>
  </w:style>
  <w:style w:type="paragraph" w:customStyle="1" w:styleId="42">
    <w:name w:val="font11"/>
    <w:basedOn w:val="1"/>
    <w:qFormat/>
    <w:uiPriority w:val="0"/>
    <w:pPr>
      <w:widowControl/>
      <w:autoSpaceDE/>
      <w:autoSpaceDN/>
      <w:spacing w:before="100" w:beforeAutospacing="1" w:after="100" w:afterAutospacing="1"/>
    </w:pPr>
    <w:rPr>
      <w:b/>
      <w:bCs/>
      <w:color w:val="000000"/>
      <w:sz w:val="24"/>
      <w:szCs w:val="24"/>
      <w:lang w:val="en-US" w:bidi="ar-SA"/>
    </w:rPr>
  </w:style>
  <w:style w:type="paragraph" w:customStyle="1" w:styleId="43">
    <w:name w:val="font12"/>
    <w:basedOn w:val="1"/>
    <w:qFormat/>
    <w:uiPriority w:val="0"/>
    <w:pPr>
      <w:widowControl/>
      <w:autoSpaceDE/>
      <w:autoSpaceDN/>
      <w:spacing w:before="100" w:beforeAutospacing="1" w:after="100" w:afterAutospacing="1"/>
    </w:pPr>
    <w:rPr>
      <w:b/>
      <w:bCs/>
      <w:color w:val="000000"/>
      <w:lang w:val="en-US" w:bidi="ar-SA"/>
    </w:rPr>
  </w:style>
  <w:style w:type="paragraph" w:customStyle="1" w:styleId="44">
    <w:name w:val="font13"/>
    <w:basedOn w:val="1"/>
    <w:qFormat/>
    <w:uiPriority w:val="0"/>
    <w:pPr>
      <w:widowControl/>
      <w:autoSpaceDE/>
      <w:autoSpaceDN/>
      <w:spacing w:before="100" w:beforeAutospacing="1" w:after="100" w:afterAutospacing="1"/>
    </w:pPr>
    <w:rPr>
      <w:b/>
      <w:bCs/>
      <w:color w:val="000000"/>
      <w:sz w:val="21"/>
      <w:szCs w:val="21"/>
      <w:lang w:val="en-US" w:bidi="ar-SA"/>
    </w:rPr>
  </w:style>
  <w:style w:type="paragraph" w:customStyle="1" w:styleId="45">
    <w:name w:val="xl63"/>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b/>
      <w:bCs/>
      <w:color w:val="000000"/>
      <w:sz w:val="28"/>
      <w:szCs w:val="28"/>
      <w:lang w:val="en-US" w:bidi="ar-SA"/>
    </w:rPr>
  </w:style>
  <w:style w:type="paragraph" w:customStyle="1" w:styleId="46">
    <w:name w:val="xl64"/>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jc w:val="center"/>
      <w:textAlignment w:val="top"/>
    </w:pPr>
    <w:rPr>
      <w:b/>
      <w:bCs/>
      <w:color w:val="000000"/>
      <w:sz w:val="28"/>
      <w:szCs w:val="28"/>
      <w:lang w:val="en-US" w:bidi="ar-SA"/>
    </w:rPr>
  </w:style>
  <w:style w:type="paragraph" w:customStyle="1" w:styleId="47">
    <w:name w:val="xl65"/>
    <w:basedOn w:val="1"/>
    <w:qFormat/>
    <w:uiPriority w:val="0"/>
    <w:pPr>
      <w:widowControl/>
      <w:pBdr>
        <w:right w:val="single" w:color="000000" w:sz="8" w:space="0"/>
      </w:pBdr>
      <w:autoSpaceDE/>
      <w:autoSpaceDN/>
      <w:spacing w:before="100" w:beforeAutospacing="1" w:after="100" w:afterAutospacing="1"/>
      <w:textAlignment w:val="center"/>
    </w:pPr>
    <w:rPr>
      <w:color w:val="000000"/>
      <w:sz w:val="24"/>
      <w:szCs w:val="24"/>
      <w:lang w:val="en-US" w:bidi="ar-SA"/>
    </w:rPr>
  </w:style>
  <w:style w:type="paragraph" w:customStyle="1" w:styleId="48">
    <w:name w:val="xl66"/>
    <w:basedOn w:val="1"/>
    <w:qFormat/>
    <w:uiPriority w:val="0"/>
    <w:pPr>
      <w:widowControl/>
      <w:pBdr>
        <w:bottom w:val="single" w:color="000000" w:sz="8" w:space="0"/>
        <w:right w:val="single" w:color="000000" w:sz="8" w:space="0"/>
      </w:pBdr>
      <w:autoSpaceDE/>
      <w:autoSpaceDN/>
      <w:spacing w:before="100" w:beforeAutospacing="1" w:after="100" w:afterAutospacing="1"/>
      <w:textAlignment w:val="center"/>
    </w:pPr>
    <w:rPr>
      <w:color w:val="000000"/>
      <w:sz w:val="24"/>
      <w:szCs w:val="24"/>
      <w:lang w:val="en-US" w:bidi="ar-SA"/>
    </w:rPr>
  </w:style>
  <w:style w:type="paragraph" w:customStyle="1" w:styleId="49">
    <w:name w:val="xl67"/>
    <w:basedOn w:val="1"/>
    <w:qFormat/>
    <w:uiPriority w:val="0"/>
    <w:pPr>
      <w:widowControl/>
      <w:autoSpaceDE/>
      <w:autoSpaceDN/>
      <w:spacing w:before="100" w:beforeAutospacing="1" w:after="100" w:afterAutospacing="1"/>
      <w:jc w:val="both"/>
      <w:textAlignment w:val="center"/>
    </w:pPr>
    <w:rPr>
      <w:color w:val="000000"/>
      <w:sz w:val="24"/>
      <w:szCs w:val="24"/>
      <w:lang w:val="en-US" w:bidi="ar-SA"/>
    </w:rPr>
  </w:style>
  <w:style w:type="paragraph" w:customStyle="1" w:styleId="50">
    <w:name w:val="xl68"/>
    <w:basedOn w:val="1"/>
    <w:qFormat/>
    <w:uiPriority w:val="0"/>
    <w:pPr>
      <w:widowControl/>
      <w:pBdr>
        <w:top w:val="single" w:color="000000" w:sz="8" w:space="0"/>
        <w:right w:val="single" w:color="000000" w:sz="8" w:space="0"/>
      </w:pBdr>
      <w:autoSpaceDE/>
      <w:autoSpaceDN/>
      <w:spacing w:before="100" w:beforeAutospacing="1" w:after="100" w:afterAutospacing="1"/>
      <w:textAlignment w:val="center"/>
    </w:pPr>
    <w:rPr>
      <w:color w:val="000000"/>
      <w:sz w:val="24"/>
      <w:szCs w:val="24"/>
      <w:lang w:val="en-US" w:bidi="ar-SA"/>
    </w:rPr>
  </w:style>
  <w:style w:type="paragraph" w:customStyle="1" w:styleId="51">
    <w:name w:val="xl69"/>
    <w:basedOn w:val="1"/>
    <w:qFormat/>
    <w:uiPriority w:val="0"/>
    <w:pPr>
      <w:widowControl/>
      <w:pBdr>
        <w:bottom w:val="single" w:color="auto" w:sz="8" w:space="0"/>
        <w:right w:val="single" w:color="000000" w:sz="8" w:space="0"/>
      </w:pBdr>
      <w:autoSpaceDE/>
      <w:autoSpaceDN/>
      <w:spacing w:before="100" w:beforeAutospacing="1" w:after="100" w:afterAutospacing="1"/>
      <w:textAlignment w:val="center"/>
    </w:pPr>
    <w:rPr>
      <w:color w:val="000000"/>
      <w:sz w:val="24"/>
      <w:szCs w:val="24"/>
      <w:lang w:val="en-US" w:bidi="ar-SA"/>
    </w:rPr>
  </w:style>
  <w:style w:type="paragraph" w:customStyle="1" w:styleId="52">
    <w:name w:val="xl70"/>
    <w:basedOn w:val="1"/>
    <w:qFormat/>
    <w:uiPriority w:val="0"/>
    <w:pPr>
      <w:widowControl/>
      <w:pBdr>
        <w:right w:val="single" w:color="auto" w:sz="8" w:space="0"/>
      </w:pBdr>
      <w:autoSpaceDE/>
      <w:autoSpaceDN/>
      <w:spacing w:before="100" w:beforeAutospacing="1" w:after="100" w:afterAutospacing="1"/>
      <w:textAlignment w:val="center"/>
    </w:pPr>
    <w:rPr>
      <w:color w:val="000000"/>
      <w:sz w:val="24"/>
      <w:szCs w:val="24"/>
      <w:lang w:val="en-US" w:bidi="ar-SA"/>
    </w:rPr>
  </w:style>
  <w:style w:type="paragraph" w:customStyle="1" w:styleId="53">
    <w:name w:val="xl71"/>
    <w:basedOn w:val="1"/>
    <w:qFormat/>
    <w:uiPriority w:val="0"/>
    <w:pPr>
      <w:widowControl/>
      <w:pBdr>
        <w:bottom w:val="single" w:color="auto" w:sz="8" w:space="0"/>
        <w:right w:val="single" w:color="auto" w:sz="8" w:space="0"/>
      </w:pBdr>
      <w:autoSpaceDE/>
      <w:autoSpaceDN/>
      <w:spacing w:before="100" w:beforeAutospacing="1" w:after="100" w:afterAutospacing="1"/>
      <w:textAlignment w:val="center"/>
    </w:pPr>
    <w:rPr>
      <w:color w:val="000000"/>
      <w:sz w:val="24"/>
      <w:szCs w:val="24"/>
      <w:lang w:val="en-US" w:bidi="ar-SA"/>
    </w:rPr>
  </w:style>
  <w:style w:type="paragraph" w:customStyle="1" w:styleId="54">
    <w:name w:val="xl72"/>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55">
    <w:name w:val="xl73"/>
    <w:basedOn w:val="1"/>
    <w:qFormat/>
    <w:uiPriority w:val="0"/>
    <w:pPr>
      <w:widowControl/>
      <w:pBdr>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56">
    <w:name w:val="xl74"/>
    <w:basedOn w:val="1"/>
    <w:qFormat/>
    <w:uiPriority w:val="0"/>
    <w:pPr>
      <w:widowControl/>
      <w:pBdr>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57">
    <w:name w:val="xl75"/>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jc w:val="center"/>
      <w:textAlignment w:val="top"/>
    </w:pPr>
    <w:rPr>
      <w:b/>
      <w:bCs/>
      <w:color w:val="000000"/>
      <w:sz w:val="28"/>
      <w:szCs w:val="28"/>
      <w:lang w:val="en-US" w:bidi="ar-SA"/>
    </w:rPr>
  </w:style>
  <w:style w:type="paragraph" w:customStyle="1" w:styleId="58">
    <w:name w:val="xl76"/>
    <w:basedOn w:val="1"/>
    <w:qFormat/>
    <w:uiPriority w:val="0"/>
    <w:pPr>
      <w:widowControl/>
      <w:pBdr>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59">
    <w:name w:val="xl77"/>
    <w:basedOn w:val="1"/>
    <w:qFormat/>
    <w:uiPriority w:val="0"/>
    <w:pPr>
      <w:widowControl/>
      <w:pBdr>
        <w:top w:val="single" w:color="000000" w:sz="8" w:space="0"/>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0">
    <w:name w:val="xl78"/>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1">
    <w:name w:val="xl79"/>
    <w:basedOn w:val="1"/>
    <w:qFormat/>
    <w:uiPriority w:val="0"/>
    <w:pPr>
      <w:widowControl/>
      <w:pBdr>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2">
    <w:name w:val="xl80"/>
    <w:basedOn w:val="1"/>
    <w:qFormat/>
    <w:uiPriority w:val="0"/>
    <w:pPr>
      <w:widowControl/>
      <w:pBdr>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3">
    <w:name w:val="xl81"/>
    <w:basedOn w:val="1"/>
    <w:qFormat/>
    <w:uiPriority w:val="0"/>
    <w:pPr>
      <w:widowControl/>
      <w:pBdr>
        <w:top w:val="single" w:color="000000" w:sz="8" w:space="0"/>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4">
    <w:name w:val="xl82"/>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5">
    <w:name w:val="xl83"/>
    <w:basedOn w:val="1"/>
    <w:qFormat/>
    <w:uiPriority w:val="0"/>
    <w:pPr>
      <w:widowControl/>
      <w:pBdr>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6">
    <w:name w:val="xl84"/>
    <w:basedOn w:val="1"/>
    <w:qFormat/>
    <w:uiPriority w:val="0"/>
    <w:pPr>
      <w:widowControl/>
      <w:pBdr>
        <w:left w:val="single" w:color="000000" w:sz="8" w:space="0"/>
        <w:bottom w:val="single" w:color="auto"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7">
    <w:name w:val="xl85"/>
    <w:basedOn w:val="1"/>
    <w:qFormat/>
    <w:uiPriority w:val="0"/>
    <w:pPr>
      <w:widowControl/>
      <w:pBdr>
        <w:top w:val="single" w:color="auto" w:sz="8" w:space="0"/>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8">
    <w:name w:val="xl86"/>
    <w:basedOn w:val="1"/>
    <w:qFormat/>
    <w:uiPriority w:val="0"/>
    <w:pPr>
      <w:widowControl/>
      <w:pBdr>
        <w:left w:val="single" w:color="000000" w:sz="8" w:space="0"/>
        <w:bottom w:val="single" w:color="auto"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69">
    <w:name w:val="xl87"/>
    <w:basedOn w:val="1"/>
    <w:qFormat/>
    <w:uiPriority w:val="0"/>
    <w:pPr>
      <w:widowControl/>
      <w:pBdr>
        <w:top w:val="single" w:color="auto" w:sz="8" w:space="0"/>
        <w:left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0">
    <w:name w:val="xl88"/>
    <w:basedOn w:val="1"/>
    <w:qFormat/>
    <w:uiPriority w:val="0"/>
    <w:pPr>
      <w:widowControl/>
      <w:pBdr>
        <w:left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1">
    <w:name w:val="xl89"/>
    <w:basedOn w:val="1"/>
    <w:qFormat/>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2">
    <w:name w:val="xl90"/>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3">
    <w:name w:val="xl91"/>
    <w:basedOn w:val="1"/>
    <w:qFormat/>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4">
    <w:name w:val="xl92"/>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5">
    <w:name w:val="xl93"/>
    <w:basedOn w:val="1"/>
    <w:qFormat/>
    <w:uiPriority w:val="0"/>
    <w:pPr>
      <w:widowControl/>
      <w:pBdr>
        <w:top w:val="single" w:color="000000" w:sz="8" w:space="0"/>
        <w:left w:val="single" w:color="auto"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6">
    <w:name w:val="xl94"/>
    <w:basedOn w:val="1"/>
    <w:qFormat/>
    <w:uiPriority w:val="0"/>
    <w:pPr>
      <w:widowControl/>
      <w:pBdr>
        <w:left w:val="single" w:color="auto"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7">
    <w:name w:val="xl95"/>
    <w:basedOn w:val="1"/>
    <w:qFormat/>
    <w:uiPriority w:val="0"/>
    <w:pPr>
      <w:widowControl/>
      <w:pBdr>
        <w:top w:val="single" w:color="000000" w:sz="8" w:space="0"/>
        <w:left w:val="single" w:color="auto"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8">
    <w:name w:val="xl96"/>
    <w:basedOn w:val="1"/>
    <w:qFormat/>
    <w:uiPriority w:val="0"/>
    <w:pPr>
      <w:widowControl/>
      <w:pBdr>
        <w:left w:val="single" w:color="auto"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79">
    <w:name w:val="xl97"/>
    <w:basedOn w:val="1"/>
    <w:qFormat/>
    <w:uiPriority w:val="0"/>
    <w:pPr>
      <w:widowControl/>
      <w:pBdr>
        <w:left w:val="single" w:color="auto" w:sz="8" w:space="0"/>
        <w:bottom w:val="single" w:color="auto"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0">
    <w:name w:val="xl98"/>
    <w:basedOn w:val="1"/>
    <w:qFormat/>
    <w:uiPriority w:val="0"/>
    <w:pPr>
      <w:widowControl/>
      <w:pBdr>
        <w:top w:val="single" w:color="000000" w:sz="8" w:space="0"/>
        <w:left w:val="single" w:color="000000" w:sz="8" w:space="0"/>
        <w:bottom w:val="single" w:color="000000" w:sz="8" w:space="0"/>
        <w:right w:val="single" w:color="000000" w:sz="8" w:space="0"/>
      </w:pBdr>
      <w:autoSpaceDE/>
      <w:autoSpaceDN/>
      <w:spacing w:before="100" w:beforeAutospacing="1" w:after="100" w:afterAutospacing="1"/>
      <w:textAlignment w:val="center"/>
    </w:pPr>
    <w:rPr>
      <w:color w:val="000000"/>
      <w:sz w:val="24"/>
      <w:szCs w:val="24"/>
      <w:lang w:val="en-US" w:bidi="ar-SA"/>
    </w:rPr>
  </w:style>
  <w:style w:type="paragraph" w:customStyle="1" w:styleId="81">
    <w:name w:val="xl99"/>
    <w:basedOn w:val="1"/>
    <w:qFormat/>
    <w:uiPriority w:val="0"/>
    <w:pPr>
      <w:widowControl/>
      <w:pBdr>
        <w:top w:val="single" w:color="000000" w:sz="8" w:space="0"/>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2">
    <w:name w:val="xl100"/>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83">
    <w:name w:val="xl101"/>
    <w:basedOn w:val="1"/>
    <w:qFormat/>
    <w:uiPriority w:val="0"/>
    <w:pPr>
      <w:widowControl/>
      <w:pBdr>
        <w:top w:val="single" w:color="000000" w:sz="8" w:space="0"/>
        <w:bottom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84">
    <w:name w:val="xl102"/>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85">
    <w:name w:val="xl103"/>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6">
    <w:name w:val="xl104"/>
    <w:basedOn w:val="1"/>
    <w:qFormat/>
    <w:uiPriority w:val="0"/>
    <w:pPr>
      <w:widowControl/>
      <w:pBdr>
        <w:top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7">
    <w:name w:val="xl105"/>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8">
    <w:name w:val="xl106"/>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89">
    <w:name w:val="xl107"/>
    <w:basedOn w:val="1"/>
    <w:qFormat/>
    <w:uiPriority w:val="0"/>
    <w:pPr>
      <w:widowControl/>
      <w:pBdr>
        <w:top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0">
    <w:name w:val="xl108"/>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1">
    <w:name w:val="xl109"/>
    <w:basedOn w:val="1"/>
    <w:qFormat/>
    <w:uiPriority w:val="0"/>
    <w:pPr>
      <w:widowControl/>
      <w:pBdr>
        <w:top w:val="single" w:color="000000" w:sz="8" w:space="0"/>
        <w:lef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2">
    <w:name w:val="xl110"/>
    <w:basedOn w:val="1"/>
    <w:qFormat/>
    <w:uiPriority w:val="0"/>
    <w:pPr>
      <w:widowControl/>
      <w:pBdr>
        <w:top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3">
    <w:name w:val="xl111"/>
    <w:basedOn w:val="1"/>
    <w:qFormat/>
    <w:uiPriority w:val="0"/>
    <w:pPr>
      <w:widowControl/>
      <w:pBdr>
        <w:top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4">
    <w:name w:val="xl112"/>
    <w:basedOn w:val="1"/>
    <w:qFormat/>
    <w:uiPriority w:val="0"/>
    <w:pPr>
      <w:widowControl/>
      <w:pBdr>
        <w:left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5">
    <w:name w:val="xl113"/>
    <w:basedOn w:val="1"/>
    <w:qFormat/>
    <w:uiPriority w:val="0"/>
    <w:pPr>
      <w:widowControl/>
      <w:pBdr>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6">
    <w:name w:val="xl114"/>
    <w:basedOn w:val="1"/>
    <w:qFormat/>
    <w:uiPriority w:val="0"/>
    <w:pPr>
      <w:widowControl/>
      <w:pBdr>
        <w:bottom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7">
    <w:name w:val="xl115"/>
    <w:basedOn w:val="1"/>
    <w:qFormat/>
    <w:uiPriority w:val="0"/>
    <w:pPr>
      <w:widowControl/>
      <w:pBdr>
        <w:lef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98">
    <w:name w:val="xl116"/>
    <w:basedOn w:val="1"/>
    <w:qFormat/>
    <w:uiPriority w:val="0"/>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99">
    <w:name w:val="xl117"/>
    <w:basedOn w:val="1"/>
    <w:qFormat/>
    <w:uiPriority w:val="0"/>
    <w:pPr>
      <w:widowControl/>
      <w:pBdr>
        <w:right w:val="single" w:color="000000" w:sz="8" w:space="0"/>
      </w:pBdr>
      <w:autoSpaceDE/>
      <w:autoSpaceDN/>
      <w:spacing w:before="100" w:beforeAutospacing="1" w:after="100" w:afterAutospacing="1"/>
      <w:jc w:val="both"/>
      <w:textAlignment w:val="center"/>
    </w:pPr>
    <w:rPr>
      <w:color w:val="000000"/>
      <w:sz w:val="24"/>
      <w:szCs w:val="24"/>
      <w:lang w:val="en-US" w:bidi="ar-SA"/>
    </w:rPr>
  </w:style>
  <w:style w:type="paragraph" w:customStyle="1" w:styleId="100">
    <w:name w:val="xl118"/>
    <w:basedOn w:val="1"/>
    <w:qFormat/>
    <w:uiPriority w:val="0"/>
    <w:pPr>
      <w:widowControl/>
      <w:pBdr>
        <w:top w:val="single" w:color="000000" w:sz="8" w:space="0"/>
        <w:left w:val="single" w:color="000000" w:sz="8" w:space="0"/>
        <w:bottom w:val="single" w:color="000000" w:sz="8" w:space="0"/>
        <w:right w:val="single" w:color="000000" w:sz="8" w:space="0"/>
      </w:pBdr>
      <w:autoSpaceDE/>
      <w:autoSpaceDN/>
      <w:spacing w:before="100" w:beforeAutospacing="1" w:after="100" w:afterAutospacing="1"/>
      <w:jc w:val="both"/>
      <w:textAlignment w:val="center"/>
    </w:pPr>
    <w:rPr>
      <w:color w:val="000000"/>
      <w:sz w:val="24"/>
      <w:szCs w:val="24"/>
      <w:lang w:val="en-US" w:bidi="ar-SA"/>
    </w:rPr>
  </w:style>
  <w:style w:type="paragraph" w:customStyle="1" w:styleId="101">
    <w:name w:val="xl119"/>
    <w:basedOn w:val="1"/>
    <w:qFormat/>
    <w:uiPriority w:val="0"/>
    <w:pPr>
      <w:widowControl/>
      <w:pBdr>
        <w:top w:val="single" w:color="000000" w:sz="8" w:space="0"/>
        <w:left w:val="single" w:color="000000" w:sz="8" w:space="0"/>
        <w:bottom w:val="single" w:color="000000" w:sz="8" w:space="0"/>
        <w:right w:val="single" w:color="000000" w:sz="8" w:space="0"/>
      </w:pBdr>
      <w:autoSpaceDE/>
      <w:autoSpaceDN/>
      <w:spacing w:before="100" w:beforeAutospacing="1" w:after="100" w:afterAutospacing="1"/>
      <w:textAlignment w:val="center"/>
    </w:pPr>
    <w:rPr>
      <w:color w:val="000000"/>
      <w:sz w:val="21"/>
      <w:szCs w:val="21"/>
      <w:lang w:val="en-US" w:bidi="ar-SA"/>
    </w:rPr>
  </w:style>
  <w:style w:type="paragraph" w:customStyle="1" w:styleId="102">
    <w:name w:val="xl120"/>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textAlignment w:val="center"/>
    </w:pPr>
    <w:rPr>
      <w:b/>
      <w:bCs/>
      <w:color w:val="000000"/>
      <w:sz w:val="28"/>
      <w:szCs w:val="28"/>
      <w:lang w:val="en-US" w:bidi="ar-SA"/>
    </w:rPr>
  </w:style>
  <w:style w:type="paragraph" w:customStyle="1" w:styleId="103">
    <w:name w:val="xl121"/>
    <w:basedOn w:val="1"/>
    <w:qFormat/>
    <w:uiPriority w:val="0"/>
    <w:pPr>
      <w:widowControl/>
      <w:pBdr>
        <w:top w:val="single" w:color="000000" w:sz="8" w:space="0"/>
        <w:bottom w:val="single" w:color="000000" w:sz="8" w:space="0"/>
      </w:pBdr>
      <w:autoSpaceDE/>
      <w:autoSpaceDN/>
      <w:spacing w:before="100" w:beforeAutospacing="1" w:after="100" w:afterAutospacing="1"/>
      <w:textAlignment w:val="center"/>
    </w:pPr>
    <w:rPr>
      <w:b/>
      <w:bCs/>
      <w:color w:val="000000"/>
      <w:sz w:val="28"/>
      <w:szCs w:val="28"/>
      <w:lang w:val="en-US" w:bidi="ar-SA"/>
    </w:rPr>
  </w:style>
  <w:style w:type="paragraph" w:customStyle="1" w:styleId="104">
    <w:name w:val="xl122"/>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textAlignment w:val="center"/>
    </w:pPr>
    <w:rPr>
      <w:b/>
      <w:bCs/>
      <w:color w:val="000000"/>
      <w:sz w:val="28"/>
      <w:szCs w:val="28"/>
      <w:lang w:val="en-US" w:bidi="ar-SA"/>
    </w:rPr>
  </w:style>
  <w:style w:type="paragraph" w:customStyle="1" w:styleId="105">
    <w:name w:val="xl123"/>
    <w:basedOn w:val="1"/>
    <w:qFormat/>
    <w:uiPriority w:val="0"/>
    <w:pPr>
      <w:widowControl/>
      <w:pBdr>
        <w:top w:val="single" w:color="000000" w:sz="8" w:space="0"/>
        <w:left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06">
    <w:name w:val="xl124"/>
    <w:basedOn w:val="1"/>
    <w:qFormat/>
    <w:uiPriority w:val="0"/>
    <w:pPr>
      <w:widowControl/>
      <w:pBdr>
        <w:left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07">
    <w:name w:val="xl125"/>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08">
    <w:name w:val="xl126"/>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jc w:val="center"/>
      <w:textAlignment w:val="center"/>
    </w:pPr>
    <w:rPr>
      <w:color w:val="000000"/>
      <w:sz w:val="21"/>
      <w:szCs w:val="21"/>
      <w:lang w:val="en-US" w:bidi="ar-SA"/>
    </w:rPr>
  </w:style>
  <w:style w:type="paragraph" w:customStyle="1" w:styleId="109">
    <w:name w:val="xl127"/>
    <w:basedOn w:val="1"/>
    <w:qFormat/>
    <w:uiPriority w:val="0"/>
    <w:pPr>
      <w:widowControl/>
      <w:pBdr>
        <w:top w:val="single" w:color="000000" w:sz="8" w:space="0"/>
        <w:bottom w:val="single" w:color="000000" w:sz="8" w:space="0"/>
      </w:pBdr>
      <w:autoSpaceDE/>
      <w:autoSpaceDN/>
      <w:spacing w:before="100" w:beforeAutospacing="1" w:after="100" w:afterAutospacing="1"/>
      <w:jc w:val="center"/>
      <w:textAlignment w:val="center"/>
    </w:pPr>
    <w:rPr>
      <w:color w:val="000000"/>
      <w:sz w:val="21"/>
      <w:szCs w:val="21"/>
      <w:lang w:val="en-US" w:bidi="ar-SA"/>
    </w:rPr>
  </w:style>
  <w:style w:type="paragraph" w:customStyle="1" w:styleId="110">
    <w:name w:val="xl128"/>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color w:val="000000"/>
      <w:sz w:val="21"/>
      <w:szCs w:val="21"/>
      <w:lang w:val="en-US" w:bidi="ar-SA"/>
    </w:rPr>
  </w:style>
  <w:style w:type="paragraph" w:customStyle="1" w:styleId="111">
    <w:name w:val="xl129"/>
    <w:basedOn w:val="1"/>
    <w:qFormat/>
    <w:uiPriority w:val="0"/>
    <w:pPr>
      <w:widowControl/>
      <w:pBdr>
        <w:top w:val="single" w:color="000000" w:sz="8" w:space="0"/>
        <w:lef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2">
    <w:name w:val="xl130"/>
    <w:basedOn w:val="1"/>
    <w:qFormat/>
    <w:uiPriority w:val="0"/>
    <w:pPr>
      <w:widowControl/>
      <w:pBdr>
        <w:top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3">
    <w:name w:val="xl131"/>
    <w:basedOn w:val="1"/>
    <w:qFormat/>
    <w:uiPriority w:val="0"/>
    <w:pPr>
      <w:widowControl/>
      <w:pBdr>
        <w:top w:val="single" w:color="000000" w:sz="8" w:space="0"/>
        <w:righ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4">
    <w:name w:val="xl132"/>
    <w:basedOn w:val="1"/>
    <w:qFormat/>
    <w:uiPriority w:val="0"/>
    <w:pPr>
      <w:widowControl/>
      <w:pBdr>
        <w:left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5">
    <w:name w:val="xl133"/>
    <w:basedOn w:val="1"/>
    <w:qFormat/>
    <w:uiPriority w:val="0"/>
    <w:pPr>
      <w:widowControl/>
      <w:autoSpaceDE/>
      <w:autoSpaceDN/>
      <w:spacing w:before="100" w:beforeAutospacing="1" w:after="100" w:afterAutospacing="1"/>
      <w:jc w:val="center"/>
      <w:textAlignment w:val="center"/>
    </w:pPr>
    <w:rPr>
      <w:color w:val="000000"/>
      <w:sz w:val="24"/>
      <w:szCs w:val="24"/>
      <w:lang w:val="en-US" w:bidi="ar-SA"/>
    </w:rPr>
  </w:style>
  <w:style w:type="paragraph" w:customStyle="1" w:styleId="116">
    <w:name w:val="xl134"/>
    <w:basedOn w:val="1"/>
    <w:qFormat/>
    <w:uiPriority w:val="0"/>
    <w:pPr>
      <w:widowControl/>
      <w:pBdr>
        <w:left w:val="single" w:color="000000" w:sz="8" w:space="0"/>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7">
    <w:name w:val="xl135"/>
    <w:basedOn w:val="1"/>
    <w:qFormat/>
    <w:uiPriority w:val="0"/>
    <w:pPr>
      <w:widowControl/>
      <w:pBdr>
        <w:bottom w:val="single" w:color="000000"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18">
    <w:name w:val="xl136"/>
    <w:basedOn w:val="1"/>
    <w:qFormat/>
    <w:uiPriority w:val="0"/>
    <w:pPr>
      <w:widowControl/>
      <w:pBdr>
        <w:right w:val="single" w:color="000000" w:sz="8" w:space="0"/>
      </w:pBdr>
      <w:autoSpaceDE/>
      <w:autoSpaceDN/>
      <w:spacing w:before="100" w:beforeAutospacing="1" w:after="100" w:afterAutospacing="1"/>
      <w:textAlignment w:val="center"/>
    </w:pPr>
    <w:rPr>
      <w:color w:val="FF0000"/>
      <w:sz w:val="24"/>
      <w:szCs w:val="24"/>
      <w:lang w:val="en-US" w:bidi="ar-SA"/>
    </w:rPr>
  </w:style>
  <w:style w:type="paragraph" w:customStyle="1" w:styleId="119">
    <w:name w:val="xl137"/>
    <w:basedOn w:val="1"/>
    <w:qFormat/>
    <w:uiPriority w:val="0"/>
    <w:pPr>
      <w:widowControl/>
      <w:pBdr>
        <w:bottom w:val="single" w:color="000000" w:sz="8" w:space="0"/>
        <w:right w:val="single" w:color="000000" w:sz="8" w:space="0"/>
      </w:pBdr>
      <w:autoSpaceDE/>
      <w:autoSpaceDN/>
      <w:spacing w:before="100" w:beforeAutospacing="1" w:after="100" w:afterAutospacing="1"/>
      <w:textAlignment w:val="center"/>
    </w:pPr>
    <w:rPr>
      <w:color w:val="FF0000"/>
      <w:sz w:val="24"/>
      <w:szCs w:val="24"/>
      <w:lang w:val="en-US" w:bidi="ar-SA"/>
    </w:rPr>
  </w:style>
  <w:style w:type="paragraph" w:customStyle="1" w:styleId="120">
    <w:name w:val="xl138"/>
    <w:basedOn w:val="1"/>
    <w:qFormat/>
    <w:uiPriority w:val="0"/>
    <w:pPr>
      <w:widowControl/>
      <w:pBdr>
        <w:top w:val="single" w:color="000000" w:sz="8" w:space="0"/>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21">
    <w:name w:val="xl139"/>
    <w:basedOn w:val="1"/>
    <w:qFormat/>
    <w:uiPriority w:val="0"/>
    <w:pPr>
      <w:widowControl/>
      <w:pBdr>
        <w:right w:val="single" w:color="000000" w:sz="8" w:space="0"/>
      </w:pBdr>
      <w:autoSpaceDE/>
      <w:autoSpaceDN/>
      <w:spacing w:before="100" w:beforeAutospacing="1" w:after="100" w:afterAutospacing="1"/>
      <w:jc w:val="both"/>
      <w:textAlignment w:val="center"/>
    </w:pPr>
    <w:rPr>
      <w:rFonts w:ascii="Calibri" w:hAnsi="Calibri" w:cs="Calibri"/>
      <w:sz w:val="21"/>
      <w:szCs w:val="21"/>
      <w:lang w:val="en-US" w:bidi="ar-SA"/>
    </w:rPr>
  </w:style>
  <w:style w:type="paragraph" w:customStyle="1" w:styleId="122">
    <w:name w:val="xl140"/>
    <w:basedOn w:val="1"/>
    <w:qFormat/>
    <w:uiPriority w:val="0"/>
    <w:pPr>
      <w:widowControl/>
      <w:pBdr>
        <w:right w:val="single" w:color="000000" w:sz="8" w:space="0"/>
      </w:pBdr>
      <w:autoSpaceDE/>
      <w:autoSpaceDN/>
      <w:spacing w:before="100" w:beforeAutospacing="1" w:after="100" w:afterAutospacing="1"/>
      <w:jc w:val="both"/>
      <w:textAlignment w:val="center"/>
    </w:pPr>
    <w:rPr>
      <w:sz w:val="24"/>
      <w:szCs w:val="24"/>
      <w:lang w:val="en-US" w:bidi="ar-SA"/>
    </w:rPr>
  </w:style>
  <w:style w:type="paragraph" w:customStyle="1" w:styleId="123">
    <w:name w:val="xl141"/>
    <w:basedOn w:val="1"/>
    <w:qFormat/>
    <w:uiPriority w:val="0"/>
    <w:pPr>
      <w:widowControl/>
      <w:pBdr>
        <w:right w:val="single" w:color="000000" w:sz="8" w:space="0"/>
      </w:pBdr>
      <w:autoSpaceDE/>
      <w:autoSpaceDN/>
      <w:spacing w:before="100" w:beforeAutospacing="1" w:after="100" w:afterAutospacing="1"/>
      <w:textAlignment w:val="center"/>
    </w:pPr>
    <w:rPr>
      <w:sz w:val="24"/>
      <w:szCs w:val="24"/>
      <w:lang w:val="en-US" w:bidi="ar-SA"/>
    </w:rPr>
  </w:style>
  <w:style w:type="paragraph" w:customStyle="1" w:styleId="124">
    <w:name w:val="xl142"/>
    <w:basedOn w:val="1"/>
    <w:qFormat/>
    <w:uiPriority w:val="0"/>
    <w:pPr>
      <w:widowControl/>
      <w:pBdr>
        <w:bottom w:val="single" w:color="000000" w:sz="8" w:space="0"/>
        <w:right w:val="single" w:color="000000" w:sz="8" w:space="0"/>
      </w:pBdr>
      <w:autoSpaceDE/>
      <w:autoSpaceDN/>
      <w:spacing w:before="100" w:beforeAutospacing="1" w:after="100" w:afterAutospacing="1"/>
      <w:textAlignment w:val="center"/>
    </w:pPr>
    <w:rPr>
      <w:sz w:val="24"/>
      <w:szCs w:val="24"/>
      <w:lang w:val="en-US" w:bidi="ar-SA"/>
    </w:rPr>
  </w:style>
  <w:style w:type="paragraph" w:customStyle="1" w:styleId="125">
    <w:name w:val="xl143"/>
    <w:basedOn w:val="1"/>
    <w:qFormat/>
    <w:uiPriority w:val="0"/>
    <w:pPr>
      <w:widowControl/>
      <w:pBdr>
        <w:left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26">
    <w:name w:val="xl144"/>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27">
    <w:name w:val="xl145"/>
    <w:basedOn w:val="1"/>
    <w:qFormat/>
    <w:uiPriority w:val="0"/>
    <w:pPr>
      <w:widowControl/>
      <w:pBdr>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28">
    <w:name w:val="xl146"/>
    <w:basedOn w:val="1"/>
    <w:qFormat/>
    <w:uiPriority w:val="0"/>
    <w:pPr>
      <w:widowControl/>
      <w:pBdr>
        <w:lef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29">
    <w:name w:val="xl147"/>
    <w:basedOn w:val="1"/>
    <w:qFormat/>
    <w:uiPriority w:val="0"/>
    <w:pPr>
      <w:widowControl/>
      <w:autoSpaceDE/>
      <w:autoSpaceDN/>
      <w:spacing w:before="100" w:beforeAutospacing="1" w:after="100" w:afterAutospacing="1"/>
      <w:jc w:val="center"/>
      <w:textAlignment w:val="center"/>
    </w:pPr>
    <w:rPr>
      <w:sz w:val="24"/>
      <w:szCs w:val="24"/>
      <w:lang w:val="en-US" w:bidi="ar-SA"/>
    </w:rPr>
  </w:style>
  <w:style w:type="paragraph" w:customStyle="1" w:styleId="130">
    <w:name w:val="xl148"/>
    <w:basedOn w:val="1"/>
    <w:qFormat/>
    <w:uiPriority w:val="0"/>
    <w:pPr>
      <w:widowControl/>
      <w:pBdr>
        <w:left w:val="single" w:color="000000" w:sz="8" w:space="0"/>
        <w:bottom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31">
    <w:name w:val="xl149"/>
    <w:basedOn w:val="1"/>
    <w:qFormat/>
    <w:uiPriority w:val="0"/>
    <w:pPr>
      <w:widowControl/>
      <w:pBdr>
        <w:bottom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32">
    <w:name w:val="xl150"/>
    <w:basedOn w:val="1"/>
    <w:qFormat/>
    <w:uiPriority w:val="0"/>
    <w:pPr>
      <w:widowControl/>
      <w:pBdr>
        <w:bottom w:val="single" w:color="000000" w:sz="8" w:space="0"/>
        <w:right w:val="single" w:color="000000" w:sz="8" w:space="0"/>
      </w:pBdr>
      <w:autoSpaceDE/>
      <w:autoSpaceDN/>
      <w:spacing w:before="100" w:beforeAutospacing="1" w:after="100" w:afterAutospacing="1"/>
      <w:jc w:val="center"/>
      <w:textAlignment w:val="center"/>
    </w:pPr>
    <w:rPr>
      <w:sz w:val="24"/>
      <w:szCs w:val="24"/>
      <w:lang w:val="en-US" w:bidi="ar-SA"/>
    </w:rPr>
  </w:style>
  <w:style w:type="paragraph" w:customStyle="1" w:styleId="133">
    <w:name w:val="xl151"/>
    <w:basedOn w:val="1"/>
    <w:qFormat/>
    <w:uiPriority w:val="0"/>
    <w:pPr>
      <w:widowControl/>
      <w:pBdr>
        <w:right w:val="single" w:color="000000" w:sz="8" w:space="0"/>
      </w:pBdr>
      <w:autoSpaceDE/>
      <w:autoSpaceDN/>
      <w:spacing w:before="100" w:beforeAutospacing="1" w:after="100" w:afterAutospacing="1"/>
      <w:textAlignment w:val="center"/>
    </w:pPr>
    <w:rPr>
      <w:sz w:val="21"/>
      <w:szCs w:val="21"/>
      <w:lang w:val="en-US" w:bidi="ar-SA"/>
    </w:rPr>
  </w:style>
  <w:style w:type="paragraph" w:customStyle="1" w:styleId="134">
    <w:name w:val="xl152"/>
    <w:basedOn w:val="1"/>
    <w:qFormat/>
    <w:uiPriority w:val="0"/>
    <w:pPr>
      <w:widowControl/>
      <w:pBdr>
        <w:right w:val="single" w:color="000000" w:sz="8" w:space="0"/>
      </w:pBdr>
      <w:autoSpaceDE/>
      <w:autoSpaceDN/>
      <w:spacing w:before="100" w:beforeAutospacing="1" w:after="100" w:afterAutospacing="1"/>
      <w:textAlignment w:val="center"/>
    </w:pPr>
    <w:rPr>
      <w:rFonts w:ascii="Calibri" w:hAnsi="Calibri" w:cs="Calibri"/>
      <w:sz w:val="21"/>
      <w:szCs w:val="21"/>
      <w:lang w:val="en-US" w:bidi="ar-SA"/>
    </w:rPr>
  </w:style>
  <w:style w:type="paragraph" w:customStyle="1" w:styleId="135">
    <w:name w:val="xl153"/>
    <w:basedOn w:val="1"/>
    <w:qFormat/>
    <w:uiPriority w:val="0"/>
    <w:pPr>
      <w:widowControl/>
      <w:pBdr>
        <w:bottom w:val="single" w:color="000000" w:sz="8" w:space="0"/>
        <w:right w:val="single" w:color="000000" w:sz="8" w:space="0"/>
      </w:pBdr>
      <w:autoSpaceDE/>
      <w:autoSpaceDN/>
      <w:spacing w:before="100" w:beforeAutospacing="1" w:after="100" w:afterAutospacing="1"/>
      <w:jc w:val="both"/>
      <w:textAlignment w:val="center"/>
    </w:pPr>
    <w:rPr>
      <w:rFonts w:ascii="Calibri" w:hAnsi="Calibri" w:cs="Calibri"/>
      <w:sz w:val="21"/>
      <w:szCs w:val="21"/>
      <w:lang w:val="en-US" w:bidi="ar-SA"/>
    </w:rPr>
  </w:style>
  <w:style w:type="paragraph" w:customStyle="1" w:styleId="136">
    <w:name w:val="xl154"/>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37">
    <w:name w:val="xl155"/>
    <w:basedOn w:val="1"/>
    <w:qFormat/>
    <w:uiPriority w:val="0"/>
    <w:pPr>
      <w:widowControl/>
      <w:pBdr>
        <w:top w:val="single" w:color="000000" w:sz="8" w:space="0"/>
        <w:bottom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38">
    <w:name w:val="xl156"/>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39">
    <w:name w:val="xl157"/>
    <w:basedOn w:val="1"/>
    <w:qFormat/>
    <w:uiPriority w:val="0"/>
    <w:pPr>
      <w:widowControl/>
      <w:pBdr>
        <w:right w:val="single" w:color="000000" w:sz="8" w:space="0"/>
      </w:pBdr>
      <w:autoSpaceDE/>
      <w:autoSpaceDN/>
      <w:spacing w:before="100" w:beforeAutospacing="1" w:after="100" w:afterAutospacing="1"/>
      <w:textAlignment w:val="center"/>
    </w:pPr>
    <w:rPr>
      <w:rFonts w:ascii="Calibri" w:hAnsi="Calibri" w:cs="Calibri"/>
      <w:sz w:val="21"/>
      <w:szCs w:val="21"/>
      <w:lang w:val="en-US" w:bidi="ar-SA"/>
    </w:rPr>
  </w:style>
  <w:style w:type="paragraph" w:customStyle="1" w:styleId="140">
    <w:name w:val="xl158"/>
    <w:basedOn w:val="1"/>
    <w:qFormat/>
    <w:uiPriority w:val="0"/>
    <w:pPr>
      <w:widowControl/>
      <w:pBdr>
        <w:bottom w:val="single" w:color="000000" w:sz="8" w:space="0"/>
        <w:right w:val="single" w:color="000000" w:sz="8" w:space="0"/>
      </w:pBdr>
      <w:autoSpaceDE/>
      <w:autoSpaceDN/>
      <w:spacing w:before="100" w:beforeAutospacing="1" w:after="100" w:afterAutospacing="1"/>
      <w:jc w:val="both"/>
      <w:textAlignment w:val="center"/>
    </w:pPr>
    <w:rPr>
      <w:rFonts w:ascii="Calibri" w:hAnsi="Calibri" w:cs="Calibri"/>
      <w:sz w:val="21"/>
      <w:szCs w:val="21"/>
      <w:lang w:val="en-US" w:bidi="ar-SA"/>
    </w:rPr>
  </w:style>
  <w:style w:type="paragraph" w:customStyle="1" w:styleId="141">
    <w:name w:val="xl159"/>
    <w:basedOn w:val="1"/>
    <w:qFormat/>
    <w:uiPriority w:val="0"/>
    <w:pPr>
      <w:widowControl/>
      <w:pBdr>
        <w:top w:val="single" w:color="000000" w:sz="8" w:space="0"/>
        <w:left w:val="single" w:color="000000" w:sz="8" w:space="0"/>
        <w:bottom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42">
    <w:name w:val="xl160"/>
    <w:basedOn w:val="1"/>
    <w:qFormat/>
    <w:uiPriority w:val="0"/>
    <w:pPr>
      <w:widowControl/>
      <w:pBdr>
        <w:top w:val="single" w:color="000000" w:sz="8" w:space="0"/>
        <w:bottom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43">
    <w:name w:val="xl161"/>
    <w:basedOn w:val="1"/>
    <w:qFormat/>
    <w:uiPriority w:val="0"/>
    <w:pPr>
      <w:widowControl/>
      <w:pBdr>
        <w:top w:val="single" w:color="000000" w:sz="8" w:space="0"/>
        <w:bottom w:val="single" w:color="000000" w:sz="8" w:space="0"/>
        <w:right w:val="single" w:color="000000" w:sz="8" w:space="0"/>
      </w:pBdr>
      <w:autoSpaceDE/>
      <w:autoSpaceDN/>
      <w:spacing w:before="100" w:beforeAutospacing="1" w:after="100" w:afterAutospacing="1"/>
      <w:textAlignment w:val="center"/>
    </w:pPr>
    <w:rPr>
      <w:b/>
      <w:bCs/>
      <w:sz w:val="28"/>
      <w:szCs w:val="28"/>
      <w:lang w:val="en-US" w:bidi="ar-SA"/>
    </w:rPr>
  </w:style>
  <w:style w:type="paragraph" w:customStyle="1" w:styleId="144">
    <w:name w:val="xl162"/>
    <w:basedOn w:val="1"/>
    <w:qFormat/>
    <w:uiPriority w:val="0"/>
    <w:pPr>
      <w:widowControl/>
      <w:pBdr>
        <w:left w:val="single" w:color="auto" w:sz="8" w:space="0"/>
        <w:bottom w:val="single" w:color="000000"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45">
    <w:name w:val="xl163"/>
    <w:basedOn w:val="1"/>
    <w:qFormat/>
    <w:uiPriority w:val="0"/>
    <w:pPr>
      <w:widowControl/>
      <w:pBdr>
        <w:left w:val="single" w:color="auto" w:sz="8" w:space="0"/>
        <w:bottom w:val="single" w:color="000000"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46">
    <w:name w:val="xl164"/>
    <w:basedOn w:val="1"/>
    <w:qFormat/>
    <w:uiPriority w:val="0"/>
    <w:pPr>
      <w:widowControl/>
      <w:pBdr>
        <w:left w:val="single" w:color="000000" w:sz="8" w:space="0"/>
        <w:bottom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147">
    <w:name w:val="xl165"/>
    <w:basedOn w:val="1"/>
    <w:qFormat/>
    <w:uiPriority w:val="0"/>
    <w:pPr>
      <w:widowControl/>
      <w:pBdr>
        <w:bottom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148">
    <w:name w:val="xl166"/>
    <w:basedOn w:val="1"/>
    <w:qFormat/>
    <w:uiPriority w:val="0"/>
    <w:pPr>
      <w:widowControl/>
      <w:pBdr>
        <w:bottom w:val="single" w:color="000000" w:sz="8" w:space="0"/>
        <w:right w:val="single" w:color="000000" w:sz="8" w:space="0"/>
      </w:pBdr>
      <w:autoSpaceDE/>
      <w:autoSpaceDN/>
      <w:spacing w:before="100" w:beforeAutospacing="1" w:after="100" w:afterAutospacing="1"/>
      <w:textAlignment w:val="center"/>
    </w:pPr>
    <w:rPr>
      <w:b/>
      <w:bCs/>
      <w:sz w:val="32"/>
      <w:szCs w:val="32"/>
      <w:lang w:val="en-US" w:bidi="ar-SA"/>
    </w:rPr>
  </w:style>
  <w:style w:type="paragraph" w:customStyle="1" w:styleId="149">
    <w:name w:val="xl167"/>
    <w:basedOn w:val="1"/>
    <w:qFormat/>
    <w:uiPriority w:val="0"/>
    <w:pPr>
      <w:widowControl/>
      <w:pBdr>
        <w:left w:val="single" w:color="auto" w:sz="8" w:space="0"/>
        <w:right w:val="single" w:color="auto" w:sz="8"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150">
    <w:name w:val="xl168"/>
    <w:basedOn w:val="1"/>
    <w:qFormat/>
    <w:uiPriority w:val="0"/>
    <w:pPr>
      <w:widowControl/>
      <w:autoSpaceDE/>
      <w:autoSpaceDN/>
      <w:spacing w:before="100" w:beforeAutospacing="1" w:after="100" w:afterAutospacing="1"/>
    </w:pPr>
    <w:rPr>
      <w:sz w:val="24"/>
      <w:szCs w:val="24"/>
      <w:lang w:val="en-US" w:bidi="ar-SA"/>
    </w:rPr>
  </w:style>
  <w:style w:type="character" w:customStyle="1" w:styleId="151">
    <w:name w:val="页眉 Char"/>
    <w:basedOn w:val="25"/>
    <w:link w:val="16"/>
    <w:qFormat/>
    <w:uiPriority w:val="99"/>
    <w:rPr>
      <w:rFonts w:ascii="宋体" w:hAnsi="宋体" w:cs="宋体"/>
      <w:sz w:val="18"/>
      <w:szCs w:val="18"/>
      <w:lang w:val="zh-CN" w:bidi="zh-CN"/>
    </w:rPr>
  </w:style>
  <w:style w:type="character" w:customStyle="1" w:styleId="152">
    <w:name w:val="页脚 Char"/>
    <w:basedOn w:val="25"/>
    <w:link w:val="15"/>
    <w:qFormat/>
    <w:uiPriority w:val="99"/>
    <w:rPr>
      <w:rFonts w:ascii="宋体" w:hAnsi="宋体" w:cs="宋体"/>
      <w:sz w:val="18"/>
      <w:szCs w:val="18"/>
      <w:lang w:val="zh-CN" w:bidi="zh-CN"/>
    </w:rPr>
  </w:style>
  <w:style w:type="paragraph" w:customStyle="1" w:styleId="15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54">
    <w:name w:val="WPSOffice手动目录 1"/>
    <w:qFormat/>
    <w:uiPriority w:val="99"/>
    <w:rPr>
      <w:rFonts w:ascii="Times New Roman" w:hAnsi="Times New Roman" w:eastAsia="宋体" w:cs="Times New Roman"/>
      <w:lang w:val="en-US" w:eastAsia="zh-CN" w:bidi="ar-SA"/>
    </w:rPr>
  </w:style>
  <w:style w:type="paragraph" w:customStyle="1" w:styleId="155">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56">
    <w:name w:val="WPSOffice手动目录 3"/>
    <w:qFormat/>
    <w:uiPriority w:val="0"/>
    <w:pPr>
      <w:ind w:left="400" w:leftChars="400"/>
    </w:pPr>
    <w:rPr>
      <w:rFonts w:ascii="Times New Roman" w:hAnsi="Times New Roman" w:eastAsia="宋体" w:cs="Times New Roman"/>
      <w:lang w:val="en-US" w:eastAsia="zh-CN" w:bidi="ar-SA"/>
    </w:rPr>
  </w:style>
  <w:style w:type="character" w:styleId="157">
    <w:name w:val="Placeholder Text"/>
    <w:basedOn w:val="25"/>
    <w:semiHidden/>
    <w:qFormat/>
    <w:uiPriority w:val="99"/>
    <w:rPr>
      <w:color w:val="808080"/>
    </w:rPr>
  </w:style>
  <w:style w:type="paragraph" w:customStyle="1" w:styleId="158">
    <w:name w:val="纯文本1"/>
    <w:basedOn w:val="1"/>
    <w:qFormat/>
    <w:uiPriority w:val="0"/>
    <w:rPr>
      <w:rFonts w:hAnsi="Courier New"/>
      <w:szCs w:val="20"/>
    </w:rPr>
  </w:style>
  <w:style w:type="character" w:customStyle="1" w:styleId="159">
    <w:name w:val="标题 7 Char"/>
    <w:basedOn w:val="25"/>
    <w:link w:val="8"/>
    <w:qFormat/>
    <w:uiPriority w:val="99"/>
    <w:rPr>
      <w:rFonts w:ascii="Calibri" w:hAnsi="Calibri" w:cs="Calibri"/>
      <w:b/>
      <w:bCs/>
      <w:kern w:val="2"/>
      <w:sz w:val="24"/>
      <w:szCs w:val="24"/>
    </w:rPr>
  </w:style>
  <w:style w:type="character" w:customStyle="1" w:styleId="160">
    <w:name w:val="标题 8 Char"/>
    <w:basedOn w:val="25"/>
    <w:link w:val="9"/>
    <w:qFormat/>
    <w:uiPriority w:val="99"/>
    <w:rPr>
      <w:rFonts w:ascii="Arial" w:hAnsi="Arial" w:eastAsia="黑体" w:cs="Arial"/>
      <w:kern w:val="2"/>
      <w:sz w:val="24"/>
      <w:szCs w:val="24"/>
    </w:rPr>
  </w:style>
  <w:style w:type="character" w:customStyle="1" w:styleId="161">
    <w:name w:val="标题 9 Char"/>
    <w:basedOn w:val="25"/>
    <w:link w:val="10"/>
    <w:qFormat/>
    <w:uiPriority w:val="99"/>
    <w:rPr>
      <w:rFonts w:ascii="Arial" w:hAnsi="Arial" w:eastAsia="黑体" w:cs="Arial"/>
      <w:kern w:val="2"/>
      <w:sz w:val="24"/>
      <w:szCs w:val="24"/>
    </w:rPr>
  </w:style>
  <w:style w:type="character" w:customStyle="1" w:styleId="162">
    <w:name w:val="正文首行缩进 Char"/>
    <w:basedOn w:val="34"/>
    <w:link w:val="22"/>
    <w:qFormat/>
    <w:uiPriority w:val="99"/>
    <w:rPr>
      <w:rFonts w:ascii="宋体" w:hAnsi="宋体" w:cs="宋体"/>
      <w:kern w:val="2"/>
      <w:sz w:val="23"/>
      <w:szCs w:val="23"/>
      <w:lang w:val="zh-CN" w:bidi="zh-CN"/>
    </w:rPr>
  </w:style>
  <w:style w:type="character" w:customStyle="1" w:styleId="163">
    <w:name w:val="标题 1 Char"/>
    <w:basedOn w:val="25"/>
    <w:link w:val="3"/>
    <w:qFormat/>
    <w:uiPriority w:val="99"/>
    <w:rPr>
      <w:rFonts w:ascii="宋体" w:hAnsi="宋体" w:cs="宋体"/>
      <w:b/>
      <w:bCs/>
      <w:sz w:val="52"/>
      <w:szCs w:val="52"/>
      <w:lang w:val="zh-CN" w:bidi="zh-CN"/>
    </w:rPr>
  </w:style>
  <w:style w:type="character" w:customStyle="1" w:styleId="164">
    <w:name w:val="标题 2 Char"/>
    <w:basedOn w:val="25"/>
    <w:link w:val="4"/>
    <w:qFormat/>
    <w:uiPriority w:val="99"/>
    <w:rPr>
      <w:rFonts w:ascii="宋体" w:hAnsi="宋体" w:cs="宋体"/>
      <w:b/>
      <w:bCs/>
      <w:sz w:val="44"/>
      <w:szCs w:val="44"/>
      <w:lang w:val="zh-CN" w:bidi="zh-CN"/>
    </w:rPr>
  </w:style>
  <w:style w:type="character" w:customStyle="1" w:styleId="165">
    <w:name w:val="标题 3 Char"/>
    <w:basedOn w:val="25"/>
    <w:link w:val="5"/>
    <w:qFormat/>
    <w:locked/>
    <w:uiPriority w:val="99"/>
    <w:rPr>
      <w:rFonts w:ascii="宋体" w:hAnsi="宋体" w:cs="宋体"/>
      <w:b/>
      <w:bCs/>
      <w:sz w:val="36"/>
      <w:szCs w:val="36"/>
      <w:lang w:val="zh-CN" w:bidi="zh-CN"/>
    </w:rPr>
  </w:style>
  <w:style w:type="character" w:customStyle="1" w:styleId="166">
    <w:name w:val="标题 4 Char"/>
    <w:basedOn w:val="25"/>
    <w:link w:val="2"/>
    <w:qFormat/>
    <w:uiPriority w:val="99"/>
    <w:rPr>
      <w:rFonts w:ascii="宋体" w:hAnsi="宋体" w:cs="宋体"/>
      <w:b/>
      <w:bCs/>
      <w:sz w:val="32"/>
      <w:szCs w:val="32"/>
      <w:lang w:val="zh-CN" w:bidi="zh-CN"/>
    </w:rPr>
  </w:style>
  <w:style w:type="character" w:customStyle="1" w:styleId="167">
    <w:name w:val="标题 5 Char"/>
    <w:basedOn w:val="25"/>
    <w:link w:val="6"/>
    <w:qFormat/>
    <w:uiPriority w:val="99"/>
    <w:rPr>
      <w:rFonts w:ascii="宋体" w:hAnsi="宋体" w:cs="宋体"/>
      <w:b/>
      <w:bCs/>
      <w:sz w:val="22"/>
      <w:szCs w:val="22"/>
      <w:lang w:val="zh-CN" w:bidi="zh-CN"/>
    </w:rPr>
  </w:style>
  <w:style w:type="character" w:customStyle="1" w:styleId="168">
    <w:name w:val="标题 6 Char"/>
    <w:basedOn w:val="25"/>
    <w:link w:val="7"/>
    <w:qFormat/>
    <w:uiPriority w:val="99"/>
    <w:rPr>
      <w:rFonts w:ascii="宋体" w:hAnsi="宋体" w:cs="宋体"/>
      <w:b/>
      <w:bCs/>
      <w:sz w:val="21"/>
      <w:szCs w:val="21"/>
      <w:lang w:val="zh-CN" w:bidi="zh-CN"/>
    </w:rPr>
  </w:style>
  <w:style w:type="paragraph" w:customStyle="1" w:styleId="169">
    <w:name w:val="列表段落1"/>
    <w:basedOn w:val="1"/>
    <w:qFormat/>
    <w:uiPriority w:val="99"/>
    <w:pPr>
      <w:autoSpaceDE/>
      <w:autoSpaceDN/>
      <w:spacing w:before="240" w:after="240" w:line="360" w:lineRule="auto"/>
      <w:ind w:firstLine="420" w:firstLineChars="200"/>
      <w:jc w:val="both"/>
    </w:pPr>
    <w:rPr>
      <w:rFonts w:ascii="Calibri" w:hAnsi="Calibri" w:cs="Calibri"/>
      <w:kern w:val="2"/>
      <w:sz w:val="24"/>
      <w:szCs w:val="24"/>
      <w:lang w:val="en-US" w:bidi="ar-SA"/>
    </w:rPr>
  </w:style>
  <w:style w:type="paragraph" w:customStyle="1" w:styleId="170">
    <w:name w:val="p20"/>
    <w:basedOn w:val="1"/>
    <w:qFormat/>
    <w:uiPriority w:val="99"/>
    <w:pPr>
      <w:widowControl/>
      <w:autoSpaceDE/>
      <w:autoSpaceDN/>
      <w:spacing w:before="100" w:beforeAutospacing="1" w:after="100" w:afterAutospacing="1" w:line="360" w:lineRule="auto"/>
    </w:pPr>
    <w:rPr>
      <w:sz w:val="24"/>
      <w:szCs w:val="24"/>
      <w:lang w:val="en-US" w:bidi="ar-SA"/>
    </w:rPr>
  </w:style>
  <w:style w:type="character" w:customStyle="1" w:styleId="171">
    <w:name w:val="17"/>
    <w:basedOn w:val="25"/>
    <w:qFormat/>
    <w:uiPriority w:val="99"/>
  </w:style>
  <w:style w:type="paragraph" w:customStyle="1" w:styleId="172">
    <w:name w:val="p19"/>
    <w:basedOn w:val="1"/>
    <w:qFormat/>
    <w:uiPriority w:val="99"/>
    <w:pPr>
      <w:widowControl/>
      <w:autoSpaceDE/>
      <w:autoSpaceDN/>
      <w:spacing w:before="100" w:beforeAutospacing="1" w:after="100" w:afterAutospacing="1" w:line="360" w:lineRule="auto"/>
    </w:pPr>
    <w:rPr>
      <w:sz w:val="24"/>
      <w:szCs w:val="24"/>
      <w:lang w:val="en-US" w:bidi="ar-SA"/>
    </w:rPr>
  </w:style>
  <w:style w:type="character" w:customStyle="1" w:styleId="173">
    <w:name w:val="16"/>
    <w:basedOn w:val="25"/>
    <w:qFormat/>
    <w:uiPriority w:val="99"/>
  </w:style>
  <w:style w:type="paragraph" w:customStyle="1" w:styleId="174">
    <w:name w:val="p21"/>
    <w:basedOn w:val="1"/>
    <w:qFormat/>
    <w:uiPriority w:val="99"/>
    <w:pPr>
      <w:widowControl/>
      <w:autoSpaceDE/>
      <w:autoSpaceDN/>
      <w:spacing w:before="100" w:beforeAutospacing="1" w:after="100" w:afterAutospacing="1" w:line="360" w:lineRule="auto"/>
    </w:pPr>
    <w:rPr>
      <w:sz w:val="24"/>
      <w:szCs w:val="24"/>
      <w:lang w:val="en-US" w:bidi="ar-SA"/>
    </w:rPr>
  </w:style>
  <w:style w:type="paragraph" w:customStyle="1" w:styleId="175">
    <w:name w:val="p22"/>
    <w:basedOn w:val="1"/>
    <w:qFormat/>
    <w:uiPriority w:val="99"/>
    <w:pPr>
      <w:widowControl/>
      <w:autoSpaceDE/>
      <w:autoSpaceDN/>
      <w:spacing w:before="100" w:beforeAutospacing="1" w:after="100" w:afterAutospacing="1" w:line="360" w:lineRule="auto"/>
    </w:pPr>
    <w:rPr>
      <w:sz w:val="24"/>
      <w:szCs w:val="24"/>
      <w:lang w:val="en-US" w:bidi="ar-SA"/>
    </w:rPr>
  </w:style>
  <w:style w:type="paragraph" w:customStyle="1" w:styleId="176">
    <w:name w:val="p18"/>
    <w:basedOn w:val="1"/>
    <w:qFormat/>
    <w:uiPriority w:val="99"/>
    <w:pPr>
      <w:widowControl/>
      <w:autoSpaceDE/>
      <w:autoSpaceDN/>
      <w:spacing w:before="100" w:beforeAutospacing="1" w:after="100" w:afterAutospacing="1" w:line="360" w:lineRule="auto"/>
    </w:pPr>
    <w:rPr>
      <w:sz w:val="24"/>
      <w:szCs w:val="24"/>
      <w:lang w:val="en-US" w:bidi="ar-SA"/>
    </w:rPr>
  </w:style>
  <w:style w:type="character" w:customStyle="1" w:styleId="177">
    <w:name w:val="15"/>
    <w:basedOn w:val="25"/>
    <w:qFormat/>
    <w:uiPriority w:val="99"/>
  </w:style>
  <w:style w:type="paragraph" w:customStyle="1" w:styleId="178">
    <w:name w:val="reader-word-layer reader-word-s3-12"/>
    <w:basedOn w:val="1"/>
    <w:qFormat/>
    <w:uiPriority w:val="99"/>
    <w:pPr>
      <w:widowControl/>
      <w:autoSpaceDE/>
      <w:autoSpaceDN/>
      <w:spacing w:before="100" w:beforeAutospacing="1" w:after="100" w:afterAutospacing="1" w:line="360" w:lineRule="auto"/>
    </w:pPr>
    <w:rPr>
      <w:sz w:val="24"/>
      <w:szCs w:val="24"/>
      <w:lang w:val="en-US" w:bidi="ar-SA"/>
    </w:rPr>
  </w:style>
  <w:style w:type="paragraph" w:customStyle="1" w:styleId="179">
    <w:name w:val="reader-word-layer reader-word-s4-0"/>
    <w:basedOn w:val="1"/>
    <w:qFormat/>
    <w:uiPriority w:val="99"/>
    <w:pPr>
      <w:widowControl/>
      <w:autoSpaceDE/>
      <w:autoSpaceDN/>
      <w:spacing w:before="100" w:beforeAutospacing="1" w:after="100" w:afterAutospacing="1" w:line="360" w:lineRule="auto"/>
    </w:pPr>
    <w:rPr>
      <w:sz w:val="24"/>
      <w:szCs w:val="24"/>
      <w:lang w:val="en-US" w:bidi="ar-SA"/>
    </w:rPr>
  </w:style>
  <w:style w:type="character" w:customStyle="1" w:styleId="180">
    <w:name w:val="批注框文本 Char"/>
    <w:basedOn w:val="25"/>
    <w:link w:val="14"/>
    <w:qFormat/>
    <w:uiPriority w:val="0"/>
    <w:rPr>
      <w:rFonts w:ascii="宋体" w:hAnsi="宋体" w:cs="宋体"/>
      <w:sz w:val="18"/>
      <w:szCs w:val="18"/>
      <w:lang w:val="zh-CN" w:bidi="zh-CN"/>
    </w:rPr>
  </w:style>
  <w:style w:type="character" w:customStyle="1" w:styleId="181">
    <w:name w:val="批注文字 Char"/>
    <w:basedOn w:val="25"/>
    <w:link w:val="12"/>
    <w:qFormat/>
    <w:uiPriority w:val="0"/>
    <w:rPr>
      <w:rFonts w:ascii="宋体" w:hAnsi="宋体" w:cs="宋体"/>
      <w:sz w:val="22"/>
      <w:szCs w:val="22"/>
      <w:lang w:val="zh-CN" w:bidi="zh-CN"/>
    </w:rPr>
  </w:style>
  <w:style w:type="character" w:customStyle="1" w:styleId="182">
    <w:name w:val="批注主题 Char"/>
    <w:basedOn w:val="181"/>
    <w:link w:val="21"/>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98</Pages>
  <Words>55159</Words>
  <Characters>60726</Characters>
  <Lines>480</Lines>
  <Paragraphs>135</Paragraphs>
  <TotalTime>19</TotalTime>
  <ScaleCrop>false</ScaleCrop>
  <LinksUpToDate>false</LinksUpToDate>
  <CharactersWithSpaces>62657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2020-07-24T08:03:00Z</dcterms:created>
  <dc:creator>微软用户</dc:creator>
  <cp:lastModifiedBy>Dear~</cp:lastModifiedBy>
  <dcterms:modified xsi:type="dcterms:W3CDTF">2020-08-11T07:09:20Z</dcterms:modified>
  <dc:title>医疗设备采购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WPS 文字</vt:lpwstr>
  </property>
  <property fmtid="{D5CDD505-2E9C-101B-9397-08002B2CF9AE}" pid="4" name="LastSaved">
    <vt:filetime>2020-07-03T00:00:00Z</vt:filetime>
  </property>
  <property fmtid="{D5CDD505-2E9C-101B-9397-08002B2CF9AE}" pid="5" name="KSOProductBuildVer">
    <vt:lpwstr>2052-11.1.0.9912</vt:lpwstr>
  </property>
</Properties>
</file>