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color w:val="auto"/>
          <w:sz w:val="52"/>
          <w:szCs w:val="52"/>
          <w:highlight w:val="none"/>
        </w:rPr>
      </w:pPr>
      <w:r>
        <w:drawing>
          <wp:inline distT="0" distB="0" distL="114300" distR="114300">
            <wp:extent cx="6457950" cy="9183370"/>
            <wp:effectExtent l="0" t="0" r="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457950" cy="9183370"/>
                    </a:xfrm>
                    <a:prstGeom prst="rect">
                      <a:avLst/>
                    </a:prstGeom>
                    <a:noFill/>
                    <a:ln>
                      <a:noFill/>
                    </a:ln>
                  </pic:spPr>
                </pic:pic>
              </a:graphicData>
            </a:graphic>
          </wp:inline>
        </w:drawing>
      </w:r>
      <w:r>
        <w:rPr>
          <w:rFonts w:hint="eastAsia" w:ascii="方正小标宋简体" w:hAnsi="宋体" w:eastAsia="方正小标宋简体"/>
          <w:color w:val="auto"/>
          <w:sz w:val="52"/>
          <w:szCs w:val="52"/>
          <w:highlight w:val="none"/>
        </w:rPr>
        <w:t>广西真诚工程咨询有限公司</w:t>
      </w:r>
    </w:p>
    <w:p>
      <w:pPr>
        <w:spacing w:line="360" w:lineRule="auto"/>
        <w:jc w:val="center"/>
        <w:rPr>
          <w:rFonts w:ascii="方正小标宋简体" w:hAnsi="方正小标宋简体" w:eastAsia="方正小标宋简体" w:cs="方正小标宋简体"/>
          <w:b/>
          <w:color w:val="auto"/>
          <w:sz w:val="44"/>
          <w:szCs w:val="44"/>
          <w:highlight w:val="none"/>
        </w:rPr>
      </w:pPr>
      <w:r>
        <w:rPr>
          <w:rFonts w:hint="eastAsia" w:ascii="宋体" w:hAnsi="宋体" w:cs="宋体"/>
          <w:color w:val="auto"/>
          <w:kern w:val="0"/>
          <w:sz w:val="24"/>
          <w:highlight w:val="none"/>
        </w:rPr>
        <w:drawing>
          <wp:inline distT="0" distB="0" distL="114300" distR="114300">
            <wp:extent cx="3178175" cy="2305685"/>
            <wp:effectExtent l="0" t="0" r="317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cstate="print"/>
                    <a:stretch>
                      <a:fillRect/>
                    </a:stretch>
                  </pic:blipFill>
                  <pic:spPr>
                    <a:xfrm>
                      <a:off x="0" y="0"/>
                      <a:ext cx="3178175" cy="2305685"/>
                    </a:xfrm>
                    <a:prstGeom prst="rect">
                      <a:avLst/>
                    </a:prstGeom>
                    <a:noFill/>
                    <a:ln>
                      <a:noFill/>
                    </a:ln>
                  </pic:spPr>
                </pic:pic>
              </a:graphicData>
            </a:graphic>
          </wp:inline>
        </w:drawing>
      </w:r>
    </w:p>
    <w:p>
      <w:pPr>
        <w:snapToGrid w:val="0"/>
        <w:spacing w:before="120"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120"/>
          <w:szCs w:val="120"/>
          <w:highlight w:val="none"/>
        </w:rPr>
        <w:t>招 标 文 件</w:t>
      </w:r>
    </w:p>
    <w:p>
      <w:pPr>
        <w:snapToGrid w:val="0"/>
        <w:spacing w:before="120" w:beforeLines="50"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pPr>
        <w:snapToGrid w:val="0"/>
        <w:spacing w:line="360" w:lineRule="auto"/>
        <w:rPr>
          <w:rFonts w:ascii="仿宋_GB2312" w:hAnsi="宋体" w:eastAsia="仿宋_GB2312"/>
          <w:color w:val="auto"/>
          <w:sz w:val="30"/>
          <w:szCs w:val="72"/>
          <w:highlight w:val="none"/>
        </w:rPr>
      </w:pPr>
    </w:p>
    <w:p>
      <w:pPr>
        <w:pStyle w:val="14"/>
        <w:snapToGrid w:val="0"/>
        <w:spacing w:line="360" w:lineRule="auto"/>
        <w:ind w:firstLine="1205" w:firstLineChars="40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：广西民族师范学院糖化工实验室建设设备采购及安装项目</w:t>
      </w:r>
    </w:p>
    <w:p>
      <w:pPr>
        <w:snapToGrid w:val="0"/>
        <w:spacing w:line="360" w:lineRule="auto"/>
        <w:ind w:firstLine="1145" w:firstLineChars="400"/>
        <w:rPr>
          <w:rFonts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：CZZC2023-G1-00045-GXZC</w:t>
      </w:r>
    </w:p>
    <w:p>
      <w:pPr>
        <w:snapToGrid w:val="0"/>
        <w:spacing w:line="360" w:lineRule="auto"/>
        <w:ind w:firstLine="1205" w:firstLineChars="400"/>
        <w:rPr>
          <w:rFonts w:ascii="仿宋_GB2312" w:hAnsi="宋体" w:eastAsia="仿宋_GB2312"/>
          <w:b/>
          <w:color w:val="auto"/>
          <w:sz w:val="30"/>
          <w:szCs w:val="48"/>
          <w:highlight w:val="none"/>
        </w:rPr>
      </w:pPr>
    </w:p>
    <w:p>
      <w:pPr>
        <w:pStyle w:val="1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 广西民族师范学院</w:t>
      </w:r>
    </w:p>
    <w:p>
      <w:pPr>
        <w:pStyle w:val="1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采购代理机构：广西真诚工程咨询有限公司</w:t>
      </w:r>
    </w:p>
    <w:p>
      <w:pPr>
        <w:pStyle w:val="14"/>
        <w:snapToGrid w:val="0"/>
        <w:spacing w:line="360" w:lineRule="auto"/>
        <w:jc w:val="center"/>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2023年12月</w:t>
      </w:r>
    </w:p>
    <w:p>
      <w:pPr>
        <w:pStyle w:val="14"/>
        <w:snapToGrid w:val="0"/>
        <w:spacing w:before="50" w:after="120" w:line="360" w:lineRule="auto"/>
        <w:jc w:val="center"/>
        <w:rPr>
          <w:rFonts w:ascii="仿宋_GB2312" w:eastAsia="仿宋_GB2312"/>
          <w:color w:val="auto"/>
          <w:szCs w:val="20"/>
          <w:highlight w:val="none"/>
        </w:rPr>
      </w:pPr>
    </w:p>
    <w:p>
      <w:pPr>
        <w:spacing w:line="360" w:lineRule="auto"/>
        <w:ind w:firstLine="420" w:firstLineChars="200"/>
        <w:rPr>
          <w:rFonts w:ascii="仿宋_GB2312" w:hAnsi="宋体" w:eastAsia="仿宋_GB2312"/>
          <w:color w:val="auto"/>
          <w:highlight w:val="none"/>
        </w:rPr>
        <w:sectPr>
          <w:headerReference r:id="rId3" w:type="default"/>
          <w:footerReference r:id="rId4" w:type="default"/>
          <w:pgSz w:w="11906" w:h="16838"/>
          <w:pgMar w:top="1440" w:right="1080" w:bottom="1440" w:left="1080" w:header="851" w:footer="992" w:gutter="0"/>
          <w:cols w:space="720" w:num="1"/>
          <w:docGrid w:linePitch="312" w:charSpace="0"/>
        </w:sectPr>
      </w:pPr>
    </w:p>
    <w:p>
      <w:pPr>
        <w:pStyle w:val="27"/>
        <w:rPr>
          <w:color w:val="auto"/>
          <w:highlight w:val="none"/>
        </w:rPr>
      </w:pPr>
    </w:p>
    <w:p>
      <w:pPr>
        <w:pStyle w:val="14"/>
        <w:spacing w:before="120" w:after="120" w:line="360" w:lineRule="auto"/>
        <w:jc w:val="center"/>
        <w:rPr>
          <w:rFonts w:hAnsi="宋体" w:cs="宋体"/>
          <w:b/>
          <w:bCs/>
          <w:color w:val="auto"/>
          <w:sz w:val="44"/>
          <w:szCs w:val="44"/>
          <w:highlight w:val="none"/>
        </w:rPr>
      </w:pPr>
      <w:r>
        <w:rPr>
          <w:rFonts w:hint="eastAsia" w:hAnsi="宋体" w:cs="宋体"/>
          <w:b/>
          <w:bCs/>
          <w:color w:val="auto"/>
          <w:sz w:val="44"/>
          <w:szCs w:val="44"/>
          <w:highlight w:val="none"/>
        </w:rPr>
        <w:t>目    录</w:t>
      </w:r>
    </w:p>
    <w:p>
      <w:pPr>
        <w:pStyle w:val="19"/>
        <w:tabs>
          <w:tab w:val="right" w:leader="dot" w:pos="9402"/>
        </w:tabs>
        <w:spacing w:line="360" w:lineRule="auto"/>
        <w:rPr>
          <w:b/>
          <w:color w:val="auto"/>
          <w:sz w:val="28"/>
          <w:szCs w:val="32"/>
          <w:highlight w:val="none"/>
        </w:rPr>
      </w:pPr>
      <w:r>
        <w:rPr>
          <w:rFonts w:ascii="仿宋_GB2312" w:hAnsi="宋体" w:eastAsia="仿宋_GB2312"/>
          <w:b/>
          <w:color w:val="auto"/>
          <w:sz w:val="24"/>
          <w:highlight w:val="none"/>
        </w:rPr>
        <w:fldChar w:fldCharType="begin"/>
      </w:r>
      <w:r>
        <w:rPr>
          <w:rFonts w:ascii="仿宋_GB2312" w:hAnsi="宋体" w:eastAsia="仿宋_GB2312"/>
          <w:b/>
          <w:color w:val="auto"/>
          <w:sz w:val="24"/>
          <w:highlight w:val="none"/>
        </w:rPr>
        <w:instrText xml:space="preserve"> </w:instrText>
      </w:r>
      <w:r>
        <w:rPr>
          <w:rFonts w:hint="eastAsia" w:ascii="仿宋_GB2312" w:hAnsi="宋体" w:eastAsia="仿宋_GB2312"/>
          <w:b/>
          <w:color w:val="auto"/>
          <w:sz w:val="24"/>
          <w:highlight w:val="none"/>
        </w:rPr>
        <w:instrText xml:space="preserve">TOC \o "1-2" \h \z \u</w:instrText>
      </w:r>
      <w:r>
        <w:rPr>
          <w:rFonts w:ascii="仿宋_GB2312" w:hAnsi="宋体" w:eastAsia="仿宋_GB2312"/>
          <w:b/>
          <w:color w:val="auto"/>
          <w:sz w:val="24"/>
          <w:highlight w:val="none"/>
        </w:rPr>
        <w:instrText xml:space="preserve"> </w:instrText>
      </w:r>
      <w:r>
        <w:rPr>
          <w:rFonts w:ascii="仿宋_GB2312" w:hAnsi="宋体" w:eastAsia="仿宋_GB2312"/>
          <w:b/>
          <w:color w:val="auto"/>
          <w:sz w:val="24"/>
          <w:highlight w:val="none"/>
        </w:rPr>
        <w:fldChar w:fldCharType="separate"/>
      </w:r>
      <w:r>
        <w:rPr>
          <w:color w:val="auto"/>
          <w:highlight w:val="none"/>
        </w:rPr>
        <w:fldChar w:fldCharType="begin"/>
      </w:r>
      <w:r>
        <w:rPr>
          <w:color w:val="auto"/>
          <w:highlight w:val="none"/>
        </w:rPr>
        <w:instrText xml:space="preserve"> HYPERLINK \l "_Toc19686829" </w:instrText>
      </w:r>
      <w:r>
        <w:rPr>
          <w:color w:val="auto"/>
          <w:highlight w:val="none"/>
        </w:rPr>
        <w:fldChar w:fldCharType="separate"/>
      </w:r>
      <w:r>
        <w:rPr>
          <w:rStyle w:val="25"/>
          <w:rFonts w:hint="eastAsia"/>
          <w:b/>
          <w:color w:val="auto"/>
          <w:sz w:val="28"/>
          <w:szCs w:val="36"/>
          <w:highlight w:val="none"/>
        </w:rPr>
        <w:t>第一章</w:t>
      </w:r>
      <w:r>
        <w:rPr>
          <w:rStyle w:val="25"/>
          <w:b/>
          <w:color w:val="auto"/>
          <w:sz w:val="28"/>
          <w:szCs w:val="36"/>
          <w:highlight w:val="none"/>
        </w:rPr>
        <w:t xml:space="preserve">  </w:t>
      </w:r>
      <w:r>
        <w:rPr>
          <w:rStyle w:val="25"/>
          <w:rFonts w:hint="eastAsia"/>
          <w:b/>
          <w:color w:val="auto"/>
          <w:sz w:val="28"/>
          <w:szCs w:val="36"/>
          <w:highlight w:val="none"/>
        </w:rPr>
        <w:t>招标公告</w:t>
      </w:r>
      <w:r>
        <w:rPr>
          <w:b/>
          <w:color w:val="auto"/>
          <w:sz w:val="28"/>
          <w:szCs w:val="36"/>
          <w:highlight w:val="none"/>
        </w:rPr>
        <w:tab/>
      </w:r>
      <w:r>
        <w:rPr>
          <w:b/>
          <w:color w:val="auto"/>
          <w:sz w:val="28"/>
          <w:szCs w:val="36"/>
          <w:highlight w:val="none"/>
        </w:rPr>
        <w:fldChar w:fldCharType="begin"/>
      </w:r>
      <w:r>
        <w:rPr>
          <w:b/>
          <w:color w:val="auto"/>
          <w:sz w:val="28"/>
          <w:szCs w:val="36"/>
          <w:highlight w:val="none"/>
        </w:rPr>
        <w:instrText xml:space="preserve"> PAGEREF _Toc19686829 \h </w:instrText>
      </w:r>
      <w:r>
        <w:rPr>
          <w:b/>
          <w:color w:val="auto"/>
          <w:sz w:val="28"/>
          <w:szCs w:val="36"/>
          <w:highlight w:val="none"/>
        </w:rPr>
        <w:fldChar w:fldCharType="separate"/>
      </w:r>
      <w:r>
        <w:rPr>
          <w:b/>
          <w:color w:val="auto"/>
          <w:sz w:val="28"/>
          <w:szCs w:val="36"/>
          <w:highlight w:val="none"/>
        </w:rPr>
        <w:t>2</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spacing w:line="360" w:lineRule="auto"/>
        <w:rPr>
          <w:b/>
          <w:color w:val="auto"/>
          <w:sz w:val="28"/>
          <w:szCs w:val="32"/>
          <w:highlight w:val="none"/>
        </w:rPr>
      </w:pPr>
      <w:r>
        <w:rPr>
          <w:color w:val="auto"/>
          <w:highlight w:val="none"/>
        </w:rPr>
        <w:fldChar w:fldCharType="begin"/>
      </w:r>
      <w:r>
        <w:rPr>
          <w:color w:val="auto"/>
          <w:highlight w:val="none"/>
        </w:rPr>
        <w:instrText xml:space="preserve"> HYPERLINK \l "_Toc19686830" </w:instrText>
      </w:r>
      <w:r>
        <w:rPr>
          <w:color w:val="auto"/>
          <w:highlight w:val="none"/>
        </w:rPr>
        <w:fldChar w:fldCharType="separate"/>
      </w:r>
      <w:r>
        <w:rPr>
          <w:rStyle w:val="25"/>
          <w:rFonts w:hint="eastAsia"/>
          <w:b/>
          <w:color w:val="auto"/>
          <w:sz w:val="28"/>
          <w:szCs w:val="36"/>
          <w:highlight w:val="none"/>
        </w:rPr>
        <w:t>第二章</w:t>
      </w:r>
      <w:r>
        <w:rPr>
          <w:rStyle w:val="25"/>
          <w:b/>
          <w:color w:val="auto"/>
          <w:sz w:val="28"/>
          <w:szCs w:val="36"/>
          <w:highlight w:val="none"/>
        </w:rPr>
        <w:t xml:space="preserve">  </w:t>
      </w:r>
      <w:r>
        <w:rPr>
          <w:rStyle w:val="25"/>
          <w:rFonts w:hint="eastAsia"/>
          <w:b/>
          <w:color w:val="auto"/>
          <w:sz w:val="28"/>
          <w:szCs w:val="36"/>
          <w:highlight w:val="none"/>
        </w:rPr>
        <w:t>采购</w:t>
      </w:r>
      <w:bookmarkStart w:id="0" w:name="_Hlt54940052"/>
      <w:bookmarkStart w:id="1" w:name="_Hlt54940053"/>
      <w:r>
        <w:rPr>
          <w:rStyle w:val="25"/>
          <w:rFonts w:hint="eastAsia"/>
          <w:b/>
          <w:color w:val="auto"/>
          <w:sz w:val="28"/>
          <w:szCs w:val="36"/>
          <w:highlight w:val="none"/>
        </w:rPr>
        <w:t>需</w:t>
      </w:r>
      <w:bookmarkEnd w:id="0"/>
      <w:bookmarkEnd w:id="1"/>
      <w:bookmarkStart w:id="2" w:name="_Hlt65491325"/>
      <w:r>
        <w:rPr>
          <w:rStyle w:val="25"/>
          <w:rFonts w:hint="eastAsia"/>
          <w:b/>
          <w:color w:val="auto"/>
          <w:sz w:val="28"/>
          <w:szCs w:val="36"/>
          <w:highlight w:val="none"/>
        </w:rPr>
        <w:t>求</w:t>
      </w:r>
      <w:bookmarkEnd w:id="2"/>
      <w:r>
        <w:rPr>
          <w:b/>
          <w:color w:val="auto"/>
          <w:sz w:val="28"/>
          <w:szCs w:val="36"/>
          <w:highlight w:val="none"/>
        </w:rPr>
        <w:tab/>
      </w:r>
      <w:r>
        <w:rPr>
          <w:b/>
          <w:color w:val="auto"/>
          <w:sz w:val="28"/>
          <w:szCs w:val="36"/>
          <w:highlight w:val="none"/>
        </w:rPr>
        <w:fldChar w:fldCharType="begin"/>
      </w:r>
      <w:r>
        <w:rPr>
          <w:b/>
          <w:color w:val="auto"/>
          <w:sz w:val="28"/>
          <w:szCs w:val="36"/>
          <w:highlight w:val="none"/>
        </w:rPr>
        <w:instrText xml:space="preserve"> PAGEREF _Toc19686830 \h </w:instrText>
      </w:r>
      <w:r>
        <w:rPr>
          <w:b/>
          <w:color w:val="auto"/>
          <w:sz w:val="28"/>
          <w:szCs w:val="36"/>
          <w:highlight w:val="none"/>
        </w:rPr>
        <w:fldChar w:fldCharType="separate"/>
      </w:r>
      <w:r>
        <w:rPr>
          <w:b/>
          <w:color w:val="auto"/>
          <w:sz w:val="28"/>
          <w:szCs w:val="36"/>
          <w:highlight w:val="none"/>
        </w:rPr>
        <w:t>5</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spacing w:line="360" w:lineRule="auto"/>
        <w:rPr>
          <w:b/>
          <w:color w:val="auto"/>
          <w:sz w:val="28"/>
          <w:szCs w:val="32"/>
          <w:highlight w:val="none"/>
        </w:rPr>
      </w:pPr>
      <w:r>
        <w:rPr>
          <w:color w:val="auto"/>
          <w:highlight w:val="none"/>
        </w:rPr>
        <w:fldChar w:fldCharType="begin"/>
      </w:r>
      <w:r>
        <w:rPr>
          <w:color w:val="auto"/>
          <w:highlight w:val="none"/>
        </w:rPr>
        <w:instrText xml:space="preserve"> HYPERLINK \l "_Toc19686831" </w:instrText>
      </w:r>
      <w:r>
        <w:rPr>
          <w:color w:val="auto"/>
          <w:highlight w:val="none"/>
        </w:rPr>
        <w:fldChar w:fldCharType="separate"/>
      </w:r>
      <w:r>
        <w:rPr>
          <w:rStyle w:val="25"/>
          <w:rFonts w:hint="eastAsia"/>
          <w:b/>
          <w:color w:val="auto"/>
          <w:sz w:val="28"/>
          <w:szCs w:val="36"/>
          <w:highlight w:val="none"/>
        </w:rPr>
        <w:t>第三章</w:t>
      </w:r>
      <w:r>
        <w:rPr>
          <w:rStyle w:val="25"/>
          <w:b/>
          <w:color w:val="auto"/>
          <w:sz w:val="28"/>
          <w:szCs w:val="36"/>
          <w:highlight w:val="none"/>
        </w:rPr>
        <w:t xml:space="preserve">  </w:t>
      </w:r>
      <w:r>
        <w:rPr>
          <w:rStyle w:val="25"/>
          <w:rFonts w:hint="eastAsia"/>
          <w:b/>
          <w:color w:val="auto"/>
          <w:sz w:val="28"/>
          <w:szCs w:val="36"/>
          <w:highlight w:val="none"/>
        </w:rPr>
        <w:t>投标</w:t>
      </w:r>
      <w:bookmarkStart w:id="3" w:name="_Hlt30431883"/>
      <w:r>
        <w:rPr>
          <w:rStyle w:val="25"/>
          <w:rFonts w:hint="eastAsia"/>
          <w:b/>
          <w:color w:val="auto"/>
          <w:sz w:val="28"/>
          <w:szCs w:val="36"/>
          <w:highlight w:val="none"/>
        </w:rPr>
        <w:t>人</w:t>
      </w:r>
      <w:bookmarkEnd w:id="3"/>
      <w:bookmarkStart w:id="4" w:name="_Hlt43803608"/>
      <w:bookmarkStart w:id="5" w:name="_Hlt43803607"/>
      <w:r>
        <w:rPr>
          <w:rStyle w:val="25"/>
          <w:rFonts w:hint="eastAsia"/>
          <w:b/>
          <w:color w:val="auto"/>
          <w:sz w:val="28"/>
          <w:szCs w:val="36"/>
          <w:highlight w:val="none"/>
        </w:rPr>
        <w:t>须</w:t>
      </w:r>
      <w:bookmarkEnd w:id="4"/>
      <w:bookmarkEnd w:id="5"/>
      <w:r>
        <w:rPr>
          <w:rStyle w:val="25"/>
          <w:rFonts w:hint="eastAsia"/>
          <w:b/>
          <w:color w:val="auto"/>
          <w:sz w:val="28"/>
          <w:szCs w:val="36"/>
          <w:highlight w:val="none"/>
        </w:rPr>
        <w:t>知</w:t>
      </w:r>
      <w:bookmarkStart w:id="6" w:name="_Hlt43479155"/>
      <w:bookmarkStart w:id="7" w:name="_Hlt43479156"/>
      <w:r>
        <w:rPr>
          <w:b/>
          <w:color w:val="auto"/>
          <w:sz w:val="28"/>
          <w:szCs w:val="36"/>
          <w:highlight w:val="none"/>
        </w:rPr>
        <w:tab/>
      </w:r>
      <w:bookmarkEnd w:id="6"/>
      <w:bookmarkEnd w:id="7"/>
      <w:r>
        <w:rPr>
          <w:b/>
          <w:color w:val="auto"/>
          <w:sz w:val="28"/>
          <w:szCs w:val="36"/>
          <w:highlight w:val="none"/>
        </w:rPr>
        <w:fldChar w:fldCharType="begin"/>
      </w:r>
      <w:r>
        <w:rPr>
          <w:b/>
          <w:color w:val="auto"/>
          <w:sz w:val="28"/>
          <w:szCs w:val="36"/>
          <w:highlight w:val="none"/>
        </w:rPr>
        <w:instrText xml:space="preserve"> PAGEREF _Toc19686831 \h </w:instrText>
      </w:r>
      <w:r>
        <w:rPr>
          <w:b/>
          <w:color w:val="auto"/>
          <w:sz w:val="28"/>
          <w:szCs w:val="36"/>
          <w:highlight w:val="none"/>
        </w:rPr>
        <w:fldChar w:fldCharType="separate"/>
      </w:r>
      <w:r>
        <w:rPr>
          <w:b/>
          <w:color w:val="auto"/>
          <w:sz w:val="28"/>
          <w:szCs w:val="36"/>
          <w:highlight w:val="none"/>
        </w:rPr>
        <w:t>238</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spacing w:line="360" w:lineRule="auto"/>
        <w:rPr>
          <w:b/>
          <w:color w:val="auto"/>
          <w:sz w:val="28"/>
          <w:szCs w:val="32"/>
          <w:highlight w:val="none"/>
        </w:rPr>
      </w:pPr>
      <w:r>
        <w:rPr>
          <w:color w:val="auto"/>
          <w:highlight w:val="none"/>
        </w:rPr>
        <w:fldChar w:fldCharType="begin"/>
      </w:r>
      <w:r>
        <w:rPr>
          <w:color w:val="auto"/>
          <w:highlight w:val="none"/>
        </w:rPr>
        <w:instrText xml:space="preserve"> HYPERLINK \l "_Toc19686832" </w:instrText>
      </w:r>
      <w:r>
        <w:rPr>
          <w:color w:val="auto"/>
          <w:highlight w:val="none"/>
        </w:rPr>
        <w:fldChar w:fldCharType="separate"/>
      </w:r>
      <w:r>
        <w:rPr>
          <w:rStyle w:val="25"/>
          <w:rFonts w:hint="eastAsia"/>
          <w:b/>
          <w:color w:val="auto"/>
          <w:sz w:val="28"/>
          <w:szCs w:val="36"/>
          <w:highlight w:val="none"/>
        </w:rPr>
        <w:t>第四章</w:t>
      </w:r>
      <w:r>
        <w:rPr>
          <w:rStyle w:val="25"/>
          <w:b/>
          <w:color w:val="auto"/>
          <w:sz w:val="28"/>
          <w:szCs w:val="36"/>
          <w:highlight w:val="none"/>
        </w:rPr>
        <w:t xml:space="preserve">  </w:t>
      </w:r>
      <w:r>
        <w:rPr>
          <w:rStyle w:val="25"/>
          <w:rFonts w:hint="eastAsia"/>
          <w:b/>
          <w:color w:val="auto"/>
          <w:sz w:val="28"/>
          <w:szCs w:val="36"/>
          <w:highlight w:val="none"/>
        </w:rPr>
        <w:t>评标方</w:t>
      </w:r>
      <w:bookmarkStart w:id="8" w:name="_Hlt43881606"/>
      <w:r>
        <w:rPr>
          <w:rStyle w:val="25"/>
          <w:rFonts w:hint="eastAsia"/>
          <w:b/>
          <w:color w:val="auto"/>
          <w:sz w:val="28"/>
          <w:szCs w:val="36"/>
          <w:highlight w:val="none"/>
        </w:rPr>
        <w:t>法</w:t>
      </w:r>
      <w:bookmarkEnd w:id="8"/>
      <w:bookmarkStart w:id="9" w:name="_Hlt78899684"/>
      <w:bookmarkStart w:id="10" w:name="_Hlt78899685"/>
      <w:r>
        <w:rPr>
          <w:rStyle w:val="25"/>
          <w:rFonts w:hint="eastAsia"/>
          <w:b/>
          <w:color w:val="auto"/>
          <w:sz w:val="28"/>
          <w:szCs w:val="36"/>
          <w:highlight w:val="none"/>
        </w:rPr>
        <w:t>及</w:t>
      </w:r>
      <w:bookmarkEnd w:id="9"/>
      <w:bookmarkEnd w:id="10"/>
      <w:r>
        <w:rPr>
          <w:rStyle w:val="25"/>
          <w:rFonts w:hint="eastAsia"/>
          <w:b/>
          <w:color w:val="auto"/>
          <w:sz w:val="28"/>
          <w:szCs w:val="36"/>
          <w:highlight w:val="none"/>
        </w:rPr>
        <w:t>评标标准</w:t>
      </w:r>
      <w:r>
        <w:rPr>
          <w:b/>
          <w:color w:val="auto"/>
          <w:sz w:val="28"/>
          <w:szCs w:val="36"/>
          <w:highlight w:val="none"/>
        </w:rPr>
        <w:tab/>
      </w:r>
      <w:r>
        <w:rPr>
          <w:b/>
          <w:color w:val="auto"/>
          <w:sz w:val="28"/>
          <w:szCs w:val="36"/>
          <w:highlight w:val="none"/>
        </w:rPr>
        <w:fldChar w:fldCharType="begin"/>
      </w:r>
      <w:r>
        <w:rPr>
          <w:b/>
          <w:color w:val="auto"/>
          <w:sz w:val="28"/>
          <w:szCs w:val="36"/>
          <w:highlight w:val="none"/>
        </w:rPr>
        <w:instrText xml:space="preserve"> PAGEREF _Toc19686832 \h </w:instrText>
      </w:r>
      <w:r>
        <w:rPr>
          <w:b/>
          <w:color w:val="auto"/>
          <w:sz w:val="28"/>
          <w:szCs w:val="36"/>
          <w:highlight w:val="none"/>
        </w:rPr>
        <w:fldChar w:fldCharType="separate"/>
      </w:r>
      <w:r>
        <w:rPr>
          <w:b/>
          <w:color w:val="auto"/>
          <w:sz w:val="28"/>
          <w:szCs w:val="36"/>
          <w:highlight w:val="none"/>
        </w:rPr>
        <w:t>259</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spacing w:line="360" w:lineRule="auto"/>
        <w:rPr>
          <w:b/>
          <w:color w:val="auto"/>
          <w:sz w:val="28"/>
          <w:szCs w:val="32"/>
          <w:highlight w:val="none"/>
        </w:rPr>
      </w:pPr>
      <w:r>
        <w:rPr>
          <w:color w:val="auto"/>
          <w:highlight w:val="none"/>
        </w:rPr>
        <w:fldChar w:fldCharType="begin"/>
      </w:r>
      <w:r>
        <w:rPr>
          <w:color w:val="auto"/>
          <w:highlight w:val="none"/>
        </w:rPr>
        <w:instrText xml:space="preserve"> HYPERLINK \l "_Toc19686833" </w:instrText>
      </w:r>
      <w:r>
        <w:rPr>
          <w:color w:val="auto"/>
          <w:highlight w:val="none"/>
        </w:rPr>
        <w:fldChar w:fldCharType="separate"/>
      </w:r>
      <w:r>
        <w:rPr>
          <w:rStyle w:val="25"/>
          <w:rFonts w:hint="eastAsia"/>
          <w:b/>
          <w:color w:val="auto"/>
          <w:sz w:val="28"/>
          <w:szCs w:val="36"/>
          <w:highlight w:val="none"/>
        </w:rPr>
        <w:t>第五章</w:t>
      </w:r>
      <w:r>
        <w:rPr>
          <w:rStyle w:val="25"/>
          <w:b/>
          <w:color w:val="auto"/>
          <w:sz w:val="28"/>
          <w:szCs w:val="36"/>
          <w:highlight w:val="none"/>
        </w:rPr>
        <w:t xml:space="preserve">  </w:t>
      </w:r>
      <w:r>
        <w:rPr>
          <w:rStyle w:val="25"/>
          <w:rFonts w:hint="eastAsia"/>
          <w:b/>
          <w:color w:val="auto"/>
          <w:sz w:val="28"/>
          <w:szCs w:val="36"/>
          <w:highlight w:val="none"/>
        </w:rPr>
        <w:t>拟签订的合同文本</w:t>
      </w:r>
      <w:r>
        <w:rPr>
          <w:b/>
          <w:color w:val="auto"/>
          <w:sz w:val="28"/>
          <w:szCs w:val="36"/>
          <w:highlight w:val="none"/>
        </w:rPr>
        <w:tab/>
      </w:r>
      <w:r>
        <w:rPr>
          <w:b/>
          <w:color w:val="auto"/>
          <w:sz w:val="28"/>
          <w:szCs w:val="36"/>
          <w:highlight w:val="none"/>
        </w:rPr>
        <w:fldChar w:fldCharType="begin"/>
      </w:r>
      <w:r>
        <w:rPr>
          <w:b/>
          <w:color w:val="auto"/>
          <w:sz w:val="28"/>
          <w:szCs w:val="36"/>
          <w:highlight w:val="none"/>
        </w:rPr>
        <w:instrText xml:space="preserve"> PAGEREF _Toc19686833 \h </w:instrText>
      </w:r>
      <w:r>
        <w:rPr>
          <w:b/>
          <w:color w:val="auto"/>
          <w:sz w:val="28"/>
          <w:szCs w:val="36"/>
          <w:highlight w:val="none"/>
        </w:rPr>
        <w:fldChar w:fldCharType="separate"/>
      </w:r>
      <w:r>
        <w:rPr>
          <w:b/>
          <w:color w:val="auto"/>
          <w:sz w:val="28"/>
          <w:szCs w:val="36"/>
          <w:highlight w:val="none"/>
        </w:rPr>
        <w:t>266</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spacing w:line="360" w:lineRule="auto"/>
        <w:rPr>
          <w:color w:val="auto"/>
          <w:szCs w:val="22"/>
          <w:highlight w:val="none"/>
        </w:rPr>
      </w:pPr>
      <w:r>
        <w:rPr>
          <w:color w:val="auto"/>
          <w:highlight w:val="none"/>
        </w:rPr>
        <w:fldChar w:fldCharType="begin"/>
      </w:r>
      <w:r>
        <w:rPr>
          <w:color w:val="auto"/>
          <w:highlight w:val="none"/>
        </w:rPr>
        <w:instrText xml:space="preserve"> HYPERLINK \l "_Toc19686834" </w:instrText>
      </w:r>
      <w:r>
        <w:rPr>
          <w:color w:val="auto"/>
          <w:highlight w:val="none"/>
        </w:rPr>
        <w:fldChar w:fldCharType="separate"/>
      </w:r>
      <w:r>
        <w:rPr>
          <w:rStyle w:val="25"/>
          <w:rFonts w:hint="eastAsia"/>
          <w:b/>
          <w:color w:val="auto"/>
          <w:sz w:val="28"/>
          <w:szCs w:val="36"/>
          <w:highlight w:val="none"/>
        </w:rPr>
        <w:t>第六章　投标文件格式</w:t>
      </w:r>
      <w:r>
        <w:rPr>
          <w:b/>
          <w:color w:val="auto"/>
          <w:sz w:val="28"/>
          <w:szCs w:val="36"/>
          <w:highlight w:val="none"/>
        </w:rPr>
        <w:tab/>
      </w:r>
      <w:r>
        <w:rPr>
          <w:b/>
          <w:color w:val="auto"/>
          <w:sz w:val="28"/>
          <w:szCs w:val="36"/>
          <w:highlight w:val="none"/>
        </w:rPr>
        <w:fldChar w:fldCharType="begin"/>
      </w:r>
      <w:r>
        <w:rPr>
          <w:b/>
          <w:color w:val="auto"/>
          <w:sz w:val="28"/>
          <w:szCs w:val="36"/>
          <w:highlight w:val="none"/>
        </w:rPr>
        <w:instrText xml:space="preserve"> PAGEREF _Toc19686834 \h </w:instrText>
      </w:r>
      <w:r>
        <w:rPr>
          <w:b/>
          <w:color w:val="auto"/>
          <w:sz w:val="28"/>
          <w:szCs w:val="36"/>
          <w:highlight w:val="none"/>
        </w:rPr>
        <w:fldChar w:fldCharType="separate"/>
      </w:r>
      <w:r>
        <w:rPr>
          <w:b/>
          <w:color w:val="auto"/>
          <w:sz w:val="28"/>
          <w:szCs w:val="36"/>
          <w:highlight w:val="none"/>
        </w:rPr>
        <w:t>273</w:t>
      </w:r>
      <w:r>
        <w:rPr>
          <w:b/>
          <w:color w:val="auto"/>
          <w:sz w:val="28"/>
          <w:szCs w:val="36"/>
          <w:highlight w:val="none"/>
        </w:rPr>
        <w:fldChar w:fldCharType="end"/>
      </w:r>
      <w:r>
        <w:rPr>
          <w:b/>
          <w:color w:val="auto"/>
          <w:sz w:val="28"/>
          <w:szCs w:val="36"/>
          <w:highlight w:val="none"/>
        </w:rPr>
        <w:fldChar w:fldCharType="end"/>
      </w:r>
    </w:p>
    <w:p>
      <w:pPr>
        <w:pStyle w:val="19"/>
        <w:tabs>
          <w:tab w:val="right" w:leader="dot" w:pos="9402"/>
        </w:tabs>
        <w:rPr>
          <w:color w:val="auto"/>
          <w:szCs w:val="22"/>
          <w:highlight w:val="none"/>
        </w:rPr>
      </w:pPr>
    </w:p>
    <w:p>
      <w:pPr>
        <w:spacing w:before="165" w:beforeLines="50" w:line="480" w:lineRule="exact"/>
        <w:rPr>
          <w:rFonts w:ascii="仿宋_GB2312" w:hAnsi="宋体" w:eastAsia="仿宋_GB2312"/>
          <w:color w:val="auto"/>
          <w:sz w:val="24"/>
          <w:highlight w:val="none"/>
        </w:rPr>
      </w:pPr>
      <w:r>
        <w:rPr>
          <w:rFonts w:ascii="仿宋_GB2312" w:hAnsi="宋体" w:eastAsia="仿宋_GB2312"/>
          <w:b/>
          <w:color w:val="auto"/>
          <w:sz w:val="24"/>
          <w:highlight w:val="none"/>
        </w:rPr>
        <w:fldChar w:fldCharType="end"/>
      </w:r>
    </w:p>
    <w:p>
      <w:pPr>
        <w:spacing w:before="165" w:beforeLines="50" w:line="480" w:lineRule="exact"/>
        <w:rPr>
          <w:rFonts w:ascii="仿宋_GB2312" w:hAnsi="宋体" w:eastAsia="仿宋_GB2312"/>
          <w:color w:val="auto"/>
          <w:sz w:val="30"/>
          <w:highlight w:val="none"/>
        </w:rPr>
      </w:pPr>
    </w:p>
    <w:p>
      <w:pPr>
        <w:rPr>
          <w:color w:val="auto"/>
          <w:highlight w:val="none"/>
        </w:rPr>
      </w:pPr>
    </w:p>
    <w:p>
      <w:pPr>
        <w:spacing w:before="165" w:beforeLines="50" w:line="480" w:lineRule="exact"/>
        <w:rPr>
          <w:rFonts w:ascii="仿宋_GB2312" w:hAnsi="宋体" w:eastAsia="仿宋_GB2312"/>
          <w:color w:val="auto"/>
          <w:sz w:val="30"/>
          <w:highlight w:val="none"/>
        </w:rPr>
      </w:pPr>
    </w:p>
    <w:p>
      <w:pPr>
        <w:spacing w:before="165" w:beforeLines="50" w:line="480" w:lineRule="exact"/>
        <w:rPr>
          <w:rFonts w:ascii="仿宋_GB2312" w:hAnsi="宋体" w:eastAsia="仿宋_GB2312"/>
          <w:color w:val="auto"/>
          <w:sz w:val="30"/>
          <w:highlight w:val="none"/>
        </w:rPr>
      </w:pPr>
    </w:p>
    <w:p>
      <w:pPr>
        <w:pStyle w:val="9"/>
        <w:rPr>
          <w:rFonts w:ascii="宋体" w:hAnsi="宋体" w:cs="宋体"/>
          <w:b/>
          <w:bCs/>
          <w:color w:val="auto"/>
          <w:highlight w:val="none"/>
        </w:rPr>
      </w:pPr>
      <w:bookmarkStart w:id="11" w:name="_Toc254970630"/>
      <w:bookmarkStart w:id="12" w:name="_Toc254970489"/>
    </w:p>
    <w:p>
      <w:pPr>
        <w:pStyle w:val="3"/>
        <w:jc w:val="center"/>
        <w:textAlignment w:val="baseline"/>
        <w:rPr>
          <w:rFonts w:ascii="宋体" w:cs="宋体"/>
          <w:color w:val="auto"/>
          <w:highlight w:val="none"/>
        </w:rPr>
      </w:pPr>
      <w:r>
        <w:rPr>
          <w:rFonts w:ascii="宋体" w:hAnsi="宋体" w:cs="宋体"/>
          <w:b w:val="0"/>
          <w:bCs w:val="0"/>
          <w:color w:val="auto"/>
          <w:highlight w:val="none"/>
        </w:rPr>
        <w:br w:type="page"/>
      </w:r>
      <w:bookmarkStart w:id="13" w:name="_Toc19686829"/>
      <w:r>
        <w:rPr>
          <w:rFonts w:hint="eastAsia"/>
          <w:color w:val="auto"/>
          <w:highlight w:val="none"/>
        </w:rPr>
        <w:t>第一章</w:t>
      </w:r>
      <w:bookmarkEnd w:id="11"/>
      <w:bookmarkEnd w:id="12"/>
      <w:bookmarkEnd w:id="13"/>
      <w:bookmarkStart w:id="14" w:name="_Toc35393789"/>
      <w:bookmarkStart w:id="15" w:name="_Toc28359001"/>
      <w:r>
        <w:rPr>
          <w:rFonts w:hint="eastAsia"/>
          <w:color w:val="auto"/>
          <w:highlight w:val="none"/>
        </w:rPr>
        <w:t xml:space="preserve"> </w:t>
      </w:r>
      <w:bookmarkEnd w:id="14"/>
      <w:bookmarkEnd w:id="15"/>
      <w:bookmarkStart w:id="16" w:name="_Toc28359087"/>
      <w:bookmarkStart w:id="17" w:name="_Toc28359010"/>
      <w:r>
        <w:rPr>
          <w:rFonts w:hint="eastAsia" w:ascii="宋体" w:hAnsi="宋体" w:cs="宋体"/>
          <w:color w:val="auto"/>
          <w:highlight w:val="none"/>
        </w:rPr>
        <w:t>招标公告</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color w:val="auto"/>
          <w:szCs w:val="21"/>
          <w:highlight w:val="none"/>
        </w:rPr>
      </w:pPr>
      <w:r>
        <w:rPr>
          <w:rFonts w:hint="eastAsia" w:ascii="宋体" w:hAnsi="宋体"/>
          <w:color w:val="auto"/>
          <w:szCs w:val="21"/>
          <w:highlight w:val="none"/>
          <w:u w:val="single"/>
        </w:rPr>
        <w:t>广西民族师范学院糖化工实验室建设设备采购及安装项目</w:t>
      </w:r>
      <w:r>
        <w:rPr>
          <w:rFonts w:hint="eastAsia" w:ascii="宋体" w:hAnsi="宋体"/>
          <w:color w:val="auto"/>
          <w:szCs w:val="21"/>
          <w:highlight w:val="none"/>
        </w:rPr>
        <w:t>的潜在投标人应在</w:t>
      </w:r>
      <w:r>
        <w:rPr>
          <w:rFonts w:hint="eastAsia" w:ascii="宋体" w:hAnsi="宋体"/>
          <w:color w:val="auto"/>
          <w:szCs w:val="21"/>
          <w:highlight w:val="none"/>
          <w:u w:val="single"/>
        </w:rPr>
        <w:t>政采云平台（</w:t>
      </w:r>
      <w:r>
        <w:rPr>
          <w:rFonts w:ascii="宋体" w:hAnsi="宋体"/>
          <w:color w:val="auto"/>
          <w:szCs w:val="21"/>
          <w:highlight w:val="none"/>
          <w:u w:val="single"/>
        </w:rPr>
        <w:t>www.zcygov.cn</w:t>
      </w:r>
      <w:r>
        <w:rPr>
          <w:rFonts w:hint="eastAsia" w:ascii="宋体" w:hAnsi="宋体"/>
          <w:color w:val="auto"/>
          <w:szCs w:val="21"/>
          <w:highlight w:val="none"/>
          <w:u w:val="single"/>
        </w:rPr>
        <w:t>）</w:t>
      </w:r>
      <w:r>
        <w:rPr>
          <w:rFonts w:hint="eastAsia" w:ascii="宋体" w:hAnsi="宋体"/>
          <w:color w:val="auto"/>
          <w:szCs w:val="21"/>
          <w:highlight w:val="none"/>
        </w:rPr>
        <w:t>获取招标文件，并于</w:t>
      </w:r>
      <w:r>
        <w:rPr>
          <w:rFonts w:hint="eastAsia" w:ascii="宋体" w:hAnsi="宋体"/>
          <w:color w:val="auto"/>
          <w:szCs w:val="21"/>
          <w:highlight w:val="none"/>
          <w:u w:val="single"/>
        </w:rPr>
        <w:t>2024年</w:t>
      </w:r>
      <w:r>
        <w:rPr>
          <w:rFonts w:hint="eastAsia" w:ascii="宋体" w:hAnsi="宋体"/>
          <w:color w:val="auto"/>
          <w:szCs w:val="21"/>
          <w:highlight w:val="none"/>
          <w:u w:val="single"/>
          <w:lang w:eastAsia="zh-CN"/>
        </w:rPr>
        <w:t>01月16日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color w:val="auto"/>
          <w:szCs w:val="21"/>
          <w:highlight w:val="none"/>
          <w:u w:val="single"/>
        </w:rPr>
        <w:t>00分</w:t>
      </w:r>
      <w:r>
        <w:rPr>
          <w:rFonts w:hint="eastAsia" w:ascii="宋体" w:hAnsi="宋体"/>
          <w:color w:val="auto"/>
          <w:szCs w:val="21"/>
          <w:highlight w:val="none"/>
          <w:u w:val="single"/>
        </w:rPr>
        <w:t>（</w:t>
      </w:r>
      <w:r>
        <w:rPr>
          <w:rFonts w:hint="eastAsia" w:ascii="宋体" w:hAnsi="宋体"/>
          <w:bCs/>
          <w:color w:val="auto"/>
          <w:szCs w:val="21"/>
          <w:highlight w:val="none"/>
        </w:rPr>
        <w:t>北京时间）前递交投标文件</w:t>
      </w:r>
      <w:r>
        <w:rPr>
          <w:rFonts w:hint="eastAsia" w:ascii="宋体" w:hAnsi="宋体"/>
          <w:color w:val="auto"/>
          <w:szCs w:val="21"/>
          <w:highlight w:val="none"/>
        </w:rPr>
        <w:t>。</w:t>
      </w:r>
    </w:p>
    <w:p>
      <w:pPr>
        <w:keepNext/>
        <w:keepLines/>
        <w:adjustRightInd w:val="0"/>
        <w:snapToGrid w:val="0"/>
        <w:spacing w:line="380" w:lineRule="exact"/>
        <w:ind w:firstLine="422" w:firstLineChars="200"/>
        <w:outlineLvl w:val="1"/>
        <w:rPr>
          <w:rFonts w:ascii="宋体" w:cs="宋体"/>
          <w:bCs/>
          <w:color w:val="auto"/>
          <w:szCs w:val="21"/>
          <w:highlight w:val="none"/>
        </w:rPr>
      </w:pPr>
      <w:bookmarkStart w:id="18" w:name="_Toc28359002"/>
      <w:bookmarkStart w:id="19" w:name="_Toc35393790"/>
      <w:bookmarkStart w:id="20" w:name="_Toc28359079"/>
      <w:bookmarkStart w:id="21" w:name="_Toc35393621"/>
      <w:bookmarkStart w:id="22" w:name="_Toc44405601"/>
      <w:bookmarkStart w:id="23" w:name="_Hlk24379207"/>
      <w:r>
        <w:rPr>
          <w:rFonts w:hint="eastAsia" w:ascii="宋体" w:hAnsi="宋体" w:cs="宋体"/>
          <w:b/>
          <w:color w:val="auto"/>
          <w:szCs w:val="21"/>
          <w:highlight w:val="none"/>
        </w:rPr>
        <w:t>一、项目基本情况</w:t>
      </w:r>
      <w:bookmarkEnd w:id="18"/>
      <w:bookmarkEnd w:id="19"/>
      <w:bookmarkEnd w:id="20"/>
      <w:bookmarkEnd w:id="21"/>
      <w:bookmarkEnd w:id="22"/>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项目编号：CZZC2023-G1-00045-GXZC</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项目名称：广西民族师范学院糖化工实验室建设设备采购及安装项目</w:t>
      </w:r>
    </w:p>
    <w:bookmarkEnd w:id="23"/>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采购方式：公开招标</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预算金额：536.004899万元</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最高限价：536.004899万元</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采购需求：化生学院实验室建设项目，主要分为物资与服务采购部分及装修工程部分（其中：物资与服务采购部分预算金额为¥3347764.00元，装修工程部分预算金额为¥2012284.99元。），具体参数详见采购文件。</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合同履行期限：签订合同之日起90日历天内安装完成验收并交付使用。</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keepNext/>
        <w:keepLines/>
        <w:adjustRightInd w:val="0"/>
        <w:snapToGrid w:val="0"/>
        <w:spacing w:line="380" w:lineRule="exact"/>
        <w:ind w:firstLine="422" w:firstLineChars="200"/>
        <w:outlineLvl w:val="1"/>
        <w:rPr>
          <w:rFonts w:ascii="宋体" w:cs="宋体"/>
          <w:bCs/>
          <w:color w:val="auto"/>
          <w:szCs w:val="21"/>
          <w:highlight w:val="none"/>
        </w:rPr>
      </w:pPr>
      <w:bookmarkStart w:id="24" w:name="_Toc28359003"/>
      <w:bookmarkStart w:id="25" w:name="_Toc35393791"/>
      <w:bookmarkStart w:id="26" w:name="_Toc28359080"/>
      <w:bookmarkStart w:id="27" w:name="_Toc44405602"/>
      <w:bookmarkStart w:id="28" w:name="_Toc35393622"/>
      <w:r>
        <w:rPr>
          <w:rFonts w:hint="eastAsia" w:ascii="宋体" w:hAnsi="宋体" w:cs="宋体"/>
          <w:b/>
          <w:color w:val="auto"/>
          <w:szCs w:val="21"/>
          <w:highlight w:val="none"/>
        </w:rPr>
        <w:t>二、申请人的资格要求</w:t>
      </w:r>
      <w:r>
        <w:rPr>
          <w:rFonts w:hint="eastAsia" w:ascii="宋体" w:hAnsi="宋体" w:cs="宋体"/>
          <w:bCs/>
          <w:color w:val="auto"/>
          <w:szCs w:val="21"/>
          <w:highlight w:val="none"/>
        </w:rPr>
        <w:t>：</w:t>
      </w:r>
      <w:bookmarkEnd w:id="24"/>
      <w:bookmarkEnd w:id="25"/>
      <w:bookmarkEnd w:id="26"/>
      <w:bookmarkEnd w:id="27"/>
      <w:bookmarkEnd w:id="28"/>
    </w:p>
    <w:p>
      <w:pPr>
        <w:adjustRightInd w:val="0"/>
        <w:snapToGrid w:val="0"/>
        <w:spacing w:line="380" w:lineRule="exact"/>
        <w:ind w:firstLine="420" w:firstLineChars="200"/>
        <w:rPr>
          <w:rFonts w:ascii="宋体" w:hAnsi="宋体"/>
          <w:color w:val="auto"/>
          <w:szCs w:val="21"/>
          <w:highlight w:val="none"/>
        </w:rPr>
      </w:pPr>
      <w:bookmarkStart w:id="29" w:name="_Toc35393623"/>
      <w:bookmarkStart w:id="30" w:name="_Toc35393792"/>
      <w:bookmarkStart w:id="31" w:name="_Toc44405603"/>
      <w:bookmarkStart w:id="32" w:name="_Toc28359004"/>
      <w:bookmarkStart w:id="33" w:name="_Toc28359081"/>
      <w:r>
        <w:rPr>
          <w:rFonts w:hint="eastAsia" w:ascii="宋体" w:hAnsi="宋体"/>
          <w:color w:val="auto"/>
          <w:szCs w:val="21"/>
          <w:highlight w:val="none"/>
        </w:rPr>
        <w:t>1.满足《中华人民共和国政府采购法》第二十二条规定；</w:t>
      </w:r>
    </w:p>
    <w:p>
      <w:pPr>
        <w:adjustRightInd w:val="0"/>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iCs/>
          <w:color w:val="auto"/>
          <w:szCs w:val="21"/>
          <w:highlight w:val="none"/>
        </w:rPr>
        <w:t>：</w:t>
      </w:r>
      <w:r>
        <w:rPr>
          <w:rFonts w:hint="eastAsia" w:ascii="宋体" w:hAnsi="宋体" w:cs="宋体"/>
          <w:bCs/>
          <w:color w:val="auto"/>
          <w:szCs w:val="21"/>
          <w:highlight w:val="none"/>
        </w:rPr>
        <w:t>本项目专门面向中小企业采购的项目,供应商应为中小企业、监狱企业、残疾人福利性单位</w:t>
      </w:r>
      <w:r>
        <w:rPr>
          <w:rFonts w:hint="eastAsia" w:ascii="宋体" w:hAnsi="宋体"/>
          <w:iCs/>
          <w:color w:val="auto"/>
          <w:szCs w:val="21"/>
          <w:highlight w:val="none"/>
        </w:rPr>
        <w:t>；</w:t>
      </w:r>
    </w:p>
    <w:p>
      <w:pPr>
        <w:adjustRightInd w:val="0"/>
        <w:snapToGrid w:val="0"/>
        <w:spacing w:line="380" w:lineRule="exact"/>
        <w:ind w:firstLine="420" w:firstLineChars="200"/>
        <w:rPr>
          <w:rFonts w:ascii="宋体"/>
          <w:color w:val="auto"/>
          <w:szCs w:val="21"/>
          <w:highlight w:val="none"/>
        </w:rPr>
      </w:pPr>
      <w:r>
        <w:rPr>
          <w:rFonts w:hint="eastAsia" w:ascii="宋体" w:hAnsi="宋体"/>
          <w:color w:val="auto"/>
          <w:szCs w:val="21"/>
          <w:highlight w:val="none"/>
        </w:rPr>
        <w:t>3.本项目的特定资格要求：</w:t>
      </w:r>
      <w:r>
        <w:rPr>
          <w:rFonts w:hint="eastAsia"/>
          <w:bCs/>
          <w:color w:val="auto"/>
          <w:highlight w:val="none"/>
        </w:rPr>
        <w:t>无</w:t>
      </w:r>
      <w:r>
        <w:rPr>
          <w:rFonts w:hint="eastAsia" w:ascii="宋体" w:hAnsi="宋体"/>
          <w:color w:val="auto"/>
          <w:szCs w:val="21"/>
          <w:highlight w:val="none"/>
        </w:rPr>
        <w:t>。</w:t>
      </w:r>
    </w:p>
    <w:p>
      <w:pPr>
        <w:adjustRightInd w:val="0"/>
        <w:snapToGrid w:val="0"/>
        <w:spacing w:line="380" w:lineRule="exact"/>
        <w:ind w:firstLine="422" w:firstLineChars="200"/>
        <w:rPr>
          <w:rFonts w:ascii="宋体" w:cs="宋体"/>
          <w:b/>
          <w:color w:val="auto"/>
          <w:szCs w:val="21"/>
          <w:highlight w:val="none"/>
        </w:rPr>
      </w:pPr>
      <w:r>
        <w:rPr>
          <w:rFonts w:hint="eastAsia" w:ascii="宋体" w:hAnsi="宋体" w:cs="宋体"/>
          <w:b/>
          <w:color w:val="auto"/>
          <w:szCs w:val="21"/>
          <w:highlight w:val="none"/>
        </w:rPr>
        <w:t>三、获取招标文件</w:t>
      </w:r>
      <w:bookmarkEnd w:id="29"/>
      <w:bookmarkEnd w:id="30"/>
      <w:bookmarkEnd w:id="31"/>
      <w:bookmarkEnd w:id="32"/>
      <w:bookmarkEnd w:id="33"/>
      <w:r>
        <w:rPr>
          <w:rFonts w:hint="eastAsia" w:ascii="宋体" w:hAnsi="宋体" w:cs="宋体"/>
          <w:b/>
          <w:color w:val="auto"/>
          <w:szCs w:val="21"/>
          <w:highlight w:val="none"/>
        </w:rPr>
        <w:t>：</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s="宋体"/>
          <w:bCs/>
          <w:color w:val="auto"/>
          <w:szCs w:val="21"/>
          <w:highlight w:val="none"/>
        </w:rPr>
        <w:t>时间：自公告发布之日起至202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01</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日止，每天上午</w:t>
      </w:r>
      <w:r>
        <w:rPr>
          <w:rFonts w:ascii="宋体" w:hAnsi="宋体" w:cs="宋体"/>
          <w:bCs/>
          <w:color w:val="auto"/>
          <w:szCs w:val="21"/>
          <w:highlight w:val="none"/>
        </w:rPr>
        <w:t>0</w:t>
      </w:r>
      <w:r>
        <w:rPr>
          <w:rFonts w:hint="eastAsia" w:ascii="宋体" w:hAnsi="宋体" w:cs="宋体"/>
          <w:bCs/>
          <w:color w:val="auto"/>
          <w:szCs w:val="21"/>
          <w:highlight w:val="none"/>
        </w:rPr>
        <w:t>0：</w:t>
      </w:r>
      <w:r>
        <w:rPr>
          <w:rFonts w:hint="eastAsia" w:ascii="宋体" w:cs="宋体"/>
          <w:bCs/>
          <w:color w:val="auto"/>
          <w:szCs w:val="21"/>
          <w:highlight w:val="none"/>
        </w:rPr>
        <w:t>0</w:t>
      </w:r>
      <w:r>
        <w:rPr>
          <w:rFonts w:ascii="宋体" w:cs="宋体"/>
          <w:bCs/>
          <w:color w:val="auto"/>
          <w:szCs w:val="21"/>
          <w:highlight w:val="none"/>
        </w:rPr>
        <w:t>0</w:t>
      </w:r>
      <w:r>
        <w:rPr>
          <w:rFonts w:hint="eastAsia" w:ascii="宋体" w:hAnsi="宋体" w:cs="宋体"/>
          <w:bCs/>
          <w:color w:val="auto"/>
          <w:szCs w:val="21"/>
          <w:highlight w:val="none"/>
        </w:rPr>
        <w:t>至</w:t>
      </w:r>
      <w:r>
        <w:rPr>
          <w:rFonts w:ascii="宋体" w:hAnsi="宋体" w:cs="宋体"/>
          <w:bCs/>
          <w:color w:val="auto"/>
          <w:szCs w:val="21"/>
          <w:highlight w:val="none"/>
        </w:rPr>
        <w:t>12</w:t>
      </w:r>
      <w:r>
        <w:rPr>
          <w:rFonts w:hint="eastAsia" w:ascii="宋体" w:hAnsi="宋体" w:cs="宋体"/>
          <w:bCs/>
          <w:color w:val="auto"/>
          <w:szCs w:val="21"/>
          <w:highlight w:val="none"/>
        </w:rPr>
        <w:t>：</w:t>
      </w:r>
      <w:r>
        <w:rPr>
          <w:rFonts w:ascii="宋体" w:cs="宋体"/>
          <w:bCs/>
          <w:color w:val="auto"/>
          <w:szCs w:val="21"/>
          <w:highlight w:val="none"/>
        </w:rPr>
        <w:t>00</w:t>
      </w:r>
      <w:r>
        <w:rPr>
          <w:rFonts w:hint="eastAsia" w:ascii="宋体" w:hAnsi="宋体" w:cs="宋体"/>
          <w:bCs/>
          <w:color w:val="auto"/>
          <w:szCs w:val="21"/>
          <w:highlight w:val="none"/>
        </w:rPr>
        <w:t>，下午</w:t>
      </w:r>
      <w:r>
        <w:rPr>
          <w:rFonts w:ascii="宋体" w:hAnsi="宋体" w:cs="宋体"/>
          <w:bCs/>
          <w:color w:val="auto"/>
          <w:szCs w:val="21"/>
          <w:highlight w:val="none"/>
        </w:rPr>
        <w:t>1</w:t>
      </w:r>
      <w:r>
        <w:rPr>
          <w:rFonts w:hint="eastAsia" w:ascii="宋体" w:hAnsi="宋体" w:cs="宋体"/>
          <w:bCs/>
          <w:color w:val="auto"/>
          <w:szCs w:val="21"/>
          <w:highlight w:val="none"/>
        </w:rPr>
        <w:t>2：</w:t>
      </w:r>
      <w:r>
        <w:rPr>
          <w:rFonts w:ascii="宋体" w:cs="宋体"/>
          <w:bCs/>
          <w:color w:val="auto"/>
          <w:szCs w:val="21"/>
          <w:highlight w:val="none"/>
        </w:rPr>
        <w:t>00</w:t>
      </w:r>
      <w:r>
        <w:rPr>
          <w:rFonts w:hint="eastAsia" w:ascii="宋体" w:hAnsi="宋体" w:cs="宋体"/>
          <w:bCs/>
          <w:color w:val="auto"/>
          <w:szCs w:val="21"/>
          <w:highlight w:val="none"/>
        </w:rPr>
        <w:t>至23：</w:t>
      </w:r>
      <w:r>
        <w:rPr>
          <w:rFonts w:hint="eastAsia" w:ascii="宋体" w:cs="宋体"/>
          <w:bCs/>
          <w:color w:val="auto"/>
          <w:szCs w:val="21"/>
          <w:highlight w:val="none"/>
        </w:rPr>
        <w:t>59</w:t>
      </w:r>
      <w:r>
        <w:rPr>
          <w:rFonts w:hint="eastAsia" w:ascii="宋体" w:hAnsi="宋体" w:cs="宋体"/>
          <w:bCs/>
          <w:color w:val="auto"/>
          <w:szCs w:val="21"/>
          <w:highlight w:val="none"/>
        </w:rPr>
        <w:t>（北京时间</w:t>
      </w:r>
      <w:r>
        <w:rPr>
          <w:rFonts w:hint="eastAsia" w:ascii="宋体" w:hAnsi="宋体"/>
          <w:color w:val="auto"/>
          <w:szCs w:val="21"/>
          <w:highlight w:val="none"/>
        </w:rPr>
        <w:t>，法定节假日除外）</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地点（网址）：政采云平台（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r>
        <w:rPr>
          <w:rFonts w:hint="eastAsia" w:ascii="宋体" w:hAnsi="宋体"/>
          <w:color w:val="auto"/>
          <w:szCs w:val="21"/>
          <w:highlight w:val="none"/>
        </w:rPr>
        <w:t xml:space="preserve">）  </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方式：网上下载。本项目不提供纸质文件，潜在供应商需使用账号登录或者使用CA登录“政采云”平台（https：//www.zcygov.cn）-进入“项目采购”应用，在获取采购文件菜单中选择项目，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pPr>
        <w:adjustRightInd w:val="0"/>
        <w:snapToGrid w:val="0"/>
        <w:spacing w:line="38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售价（元）：</w:t>
      </w:r>
      <w:r>
        <w:rPr>
          <w:rFonts w:ascii="宋体" w:cs="宋体"/>
          <w:bCs/>
          <w:color w:val="auto"/>
          <w:szCs w:val="21"/>
          <w:highlight w:val="none"/>
        </w:rPr>
        <w:t>0</w:t>
      </w:r>
      <w:r>
        <w:rPr>
          <w:rFonts w:ascii="宋体" w:hAnsi="宋体" w:cs="宋体"/>
          <w:bCs/>
          <w:color w:val="auto"/>
          <w:szCs w:val="21"/>
          <w:highlight w:val="none"/>
        </w:rPr>
        <w:t xml:space="preserve"> </w:t>
      </w:r>
      <w:r>
        <w:rPr>
          <w:rFonts w:hint="eastAsia" w:ascii="宋体" w:hAnsi="宋体" w:cs="宋体"/>
          <w:bCs/>
          <w:color w:val="auto"/>
          <w:szCs w:val="21"/>
          <w:highlight w:val="none"/>
        </w:rPr>
        <w:t>。</w:t>
      </w:r>
    </w:p>
    <w:p>
      <w:pPr>
        <w:adjustRightInd w:val="0"/>
        <w:snapToGrid w:val="0"/>
        <w:spacing w:line="380" w:lineRule="exact"/>
        <w:ind w:firstLine="422" w:firstLineChars="200"/>
        <w:rPr>
          <w:rFonts w:asci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电子响应文件提交</w:t>
      </w:r>
    </w:p>
    <w:p>
      <w:pPr>
        <w:adjustRightInd w:val="0"/>
        <w:snapToGrid w:val="0"/>
        <w:spacing w:line="380" w:lineRule="exact"/>
        <w:ind w:firstLine="420" w:firstLineChars="200"/>
        <w:rPr>
          <w:rFonts w:ascii="宋体" w:cs="宋体"/>
          <w:color w:val="auto"/>
          <w:szCs w:val="21"/>
          <w:highlight w:val="none"/>
          <w:u w:val="single"/>
        </w:rPr>
      </w:pPr>
      <w:r>
        <w:rPr>
          <w:rFonts w:hint="eastAsia" w:ascii="宋体" w:hAnsi="宋体"/>
          <w:color w:val="auto"/>
          <w:szCs w:val="21"/>
          <w:highlight w:val="none"/>
        </w:rPr>
        <w:t>提交投标文件截止时间：</w:t>
      </w:r>
      <w:r>
        <w:rPr>
          <w:rFonts w:hint="eastAsia" w:ascii="宋体" w:hAnsi="宋体"/>
          <w:color w:val="auto"/>
          <w:szCs w:val="21"/>
          <w:highlight w:val="none"/>
          <w:u w:val="single"/>
        </w:rPr>
        <w:t>2024年</w:t>
      </w:r>
      <w:r>
        <w:rPr>
          <w:rFonts w:hint="eastAsia" w:ascii="宋体" w:hAnsi="宋体"/>
          <w:color w:val="auto"/>
          <w:szCs w:val="21"/>
          <w:highlight w:val="none"/>
          <w:u w:val="single"/>
          <w:lang w:eastAsia="zh-CN"/>
        </w:rPr>
        <w:t>01月16日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color w:val="auto"/>
          <w:szCs w:val="21"/>
          <w:highlight w:val="none"/>
          <w:u w:val="single"/>
        </w:rPr>
        <w:t>00分</w:t>
      </w:r>
      <w:r>
        <w:rPr>
          <w:rFonts w:hint="eastAsia" w:ascii="宋体" w:hAnsi="宋体"/>
          <w:bCs/>
          <w:color w:val="auto"/>
          <w:szCs w:val="21"/>
          <w:highlight w:val="none"/>
        </w:rPr>
        <w:t>（北京时间）</w:t>
      </w:r>
    </w:p>
    <w:p>
      <w:pPr>
        <w:adjustRightInd w:val="0"/>
        <w:snapToGrid w:val="0"/>
        <w:spacing w:line="380" w:lineRule="exact"/>
        <w:ind w:firstLine="420" w:firstLineChars="200"/>
        <w:rPr>
          <w:rFonts w:ascii="宋体"/>
          <w:color w:val="auto"/>
          <w:szCs w:val="21"/>
          <w:highlight w:val="none"/>
          <w:u w:val="single"/>
        </w:rPr>
      </w:pPr>
      <w:r>
        <w:rPr>
          <w:rFonts w:hint="eastAsia" w:ascii="宋体" w:hAnsi="宋体"/>
          <w:color w:val="auto"/>
          <w:szCs w:val="21"/>
          <w:highlight w:val="none"/>
        </w:rPr>
        <w:t>投标地点（网址）</w:t>
      </w:r>
      <w:bookmarkStart w:id="34" w:name="_Hlk37428909"/>
      <w:r>
        <w:rPr>
          <w:rFonts w:hint="eastAsia" w:ascii="宋体" w:hAnsi="宋体"/>
          <w:color w:val="auto"/>
          <w:szCs w:val="21"/>
          <w:highlight w:val="none"/>
        </w:rPr>
        <w:t>：</w:t>
      </w:r>
      <w:bookmarkEnd w:id="34"/>
      <w:r>
        <w:rPr>
          <w:rFonts w:hint="eastAsia" w:ascii="宋体" w:hAnsi="宋体"/>
          <w:color w:val="auto"/>
          <w:szCs w:val="21"/>
          <w:highlight w:val="none"/>
          <w:u w:val="single"/>
        </w:rPr>
        <w:t>通过政采云平台实行在线投标响应</w:t>
      </w:r>
    </w:p>
    <w:p>
      <w:pPr>
        <w:adjustRightInd w:val="0"/>
        <w:snapToGrid w:val="0"/>
        <w:spacing w:line="380" w:lineRule="exact"/>
        <w:ind w:firstLine="420" w:firstLineChars="200"/>
        <w:rPr>
          <w:rFonts w:ascii="宋体"/>
          <w:bCs/>
          <w:color w:val="auto"/>
          <w:szCs w:val="21"/>
          <w:highlight w:val="none"/>
          <w:u w:val="single"/>
        </w:rPr>
      </w:pPr>
      <w:r>
        <w:rPr>
          <w:rFonts w:hint="eastAsia" w:ascii="宋体" w:hAnsi="宋体"/>
          <w:bCs/>
          <w:color w:val="auto"/>
          <w:szCs w:val="21"/>
          <w:highlight w:val="none"/>
        </w:rPr>
        <w:t>开标时间：</w:t>
      </w:r>
      <w:r>
        <w:rPr>
          <w:rFonts w:hint="eastAsia" w:ascii="宋体" w:hAnsi="宋体"/>
          <w:color w:val="auto"/>
          <w:szCs w:val="21"/>
          <w:highlight w:val="none"/>
          <w:u w:val="single"/>
        </w:rPr>
        <w:t>2024年</w:t>
      </w:r>
      <w:r>
        <w:rPr>
          <w:rFonts w:hint="eastAsia" w:ascii="宋体" w:hAnsi="宋体"/>
          <w:color w:val="auto"/>
          <w:szCs w:val="21"/>
          <w:highlight w:val="none"/>
          <w:u w:val="single"/>
          <w:lang w:eastAsia="zh-CN"/>
        </w:rPr>
        <w:t>01月16日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color w:val="auto"/>
          <w:szCs w:val="21"/>
          <w:highlight w:val="none"/>
          <w:u w:val="single"/>
        </w:rPr>
        <w:t>00分</w:t>
      </w:r>
    </w:p>
    <w:p>
      <w:pPr>
        <w:adjustRightInd w:val="0"/>
        <w:snapToGrid w:val="0"/>
        <w:spacing w:line="380" w:lineRule="exact"/>
        <w:ind w:firstLine="420" w:firstLineChars="200"/>
        <w:rPr>
          <w:rFonts w:ascii="宋体" w:cs="宋体"/>
          <w:color w:val="auto"/>
          <w:szCs w:val="21"/>
          <w:highlight w:val="none"/>
          <w:u w:val="single"/>
        </w:rPr>
      </w:pPr>
      <w:r>
        <w:rPr>
          <w:rFonts w:hint="eastAsia" w:ascii="宋体" w:hAnsi="宋体"/>
          <w:color w:val="auto"/>
          <w:szCs w:val="21"/>
          <w:highlight w:val="none"/>
        </w:rPr>
        <w:t>开标地点：</w:t>
      </w:r>
      <w:r>
        <w:rPr>
          <w:rFonts w:hint="eastAsia" w:ascii="宋体" w:hAnsi="宋体" w:cs="宋体"/>
          <w:color w:val="auto"/>
          <w:szCs w:val="21"/>
          <w:highlight w:val="none"/>
          <w:u w:val="single"/>
        </w:rPr>
        <w:t>通过政采云平台实行在线解密开启投标文件</w:t>
      </w:r>
    </w:p>
    <w:p>
      <w:pPr>
        <w:adjustRightInd w:val="0"/>
        <w:snapToGrid w:val="0"/>
        <w:spacing w:line="380" w:lineRule="exact"/>
        <w:ind w:firstLine="422" w:firstLineChars="200"/>
        <w:rPr>
          <w:rFonts w:ascii="宋体"/>
          <w:color w:val="auto"/>
          <w:szCs w:val="21"/>
          <w:highlight w:val="none"/>
        </w:rPr>
      </w:pPr>
      <w:bookmarkStart w:id="35" w:name="_Toc35393633"/>
      <w:bookmarkStart w:id="36" w:name="_Toc28359016"/>
      <w:bookmarkStart w:id="37" w:name="_Toc30042"/>
      <w:bookmarkStart w:id="38" w:name="_Toc35393802"/>
      <w:bookmarkStart w:id="39" w:name="_Toc28359093"/>
      <w:r>
        <w:rPr>
          <w:rFonts w:hint="eastAsia" w:ascii="宋体" w:hAnsi="宋体"/>
          <w:b/>
          <w:bCs/>
          <w:color w:val="auto"/>
          <w:szCs w:val="21"/>
          <w:highlight w:val="none"/>
        </w:rPr>
        <w:t>五、开启</w:t>
      </w:r>
      <w:bookmarkEnd w:id="35"/>
      <w:bookmarkEnd w:id="36"/>
      <w:bookmarkEnd w:id="37"/>
      <w:bookmarkEnd w:id="38"/>
      <w:bookmarkEnd w:id="39"/>
    </w:p>
    <w:p>
      <w:pPr>
        <w:adjustRightInd w:val="0"/>
        <w:snapToGrid w:val="0"/>
        <w:spacing w:line="380" w:lineRule="exact"/>
        <w:ind w:firstLine="420" w:firstLineChars="200"/>
        <w:rPr>
          <w:rFonts w:ascii="宋体"/>
          <w:color w:val="auto"/>
          <w:szCs w:val="21"/>
          <w:highlight w:val="none"/>
        </w:rPr>
      </w:pPr>
      <w:r>
        <w:rPr>
          <w:rFonts w:hint="eastAsia" w:ascii="宋体" w:hAnsi="宋体"/>
          <w:color w:val="auto"/>
          <w:szCs w:val="21"/>
          <w:highlight w:val="none"/>
        </w:rPr>
        <w:t>时间：首次电子响应文件提交截止时间后</w:t>
      </w:r>
    </w:p>
    <w:p>
      <w:pPr>
        <w:adjustRightInd w:val="0"/>
        <w:snapToGrid w:val="0"/>
        <w:spacing w:line="380" w:lineRule="exact"/>
        <w:ind w:firstLine="420" w:firstLineChars="200"/>
        <w:rPr>
          <w:rFonts w:ascii="宋体"/>
          <w:color w:val="auto"/>
          <w:szCs w:val="21"/>
          <w:highlight w:val="none"/>
        </w:rPr>
      </w:pPr>
      <w:r>
        <w:rPr>
          <w:rFonts w:hint="eastAsia" w:ascii="宋体" w:hAnsi="宋体"/>
          <w:color w:val="auto"/>
          <w:szCs w:val="21"/>
          <w:highlight w:val="none"/>
        </w:rPr>
        <w:t>地点：通过政采云平台实行在线解密开启</w:t>
      </w:r>
    </w:p>
    <w:p>
      <w:pPr>
        <w:keepNext/>
        <w:keepLines/>
        <w:adjustRightInd w:val="0"/>
        <w:snapToGrid w:val="0"/>
        <w:spacing w:line="380" w:lineRule="exact"/>
        <w:ind w:firstLine="422" w:firstLineChars="200"/>
        <w:outlineLvl w:val="1"/>
        <w:rPr>
          <w:rFonts w:ascii="宋体" w:cs="宋体"/>
          <w:b/>
          <w:color w:val="auto"/>
          <w:szCs w:val="21"/>
          <w:highlight w:val="none"/>
        </w:rPr>
      </w:pPr>
      <w:bookmarkStart w:id="40" w:name="_Toc44405605"/>
      <w:bookmarkStart w:id="41" w:name="_Toc35393625"/>
      <w:bookmarkStart w:id="42" w:name="_Toc35393794"/>
      <w:bookmarkStart w:id="43" w:name="_Toc28359007"/>
      <w:bookmarkStart w:id="44" w:name="_Toc28359084"/>
      <w:r>
        <w:rPr>
          <w:rFonts w:hint="eastAsia" w:ascii="宋体" w:hAnsi="宋体" w:cs="宋体"/>
          <w:b/>
          <w:color w:val="auto"/>
          <w:szCs w:val="21"/>
          <w:highlight w:val="none"/>
        </w:rPr>
        <w:t>六、公告期限</w:t>
      </w:r>
      <w:bookmarkEnd w:id="40"/>
      <w:bookmarkEnd w:id="41"/>
      <w:bookmarkEnd w:id="42"/>
      <w:bookmarkEnd w:id="43"/>
      <w:bookmarkEnd w:id="44"/>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keepNext/>
        <w:keepLines/>
        <w:adjustRightInd w:val="0"/>
        <w:snapToGrid w:val="0"/>
        <w:spacing w:line="380" w:lineRule="exact"/>
        <w:ind w:firstLine="422" w:firstLineChars="200"/>
        <w:outlineLvl w:val="1"/>
        <w:rPr>
          <w:rFonts w:ascii="宋体" w:cs="宋体"/>
          <w:bCs/>
          <w:color w:val="auto"/>
          <w:szCs w:val="21"/>
          <w:highlight w:val="none"/>
        </w:rPr>
      </w:pPr>
      <w:bookmarkStart w:id="45" w:name="_Toc44405606"/>
      <w:bookmarkStart w:id="46" w:name="_Toc35393626"/>
      <w:bookmarkStart w:id="47" w:name="_Toc35393795"/>
      <w:r>
        <w:rPr>
          <w:rFonts w:hint="eastAsia" w:ascii="宋体" w:hAnsi="宋体" w:cs="宋体"/>
          <w:b/>
          <w:color w:val="auto"/>
          <w:szCs w:val="21"/>
          <w:highlight w:val="none"/>
        </w:rPr>
        <w:t>七、其他补充事宜</w:t>
      </w:r>
      <w:bookmarkEnd w:id="45"/>
      <w:bookmarkEnd w:id="46"/>
      <w:bookmarkEnd w:id="47"/>
    </w:p>
    <w:p>
      <w:pPr>
        <w:pStyle w:val="27"/>
        <w:ind w:firstLine="422" w:firstLineChars="200"/>
        <w:rPr>
          <w:rFonts w:ascii="宋体" w:hAnsi="宋体" w:cs="宋体"/>
          <w:b/>
          <w:color w:val="auto"/>
          <w:spacing w:val="0"/>
          <w:sz w:val="21"/>
          <w:szCs w:val="21"/>
          <w:highlight w:val="none"/>
        </w:rPr>
      </w:pPr>
      <w:r>
        <w:rPr>
          <w:rFonts w:hint="eastAsia" w:ascii="宋体" w:hAnsi="宋体" w:cs="宋体"/>
          <w:b/>
          <w:color w:val="auto"/>
          <w:spacing w:val="0"/>
          <w:sz w:val="21"/>
          <w:szCs w:val="21"/>
          <w:highlight w:val="none"/>
        </w:rPr>
        <w:t>1.投标保证金：无</w:t>
      </w:r>
    </w:p>
    <w:p>
      <w:pPr>
        <w:adjustRightInd w:val="0"/>
        <w:snapToGrid w:val="0"/>
        <w:spacing w:line="380" w:lineRule="exact"/>
        <w:ind w:firstLine="420" w:firstLineChars="200"/>
        <w:rPr>
          <w:rFonts w:ascii="宋体" w:cs="宋体"/>
          <w:color w:val="auto"/>
          <w:kern w:val="0"/>
          <w:szCs w:val="21"/>
          <w:highlight w:val="none"/>
        </w:rPr>
      </w:pPr>
      <w:bookmarkStart w:id="48" w:name="_Hlk37429585"/>
      <w:r>
        <w:rPr>
          <w:rFonts w:ascii="宋体" w:hAnsi="宋体" w:cs="宋体"/>
          <w:color w:val="auto"/>
          <w:kern w:val="0"/>
          <w:szCs w:val="21"/>
          <w:highlight w:val="none"/>
        </w:rPr>
        <w:t>2</w:t>
      </w:r>
      <w:r>
        <w:rPr>
          <w:rFonts w:ascii="宋体" w:cs="宋体"/>
          <w:color w:val="auto"/>
          <w:kern w:val="0"/>
          <w:szCs w:val="21"/>
          <w:highlight w:val="none"/>
        </w:rPr>
        <w:t>.</w:t>
      </w:r>
      <w:bookmarkStart w:id="49" w:name="_Hlk37429595"/>
      <w:r>
        <w:rPr>
          <w:rFonts w:hint="eastAsia" w:ascii="宋体" w:hAnsi="宋体" w:cs="宋体"/>
          <w:color w:val="auto"/>
          <w:kern w:val="0"/>
          <w:szCs w:val="21"/>
          <w:highlight w:val="none"/>
        </w:rPr>
        <w:t>网上查询地址</w:t>
      </w:r>
    </w:p>
    <w:p>
      <w:pPr>
        <w:adjustRightInd w:val="0"/>
        <w:snapToGrid w:val="0"/>
        <w:spacing w:line="38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www.ccgp.gov.cn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（广西壮族自治区政府采购网）</w:t>
      </w:r>
      <w:bookmarkEnd w:id="48"/>
      <w:r>
        <w:rPr>
          <w:rFonts w:hint="eastAsia" w:ascii="宋体" w:hAnsi="宋体" w:cs="宋体"/>
          <w:color w:val="auto"/>
          <w:kern w:val="0"/>
          <w:szCs w:val="21"/>
          <w:highlight w:val="none"/>
        </w:rPr>
        <w:t>、</w:t>
      </w:r>
      <w:r>
        <w:rPr>
          <w:rFonts w:ascii="宋体" w:hAnsi="宋体" w:cs="宋体"/>
          <w:color w:val="auto"/>
          <w:kern w:val="0"/>
          <w:szCs w:val="21"/>
          <w:highlight w:val="none"/>
        </w:rPr>
        <w:t>http://ggzy.jgswj.gxzf.gov.cn/czggzy[</w:t>
      </w:r>
      <w:r>
        <w:rPr>
          <w:rFonts w:hint="eastAsia" w:ascii="宋体" w:hAnsi="宋体" w:cs="宋体"/>
          <w:color w:val="auto"/>
          <w:kern w:val="0"/>
          <w:szCs w:val="21"/>
          <w:highlight w:val="none"/>
        </w:rPr>
        <w:t>全国公共资源交易平台（广西·崇左）</w:t>
      </w:r>
      <w:r>
        <w:rPr>
          <w:rFonts w:ascii="宋体" w:hAnsi="宋体" w:cs="宋体"/>
          <w:color w:val="auto"/>
          <w:kern w:val="0"/>
          <w:szCs w:val="21"/>
          <w:highlight w:val="none"/>
        </w:rPr>
        <w:t>]</w:t>
      </w:r>
    </w:p>
    <w:bookmarkEnd w:id="49"/>
    <w:p>
      <w:pPr>
        <w:adjustRightInd w:val="0"/>
        <w:snapToGrid w:val="0"/>
        <w:spacing w:line="380" w:lineRule="exact"/>
        <w:ind w:firstLine="420" w:firstLineChars="200"/>
        <w:rPr>
          <w:rFonts w:ascii="宋体" w:cs="宋体"/>
          <w:color w:val="auto"/>
          <w:kern w:val="0"/>
          <w:szCs w:val="21"/>
          <w:highlight w:val="none"/>
        </w:rPr>
      </w:pPr>
      <w:bookmarkStart w:id="50" w:name="_Hlk37429674"/>
      <w:r>
        <w:rPr>
          <w:rFonts w:ascii="宋体" w:hAnsi="宋体"/>
          <w:color w:val="auto"/>
          <w:szCs w:val="21"/>
          <w:highlight w:val="none"/>
        </w:rPr>
        <w:t>3</w:t>
      </w:r>
      <w:r>
        <w:rPr>
          <w:rFonts w:ascii="宋体"/>
          <w:color w:val="auto"/>
          <w:szCs w:val="21"/>
          <w:highlight w:val="none"/>
        </w:rPr>
        <w:t>.</w:t>
      </w:r>
      <w:r>
        <w:rPr>
          <w:rFonts w:ascii="宋体" w:hAnsi="宋体"/>
          <w:color w:val="auto"/>
          <w:szCs w:val="21"/>
          <w:highlight w:val="none"/>
        </w:rPr>
        <w:t xml:space="preserve"> </w:t>
      </w:r>
      <w:r>
        <w:rPr>
          <w:rFonts w:hint="eastAsia" w:ascii="宋体" w:hAnsi="宋体" w:cs="宋体"/>
          <w:color w:val="auto"/>
          <w:kern w:val="0"/>
          <w:szCs w:val="21"/>
          <w:highlight w:val="none"/>
        </w:rPr>
        <w:t>本项目需要落实的政府采购政策</w:t>
      </w:r>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）政府采购促进中小企业发展。</w:t>
      </w:r>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）政府采购支持采用本国产品的政策。</w:t>
      </w:r>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）强制采购节能产品；优先采购节能产品、环境标志产品。</w:t>
      </w:r>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）政府采购促进残疾人就业政策。</w:t>
      </w:r>
    </w:p>
    <w:p>
      <w:pPr>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）政府采购支持监狱企业发展。</w:t>
      </w:r>
      <w:bookmarkEnd w:id="50"/>
    </w:p>
    <w:p>
      <w:pPr>
        <w:wordWrap w:val="0"/>
        <w:adjustRightInd w:val="0"/>
        <w:snapToGrid w:val="0"/>
        <w:spacing w:line="38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在线竞标响应（电子投标）说明</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本项目通过政采云平台实行在线投标响应（电子投标），供应商需要先安装“政采云电子交易客户端”，并按照本招标文件和政采云平台的要求，通过“政采云电子交易客户端”编制并加密响应文件。供应商未按规定编制并加密的响应文件，政采云平台将予以拒收。</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“政采云电子交易客户端”请自行前往广西政府采购网下载并安装（</w:t>
      </w:r>
      <w:r>
        <w:rPr>
          <w:rFonts w:ascii="宋体" w:hAnsi="宋体" w:cs="宋体"/>
          <w:color w:val="auto"/>
          <w:kern w:val="0"/>
          <w:szCs w:val="21"/>
          <w:highlight w:val="none"/>
        </w:rPr>
        <w:t>http://zfcg.gxzf.gov.cn/OfficeService/DownloadArea/2455918.html</w:t>
      </w:r>
      <w:r>
        <w:rPr>
          <w:rFonts w:hint="eastAsia" w:ascii="宋体" w:hAnsi="宋体" w:cs="宋体"/>
          <w:color w:val="auto"/>
          <w:kern w:val="0"/>
          <w:szCs w:val="21"/>
          <w:highlight w:val="none"/>
        </w:rPr>
        <w:t>）；电子竞标具体操作流程参考《政府采购项目电子交易管理操作指南</w:t>
      </w:r>
      <w:r>
        <w:rPr>
          <w:rFonts w:ascii="宋体" w:cs="宋体"/>
          <w:color w:val="auto"/>
          <w:kern w:val="0"/>
          <w:szCs w:val="21"/>
          <w:highlight w:val="none"/>
        </w:rPr>
        <w:t>-</w:t>
      </w:r>
      <w:r>
        <w:rPr>
          <w:rFonts w:hint="eastAsia" w:ascii="宋体" w:hAnsi="宋体" w:cs="宋体"/>
          <w:color w:val="auto"/>
          <w:kern w:val="0"/>
          <w:szCs w:val="21"/>
          <w:highlight w:val="none"/>
        </w:rPr>
        <w:t>供应商》（政采云平台</w:t>
      </w:r>
      <w:r>
        <w:rPr>
          <w:rFonts w:ascii="宋体" w:hAnsi="宋体" w:cs="宋体"/>
          <w:color w:val="auto"/>
          <w:kern w:val="0"/>
          <w:szCs w:val="21"/>
          <w:highlight w:val="none"/>
        </w:rPr>
        <w:t>https://www.zcygov.cn/ </w:t>
      </w:r>
      <w:r>
        <w:rPr>
          <w:rFonts w:hint="eastAsia" w:ascii="宋体" w:hAnsi="宋体" w:cs="宋体"/>
          <w:color w:val="auto"/>
          <w:kern w:val="0"/>
          <w:szCs w:val="21"/>
          <w:highlight w:val="none"/>
        </w:rPr>
        <w:t>首页右上角</w:t>
      </w:r>
      <w:r>
        <w:rPr>
          <w:rFonts w:ascii="宋体" w:hAnsi="宋体" w:cs="宋体"/>
          <w:color w:val="auto"/>
          <w:kern w:val="0"/>
          <w:szCs w:val="21"/>
          <w:highlight w:val="none"/>
        </w:rPr>
        <w:t>—[</w:t>
      </w:r>
      <w:r>
        <w:rPr>
          <w:rFonts w:hint="eastAsia" w:ascii="宋体" w:hAnsi="宋体" w:cs="宋体"/>
          <w:color w:val="auto"/>
          <w:kern w:val="0"/>
          <w:szCs w:val="21"/>
          <w:highlight w:val="none"/>
        </w:rPr>
        <w:t>服务中心</w:t>
      </w:r>
      <w:r>
        <w:rPr>
          <w:rFonts w:ascii="宋体" w:hAnsi="宋体" w:cs="宋体"/>
          <w:color w:val="auto"/>
          <w:kern w:val="0"/>
          <w:szCs w:val="21"/>
          <w:highlight w:val="none"/>
        </w:rPr>
        <w:t>]—[</w:t>
      </w:r>
      <w:r>
        <w:rPr>
          <w:rFonts w:hint="eastAsia" w:ascii="宋体" w:hAnsi="宋体" w:cs="宋体"/>
          <w:color w:val="auto"/>
          <w:kern w:val="0"/>
          <w:szCs w:val="21"/>
          <w:highlight w:val="none"/>
        </w:rPr>
        <w:t>帮助文档</w:t>
      </w:r>
      <w:r>
        <w:rPr>
          <w:rFonts w:ascii="宋体" w:hAnsi="宋体" w:cs="宋体"/>
          <w:color w:val="auto"/>
          <w:kern w:val="0"/>
          <w:szCs w:val="21"/>
          <w:highlight w:val="none"/>
        </w:rPr>
        <w:t>]—[</w:t>
      </w:r>
      <w:r>
        <w:rPr>
          <w:rFonts w:hint="eastAsia" w:ascii="宋体" w:hAnsi="宋体" w:cs="宋体"/>
          <w:color w:val="auto"/>
          <w:kern w:val="0"/>
          <w:szCs w:val="21"/>
          <w:highlight w:val="none"/>
        </w:rPr>
        <w:t>项目采购</w:t>
      </w:r>
      <w:r>
        <w:rPr>
          <w:rFonts w:ascii="宋体" w:hAnsi="宋体" w:cs="宋体"/>
          <w:color w:val="auto"/>
          <w:kern w:val="0"/>
          <w:szCs w:val="21"/>
          <w:highlight w:val="none"/>
        </w:rPr>
        <w:t>]—[</w:t>
      </w:r>
      <w:r>
        <w:rPr>
          <w:rFonts w:hint="eastAsia" w:ascii="宋体" w:hAnsi="宋体" w:cs="宋体"/>
          <w:color w:val="auto"/>
          <w:kern w:val="0"/>
          <w:szCs w:val="21"/>
          <w:highlight w:val="none"/>
        </w:rPr>
        <w:t>操作流程</w:t>
      </w:r>
      <w:r>
        <w:rPr>
          <w:rFonts w:ascii="宋体" w:hAnsi="宋体" w:cs="宋体"/>
          <w:color w:val="auto"/>
          <w:kern w:val="0"/>
          <w:szCs w:val="21"/>
          <w:highlight w:val="none"/>
        </w:rPr>
        <w:t>]—[</w:t>
      </w:r>
      <w:r>
        <w:rPr>
          <w:rFonts w:hint="eastAsia" w:ascii="宋体" w:hAnsi="宋体" w:cs="宋体"/>
          <w:color w:val="auto"/>
          <w:kern w:val="0"/>
          <w:szCs w:val="21"/>
          <w:highlight w:val="none"/>
        </w:rPr>
        <w:t>电子招投标</w:t>
      </w:r>
      <w:r>
        <w:rPr>
          <w:rFonts w:ascii="宋体" w:hAnsi="宋体" w:cs="宋体"/>
          <w:color w:val="auto"/>
          <w:kern w:val="0"/>
          <w:szCs w:val="21"/>
          <w:highlight w:val="none"/>
        </w:rPr>
        <w:t>]</w:t>
      </w:r>
      <w:r>
        <w:rPr>
          <w:rFonts w:hint="eastAsia" w:ascii="宋体" w:hAnsi="宋体" w:cs="宋体"/>
          <w:color w:val="auto"/>
          <w:kern w:val="0"/>
          <w:szCs w:val="21"/>
          <w:highlight w:val="none"/>
        </w:rPr>
        <w:t>）；通过政采云平台参与在线竞标时如遇平台技术问题详询</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为确保网上操作合法、有效和安全，供应商应当在投标截止时间前完成在“政府采购云平台”的身份认证，确保在电子投标过程中能够对相关数据电文进行加密和使用电子签章。使用“政采云电子交易客户端”需要提前申领</w:t>
      </w:r>
      <w:r>
        <w:rPr>
          <w:rFonts w:ascii="宋体" w:hAnsi="宋体" w:cs="宋体"/>
          <w:color w:val="auto"/>
          <w:kern w:val="0"/>
          <w:szCs w:val="21"/>
          <w:highlight w:val="none"/>
        </w:rPr>
        <w:t>CA</w:t>
      </w:r>
      <w:r>
        <w:rPr>
          <w:rFonts w:hint="eastAsia" w:ascii="宋体" w:hAnsi="宋体" w:cs="宋体"/>
          <w:color w:val="auto"/>
          <w:kern w:val="0"/>
          <w:szCs w:val="21"/>
          <w:highlight w:val="none"/>
        </w:rPr>
        <w:t>数字证书，申领流程请自行前往“全国公共资源交易平台（广西·崇左）（</w:t>
      </w:r>
      <w:r>
        <w:rPr>
          <w:rFonts w:ascii="宋体" w:hAnsi="宋体" w:cs="宋体"/>
          <w:color w:val="auto"/>
          <w:kern w:val="0"/>
          <w:szCs w:val="21"/>
          <w:highlight w:val="none"/>
        </w:rPr>
        <w:t>http://ggzy.jgswj.gxzf.gov.cn/czggzy/gywm/004002/20211018/fb6d82f4-88c1-46c9-b1eb-8c52c38ba29b.html</w:t>
      </w:r>
      <w:r>
        <w:rPr>
          <w:rFonts w:hint="eastAsia" w:ascii="宋体" w:hAnsi="宋体" w:cs="宋体"/>
          <w:color w:val="auto"/>
          <w:kern w:val="0"/>
          <w:szCs w:val="21"/>
          <w:highlight w:val="none"/>
        </w:rPr>
        <w:t>）</w:t>
      </w:r>
      <w:r>
        <w:rPr>
          <w:rFonts w:ascii="宋体" w:cs="宋体"/>
          <w:color w:val="auto"/>
          <w:kern w:val="0"/>
          <w:szCs w:val="21"/>
          <w:highlight w:val="none"/>
        </w:rPr>
        <w:t>-</w:t>
      </w:r>
      <w:r>
        <w:rPr>
          <w:rFonts w:hint="eastAsia" w:ascii="宋体" w:hAnsi="宋体" w:cs="宋体"/>
          <w:color w:val="auto"/>
          <w:kern w:val="0"/>
          <w:szCs w:val="21"/>
          <w:highlight w:val="none"/>
        </w:rPr>
        <w:t>相关下载</w:t>
      </w:r>
      <w:r>
        <w:rPr>
          <w:rFonts w:ascii="宋体" w:hAnsi="宋体" w:cs="宋体"/>
          <w:color w:val="auto"/>
          <w:kern w:val="0"/>
          <w:szCs w:val="21"/>
          <w:highlight w:val="none"/>
        </w:rPr>
        <w:t>-CA</w:t>
      </w:r>
      <w:r>
        <w:rPr>
          <w:rFonts w:hint="eastAsia" w:ascii="宋体" w:hAnsi="宋体" w:cs="宋体"/>
          <w:color w:val="auto"/>
          <w:kern w:val="0"/>
          <w:szCs w:val="21"/>
          <w:highlight w:val="none"/>
        </w:rPr>
        <w:t>证书办理操作指南”进行查阅；</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供应商应当在投标文件递交截止时间前，将生成的“电子加密投标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）供应商自行选择是否提供以介质（</w:t>
      </w:r>
      <w:r>
        <w:rPr>
          <w:rFonts w:ascii="宋体" w:hAnsi="宋体" w:cs="宋体"/>
          <w:color w:val="auto"/>
          <w:kern w:val="0"/>
          <w:szCs w:val="21"/>
          <w:highlight w:val="none"/>
        </w:rPr>
        <w:t>U</w:t>
      </w:r>
      <w:r>
        <w:rPr>
          <w:rFonts w:hint="eastAsia" w:ascii="宋体" w:hAnsi="宋体" w:cs="宋体"/>
          <w:color w:val="auto"/>
          <w:kern w:val="0"/>
          <w:szCs w:val="21"/>
          <w:highlight w:val="none"/>
        </w:rPr>
        <w:t>盘或光盘等）存储的数据电文形成的电子备份响应文件。电子备份响应文件应当在首次电子响应文件提交截止时间前按要求密封并送达（快递）至</w:t>
      </w:r>
      <w:r>
        <w:rPr>
          <w:rFonts w:hint="eastAsia" w:ascii="宋体" w:hAnsi="宋体" w:cs="宋体"/>
          <w:color w:val="auto"/>
          <w:szCs w:val="21"/>
          <w:highlight w:val="none"/>
        </w:rPr>
        <w:t>崇左市江州区建设路原恒宇宾馆五楼(旧崇左市中医院旁） 广西真诚工程咨询有限公司，联系人：杨工，电话：0771-7832861</w:t>
      </w:r>
      <w:r>
        <w:rPr>
          <w:rFonts w:hint="eastAsia" w:ascii="宋体" w:hAnsi="宋体" w:cs="宋体"/>
          <w:color w:val="auto"/>
          <w:kern w:val="0"/>
          <w:szCs w:val="21"/>
          <w:highlight w:val="none"/>
        </w:rPr>
        <w:t>【另：由于本项目专家评审地点为</w:t>
      </w:r>
      <w:r>
        <w:rPr>
          <w:rFonts w:hint="eastAsia" w:ascii="宋体" w:hAnsi="宋体"/>
          <w:bCs/>
          <w:color w:val="auto"/>
          <w:highlight w:val="none"/>
        </w:rPr>
        <w:t>崇左市公共资源交易中心（崇左市城南新区石景林路东段政务服务中心综合楼五楼）</w:t>
      </w:r>
      <w:r>
        <w:rPr>
          <w:rFonts w:hint="eastAsia" w:ascii="宋体" w:hAnsi="宋体" w:cs="宋体"/>
          <w:color w:val="auto"/>
          <w:kern w:val="0"/>
          <w:szCs w:val="21"/>
          <w:highlight w:val="none"/>
        </w:rPr>
        <w:t>】，如供应商于2024年</w:t>
      </w:r>
      <w:bookmarkStart w:id="165" w:name="_GoBack"/>
      <w:r>
        <w:rPr>
          <w:rFonts w:hint="eastAsia" w:ascii="宋体" w:hAnsi="宋体" w:cs="宋体"/>
          <w:color w:val="auto"/>
          <w:kern w:val="0"/>
          <w:szCs w:val="21"/>
          <w:highlight w:val="none"/>
          <w:lang w:eastAsia="zh-CN"/>
        </w:rPr>
        <w:t>01月16日</w:t>
      </w:r>
      <w:bookmarkEnd w:id="165"/>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点00分至</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点00分递交电子备份投标文件的，请递交至</w:t>
      </w:r>
      <w:r>
        <w:rPr>
          <w:rFonts w:hint="eastAsia" w:ascii="宋体" w:hAnsi="宋体"/>
          <w:bCs/>
          <w:color w:val="auto"/>
          <w:highlight w:val="none"/>
        </w:rPr>
        <w:t>崇左市公共资源交易中心（崇左市城南新区石景林路东段政务服务中心综合楼五楼）</w:t>
      </w:r>
      <w:r>
        <w:rPr>
          <w:rFonts w:hint="eastAsia" w:ascii="宋体" w:hAnsi="宋体" w:cs="宋体"/>
          <w:color w:val="auto"/>
          <w:kern w:val="0"/>
          <w:szCs w:val="21"/>
          <w:highlight w:val="none"/>
        </w:rPr>
        <w:t>，逾期送达或未按要求密封供应商自行承担后果。电子备份响应文件应当密封包装并在包装上标注投标项目名称、投标单位名称并加盖公章。</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邮寄地址：</w:t>
      </w:r>
      <w:r>
        <w:rPr>
          <w:rFonts w:hint="eastAsia" w:ascii="宋体" w:hAnsi="宋体" w:cs="宋体"/>
          <w:color w:val="auto"/>
          <w:szCs w:val="21"/>
          <w:highlight w:val="none"/>
        </w:rPr>
        <w:t>崇左市江州区建设路原恒宇宾馆五楼(旧崇左市中医院旁） 广西真诚工程咨询有限公司，联系人：杨工，电话：0771-7832861</w:t>
      </w:r>
      <w:r>
        <w:rPr>
          <w:rFonts w:hint="eastAsia" w:ascii="宋体" w:hAnsi="宋体" w:cs="宋体"/>
          <w:color w:val="auto"/>
          <w:kern w:val="0"/>
          <w:szCs w:val="21"/>
          <w:highlight w:val="none"/>
        </w:rPr>
        <w:t>。</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本项目拒收到付邮件，通过邮寄方式送达的，请合理安排邮寄时间，因邮寄原因未能在规定时间内送达的后果由供应商自行承担。</w:t>
      </w:r>
    </w:p>
    <w:p>
      <w:pPr>
        <w:wordWrap w:val="0"/>
        <w:adjustRightInd w:val="0"/>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通过“政府采购云平台”上传递交的“电子加密投标文件”无法按时解密，供应商递交了电子备份投标文件的，以电子备份投标文件为依据，否则视为响应文件撤回。通过政采云平台上传递交的电子加密响应文件已按时解密的，电子备份响应文件自动失效。供应商仅递交电子备份响应文件的，竞标无效。</w:t>
      </w:r>
    </w:p>
    <w:p>
      <w:pPr>
        <w:wordWrap w:val="0"/>
        <w:adjustRightInd w:val="0"/>
        <w:snapToGrid w:val="0"/>
        <w:spacing w:line="38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wordWrap w:val="0"/>
        <w:adjustRightInd w:val="0"/>
        <w:snapToGrid w:val="0"/>
        <w:spacing w:line="38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对在“信用中国”网站</w:t>
      </w:r>
      <w:r>
        <w:rPr>
          <w:rFonts w:ascii="宋体" w:hAnsi="宋体" w:cs="宋体"/>
          <w:color w:val="auto"/>
          <w:kern w:val="0"/>
          <w:szCs w:val="21"/>
          <w:highlight w:val="none"/>
        </w:rPr>
        <w:t xml:space="preserve">(www.creditchina.gov.cn) </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被列入失信被执行人、重大税收违法案件当事人名单、政府采购严重违法失信行为记录名单及其他不符合《中华人民共和国政府采购法》第二十二条规定条件的投标人，不得参与政府采购活动。</w:t>
      </w:r>
    </w:p>
    <w:p>
      <w:pPr>
        <w:keepNext/>
        <w:keepLines/>
        <w:adjustRightInd w:val="0"/>
        <w:snapToGrid w:val="0"/>
        <w:spacing w:line="380" w:lineRule="exact"/>
        <w:ind w:firstLine="422" w:firstLineChars="200"/>
        <w:outlineLvl w:val="1"/>
        <w:rPr>
          <w:rFonts w:ascii="宋体" w:cs="宋体"/>
          <w:b/>
          <w:color w:val="auto"/>
          <w:szCs w:val="21"/>
          <w:highlight w:val="none"/>
        </w:rPr>
      </w:pPr>
      <w:bookmarkStart w:id="51" w:name="_Toc35393796"/>
      <w:bookmarkStart w:id="52" w:name="_Toc28359085"/>
      <w:bookmarkStart w:id="53" w:name="_Toc35393627"/>
      <w:bookmarkStart w:id="54" w:name="_Toc28359008"/>
      <w:bookmarkStart w:id="55" w:name="_Toc44405607"/>
      <w:r>
        <w:rPr>
          <w:rFonts w:hint="eastAsia" w:ascii="宋体" w:hAnsi="宋体" w:cs="宋体"/>
          <w:b/>
          <w:color w:val="auto"/>
          <w:szCs w:val="21"/>
          <w:highlight w:val="none"/>
        </w:rPr>
        <w:t>八、对本次采购提出询问，请按以下方式联系。</w:t>
      </w:r>
      <w:bookmarkEnd w:id="51"/>
      <w:bookmarkEnd w:id="52"/>
      <w:bookmarkEnd w:id="53"/>
      <w:bookmarkEnd w:id="54"/>
      <w:bookmarkEnd w:id="55"/>
    </w:p>
    <w:p>
      <w:pPr>
        <w:snapToGrid w:val="0"/>
        <w:spacing w:line="380" w:lineRule="exact"/>
        <w:ind w:firstLine="420"/>
        <w:rPr>
          <w:rFonts w:ascii="新宋体" w:hAnsi="新宋体" w:eastAsia="新宋体" w:cs="新宋体"/>
          <w:color w:val="auto"/>
          <w:szCs w:val="21"/>
          <w:highlight w:val="none"/>
        </w:rPr>
      </w:pPr>
      <w:r>
        <w:rPr>
          <w:rFonts w:ascii="新宋体" w:hAnsi="新宋体" w:eastAsia="新宋体" w:cs="新宋体"/>
          <w:color w:val="auto"/>
          <w:szCs w:val="21"/>
          <w:highlight w:val="none"/>
        </w:rPr>
        <w:t xml:space="preserve">1. </w:t>
      </w:r>
      <w:r>
        <w:rPr>
          <w:rFonts w:hint="eastAsia" w:ascii="新宋体" w:hAnsi="新宋体" w:eastAsia="新宋体" w:cs="新宋体"/>
          <w:color w:val="auto"/>
          <w:szCs w:val="21"/>
          <w:highlight w:val="none"/>
        </w:rPr>
        <w:t>采购单位信息</w:t>
      </w:r>
    </w:p>
    <w:p>
      <w:pPr>
        <w:snapToGrid w:val="0"/>
        <w:spacing w:line="380" w:lineRule="exact"/>
        <w:ind w:firstLine="420"/>
        <w:rPr>
          <w:rFonts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rPr>
        <w:t>名</w:t>
      </w:r>
      <w:r>
        <w:rPr>
          <w:rFonts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rPr>
        <w:t>称：</w:t>
      </w:r>
      <w:r>
        <w:rPr>
          <w:rFonts w:hint="eastAsia" w:ascii="新宋体" w:hAnsi="新宋体" w:eastAsia="新宋体" w:cs="新宋体"/>
          <w:color w:val="auto"/>
          <w:szCs w:val="21"/>
          <w:highlight w:val="none"/>
          <w:u w:val="single"/>
        </w:rPr>
        <w:t>广西民族师范学院</w:t>
      </w:r>
    </w:p>
    <w:p>
      <w:pPr>
        <w:snapToGrid w:val="0"/>
        <w:spacing w:line="380" w:lineRule="exact"/>
        <w:ind w:firstLine="420"/>
        <w:rPr>
          <w:rFonts w:ascii="宋体" w:hAnsi="宋体" w:cs="宋体"/>
          <w:color w:val="auto"/>
          <w:highlight w:val="none"/>
          <w:u w:val="single"/>
        </w:rPr>
      </w:pPr>
      <w:r>
        <w:rPr>
          <w:rFonts w:hint="eastAsia" w:ascii="新宋体" w:hAnsi="新宋体" w:eastAsia="新宋体" w:cs="新宋体"/>
          <w:color w:val="auto"/>
          <w:szCs w:val="21"/>
          <w:highlight w:val="none"/>
        </w:rPr>
        <w:t>地</w:t>
      </w:r>
      <w:r>
        <w:rPr>
          <w:rFonts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rPr>
        <w:t>址：</w:t>
      </w:r>
      <w:r>
        <w:rPr>
          <w:rFonts w:hint="eastAsia" w:ascii="宋体" w:hAnsi="宋体" w:cs="宋体"/>
          <w:color w:val="auto"/>
          <w:highlight w:val="none"/>
          <w:u w:val="single"/>
        </w:rPr>
        <w:t>崇左市江州区佛子路23号</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联系方式：</w:t>
      </w:r>
      <w:r>
        <w:rPr>
          <w:rFonts w:hint="eastAsia" w:ascii="宋体" w:hAnsi="宋体" w:cs="宋体"/>
          <w:color w:val="auto"/>
          <w:szCs w:val="21"/>
          <w:highlight w:val="none"/>
          <w:u w:val="single"/>
        </w:rPr>
        <w:t>0771-7870541</w:t>
      </w:r>
      <w:r>
        <w:rPr>
          <w:rFonts w:ascii="新宋体" w:hAnsi="新宋体" w:eastAsia="新宋体" w:cs="新宋体"/>
          <w:color w:val="auto"/>
          <w:szCs w:val="21"/>
          <w:highlight w:val="none"/>
        </w:rPr>
        <w:t xml:space="preserve"> </w:t>
      </w:r>
    </w:p>
    <w:p>
      <w:pPr>
        <w:snapToGrid w:val="0"/>
        <w:spacing w:line="380" w:lineRule="exact"/>
        <w:ind w:firstLine="420"/>
        <w:rPr>
          <w:rFonts w:ascii="新宋体" w:hAnsi="新宋体" w:eastAsia="新宋体" w:cs="新宋体"/>
          <w:color w:val="auto"/>
          <w:szCs w:val="21"/>
          <w:highlight w:val="none"/>
        </w:rPr>
      </w:pPr>
      <w:r>
        <w:rPr>
          <w:rFonts w:ascii="新宋体" w:hAnsi="新宋体" w:eastAsia="新宋体" w:cs="新宋体"/>
          <w:color w:val="auto"/>
          <w:szCs w:val="21"/>
          <w:highlight w:val="none"/>
        </w:rPr>
        <w:t>2.</w:t>
      </w:r>
      <w:r>
        <w:rPr>
          <w:rFonts w:hint="eastAsia" w:ascii="新宋体" w:hAnsi="新宋体" w:eastAsia="新宋体" w:cs="新宋体"/>
          <w:color w:val="auto"/>
          <w:szCs w:val="21"/>
          <w:highlight w:val="none"/>
        </w:rPr>
        <w:t>采购代理机构信息</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名    称：</w:t>
      </w:r>
      <w:r>
        <w:rPr>
          <w:rFonts w:hint="eastAsia" w:ascii="新宋体" w:hAnsi="新宋体" w:eastAsia="新宋体" w:cs="新宋体"/>
          <w:color w:val="auto"/>
          <w:szCs w:val="21"/>
          <w:highlight w:val="none"/>
          <w:u w:val="single"/>
        </w:rPr>
        <w:t>广西真诚工程咨询有限公司</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r>
        <w:rPr>
          <w:rFonts w:hint="eastAsia" w:ascii="新宋体" w:hAnsi="新宋体" w:eastAsia="新宋体" w:cs="新宋体"/>
          <w:color w:val="auto"/>
          <w:szCs w:val="21"/>
          <w:highlight w:val="none"/>
          <w:u w:val="single"/>
        </w:rPr>
        <w:t xml:space="preserve">崇左市江州区建设路原恒宇宾馆五楼(旧崇左市中医院旁） </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联系方式：</w:t>
      </w:r>
      <w:r>
        <w:rPr>
          <w:rFonts w:hint="eastAsia" w:ascii="新宋体" w:hAnsi="新宋体" w:eastAsia="新宋体" w:cs="新宋体"/>
          <w:color w:val="auto"/>
          <w:szCs w:val="21"/>
          <w:highlight w:val="none"/>
          <w:u w:val="single"/>
        </w:rPr>
        <w:t>0771-7832861</w:t>
      </w:r>
    </w:p>
    <w:p>
      <w:pPr>
        <w:snapToGrid w:val="0"/>
        <w:spacing w:line="380" w:lineRule="exact"/>
        <w:ind w:firstLine="420"/>
        <w:rPr>
          <w:rFonts w:ascii="新宋体" w:hAnsi="新宋体" w:eastAsia="新宋体" w:cs="新宋体"/>
          <w:color w:val="auto"/>
          <w:szCs w:val="21"/>
          <w:highlight w:val="none"/>
        </w:rPr>
      </w:pPr>
      <w:r>
        <w:rPr>
          <w:rFonts w:ascii="新宋体" w:hAnsi="新宋体" w:eastAsia="新宋体" w:cs="新宋体"/>
          <w:color w:val="auto"/>
          <w:szCs w:val="21"/>
          <w:highlight w:val="none"/>
        </w:rPr>
        <w:t>3.</w:t>
      </w:r>
      <w:r>
        <w:rPr>
          <w:rFonts w:hint="eastAsia" w:ascii="新宋体" w:hAnsi="新宋体" w:eastAsia="新宋体" w:cs="新宋体"/>
          <w:color w:val="auto"/>
          <w:szCs w:val="21"/>
          <w:highlight w:val="none"/>
        </w:rPr>
        <w:t>项目联系方式</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项目联系人：</w:t>
      </w:r>
      <w:r>
        <w:rPr>
          <w:rFonts w:hint="eastAsia" w:ascii="新宋体" w:hAnsi="新宋体" w:eastAsia="新宋体" w:cs="新宋体"/>
          <w:color w:val="auto"/>
          <w:szCs w:val="21"/>
          <w:highlight w:val="none"/>
          <w:u w:val="single"/>
        </w:rPr>
        <w:t>杨工</w:t>
      </w:r>
    </w:p>
    <w:p>
      <w:pPr>
        <w:snapToGrid w:val="0"/>
        <w:spacing w:line="380" w:lineRule="exact"/>
        <w:ind w:firstLine="42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      话：</w:t>
      </w:r>
      <w:r>
        <w:rPr>
          <w:rFonts w:hint="eastAsia" w:ascii="新宋体" w:hAnsi="新宋体" w:eastAsia="新宋体" w:cs="新宋体"/>
          <w:color w:val="auto"/>
          <w:szCs w:val="21"/>
          <w:highlight w:val="none"/>
          <w:u w:val="single"/>
        </w:rPr>
        <w:t>0771-7832861</w:t>
      </w:r>
    </w:p>
    <w:p>
      <w:pPr>
        <w:adjustRightInd w:val="0"/>
        <w:snapToGrid w:val="0"/>
        <w:spacing w:line="380" w:lineRule="exact"/>
        <w:ind w:firstLine="420" w:firstLineChars="200"/>
        <w:rPr>
          <w:rFonts w:ascii="宋体"/>
          <w:color w:val="auto"/>
          <w:szCs w:val="21"/>
          <w:highlight w:val="none"/>
        </w:rPr>
      </w:pPr>
    </w:p>
    <w:p>
      <w:pPr>
        <w:spacing w:line="380" w:lineRule="exact"/>
        <w:ind w:firstLine="420" w:firstLineChars="200"/>
        <w:jc w:val="right"/>
        <w:rPr>
          <w:color w:val="auto"/>
          <w:szCs w:val="21"/>
          <w:highlight w:val="none"/>
        </w:rPr>
      </w:pPr>
      <w:r>
        <w:rPr>
          <w:rFonts w:hint="eastAsia"/>
          <w:color w:val="auto"/>
          <w:szCs w:val="21"/>
          <w:highlight w:val="none"/>
        </w:rPr>
        <w:t>广西真诚工程咨询有限公司</w:t>
      </w:r>
    </w:p>
    <w:p>
      <w:pPr>
        <w:spacing w:line="380" w:lineRule="exact"/>
        <w:ind w:firstLine="420" w:firstLineChars="200"/>
        <w:jc w:val="right"/>
        <w:rPr>
          <w:color w:val="auto"/>
          <w:szCs w:val="21"/>
          <w:highlight w:val="none"/>
        </w:rPr>
      </w:pPr>
      <w:r>
        <w:rPr>
          <w:rFonts w:hint="eastAsia"/>
          <w:color w:val="auto"/>
          <w:szCs w:val="21"/>
          <w:highlight w:val="none"/>
        </w:rPr>
        <w:t>2023年12月</w:t>
      </w:r>
      <w:r>
        <w:rPr>
          <w:rFonts w:hint="eastAsia"/>
          <w:color w:val="auto"/>
          <w:szCs w:val="21"/>
          <w:highlight w:val="none"/>
          <w:lang w:val="en-US" w:eastAsia="zh-CN"/>
        </w:rPr>
        <w:t>26</w:t>
      </w:r>
      <w:r>
        <w:rPr>
          <w:rFonts w:hint="eastAsia"/>
          <w:color w:val="auto"/>
          <w:szCs w:val="21"/>
          <w:highlight w:val="none"/>
        </w:rPr>
        <w:t>日</w:t>
      </w:r>
    </w:p>
    <w:bookmarkEnd w:id="16"/>
    <w:bookmarkEnd w:id="17"/>
    <w:p>
      <w:pPr>
        <w:pStyle w:val="3"/>
        <w:keepNext w:val="0"/>
        <w:keepLines w:val="0"/>
        <w:rPr>
          <w:color w:val="auto"/>
          <w:highlight w:val="none"/>
        </w:rPr>
      </w:pPr>
      <w:bookmarkStart w:id="56" w:name="_Toc19686830"/>
    </w:p>
    <w:p>
      <w:pPr>
        <w:rPr>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jc w:val="center"/>
        <w:rPr>
          <w:color w:val="auto"/>
          <w:sz w:val="30"/>
          <w:szCs w:val="30"/>
          <w:highlight w:val="none"/>
        </w:rPr>
      </w:pPr>
      <w:r>
        <w:rPr>
          <w:rFonts w:hint="eastAsia"/>
          <w:color w:val="auto"/>
          <w:highlight w:val="none"/>
        </w:rPr>
        <w:t>第二章  采购需求</w:t>
      </w:r>
      <w:bookmarkEnd w:id="56"/>
    </w:p>
    <w:p>
      <w:pPr>
        <w:spacing w:line="360" w:lineRule="exact"/>
        <w:jc w:val="left"/>
        <w:rPr>
          <w:rFonts w:ascii="宋体" w:hAnsi="宋体" w:cs="宋体"/>
          <w:color w:val="auto"/>
          <w:szCs w:val="21"/>
          <w:highlight w:val="none"/>
        </w:rPr>
      </w:pPr>
      <w:bookmarkStart w:id="57" w:name="_Toc254970631"/>
      <w:bookmarkStart w:id="58" w:name="_Toc254970490"/>
      <w:r>
        <w:rPr>
          <w:rFonts w:hint="eastAsia" w:ascii="宋体" w:hAnsi="宋体" w:cs="宋体"/>
          <w:color w:val="auto"/>
          <w:szCs w:val="21"/>
          <w:highlight w:val="none"/>
        </w:rPr>
        <w:t>说明：</w:t>
      </w:r>
    </w:p>
    <w:bookmarkEnd w:id="57"/>
    <w:bookmarkEnd w:id="58"/>
    <w:p>
      <w:pPr>
        <w:spacing w:line="360" w:lineRule="exact"/>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2.综合技术要求</w:t>
      </w:r>
    </w:p>
    <w:p>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2.1招标文件中带“★”内容，投标人如不满足、不响应、不实质回答或产生“负偏离”的情况均按照废标处理。</w:t>
      </w:r>
    </w:p>
    <w:p>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2.2设备技术要求中“▲”的指标，是采购需求重要性能指标，将作为评分因素。</w:t>
      </w:r>
      <w:bookmarkStart w:id="59" w:name="_Hlk65055179"/>
    </w:p>
    <w:p>
      <w:pPr>
        <w:numPr>
          <w:ilvl w:val="0"/>
          <w:numId w:val="2"/>
        </w:num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采购标的对应的中小企业划分标准所属行业为：工业。</w:t>
      </w:r>
    </w:p>
    <w:tbl>
      <w:tblPr>
        <w:tblStyle w:val="22"/>
        <w:tblW w:w="9790" w:type="dxa"/>
        <w:tblInd w:w="93" w:type="dxa"/>
        <w:tblLayout w:type="fixed"/>
        <w:tblCellMar>
          <w:top w:w="0" w:type="dxa"/>
          <w:left w:w="108" w:type="dxa"/>
          <w:bottom w:w="0" w:type="dxa"/>
          <w:right w:w="108" w:type="dxa"/>
        </w:tblCellMar>
      </w:tblPr>
      <w:tblGrid>
        <w:gridCol w:w="568"/>
        <w:gridCol w:w="698"/>
        <w:gridCol w:w="592"/>
        <w:gridCol w:w="5245"/>
        <w:gridCol w:w="709"/>
        <w:gridCol w:w="141"/>
        <w:gridCol w:w="567"/>
        <w:gridCol w:w="567"/>
        <w:gridCol w:w="703"/>
      </w:tblGrid>
      <w:tr>
        <w:tblPrEx>
          <w:tblCellMar>
            <w:top w:w="0" w:type="dxa"/>
            <w:left w:w="108" w:type="dxa"/>
            <w:bottom w:w="0" w:type="dxa"/>
            <w:right w:w="108" w:type="dxa"/>
          </w:tblCellMar>
        </w:tblPrEx>
        <w:trPr>
          <w:trHeight w:val="703"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物品名称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技术参数、性能指标要求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lang w:bidi="ar"/>
              </w:rPr>
              <w:t xml:space="preserve">食品科学与工程重点实验室          </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4500*1500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4500*400*750mm。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5400*750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5400*200*750mm。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3600*750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3600*200*750mm。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尺寸：900*750*850mm。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台面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尺寸：1500*850*2350mm。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硫酸（98%）、硝酸（65%）、氢氧化钠（40%）、四氯化碳、松节油、乙腈等酸、碱及其它化学试剂作用下无明显变化；不得含重金属铅、镉；甲醛释放量≤0.024mg/M3；含水率：≤1.0；表面耐冷热循环性能（80℃）：无裂纹、无鼓泡、变色、起皱；进行580小时以上氙灯照射，显示5级，无明显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 钢化防爆夹胶玻璃，移动距离不小于1100mm，可停在任一位置，拉手部位须设计良好的补风及导流效果；视窗升降要平稳不倾斜、阻力小无噪音。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电控面板采用全液晶屏或薄膜式开关，安全的低压控制高压设计，照明灯管配有防酸碱灯罩。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PP材质，防腐堵臭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6500*850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4400*850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2398*850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转角仪器台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1050*850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食品冷藏库</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冷藏室7900*5900*3200（库温2到8℃），冷冻库7900*5900*3200（库温-2到-10℃）；含冷凝专用机组（冷藏库专用）；冷风机组；冷凝专用机组（保鲜库专用）；聚氨酯发泡保温隔墙，专用温度控制系统；技术说明：1.  制冷系统的全自动控制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采用可编程控制器(PLC)完成自动控制,控制精度和可靠性得到充分保证.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控制元件均选用知名品牌,质量好,寿命长.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实时显示机组运行的压力,温度,能级等参数值.</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预置功能使所有运行参数都允许用户设置改变.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达到手动和全自动控制精度要求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制冷机组吸、排气压力安全保护，电机过载保护。机组自动启停.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制冷机组和冷凝器自动能量调节.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供液方式：所有冷间均采用膨胀阀供液.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系统或机组出现故障时自动保护,报警停机.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2、制冷系统设备的安装，要符合图纸的设计要求和制冷安装工艺规范进行施工。</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3、压力管道：DN35以上选用国标流体无缝钢管、DN35以下选用国标铜管材质必须按照冷库设计规范选用，支、吊架所用的镀锌槽钢角钢达到国标要求。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4、阀门、膨胀阀、电磁阀等附件均选用知名品牌。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5、电器安装材料要求元件及空压断路器选用施耐德品牌。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6、蒸发式冷凝器：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6.1蒸发冷凝器放在室外，冷凝器由承包方负责安装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6.2蒸发式冷凝器选用顺流式；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6.3蒸发式冷凝器需安装补水管（自动补水）和冬季有防冻装置；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6.4蒸发冷风机扇叶为304不锈钢材质；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6.5填料为进口或国产名牌，抗老化；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7、冷风机选用外壳为304不锈钢的知名品牌、蒸发面积要达到使用要求、翅片为304不锈钢材质、风机罩采用304不锈钢材质。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8、压力容器附带压力容器质检报告原件。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9、电器系统含制冷系统的所有电线电缆的材料及安装，制冷配电柜及下线的安装调试。电缆放入桥架中，穿管按要求到电机，进出墙时密封要好。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10、融霜方式：采用水融霜 ，手动控制融霜。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11、管道保温：在冷间内管道聚氨酯（加阻燃剂）泡塑厚度为60mm,其他管道按照使用要求保温，外层为铝皮，要求平滑无毛刺。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12、氟管路按图纸上的走向、坡度安装，所有桥架、支架位置、基础及制作方法均按照国家行业标准执行。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13、氟管道与支、吊架处要设二遍防腐处理，管道与支架中保温需防腐处理的垫木防止冷桥发生。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14、电线电缆选用国产优质品牌。电线线槽为喷塑。</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15、融霜落水管选用304不锈钢管，并且要接入融霜落水口。</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16、车间内电控柜选用斜顶304不锈钢柜（厚度1mm）,吊顶以下穿线管及电缆桥架采用304不锈钢材质。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17、油冷却方式采用制冷剂冷却或者虹吸油冷方式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项</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反馈冷藏库的库体尺寸为：</w:t>
            </w:r>
            <w:r>
              <w:rPr>
                <w:rStyle w:val="29"/>
                <w:rFonts w:hint="default"/>
                <w:color w:val="auto"/>
                <w:highlight w:val="none"/>
                <w:lang w:bidi="ar"/>
              </w:rPr>
              <w:t>冷藏库的库体尺寸为：冷藏室7900*5900*3200（库温2到8℃），冷冻库7900*5900*3200（库温-2到-10℃）；食品级置物架的长宽高尺寸为1800*500*2000mm。</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食品级置物架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尺寸：1800*500*2000mm。全304不锈钢材质，每层间隔至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少500mm，便于放置大型物品，不锈钢板厚不低于1.2mm，五层层板，每层承重250kg，在极低温和绝对湿度环境下保持不生锈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4900*750*850mm。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尺寸：900*750*850mm。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4900*200*750mm。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1.铅笔硬度：硬度值要求≥2H;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2.附着力：附着力要求达到0级；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PP材质，防腐堵臭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超净工作台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尺寸：1040*650*1600mm。冷轧板焊接，静电喷涂，100级@≥0.5μm，垂直准闭合式台面，配置HEPA高效空气过滤器，可调节风速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饮水机</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尺寸：310*305*920mm。36L储物柜，食品级不锈钢加热内胆，机械旋钮式水龙头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饮水机</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尺寸：310*305*920mm。36L储物柜，食品级不锈钢加热内胆，机械旋钮式水龙头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left"/>
              <w:textAlignment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lang w:bidi="ar"/>
              </w:rPr>
              <w:t>制糖化工研究中心</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尺寸：1500*850*2350mm。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硫酸（98%）、硝酸（65%）、氢氧化钠（40%）、四氯化碳、松节油、乙腈等酸、碱及其它化学试剂作用下无明显变化；不得含重金属铅、镉；甲醛释放量≤0.024mg/M3；含水率：≤1.0；表面耐冷热循环性能（80℃）：无裂纹、无鼓泡、变色、起皱；进行580小时以上氙灯照射，显示5级，无明显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 钢化防爆夹胶玻璃，移动距离不小于1100mm，可停在任一位置，拉手部位须设计良好的补风及导流效果；视窗升降要平稳不倾斜、阻力小无噪音。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电控面板采用全液晶屏或薄膜式开关，安全的低压控制高压设计，照明灯管配有防酸碱灯罩。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全钢药品柜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防腐堵臭</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烘箱架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全钢结构，柜体采用1.0mm厚冷轧钢板，环氧树脂静电喷涂，立体承重式结构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教学白板</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面板材料：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采用厚度≥0.25mm原装乳白色或绿色环保烤漆涂层，表面细致光洁，书写流畅，色调柔和，不反光；抗撞击、磨损、刮擦、不褪色，使用寿命三年以上。</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夹层材料：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采用厚度≥19mm高密度聚乙烯夹层板，每立方≥20kg，面层平整，无折痕，不变形，吸音强且环保。</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背板：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厚度≥0.2mm冷轧工艺镀锌板，硬度高，防腐、防锈、防潮，胶合牢固、经久耐用。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边框：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边框厚度≥27mm，壁厚≥1mm，高硬度铝合金边框，不易变形，耐碰撞，一次成型包角采用环保ABS材质，耐磨耐用，卡扣式笔槽；安装方式：挂钩或钉墙；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传递窗</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304不锈钢材质，机械互锁，内置紫外线杀菌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防腐堵臭</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实验转角台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转角水盆台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20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钢制货架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全钢结构，1.2mm冷轧钢板折弯，环氧树脂喷涂，高光白，顶部盖板遮挡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转角水盆台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79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89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尺寸：1500*850*2350mm。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硫酸（98%）、硝酸（65%）、氢氧化钠（40%）、四氯化碳、松节油、乙腈等酸、碱及其它化学试剂作用下无明显变化；不得含重金属铅、镉；甲醛释放量≤0.024mg/M3；含水率：≤1.0；表面耐冷热循环性能（80℃）：无裂纹、无鼓泡、变色、起皱；进行580小时以上氙灯照射，显示5级，无明显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 钢化防爆夹胶玻璃，移动距离不小于1100mm，可停在任一位置，拉手部位须设计良好的补风及导流效果；视窗升降要平稳不倾斜、阻力小无噪音。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电控面板采用全液晶屏或薄膜式开关，安全的低压控制高压设计，照明灯管配有防酸碱灯罩。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99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p>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尺寸：1500*850*2350mm。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硫酸（98%）、硝酸（65%）、氢氧化钠（40%）、四氯化碳、松节油、乙腈等酸、碱及其它化学试剂作用下无明显变化；不得含重金属铅、镉；甲醛释放量≤0.024mg/M3；含水率：≤1.0；表面耐冷热循环性能（80℃）：无裂纹、无鼓泡、变色、起皱；进行580小时以上氙灯照射，显示5级，无明显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 钢化防爆夹胶玻璃，移动距离不小于1100mm，可停在任一位置，拉手部位须设计良好的补风及导流效果；视窗升降要平稳不倾斜、阻力小无噪音。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电控面板采用全液晶屏或薄膜式开关，安全的低压控制高压设计，照明灯管配有防酸碱灯罩。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全钢试剂柜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left"/>
              <w:textAlignment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lang w:bidi="ar"/>
              </w:rPr>
              <w:t xml:space="preserve">药物分析创新实验室  </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尺寸：1500*850*2350mm。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硫酸（98%）、硝酸（65%）、氢氧化钠（40%）、四氯化碳、松节油、乙腈等酸、碱及其它化学试剂作用下无明显变化；不得含重金属铅、镉；甲醛释放量≤0.024mg/M3；含水率：≤1.0；表面耐冷热循环性能（80℃）：无裂纹、无鼓泡、变色、起皱；进行580小时以上氙灯照射，显示5级，无明显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 钢化防爆夹胶玻璃，移动距离不小于1100mm，可停在任一位置，拉手部位须设计良好的补风及导流效果；视窗升降要平稳不倾斜、阻力小无噪音。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电控面板采用全液晶屏或薄膜式开关，安全的低压控制高压设计，照明灯管配有防酸碱灯罩。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全钢器皿柜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全钢药品柜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柜门:柜门为四开，上下两层。门板上开设有可视窗口，窗口玻璃采用5mm厚的安全胶合玻璃，下柜门板全钢结构。采用1.0mm优质冷轧钢板，无焊连接可拆卸带减震垫。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层板：层板采用1.0mm优质冷轧钢板经激光剪裁、定位打孔、后折弯焊接后成型，需酸洗磷化处理等十三道工序处理后经环氧树脂粉末粉末流水线自动喷涂，高温烘烤固化，表面需附着力高、硬度耐腐蚀性极强，外形美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工艺说明：所有钢板焊接经酸洗磷化等十三道工序处理后经环氧树脂粉末流水线自动喷绘，高温烘烤固化，表面需附着力高、硬度耐腐蚀性极强，外形美观，目视平整无焊点。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铰链：采用不锈钢合页式，开启180度，防锈、耐腐蚀性能力强，达到国际五金行业标准。（或铰链可选用110°优质合金铰链（品牌：格菲卡/海福乐/DTC等）；开合次数能超过十万次以上。）</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把手说明：为不锈钢U型金属拉手（或采用与抽屉或者柜体一体成型一字型拉手，防腐易清洁。）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调整脚说明：采用直径ϕ10mm注塑调整脚，防震、防潮、耐腐蚀，可根据室内地坪适当调整柜体高度，最大调节为0-30mm。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转角仪器台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20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139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防爆气瓶柜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1.规格：1800*900*450mm；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2.柜体钢材基本厚度应达到或优于以下标准：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1.2mmTH：柜体主结构。</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1.5mmTH：门板。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  3.0mmTH：调整脚支撑板。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3.柜门及门框结构要求设计为夹伤事故最小化的结构，为了减少关门带来的伤害，门边与门框之间静态力不可超过100N，每一扇门要求能单手操作。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1)铰链：采用符合门板承重要求的高承载性能铰链；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2)气瓶固定座：采用铝合金模铸成形马鞍型固定座，并以不锈钢螺丝固定，固定座上附有气瓶固定扎带；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3)防磨底垫：于柜底铺设厚6mm及以上的实心倍耐板或PP板底垫，以避免气瓶与底部钢板直接摩擦造成漆面损伤；或柜底直接采用编号304或316不锈钢板制作；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4)活动式斜坡门坎：门坎板采用厚3mm及以上的编号304或316不锈钢板制作，表面以毛丝面处理；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5)门缝条：双开式门片间须装设门缝条，门缝条采用钢材与门板一体成形制作。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5.柜体结构要求：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1)每个柜体均应为完整独立的落地型全钢制柜体设计；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2)柜体为双层式结构，两层钢板之间具38mm(约1-1/2英吋)及以上的缓冲空隙；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3)气瓶固定座：每个柜体配置两只固定座，固定座安装高度应配合使用人气瓶高度设计；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4)活动式斜坡门坎：装设于柜底底板前缘，气瓶进出时可将门坎板外掀搭放至地面，以方便气瓶进出；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5)每个柜体单元应配备4个螺杆调整脚，以支撑柜体及调节水平，柜体底部离地板距离应不少于10mm以隔离地面潮气；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6)其它要求：柜体烤漆颜色应为醒目的颜色，并于门板上附有明显警示标示牌。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1)门板款式：采用双开门式，柜体两片门间无中央垂直支柱阻挡；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2)门板厚45mm(约1-3/4英吋)及以上，为双层加厚结构，内外面均经环氧树酯粉末静电喷涂；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3)门板能开关顺畅达180度；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4）双瓶，氢气专用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转角仪器台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防爆气瓶柜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1.规格：1800*900*450mm；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2.柜体钢材基本厚度应达到或优于以下标准：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1.2mmTH：柜体主结构。</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1.5mmTH：门板。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  3.0mmTH：调整脚支撑板。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3.柜门及门框结构要求设计为夹伤事故最小化的结构，为了减少关门带来的伤害，门边与门框之间静态力不可超过100N，每一扇门要求能单手操作。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1)铰链：采用符合门板承重要求的高承载性能铰链；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2)气瓶固定座：采用铝合金模铸成形马鞍型固定座，并以不锈钢螺丝固定，固定座上附有气瓶固定扎带；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3)防磨底垫：于柜底铺设厚6mm及以上的实心倍耐板或PP板底垫，以避免气瓶与底部钢板直接摩擦造成漆面损伤；或柜底直接采用编号304或316不锈钢板制作；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4)活动式斜坡门坎：门坎板采用厚3mm及以上的编号304或316不锈钢板制作，表面以毛丝面处理；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5)门缝条：双开式门片间须装设门缝条，门缝条采用钢材与门板一体成形制作。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5.柜体结构要求：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1)每个柜体均应为完整独立的落地型全钢制柜体设计；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2)柜体为双层式结构，两层钢板之间具38mm(约1-1/2英吋)及以上的缓冲空隙；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3)气瓶固定座：每个柜体配置两只固定座，固定座安装高度应配合使用人气瓶高度设计；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4)活动式斜坡门坎：装设于柜底底板前缘，气瓶进出时可将门坎板外掀搭放至地面，以方便气瓶进出；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5)每个柜体单元应配备4个螺杆调整脚，以支撑柜体及调节水平，柜体底部离地板距离应不少于10mm以隔离地面潮气；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6)其它要求：柜体烤漆颜色应为醒目的颜色，并于门板上附有明显警示标示牌。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1)门板款式：采用双开门式，柜体两片门间无中央垂直支柱阻挡；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2)门板厚45mm(约1-3/4英吋)及以上，为双层加厚结构，内外面均经环氧树酯粉末静电喷涂；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3)门板能开关顺畅达180度；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4）双瓶，氢气专用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中药饮片标本柜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1、柜体：采用钢玻材质结构，框架为优质铝合金材质或冷轧钢板（并经环氧树脂粉末静电喷涂烤漆工艺处理），钢材基本厚度须达到或优于以下标准：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普通款，1200*400*2000mm</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中药浸制标本柜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1、柜体：采用钢玻材质结构，框架为优质铝合金材质或冷轧钢板（并经环氧树脂粉末静电喷涂烤漆工艺处理），钢材基本厚度须达到或优于以下标准：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普通款，1200*400*2000mm</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中药腊叶标本柜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1、柜体：采用钢玻材质结构，框架为优质铝合金材质或冷轧钢板（并经环氧树脂粉末静电喷涂烤漆工艺处理），钢材基本厚度须达到或优于以下标准：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普通款，1200*400*2000mm</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中药炮制品标本柜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普通款，1200*400*2000mm</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特色植被标本柜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1、柜体：采用钢玻材质结构，框架为优质铝合金材质或冷轧钢板（并经环氧树脂粉末静电喷涂烤漆工艺处理），钢材基本厚度须达到或优于以下标准：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立柱式，600×400×1800</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特色植被标本柜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1、柜体：采用钢玻材质结构，框架为优质铝合金材质或冷轧钢板（并经环氧树脂粉末静电喷涂烤漆工艺处理），钢材基本厚度须达到或优于以下标准：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Style w:val="28"/>
                <w:rFonts w:hint="default"/>
                <w:color w:val="auto"/>
                <w:highlight w:val="none"/>
                <w:lang w:bidi="ar"/>
              </w:rPr>
              <w:t>反馈尺寸为：</w:t>
            </w:r>
            <w:r>
              <w:rPr>
                <w:rStyle w:val="29"/>
                <w:rFonts w:hint="default"/>
                <w:color w:val="auto"/>
                <w:highlight w:val="none"/>
                <w:lang w:bidi="ar"/>
              </w:rPr>
              <w:t>台式，1200*750*850</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超净工作台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冷轧板焊接，静电喷涂，100级@≥0.5μm，垂直准闭合式台面，配置HEPA高效空气过滤器，可调节风速。                                                                       1、采用了任意定位移门系统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2、外壳采用冷板静电喷塑，工作台面为SUS304拉丝不锈钢，耐腐蚀、易清洗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3、照明和杀菌系统安全互锁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4、数显式液晶控制界面，快中慢三档风速可调，可进行紫外灯定时，更具人性化设计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5、垂直准闭合式台面，操作室下降流气幕的形成，可有效防止外部气体投入和操作区洁净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6、配置有HEPA高效空气过滤器，设有初效过滤器进行初步过滤，可有效延长高效过滤器使用寿命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7、符合各项医疗器械设备安全要求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喷涂后的金属表面抗一定的化学物质，满足国家标准。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159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1.0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柜门:制作工艺同柜体，双层门板设计，用1.0mm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1.0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柜体外壳采用1.0mm优质冷轧钢板经激光剪裁、定位打孔、后折弯焊接后成型，需酸洗磷化处理等十三道工序处理后经环氧树脂粉末粉末流水线自动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钢制货架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全钢结构，1.2mm冷轧钢板折弯，环氧树脂喷涂，高光白，顶部盖板遮挡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全钢天平台（万级）</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1、框架：采用全钢材质结构，加工材料为优质低碳冷轧钢板。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2、台面：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采用单片厚60mm(±3%)的均质黑色大理石制作，底部框架尺寸应略小于台面，台面外侧上缘采用圆弧(≥R8mm)处理，并不得有锐角以避免人员碰刮伤意外；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3、防振垫：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本专用材料采用厚18mm(±3%)的复合材料防振垫，不得采用一般橡皮垫；实验室专用天平台防振效果应适用于0.1mg四位分析天平的使用； 实验室专用天平台防震效果适用0.01mg五位分析天平的使用。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169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药材柜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展示柜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1、柜体：采用全钢材质结构，加工材料为优质冷轧钢板（并经环氧树脂粉末静电喷涂烤漆工艺处理），钢材基本厚度须达到或优于以下标准：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2、1.2mm：柜体主结构，外门板。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1）合页：采用符合本项目门板荷重要求的编号304(及以上)不锈钢高承载性能合页；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2）门板把手：采用具备双锁双钥匙的平面外拉式编号304(及以上)不锈钢安全把手，门锁为三向插梢式，插梢具自缩回弹功能；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3）门缝条：采用钢材与门板一体成型制作；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工作台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台面一体成型，304不锈钢材质；柜体201无磁不锈钢，门板为无指纹不锈钢，含不锈钢水池，龙头。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15mm厚一体实芯烧制实验室专用陶瓷台面，釉面颜色可选黑色、白色、蓝色，台面要求直角度，边角度，平整度等达到国家标准，耐强腐蚀，耐高温，耐磨，便于清洁，永不变形变色，美观大方，安全环保，免维护。</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90%高氯酸，65%硝酸，37%盐酸，99%乙酸，85%磷酸，98%硫酸，氢氧化钾饱和，30%双氧水，碘酒，37%甲醛溶液，甲醇，28%氨水，氯苯，二氯甲烷，氢氧化钠等试剂作用下表面无变化；2.吸水率要平均值为≤0.004%，单个值≤0.01%；3.破坏强度≥16086N；3.在均匀施加400kg载荷，保载不低于24H，加载面积650㎜*650㎜的情况下台面未破损；4.抗菌性要求：大肠埃希氏菌≥99.95%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1.0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3.长、宽、高误差≤2mm；邻边垂直度：台面对角线、框架对角线、地脚平衡性。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6..金属表面处理标准：⑴ 环氧树脂粉末采用阿克苏诺贝尔或同等品牌；⑵ 所有金属件表面喷涂环氧树脂粉末必须为环保型产品；⑶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left"/>
              <w:textAlignment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lang w:bidi="ar"/>
              </w:rPr>
              <w:t xml:space="preserve">种子科学与工程实验室    </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柜门:制作工艺同柜体，双层门板设计，用1.2mm 冷轧钢板经激光冲切、折弯成型。所有工件外露部分用满缝焊接经打磨抛光处理，表面光滑不刮手。门面板采用双层结构内外部都经过环氧树脂喷涂中间填充隔音材料。带玻璃视窗。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1.2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超净工作台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1、采用了任意定位移门系统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2、外壳采用冷板静电喷塑，工作台面为SUS304拉丝不锈钢，耐腐蚀、易清洗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3、照明和杀菌系统安全互锁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4、数显式液晶控制界面，快中慢三档风速可调，可进行紫外灯定时，更具人性化设计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5、垂直准闭合式台面，操作室下降流气幕的形成，可有效防止外部气体投入和操作区洁净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6、配置有HEPA高效空气过滤器，设有初效过滤器进行初步过滤，可有效延长高效过滤器使用寿命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7、符合各项医疗器械设备安全要求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179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PP通风橱</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面:采用25mm厚一体实芯烧制实验室专用陶瓷台面，整个台面一体高温烧制成型,防止有害液体外溢（不能采用拼接或者后期加厚方式加工），台面耐强腐蚀，耐高温，耐磨，便于清洁，为确保后期使用牢固，不能采用拼接或者后期加厚方式加工。为方便摆放设备，碟型边宽度需≦80mm。 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通风橱柜体：1、整体材质:采用8mm耐酸碱PP材质，经过同色同质焊条一体焊接，耐酸碱性能及耐候性极佳，具有半永久性特点。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13.视窗上下开启，高度：600-700mm，内部面风速：0.5-0.8m/s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189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柜门:制作工艺同柜体，双层门板设计，用1.2mm 冷轧钢板经激光冲切、折弯成型。所有工件外露部分用满缝焊接经打磨抛光处理，表面光滑不刮手。门面板采用双层结构内外部都经过环氧树脂喷涂中间填充隔音材料。门板配置门扣组及橡胶缓冲装置。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1.2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柜门:制作工艺同柜体，双层门板设计，用1.2mm 冷轧钢板经激光冲切、折弯成型。所有工件外露部分用满缝焊接经打磨抛光处理，表面光滑不刮手。门面板采用双层结构内外部都经过环氧树脂喷涂中间填充隔音材料。带玻璃视窗。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1.2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PP通风橱</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面:采用25mm厚一体实芯烧制实验室专用陶瓷台面，整个台面一体高温烧制成型,防止有害液体外溢（不能采用拼接或者后期加厚方式加工），台面耐强腐蚀，耐高温，耐磨，便于清洁，为确保后期使用牢固，不能采用拼接或者后期加厚方式加工。为方便摆放设备，碟型边宽度需≦80mm。 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通风橱柜体：1、整体材质:采用8mm耐酸碱PP材质，经过同色同质焊条一体焊接，耐酸碱性能及耐候性极佳，具有半永久性特点。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13.视窗上下开启，高度：600-700mm，内部面风速：0.5-0.8m/s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教室讲台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全钢结构，1.2mm冷轧钢板折弯，环氧树脂喷涂，集成中控台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199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柜门:制作工艺同柜体，双层门板设计，用1.2mm 冷轧钢板经激光冲切、折弯成型。所有工件外露部分用满缝焊接经打磨抛光处理，表面光滑不刮手。门面板采用双层结构内外部都经过环氧树脂喷涂中间填充隔音材料。带玻璃视窗。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1.2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边台吊柜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材质：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柜体一般深度为：320mm（±5%），高度为 600mm（±5%）。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柜门:制作工艺同柜体，双层门板设计，用1.2mm 冷轧钢板经激光冲切、折弯成型。所有工件外露部分用满缝焊接经打磨抛光处理，表面光滑不刮手。门面板采用双层结构内外部都经过环氧树脂喷涂中间填充隔音材料。带玻璃视窗。门板配置门扣组及橡胶缓冲装置。</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层板采用1.2mm优质冷轧钢板经激光剪裁、定位打孔、后折弯焊接后成型，需酸洗磷化处理等十三道工序处理后经环氧树脂粉末粉末流水线自动喷涂，高温烘烤固化，表面需附着力高、硬度耐腐蚀性极强，外形美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全钢转角台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桌上型通风柜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1、规格尺寸：1500mm*1500mm*1500mm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通风柜（全钢结构，配有照明），上箱体外壳采用1.2mm冷轧钢板折弯制作，下补风设计，可通过电源线。表面环氧树脂静电粉沫喷涂，防腐蚀耐酸碱。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台面：一体成型碟状陶瓷台面，其他性能与实验台台面要求一致。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视窗：窗口采用6mm钢化玻璃，移动距离不小于1100mm，可停在任一位置，拉手部位须设计良好的补风及导流效果；视窗升降要平稳不倾斜、阻力小无噪音。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全钢试剂柜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柜门:柜门为四开，上下两层。门板上开设有可视窗口，窗口玻璃采用5mm厚的安全胶合玻璃，下柜门板全钢结构。采用1.2mm优质冷轧钢板，无焊连接可拆卸带减震垫。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层板：层板采用1.2mm优质冷轧钢板经激光剪裁、定位打孔、后折弯焊接后成型，需酸洗磷化处理等十三道工序处理后经环氧树脂粉末粉末流水线自动喷涂，高温烘烤固化，表面需附着力高、硬度耐腐蚀性极强，外形美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工艺说明：所有钢板焊接经酸洗磷化等十三道工序处理后经环氧树脂粉末流水线自动喷绘，高温烘烤固化，表面需附着力高、硬度耐腐蚀性极强，外形美观，目视平整无焊点。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铰链：采用不锈钢合页式，开启180度，防锈、耐腐蚀性能力强，达到国际五金行业标准。（或铰链可选用110°优质合金铰链（品牌：格菲卡/海福乐/DTC等）；开合次数能超过十万次以上。）</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把手说明：为不锈钢U型金属拉手（或采用与抽屉或者柜体一体成型一字型拉手，防腐易清洁。）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调整脚说明：采用直径ϕ10mm注塑调整脚，防震、防潮、耐腐蚀，可根据室内地坪适当调整柜体高度，最大调节为0-30mm。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全钢中央台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PP通风橱</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通风柜台面:采用25mm厚一体实芯烧制实验室专用陶瓷台面，整个台面一体高温烧制成型,防止有害液体外溢（不能采用拼接或者后期加厚方式加工），台面耐强腐蚀，耐高温，耐磨，便于清洁，为确保后期使用牢固，不能采用拼接或者后期加厚方式加工。为方便摆放设备，碟型边宽度需≦80mm。 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通风橱柜体：1、整体材质:采用8mm耐酸碱PP材质，经过同色同质焊条一体焊接，耐酸碱性能及耐候性极佳，具有半永久性特点。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13.视窗上下开启，高度：600-700mm，内部面风速：0.5-0.8m/s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229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全钢台式通风柜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1、规格尺寸：1500mm*850mm*2350mm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通风柜（全钢结构，配有照明），上下箱体外壳采用1.2mm冷轧钢板折弯制作，下补风设计，可通过电源线。表面环氧树脂静电粉沫喷涂，防腐蚀耐酸碱。</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上箱体内衬板、导流板采用5mm厚陶瓷纤维板，可拆卸，易于清洁。三级导流设计，彻底排出柜内废气；固定座：PC一体成型，并具有固定合成架功能。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台面：一体成型碟状陶瓷台面，其他性能与实验台台面要求一致。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插座采用国标五孔插座4个，配漏电保护开关。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视窗：窗口采用6mm钢化玻璃，移动距离不小于1100mm，可停在任一位置，拉手部位须设计良好的补风及导流效果；视窗升降要平稳不倾斜、阻力小无噪音。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电控面板采用薄膜式开关，安全的低压控制高压设计，照明灯管配有防酸碱灯罩。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配重钢丝采用PVC材质包覆，耐酸碱、防腐蚀。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全钢试剂柜</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柜体外壳采用1.2mm优质冷轧钢板经激光剪裁、定位打孔、后折弯焊接后成型，需酸洗磷化处理等十三道工序处理后经环氧树脂粉末粉末流水线自动喷涂，高温烘烤固化，表面需附着力高、硬度耐腐蚀性极强，外形美观。品牌：涟钢/武钢/宝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柜门:柜门为四开，上下两层。门板上开设有可视窗口，窗口玻璃采用5mm厚的安全胶合玻璃，下柜门板全钢结构。采用1.2mm优质冷轧钢板，无焊连接可拆卸带减震垫。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层板：层板采用1.2mm优质冷轧钢板经激光剪裁、定位打孔、后折弯焊接后成型，需酸洗磷化处理等十三道工序处理后经环氧树脂粉末粉末流水线自动喷涂，高温烘烤固化，表面需附着力高、硬度耐腐蚀性极强，外形美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 工艺说明：所有钢板焊接经酸洗磷化等十三道工序处理后经环氧树脂粉末流水线自动喷绘，高温烘烤固化，表面需附着力高、硬度耐腐蚀性极强，外形美观，目视平整无焊点。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铰链：采用不锈钢合页式，开启180度，防锈、耐腐蚀性能力强，达到国际五金行业标准。（或铰链可选用110°优质合金铰链（品牌：格菲卡/海福乐/DTC等）；开合次数能超过十万次以上。）</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把手说明：为不锈钢U型金属拉手（或采用与抽屉或者柜体一体成型一字型拉手，防腐易清洁。）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调整脚说明：采用直径ϕ10mm注塑调整脚，防震、防潮、耐腐蚀，可根据室内地坪适当调整柜体高度，最大调节为0-30mm。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239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台式洗眼器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20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249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259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269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279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边台试剂架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全钢水盆台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1.水盆台台面：选用实验室专用 25mm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水盆台台面技术指标：1、耐高温不低于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2.水盆台柜体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水盆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水盆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289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全钢转角台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1.台面：选用实验室专用 20mm 厚一体实芯烧制实验室专用陶瓷板台面，台面胚体需为黑色，釉面颜色可选（斑点灰、蓝色、绿色、紫色、黑色等），具有耐高温、釉面和坯体结合后不脱落、不脱层，耐磨、耐强腐蚀。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台面技术指标：1、耐高温不低于 1350℃；2、燃烧性能为A1级不燃材料；3、重金属检测不得检出可溶性铅、镉；4、丙酮、咖啡、氢氧化钠（25%）、双氧水（30%）、鞋油、柠檬酸（10%）、牙膏、护手霜、天然果蔬汁、水、食盐溶液、芥末、肥皂液、牛奶、红茶、苯酚、可乐饮料、圆珠笔油、指甲油、浓缩醋（30%乙酸、红药水、油漆、唇膏、高氯酸、松节油、硼酸（25%）、异丁醇、盐酸（37%）、氯化钙（10%）、硝酸银（1%）、硝酸（65%）、硫酸（98%）、甲酚红（20%）、乙醇（75%）、王水、氯化锌（15%）、甲苯、苯、丙三醇、半二甲酚橙0.01%、铬天青S0.1%、甲基橙0.01%、酸性铬蓝K0.01%、硫代硫酸钠1%、二苯胺磺酸钠0.2%、磷酸、氯化锶10%、氨三乙酸10%、氯化铵10%、氯化钾10%、硫酸铜10%、蓝墨水、蓖麻油等实验室常用试剂耐化学性能检测为5级；5、表面耐划痕：台面耐划痕性能1级。6、光泽度：一体实芯黑色坯体陶瓷板检测结果为为≥58；7、洛氏硬度≧130HRM；8、台面止滑要求：具有止滑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2.实验台柜体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实验台整体为全钢结构，柜体外壳采用1.2mm优质冷轧钢板经激光剪裁、定位打孔、后折弯焊接后成型，需酸洗磷化处理等十三道工序处理后经环氧树脂粉末粉末流水线自动喷涂，高温烘烤固化，表面需附着力高、硬度耐腐蚀性极强，外形美观。实验室等级钢制家具应能承受以下最大荷重而不变形或影响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2.落地式底柜 柜体荷重：不小于907公斤(约2000磅)；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3.落地式底柜 柜体集中荷重：不小于90公斤(约200磅)；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4.门片及合页荷重：不小于90公斤(约200磅)；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5.抽屉静态荷重：不小于68公斤(约150磅)；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6.层板荷重：不小于90公斤(约200磅)；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7.长、宽、高误差≤2mm；邻边垂直度：台面对角线、框架对角线1000mm≤1mm，2000mm≤1mm，3000mm≤2mm；地脚平衡性≤1mm。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8.门与框架、门与门、门与抽屉缝隙、间隔1-2mm；上沿线松紧适中，沿线长度与板长误差≤10mm；水平、稳固。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实验台框架采用优质冷轧钢板制作，表面经环氧树脂粉末静电喷涂处理，喷涂厚度≥75μm，平整光滑，无喷涂层脱落、鼓泡、凹陷、压痕以及表面划伤、麻点、裂痕、崩角和刃口等。各配件安装严密、平整、端正、牢固，结合处无崩茬或松动。金属配件应做除锈和防腐处理。工作表面无胶渍，台面平整干净。所有用材和胶合剂的各项指标均全部符合国家标准，其中环保指标均在国家标准允许范围之内。</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10.金属表面处理标准：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⑴ 环氧树脂粉末采用阿克苏诺贝尔或同等品牌；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⑵ 所有金属件表面喷涂环氧树脂粉末必须为环保型产品；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⑶ 喷涂后的金属表面抗一定的化学物质，，符合国家标准。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left"/>
              <w:textAlignment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lang w:bidi="ar"/>
              </w:rPr>
              <w:t>锰重点实验室建设</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防爆气瓶柜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1.规格：1800*900*450mm；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2.柜体钢材基本厚度应达到或优于以下标准：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1.2mmTH：柜体主结构。</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1.5mmTH：门板。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  3.0mmTH：调整脚支撑板。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3.柜门及门框结构要求设计为夹伤事故最小化的结构，为了减少关门带来的伤害，门边与门框之间静态力不可超过100N，每一扇门要求能单手操作。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1)铰链：采用符合门板承重要求的高承载性能铰链；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2)气瓶固定座：采用铝合金模铸成形马鞍型固定座，并以不锈钢螺丝固定，固定座上附有气瓶固定扎带；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3)防磨底垫：于柜底铺设厚6mm及以上的实心倍耐板或PP板底垫，以避免气瓶与底部钢板直接摩擦造成漆面损伤；或柜底直接采用编号304或316不锈钢板制作；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4)活动式斜坡门坎：门坎板采用厚3mm及以上的编号304或316不锈钢板制作，表面以毛丝面处理；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5)门缝条：双开式门片间须装设门缝条，门缝条采用钢材与门板一体成形制作。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5.柜体结构要求：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1)每个柜体均应为完整独立的落地型全钢制柜体设计；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2)柜体为双层式结构，两层钢板之间具38mm(约1-1/2英吋)及以上的缓冲空隙；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3)气瓶固定座：每个柜体配置两只固定座，固定座安装高度应配合使用人气瓶高度设计；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4)活动式斜坡门坎：装设于柜底底板前缘，气瓶进出时可将门坎板外掀搭放至地面，以方便气瓶进出；</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5)每个柜体单元应配备4个螺杆调整脚，以支撑柜体及调节水平，柜体底部离地板距离应不少于10mm以隔离地面潮气；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6)其它要求：柜体烤漆颜色应为醒目的颜色，并于门板上附有明显警示标示牌。</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1)门板款式：采用双开门式，柜体两片门间无中央垂直支柱阻挡；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2)门板厚45mm(约1-3/4英吋)及以上，为双层加厚结构，内外面均经环氧树酯粉末静电喷涂；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3)门板能开关顺畅达180度；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4）双瓶，氢气专用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气体钢瓶固定装置</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1.40L钢瓶配用含链条； 2.不锈钢材质; ； 3.惰性气体适用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1.规格：5100*750*850mm（留一口网线接口）；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w:t>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2.台面不得含有重金属铅、镉；</w:t>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3.台面甲醛释放量≤0.024mg/M3；4.台面含水率：≤1.0；表面耐冷热循环性能（80℃）：无裂纹、无鼓泡、变色、起皱；</w:t>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5.进行580小时以上氙灯耐候照射，结果为5级，无明显变化；</w:t>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6.燃烧情况下烟气毒性符合t1级要求；水平燃烧符合HB级，垂直燃烧符合V-0级；</w:t>
            </w:r>
            <w:r>
              <w:rPr>
                <w:rFonts w:hint="eastAsia" w:ascii="宋体" w:hAnsi="宋体" w:cs="宋体"/>
                <w:color w:val="auto"/>
                <w:kern w:val="0"/>
                <w:sz w:val="20"/>
                <w:szCs w:val="20"/>
                <w:highlight w:val="none"/>
                <w:lang w:bidi="ar"/>
              </w:rPr>
              <w:t>▲</w:t>
            </w:r>
            <w:r>
              <w:rPr>
                <w:rFonts w:hint="eastAsia" w:ascii="微软雅黑" w:hAnsi="微软雅黑" w:eastAsia="微软雅黑" w:cs="微软雅黑"/>
                <w:color w:val="auto"/>
                <w:kern w:val="0"/>
                <w:sz w:val="20"/>
                <w:szCs w:val="20"/>
                <w:highlight w:val="none"/>
                <w:lang w:bidi="ar"/>
              </w:rPr>
              <w:t>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仪器台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1.规格：7000*750*850mm（留一口网线接口）；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299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1.规格：900*750*850mm；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钢木结构，钢架40mm*60mm型钢，柜体为E0级18mm优质刨花板，台面为12.7mm优质理化板，配套钢制插座盒（留一口网线接口）。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1.颜色：黑色；                                                                                                      2.材质：高密度PP新材，耐强酸碱及有机溶剂，如王水等；                                                                 3.稳定性强，具有弹性，韧性，不易老化</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1.规格：7000*750*850；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吊柜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采用15mm厚E0优质三聚氢胺中密度纤维板，断面以1mm厚PVC封边条封边，黏结牢固可靠，防潮耐腐蚀；板与板间采用三合一锁件结构连接，安装灵活，方便牢固；板材颜色可选。柜体规格：L*300*600mm，五金配件：铰链可选用110°优质合金铰链；开合次数能超过十万次以上。层板：采用15mm厚E0优质三聚氢胺中密度纤维板，断面以1mm厚PVC封边条封边，黏结牢固可靠，防潮耐腐蚀；活动结构，可调节相对高度。拉手： 采用一字型铝合金暗拉手，表面经化学处理，耐腐蚀，外形美观，设计人性化。门板：采用18mm厚E0优质三聚氢胺中密度纤维板，柜门内嵌玻璃，断面以2mm厚PVC封边条封边，黏结牢固可靠，防潮耐腐蚀，美观大方。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309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1.规格：1800*850*2350（配套水阀水嘴）；                                                                                    通风柜台面：采用优质国内12.7mm厚实芯理化板台面，台面边缘用同质材料板双层加厚至25.4mm，由专业生产厂家用CNC机械加工而成。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步入式通风柜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1.规格：1800*850*2350（步入式结构）；                                                                                    2.柜体基础材料采用6~12mm瓷白色PP板；柜体连接方式为焊接，采用耐酸碱性能优异的同质同色PP焊条，柜体所有结构均无金属部件外漏；下柜为对开门结构，内置可调节层板，后侧设排风孔，与主风管连接；铰链及合页为全PP材质，耐酸碱、防腐蚀、经久耐用，开关无声响；移门系统导轨采用特制PP材料，最低程度减少摩擦力；视窗把手采用特制PP材料，美观且操作方便；工作空间平均照度≥500Lux，照明装置下方设安全钢化玻璃面板，有效保证与柜体操作空间隔离；</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通风柜正常运行时，视窗推拉高度在0~500mm范围内保证其表面风速0.5±0.1m/s，同时压损≤70Pa；通风柜应能按示踪气体泄漏的浓度低于0.05ppm以及最大泄漏浓度低于0.50ppm；控制面板位于通风柜右侧立柱；电源插座采用防溅型，10A/220V；分体式遥控水、气考克根据用户需求配置，水、气嘴安装在内部右侧内衬板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11.阀门在不低于1s的时间内能完全打开。阀门一经打开，除使用者有意关闭的情况之外，能始终保持开启状态；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329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1.规格：1800*850*2350（配套水阀水嘴）；                                                                                    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339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紧急喷淋洗眼器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1、主体材料：食品级 304不锈钢，厚度：不低于3mm，Ni含量大于8%。可以抗弱酸、碱、盐和油类腐蚀的现场；需提供食品级不锈钢的检测报告及Ni含量大于8%的检测报告并加盖CMA及CNAS章；</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3、根据GB/T 38144.1-2019标准之规定，紧急冲淋的喷淋系统和洗眼系统易于操作，操作者一个人就可以完成，不需要其他人员协助；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4、紧急冲淋正常水压要求：0.3—0.6 MPa，管件密封部件必须承受 1 MPa 长时间没有泄漏；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5、工作压力：0.3—0.6Mpa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6、密封压力：0.8Mpa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7、喷淋流量：&gt;75.7L/min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8、洗眼流量：&gt;11.4L/min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9、洗眼器进水口尺寸：DN25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10、洗眼系统排水口尺寸：DN25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11、排水盘排水口尺寸：DN40</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12、喷淋系统要求：在距离使用者站立平面1520mm的地方，喷淋范围直径最小应为510mm，冲洗液分散形式应始终保持一致并充分散开。喷淋范围的中心距离任何障碍物的最小距离应为410mm。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13、洗眼系统要求：喷头应位于距离使用者站立的水平面至少838mm的高度上，但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不得超过1143mm，且距离墙壁或最近的障碍物至少153mm。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14、冲淋喷头高度：冲淋喷头距离安装平面高度在2080-2440mm.该距离从使用者站立的平面计算。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15、阀门驱动装置高度：到使用者站立平面的高度不应超过1730mm。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16、冲淋喷头流量：在水流压力最低0.2MPa下，应以至少76L/min的流量提供冲洗液，保持连续冲洗至少15min。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17、洗眼器喷头流量：测试压力0.20MPa，测试时间3min/次，样品提供冲洗液流量：22.6L/min，能保持洗眼时间15min。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18、开启时间：冲淋手拉阀开启时间≤1s，洗眼器阀门开启时间≤1s.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19、不锈钢手推柄配100mm*100mm绿底白色洗眼符号牌.符号符合阿联酋法规；</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20、主体1500mm以上管子处、或者可以贴在墙体上配200mm*300mm绿底白色洗眼符号塑料标。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1.规格：1800*850*2350mm（配套水阀水嘴）；                                                                                    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1.规格：4000*750*850mm；                                                                                   2.柜体材料：柜体PP板材采用优质国产品牌。柜身、前柜体板（抽屉面板及门板）、柜体侧板、搁板、内衬均采用8mm厚乳白色PP板。柜体内设有搁板调节托架，可根据需要自由调节高度。底柜后方应具备容易拆装的背板，不用工具即可方便地拆卸下来以检修管路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3.底柜五金及配件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拉手：采用乳白色PP专用把手。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导轨：釆用PP导轨。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合页：采用乳白色PP专用合页。</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可调脚 ：由优质不锈钢螺杆、PP罩盖、橡胶材料组成而成，具有防滑、减震、耐酸碱、承重力强等特点；高度可调节。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门缝条：采用软硬共挤成型塑料材质(门板碰触面为软性塑料)，且为可拆装式(组装螺丝予以隐藏)。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门板缓冲垫：采用橡胶材质(需采用卡榫式安装，不采用粘贴式)。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层板支撑扣：采用编号304不锈钢材质或PP材质制作。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以上配件安装时的锁合螺丝采304不锈钢材质或PP材质。台面：采用优质国内12.7mm厚实芯（双面）理化板台面，台面边缘用同质材料板双层加厚至25.4mm，由专业生产厂家用CNC机械加工而成。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349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1.规格：3400*750*850mm；                                                                                   2.柜体材料：柜体PP板材采用优质国产品牌。柜身、前柜体板（抽屉面板及门板）、柜体侧板、搁板、内衬均采用8mm厚乳白色PP板。柜体内设有搁板调节托架，可根据需要自由调节高度。底柜后方应具备容易拆装的背板，不用工具即可方便地拆卸下来以检修管路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3.底柜五金及配件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拉手：采用乳白色PP专用把手。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导轨：釆用PP导轨。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合页：采用乳白色PP专用合页。</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可调脚 ：由优质不锈钢螺杆、PP罩盖、橡胶材料组成而成，具有防滑、减震、耐酸碱、承重力强等特点；高度可调节。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门缝条：采用软硬共挤成型塑料材质(门板碰触面为软性塑料)，且为可拆装式(组装螺丝予以隐藏)。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门板缓冲垫：采用橡胶材质(需采用卡榫式安装，不采用粘贴式)。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层板支撑扣：采用编号304不锈钢材质或PP材质制作。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以上配件安装时的锁合螺丝采304不锈钢材质或PP材质。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采用8mm瓷白色PP(聚丙烯)板材，经过同色同质焊条焊接而成具有耐强酸、强碱与抗腐蚀的特性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采用8mm瓷白色PP(聚丙烯)板材，经过同色同质焊条焊接而成具有耐强酸、强碱与抗腐蚀的特性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吊柜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柜体采用8.0mmA级瓷白聚丙烯板（PP)焊接制作，经过雕刻一次折弯处理后分部件成型，具有极强的抗酸碱，耐腐蚀性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吊柜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柜体采用8.0mmA级瓷白聚丙烯板（PP)焊接制作，经过雕刻一次折弯处理后分部件成型，具有极强的抗酸碱，耐腐蚀性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                                                                                   2.柜体材料：柜体PP板材采用优质国产品牌。柜身、前柜体板（抽屉面板及门板）、柜体侧板、搁板、内衬均采用8mm厚乳白色PP板。柜体内设有搁板调节托架，可根据需要自由调节高度。底柜后方应具备容易拆装的背板，不用工具即可方便地拆卸下来以检修管路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3.底柜五金及配件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拉手：采用乳白色PP专用把手。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导轨：釆用PP导轨。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合页：采用乳白色PP专用合页。</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可调脚 ：由优质不锈钢螺杆、PP罩盖、橡胶材料组成而成，具有防滑、减震、耐酸碱、承重力强等特点；高度可调节。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门缝条：采用软硬共挤成型塑料材质(门板碰触面为软性塑料)，且为可拆装式(组装螺丝予以隐藏)。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门板缓冲垫：采用橡胶材质(需采用卡榫式安装，不采用粘贴式)。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层板支撑扣：采用编号304不锈钢材质或PP材质制作。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以上配件安装时的锁合螺丝采304不锈钢材质或PP材质。                                                          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柜体材料：柜体PP板材采用优质国产品牌。柜身、前柜体板（抽屉面板及门板）、柜体侧板、搁板、内衬均采用8mm厚乳白色PP板。柜体内设有搁板调节托架，可根据需要自由调节高度。底柜后方应具备容易拆装的背板，不用工具即可方便地拆卸下来以检修管路系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3.底柜五金及配件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拉手：采用乳白色PP专用把手。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导轨：釆用PP导轨。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合页：采用乳白色PP专用合页。</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可调脚 ：由优质不锈钢螺杆、PP罩盖、橡胶材料组成而成，具有防滑、减震、耐酸碱、承重力强等特点；高度可调节。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门缝条：采用软硬共挤成型塑料材质(门板碰触面为软性塑料)，且为可拆装式(组装螺丝予以隐藏)。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门板缓冲垫：采用橡胶材质(需采用卡榫式安装，不采用粘贴式)。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层板支撑扣：采用编号304不锈钢材质或PP材质制作。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以上配件安装时的锁合螺丝采304不锈钢材质或PP材质。                                                          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采用8mm瓷白色PP(聚丙烯)板材，经过同色同质焊条焊接而成具有耐强酸、强碱与抗腐蚀的特性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359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1.规格：1800*850*2350mm（配套水阀水嘴，带蒸馏架）；                                                                                                                        通风柜台面：采用优质国内12.7mm厚实芯理化板台面，台面边缘用同质材料板双层加厚至25.4mm，由专业生产厂家用CNC机械加工而成。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1.规格：3400*750*850mm（活动下柜体）；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369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吊柜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采用15mm厚E0优质三聚氢胺中密度纤维板，断面以1mm厚PVC封边条封边，黏结牢固可靠，防潮耐腐蚀；板与板间采用三合一锁件结构连接，安装灵活，方便牢固；板材颜色可选。柜体规格：L*300*600mm，五金配件：铰链可选用110°优质合金铰链；开合次数能超过十万次以上。层板：采用15mm厚E0优质三聚氢胺中密度纤维板，断面以1mm厚PVC封边条封边，黏结牢固可靠，防潮耐腐蚀；活动结构，可调节相对高度。拉手： 采用一字型铝合金暗拉手，表面经化学处理，耐腐蚀，外形美观，设计人性化。门板：采用18mm厚E0优质三聚氢胺中密度纤维板，柜门内嵌玻璃，断面以2mm厚PVC封边条封边，黏结牢固可靠，防潮耐腐蚀，美观大方。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1.规格：5050*1500*850mm（活动下柜体）；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379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1.规格：1800*850*2350；（配套水阀水嘴，带蒸馏架）                                                                                   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1.规格：5050*1500*850mm（活动下柜体）；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389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台式通风柜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1.规格：1800*850*2350；（配套水阀水嘴）                                                                                    通风柜台面：采用优质国内12.7mm厚实芯（双面）理化板台面，台面边缘用同质材料板双层加厚至25.4mm，由专业生产厂家用CNC机械加工而成。</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通风柜柜体：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1、整体材质:采用8mm耐酸碱PP材质，经过同色同质焊条一体焊接，耐酸碱性能及耐候性极佳，具有半永久性特点。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2.柜体:采用大量“口”型，“U”型 及“T”型加强结构，确保整体结实可靠，并可获得最大的承重能力。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3.结构：特殊结构经过FEA分析，能有效达到力学性能。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4.移门导轨:采用特制PVC型材，线接触计，最低程度减少摩擦力；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5.视窗把手：采用特制PVC型材，经人体工学设计，美观舒适；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6.视窗：采用无段式设计重力自平衡设计，手感轻盈，标配5mm钢化玻璃，强度及通透性好，耐腐蚀。(可定制PVC，PMMA等其他材质）；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7.拉绳：采用PVC同步带配重，确保使用安全；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8.滑轮：采用PP静音滑轮，摩擦力很小；配重块采用PP外壳+自制花篮扣，方便调节。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9.照明：采用LED(0.9M-白光）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10.插座：采用实验室专用PP抗腐蚀防溅盖板+三孔插座。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11.控制面板：带液晶显示功能的集成控制器面板，可视化控制各项参数，让您的操作省心放心。</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12.配电箱： 同质PP外壳*1, 德力西（DZ47sLE）*1</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13.主要参数：</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 视窗上下开启，高度：600-700mm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 内部面风速：0.5-0.8m/s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1.通风柜气密性能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调节门在工作开启高度450mm左右(自下通板上方向上),面风速保持0.5m/s情况下，实际排风量应不得大于计算排风量的5%(计算排风量=调节门宽度*调节门开启高度x0.5m/sx3600 秒 )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通风柜必须能达到在0.5m/s的面风速的情况下起到有效地排放有毒有害气体的作用。此风速范围内，通风柜内有毒有害气体残留不高于0.05ppm;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2.面风速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在调节门开启高度发生变化时，排风量也应相应的发生变化，在排风量相应的变化情况 下，面风速应保持0.5m/s不变。通风柜调节门允许开启至最高开启高度，其面风速应保持0.5m/s不变。</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通风柜的表面平均风速应为设计值的±15%以内(本项目各通风柜面风速设计值为0.5m/s, 无人时为0.3m/s); 通风柜的面风速应分布均匀，各测量点的最大值、最小值与算术平均值的偏差应小于±15%。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3.顶部排风口为圆形开口，管径配合风量要求，排风口径不低于250mm; 通风柜阻力应尽量小，不超过90Pa;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4.排风量：1500mm通风柜的最小排风量为300CMH, 最大的排风量为1500CMH；1800mm通风柜的最小排风量为300CMH,最大排风量为1800CMH;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5.通风柜照明：工作空间照明采用防爆灯：860Lux左右。工作空间包括通风柜两侧玻璃移门到后导流板以及台面到28英寸(710毫米)高度所包裹的范围；</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药品柜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1、柜体: 柜体采用8.0mmA级瓷白聚丙烯板（PP)焊接制作，经过雕刻一次折弯处理后分部件成型，具有极强的抗酸碱，耐腐蚀性一体成型、无缝焊接技术，极大的加强了柜体的结构性，柜内配有活动层板，有效的降低了柜体因热胀冷缩而引起的变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2、柜门：采用8.0mmA级瓷白聚丙烯板制作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3、视窗可选用5mm钢化玻璃视窗，锁具为一次成型制作，配备双锁，实现双人双锁管理。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4、层板：采用瓷白色PP（聚丙烯）板制作。整体设计为活动式，可随意抽取放在合适的隔层，自由组合各层空间，四周立边可获得一定程度的防溢效果。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5、外壳:采用8mm瓷白色PP(聚丙烯)板材，经过同色同质焊条焊接而成具有耐强酸、强碱与抗腐蚀的特性，降低环境污染，维护使用者的健康。</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6、门把手：采用耐酸碱PP（聚丙烯）材质，耐腐蚀性能好。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7、铰链：采用经射出成型的PP（聚丙烯）材料制成，耐腐蚀性能好，外观精美且有多种颜色可选。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8、专用门吸：采用PP（聚丙烯）材料制成，使用寿命长，质量有保证。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9、配件：采用耐强酸、强碱材质合页、碰珠，螺丝，拉门采用同质PP聚丙稀材料制作。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10、地脚: 采用防震组合地脚，高度可调。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实验边台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1.规格：4000*750*850mm；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吊柜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柜体采用15mm厚E0优质三聚氢胺中密度纤维板，断面以1mm厚PVC封边条封边，黏结牢固可靠，防潮耐腐蚀；板与板间采用三合一锁件结构连接，安装灵活，方便牢固；板材颜色可选。柜体规格：L*300*600mm，五金配件：铰链可选用110°优质合金铰链；开合次数能超过十万次以上。层板：采用15mm厚E0优质三聚氢胺中密度纤维板，断面以1mm厚PVC封边条封边，黏结牢固可靠，防潮耐腐蚀；活动结构，可调节相对高度。拉手： 采用一字型铝合金暗拉手，表面经化学处理，耐腐蚀，外形美观，设计人性化。门板：采用18mm厚E0优质三聚氢胺中密度纤维板，柜门内嵌玻璃，断面以2mm厚PVC封边条封边，黏结牢固可靠，防潮耐腐蚀，美观大方。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399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中央台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1.规格：5050*1500*850mm；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钢木结构，钢架40mm*60mm型钢，柜体为E0级18mm优质刨花板，台面为12.7mm优质理化板，配套钢制插座盒。台面技术指标：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实验水槽台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1.规格：1500*750*850mm；                                                                                     2.主架：采用40×60mm冷轧方形钢管制成C型钢架结构，钢管壁厚≥1.5mm，钢管经数控机床切割后再经焊接、粗打磨、细打磨、酸洗、碱洗、磷化、吹扫处理后采用优质环氧树脂塑粉喷涂处理，涂层≥85um，细密均匀， 无任何色差，具有耐酸碱、防腐蚀、易清洁等特点。钢架承重力强，结构稳定，框架静态承重大于300公斤。整体结构以五金配件组合而成，可连续组装，并具方便拆装、重复使用功能。</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3.柜身、前柜体板(抽屉面板及门板)、柜体侧板、搁板、内衬均采用18mm厚E0级环保双面灰色三聚氰胺成型板，所有断面(包括隐藏断面)经优质2mm厚PVC高温热压机械封边防水处理(优质品牌PVC封边)， 要求不翘不裂、耐潮耐磨耐高温、质地结实、表面平整等。</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4.活动背板采用12 mm厚双面灰色三聚氰胺成型板，所有断面(包括隐藏断面)经优质2mm厚PVC高温热压机械封边防水处理，活动可拆卸式，便于使用过程中检修水、电、气等管道。</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5.柜体内设有搁板调节托架，可根据需要自由调节高度。</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所有底柜正面应为平装嵌入式结构设计(内嵌式)，如各端面板(如门板、抽屉)，上/侧/底部柜体边框以及垂直支柱都必须在同一水平面不可有突出，所有钣金的表面接缝均应满焊，焊接处均应打磨平整以保持为连续的平滑表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所有双开门型式底柜两片门间无中央垂直支柱阻挡。每个底柜单元应配备4个镀锌钢螺杆调整脚，以支撑柜体及调节水平，柜体离地板距离应不少于10mm以隔离地面潮气。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装饰封板：中央桌背对背柜体中间空档，底柜与底柜之间，不靠墙的仪器桌柜体后侧，及靠边桌柜体与墙面中间空档的外侧，须使用装饰封板遮盖，封板的颜色应与柜体相同，不得在现场直接以其它材料加工制作装饰封板；所有装饰封板为可拆装式设计，其组装螺丝应以孔塞遮蔽不可外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8.座位空间：于实验台柜体间配置座位空间，其下方空档应以可拆装式封板遮挡装饰，连接件的下方为座位膝部置放空间。</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钢木结构，钢架40mm*60mm型钢，柜体为E0级18mm优质刨花板，台面为12.7mm优质理化板。                                                                                                     台面技术指标：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通过硫酸（98%）、硝酸（65%）、氢氧化钠（40%）、四氯化碳、松节油、乙腈等酸、碱及其它实验室常用化学试剂接触，台面表面无明显变化；2.台面不得含有重金属铅、镉；3.台面甲醛释放量≤0.024mg/M3；4.台面含水率：≤1.0；表面耐冷热循环性能（80℃）：无裂纹、无鼓泡、变色、起皱；5.进行580小时以上氙灯耐候照射，结果为5级，无明显变化；6.燃烧情况下烟气毒性符合t1级要求；水平燃烧符合HB级，垂直燃烧符合V-0级；7.总挥发性有机化合物TVOC（72h）释放量≤0.02mg/m2*h；8.内、外照射检测值均≤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1、立柱：采用100×40×1.2mm优质冷轧钢板制作，经酸洗磷化等十三道工序处理后经环氧树脂粉末流水线自动喷绘，高温烘烤固化，表面需附着力高、硬度耐腐蚀性极强，外形美观，目视平整无焊点。</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2、层板：采用10mm厚钢化安全玻璃，四周作磨边处理，安全光滑，边缘配40mm高铝合金挡条，以防止试剂瓶跌落，既美观大方，又增强层板的承受力。层板高低可调节，下方带线槽并配电源插座。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PP大水槽</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水槽采用全新PP料及进口色母料，无碳酸钙成分；下水口与水槽一体注塑成型，水槽内壁无缩印，四边平整，水槽壁厚≤5mm；为防止水槽中间或四周有积液，槽体底部有导流线。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水槽性能指标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1.弯曲模量、2.弯曲强度、垂直燃烧试验、负荷变形温度、检测洛氏硬度、简支梁无缺口冲击强度的检测结果符合国家标准（签订合同时须提供第三方检测机构出具的有效的检测报告）。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三口冷热水龙头</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材质选用59-1级黄铜棒及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实验室专用化验龙头性能指标：</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1.铅笔硬度：硬度值≥2H</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2.附着力：达到0级；</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3.耐冲击性：不低于50cm,应无裂纹、皱纹及剥落现象；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4.中性盐雾：不低于800h盐雾环境下涂层划道处无腐蚀；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5.连接软管耐压性：将连接软管加压至≥3.5MPA时，软管无破裂、渗漏和其他缺陷；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单口洗眼器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 xml:space="preserve">1.主体:加厚铜质H59-1；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2.洗眼喷头:加厚铜质环氧树脂涂层外加软性橡胶,出水经缓压处理呈泡沫状水柱,防止冲伤眼睛；</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3.莲蓬头护罩：Φ70橡胶质护杯，以避免紧急使用时瞬间接触眼部造成碰撞二次伤害；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4.防尘盖: PP材质, 平常可防尘，使用时可随时被水冲开，并降低突然时短暂的高水压，防止冲伤眼睛，防尘盖有连接于护罩可防尘脱落。使用时自动被水冲开；</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5.水流锁定开关:水流开启,水流锁定功能一次完成,方便使用；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6.控水阀:止逆阀,其阀门可自动关闭；</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7.前置过滤器：配有小型前置过滤器主要的去除管道所产生的沉淀杂质和细菌、微生物残骸、铁锈、沙泥等大于5微米以上的颗粒杂质，避免眼睛及人体肌肤受到伤害；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8.供水软管:长度1.5米,软性PVC管外覆不锈钢网,外层包裹PE管,有效防止生锈、渗漏。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9.出水量：单口洗眼器＞6升/分钟，双口洗眼器＞11.4升/分钟；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洗眼器技术指标需满足：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10.在压力0.20MPa下，提供冲洗液流量：6.9L/min，能保持洗眼时间：不低于15min；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11.阀门在不超过1s的时间内能完全打开。阀门一经打开，除使用者有意关闭的情况之外，能始终保持开启状态；</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12.喷头位于距离使用者站立的水平面的高度距离可调（838mm～1143mm），距离墙壁或最近的障碍物距离可调（≥153mm）；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13.洗眼器一般要求(密封、尺寸、流量)符合国家标准的要求；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防虹吸储水器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防臭堵漏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滴水架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1.材质：高密度PP，款式新颖，有现代感；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2.类型：单面；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3.底部托盘中间设有排水孔；</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4.可拆卸式滴水棒，滴水棒27/52根，有三种不同功能及长度的滴水棒，方便不同规格的器皿挂放；</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5.安装方式：壁挂式/台式；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6.颜色：黑色、白色、灰色；</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滴水架技术指标需满足：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1.耐候性：在荧光紫外灯暴露48小时后，表面无变化。</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2.拉伸强度：≥20MPa。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3.弯曲强度：≥30Mpa。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4.垂直燃烧：实测值V-0。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上下水连接管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进水、出水国标软管。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万向排风罩</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2.关节：进口PP全新料生产，可360°旋转调节方向，易拆卸、重组及清洗；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3.关节盖：进口PP全新料生产，可拆装，防止气体泄漏增强气密性，减小噪音；</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4.关节密封圈：不易老化之高密度橡胶；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5.关节连接杆：304不锈钢；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6.关节松紧旋钮：全铜材质确保螺纹不滑丝，内嵌不锈钢轴承，与关节连接杆锁合；</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7.气流调节阀：手动调节外部阀门旋钮，控制进入之气流量；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8.伸缩导管φ75PP管</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9.铝合金360°旋转装置：以固定架为中心最大活动半径≥1200mm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10.拱型/杯型集气罩：高密度PP/PC材质；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11.固定底座：采用铝合金材质，表面经氧化处理，方形底座壁厚≥2.5mm。固定基座的结构与固定方式应能确保移动风罩安装及使用时的稳定</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409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紧急喷淋洗眼器</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1、主体材料：食品级 304不锈钢，厚度：不低于3mm，Ni含量大于8%。可以抗弱酸、碱、盐和油类腐蚀的现场；需提供食品级不锈钢的检测报告及Ni含量大于8%的检测报告并加盖CMA及CNAS章；</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3、根据GB/T 38144.1-2019标准之规定，紧急冲淋的喷淋系统和洗眼系统易于操作，操作者一个人就可以完成，不需要其他人员协助；</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4、紧急冲淋正常水压要求：0.3—0.6 MPa，管件密封部件必须承受 1 MPa 长时间没有泄漏；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5、工作压力：0.3—0.6Mpa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6、密封压力：0.8Mpa</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7、喷淋流量：&gt;75.7L/min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8、洗眼流量：&gt;11.4L/min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9、洗眼器进水口尺寸：DN25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10、洗眼系统排水口尺寸：DN25</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11、排水盘排水口尺寸：DN40</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12、喷淋系统要求：在距离使用者站立平面1520mm的地方，喷淋范围直径最小应为510mm，冲洗液分散形式应始终保持一致并充分散开。喷淋范围的中心距离任何障碍物的最小距离应为410mm。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13、洗眼系统要求：喷头应位于距离使用者站立的水平面至少838mm的高度上，但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不得超过1143mm，且距离墙壁或最近的障碍物至少153mm。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14、冲淋喷头高度：冲淋喷头距离安装平面高度在2080-2440mm.该距离从使用者站立的平面计算。</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15、阀门驱动装置高度：到使用者站立平面的高度不应超过1730mm。</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16、冲淋喷头流量：在水流压力最低0.2MPa下，应以至少76L/min的流量提供冲洗液，保持连续冲洗至少15min。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17、洗眼器喷头流量：测试压力0.20MPa，测试时间3min/次，样品提供冲洗液流量：22.6L/min，能保持洗眼时间15min。</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18、开启时间：冲淋手拉阀开启时间≤1s，洗眼器阀门开启时间≤1s.</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19、不锈钢手推柄配100mm*100mm绿底白色洗眼符号牌.符号符合阿联酋法规；</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20、主体1500mm以上管子处、或者可以贴在墙体上配200mm*300mm绿底白色洗眼符号塑料标。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实验高温台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1）台面采用20mm厚天然大理石台面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钢制框架：采用“口”字型结构承重框架，主框架采用40×60方钢管，钢材表面经酸洗、磷化、静电喷涂处理。且在后背上安装插座，仪器插头通过台面穿线盒连接插座。台下配左右推拉门，方便维修水，电、气等级管道，以满足桌上摆放大型仪器等特殊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体部分：柜体采用18mm厚E0优质三聚氢胺中密度纤维板，断面以1mm厚PVC封边条封边，黏结牢固可靠，防潮耐腐蚀；板与板间采用三合一锁件结构连接，安装灵活，方便牢固；板材颜色可选。柜体规格：L*500*600mm，五金配件：轨道采用400mm优质三节轨道；铰链可选用110°优质合金铰链；开合次数能超过十万次以上。层板（选配）：采用18mm厚E0优质三聚氢胺中密度纤维板，断面以1mm厚PVC封边条封边，黏结牢固可靠，防潮耐腐蚀；活动结构，可调节相对高度。拉手： 采用一字型铝合金暗拉手，表面经化学处理，耐腐蚀，外形美观，设计人性化。</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实验高温台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1）台面采用20mm厚天然大理石台面</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钢制框架：采用“口”字型结构承重框架，主框架采用40×60方钢管，钢材表面经酸洗、磷化、静电喷涂处理。且在后背上安装插座，仪器插头通过台面穿线盒连接插座。台下配左右推拉门，方便维修水，电、气等级管道，以满足桌上摆放大型仪器等特殊要求。</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柜体部分：柜体采用18mm厚E0优质三聚氢胺中密度纤维板，断面以1mm厚PVC封边条封边，黏结牢固可靠，防潮耐腐蚀；板与板间采用三合一锁件结构连接，安装灵活，方便牢固；板材颜色可选。柜体规格：L*500*600mm，五金配件：轨道采用400mm优质三节轨道；铰链可选用110°优质合金铰链；开合次数能超过十万次以上。层板（选配）：采用18mm厚E0优质三聚氢胺中密度纤维板，断面以1mm厚PVC封边条封边，黏结牢固可靠，防潮耐腐蚀；活动结构，可调节相对高度。拉手： 采用一字型铝合金暗拉手，表面经化学处理，耐腐蚀，外形美观，设计人性化。</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试剂储存柜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1、规格：900*450*1800mm，柜体：采用乳白色PP板，板材基本厚度须达到或优于以下标准：</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2、8mm：柜体主结构，门板，层板。</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3、五金及配件：</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 xml:space="preserve">1）合页：采用乳白色PP专用合页； </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2）门板把手：采用乳白色PP专用把手；</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3）门缝条：采用板材与门板一体成型制作；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4）门板缓冲垫：采用橡胶材质(需采用卡榫式安装，不得采用粘贴式)；</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5）层板支撑扣：采用符合本项目层板荷重要求的编号304(及以上)不锈钢材质制作；</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6）调整脚：螺杆采用∮12.7mm(及以上)不锈钢材质制作，底座包覆防滑橡胶垫；</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7）以上配件安装时的锁合螺丝须采不锈钢材质或PP材质；</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8）柜体底部须配套防腐踢脚线遮蔽柜体与地面的空隙；</w:t>
            </w:r>
            <w:r>
              <w:rPr>
                <w:rFonts w:hint="eastAsia" w:ascii="微软雅黑" w:hAnsi="微软雅黑" w:eastAsia="微软雅黑" w:cs="微软雅黑"/>
                <w:color w:val="auto"/>
                <w:kern w:val="0"/>
                <w:sz w:val="20"/>
                <w:szCs w:val="20"/>
                <w:highlight w:val="none"/>
                <w:lang w:bidi="ar"/>
              </w:rPr>
              <w:br w:type="textWrapping"/>
            </w:r>
            <w:r>
              <w:rPr>
                <w:rFonts w:hint="eastAsia" w:ascii="微软雅黑" w:hAnsi="微软雅黑" w:eastAsia="微软雅黑" w:cs="微软雅黑"/>
                <w:color w:val="auto"/>
                <w:kern w:val="0"/>
                <w:sz w:val="20"/>
                <w:szCs w:val="20"/>
                <w:highlight w:val="none"/>
                <w:lang w:bidi="ar"/>
              </w:rPr>
              <w:t>9）层板采用厚8mm(±3%)的乳白色PP板加工制作，其下并以同质材料适当焊接支撑加固。层板四边具有高20mm(及以上)的止水墙，外观整体高度为80mm(±3%)，呈碟状止水结构；底板设PP集水底盘：于柜内底部设有厚6mm(±3%)的乳白色PP板所加工制作的碟状集水底盘，外观整体高度为50mm(±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防爆安全柜</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1.规格：45加仑；                                                                                            2.厚度 1mm 的钢制双壁结构，38mm的隔气空间；                                                                3.安全搁板将意外溢出物安全地引导至盛漏槽的后侧和底部；                                                     4.采用环氧和聚酯纤维混合的涂料涂饰，耐化学腐蚀；                                                             5.液体密封围堵槽，可容纳泄漏液体；                                                                         6.内置消焰器的双排气口，有目的地置于底部及其相对的顶部。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钢制货架</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全钢结构，1.2mm冷轧钢板折弯，环氧树脂喷涂，高光白，顶部盖板遮挡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长型试验台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int="eastAsia"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1.规格：3500*1500*750mm，全木结构；2.板式长方形，含多功能线盒，四拼加厚台面；3.配套全木座椅;</w:t>
            </w:r>
          </w:p>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采用国标E1级实木多层板，板材厚度主材25mm厚，附材15mm厚，板材均经过脱脂、除虫、干燥处理，天然环保，经久耐用，稳固合理设计，实木多层板通过GB/T 9846-2015《普通胶合板》、GB 18580-2017《室内装饰装修材料 人造板及其制品中甲醛释放限量》及GB/T 35601-2017《绿色产品评价 人造板和木质地板》标准检测合格；配套实验椅</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小型全木试验台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int="eastAsia"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1.规格：1500*1400*1100mm，全木结构；2.自由组合式，带锁；3.含活动下柜，配套座椅;</w:t>
            </w:r>
          </w:p>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采用国标E1级实木多层板，板材厚度主材25mm厚，附材15mm厚，板材均经过脱脂、除虫、干燥处理，天然环保，经久耐用，稳固合理设计，实木多层板通过GB/T 9846-2015《普通胶合板》、GB 18580-2017《室内装饰装修材料 人造板及其制品中甲醛释放限量》及GB/T 35601-2017《绿色产品评价 人造板和木质地板》标准检测合格；含活动下柜，实验椅，自由组合式，带锁，</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全木试验台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int="eastAsia"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1.规格：1600*800*750mm，全木结构；2.50mm加厚木制台面，PVC封边工艺；3.采用高密度E0级优质刨花板，承重≥500KG; 4.含边柜，配套座椅</w:t>
            </w:r>
          </w:p>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采用国标E1级实木多层板，板材厚度主材25mm厚，附材15mm厚，板材均经过脱脂、除虫、干燥处理，天然环保，经久耐用，稳固合理设计，实木多层板通过GB/T 9846-2015《普通胶合板》、GB 18580-2017《室内装饰装修材料 人造板及其制品中甲醛释放限量》及GB/T 35601-2017《绿色产品评价 人造板和木质地板》标准检测合格；含边柜，实验椅</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418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试验台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int="eastAsia"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1.规格：1200*600*700mm，全木结构；2.纯实木加厚用料，榫卯结构，承重≥1000kg；;3.带上下水系统，配套座椅</w:t>
            </w:r>
          </w:p>
          <w:p>
            <w:pPr>
              <w:widowControl/>
              <w:adjustRightInd w:val="0"/>
              <w:snapToGrid w:val="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采用国标E1级实木多层板，板材厚度主材25mm厚，附材15mm厚，板材均经过脱脂、除虫、干燥处理，天然环保，经久耐用，稳固合理设计，实木多层板通过GB/T 9846-2015《普通胶合板》、GB 18580-2017《室内装饰装修材料 人造板及其制品中甲醛释放限量》及GB/T 35601-2017《绿色产品评价 人造板和木质地板》标准检测合格；配实验椅</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Fonts w:ascii="宋体" w:hAnsi="宋体" w:cs="宋体"/>
                <w:b/>
                <w:bCs/>
                <w:color w:val="auto"/>
                <w:sz w:val="20"/>
                <w:szCs w:val="20"/>
                <w:highlight w:val="none"/>
              </w:rPr>
              <w:t xml:space="preserve"> </w:t>
            </w: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419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工程部分</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auto"/>
                <w:kern w:val="0"/>
                <w:szCs w:val="21"/>
                <w:highlight w:val="none"/>
                <w:lang w:bidi="ar"/>
              </w:rPr>
            </w:pPr>
            <w:r>
              <w:rPr>
                <w:rFonts w:hint="eastAsia" w:ascii="宋体" w:hAnsi="宋体" w:cs="宋体"/>
                <w:color w:val="auto"/>
                <w:kern w:val="0"/>
                <w:szCs w:val="21"/>
                <w:highlight w:val="none"/>
                <w:lang w:bidi="ar"/>
              </w:rPr>
              <w:t>广西民族师范学院糖化楼实验室环境改造安装工程-食品科学与工程实验室</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8"/>
                <w:rFonts w:hint="default"/>
                <w:color w:val="auto"/>
                <w:highlight w:val="none"/>
                <w:lang w:bidi="ar"/>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420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工程部分</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auto"/>
                <w:kern w:val="0"/>
                <w:szCs w:val="21"/>
                <w:highlight w:val="none"/>
                <w:lang w:bidi="ar"/>
              </w:rPr>
            </w:pPr>
            <w:r>
              <w:rPr>
                <w:rFonts w:hint="eastAsia" w:ascii="宋体" w:hAnsi="宋体" w:cs="宋体"/>
                <w:color w:val="auto"/>
                <w:kern w:val="0"/>
                <w:szCs w:val="21"/>
                <w:highlight w:val="none"/>
                <w:lang w:bidi="ar"/>
              </w:rPr>
              <w:t>广西民族师范学院糖化楼实验室环境改造安装工程-制糖化工研究中心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8"/>
                <w:rFonts w:hint="default"/>
                <w:color w:val="auto"/>
                <w:highlight w:val="none"/>
                <w:lang w:bidi="ar"/>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421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工程部分</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auto"/>
                <w:kern w:val="0"/>
                <w:szCs w:val="21"/>
                <w:highlight w:val="none"/>
                <w:lang w:bidi="ar"/>
              </w:rPr>
            </w:pPr>
            <w:r>
              <w:rPr>
                <w:rFonts w:hint="eastAsia" w:ascii="宋体" w:hAnsi="宋体" w:cs="宋体"/>
                <w:color w:val="auto"/>
                <w:kern w:val="0"/>
                <w:szCs w:val="21"/>
                <w:highlight w:val="none"/>
                <w:lang w:bidi="ar"/>
              </w:rPr>
              <w:t>广西民族师范学院糖化楼实验室环境改造安装工程-药物分析创新实验室</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8"/>
                <w:rFonts w:hint="default"/>
                <w:color w:val="auto"/>
                <w:highlight w:val="none"/>
                <w:lang w:bidi="ar"/>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422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工程部分</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auto"/>
                <w:kern w:val="0"/>
                <w:szCs w:val="21"/>
                <w:highlight w:val="none"/>
                <w:lang w:bidi="ar"/>
              </w:rPr>
            </w:pPr>
            <w:r>
              <w:rPr>
                <w:rFonts w:hint="eastAsia" w:ascii="宋体" w:hAnsi="宋体" w:cs="宋体"/>
                <w:color w:val="auto"/>
                <w:kern w:val="0"/>
                <w:szCs w:val="21"/>
                <w:highlight w:val="none"/>
                <w:lang w:bidi="ar"/>
              </w:rPr>
              <w:t>广西民族师范学院糖化楼实验室环境改造安装工程-种子科学与工程实验室</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8"/>
                <w:rFonts w:hint="default"/>
                <w:color w:val="auto"/>
                <w:highlight w:val="none"/>
                <w:lang w:bidi="ar"/>
              </w:rPr>
            </w:pPr>
          </w:p>
        </w:tc>
      </w:tr>
      <w:tr>
        <w:tblPrEx>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423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工程部分</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auto"/>
                <w:kern w:val="0"/>
                <w:szCs w:val="21"/>
                <w:highlight w:val="none"/>
                <w:lang w:bidi="ar"/>
              </w:rPr>
            </w:pPr>
            <w:r>
              <w:rPr>
                <w:rFonts w:hint="eastAsia" w:ascii="宋体" w:hAnsi="宋体" w:cs="宋体"/>
                <w:color w:val="auto"/>
                <w:kern w:val="0"/>
                <w:szCs w:val="21"/>
                <w:highlight w:val="none"/>
                <w:lang w:bidi="ar"/>
              </w:rPr>
              <w:t>广西民族师范学院糖化楼实验室环境改造安装工程-锰重点实验室</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auto"/>
                <w:kern w:val="0"/>
                <w:sz w:val="20"/>
                <w:szCs w:val="20"/>
                <w:highlight w:val="none"/>
                <w:lang w:bidi="ar"/>
              </w:rPr>
            </w:pPr>
            <w:r>
              <w:rPr>
                <w:rFonts w:hint="eastAsia" w:ascii="微软雅黑" w:hAnsi="微软雅黑" w:eastAsia="微软雅黑" w:cs="微软雅黑"/>
                <w:color w:val="auto"/>
                <w:kern w:val="0"/>
                <w:sz w:val="20"/>
                <w:szCs w:val="20"/>
                <w:highlight w:val="none"/>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8"/>
                <w:rFonts w:hint="default"/>
                <w:color w:val="auto"/>
                <w:highlight w:val="none"/>
                <w:lang w:bidi="ar"/>
              </w:rPr>
            </w:pP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28"/>
                <w:rFonts w:hint="default"/>
                <w:color w:val="auto"/>
                <w:highlight w:val="none"/>
                <w:lang w:bidi="ar"/>
              </w:rPr>
            </w:pPr>
            <w:r>
              <w:rPr>
                <w:rFonts w:hint="eastAsia" w:ascii="宋体" w:hAnsi="宋体" w:cs="宋体"/>
                <w:b/>
                <w:bCs/>
                <w:color w:val="auto"/>
                <w:szCs w:val="21"/>
                <w:highlight w:val="none"/>
              </w:rPr>
              <w:t>注：以上419-423项按工程量清单计价形式并作报价，否则投标无效。具体工程量清单（另册发放）</w:t>
            </w:r>
          </w:p>
        </w:tc>
      </w:tr>
      <w:tr>
        <w:tblPrEx>
          <w:tblCellMar>
            <w:top w:w="0" w:type="dxa"/>
            <w:left w:w="108" w:type="dxa"/>
            <w:bottom w:w="0" w:type="dxa"/>
            <w:right w:w="108" w:type="dxa"/>
          </w:tblCellMar>
        </w:tblPrEx>
        <w:trPr>
          <w:trHeight w:val="7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cs="宋体"/>
                <w:b/>
                <w:bCs/>
                <w:color w:val="auto"/>
                <w:szCs w:val="21"/>
                <w:highlight w:val="none"/>
              </w:rPr>
            </w:pPr>
            <w:r>
              <w:rPr>
                <w:rFonts w:hint="eastAsia" w:ascii="宋体" w:hAnsi="宋体" w:cs="宋体"/>
                <w:b/>
                <w:bCs/>
                <w:color w:val="auto"/>
                <w:szCs w:val="21"/>
                <w:highlight w:val="none"/>
              </w:rPr>
              <w:t>二、商务要求</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免费保修期</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cs="宋体"/>
                <w:b/>
                <w:bCs/>
                <w:color w:val="auto"/>
                <w:szCs w:val="21"/>
                <w:highlight w:val="none"/>
              </w:rPr>
            </w:pPr>
            <w:r>
              <w:rPr>
                <w:rFonts w:hint="eastAsia" w:ascii="宋体" w:hAnsi="宋体" w:cs="宋体"/>
                <w:color w:val="auto"/>
                <w:szCs w:val="21"/>
                <w:highlight w:val="none"/>
              </w:rPr>
              <w:t>★1．免费保修期：按国家有关产品“三包”规定执行“三包”，①物资采购部分：服务期  1  年；②工程部分：按照相关的制度规定的相应保修期限执行。（免费保修期从设备验收合格之日起计算，项目要求及技术需求中规定的，按规定执行）。免费保修期内免费上门维修（免收维修费和元器件费）、免费更换零部件，并提供终身维修服务。</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售后服务要求</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cs="宋体"/>
                <w:b/>
                <w:bCs/>
                <w:color w:val="auto"/>
                <w:szCs w:val="21"/>
                <w:highlight w:val="none"/>
              </w:rPr>
            </w:pPr>
            <w:r>
              <w:rPr>
                <w:rFonts w:hint="eastAsia" w:ascii="宋体" w:hAnsi="宋体" w:cs="宋体"/>
                <w:color w:val="auto"/>
                <w:szCs w:val="21"/>
                <w:highlight w:val="none"/>
              </w:rPr>
              <w:t>★1．免费送货上门，免费按采购人要求安装调试，免费技术培训，直至操作人员熟练操作产品的各项功能。</w:t>
            </w:r>
            <w:r>
              <w:rPr>
                <w:rFonts w:hint="eastAsia" w:ascii="宋体" w:hAnsi="宋体" w:cs="宋体"/>
                <w:color w:val="auto"/>
                <w:szCs w:val="21"/>
                <w:highlight w:val="none"/>
              </w:rPr>
              <w:br w:type="textWrapping"/>
            </w:r>
            <w:r>
              <w:rPr>
                <w:rFonts w:hint="eastAsia" w:ascii="宋体" w:hAnsi="宋体" w:cs="宋体"/>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tc>
      </w:tr>
      <w:tr>
        <w:tblPrEx>
          <w:tblCellMar>
            <w:top w:w="0" w:type="dxa"/>
            <w:left w:w="108" w:type="dxa"/>
            <w:bottom w:w="0" w:type="dxa"/>
            <w:right w:w="108" w:type="dxa"/>
          </w:tblCellMar>
        </w:tblPrEx>
        <w:trPr>
          <w:trHeight w:val="50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合同签订期</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szCs w:val="21"/>
                <w:highlight w:val="none"/>
              </w:rPr>
              <w:t>★自成交通知书发出之日起 25 日内。</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交货期及地点</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b/>
                <w:bCs/>
                <w:color w:val="auto"/>
                <w:szCs w:val="21"/>
                <w:highlight w:val="none"/>
              </w:rPr>
            </w:pPr>
            <w:r>
              <w:rPr>
                <w:rFonts w:hint="eastAsia" w:ascii="宋体" w:hAnsi="宋体" w:cs="宋体"/>
                <w:color w:val="auto"/>
                <w:szCs w:val="21"/>
                <w:highlight w:val="none"/>
              </w:rPr>
              <w:t>★1．交货期：签订合同之日起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日历天内安装完成验收并交付使用；</w:t>
            </w:r>
            <w:r>
              <w:rPr>
                <w:rFonts w:hint="eastAsia" w:ascii="宋体" w:hAnsi="宋体" w:cs="宋体"/>
                <w:color w:val="auto"/>
                <w:szCs w:val="21"/>
                <w:highlight w:val="none"/>
              </w:rPr>
              <w:br w:type="textWrapping"/>
            </w:r>
            <w:r>
              <w:rPr>
                <w:rFonts w:hint="eastAsia" w:ascii="宋体" w:hAnsi="宋体" w:cs="宋体"/>
                <w:color w:val="auto"/>
                <w:szCs w:val="21"/>
                <w:highlight w:val="none"/>
              </w:rPr>
              <w:t>★2．交货地点：广西崇左市采购人指定地点。</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★规范标准</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b/>
                <w:bCs/>
                <w:color w:val="auto"/>
                <w:szCs w:val="21"/>
                <w:highlight w:val="none"/>
              </w:rPr>
            </w:pPr>
            <w:r>
              <w:rPr>
                <w:rFonts w:hint="eastAsia" w:ascii="宋体" w:hAnsi="宋体" w:cs="宋体"/>
                <w:color w:val="auto"/>
                <w:szCs w:val="21"/>
                <w:highlight w:val="none"/>
              </w:rPr>
              <w:t>1.采购标的需执行国家标准、行业标准、地方标准或者其他标准、规范。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2.验收过程中所产生的一切费用均由成交供应商承担。报价时应考虑相关费用。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3.采购项目需求有其他要求的按其要求。</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付款方式</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spacing w:before="66" w:line="343" w:lineRule="auto"/>
              <w:ind w:right="36"/>
              <w:rPr>
                <w:rFonts w:ascii="宋体" w:hAnsi="宋体" w:cs="宋体"/>
                <w:color w:val="auto"/>
                <w:szCs w:val="21"/>
                <w:highlight w:val="none"/>
              </w:rPr>
            </w:pPr>
            <w:r>
              <w:rPr>
                <w:rFonts w:hint="eastAsia" w:ascii="宋体" w:hAnsi="宋体" w:cs="宋体"/>
                <w:color w:val="auto"/>
                <w:szCs w:val="21"/>
                <w:highlight w:val="none"/>
              </w:rPr>
              <w:t>本项目分两部分付款：</w:t>
            </w:r>
          </w:p>
          <w:p>
            <w:pPr>
              <w:numPr>
                <w:ilvl w:val="0"/>
                <w:numId w:val="3"/>
              </w:numPr>
              <w:spacing w:before="66" w:line="343" w:lineRule="auto"/>
              <w:ind w:right="36"/>
              <w:rPr>
                <w:rFonts w:ascii="宋体" w:hAnsi="宋体" w:cs="宋体"/>
                <w:color w:val="auto"/>
                <w:szCs w:val="21"/>
                <w:highlight w:val="none"/>
              </w:rPr>
            </w:pPr>
            <w:r>
              <w:rPr>
                <w:rFonts w:hint="eastAsia" w:ascii="宋体" w:hAnsi="宋体" w:cs="宋体"/>
                <w:color w:val="auto"/>
                <w:szCs w:val="21"/>
                <w:highlight w:val="none"/>
              </w:rPr>
              <w:t>物资与服务采购部分  预付款为该部分合同价款的</w:t>
            </w:r>
            <w:r>
              <w:rPr>
                <w:rFonts w:ascii="宋体" w:hAnsi="宋体" w:cs="宋体"/>
                <w:color w:val="auto"/>
                <w:szCs w:val="21"/>
                <w:highlight w:val="none"/>
              </w:rPr>
              <w:t>50</w:t>
            </w:r>
            <w:r>
              <w:rPr>
                <w:rFonts w:hint="eastAsia" w:ascii="宋体" w:hAnsi="宋体" w:cs="宋体"/>
                <w:color w:val="auto"/>
                <w:szCs w:val="21"/>
                <w:highlight w:val="none"/>
              </w:rPr>
              <w:t>%，在合同生效以及具备实施条件后，由中标供应商向采购人提交预付款担保，预付款保证金为银行、保险公司和担保公司出具的保函，采购人在 30 日内支付预付款；在交货验收合格并正常使用后，中标人在 3 日内开具增值税专用发票给采购人，采购人收到增值税专用发票后 30 日内无息支付合同全部余额。（成交人需先开具开等额发票给采购人后付款）。</w:t>
            </w:r>
          </w:p>
          <w:p>
            <w:pPr>
              <w:pStyle w:val="11"/>
              <w:numPr>
                <w:ilvl w:val="0"/>
                <w:numId w:val="3"/>
              </w:numPr>
              <w:rPr>
                <w:color w:val="auto"/>
                <w:highlight w:val="none"/>
              </w:rPr>
            </w:pPr>
            <w:r>
              <w:rPr>
                <w:rFonts w:hint="eastAsia" w:ascii="宋体" w:hAnsi="宋体" w:cs="宋体"/>
                <w:color w:val="auto"/>
                <w:kern w:val="2"/>
                <w:sz w:val="21"/>
                <w:szCs w:val="21"/>
                <w:highlight w:val="none"/>
              </w:rPr>
              <w:t>工程部分  在签订合同生效后并开具正规发票后30日内，付合同价</w:t>
            </w:r>
            <w:r>
              <w:rPr>
                <w:rFonts w:hint="eastAsia" w:ascii="宋体" w:hAnsi="宋体" w:cs="宋体"/>
                <w:b/>
                <w:color w:val="auto"/>
                <w:kern w:val="2"/>
                <w:sz w:val="21"/>
                <w:szCs w:val="21"/>
                <w:highlight w:val="none"/>
              </w:rPr>
              <w:t>（扣除暂列金额、安全文明施工费）</w:t>
            </w:r>
            <w:r>
              <w:rPr>
                <w:rFonts w:hint="eastAsia" w:ascii="宋体" w:hAnsi="宋体" w:cs="宋体"/>
                <w:color w:val="auto"/>
                <w:kern w:val="2"/>
                <w:sz w:val="21"/>
                <w:szCs w:val="21"/>
                <w:highlight w:val="none"/>
              </w:rPr>
              <w:t>的30%，作为预付款，工程完工验收后，进度款拨至80%时，工程竣工验收合格，承包人按要求向发包人递交竣工及备案所需全部材料，工程竣工总结算经发包人或专业机构出具审计报告后，并开具正规发票后30日内向承包人支付至结算总价的97%，剩余3%作为质量保修金，根据缺陷责任期相关条款约定返还。</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75" w:line="227" w:lineRule="auto"/>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9"/>
                <w:szCs w:val="21"/>
                <w:highlight w:val="none"/>
              </w:rPr>
              <w:t>基</w:t>
            </w:r>
            <w:r>
              <w:rPr>
                <w:rFonts w:hint="eastAsia" w:ascii="宋体" w:hAnsi="宋体" w:cs="宋体"/>
                <w:color w:val="auto"/>
                <w:spacing w:val="7"/>
                <w:szCs w:val="21"/>
                <w:highlight w:val="none"/>
              </w:rPr>
              <w:t>本要求</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spacing w:before="118" w:line="384" w:lineRule="auto"/>
              <w:ind w:left="112" w:right="109" w:firstLine="497"/>
              <w:rPr>
                <w:rFonts w:ascii="宋体" w:hAnsi="宋体" w:cs="宋体"/>
                <w:color w:val="auto"/>
                <w:szCs w:val="21"/>
                <w:highlight w:val="none"/>
              </w:rPr>
            </w:pPr>
            <w:r>
              <w:rPr>
                <w:rFonts w:hint="eastAsia" w:ascii="宋体" w:hAnsi="宋体" w:cs="宋体"/>
                <w:color w:val="auto"/>
                <w:spacing w:val="24"/>
                <w:szCs w:val="21"/>
                <w:highlight w:val="none"/>
                <w14:textOutline w14:w="4356" w14:cap="sq" w14:cmpd="sng" w14:algn="ctr">
                  <w14:solidFill>
                    <w14:srgbClr w14:val="000000"/>
                  </w14:solidFill>
                  <w14:prstDash w14:val="solid"/>
                  <w14:bevel/>
                </w14:textOutline>
              </w:rPr>
              <w:t>1</w:t>
            </w:r>
            <w:r>
              <w:rPr>
                <w:rFonts w:hint="eastAsia" w:ascii="宋体" w:hAnsi="宋体" w:cs="宋体"/>
                <w:color w:val="auto"/>
                <w:spacing w:val="23"/>
                <w:szCs w:val="21"/>
                <w:highlight w:val="none"/>
                <w14:textOutline w14:w="4356" w14:cap="sq" w14:cmpd="sng" w14:algn="ctr">
                  <w14:solidFill>
                    <w14:srgbClr w14:val="000000"/>
                  </w14:solidFill>
                  <w14:prstDash w14:val="solid"/>
                  <w14:bevel/>
                </w14:textOutline>
              </w:rPr>
              <w:t>、</w:t>
            </w:r>
            <w:r>
              <w:rPr>
                <w:rFonts w:hint="eastAsia" w:ascii="宋体" w:hAnsi="宋体" w:cs="宋体"/>
                <w:color w:val="auto"/>
                <w:spacing w:val="12"/>
                <w:szCs w:val="21"/>
                <w:highlight w:val="none"/>
                <w14:textOutline w14:w="4356" w14:cap="sq" w14:cmpd="sng" w14:algn="ctr">
                  <w14:solidFill>
                    <w14:srgbClr w14:val="000000"/>
                  </w14:solidFill>
                  <w14:prstDash w14:val="solid"/>
                  <w14:bevel/>
                </w14:textOutline>
              </w:rPr>
              <w:t>产品及服务应符合本招标文件的技术要求，如没有提及适用标准，则</w:t>
            </w:r>
            <w:r>
              <w:rPr>
                <w:rFonts w:hint="eastAsia" w:ascii="宋体" w:hAnsi="宋体" w:cs="宋体"/>
                <w:color w:val="auto"/>
                <w:spacing w:val="10"/>
                <w:szCs w:val="21"/>
                <w:highlight w:val="none"/>
                <w14:textOutline w14:w="4356" w14:cap="sq" w14:cmpd="sng" w14:algn="ctr">
                  <w14:solidFill>
                    <w14:srgbClr w14:val="000000"/>
                  </w14:solidFill>
                  <w14:prstDash w14:val="solid"/>
                  <w14:bevel/>
                </w14:textOutline>
              </w:rPr>
              <w:t>应符合中华人民共和国国家标准或行业标准</w:t>
            </w:r>
            <w:r>
              <w:rPr>
                <w:rFonts w:hint="eastAsia" w:ascii="宋体" w:hAnsi="宋体" w:cs="宋体"/>
                <w:color w:val="auto"/>
                <w:spacing w:val="7"/>
                <w:szCs w:val="21"/>
                <w:highlight w:val="none"/>
                <w14:textOutline w14:w="4356" w14:cap="sq" w14:cmpd="sng" w14:algn="ctr">
                  <w14:solidFill>
                    <w14:srgbClr w14:val="000000"/>
                  </w14:solidFill>
                  <w14:prstDash w14:val="solid"/>
                  <w14:bevel/>
                </w14:textOutline>
              </w:rPr>
              <w:t>。</w:t>
            </w:r>
          </w:p>
          <w:p>
            <w:pPr>
              <w:spacing w:before="177" w:line="376" w:lineRule="auto"/>
              <w:ind w:left="112" w:right="46" w:firstLine="482"/>
              <w:rPr>
                <w:rFonts w:ascii="宋体" w:hAnsi="宋体" w:cs="宋体"/>
                <w:color w:val="auto"/>
                <w:szCs w:val="21"/>
                <w:highlight w:val="none"/>
              </w:rPr>
            </w:pPr>
            <w:r>
              <w:rPr>
                <w:rFonts w:hint="eastAsia" w:ascii="宋体" w:hAnsi="宋体" w:cs="宋体"/>
                <w:color w:val="auto"/>
                <w:spacing w:val="14"/>
                <w:szCs w:val="21"/>
                <w:highlight w:val="none"/>
              </w:rPr>
              <w:t>2、提</w:t>
            </w:r>
            <w:r>
              <w:rPr>
                <w:rFonts w:hint="eastAsia" w:ascii="宋体" w:hAnsi="宋体" w:cs="宋体"/>
                <w:color w:val="auto"/>
                <w:spacing w:val="11"/>
                <w:szCs w:val="21"/>
                <w:highlight w:val="none"/>
              </w:rPr>
              <w:t>供</w:t>
            </w:r>
            <w:r>
              <w:rPr>
                <w:rFonts w:hint="eastAsia" w:ascii="宋体" w:hAnsi="宋体" w:cs="宋体"/>
                <w:color w:val="auto"/>
                <w:spacing w:val="7"/>
                <w:szCs w:val="21"/>
                <w:highlight w:val="none"/>
              </w:rPr>
              <w:t>的产品必须是合法渠道的全新正品，按厂家标准配置的整套全新，</w:t>
            </w:r>
            <w:r>
              <w:rPr>
                <w:rFonts w:hint="eastAsia" w:ascii="宋体" w:hAnsi="宋体" w:cs="宋体"/>
                <w:color w:val="auto"/>
                <w:szCs w:val="21"/>
                <w:highlight w:val="none"/>
              </w:rPr>
              <w:t xml:space="preserve"> </w:t>
            </w:r>
            <w:r>
              <w:rPr>
                <w:rFonts w:hint="eastAsia" w:ascii="宋体" w:hAnsi="宋体" w:cs="宋体"/>
                <w:color w:val="auto"/>
                <w:spacing w:val="18"/>
                <w:szCs w:val="21"/>
                <w:highlight w:val="none"/>
              </w:rPr>
              <w:t>具备</w:t>
            </w:r>
            <w:r>
              <w:rPr>
                <w:rFonts w:hint="eastAsia" w:ascii="宋体" w:hAnsi="宋体" w:cs="宋体"/>
                <w:color w:val="auto"/>
                <w:spacing w:val="15"/>
                <w:szCs w:val="21"/>
                <w:highlight w:val="none"/>
              </w:rPr>
              <w:t>正</w:t>
            </w:r>
            <w:r>
              <w:rPr>
                <w:rFonts w:hint="eastAsia" w:ascii="宋体" w:hAnsi="宋体" w:cs="宋体"/>
                <w:color w:val="auto"/>
                <w:spacing w:val="9"/>
                <w:szCs w:val="21"/>
                <w:highlight w:val="none"/>
              </w:rPr>
              <w:t>规合法经销渠道的，符合国家、行业各项有关质量标准的合格产品。若</w:t>
            </w:r>
            <w:r>
              <w:rPr>
                <w:rFonts w:hint="eastAsia" w:ascii="宋体" w:hAnsi="宋体" w:cs="宋体"/>
                <w:color w:val="auto"/>
                <w:szCs w:val="21"/>
                <w:highlight w:val="none"/>
              </w:rPr>
              <w:t xml:space="preserve"> </w:t>
            </w:r>
            <w:r>
              <w:rPr>
                <w:rFonts w:hint="eastAsia" w:ascii="宋体" w:hAnsi="宋体" w:cs="宋体"/>
                <w:color w:val="auto"/>
                <w:spacing w:val="12"/>
                <w:szCs w:val="21"/>
                <w:highlight w:val="none"/>
              </w:rPr>
              <w:t>产</w:t>
            </w:r>
            <w:r>
              <w:rPr>
                <w:rFonts w:hint="eastAsia" w:ascii="宋体" w:hAnsi="宋体" w:cs="宋体"/>
                <w:color w:val="auto"/>
                <w:spacing w:val="9"/>
                <w:szCs w:val="21"/>
                <w:highlight w:val="none"/>
              </w:rPr>
              <w:t>品在运输过程中损坏或擦伤须无偿调换相同产品。</w:t>
            </w:r>
          </w:p>
          <w:p>
            <w:pPr>
              <w:spacing w:before="2" w:line="375" w:lineRule="auto"/>
              <w:ind w:left="113" w:right="107" w:firstLine="363"/>
              <w:rPr>
                <w:rFonts w:ascii="宋体" w:hAnsi="宋体" w:cs="宋体"/>
                <w:color w:val="auto"/>
                <w:szCs w:val="21"/>
                <w:highlight w:val="none"/>
              </w:rPr>
            </w:pPr>
            <w:r>
              <w:rPr>
                <w:rFonts w:hint="eastAsia" w:ascii="宋体" w:hAnsi="宋体" w:cs="宋体"/>
                <w:color w:val="auto"/>
                <w:spacing w:val="18"/>
                <w:szCs w:val="21"/>
                <w:highlight w:val="none"/>
              </w:rPr>
              <w:t>3</w:t>
            </w:r>
            <w:r>
              <w:rPr>
                <w:rFonts w:hint="eastAsia" w:ascii="宋体" w:hAnsi="宋体" w:cs="宋体"/>
                <w:color w:val="auto"/>
                <w:spacing w:val="16"/>
                <w:szCs w:val="21"/>
                <w:highlight w:val="none"/>
              </w:rPr>
              <w:t>、</w:t>
            </w:r>
            <w:r>
              <w:rPr>
                <w:rFonts w:hint="eastAsia" w:ascii="宋体" w:hAnsi="宋体" w:cs="宋体"/>
                <w:color w:val="auto"/>
                <w:spacing w:val="9"/>
                <w:szCs w:val="21"/>
                <w:highlight w:val="none"/>
              </w:rPr>
              <w:t>投标文件应列明详细的产品及相关产品名称、品牌、型号</w:t>
            </w:r>
            <w:r>
              <w:rPr>
                <w:rFonts w:hint="eastAsia" w:ascii="宋体" w:hAnsi="宋体" w:cs="宋体"/>
                <w:color w:val="auto"/>
                <w:spacing w:val="17"/>
                <w:szCs w:val="21"/>
                <w:highlight w:val="none"/>
              </w:rPr>
              <w:t>规</w:t>
            </w:r>
            <w:r>
              <w:rPr>
                <w:rFonts w:hint="eastAsia" w:ascii="宋体" w:hAnsi="宋体" w:cs="宋体"/>
                <w:color w:val="auto"/>
                <w:spacing w:val="9"/>
                <w:szCs w:val="21"/>
                <w:highlight w:val="none"/>
              </w:rPr>
              <w:t>格等完整的技术投标文件表格；</w:t>
            </w:r>
          </w:p>
          <w:p>
            <w:pPr>
              <w:spacing w:before="177" w:line="376" w:lineRule="auto"/>
              <w:ind w:left="112" w:right="46" w:firstLine="482"/>
              <w:rPr>
                <w:rFonts w:ascii="宋体" w:hAnsi="宋体" w:cs="宋体"/>
                <w:color w:val="auto"/>
                <w:spacing w:val="9"/>
                <w:szCs w:val="21"/>
                <w:highlight w:val="none"/>
              </w:rPr>
            </w:pPr>
            <w:r>
              <w:rPr>
                <w:rFonts w:hint="eastAsia" w:ascii="宋体" w:hAnsi="宋体" w:cs="宋体"/>
                <w:color w:val="auto"/>
                <w:spacing w:val="9"/>
                <w:szCs w:val="21"/>
                <w:highlight w:val="none"/>
              </w:rPr>
              <w:t>4、对于影响货物正常工作的必要组成部分，无论在技术规范中指出与否，投标人都应在投标文件中明确列出。</w:t>
            </w:r>
          </w:p>
          <w:p>
            <w:pPr>
              <w:spacing w:before="177" w:line="376" w:lineRule="auto"/>
              <w:ind w:left="112" w:right="46" w:firstLine="492" w:firstLineChars="200"/>
              <w:rPr>
                <w:rFonts w:ascii="宋体" w:hAnsi="宋体" w:cs="宋体"/>
                <w:b/>
                <w:bCs/>
                <w:color w:val="auto"/>
                <w:szCs w:val="21"/>
                <w:highlight w:val="none"/>
              </w:rPr>
            </w:pPr>
            <w:r>
              <w:rPr>
                <w:rFonts w:hint="eastAsia" w:ascii="宋体" w:hAnsi="宋体" w:cs="宋体"/>
                <w:color w:val="auto"/>
                <w:spacing w:val="18"/>
                <w:szCs w:val="21"/>
                <w:highlight w:val="none"/>
              </w:rPr>
              <w:t>5、投标人须确保所投标产品参数的真实性，投标人所投设备的各项功能和性能技术指标满足采购人的实际功能要求，否则采购人有权报相关政府采购监督管理部门进行处理，并保留追究法律责任的权利。供货前，对所有要求出具的证明文件的原件进行核查，如不符合采购文件的技术需求及要求以及虚假应标的，按相关规定做不接收货物处理及违约处理，成交供应商承担所有责任和费用，采购人保留进一步追究责任的权利。</w:t>
            </w:r>
          </w:p>
        </w:tc>
      </w:tr>
      <w:tr>
        <w:tblPrEx>
          <w:tblCellMar>
            <w:top w:w="0" w:type="dxa"/>
            <w:left w:w="108" w:type="dxa"/>
            <w:bottom w:w="0" w:type="dxa"/>
            <w:right w:w="108" w:type="dxa"/>
          </w:tblCellMar>
        </w:tblPrEx>
        <w:trPr>
          <w:trHeight w:val="72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spacing w:before="75" w:line="381" w:lineRule="auto"/>
              <w:ind w:right="106"/>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22"/>
                <w:szCs w:val="21"/>
                <w:highlight w:val="none"/>
              </w:rPr>
              <w:t xml:space="preserve"> 采 购 人 对</w:t>
            </w:r>
            <w:r>
              <w:rPr>
                <w:rFonts w:hint="eastAsia" w:ascii="宋体" w:hAnsi="宋体" w:cs="宋体"/>
                <w:color w:val="auto"/>
                <w:szCs w:val="21"/>
                <w:highlight w:val="none"/>
              </w:rPr>
              <w:t xml:space="preserve"> </w:t>
            </w:r>
            <w:r>
              <w:rPr>
                <w:rFonts w:hint="eastAsia" w:ascii="宋体" w:hAnsi="宋体" w:cs="宋体"/>
                <w:color w:val="auto"/>
                <w:spacing w:val="-22"/>
                <w:szCs w:val="21"/>
                <w:highlight w:val="none"/>
              </w:rPr>
              <w:t>项</w:t>
            </w:r>
            <w:r>
              <w:rPr>
                <w:rFonts w:hint="eastAsia" w:ascii="宋体" w:hAnsi="宋体" w:cs="宋体"/>
                <w:color w:val="auto"/>
                <w:spacing w:val="-21"/>
                <w:szCs w:val="21"/>
                <w:highlight w:val="none"/>
              </w:rPr>
              <w:t xml:space="preserve"> 目 的 特 殊</w:t>
            </w:r>
            <w:r>
              <w:rPr>
                <w:rFonts w:hint="eastAsia" w:ascii="宋体" w:hAnsi="宋体" w:cs="宋体"/>
                <w:color w:val="auto"/>
                <w:szCs w:val="21"/>
                <w:highlight w:val="none"/>
              </w:rPr>
              <w:t xml:space="preserve"> </w:t>
            </w:r>
            <w:r>
              <w:rPr>
                <w:rFonts w:hint="eastAsia" w:ascii="宋体" w:hAnsi="宋体" w:cs="宋体"/>
                <w:color w:val="auto"/>
                <w:spacing w:val="8"/>
                <w:szCs w:val="21"/>
                <w:highlight w:val="none"/>
              </w:rPr>
              <w:t>要求及说</w:t>
            </w:r>
            <w:r>
              <w:rPr>
                <w:rFonts w:hint="eastAsia" w:ascii="宋体" w:hAnsi="宋体" w:cs="宋体"/>
                <w:color w:val="auto"/>
                <w:spacing w:val="7"/>
                <w:szCs w:val="21"/>
                <w:highlight w:val="none"/>
              </w:rPr>
              <w:t>明</w:t>
            </w:r>
          </w:p>
        </w:tc>
        <w:tc>
          <w:tcPr>
            <w:tcW w:w="8524"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spacing w:before="115" w:line="312" w:lineRule="exact"/>
              <w:ind w:left="131"/>
              <w:rPr>
                <w:rFonts w:ascii="宋体" w:hAnsi="宋体" w:cs="宋体"/>
                <w:color w:val="auto"/>
                <w:szCs w:val="21"/>
                <w:highlight w:val="none"/>
              </w:rPr>
            </w:pPr>
            <w:r>
              <w:rPr>
                <w:rFonts w:hint="eastAsia" w:ascii="宋体" w:hAnsi="宋体" w:cs="宋体"/>
                <w:color w:val="auto"/>
                <w:spacing w:val="16"/>
                <w:position w:val="1"/>
                <w:szCs w:val="21"/>
                <w:highlight w:val="none"/>
              </w:rPr>
              <w:t>1、</w:t>
            </w:r>
            <w:r>
              <w:rPr>
                <w:rFonts w:hint="eastAsia" w:ascii="宋体" w:hAnsi="宋体" w:cs="宋体"/>
                <w:color w:val="auto"/>
                <w:spacing w:val="9"/>
                <w:position w:val="1"/>
                <w:szCs w:val="21"/>
                <w:highlight w:val="none"/>
              </w:rPr>
              <w:t>所</w:t>
            </w:r>
            <w:r>
              <w:rPr>
                <w:rFonts w:hint="eastAsia" w:ascii="宋体" w:hAnsi="宋体" w:cs="宋体"/>
                <w:color w:val="auto"/>
                <w:spacing w:val="8"/>
                <w:position w:val="1"/>
                <w:szCs w:val="21"/>
                <w:highlight w:val="none"/>
              </w:rPr>
              <w:t>提供货品必须为全新产品，且满足采购要求，否则报价无效；</w:t>
            </w:r>
          </w:p>
          <w:p>
            <w:pPr>
              <w:spacing w:before="75" w:line="302" w:lineRule="auto"/>
              <w:ind w:left="118" w:right="107" w:hanging="2"/>
              <w:rPr>
                <w:rFonts w:ascii="宋体" w:hAnsi="宋体" w:cs="宋体"/>
                <w:color w:val="auto"/>
                <w:szCs w:val="21"/>
                <w:highlight w:val="none"/>
              </w:rPr>
            </w:pPr>
            <w:r>
              <w:rPr>
                <w:rFonts w:hint="eastAsia" w:ascii="宋体" w:hAnsi="宋体" w:cs="宋体"/>
                <w:color w:val="auto"/>
                <w:spacing w:val="11"/>
                <w:szCs w:val="21"/>
                <w:highlight w:val="none"/>
              </w:rPr>
              <w:t>2</w:t>
            </w:r>
            <w:r>
              <w:rPr>
                <w:rFonts w:hint="eastAsia" w:ascii="宋体" w:hAnsi="宋体" w:cs="宋体"/>
                <w:color w:val="auto"/>
                <w:spacing w:val="6"/>
                <w:szCs w:val="21"/>
                <w:highlight w:val="none"/>
              </w:rPr>
              <w:t>、供应商提供的货物必须是具有合法销售途径及完善售后服务、完整、全新的</w:t>
            </w:r>
            <w:r>
              <w:rPr>
                <w:rFonts w:hint="eastAsia" w:ascii="宋体" w:hAnsi="宋体" w:cs="宋体"/>
                <w:color w:val="auto"/>
                <w:szCs w:val="21"/>
                <w:highlight w:val="none"/>
              </w:rPr>
              <w:t xml:space="preserve"> </w:t>
            </w:r>
            <w:r>
              <w:rPr>
                <w:rFonts w:hint="eastAsia" w:ascii="宋体" w:hAnsi="宋体" w:cs="宋体"/>
                <w:color w:val="auto"/>
                <w:spacing w:val="8"/>
                <w:szCs w:val="21"/>
                <w:highlight w:val="none"/>
              </w:rPr>
              <w:t>原</w:t>
            </w:r>
            <w:r>
              <w:rPr>
                <w:rFonts w:hint="eastAsia" w:ascii="宋体" w:hAnsi="宋体" w:cs="宋体"/>
                <w:color w:val="auto"/>
                <w:spacing w:val="6"/>
                <w:szCs w:val="21"/>
                <w:highlight w:val="none"/>
              </w:rPr>
              <w:t>装合格产品；</w:t>
            </w:r>
          </w:p>
          <w:p>
            <w:pPr>
              <w:spacing w:before="75" w:line="303" w:lineRule="auto"/>
              <w:ind w:left="136" w:right="107" w:hanging="18"/>
              <w:rPr>
                <w:rFonts w:ascii="宋体" w:hAnsi="宋体" w:cs="宋体"/>
                <w:b/>
                <w:bCs/>
                <w:color w:val="auto"/>
                <w:szCs w:val="21"/>
                <w:highlight w:val="none"/>
              </w:rPr>
            </w:pPr>
            <w:r>
              <w:rPr>
                <w:rFonts w:hint="eastAsia" w:ascii="宋体" w:hAnsi="宋体" w:cs="宋体"/>
                <w:color w:val="auto"/>
                <w:spacing w:val="9"/>
                <w:szCs w:val="21"/>
                <w:highlight w:val="none"/>
              </w:rPr>
              <w:t>3</w:t>
            </w:r>
            <w:r>
              <w:rPr>
                <w:rFonts w:hint="eastAsia" w:ascii="宋体" w:hAnsi="宋体" w:cs="宋体"/>
                <w:color w:val="auto"/>
                <w:spacing w:val="6"/>
                <w:szCs w:val="21"/>
                <w:highlight w:val="none"/>
              </w:rPr>
              <w:t>、供应商须按其递交的投标文件提供的供货时间供货，否则采购人有权终止合</w:t>
            </w:r>
            <w:r>
              <w:rPr>
                <w:rFonts w:hint="eastAsia" w:ascii="宋体" w:hAnsi="宋体" w:cs="宋体"/>
                <w:color w:val="auto"/>
                <w:spacing w:val="9"/>
                <w:szCs w:val="21"/>
                <w:highlight w:val="none"/>
              </w:rPr>
              <w:t>同</w:t>
            </w:r>
            <w:r>
              <w:rPr>
                <w:rFonts w:hint="eastAsia" w:ascii="宋体" w:hAnsi="宋体" w:cs="宋体"/>
                <w:color w:val="auto"/>
                <w:spacing w:val="8"/>
                <w:szCs w:val="21"/>
                <w:highlight w:val="none"/>
              </w:rPr>
              <w:t>，由此产生的一切后果，均由中标人自行承担。</w:t>
            </w:r>
          </w:p>
        </w:tc>
      </w:tr>
      <w:bookmarkEnd w:id="59"/>
    </w:tbl>
    <w:p>
      <w:pPr>
        <w:spacing w:line="428" w:lineRule="exac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2"/>
        <w:tblpPr w:leftFromText="180" w:rightFromText="180" w:vertAnchor="text" w:horzAnchor="page" w:tblpX="1737" w:tblpY="182"/>
        <w:tblOverlap w:val="never"/>
        <w:tblW w:w="8422" w:type="dxa"/>
        <w:tblInd w:w="0"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30"/>
              <w:spacing w:before="57" w:line="254" w:lineRule="auto"/>
              <w:ind w:left="59" w:right="60"/>
              <w:rPr>
                <w:rFonts w:ascii="仿宋" w:hAnsi="仿宋" w:eastAsia="仿宋" w:cs="仿宋"/>
                <w:color w:val="auto"/>
                <w:sz w:val="21"/>
                <w:szCs w:val="21"/>
                <w:highlight w:val="none"/>
              </w:rPr>
            </w:pPr>
            <w:r>
              <w:rPr>
                <w:rFonts w:hint="eastAsia" w:ascii="仿宋" w:hAnsi="仿宋" w:eastAsia="仿宋" w:cs="仿宋"/>
                <w:b/>
                <w:bCs/>
                <w:color w:val="auto"/>
                <w:w w:val="99"/>
                <w:sz w:val="21"/>
                <w:szCs w:val="21"/>
                <w:highlight w:val="none"/>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pPr>
              <w:pStyle w:val="30"/>
              <w:spacing w:before="4"/>
              <w:rPr>
                <w:rFonts w:ascii="仿宋" w:hAnsi="仿宋" w:eastAsia="仿宋" w:cs="仿宋"/>
                <w:color w:val="auto"/>
                <w:sz w:val="21"/>
                <w:szCs w:val="21"/>
                <w:highlight w:val="none"/>
              </w:rPr>
            </w:pPr>
          </w:p>
          <w:p>
            <w:pPr>
              <w:pStyle w:val="30"/>
              <w:jc w:val="center"/>
              <w:rPr>
                <w:rFonts w:ascii="仿宋" w:hAnsi="仿宋" w:eastAsia="仿宋" w:cs="仿宋"/>
                <w:color w:val="auto"/>
                <w:sz w:val="21"/>
                <w:szCs w:val="21"/>
                <w:highlight w:val="none"/>
              </w:rPr>
            </w:pPr>
            <w:r>
              <w:rPr>
                <w:rFonts w:hint="eastAsia" w:ascii="仿宋" w:hAnsi="仿宋" w:eastAsia="仿宋" w:cs="仿宋"/>
                <w:b/>
                <w:bCs/>
                <w:color w:val="auto"/>
                <w:w w:val="99"/>
                <w:sz w:val="21"/>
                <w:szCs w:val="21"/>
                <w:highlight w:val="none"/>
              </w:rPr>
              <w:t>名称</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4"/>
              <w:rPr>
                <w:rFonts w:ascii="仿宋" w:hAnsi="仿宋" w:eastAsia="仿宋" w:cs="仿宋"/>
                <w:color w:val="auto"/>
                <w:sz w:val="21"/>
                <w:szCs w:val="21"/>
                <w:highlight w:val="none"/>
              </w:rPr>
            </w:pPr>
          </w:p>
          <w:p>
            <w:pPr>
              <w:pStyle w:val="30"/>
              <w:ind w:left="926"/>
              <w:rPr>
                <w:rFonts w:ascii="仿宋" w:hAnsi="仿宋" w:eastAsia="仿宋" w:cs="仿宋"/>
                <w:color w:val="auto"/>
                <w:sz w:val="21"/>
                <w:szCs w:val="21"/>
                <w:highlight w:val="none"/>
              </w:rPr>
            </w:pPr>
            <w:r>
              <w:rPr>
                <w:rFonts w:hint="eastAsia" w:ascii="仿宋" w:hAnsi="仿宋" w:eastAsia="仿宋" w:cs="仿宋"/>
                <w:b/>
                <w:bCs/>
                <w:color w:val="auto"/>
                <w:w w:val="99"/>
                <w:sz w:val="21"/>
                <w:szCs w:val="21"/>
                <w:highlight w:val="none"/>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11"/>
              <w:rPr>
                <w:rFonts w:ascii="仿宋" w:hAnsi="仿宋" w:eastAsia="仿宋" w:cs="仿宋"/>
                <w:color w:val="auto"/>
                <w:sz w:val="21"/>
                <w:szCs w:val="21"/>
                <w:highlight w:val="none"/>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1计算机设备</w:t>
            </w: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93" w:line="280" w:lineRule="auto"/>
              <w:ind w:left="7" w:right="5"/>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10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93"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《微型计算机能效限定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及能</w:t>
            </w:r>
            <w:r>
              <w:rPr>
                <w:rFonts w:hint="eastAsia" w:ascii="仿宋" w:hAnsi="仿宋" w:eastAsia="仿宋" w:cs="仿宋"/>
                <w:color w:val="auto"/>
                <w:w w:val="99"/>
                <w:sz w:val="21"/>
                <w:szCs w:val="21"/>
                <w:highlight w:val="none"/>
                <w:lang w:eastAsia="zh-CN"/>
              </w:rPr>
              <w:t>效等级》（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28380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44" w:line="280" w:lineRule="auto"/>
              <w:ind w:left="7" w:right="5"/>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10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4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《微型计算机能效限定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及能</w:t>
            </w:r>
            <w:r>
              <w:rPr>
                <w:rFonts w:hint="eastAsia" w:ascii="仿宋" w:hAnsi="仿宋" w:eastAsia="仿宋" w:cs="仿宋"/>
                <w:color w:val="auto"/>
                <w:w w:val="99"/>
                <w:sz w:val="21"/>
                <w:szCs w:val="21"/>
                <w:highlight w:val="none"/>
                <w:lang w:eastAsia="zh-CN"/>
              </w:rPr>
              <w:t>效等级》（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28380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64" w:line="280" w:lineRule="auto"/>
              <w:ind w:left="7" w:right="5"/>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A020</w:t>
            </w:r>
            <w:r>
              <w:rPr>
                <w:rFonts w:hint="eastAsia" w:ascii="仿宋" w:hAnsi="仿宋" w:eastAsia="仿宋" w:cs="仿宋"/>
                <w:color w:val="auto"/>
                <w:w w:val="99"/>
                <w:sz w:val="21"/>
                <w:szCs w:val="21"/>
                <w:highlight w:val="none"/>
                <w:lang w:eastAsia="zh-CN"/>
              </w:rPr>
              <w:t>10</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07平板式微型计</w:t>
            </w:r>
            <w:r>
              <w:rPr>
                <w:rFonts w:hint="eastAsia" w:ascii="仿宋" w:hAnsi="仿宋" w:eastAsia="仿宋" w:cs="仿宋"/>
                <w:color w:val="auto"/>
                <w:spacing w:val="2"/>
                <w:w w:val="99"/>
                <w:sz w:val="21"/>
                <w:szCs w:val="21"/>
                <w:highlight w:val="none"/>
                <w:lang w:eastAsia="zh-CN"/>
              </w:rPr>
              <w:t>算</w:t>
            </w:r>
            <w:r>
              <w:rPr>
                <w:rFonts w:hint="eastAsia" w:ascii="仿宋" w:hAnsi="仿宋" w:eastAsia="仿宋" w:cs="仿宋"/>
                <w:color w:val="auto"/>
                <w:w w:val="99"/>
                <w:sz w:val="21"/>
                <w:szCs w:val="21"/>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6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《微型计算机能效限定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及能</w:t>
            </w:r>
            <w:r>
              <w:rPr>
                <w:rFonts w:hint="eastAsia" w:ascii="仿宋" w:hAnsi="仿宋" w:eastAsia="仿宋" w:cs="仿宋"/>
                <w:color w:val="auto"/>
                <w:w w:val="99"/>
                <w:sz w:val="21"/>
                <w:szCs w:val="21"/>
                <w:highlight w:val="none"/>
                <w:lang w:eastAsia="zh-CN"/>
              </w:rPr>
              <w:t>效等级》（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28380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spacing w:before="2"/>
              <w:rPr>
                <w:rFonts w:ascii="仿宋" w:hAnsi="仿宋" w:eastAsia="仿宋" w:cs="仿宋"/>
                <w:color w:val="auto"/>
                <w:sz w:val="21"/>
                <w:szCs w:val="21"/>
                <w:highlight w:val="none"/>
                <w:lang w:eastAsia="zh-CN"/>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164"/>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tcPr>
          <w:p>
            <w:pPr>
              <w:pStyle w:val="30"/>
              <w:spacing w:before="52"/>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w:t>
            </w:r>
            <w:r>
              <w:rPr>
                <w:rFonts w:hint="eastAsia" w:ascii="仿宋" w:hAnsi="仿宋" w:eastAsia="仿宋" w:cs="仿宋"/>
                <w:color w:val="auto"/>
                <w:spacing w:val="1"/>
                <w:w w:val="99"/>
                <w:sz w:val="21"/>
                <w:szCs w:val="21"/>
                <w:highlight w:val="none"/>
              </w:rPr>
              <w:t>10</w:t>
            </w:r>
            <w:r>
              <w:rPr>
                <w:rFonts w:hint="eastAsia" w:ascii="仿宋" w:hAnsi="仿宋" w:eastAsia="仿宋" w:cs="仿宋"/>
                <w:color w:val="auto"/>
                <w:w w:val="99"/>
                <w:sz w:val="21"/>
                <w:szCs w:val="21"/>
                <w:highlight w:val="none"/>
              </w:rPr>
              <w:t>1喷墨打</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印机</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52"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《复印</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spacing w:val="-58"/>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打</w:t>
            </w:r>
            <w:r>
              <w:rPr>
                <w:rFonts w:hint="eastAsia" w:ascii="仿宋" w:hAnsi="仿宋" w:eastAsia="仿宋" w:cs="仿宋"/>
                <w:color w:val="auto"/>
                <w:w w:val="99"/>
                <w:sz w:val="21"/>
                <w:szCs w:val="21"/>
                <w:highlight w:val="none"/>
                <w:lang w:eastAsia="zh-CN"/>
              </w:rPr>
              <w:t>印机</w:t>
            </w:r>
            <w:r>
              <w:rPr>
                <w:rFonts w:hint="eastAsia" w:ascii="仿宋" w:hAnsi="仿宋" w:eastAsia="仿宋" w:cs="仿宋"/>
                <w:color w:val="auto"/>
                <w:spacing w:val="2"/>
                <w:w w:val="99"/>
                <w:sz w:val="21"/>
                <w:szCs w:val="21"/>
                <w:highlight w:val="none"/>
                <w:lang w:eastAsia="zh-CN"/>
              </w:rPr>
              <w:t>和</w:t>
            </w:r>
            <w:r>
              <w:rPr>
                <w:rFonts w:hint="eastAsia" w:ascii="仿宋" w:hAnsi="仿宋" w:eastAsia="仿宋" w:cs="仿宋"/>
                <w:color w:val="auto"/>
                <w:w w:val="99"/>
                <w:sz w:val="21"/>
                <w:szCs w:val="21"/>
                <w:highlight w:val="none"/>
                <w:lang w:eastAsia="zh-CN"/>
              </w:rPr>
              <w:t>传真</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pPr>
              <w:pStyle w:val="30"/>
              <w:spacing w:before="52"/>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02激光</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52"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《复印</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spacing w:val="-58"/>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打</w:t>
            </w:r>
            <w:r>
              <w:rPr>
                <w:rFonts w:hint="eastAsia" w:ascii="仿宋" w:hAnsi="仿宋" w:eastAsia="仿宋" w:cs="仿宋"/>
                <w:color w:val="auto"/>
                <w:w w:val="99"/>
                <w:sz w:val="21"/>
                <w:szCs w:val="21"/>
                <w:highlight w:val="none"/>
                <w:lang w:eastAsia="zh-CN"/>
              </w:rPr>
              <w:t>印机</w:t>
            </w:r>
            <w:r>
              <w:rPr>
                <w:rFonts w:hint="eastAsia" w:ascii="仿宋" w:hAnsi="仿宋" w:eastAsia="仿宋" w:cs="仿宋"/>
                <w:color w:val="auto"/>
                <w:spacing w:val="2"/>
                <w:w w:val="99"/>
                <w:sz w:val="21"/>
                <w:szCs w:val="21"/>
                <w:highlight w:val="none"/>
                <w:lang w:eastAsia="zh-CN"/>
              </w:rPr>
              <w:t>和</w:t>
            </w:r>
            <w:r>
              <w:rPr>
                <w:rFonts w:hint="eastAsia" w:ascii="仿宋" w:hAnsi="仿宋" w:eastAsia="仿宋" w:cs="仿宋"/>
                <w:color w:val="auto"/>
                <w:w w:val="99"/>
                <w:sz w:val="21"/>
                <w:szCs w:val="21"/>
                <w:highlight w:val="none"/>
                <w:lang w:eastAsia="zh-CN"/>
              </w:rPr>
              <w:t>传真</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pPr>
              <w:pStyle w:val="30"/>
              <w:spacing w:before="52"/>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04针式</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52"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《复印</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spacing w:val="-58"/>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打</w:t>
            </w:r>
            <w:r>
              <w:rPr>
                <w:rFonts w:hint="eastAsia" w:ascii="仿宋" w:hAnsi="仿宋" w:eastAsia="仿宋" w:cs="仿宋"/>
                <w:color w:val="auto"/>
                <w:w w:val="99"/>
                <w:sz w:val="21"/>
                <w:szCs w:val="21"/>
                <w:highlight w:val="none"/>
                <w:lang w:eastAsia="zh-CN"/>
              </w:rPr>
              <w:t>印机</w:t>
            </w:r>
            <w:r>
              <w:rPr>
                <w:rFonts w:hint="eastAsia" w:ascii="仿宋" w:hAnsi="仿宋" w:eastAsia="仿宋" w:cs="仿宋"/>
                <w:color w:val="auto"/>
                <w:spacing w:val="2"/>
                <w:w w:val="99"/>
                <w:sz w:val="21"/>
                <w:szCs w:val="21"/>
                <w:highlight w:val="none"/>
                <w:lang w:eastAsia="zh-CN"/>
              </w:rPr>
              <w:t>和</w:t>
            </w:r>
            <w:r>
              <w:rPr>
                <w:rFonts w:hint="eastAsia" w:ascii="仿宋" w:hAnsi="仿宋" w:eastAsia="仿宋" w:cs="仿宋"/>
                <w:color w:val="auto"/>
                <w:w w:val="99"/>
                <w:sz w:val="21"/>
                <w:szCs w:val="21"/>
                <w:highlight w:val="none"/>
                <w:lang w:eastAsia="zh-CN"/>
              </w:rPr>
              <w:t>传真</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9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2"/>
              <w:rPr>
                <w:rFonts w:ascii="仿宋" w:hAnsi="仿宋" w:eastAsia="仿宋" w:cs="仿宋"/>
                <w:color w:val="auto"/>
                <w:sz w:val="21"/>
                <w:szCs w:val="21"/>
                <w:highlight w:val="none"/>
                <w:lang w:eastAsia="zh-CN"/>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tcPr>
          <w:p>
            <w:pPr>
              <w:pStyle w:val="30"/>
              <w:spacing w:before="68"/>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w:t>
            </w:r>
            <w:r>
              <w:rPr>
                <w:rFonts w:hint="eastAsia" w:ascii="仿宋" w:hAnsi="仿宋" w:eastAsia="仿宋" w:cs="仿宋"/>
                <w:color w:val="auto"/>
                <w:spacing w:val="1"/>
                <w:w w:val="99"/>
                <w:sz w:val="21"/>
                <w:szCs w:val="21"/>
                <w:highlight w:val="none"/>
              </w:rPr>
              <w:t>4</w:t>
            </w:r>
            <w:r>
              <w:rPr>
                <w:rFonts w:hint="eastAsia" w:ascii="仿宋" w:hAnsi="仿宋" w:eastAsia="仿宋" w:cs="仿宋"/>
                <w:color w:val="auto"/>
                <w:w w:val="99"/>
                <w:sz w:val="21"/>
                <w:szCs w:val="21"/>
                <w:highlight w:val="none"/>
              </w:rPr>
              <w:t>01液晶</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显示器</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68"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《计算机显示器能效限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能效等级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8"/>
              <w:rPr>
                <w:rFonts w:ascii="仿宋" w:hAnsi="仿宋" w:eastAsia="仿宋" w:cs="仿宋"/>
                <w:color w:val="auto"/>
                <w:sz w:val="21"/>
                <w:szCs w:val="21"/>
                <w:highlight w:val="none"/>
                <w:lang w:eastAsia="zh-CN"/>
              </w:rPr>
            </w:pPr>
          </w:p>
          <w:p>
            <w:pPr>
              <w:pStyle w:val="30"/>
              <w:spacing w:line="280" w:lineRule="auto"/>
              <w:ind w:left="7" w:right="5"/>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spacing w:before="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01</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60</w:t>
            </w:r>
            <w:r>
              <w:rPr>
                <w:rFonts w:hint="eastAsia" w:ascii="仿宋" w:hAnsi="仿宋" w:eastAsia="仿宋" w:cs="仿宋"/>
                <w:color w:val="auto"/>
                <w:spacing w:val="1"/>
                <w:w w:val="99"/>
                <w:sz w:val="21"/>
                <w:szCs w:val="21"/>
                <w:highlight w:val="none"/>
              </w:rPr>
              <w:t>9</w:t>
            </w:r>
            <w:r>
              <w:rPr>
                <w:rFonts w:hint="eastAsia" w:ascii="仿宋" w:hAnsi="仿宋" w:eastAsia="仿宋" w:cs="仿宋"/>
                <w:color w:val="auto"/>
                <w:w w:val="99"/>
                <w:sz w:val="21"/>
                <w:szCs w:val="21"/>
                <w:highlight w:val="none"/>
              </w:rPr>
              <w:t>01扫描仪</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49"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参</w:t>
            </w:r>
            <w:r>
              <w:rPr>
                <w:rFonts w:hint="eastAsia" w:ascii="仿宋" w:hAnsi="仿宋" w:eastAsia="仿宋" w:cs="仿宋"/>
                <w:color w:val="auto"/>
                <w:spacing w:val="-29"/>
                <w:w w:val="99"/>
                <w:sz w:val="21"/>
                <w:szCs w:val="21"/>
                <w:highlight w:val="none"/>
                <w:lang w:eastAsia="zh-CN"/>
              </w:rPr>
              <w:t>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复</w:t>
            </w:r>
            <w:r>
              <w:rPr>
                <w:rFonts w:hint="eastAsia" w:ascii="仿宋" w:hAnsi="仿宋" w:eastAsia="仿宋" w:cs="仿宋"/>
                <w:color w:val="auto"/>
                <w:w w:val="99"/>
                <w:sz w:val="21"/>
                <w:szCs w:val="21"/>
                <w:highlight w:val="none"/>
                <w:lang w:eastAsia="zh-CN"/>
              </w:rPr>
              <w:t>印</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w w:val="99"/>
                <w:sz w:val="21"/>
                <w:szCs w:val="21"/>
                <w:highlight w:val="none"/>
                <w:lang w:eastAsia="zh-CN"/>
              </w:rPr>
              <w:t>打</w:t>
            </w:r>
            <w:r>
              <w:rPr>
                <w:rFonts w:hint="eastAsia" w:ascii="仿宋" w:hAnsi="仿宋" w:eastAsia="仿宋" w:cs="仿宋"/>
                <w:color w:val="auto"/>
                <w:spacing w:val="2"/>
                <w:w w:val="99"/>
                <w:sz w:val="21"/>
                <w:szCs w:val="21"/>
                <w:highlight w:val="none"/>
                <w:lang w:eastAsia="zh-CN"/>
              </w:rPr>
              <w:t>印</w:t>
            </w:r>
            <w:r>
              <w:rPr>
                <w:rFonts w:hint="eastAsia" w:ascii="仿宋" w:hAnsi="仿宋" w:eastAsia="仿宋" w:cs="仿宋"/>
                <w:color w:val="auto"/>
                <w:w w:val="99"/>
                <w:sz w:val="21"/>
                <w:szCs w:val="21"/>
                <w:highlight w:val="none"/>
                <w:lang w:eastAsia="zh-CN"/>
              </w:rPr>
              <w:t>机和</w:t>
            </w:r>
            <w:r>
              <w:rPr>
                <w:rFonts w:hint="eastAsia" w:ascii="仿宋" w:hAnsi="仿宋" w:eastAsia="仿宋" w:cs="仿宋"/>
                <w:color w:val="auto"/>
                <w:spacing w:val="2"/>
                <w:w w:val="99"/>
                <w:sz w:val="21"/>
                <w:szCs w:val="21"/>
                <w:highlight w:val="none"/>
                <w:lang w:eastAsia="zh-CN"/>
              </w:rPr>
              <w:t>传</w:t>
            </w:r>
            <w:r>
              <w:rPr>
                <w:rFonts w:hint="eastAsia" w:ascii="仿宋" w:hAnsi="仿宋" w:eastAsia="仿宋" w:cs="仿宋"/>
                <w:color w:val="auto"/>
                <w:w w:val="99"/>
                <w:sz w:val="21"/>
                <w:szCs w:val="21"/>
                <w:highlight w:val="none"/>
                <w:lang w:eastAsia="zh-CN"/>
              </w:rPr>
              <w:t>真机能效限定</w:t>
            </w:r>
            <w:r>
              <w:rPr>
                <w:rFonts w:hint="eastAsia" w:ascii="仿宋" w:hAnsi="仿宋" w:eastAsia="仿宋" w:cs="仿宋"/>
                <w:color w:val="auto"/>
                <w:spacing w:val="2"/>
                <w:w w:val="99"/>
                <w:sz w:val="21"/>
                <w:szCs w:val="21"/>
                <w:highlight w:val="none"/>
                <w:lang w:eastAsia="zh-CN"/>
              </w:rPr>
              <w:t>值</w:t>
            </w:r>
            <w:r>
              <w:rPr>
                <w:rFonts w:hint="eastAsia" w:ascii="仿宋" w:hAnsi="仿宋" w:eastAsia="仿宋" w:cs="仿宋"/>
                <w:color w:val="auto"/>
                <w:w w:val="99"/>
                <w:sz w:val="21"/>
                <w:szCs w:val="21"/>
                <w:highlight w:val="none"/>
                <w:lang w:eastAsia="zh-CN"/>
              </w:rPr>
              <w:t>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2152</w:t>
            </w:r>
            <w:r>
              <w:rPr>
                <w:rFonts w:hint="eastAsia" w:ascii="仿宋" w:hAnsi="仿宋" w:eastAsia="仿宋" w:cs="仿宋"/>
                <w:color w:val="auto"/>
                <w:w w:val="99"/>
                <w:sz w:val="21"/>
                <w:szCs w:val="21"/>
                <w:highlight w:val="none"/>
                <w:lang w:eastAsia="zh-CN"/>
              </w:rPr>
              <w:t>1）</w:t>
            </w:r>
          </w:p>
          <w:p>
            <w:pPr>
              <w:pStyle w:val="30"/>
              <w:spacing w:before="12" w:line="280" w:lineRule="auto"/>
              <w:ind w:left="7" w:right="5"/>
              <w:rPr>
                <w:rFonts w:ascii="仿宋" w:hAnsi="仿宋" w:eastAsia="仿宋" w:cs="仿宋"/>
                <w:color w:val="auto"/>
                <w:sz w:val="21"/>
                <w:szCs w:val="21"/>
                <w:highlight w:val="none"/>
                <w:lang w:eastAsia="zh-CN"/>
              </w:rPr>
            </w:pPr>
            <w:r>
              <w:rPr>
                <w:rFonts w:hint="eastAsia" w:ascii="仿宋" w:hAnsi="仿宋" w:eastAsia="仿宋" w:cs="仿宋"/>
                <w:color w:val="auto"/>
                <w:spacing w:val="2"/>
                <w:w w:val="99"/>
                <w:sz w:val="21"/>
                <w:szCs w:val="21"/>
                <w:highlight w:val="none"/>
                <w:lang w:eastAsia="zh-CN"/>
              </w:rPr>
              <w:t>中</w:t>
            </w:r>
            <w:r>
              <w:rPr>
                <w:rFonts w:hint="eastAsia" w:ascii="仿宋" w:hAnsi="仿宋" w:eastAsia="仿宋" w:cs="仿宋"/>
                <w:color w:val="auto"/>
                <w:spacing w:val="4"/>
                <w:w w:val="99"/>
                <w:sz w:val="21"/>
                <w:szCs w:val="21"/>
                <w:highlight w:val="none"/>
                <w:lang w:eastAsia="zh-CN"/>
              </w:rPr>
              <w:t>打印速</w:t>
            </w:r>
            <w:r>
              <w:rPr>
                <w:rFonts w:hint="eastAsia" w:ascii="仿宋" w:hAnsi="仿宋" w:eastAsia="仿宋" w:cs="仿宋"/>
                <w:color w:val="auto"/>
                <w:spacing w:val="2"/>
                <w:w w:val="99"/>
                <w:sz w:val="21"/>
                <w:szCs w:val="21"/>
                <w:highlight w:val="none"/>
                <w:lang w:eastAsia="zh-CN"/>
              </w:rPr>
              <w:t>度</w:t>
            </w:r>
            <w:r>
              <w:rPr>
                <w:rFonts w:hint="eastAsia" w:ascii="仿宋" w:hAnsi="仿宋" w:eastAsia="仿宋" w:cs="仿宋"/>
                <w:color w:val="auto"/>
                <w:w w:val="99"/>
                <w:sz w:val="21"/>
                <w:szCs w:val="21"/>
                <w:highlight w:val="none"/>
                <w:lang w:eastAsia="zh-CN"/>
              </w:rPr>
              <w:t>为</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5</w:t>
            </w:r>
            <w:r>
              <w:rPr>
                <w:rFonts w:hint="eastAsia" w:ascii="仿宋" w:hAnsi="仿宋" w:eastAsia="仿宋" w:cs="仿宋"/>
                <w:color w:val="auto"/>
                <w:spacing w:val="2"/>
                <w:w w:val="99"/>
                <w:sz w:val="21"/>
                <w:szCs w:val="21"/>
                <w:highlight w:val="none"/>
                <w:lang w:eastAsia="zh-CN"/>
              </w:rPr>
              <w:t>页</w:t>
            </w:r>
            <w:r>
              <w:rPr>
                <w:rFonts w:hint="eastAsia" w:ascii="仿宋" w:hAnsi="仿宋" w:eastAsia="仿宋" w:cs="仿宋"/>
                <w:color w:val="auto"/>
                <w:spacing w:val="5"/>
                <w:w w:val="99"/>
                <w:sz w:val="21"/>
                <w:szCs w:val="21"/>
                <w:highlight w:val="none"/>
                <w:lang w:eastAsia="zh-CN"/>
              </w:rPr>
              <w:t>/</w:t>
            </w:r>
            <w:r>
              <w:rPr>
                <w:rFonts w:hint="eastAsia" w:ascii="仿宋" w:hAnsi="仿宋" w:eastAsia="仿宋" w:cs="仿宋"/>
                <w:color w:val="auto"/>
                <w:spacing w:val="4"/>
                <w:w w:val="99"/>
                <w:sz w:val="21"/>
                <w:szCs w:val="21"/>
                <w:highlight w:val="none"/>
                <w:lang w:eastAsia="zh-CN"/>
              </w:rPr>
              <w:t>分的</w:t>
            </w:r>
            <w:r>
              <w:rPr>
                <w:rFonts w:hint="eastAsia" w:ascii="仿宋" w:hAnsi="仿宋" w:eastAsia="仿宋" w:cs="仿宋"/>
                <w:color w:val="auto"/>
                <w:spacing w:val="2"/>
                <w:w w:val="99"/>
                <w:sz w:val="21"/>
                <w:szCs w:val="21"/>
                <w:highlight w:val="none"/>
                <w:lang w:eastAsia="zh-CN"/>
              </w:rPr>
              <w:t>针</w:t>
            </w:r>
            <w:r>
              <w:rPr>
                <w:rFonts w:hint="eastAsia" w:ascii="仿宋" w:hAnsi="仿宋" w:eastAsia="仿宋" w:cs="仿宋"/>
                <w:color w:val="auto"/>
                <w:spacing w:val="4"/>
                <w:w w:val="99"/>
                <w:sz w:val="21"/>
                <w:szCs w:val="21"/>
                <w:highlight w:val="none"/>
                <w:lang w:eastAsia="zh-CN"/>
              </w:rPr>
              <w:t>式</w:t>
            </w:r>
            <w:r>
              <w:rPr>
                <w:rFonts w:hint="eastAsia" w:ascii="仿宋" w:hAnsi="仿宋" w:eastAsia="仿宋" w:cs="仿宋"/>
                <w:color w:val="auto"/>
                <w:w w:val="99"/>
                <w:sz w:val="21"/>
                <w:szCs w:val="21"/>
                <w:highlight w:val="none"/>
                <w:lang w:eastAsia="zh-CN"/>
              </w:rPr>
              <w:t>打印机相</w:t>
            </w:r>
            <w:r>
              <w:rPr>
                <w:rFonts w:hint="eastAsia" w:ascii="仿宋" w:hAnsi="仿宋" w:eastAsia="仿宋" w:cs="仿宋"/>
                <w:color w:val="auto"/>
                <w:spacing w:val="2"/>
                <w:w w:val="99"/>
                <w:sz w:val="21"/>
                <w:szCs w:val="21"/>
                <w:highlight w:val="none"/>
                <w:lang w:eastAsia="zh-CN"/>
              </w:rPr>
              <w:t>关</w:t>
            </w:r>
            <w:r>
              <w:rPr>
                <w:rFonts w:hint="eastAsia" w:ascii="仿宋" w:hAnsi="仿宋" w:eastAsia="仿宋" w:cs="仿宋"/>
                <w:color w:val="auto"/>
                <w:w w:val="99"/>
                <w:sz w:val="21"/>
                <w:szCs w:val="21"/>
                <w:highlight w:val="none"/>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30"/>
              <w:spacing w:before="179"/>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3</w:t>
            </w:r>
          </w:p>
        </w:tc>
        <w:tc>
          <w:tcPr>
            <w:tcW w:w="1166" w:type="dxa"/>
            <w:tcBorders>
              <w:top w:val="single" w:color="000000" w:sz="4" w:space="0"/>
              <w:left w:val="single" w:color="000000" w:sz="4" w:space="0"/>
              <w:bottom w:val="single" w:color="000000" w:sz="4" w:space="0"/>
              <w:right w:val="single" w:color="000000" w:sz="4" w:space="0"/>
            </w:tcBorders>
          </w:tcPr>
          <w:p>
            <w:pPr>
              <w:pStyle w:val="30"/>
              <w:spacing w:before="23"/>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02</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2投影</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23"/>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《投影</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w:t>
            </w:r>
            <w:r>
              <w:rPr>
                <w:rFonts w:hint="eastAsia" w:ascii="仿宋" w:hAnsi="仿宋" w:eastAsia="仿宋" w:cs="仿宋"/>
                <w:color w:val="auto"/>
                <w:spacing w:val="2"/>
                <w:w w:val="99"/>
                <w:sz w:val="21"/>
                <w:szCs w:val="21"/>
                <w:highlight w:val="none"/>
                <w:lang w:eastAsia="zh-CN"/>
              </w:rPr>
              <w:t>及</w:t>
            </w:r>
            <w:r>
              <w:rPr>
                <w:rFonts w:hint="eastAsia" w:ascii="仿宋" w:hAnsi="仿宋" w:eastAsia="仿宋" w:cs="仿宋"/>
                <w:color w:val="auto"/>
                <w:w w:val="99"/>
                <w:sz w:val="21"/>
                <w:szCs w:val="21"/>
                <w:highlight w:val="none"/>
                <w:lang w:eastAsia="zh-CN"/>
              </w:rPr>
              <w:t>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20</w:t>
            </w:r>
            <w:r>
              <w:rPr>
                <w:rFonts w:hint="eastAsia" w:ascii="仿宋" w:hAnsi="仿宋" w:eastAsia="仿宋" w:cs="仿宋"/>
                <w:color w:val="auto"/>
                <w:spacing w:val="1"/>
                <w:w w:val="99"/>
                <w:sz w:val="21"/>
                <w:szCs w:val="21"/>
                <w:highlight w:val="none"/>
              </w:rPr>
              <w:t>28</w:t>
            </w:r>
            <w:r>
              <w:rPr>
                <w:rFonts w:hint="eastAsia" w:ascii="仿宋" w:hAnsi="仿宋" w:eastAsia="仿宋" w:cs="仿宋"/>
                <w:color w:val="auto"/>
                <w:w w:val="99"/>
                <w:sz w:val="21"/>
                <w:szCs w:val="21"/>
                <w:highlight w:val="none"/>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30"/>
              <w:spacing w:before="13"/>
              <w:rPr>
                <w:rFonts w:ascii="仿宋" w:hAnsi="仿宋" w:eastAsia="仿宋" w:cs="仿宋"/>
                <w:color w:val="auto"/>
                <w:sz w:val="21"/>
                <w:szCs w:val="21"/>
                <w:highlight w:val="none"/>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4</w:t>
            </w:r>
          </w:p>
        </w:tc>
        <w:tc>
          <w:tcPr>
            <w:tcW w:w="1166" w:type="dxa"/>
            <w:tcBorders>
              <w:top w:val="single" w:color="000000" w:sz="4" w:space="0"/>
              <w:left w:val="single" w:color="000000" w:sz="4" w:space="0"/>
              <w:bottom w:val="single" w:color="000000" w:sz="4" w:space="0"/>
              <w:right w:val="single" w:color="000000" w:sz="4" w:space="0"/>
            </w:tcBorders>
          </w:tcPr>
          <w:p>
            <w:pPr>
              <w:pStyle w:val="30"/>
              <w:spacing w:before="66"/>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02</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4多功能一体机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66"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《复印</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spacing w:val="-58"/>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打</w:t>
            </w:r>
            <w:r>
              <w:rPr>
                <w:rFonts w:hint="eastAsia" w:ascii="仿宋" w:hAnsi="仿宋" w:eastAsia="仿宋" w:cs="仿宋"/>
                <w:color w:val="auto"/>
                <w:w w:val="99"/>
                <w:sz w:val="21"/>
                <w:szCs w:val="21"/>
                <w:highlight w:val="none"/>
                <w:lang w:eastAsia="zh-CN"/>
              </w:rPr>
              <w:t>印机</w:t>
            </w:r>
            <w:r>
              <w:rPr>
                <w:rFonts w:hint="eastAsia" w:ascii="仿宋" w:hAnsi="仿宋" w:eastAsia="仿宋" w:cs="仿宋"/>
                <w:color w:val="auto"/>
                <w:spacing w:val="2"/>
                <w:w w:val="99"/>
                <w:sz w:val="21"/>
                <w:szCs w:val="21"/>
                <w:highlight w:val="none"/>
                <w:lang w:eastAsia="zh-CN"/>
              </w:rPr>
              <w:t>和</w:t>
            </w:r>
            <w:r>
              <w:rPr>
                <w:rFonts w:hint="eastAsia" w:ascii="仿宋" w:hAnsi="仿宋" w:eastAsia="仿宋" w:cs="仿宋"/>
                <w:color w:val="auto"/>
                <w:w w:val="99"/>
                <w:sz w:val="21"/>
                <w:szCs w:val="21"/>
                <w:highlight w:val="none"/>
                <w:lang w:eastAsia="zh-CN"/>
              </w:rPr>
              <w:t>传真</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30"/>
              <w:spacing w:before="16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5</w:t>
            </w:r>
          </w:p>
        </w:tc>
        <w:tc>
          <w:tcPr>
            <w:tcW w:w="1166" w:type="dxa"/>
            <w:tcBorders>
              <w:top w:val="single" w:color="000000" w:sz="4" w:space="0"/>
              <w:left w:val="single" w:color="000000" w:sz="4" w:space="0"/>
              <w:bottom w:val="single" w:color="000000" w:sz="4" w:space="0"/>
              <w:right w:val="single" w:color="000000" w:sz="4" w:space="0"/>
            </w:tcBorders>
          </w:tcPr>
          <w:p>
            <w:pPr>
              <w:pStyle w:val="30"/>
              <w:spacing w:before="16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05</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9泵</w:t>
            </w:r>
          </w:p>
        </w:tc>
        <w:tc>
          <w:tcPr>
            <w:tcW w:w="1800" w:type="dxa"/>
            <w:tcBorders>
              <w:top w:val="single" w:color="000000" w:sz="4" w:space="0"/>
              <w:left w:val="single" w:color="000000" w:sz="4" w:space="0"/>
              <w:bottom w:val="single" w:color="000000" w:sz="4" w:space="0"/>
              <w:right w:val="single" w:color="000000" w:sz="4" w:space="0"/>
            </w:tcBorders>
          </w:tcPr>
          <w:p>
            <w:pPr>
              <w:pStyle w:val="30"/>
              <w:spacing w:before="16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05</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《清水离心泵能效限定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及节</w:t>
            </w:r>
            <w:r>
              <w:rPr>
                <w:rFonts w:hint="eastAsia" w:ascii="仿宋" w:hAnsi="仿宋" w:eastAsia="仿宋" w:cs="仿宋"/>
                <w:color w:val="auto"/>
                <w:w w:val="99"/>
                <w:sz w:val="21"/>
                <w:szCs w:val="21"/>
                <w:highlight w:val="none"/>
                <w:lang w:eastAsia="zh-CN"/>
              </w:rPr>
              <w:t>能评价值</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w:t>
            </w:r>
            <w:r>
              <w:rPr>
                <w:rFonts w:hint="eastAsia" w:ascii="仿宋" w:hAnsi="仿宋" w:eastAsia="仿宋" w:cs="仿宋"/>
                <w:color w:val="auto"/>
                <w:w w:val="99"/>
                <w:sz w:val="21"/>
                <w:szCs w:val="21"/>
                <w:highlight w:val="none"/>
                <w:lang w:eastAsia="zh-CN"/>
              </w:rPr>
              <w:t>76</w:t>
            </w:r>
            <w:r>
              <w:rPr>
                <w:rFonts w:hint="eastAsia" w:ascii="仿宋" w:hAnsi="仿宋" w:eastAsia="仿宋" w:cs="仿宋"/>
                <w:color w:val="auto"/>
                <w:spacing w:val="1"/>
                <w:w w:val="99"/>
                <w:sz w:val="21"/>
                <w:szCs w:val="21"/>
                <w:highlight w:val="none"/>
                <w:lang w:eastAsia="zh-CN"/>
              </w:rPr>
              <w:t>2</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1310"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spacing w:before="7"/>
              <w:rPr>
                <w:rFonts w:ascii="仿宋" w:hAnsi="仿宋" w:eastAsia="仿宋" w:cs="仿宋"/>
                <w:color w:val="auto"/>
                <w:sz w:val="21"/>
                <w:szCs w:val="21"/>
                <w:highlight w:val="none"/>
                <w:lang w:eastAsia="zh-CN"/>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05</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8"/>
              <w:rPr>
                <w:rFonts w:ascii="仿宋" w:hAnsi="仿宋" w:eastAsia="仿宋" w:cs="仿宋"/>
                <w:color w:val="auto"/>
                <w:sz w:val="21"/>
                <w:szCs w:val="21"/>
                <w:highlight w:val="none"/>
              </w:rPr>
            </w:pPr>
          </w:p>
          <w:p>
            <w:pPr>
              <w:pStyle w:val="30"/>
              <w:spacing w:line="280" w:lineRule="auto"/>
              <w:ind w:left="7" w:right="5"/>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52</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spacing w:before="1"/>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冷水机组</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30" w:line="280" w:lineRule="auto"/>
              <w:ind w:left="7" w:right="4"/>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《冷水机组能效限定值</w:t>
            </w:r>
            <w:r>
              <w:rPr>
                <w:rFonts w:hint="eastAsia" w:ascii="仿宋" w:hAnsi="仿宋" w:eastAsia="仿宋" w:cs="仿宋"/>
                <w:color w:val="auto"/>
                <w:spacing w:val="9"/>
                <w:w w:val="99"/>
                <w:sz w:val="21"/>
                <w:szCs w:val="21"/>
                <w:highlight w:val="none"/>
                <w:lang w:eastAsia="zh-CN"/>
              </w:rPr>
              <w:t>及</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w:t>
            </w:r>
            <w:r>
              <w:rPr>
                <w:rFonts w:hint="eastAsia" w:ascii="仿宋" w:hAnsi="仿宋" w:eastAsia="仿宋" w:cs="仿宋"/>
                <w:color w:val="auto"/>
                <w:w w:val="99"/>
                <w:sz w:val="21"/>
                <w:szCs w:val="21"/>
                <w:highlight w:val="none"/>
                <w:lang w:eastAsia="zh-CN"/>
              </w:rPr>
              <w:t>77</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《低</w:t>
            </w:r>
            <w:r>
              <w:rPr>
                <w:rFonts w:hint="eastAsia" w:ascii="仿宋" w:hAnsi="仿宋" w:eastAsia="仿宋" w:cs="仿宋"/>
                <w:color w:val="auto"/>
                <w:spacing w:val="2"/>
                <w:w w:val="99"/>
                <w:sz w:val="21"/>
                <w:szCs w:val="21"/>
                <w:highlight w:val="none"/>
                <w:lang w:eastAsia="zh-CN"/>
              </w:rPr>
              <w:t>环</w:t>
            </w:r>
            <w:r>
              <w:rPr>
                <w:rFonts w:hint="eastAsia" w:ascii="仿宋" w:hAnsi="仿宋" w:eastAsia="仿宋" w:cs="仿宋"/>
                <w:color w:val="auto"/>
                <w:w w:val="99"/>
                <w:sz w:val="21"/>
                <w:szCs w:val="21"/>
                <w:highlight w:val="none"/>
                <w:lang w:eastAsia="zh-CN"/>
              </w:rPr>
              <w:t>境温度空气源</w:t>
            </w:r>
            <w:r>
              <w:rPr>
                <w:rFonts w:hint="eastAsia" w:ascii="仿宋" w:hAnsi="仿宋" w:eastAsia="仿宋" w:cs="仿宋"/>
                <w:color w:val="auto"/>
                <w:spacing w:val="2"/>
                <w:w w:val="99"/>
                <w:sz w:val="21"/>
                <w:szCs w:val="21"/>
                <w:highlight w:val="none"/>
                <w:lang w:eastAsia="zh-CN"/>
              </w:rPr>
              <w:t>热</w:t>
            </w:r>
            <w:r>
              <w:rPr>
                <w:rFonts w:hint="eastAsia" w:ascii="仿宋" w:hAnsi="仿宋" w:eastAsia="仿宋" w:cs="仿宋"/>
                <w:color w:val="auto"/>
                <w:spacing w:val="-29"/>
                <w:w w:val="99"/>
                <w:sz w:val="21"/>
                <w:szCs w:val="21"/>
                <w:highlight w:val="none"/>
                <w:lang w:eastAsia="zh-CN"/>
              </w:rPr>
              <w:t>泵</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冷水</w:t>
            </w:r>
            <w:r>
              <w:rPr>
                <w:rFonts w:hint="eastAsia" w:ascii="仿宋" w:hAnsi="仿宋" w:eastAsia="仿宋" w:cs="仿宋"/>
                <w:color w:val="auto"/>
                <w:spacing w:val="-27"/>
                <w:w w:val="99"/>
                <w:sz w:val="21"/>
                <w:szCs w:val="21"/>
                <w:highlight w:val="none"/>
                <w:lang w:eastAsia="zh-CN"/>
              </w:rPr>
              <w:t>）</w:t>
            </w:r>
            <w:r>
              <w:rPr>
                <w:rFonts w:hint="eastAsia" w:ascii="仿宋" w:hAnsi="仿宋" w:eastAsia="仿宋" w:cs="仿宋"/>
                <w:color w:val="auto"/>
                <w:w w:val="99"/>
                <w:sz w:val="21"/>
                <w:szCs w:val="21"/>
                <w:highlight w:val="none"/>
                <w:lang w:eastAsia="zh-CN"/>
              </w:rPr>
              <w:t>机组</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效限定值及能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37</w:t>
            </w:r>
            <w:r>
              <w:rPr>
                <w:rFonts w:hint="eastAsia" w:ascii="仿宋" w:hAnsi="仿宋" w:eastAsia="仿宋" w:cs="仿宋"/>
                <w:color w:val="auto"/>
                <w:w w:val="99"/>
                <w:sz w:val="21"/>
                <w:szCs w:val="21"/>
                <w:highlight w:val="none"/>
                <w:lang w:eastAsia="zh-CN"/>
              </w:rPr>
              <w:t>48</w:t>
            </w:r>
            <w:r>
              <w:rPr>
                <w:rFonts w:hint="eastAsia" w:ascii="仿宋" w:hAnsi="仿宋" w:eastAsia="仿宋" w:cs="仿宋"/>
                <w:color w:val="auto"/>
                <w:spacing w:val="-2"/>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pPr>
              <w:pStyle w:val="30"/>
              <w:spacing w:before="12"/>
              <w:rPr>
                <w:rFonts w:ascii="仿宋" w:hAnsi="仿宋" w:eastAsia="仿宋" w:cs="仿宋"/>
                <w:color w:val="auto"/>
                <w:sz w:val="21"/>
                <w:szCs w:val="21"/>
                <w:highlight w:val="none"/>
                <w:lang w:eastAsia="zh-CN"/>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水源热</w:t>
            </w:r>
            <w:r>
              <w:rPr>
                <w:rFonts w:hint="eastAsia" w:ascii="仿宋" w:hAnsi="仿宋" w:eastAsia="仿宋" w:cs="仿宋"/>
                <w:color w:val="auto"/>
                <w:spacing w:val="2"/>
                <w:w w:val="99"/>
                <w:sz w:val="21"/>
                <w:szCs w:val="21"/>
                <w:highlight w:val="none"/>
              </w:rPr>
              <w:t>泵</w:t>
            </w:r>
            <w:r>
              <w:rPr>
                <w:rFonts w:hint="eastAsia" w:ascii="仿宋" w:hAnsi="仿宋" w:eastAsia="仿宋" w:cs="仿宋"/>
                <w:color w:val="auto"/>
                <w:w w:val="99"/>
                <w:sz w:val="21"/>
                <w:szCs w:val="21"/>
                <w:highlight w:val="none"/>
              </w:rPr>
              <w:t>机组</w:t>
            </w:r>
          </w:p>
        </w:tc>
        <w:tc>
          <w:tcPr>
            <w:tcW w:w="2966" w:type="dxa"/>
            <w:tcBorders>
              <w:top w:val="single" w:color="000000" w:sz="4" w:space="0"/>
              <w:left w:val="single" w:color="000000" w:sz="4" w:space="0"/>
              <w:bottom w:val="single" w:color="000000" w:sz="4" w:space="0"/>
              <w:right w:val="single" w:color="000000" w:sz="4" w:space="0"/>
            </w:tcBorders>
          </w:tcPr>
          <w:p>
            <w:pPr>
              <w:pStyle w:val="30"/>
              <w:spacing w:before="52"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9"/>
                <w:w w:val="99"/>
                <w:sz w:val="21"/>
                <w:szCs w:val="21"/>
                <w:highlight w:val="none"/>
                <w:lang w:eastAsia="zh-CN"/>
              </w:rPr>
              <w:t>水</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地</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源</w:t>
            </w:r>
            <w:r>
              <w:rPr>
                <w:rFonts w:hint="eastAsia" w:ascii="仿宋" w:hAnsi="仿宋" w:eastAsia="仿宋" w:cs="仿宋"/>
                <w:color w:val="auto"/>
                <w:w w:val="99"/>
                <w:sz w:val="21"/>
                <w:szCs w:val="21"/>
                <w:highlight w:val="none"/>
                <w:lang w:eastAsia="zh-CN"/>
              </w:rPr>
              <w:t>热泵</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组能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限定值及能效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30721</w:t>
            </w:r>
            <w:r>
              <w:rPr>
                <w:rFonts w:hint="eastAsia" w:ascii="仿宋" w:hAnsi="仿宋" w:eastAsia="仿宋" w:cs="仿宋"/>
                <w:color w:val="auto"/>
                <w:w w:val="99"/>
                <w:sz w:val="21"/>
                <w:szCs w:val="21"/>
                <w:highlight w:val="none"/>
                <w:lang w:eastAsia="zh-CN"/>
              </w:rPr>
              <w:t>）</w:t>
            </w:r>
          </w:p>
        </w:tc>
      </w:tr>
    </w:tbl>
    <w:p>
      <w:pPr>
        <w:pStyle w:val="27"/>
        <w:rPr>
          <w:color w:val="auto"/>
          <w:highlight w:val="none"/>
        </w:rPr>
      </w:pPr>
    </w:p>
    <w:p>
      <w:pPr>
        <w:pStyle w:val="11"/>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w:t>
      </w:r>
    </w:p>
    <w:tbl>
      <w:tblPr>
        <w:tblStyle w:val="22"/>
        <w:tblW w:w="8441" w:type="dxa"/>
        <w:tblInd w:w="654" w:type="dxa"/>
        <w:tblLayout w:type="fixed"/>
        <w:tblCellMar>
          <w:top w:w="0" w:type="dxa"/>
          <w:left w:w="0" w:type="dxa"/>
          <w:bottom w:w="0" w:type="dxa"/>
          <w:right w:w="0" w:type="dxa"/>
        </w:tblCellMar>
      </w:tblPr>
      <w:tblGrid>
        <w:gridCol w:w="586"/>
        <w:gridCol w:w="1160"/>
        <w:gridCol w:w="1799"/>
        <w:gridCol w:w="1896"/>
        <w:gridCol w:w="3000"/>
      </w:tblGrid>
      <w:tr>
        <w:tblPrEx>
          <w:tblCellMar>
            <w:top w:w="0" w:type="dxa"/>
            <w:left w:w="0" w:type="dxa"/>
            <w:bottom w:w="0" w:type="dxa"/>
            <w:right w:w="0" w:type="dxa"/>
          </w:tblCellMar>
        </w:tblPrEx>
        <w:trPr>
          <w:trHeight w:val="729" w:hRule="exact"/>
        </w:trPr>
        <w:tc>
          <w:tcPr>
            <w:tcW w:w="586" w:type="dxa"/>
            <w:vMerge w:val="restart"/>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160" w:type="dxa"/>
            <w:vMerge w:val="restart"/>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896" w:type="dxa"/>
            <w:tcBorders>
              <w:top w:val="single" w:color="000000" w:sz="4" w:space="0"/>
              <w:left w:val="single" w:color="000000" w:sz="4" w:space="0"/>
              <w:right w:val="single" w:color="000000" w:sz="4" w:space="0"/>
            </w:tcBorders>
          </w:tcPr>
          <w:p>
            <w:pPr>
              <w:pStyle w:val="30"/>
              <w:spacing w:before="93"/>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溴化锂吸收式冷水</w:t>
            </w:r>
            <w:r>
              <w:rPr>
                <w:rFonts w:hint="eastAsia" w:ascii="仿宋" w:hAnsi="仿宋" w:eastAsia="仿宋" w:cs="仿宋"/>
                <w:color w:val="auto"/>
                <w:w w:val="99"/>
                <w:sz w:val="21"/>
                <w:szCs w:val="21"/>
                <w:highlight w:val="none"/>
                <w:lang w:eastAsia="zh-CN"/>
              </w:rPr>
              <w:t>机组</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93"/>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《溴化锂吸收式冷水机</w:t>
            </w:r>
            <w:r>
              <w:rPr>
                <w:rFonts w:hint="eastAsia" w:ascii="仿宋" w:hAnsi="仿宋" w:eastAsia="仿宋" w:cs="仿宋"/>
                <w:color w:val="auto"/>
                <w:spacing w:val="9"/>
                <w:w w:val="99"/>
                <w:sz w:val="21"/>
                <w:szCs w:val="21"/>
                <w:highlight w:val="none"/>
                <w:lang w:eastAsia="zh-CN"/>
              </w:rPr>
              <w:t>组</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29</w:t>
            </w:r>
            <w:r>
              <w:rPr>
                <w:rFonts w:hint="eastAsia" w:ascii="仿宋" w:hAnsi="仿宋" w:eastAsia="仿宋" w:cs="仿宋"/>
                <w:color w:val="auto"/>
                <w:w w:val="99"/>
                <w:sz w:val="21"/>
                <w:szCs w:val="21"/>
                <w:highlight w:val="none"/>
                <w:lang w:eastAsia="zh-CN"/>
              </w:rPr>
              <w:t>54</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1062" w:hRule="exact"/>
        </w:trPr>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799" w:type="dxa"/>
            <w:vMerge w:val="restart"/>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spacing w:before="3"/>
              <w:rPr>
                <w:rFonts w:ascii="仿宋" w:hAnsi="仿宋" w:eastAsia="仿宋" w:cs="仿宋"/>
                <w:color w:val="auto"/>
                <w:sz w:val="21"/>
                <w:szCs w:val="21"/>
                <w:highlight w:val="none"/>
                <w:lang w:eastAsia="zh-CN"/>
              </w:rPr>
            </w:pPr>
          </w:p>
          <w:p>
            <w:pPr>
              <w:pStyle w:val="30"/>
              <w:spacing w:line="280" w:lineRule="auto"/>
              <w:ind w:left="7" w:right="5"/>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52</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05空调机组</w:t>
            </w:r>
          </w:p>
        </w:tc>
        <w:tc>
          <w:tcPr>
            <w:tcW w:w="1896" w:type="dxa"/>
            <w:tcBorders>
              <w:top w:val="single" w:color="000000" w:sz="4" w:space="0"/>
              <w:left w:val="single" w:color="000000" w:sz="4" w:space="0"/>
              <w:bottom w:val="single" w:color="000000" w:sz="4" w:space="0"/>
              <w:right w:val="single" w:color="000000" w:sz="4" w:space="0"/>
            </w:tcBorders>
          </w:tcPr>
          <w:p>
            <w:pPr>
              <w:pStyle w:val="30"/>
              <w:spacing w:before="4" w:line="280" w:lineRule="auto"/>
              <w:ind w:left="7" w:right="7"/>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多联式空</w:t>
            </w:r>
            <w:r>
              <w:rPr>
                <w:rFonts w:hint="eastAsia" w:ascii="仿宋" w:hAnsi="仿宋" w:eastAsia="仿宋" w:cs="仿宋"/>
                <w:color w:val="auto"/>
                <w:spacing w:val="11"/>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热泵</w:t>
            </w:r>
            <w:r>
              <w:rPr>
                <w:rFonts w:hint="eastAsia" w:ascii="仿宋" w:hAnsi="仿宋" w:eastAsia="仿宋" w:cs="仿宋"/>
                <w:color w:val="auto"/>
                <w:w w:val="99"/>
                <w:sz w:val="21"/>
                <w:szCs w:val="21"/>
                <w:highlight w:val="none"/>
                <w:lang w:eastAsia="zh-CN"/>
              </w:rPr>
              <w:t>）机组(制冷量</w:t>
            </w:r>
            <w:r>
              <w:rPr>
                <w:rFonts w:hint="eastAsia" w:ascii="仿宋" w:hAnsi="仿宋" w:eastAsia="仿宋" w:cs="仿宋"/>
                <w:color w:val="auto"/>
                <w:spacing w:val="1"/>
                <w:w w:val="99"/>
                <w:sz w:val="21"/>
                <w:szCs w:val="21"/>
                <w:highlight w:val="none"/>
                <w:lang w:eastAsia="zh-CN"/>
              </w:rPr>
              <w:t>&gt;140</w:t>
            </w:r>
            <w:r>
              <w:rPr>
                <w:rFonts w:hint="eastAsia" w:ascii="仿宋" w:hAnsi="仿宋" w:eastAsia="仿宋" w:cs="仿宋"/>
                <w:color w:val="auto"/>
                <w:w w:val="99"/>
                <w:sz w:val="21"/>
                <w:szCs w:val="21"/>
                <w:highlight w:val="none"/>
                <w:lang w:eastAsia="zh-CN"/>
              </w:rPr>
              <w:t>00</w:t>
            </w:r>
            <w:r>
              <w:rPr>
                <w:rFonts w:hint="eastAsia" w:ascii="仿宋" w:hAnsi="仿宋" w:eastAsia="仿宋" w:cs="仿宋"/>
                <w:color w:val="auto"/>
                <w:spacing w:val="1"/>
                <w:w w:val="99"/>
                <w:sz w:val="21"/>
                <w:szCs w:val="21"/>
                <w:highlight w:val="none"/>
                <w:lang w:eastAsia="zh-CN"/>
              </w:rPr>
              <w:t>W</w:t>
            </w:r>
            <w:r>
              <w:rPr>
                <w:rFonts w:hint="eastAsia" w:ascii="仿宋" w:hAnsi="仿宋" w:eastAsia="仿宋" w:cs="仿宋"/>
                <w:color w:val="auto"/>
                <w:w w:val="99"/>
                <w:sz w:val="21"/>
                <w:szCs w:val="21"/>
                <w:highlight w:val="none"/>
                <w:lang w:eastAsia="zh-CN"/>
              </w:rPr>
              <w:t>)</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60"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《多联</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空</w:t>
            </w:r>
            <w:r>
              <w:rPr>
                <w:rFonts w:hint="eastAsia" w:ascii="仿宋" w:hAnsi="仿宋" w:eastAsia="仿宋" w:cs="仿宋"/>
                <w:color w:val="auto"/>
                <w:spacing w:val="-27"/>
                <w:w w:val="99"/>
                <w:sz w:val="21"/>
                <w:szCs w:val="21"/>
                <w:highlight w:val="none"/>
                <w:lang w:eastAsia="zh-CN"/>
              </w:rPr>
              <w:t>调</w:t>
            </w:r>
            <w:r>
              <w:rPr>
                <w:rFonts w:hint="eastAsia" w:ascii="仿宋" w:hAnsi="仿宋" w:eastAsia="仿宋" w:cs="仿宋"/>
                <w:color w:val="auto"/>
                <w:w w:val="99"/>
                <w:sz w:val="21"/>
                <w:szCs w:val="21"/>
                <w:highlight w:val="none"/>
                <w:lang w:eastAsia="zh-CN"/>
              </w:rPr>
              <w:t>（热</w:t>
            </w:r>
            <w:r>
              <w:rPr>
                <w:rFonts w:hint="eastAsia" w:ascii="仿宋" w:hAnsi="仿宋" w:eastAsia="仿宋" w:cs="仿宋"/>
                <w:color w:val="auto"/>
                <w:spacing w:val="2"/>
                <w:w w:val="99"/>
                <w:sz w:val="21"/>
                <w:szCs w:val="21"/>
                <w:highlight w:val="none"/>
                <w:lang w:eastAsia="zh-CN"/>
              </w:rPr>
              <w:t>泵</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w w:val="99"/>
                <w:sz w:val="21"/>
                <w:szCs w:val="21"/>
                <w:highlight w:val="none"/>
                <w:lang w:eastAsia="zh-CN"/>
              </w:rPr>
              <w:t>机</w:t>
            </w:r>
            <w:r>
              <w:rPr>
                <w:rFonts w:hint="eastAsia" w:ascii="仿宋" w:hAnsi="仿宋" w:eastAsia="仿宋" w:cs="仿宋"/>
                <w:color w:val="auto"/>
                <w:spacing w:val="2"/>
                <w:w w:val="99"/>
                <w:sz w:val="21"/>
                <w:szCs w:val="21"/>
                <w:highlight w:val="none"/>
                <w:lang w:eastAsia="zh-CN"/>
              </w:rPr>
              <w:t>组</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源效</w:t>
            </w:r>
            <w:r>
              <w:rPr>
                <w:rFonts w:hint="eastAsia" w:ascii="仿宋" w:hAnsi="仿宋" w:eastAsia="仿宋" w:cs="仿宋"/>
                <w:color w:val="auto"/>
                <w:spacing w:val="2"/>
                <w:w w:val="99"/>
                <w:sz w:val="21"/>
                <w:szCs w:val="21"/>
                <w:highlight w:val="none"/>
                <w:lang w:eastAsia="zh-CN"/>
              </w:rPr>
              <w:t>率</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2145</w:t>
            </w:r>
            <w:r>
              <w:rPr>
                <w:rFonts w:hint="eastAsia" w:ascii="仿宋" w:hAnsi="仿宋" w:eastAsia="仿宋" w:cs="仿宋"/>
                <w:color w:val="auto"/>
                <w:w w:val="99"/>
                <w:sz w:val="21"/>
                <w:szCs w:val="21"/>
                <w:highlight w:val="none"/>
                <w:lang w:eastAsia="zh-CN"/>
              </w:rPr>
              <w:t>4）</w:t>
            </w:r>
          </w:p>
        </w:tc>
      </w:tr>
      <w:tr>
        <w:tblPrEx>
          <w:tblCellMar>
            <w:top w:w="0" w:type="dxa"/>
            <w:left w:w="0" w:type="dxa"/>
            <w:bottom w:w="0" w:type="dxa"/>
            <w:right w:w="0" w:type="dxa"/>
          </w:tblCellMar>
        </w:tblPrEx>
        <w:trPr>
          <w:trHeight w:val="1268" w:hRule="exact"/>
        </w:trPr>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96" w:type="dxa"/>
            <w:tcBorders>
              <w:top w:val="single" w:color="000000" w:sz="4" w:space="0"/>
              <w:left w:val="single" w:color="000000" w:sz="4" w:space="0"/>
              <w:right w:val="single" w:color="000000" w:sz="4" w:space="0"/>
            </w:tcBorders>
          </w:tcPr>
          <w:p>
            <w:pPr>
              <w:pStyle w:val="30"/>
              <w:spacing w:before="7"/>
              <w:rPr>
                <w:rFonts w:ascii="仿宋" w:hAnsi="仿宋" w:eastAsia="仿宋" w:cs="仿宋"/>
                <w:color w:val="auto"/>
                <w:sz w:val="21"/>
                <w:szCs w:val="21"/>
                <w:highlight w:val="none"/>
                <w:lang w:eastAsia="zh-CN"/>
              </w:rPr>
            </w:pPr>
          </w:p>
          <w:p>
            <w:pPr>
              <w:pStyle w:val="30"/>
              <w:ind w:left="7"/>
              <w:rPr>
                <w:rFonts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单元式空气调节机</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制冷量</w:t>
            </w:r>
            <w:r>
              <w:rPr>
                <w:rFonts w:hint="eastAsia" w:ascii="仿宋" w:hAnsi="仿宋" w:eastAsia="仿宋" w:cs="仿宋"/>
                <w:color w:val="auto"/>
                <w:spacing w:val="1"/>
                <w:w w:val="99"/>
                <w:sz w:val="21"/>
                <w:szCs w:val="21"/>
                <w:highlight w:val="none"/>
                <w:lang w:eastAsia="zh-CN"/>
              </w:rPr>
              <w:t>&gt;1400</w:t>
            </w:r>
            <w:r>
              <w:rPr>
                <w:rFonts w:hint="eastAsia" w:ascii="仿宋" w:hAnsi="仿宋" w:eastAsia="仿宋" w:cs="仿宋"/>
                <w:color w:val="auto"/>
                <w:w w:val="99"/>
                <w:sz w:val="21"/>
                <w:szCs w:val="21"/>
                <w:highlight w:val="none"/>
                <w:lang w:eastAsia="zh-CN"/>
              </w:rPr>
              <w:t>0W)</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9"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1"/>
                <w:w w:val="99"/>
                <w:sz w:val="21"/>
                <w:szCs w:val="21"/>
                <w:highlight w:val="none"/>
                <w:lang w:eastAsia="zh-CN"/>
              </w:rPr>
              <w:t>6</w:t>
            </w:r>
            <w:r>
              <w:rPr>
                <w:rFonts w:hint="eastAsia" w:ascii="仿宋" w:hAnsi="仿宋" w:eastAsia="仿宋" w:cs="仿宋"/>
                <w:color w:val="auto"/>
                <w:spacing w:val="-5"/>
                <w:w w:val="99"/>
                <w:sz w:val="21"/>
                <w:szCs w:val="21"/>
                <w:highlight w:val="none"/>
                <w:lang w:eastAsia="zh-CN"/>
              </w:rPr>
              <w:t>）</w:t>
            </w:r>
            <w:r>
              <w:rPr>
                <w:rFonts w:hint="eastAsia" w:ascii="仿宋" w:hAnsi="仿宋" w:eastAsia="仿宋" w:cs="仿宋"/>
                <w:color w:val="auto"/>
                <w:w w:val="99"/>
                <w:sz w:val="21"/>
                <w:szCs w:val="21"/>
                <w:highlight w:val="none"/>
                <w:lang w:eastAsia="zh-CN"/>
              </w:rPr>
              <w:t>《风管</w:t>
            </w:r>
            <w:r>
              <w:rPr>
                <w:rFonts w:hint="eastAsia" w:ascii="仿宋" w:hAnsi="仿宋" w:eastAsia="仿宋" w:cs="仿宋"/>
                <w:color w:val="auto"/>
                <w:spacing w:val="12"/>
                <w:w w:val="99"/>
                <w:sz w:val="21"/>
                <w:szCs w:val="21"/>
                <w:highlight w:val="none"/>
                <w:lang w:eastAsia="zh-CN"/>
              </w:rPr>
              <w:t>送风式空调机组能效限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能效等级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37</w:t>
            </w:r>
            <w:r>
              <w:rPr>
                <w:rFonts w:hint="eastAsia" w:ascii="仿宋" w:hAnsi="仿宋" w:eastAsia="仿宋" w:cs="仿宋"/>
                <w:color w:val="auto"/>
                <w:w w:val="99"/>
                <w:sz w:val="21"/>
                <w:szCs w:val="21"/>
                <w:highlight w:val="none"/>
                <w:lang w:eastAsia="zh-CN"/>
              </w:rPr>
              <w:t>47</w:t>
            </w:r>
            <w:r>
              <w:rPr>
                <w:rFonts w:hint="eastAsia" w:ascii="仿宋" w:hAnsi="仿宋" w:eastAsia="仿宋" w:cs="仿宋"/>
                <w:color w:val="auto"/>
                <w:spacing w:val="1"/>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821" w:hRule="exact"/>
        </w:trPr>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799" w:type="dxa"/>
            <w:tcBorders>
              <w:top w:val="single" w:color="000000" w:sz="4" w:space="0"/>
              <w:left w:val="single" w:color="000000" w:sz="4" w:space="0"/>
              <w:right w:val="single" w:color="000000" w:sz="4" w:space="0"/>
            </w:tcBorders>
            <w:vAlign w:val="center"/>
          </w:tcPr>
          <w:p>
            <w:pPr>
              <w:pStyle w:val="30"/>
              <w:spacing w:before="83"/>
              <w:ind w:left="7"/>
              <w:jc w:val="both"/>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A020</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3</w:t>
            </w:r>
            <w:r>
              <w:rPr>
                <w:rFonts w:hint="eastAsia" w:ascii="仿宋" w:hAnsi="仿宋" w:eastAsia="仿宋" w:cs="仿宋"/>
                <w:color w:val="auto"/>
                <w:w w:val="99"/>
                <w:sz w:val="21"/>
                <w:szCs w:val="21"/>
                <w:highlight w:val="none"/>
                <w:lang w:eastAsia="zh-CN"/>
              </w:rPr>
              <w:t>09专用制冷、空</w:t>
            </w:r>
            <w:r>
              <w:rPr>
                <w:rFonts w:hint="eastAsia" w:ascii="仿宋" w:hAnsi="仿宋" w:eastAsia="仿宋" w:cs="仿宋"/>
                <w:color w:val="auto"/>
                <w:spacing w:val="2"/>
                <w:w w:val="99"/>
                <w:sz w:val="21"/>
                <w:szCs w:val="21"/>
                <w:highlight w:val="none"/>
                <w:lang w:eastAsia="zh-CN"/>
              </w:rPr>
              <w:t>调</w:t>
            </w:r>
            <w:r>
              <w:rPr>
                <w:rFonts w:hint="eastAsia" w:ascii="仿宋" w:hAnsi="仿宋" w:eastAsia="仿宋" w:cs="仿宋"/>
                <w:color w:val="auto"/>
                <w:w w:val="99"/>
                <w:sz w:val="21"/>
                <w:szCs w:val="21"/>
                <w:highlight w:val="none"/>
                <w:lang w:eastAsia="zh-CN"/>
              </w:rPr>
              <w:t>设备</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30"/>
              <w:spacing w:before="1"/>
              <w:jc w:val="both"/>
              <w:rPr>
                <w:rFonts w:ascii="仿宋" w:hAnsi="仿宋" w:eastAsia="仿宋" w:cs="仿宋"/>
                <w:color w:val="auto"/>
                <w:sz w:val="21"/>
                <w:szCs w:val="21"/>
                <w:highlight w:val="none"/>
                <w:lang w:eastAsia="zh-CN"/>
              </w:rPr>
            </w:pPr>
          </w:p>
          <w:p>
            <w:pPr>
              <w:pStyle w:val="30"/>
              <w:ind w:left="7"/>
              <w:jc w:val="both"/>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机房空调</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83"/>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19576</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1095" w:hRule="exact"/>
        </w:trPr>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799" w:type="dxa"/>
            <w:tcBorders>
              <w:top w:val="single" w:color="000000" w:sz="4" w:space="0"/>
              <w:left w:val="single" w:color="000000" w:sz="4" w:space="0"/>
              <w:right w:val="single" w:color="000000" w:sz="4" w:space="0"/>
            </w:tcBorders>
            <w:vAlign w:val="center"/>
          </w:tcPr>
          <w:p>
            <w:pPr>
              <w:pStyle w:val="30"/>
              <w:ind w:left="7"/>
              <w:jc w:val="both"/>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05</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399其他制冷空调设备</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30"/>
              <w:spacing w:before="164"/>
              <w:ind w:left="7"/>
              <w:jc w:val="both"/>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冷却塔</w:t>
            </w:r>
          </w:p>
        </w:tc>
        <w:tc>
          <w:tcPr>
            <w:tcW w:w="3000" w:type="dxa"/>
            <w:tcBorders>
              <w:top w:val="single" w:color="000000" w:sz="4" w:space="0"/>
              <w:left w:val="single" w:color="000000" w:sz="4" w:space="0"/>
              <w:bottom w:val="single" w:color="000000" w:sz="4" w:space="0"/>
              <w:right w:val="single" w:color="000000" w:sz="4" w:space="0"/>
            </w:tcBorders>
          </w:tcPr>
          <w:p>
            <w:pPr>
              <w:pStyle w:val="30"/>
              <w:ind w:left="7"/>
              <w:rPr>
                <w:rFonts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《机械</w:t>
            </w:r>
            <w:r>
              <w:rPr>
                <w:rFonts w:hint="eastAsia" w:ascii="仿宋" w:hAnsi="仿宋" w:eastAsia="仿宋" w:cs="仿宋"/>
                <w:color w:val="auto"/>
                <w:spacing w:val="2"/>
                <w:w w:val="99"/>
                <w:sz w:val="21"/>
                <w:szCs w:val="21"/>
                <w:highlight w:val="none"/>
                <w:lang w:eastAsia="zh-CN"/>
              </w:rPr>
              <w:t>通</w:t>
            </w:r>
            <w:r>
              <w:rPr>
                <w:rFonts w:hint="eastAsia" w:ascii="仿宋" w:hAnsi="仿宋" w:eastAsia="仿宋" w:cs="仿宋"/>
                <w:color w:val="auto"/>
                <w:w w:val="99"/>
                <w:sz w:val="21"/>
                <w:szCs w:val="21"/>
                <w:highlight w:val="none"/>
                <w:lang w:eastAsia="zh-CN"/>
              </w:rPr>
              <w:t>风冷</w:t>
            </w:r>
            <w:r>
              <w:rPr>
                <w:rFonts w:hint="eastAsia" w:ascii="仿宋" w:hAnsi="仿宋" w:eastAsia="仿宋" w:cs="仿宋"/>
                <w:color w:val="auto"/>
                <w:spacing w:val="2"/>
                <w:w w:val="99"/>
                <w:sz w:val="21"/>
                <w:szCs w:val="21"/>
                <w:highlight w:val="none"/>
                <w:lang w:eastAsia="zh-CN"/>
              </w:rPr>
              <w:t>却</w:t>
            </w:r>
            <w:r>
              <w:rPr>
                <w:rFonts w:hint="eastAsia" w:ascii="仿宋" w:hAnsi="仿宋" w:eastAsia="仿宋" w:cs="仿宋"/>
                <w:color w:val="auto"/>
                <w:w w:val="99"/>
                <w:sz w:val="21"/>
                <w:szCs w:val="21"/>
                <w:highlight w:val="none"/>
                <w:lang w:eastAsia="zh-CN"/>
              </w:rPr>
              <w:t>塔第1部分：中</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小型开</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冷却</w:t>
            </w:r>
            <w:r>
              <w:rPr>
                <w:rFonts w:hint="eastAsia" w:ascii="仿宋" w:hAnsi="仿宋" w:eastAsia="仿宋" w:cs="仿宋"/>
                <w:color w:val="auto"/>
                <w:spacing w:val="2"/>
                <w:w w:val="99"/>
                <w:sz w:val="21"/>
                <w:szCs w:val="21"/>
                <w:highlight w:val="none"/>
                <w:lang w:eastAsia="zh-CN"/>
              </w:rPr>
              <w:t>塔</w:t>
            </w:r>
            <w:r>
              <w:rPr>
                <w:rFonts w:hint="eastAsia" w:ascii="仿宋" w:hAnsi="仿宋" w:eastAsia="仿宋" w:cs="仿宋"/>
                <w:color w:val="auto"/>
                <w:spacing w:val="-171"/>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T7190</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spacing w:val="-87"/>
                <w:w w:val="99"/>
                <w:sz w:val="21"/>
                <w:szCs w:val="21"/>
                <w:highlight w:val="none"/>
                <w:lang w:eastAsia="zh-CN"/>
              </w:rPr>
              <w:t>）</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《机械</w:t>
            </w:r>
            <w:r>
              <w:rPr>
                <w:rFonts w:hint="eastAsia" w:ascii="仿宋" w:hAnsi="仿宋" w:eastAsia="仿宋" w:cs="仿宋"/>
                <w:color w:val="auto"/>
                <w:spacing w:val="2"/>
                <w:w w:val="99"/>
                <w:sz w:val="21"/>
                <w:szCs w:val="21"/>
                <w:highlight w:val="none"/>
                <w:lang w:eastAsia="zh-CN"/>
              </w:rPr>
              <w:t>通</w:t>
            </w:r>
            <w:r>
              <w:rPr>
                <w:rFonts w:hint="eastAsia" w:ascii="仿宋" w:hAnsi="仿宋" w:eastAsia="仿宋" w:cs="仿宋"/>
                <w:color w:val="auto"/>
                <w:w w:val="99"/>
                <w:sz w:val="21"/>
                <w:szCs w:val="21"/>
                <w:highlight w:val="none"/>
                <w:lang w:eastAsia="zh-CN"/>
              </w:rPr>
              <w:t>风冷</w:t>
            </w:r>
            <w:r>
              <w:rPr>
                <w:rFonts w:hint="eastAsia" w:ascii="仿宋" w:hAnsi="仿宋" w:eastAsia="仿宋" w:cs="仿宋"/>
                <w:color w:val="auto"/>
                <w:spacing w:val="2"/>
                <w:w w:val="99"/>
                <w:sz w:val="21"/>
                <w:szCs w:val="21"/>
                <w:highlight w:val="none"/>
                <w:lang w:eastAsia="zh-CN"/>
              </w:rPr>
              <w:t>却</w:t>
            </w:r>
            <w:r>
              <w:rPr>
                <w:rFonts w:hint="eastAsia" w:ascii="仿宋" w:hAnsi="仿宋" w:eastAsia="仿宋" w:cs="仿宋"/>
                <w:color w:val="auto"/>
                <w:w w:val="99"/>
                <w:sz w:val="21"/>
                <w:szCs w:val="21"/>
                <w:highlight w:val="none"/>
                <w:lang w:eastAsia="zh-CN"/>
              </w:rPr>
              <w:t>塔第2部分：大</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型开式</w:t>
            </w:r>
            <w:r>
              <w:rPr>
                <w:rFonts w:hint="eastAsia" w:ascii="仿宋" w:hAnsi="仿宋" w:eastAsia="仿宋" w:cs="仿宋"/>
                <w:color w:val="auto"/>
                <w:spacing w:val="2"/>
                <w:w w:val="99"/>
                <w:sz w:val="21"/>
                <w:szCs w:val="21"/>
                <w:highlight w:val="none"/>
                <w:lang w:eastAsia="zh-CN"/>
              </w:rPr>
              <w:t>冷</w:t>
            </w:r>
            <w:r>
              <w:rPr>
                <w:rFonts w:hint="eastAsia" w:ascii="仿宋" w:hAnsi="仿宋" w:eastAsia="仿宋" w:cs="仿宋"/>
                <w:color w:val="auto"/>
                <w:w w:val="99"/>
                <w:sz w:val="21"/>
                <w:szCs w:val="21"/>
                <w:highlight w:val="none"/>
                <w:lang w:eastAsia="zh-CN"/>
              </w:rPr>
              <w:t>却塔</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T719</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2</w:t>
            </w:r>
          </w:p>
        </w:tc>
      </w:tr>
      <w:tr>
        <w:tblPrEx>
          <w:tblCellMar>
            <w:top w:w="0" w:type="dxa"/>
            <w:left w:w="0" w:type="dxa"/>
            <w:bottom w:w="0" w:type="dxa"/>
            <w:right w:w="0" w:type="dxa"/>
          </w:tblCellMar>
        </w:tblPrEx>
        <w:trPr>
          <w:trHeight w:val="893"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12"/>
              <w:rPr>
                <w:rFonts w:ascii="仿宋" w:hAnsi="仿宋" w:eastAsia="仿宋" w:cs="仿宋"/>
                <w:color w:val="auto"/>
                <w:sz w:val="21"/>
                <w:szCs w:val="21"/>
                <w:highlight w:val="none"/>
                <w:lang w:eastAsia="zh-CN"/>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7</w:t>
            </w:r>
          </w:p>
        </w:tc>
        <w:tc>
          <w:tcPr>
            <w:tcW w:w="1160" w:type="dxa"/>
            <w:tcBorders>
              <w:top w:val="single" w:color="000000" w:sz="4" w:space="0"/>
              <w:left w:val="single" w:color="000000" w:sz="4" w:space="0"/>
              <w:bottom w:val="single" w:color="000000" w:sz="4" w:space="0"/>
              <w:right w:val="single" w:color="000000" w:sz="4" w:space="0"/>
            </w:tcBorders>
          </w:tcPr>
          <w:p>
            <w:pPr>
              <w:pStyle w:val="30"/>
              <w:spacing w:before="12"/>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1电机</w:t>
            </w:r>
          </w:p>
        </w:tc>
        <w:tc>
          <w:tcPr>
            <w:tcW w:w="179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52"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《中小型三相异步电动</w:t>
            </w:r>
            <w:r>
              <w:rPr>
                <w:rFonts w:hint="eastAsia" w:ascii="仿宋" w:hAnsi="仿宋" w:eastAsia="仿宋" w:cs="仿宋"/>
                <w:color w:val="auto"/>
                <w:spacing w:val="9"/>
                <w:w w:val="99"/>
                <w:sz w:val="21"/>
                <w:szCs w:val="21"/>
                <w:highlight w:val="none"/>
                <w:lang w:eastAsia="zh-CN"/>
              </w:rPr>
              <w:t>机</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18</w:t>
            </w:r>
            <w:r>
              <w:rPr>
                <w:rFonts w:hint="eastAsia" w:ascii="仿宋" w:hAnsi="仿宋" w:eastAsia="仿宋" w:cs="仿宋"/>
                <w:color w:val="auto"/>
                <w:w w:val="99"/>
                <w:sz w:val="21"/>
                <w:szCs w:val="21"/>
                <w:highlight w:val="none"/>
                <w:lang w:eastAsia="zh-CN"/>
              </w:rPr>
              <w:t>61</w:t>
            </w:r>
            <w:r>
              <w:rPr>
                <w:rFonts w:hint="eastAsia" w:ascii="仿宋" w:hAnsi="仿宋" w:eastAsia="仿宋" w:cs="仿宋"/>
                <w:color w:val="auto"/>
                <w:spacing w:val="1"/>
                <w:w w:val="99"/>
                <w:sz w:val="21"/>
                <w:szCs w:val="21"/>
                <w:highlight w:val="none"/>
                <w:lang w:eastAsia="zh-CN"/>
              </w:rPr>
              <w:t>3</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74"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3"/>
              <w:rPr>
                <w:rFonts w:ascii="仿宋" w:hAnsi="仿宋" w:eastAsia="仿宋" w:cs="仿宋"/>
                <w:color w:val="auto"/>
                <w:sz w:val="21"/>
                <w:szCs w:val="21"/>
                <w:highlight w:val="none"/>
                <w:lang w:eastAsia="zh-CN"/>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8</w:t>
            </w:r>
          </w:p>
        </w:tc>
        <w:tc>
          <w:tcPr>
            <w:tcW w:w="1160" w:type="dxa"/>
            <w:tcBorders>
              <w:top w:val="single" w:color="000000" w:sz="4" w:space="0"/>
              <w:left w:val="single" w:color="000000" w:sz="4" w:space="0"/>
              <w:right w:val="single" w:color="000000" w:sz="4" w:space="0"/>
            </w:tcBorders>
          </w:tcPr>
          <w:p>
            <w:pPr>
              <w:pStyle w:val="30"/>
              <w:spacing w:before="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2变压器</w:t>
            </w:r>
          </w:p>
        </w:tc>
        <w:tc>
          <w:tcPr>
            <w:tcW w:w="1799" w:type="dxa"/>
            <w:tcBorders>
              <w:top w:val="single" w:color="000000" w:sz="4" w:space="0"/>
              <w:left w:val="single" w:color="000000" w:sz="4" w:space="0"/>
              <w:bottom w:val="single" w:color="000000" w:sz="4" w:space="0"/>
              <w:right w:val="single" w:color="000000" w:sz="4" w:space="0"/>
            </w:tcBorders>
          </w:tcPr>
          <w:p>
            <w:pPr>
              <w:pStyle w:val="30"/>
              <w:spacing w:before="3"/>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配电变</w:t>
            </w:r>
            <w:r>
              <w:rPr>
                <w:rFonts w:hint="eastAsia" w:ascii="仿宋" w:hAnsi="仿宋" w:eastAsia="仿宋" w:cs="仿宋"/>
                <w:color w:val="auto"/>
                <w:spacing w:val="2"/>
                <w:w w:val="99"/>
                <w:sz w:val="21"/>
                <w:szCs w:val="21"/>
                <w:highlight w:val="none"/>
              </w:rPr>
              <w:t>压</w:t>
            </w:r>
            <w:r>
              <w:rPr>
                <w:rFonts w:hint="eastAsia" w:ascii="仿宋" w:hAnsi="仿宋" w:eastAsia="仿宋" w:cs="仿宋"/>
                <w:color w:val="auto"/>
                <w:w w:val="99"/>
                <w:sz w:val="21"/>
                <w:szCs w:val="21"/>
                <w:highlight w:val="none"/>
              </w:rPr>
              <w:t>器</w:t>
            </w: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30"/>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《三相配电变压器能效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200</w:t>
            </w:r>
            <w:r>
              <w:rPr>
                <w:rFonts w:hint="eastAsia" w:ascii="仿宋" w:hAnsi="仿宋" w:eastAsia="仿宋" w:cs="仿宋"/>
                <w:color w:val="auto"/>
                <w:w w:val="99"/>
                <w:sz w:val="21"/>
                <w:szCs w:val="21"/>
                <w:highlight w:val="none"/>
                <w:lang w:eastAsia="zh-CN"/>
              </w:rPr>
              <w:t>5</w:t>
            </w:r>
            <w:r>
              <w:rPr>
                <w:rFonts w:hint="eastAsia" w:ascii="仿宋" w:hAnsi="仿宋" w:eastAsia="仿宋" w:cs="仿宋"/>
                <w:color w:val="auto"/>
                <w:spacing w:val="-1"/>
                <w:w w:val="99"/>
                <w:sz w:val="21"/>
                <w:szCs w:val="21"/>
                <w:highlight w:val="none"/>
                <w:lang w:eastAsia="zh-CN"/>
              </w:rPr>
              <w:t>2</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798"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8"/>
              <w:rPr>
                <w:rFonts w:ascii="仿宋" w:hAnsi="仿宋" w:eastAsia="仿宋" w:cs="仿宋"/>
                <w:color w:val="auto"/>
                <w:sz w:val="21"/>
                <w:szCs w:val="21"/>
                <w:highlight w:val="none"/>
                <w:lang w:eastAsia="zh-CN"/>
              </w:rPr>
            </w:pPr>
          </w:p>
          <w:p>
            <w:pPr>
              <w:pStyle w:val="30"/>
              <w:ind w:right="1"/>
              <w:jc w:val="center"/>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9</w:t>
            </w:r>
          </w:p>
        </w:tc>
        <w:tc>
          <w:tcPr>
            <w:tcW w:w="1160" w:type="dxa"/>
            <w:tcBorders>
              <w:top w:val="single" w:color="000000" w:sz="4" w:space="0"/>
              <w:left w:val="single" w:color="000000" w:sz="4" w:space="0"/>
              <w:right w:val="single" w:color="000000" w:sz="4" w:space="0"/>
            </w:tcBorders>
          </w:tcPr>
          <w:p>
            <w:pPr>
              <w:pStyle w:val="30"/>
              <w:spacing w:before="126"/>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609镇流器</w:t>
            </w:r>
          </w:p>
        </w:tc>
        <w:tc>
          <w:tcPr>
            <w:tcW w:w="1799" w:type="dxa"/>
            <w:tcBorders>
              <w:top w:val="single" w:color="000000" w:sz="4" w:space="0"/>
              <w:left w:val="single" w:color="000000" w:sz="4" w:space="0"/>
              <w:bottom w:val="single" w:color="000000" w:sz="4" w:space="0"/>
              <w:right w:val="single" w:color="000000" w:sz="4" w:space="0"/>
            </w:tcBorders>
          </w:tcPr>
          <w:p>
            <w:pPr>
              <w:pStyle w:val="30"/>
              <w:spacing w:before="8"/>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管型荧</w:t>
            </w:r>
            <w:r>
              <w:rPr>
                <w:rFonts w:hint="eastAsia" w:ascii="仿宋" w:hAnsi="仿宋" w:eastAsia="仿宋" w:cs="仿宋"/>
                <w:color w:val="auto"/>
                <w:spacing w:val="2"/>
                <w:w w:val="99"/>
                <w:sz w:val="21"/>
                <w:szCs w:val="21"/>
                <w:highlight w:val="none"/>
              </w:rPr>
              <w:t>光</w:t>
            </w:r>
            <w:r>
              <w:rPr>
                <w:rFonts w:hint="eastAsia" w:ascii="仿宋" w:hAnsi="仿宋" w:eastAsia="仿宋" w:cs="仿宋"/>
                <w:color w:val="auto"/>
                <w:w w:val="99"/>
                <w:sz w:val="21"/>
                <w:szCs w:val="21"/>
                <w:highlight w:val="none"/>
              </w:rPr>
              <w:t>灯镇</w:t>
            </w:r>
            <w:r>
              <w:rPr>
                <w:rFonts w:hint="eastAsia" w:ascii="仿宋" w:hAnsi="仿宋" w:eastAsia="仿宋" w:cs="仿宋"/>
                <w:color w:val="auto"/>
                <w:spacing w:val="2"/>
                <w:w w:val="99"/>
                <w:sz w:val="21"/>
                <w:szCs w:val="21"/>
                <w:highlight w:val="none"/>
              </w:rPr>
              <w:t>流</w:t>
            </w:r>
            <w:r>
              <w:rPr>
                <w:rFonts w:hint="eastAsia" w:ascii="仿宋" w:hAnsi="仿宋" w:eastAsia="仿宋" w:cs="仿宋"/>
                <w:color w:val="auto"/>
                <w:w w:val="99"/>
                <w:sz w:val="21"/>
                <w:szCs w:val="21"/>
                <w:highlight w:val="none"/>
              </w:rPr>
              <w:t>器</w:t>
            </w: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26"/>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《管形荧光灯镇流器能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17896</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942" w:hRule="exact"/>
        </w:trPr>
        <w:tc>
          <w:tcPr>
            <w:tcW w:w="586" w:type="dxa"/>
            <w:vMerge w:val="restart"/>
            <w:tcBorders>
              <w:top w:val="single" w:color="000000" w:sz="4" w:space="0"/>
              <w:left w:val="single" w:color="000000" w:sz="4" w:space="0"/>
              <w:right w:val="single" w:color="000000" w:sz="4" w:space="0"/>
            </w:tcBorders>
          </w:tcPr>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rPr>
                <w:rFonts w:ascii="仿宋" w:hAnsi="仿宋" w:eastAsia="仿宋" w:cs="仿宋"/>
                <w:color w:val="auto"/>
                <w:sz w:val="21"/>
                <w:szCs w:val="21"/>
                <w:highlight w:val="none"/>
                <w:lang w:eastAsia="zh-CN"/>
              </w:rPr>
            </w:pPr>
          </w:p>
          <w:p>
            <w:pPr>
              <w:pStyle w:val="30"/>
              <w:spacing w:before="5"/>
              <w:rPr>
                <w:rFonts w:ascii="仿宋" w:hAnsi="仿宋" w:eastAsia="仿宋" w:cs="仿宋"/>
                <w:color w:val="auto"/>
                <w:sz w:val="21"/>
                <w:szCs w:val="21"/>
                <w:highlight w:val="none"/>
                <w:lang w:eastAsia="zh-CN"/>
              </w:rPr>
            </w:pPr>
          </w:p>
          <w:p>
            <w:pPr>
              <w:pStyle w:val="30"/>
              <w:ind w:left="182"/>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w:t>
            </w:r>
          </w:p>
        </w:tc>
        <w:tc>
          <w:tcPr>
            <w:tcW w:w="1160" w:type="dxa"/>
            <w:vMerge w:val="restart"/>
            <w:tcBorders>
              <w:top w:val="single" w:color="000000" w:sz="4" w:space="0"/>
              <w:left w:val="single" w:color="000000" w:sz="4" w:space="0"/>
              <w:right w:val="single" w:color="000000" w:sz="4" w:space="0"/>
            </w:tcBorders>
          </w:tcPr>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8生活用电器</w:t>
            </w:r>
          </w:p>
        </w:tc>
        <w:tc>
          <w:tcPr>
            <w:tcW w:w="1799" w:type="dxa"/>
            <w:tcBorders>
              <w:top w:val="single" w:color="000000" w:sz="4" w:space="0"/>
              <w:left w:val="single" w:color="000000" w:sz="4" w:space="0"/>
              <w:bottom w:val="single" w:color="000000" w:sz="4" w:space="0"/>
              <w:right w:val="single" w:color="000000" w:sz="4" w:space="0"/>
            </w:tcBorders>
          </w:tcPr>
          <w:p>
            <w:pPr>
              <w:pStyle w:val="30"/>
              <w:spacing w:before="1"/>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01电冰箱</w:t>
            </w: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54"/>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《家用电冰箱耗电量限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能效等级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z w:val="21"/>
                <w:szCs w:val="21"/>
                <w:highlight w:val="none"/>
                <w:lang w:eastAsia="zh-CN"/>
              </w:rPr>
              <w:tab/>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20</w:t>
            </w:r>
            <w:r>
              <w:rPr>
                <w:rFonts w:hint="eastAsia" w:ascii="仿宋" w:hAnsi="仿宋" w:eastAsia="仿宋" w:cs="仿宋"/>
                <w:color w:val="auto"/>
                <w:spacing w:val="1"/>
                <w:w w:val="99"/>
                <w:sz w:val="21"/>
                <w:szCs w:val="21"/>
                <w:highlight w:val="none"/>
                <w:lang w:eastAsia="zh-CN"/>
              </w:rPr>
              <w:t>2</w:t>
            </w:r>
            <w:r>
              <w:rPr>
                <w:rFonts w:hint="eastAsia" w:ascii="仿宋" w:hAnsi="仿宋" w:eastAsia="仿宋" w:cs="仿宋"/>
                <w:color w:val="auto"/>
                <w:w w:val="99"/>
                <w:sz w:val="21"/>
                <w:szCs w:val="21"/>
                <w:highlight w:val="none"/>
                <w:lang w:eastAsia="zh-CN"/>
              </w:rPr>
              <w:t>1.</w:t>
            </w:r>
            <w:r>
              <w:rPr>
                <w:rFonts w:hint="eastAsia" w:ascii="仿宋" w:hAnsi="仿宋" w:eastAsia="仿宋" w:cs="仿宋"/>
                <w:color w:val="auto"/>
                <w:spacing w:val="1"/>
                <w:w w:val="99"/>
                <w:sz w:val="21"/>
                <w:szCs w:val="21"/>
                <w:highlight w:val="none"/>
                <w:lang w:eastAsia="zh-CN"/>
              </w:rPr>
              <w:t>2</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1611"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799" w:type="dxa"/>
            <w:vMerge w:val="restart"/>
            <w:tcBorders>
              <w:top w:val="single" w:color="000000" w:sz="4" w:space="0"/>
              <w:left w:val="single" w:color="000000" w:sz="4" w:space="0"/>
              <w:bottom w:val="single" w:color="000000" w:sz="4" w:space="0"/>
              <w:right w:val="single" w:color="000000" w:sz="4" w:space="0"/>
            </w:tcBorders>
          </w:tcPr>
          <w:p>
            <w:pPr>
              <w:pStyle w:val="30"/>
              <w:spacing w:before="171"/>
              <w:ind w:left="7"/>
              <w:rPr>
                <w:rFonts w:ascii="仿宋" w:hAnsi="仿宋" w:eastAsia="仿宋" w:cs="仿宋"/>
                <w:color w:val="auto"/>
                <w:sz w:val="21"/>
                <w:szCs w:val="21"/>
                <w:highlight w:val="none"/>
                <w:lang w:eastAsia="zh-CN"/>
              </w:rPr>
            </w:pPr>
          </w:p>
          <w:p>
            <w:pPr>
              <w:pStyle w:val="30"/>
              <w:spacing w:before="171"/>
              <w:ind w:left="7"/>
              <w:rPr>
                <w:rFonts w:ascii="仿宋" w:hAnsi="仿宋" w:eastAsia="仿宋" w:cs="仿宋"/>
                <w:color w:val="auto"/>
                <w:sz w:val="21"/>
                <w:szCs w:val="21"/>
                <w:highlight w:val="none"/>
                <w:lang w:eastAsia="zh-CN"/>
              </w:rPr>
            </w:pPr>
          </w:p>
          <w:p>
            <w:pPr>
              <w:pStyle w:val="30"/>
              <w:spacing w:before="171"/>
              <w:ind w:left="7"/>
              <w:rPr>
                <w:rFonts w:ascii="仿宋" w:hAnsi="仿宋" w:eastAsia="仿宋" w:cs="仿宋"/>
                <w:color w:val="auto"/>
                <w:sz w:val="21"/>
                <w:szCs w:val="21"/>
                <w:highlight w:val="none"/>
                <w:lang w:eastAsia="zh-CN"/>
              </w:rPr>
            </w:pPr>
          </w:p>
          <w:p>
            <w:pPr>
              <w:pStyle w:val="30"/>
              <w:spacing w:before="171"/>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61</w:t>
            </w:r>
            <w:r>
              <w:rPr>
                <w:rFonts w:hint="eastAsia" w:ascii="仿宋" w:hAnsi="仿宋" w:eastAsia="仿宋" w:cs="仿宋"/>
                <w:color w:val="auto"/>
                <w:spacing w:val="1"/>
                <w:w w:val="99"/>
                <w:sz w:val="21"/>
                <w:szCs w:val="21"/>
                <w:highlight w:val="none"/>
              </w:rPr>
              <w:t>8</w:t>
            </w:r>
            <w:r>
              <w:rPr>
                <w:rFonts w:hint="eastAsia" w:ascii="仿宋" w:hAnsi="仿宋" w:eastAsia="仿宋" w:cs="仿宋"/>
                <w:color w:val="auto"/>
                <w:w w:val="99"/>
                <w:sz w:val="21"/>
                <w:szCs w:val="21"/>
                <w:highlight w:val="none"/>
              </w:rPr>
              <w:t>0203空调机</w:t>
            </w:r>
          </w:p>
        </w:tc>
        <w:tc>
          <w:tcPr>
            <w:tcW w:w="1896" w:type="dxa"/>
            <w:tcBorders>
              <w:top w:val="single" w:color="000000" w:sz="4" w:space="0"/>
              <w:left w:val="single" w:color="000000" w:sz="4" w:space="0"/>
              <w:bottom w:val="single" w:color="000000" w:sz="4" w:space="0"/>
              <w:right w:val="single" w:color="000000"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12"/>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房间空</w:t>
            </w:r>
            <w:r>
              <w:rPr>
                <w:rFonts w:hint="eastAsia" w:ascii="仿宋" w:hAnsi="仿宋" w:eastAsia="仿宋" w:cs="仿宋"/>
                <w:color w:val="auto"/>
                <w:spacing w:val="2"/>
                <w:w w:val="99"/>
                <w:sz w:val="21"/>
                <w:szCs w:val="21"/>
                <w:highlight w:val="none"/>
              </w:rPr>
              <w:t>气</w:t>
            </w:r>
            <w:r>
              <w:rPr>
                <w:rFonts w:hint="eastAsia" w:ascii="仿宋" w:hAnsi="仿宋" w:eastAsia="仿宋" w:cs="仿宋"/>
                <w:color w:val="auto"/>
                <w:w w:val="99"/>
                <w:sz w:val="21"/>
                <w:szCs w:val="21"/>
                <w:highlight w:val="none"/>
              </w:rPr>
              <w:t>调节器</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4"/>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《转速可控型房间空气</w:t>
            </w:r>
            <w:r>
              <w:rPr>
                <w:rFonts w:hint="eastAsia" w:ascii="仿宋" w:hAnsi="仿宋" w:eastAsia="仿宋" w:cs="仿宋"/>
                <w:color w:val="auto"/>
                <w:spacing w:val="9"/>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节器</w:t>
            </w:r>
            <w:r>
              <w:rPr>
                <w:rFonts w:hint="eastAsia" w:ascii="仿宋" w:hAnsi="仿宋" w:eastAsia="仿宋" w:cs="仿宋"/>
                <w:color w:val="auto"/>
                <w:w w:val="99"/>
                <w:sz w:val="21"/>
                <w:szCs w:val="21"/>
                <w:highlight w:val="none"/>
                <w:lang w:eastAsia="zh-CN"/>
              </w:rPr>
              <w:t>能效限定值及能效等级》（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
                <w:w w:val="99"/>
                <w:sz w:val="21"/>
                <w:szCs w:val="21"/>
                <w:highlight w:val="none"/>
                <w:lang w:eastAsia="zh-CN"/>
              </w:rPr>
              <w:t>214</w:t>
            </w:r>
            <w:r>
              <w:rPr>
                <w:rFonts w:hint="eastAsia" w:ascii="仿宋" w:hAnsi="仿宋" w:eastAsia="仿宋" w:cs="仿宋"/>
                <w:color w:val="auto"/>
                <w:w w:val="99"/>
                <w:sz w:val="21"/>
                <w:szCs w:val="21"/>
                <w:highlight w:val="none"/>
                <w:lang w:eastAsia="zh-CN"/>
              </w:rPr>
              <w:t>55</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20</w:t>
            </w:r>
            <w:r>
              <w:rPr>
                <w:rFonts w:hint="eastAsia" w:ascii="仿宋" w:hAnsi="仿宋" w:eastAsia="仿宋" w:cs="仿宋"/>
                <w:color w:val="auto"/>
                <w:spacing w:val="1"/>
                <w:w w:val="99"/>
                <w:sz w:val="21"/>
                <w:szCs w:val="21"/>
                <w:highlight w:val="none"/>
                <w:lang w:eastAsia="zh-CN"/>
              </w:rPr>
              <w:t>13</w:t>
            </w:r>
            <w:r>
              <w:rPr>
                <w:rFonts w:hint="eastAsia" w:ascii="仿宋" w:hAnsi="仿宋" w:eastAsia="仿宋" w:cs="仿宋"/>
                <w:color w:val="auto"/>
                <w:w w:val="99"/>
                <w:sz w:val="21"/>
                <w:szCs w:val="21"/>
                <w:highlight w:val="none"/>
                <w:lang w:eastAsia="zh-CN"/>
              </w:rPr>
              <w:t>），待</w:t>
            </w:r>
            <w:r>
              <w:rPr>
                <w:rFonts w:hint="eastAsia" w:ascii="仿宋" w:hAnsi="仿宋" w:eastAsia="仿宋" w:cs="仿宋"/>
                <w:color w:val="auto"/>
                <w:spacing w:val="1"/>
                <w:w w:val="99"/>
                <w:sz w:val="21"/>
                <w:szCs w:val="21"/>
                <w:highlight w:val="none"/>
                <w:lang w:eastAsia="zh-CN"/>
              </w:rPr>
              <w:t>20</w:t>
            </w:r>
            <w:r>
              <w:rPr>
                <w:rFonts w:hint="eastAsia" w:ascii="仿宋" w:hAnsi="仿宋" w:eastAsia="仿宋" w:cs="仿宋"/>
                <w:color w:val="auto"/>
                <w:w w:val="99"/>
                <w:sz w:val="21"/>
                <w:szCs w:val="21"/>
                <w:highlight w:val="none"/>
                <w:lang w:eastAsia="zh-CN"/>
              </w:rPr>
              <w:t>19</w:t>
            </w:r>
            <w:r>
              <w:rPr>
                <w:rFonts w:hint="eastAsia" w:ascii="仿宋" w:hAnsi="仿宋" w:eastAsia="仿宋" w:cs="仿宋"/>
                <w:color w:val="auto"/>
                <w:spacing w:val="-3"/>
                <w:w w:val="99"/>
                <w:sz w:val="21"/>
                <w:szCs w:val="21"/>
                <w:highlight w:val="none"/>
                <w:lang w:eastAsia="zh-CN"/>
              </w:rPr>
              <w:t>年</w:t>
            </w:r>
            <w:r>
              <w:rPr>
                <w:rFonts w:hint="eastAsia" w:ascii="仿宋" w:hAnsi="仿宋" w:eastAsia="仿宋" w:cs="仿宋"/>
                <w:color w:val="auto"/>
                <w:w w:val="99"/>
                <w:sz w:val="21"/>
                <w:szCs w:val="21"/>
                <w:highlight w:val="none"/>
                <w:lang w:eastAsia="zh-CN"/>
              </w:rPr>
              <w:t>修订发</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布后</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spacing w:val="-27"/>
                <w:w w:val="99"/>
                <w:sz w:val="21"/>
                <w:szCs w:val="21"/>
                <w:highlight w:val="none"/>
                <w:lang w:eastAsia="zh-CN"/>
              </w:rPr>
              <w:t>按</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房</w:t>
            </w:r>
            <w:r>
              <w:rPr>
                <w:rFonts w:hint="eastAsia" w:ascii="仿宋" w:hAnsi="仿宋" w:eastAsia="仿宋" w:cs="仿宋"/>
                <w:color w:val="auto"/>
                <w:w w:val="99"/>
                <w:sz w:val="21"/>
                <w:szCs w:val="21"/>
                <w:highlight w:val="none"/>
                <w:lang w:eastAsia="zh-CN"/>
              </w:rPr>
              <w:t>间空</w:t>
            </w:r>
            <w:r>
              <w:rPr>
                <w:rFonts w:hint="eastAsia" w:ascii="仿宋" w:hAnsi="仿宋" w:eastAsia="仿宋" w:cs="仿宋"/>
                <w:color w:val="auto"/>
                <w:spacing w:val="2"/>
                <w:w w:val="99"/>
                <w:sz w:val="21"/>
                <w:szCs w:val="21"/>
                <w:highlight w:val="none"/>
                <w:lang w:eastAsia="zh-CN"/>
              </w:rPr>
              <w:t>气</w:t>
            </w:r>
            <w:r>
              <w:rPr>
                <w:rFonts w:hint="eastAsia" w:ascii="仿宋" w:hAnsi="仿宋" w:eastAsia="仿宋" w:cs="仿宋"/>
                <w:color w:val="auto"/>
                <w:w w:val="99"/>
                <w:sz w:val="21"/>
                <w:szCs w:val="21"/>
                <w:highlight w:val="none"/>
                <w:lang w:eastAsia="zh-CN"/>
              </w:rPr>
              <w:t>调节</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能效限</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spacing w:val="-15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GB214</w:t>
            </w:r>
            <w:r>
              <w:rPr>
                <w:rFonts w:hint="eastAsia" w:ascii="仿宋" w:hAnsi="仿宋" w:eastAsia="仿宋" w:cs="仿宋"/>
                <w:color w:val="auto"/>
                <w:w w:val="99"/>
                <w:sz w:val="21"/>
                <w:szCs w:val="21"/>
                <w:highlight w:val="none"/>
                <w:lang w:eastAsia="zh-CN"/>
              </w:rPr>
              <w:t>5</w:t>
            </w:r>
            <w:r>
              <w:rPr>
                <w:rFonts w:hint="eastAsia" w:ascii="仿宋" w:hAnsi="仿宋" w:eastAsia="仿宋" w:cs="仿宋"/>
                <w:color w:val="auto"/>
                <w:spacing w:val="-1"/>
                <w:w w:val="99"/>
                <w:sz w:val="21"/>
                <w:szCs w:val="21"/>
                <w:highlight w:val="none"/>
                <w:lang w:eastAsia="zh-CN"/>
              </w:rPr>
              <w:t>5</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201</w:t>
            </w:r>
            <w:r>
              <w:rPr>
                <w:rFonts w:hint="eastAsia" w:ascii="仿宋" w:hAnsi="仿宋" w:eastAsia="仿宋" w:cs="仿宋"/>
                <w:color w:val="auto"/>
                <w:w w:val="99"/>
                <w:sz w:val="21"/>
                <w:szCs w:val="21"/>
                <w:highlight w:val="none"/>
                <w:lang w:eastAsia="zh-CN"/>
              </w:rPr>
              <w:t>9</w:t>
            </w:r>
          </w:p>
          <w:p>
            <w:pPr>
              <w:pStyle w:val="30"/>
              <w:spacing w:line="256" w:lineRule="exact"/>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实施。</w:t>
            </w:r>
          </w:p>
        </w:tc>
      </w:tr>
      <w:tr>
        <w:tblPrEx>
          <w:tblCellMar>
            <w:top w:w="0" w:type="dxa"/>
            <w:left w:w="0" w:type="dxa"/>
            <w:bottom w:w="0" w:type="dxa"/>
            <w:right w:w="0" w:type="dxa"/>
          </w:tblCellMar>
        </w:tblPrEx>
        <w:trPr>
          <w:trHeight w:val="1333"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lang w:eastAsia="en-US"/>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lang w:eastAsia="en-US"/>
              </w:rPr>
            </w:pPr>
          </w:p>
        </w:tc>
        <w:tc>
          <w:tcPr>
            <w:tcW w:w="1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lang w:eastAsia="en-US"/>
              </w:rPr>
            </w:pPr>
          </w:p>
        </w:tc>
        <w:tc>
          <w:tcPr>
            <w:tcW w:w="1896" w:type="dxa"/>
            <w:tcBorders>
              <w:top w:val="single" w:color="000000" w:sz="4" w:space="0"/>
              <w:left w:val="single" w:color="000000" w:sz="4" w:space="0"/>
              <w:bottom w:val="single" w:color="000000" w:sz="4" w:space="0"/>
              <w:right w:val="single" w:color="000000" w:sz="4" w:space="0"/>
            </w:tcBorders>
          </w:tcPr>
          <w:p>
            <w:pPr>
              <w:pStyle w:val="30"/>
              <w:spacing w:before="4" w:line="280" w:lineRule="auto"/>
              <w:ind w:left="7" w:right="7"/>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多联式空</w:t>
            </w:r>
            <w:r>
              <w:rPr>
                <w:rFonts w:hint="eastAsia" w:ascii="仿宋" w:hAnsi="仿宋" w:eastAsia="仿宋" w:cs="仿宋"/>
                <w:color w:val="auto"/>
                <w:spacing w:val="11"/>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热泵</w:t>
            </w:r>
            <w:r>
              <w:rPr>
                <w:rFonts w:hint="eastAsia" w:ascii="仿宋" w:hAnsi="仿宋" w:eastAsia="仿宋" w:cs="仿宋"/>
                <w:color w:val="auto"/>
                <w:w w:val="99"/>
                <w:sz w:val="21"/>
                <w:szCs w:val="21"/>
                <w:highlight w:val="none"/>
                <w:lang w:eastAsia="zh-CN"/>
              </w:rPr>
              <w:t xml:space="preserve">）机组（制冷量≤ </w:t>
            </w:r>
            <w:r>
              <w:rPr>
                <w:rFonts w:hint="eastAsia" w:ascii="仿宋" w:hAnsi="仿宋" w:eastAsia="仿宋" w:cs="仿宋"/>
                <w:color w:val="auto"/>
                <w:spacing w:val="1"/>
                <w:w w:val="99"/>
                <w:sz w:val="21"/>
                <w:szCs w:val="21"/>
                <w:highlight w:val="none"/>
                <w:lang w:eastAsia="zh-CN"/>
              </w:rPr>
              <w:t>140</w:t>
            </w:r>
            <w:r>
              <w:rPr>
                <w:rFonts w:hint="eastAsia" w:ascii="仿宋" w:hAnsi="仿宋" w:eastAsia="仿宋" w:cs="仿宋"/>
                <w:color w:val="auto"/>
                <w:w w:val="99"/>
                <w:sz w:val="21"/>
                <w:szCs w:val="21"/>
                <w:highlight w:val="none"/>
                <w:lang w:eastAsia="zh-CN"/>
              </w:rPr>
              <w:t>00</w:t>
            </w:r>
            <w:r>
              <w:rPr>
                <w:rFonts w:hint="eastAsia" w:ascii="仿宋" w:hAnsi="仿宋" w:eastAsia="仿宋" w:cs="仿宋"/>
                <w:color w:val="auto"/>
                <w:spacing w:val="1"/>
                <w:w w:val="99"/>
                <w:sz w:val="21"/>
                <w:szCs w:val="21"/>
                <w:highlight w:val="none"/>
                <w:lang w:eastAsia="zh-CN"/>
              </w:rPr>
              <w:t>W</w:t>
            </w:r>
            <w:r>
              <w:rPr>
                <w:rFonts w:hint="eastAsia" w:ascii="仿宋" w:hAnsi="仿宋" w:eastAsia="仿宋" w:cs="仿宋"/>
                <w:color w:val="auto"/>
                <w:w w:val="99"/>
                <w:sz w:val="21"/>
                <w:szCs w:val="21"/>
                <w:highlight w:val="none"/>
                <w:lang w:eastAsia="zh-CN"/>
              </w:rPr>
              <w:t>）</w:t>
            </w: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60"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《多联</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空</w:t>
            </w:r>
            <w:r>
              <w:rPr>
                <w:rFonts w:hint="eastAsia" w:ascii="仿宋" w:hAnsi="仿宋" w:eastAsia="仿宋" w:cs="仿宋"/>
                <w:color w:val="auto"/>
                <w:spacing w:val="-27"/>
                <w:w w:val="99"/>
                <w:sz w:val="21"/>
                <w:szCs w:val="21"/>
                <w:highlight w:val="none"/>
                <w:lang w:eastAsia="zh-CN"/>
              </w:rPr>
              <w:t>调</w:t>
            </w:r>
            <w:r>
              <w:rPr>
                <w:rFonts w:hint="eastAsia" w:ascii="仿宋" w:hAnsi="仿宋" w:eastAsia="仿宋" w:cs="仿宋"/>
                <w:color w:val="auto"/>
                <w:w w:val="99"/>
                <w:sz w:val="21"/>
                <w:szCs w:val="21"/>
                <w:highlight w:val="none"/>
                <w:lang w:eastAsia="zh-CN"/>
              </w:rPr>
              <w:t>（热</w:t>
            </w:r>
            <w:r>
              <w:rPr>
                <w:rFonts w:hint="eastAsia" w:ascii="仿宋" w:hAnsi="仿宋" w:eastAsia="仿宋" w:cs="仿宋"/>
                <w:color w:val="auto"/>
                <w:spacing w:val="2"/>
                <w:w w:val="99"/>
                <w:sz w:val="21"/>
                <w:szCs w:val="21"/>
                <w:highlight w:val="none"/>
                <w:lang w:eastAsia="zh-CN"/>
              </w:rPr>
              <w:t>泵</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w w:val="99"/>
                <w:sz w:val="21"/>
                <w:szCs w:val="21"/>
                <w:highlight w:val="none"/>
                <w:lang w:eastAsia="zh-CN"/>
              </w:rPr>
              <w:t>机</w:t>
            </w:r>
            <w:r>
              <w:rPr>
                <w:rFonts w:hint="eastAsia" w:ascii="仿宋" w:hAnsi="仿宋" w:eastAsia="仿宋" w:cs="仿宋"/>
                <w:color w:val="auto"/>
                <w:spacing w:val="2"/>
                <w:w w:val="99"/>
                <w:sz w:val="21"/>
                <w:szCs w:val="21"/>
                <w:highlight w:val="none"/>
                <w:lang w:eastAsia="zh-CN"/>
              </w:rPr>
              <w:t>组</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源效</w:t>
            </w:r>
            <w:r>
              <w:rPr>
                <w:rFonts w:hint="eastAsia" w:ascii="仿宋" w:hAnsi="仿宋" w:eastAsia="仿宋" w:cs="仿宋"/>
                <w:color w:val="auto"/>
                <w:spacing w:val="2"/>
                <w:w w:val="99"/>
                <w:sz w:val="21"/>
                <w:szCs w:val="21"/>
                <w:highlight w:val="none"/>
                <w:lang w:eastAsia="zh-CN"/>
              </w:rPr>
              <w:t>率</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2145</w:t>
            </w:r>
            <w:r>
              <w:rPr>
                <w:rFonts w:hint="eastAsia" w:ascii="仿宋" w:hAnsi="仿宋" w:eastAsia="仿宋" w:cs="仿宋"/>
                <w:color w:val="auto"/>
                <w:w w:val="99"/>
                <w:sz w:val="21"/>
                <w:szCs w:val="21"/>
                <w:highlight w:val="none"/>
                <w:lang w:eastAsia="zh-CN"/>
              </w:rPr>
              <w:t>4）</w:t>
            </w:r>
          </w:p>
        </w:tc>
      </w:tr>
      <w:tr>
        <w:tblPrEx>
          <w:tblCellMar>
            <w:top w:w="0" w:type="dxa"/>
            <w:left w:w="0" w:type="dxa"/>
            <w:bottom w:w="0" w:type="dxa"/>
            <w:right w:w="0" w:type="dxa"/>
          </w:tblCellMar>
        </w:tblPrEx>
        <w:trPr>
          <w:trHeight w:val="1101"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896" w:type="dxa"/>
            <w:tcBorders>
              <w:top w:val="single" w:color="000000" w:sz="4" w:space="0"/>
              <w:left w:val="single" w:color="000000" w:sz="4" w:space="0"/>
              <w:bottom w:val="single" w:color="000000" w:sz="4" w:space="0"/>
              <w:right w:val="single" w:color="000000" w:sz="4" w:space="0"/>
            </w:tcBorders>
          </w:tcPr>
          <w:p>
            <w:pPr>
              <w:pStyle w:val="30"/>
              <w:spacing w:before="2"/>
              <w:rPr>
                <w:rFonts w:ascii="仿宋" w:hAnsi="仿宋" w:eastAsia="仿宋" w:cs="仿宋"/>
                <w:color w:val="auto"/>
                <w:sz w:val="21"/>
                <w:szCs w:val="21"/>
                <w:highlight w:val="none"/>
                <w:lang w:eastAsia="zh-CN"/>
              </w:rPr>
            </w:pPr>
          </w:p>
          <w:p>
            <w:pPr>
              <w:pStyle w:val="30"/>
              <w:ind w:left="7"/>
              <w:rPr>
                <w:rFonts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单元式空气调节机</w:t>
            </w:r>
          </w:p>
          <w:p>
            <w:pPr>
              <w:pStyle w:val="30"/>
              <w:spacing w:line="256" w:lineRule="exact"/>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制冷量≤</w:t>
            </w:r>
            <w:r>
              <w:rPr>
                <w:rFonts w:hint="eastAsia" w:ascii="仿宋" w:hAnsi="仿宋" w:eastAsia="仿宋" w:cs="仿宋"/>
                <w:color w:val="auto"/>
                <w:spacing w:val="1"/>
                <w:w w:val="99"/>
                <w:sz w:val="21"/>
                <w:szCs w:val="21"/>
                <w:highlight w:val="none"/>
                <w:lang w:eastAsia="zh-CN"/>
              </w:rPr>
              <w:t>14000W</w:t>
            </w:r>
            <w:r>
              <w:rPr>
                <w:rFonts w:hint="eastAsia" w:ascii="仿宋" w:hAnsi="仿宋" w:eastAsia="仿宋" w:cs="仿宋"/>
                <w:color w:val="auto"/>
                <w:w w:val="99"/>
                <w:sz w:val="21"/>
                <w:szCs w:val="21"/>
                <w:highlight w:val="none"/>
                <w:lang w:eastAsia="zh-CN"/>
              </w:rPr>
              <w:t>)</w:t>
            </w:r>
          </w:p>
        </w:tc>
        <w:tc>
          <w:tcPr>
            <w:tcW w:w="3000" w:type="dxa"/>
            <w:tcBorders>
              <w:top w:val="single" w:color="000000" w:sz="4" w:space="0"/>
              <w:left w:val="single" w:color="000000" w:sz="4" w:space="0"/>
              <w:right w:val="single" w:color="000000" w:sz="4" w:space="0"/>
            </w:tcBorders>
          </w:tcPr>
          <w:p>
            <w:pPr>
              <w:pStyle w:val="30"/>
              <w:spacing w:before="4"/>
              <w:ind w:left="7"/>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值及能源</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spacing w:val="-104"/>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3"/>
                <w:w w:val="99"/>
                <w:sz w:val="21"/>
                <w:szCs w:val="21"/>
                <w:highlight w:val="none"/>
                <w:lang w:eastAsia="zh-CN"/>
              </w:rPr>
              <w:t>6</w:t>
            </w:r>
            <w:r>
              <w:rPr>
                <w:rFonts w:hint="eastAsia" w:ascii="仿宋" w:hAnsi="仿宋" w:eastAsia="仿宋" w:cs="仿宋"/>
                <w:color w:val="auto"/>
                <w:spacing w:val="-104"/>
                <w:w w:val="99"/>
                <w:sz w:val="21"/>
                <w:szCs w:val="21"/>
                <w:highlight w:val="none"/>
                <w:lang w:eastAsia="zh-CN"/>
              </w:rPr>
              <w:t>）</w:t>
            </w:r>
            <w:r>
              <w:rPr>
                <w:rFonts w:hint="eastAsia" w:ascii="仿宋" w:hAnsi="仿宋" w:eastAsia="仿宋" w:cs="仿宋"/>
                <w:color w:val="auto"/>
                <w:w w:val="99"/>
                <w:sz w:val="21"/>
                <w:szCs w:val="21"/>
                <w:highlight w:val="none"/>
                <w:lang w:eastAsia="zh-CN"/>
              </w:rPr>
              <w:t>《风</w:t>
            </w:r>
            <w:r>
              <w:rPr>
                <w:rFonts w:hint="eastAsia" w:ascii="仿宋" w:hAnsi="仿宋" w:eastAsia="仿宋" w:cs="仿宋"/>
                <w:color w:val="auto"/>
                <w:spacing w:val="12"/>
                <w:w w:val="99"/>
                <w:sz w:val="21"/>
                <w:szCs w:val="21"/>
                <w:highlight w:val="none"/>
                <w:lang w:eastAsia="zh-CN"/>
              </w:rPr>
              <w:t>管送风式空调机组能效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374</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1"/>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688"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kern w:val="0"/>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pStyle w:val="30"/>
              <w:spacing w:before="162"/>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01洗衣机</w:t>
            </w: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6"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《电动洗衣机能效水效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1202</w:t>
            </w:r>
            <w:r>
              <w:rPr>
                <w:rFonts w:hint="eastAsia" w:ascii="仿宋" w:hAnsi="仿宋" w:eastAsia="仿宋" w:cs="仿宋"/>
                <w:color w:val="auto"/>
                <w:w w:val="99"/>
                <w:sz w:val="21"/>
                <w:szCs w:val="21"/>
                <w:highlight w:val="none"/>
                <w:lang w:eastAsia="zh-CN"/>
              </w:rPr>
              <w:t>1.</w:t>
            </w:r>
            <w:r>
              <w:rPr>
                <w:rFonts w:hint="eastAsia" w:ascii="仿宋" w:hAnsi="仿宋" w:eastAsia="仿宋" w:cs="仿宋"/>
                <w:color w:val="auto"/>
                <w:spacing w:val="1"/>
                <w:w w:val="99"/>
                <w:sz w:val="21"/>
                <w:szCs w:val="21"/>
                <w:highlight w:val="none"/>
                <w:lang w:eastAsia="zh-CN"/>
              </w:rPr>
              <w:t>4</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6" w:type="dxa"/>
            <w:vMerge w:val="continue"/>
            <w:tcBorders>
              <w:left w:val="single" w:color="000000" w:sz="4" w:space="0"/>
              <w:right w:val="single" w:color="000000" w:sz="4" w:space="0"/>
            </w:tcBorders>
          </w:tcPr>
          <w:p>
            <w:pPr>
              <w:rPr>
                <w:rFonts w:ascii="仿宋" w:hAnsi="仿宋" w:eastAsia="仿宋" w:cs="仿宋"/>
                <w:color w:val="auto"/>
                <w:szCs w:val="21"/>
                <w:highlight w:val="none"/>
              </w:rPr>
            </w:pPr>
          </w:p>
        </w:tc>
        <w:tc>
          <w:tcPr>
            <w:tcW w:w="1160" w:type="dxa"/>
            <w:vMerge w:val="continue"/>
            <w:tcBorders>
              <w:left w:val="single" w:color="000000" w:sz="4" w:space="0"/>
              <w:right w:val="single" w:color="000000" w:sz="4" w:space="0"/>
            </w:tcBorders>
          </w:tcPr>
          <w:p>
            <w:pPr>
              <w:rPr>
                <w:rFonts w:ascii="仿宋" w:hAnsi="仿宋" w:eastAsia="仿宋" w:cs="仿宋"/>
                <w:color w:val="auto"/>
                <w:szCs w:val="21"/>
                <w:highlight w:val="none"/>
              </w:rP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pStyle w:val="30"/>
              <w:spacing w:before="161"/>
              <w:ind w:left="7"/>
              <w:jc w:val="both"/>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808热水器</w:t>
            </w:r>
          </w:p>
        </w:tc>
        <w:tc>
          <w:tcPr>
            <w:tcW w:w="1896" w:type="dxa"/>
            <w:tcBorders>
              <w:top w:val="single" w:color="auto" w:sz="4" w:space="0"/>
              <w:left w:val="single" w:color="auto" w:sz="4" w:space="0"/>
              <w:bottom w:val="single" w:color="auto" w:sz="4" w:space="0"/>
              <w:right w:val="single" w:color="auto" w:sz="4" w:space="0"/>
            </w:tcBorders>
          </w:tcPr>
          <w:p>
            <w:pPr>
              <w:pStyle w:val="30"/>
              <w:spacing w:before="12"/>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★电热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3000" w:type="dxa"/>
            <w:tcBorders>
              <w:top w:val="single" w:color="auto" w:sz="4" w:space="0"/>
              <w:left w:val="single" w:color="auto" w:sz="4" w:space="0"/>
              <w:bottom w:val="single" w:color="auto" w:sz="4" w:space="0"/>
              <w:right w:val="single" w:color="auto" w:sz="4" w:space="0"/>
            </w:tcBorders>
          </w:tcPr>
          <w:p>
            <w:pPr>
              <w:pStyle w:val="30"/>
              <w:tabs>
                <w:tab w:val="left" w:pos="1608"/>
              </w:tabs>
              <w:spacing w:before="52"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《储水式电热水器能效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51</w:t>
            </w:r>
            <w:r>
              <w:rPr>
                <w:rFonts w:hint="eastAsia" w:ascii="仿宋" w:hAnsi="仿宋" w:eastAsia="仿宋" w:cs="仿宋"/>
                <w:color w:val="auto"/>
                <w:spacing w:val="1"/>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szCs w:val="21"/>
                <w:highlight w:val="none"/>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0"/>
              <w:spacing w:before="2"/>
              <w:rPr>
                <w:rFonts w:ascii="仿宋" w:hAnsi="仿宋" w:eastAsia="仿宋" w:cs="仿宋"/>
                <w:color w:val="auto"/>
                <w:sz w:val="21"/>
                <w:szCs w:val="21"/>
                <w:highlight w:val="none"/>
                <w:lang w:eastAsia="zh-CN"/>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燃气热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3000" w:type="dxa"/>
            <w:tcBorders>
              <w:top w:val="single" w:color="auto" w:sz="4" w:space="0"/>
              <w:left w:val="single" w:color="auto" w:sz="4" w:space="0"/>
              <w:bottom w:val="single" w:color="auto" w:sz="4" w:space="0"/>
              <w:right w:val="single" w:color="auto" w:sz="4" w:space="0"/>
            </w:tcBorders>
          </w:tcPr>
          <w:p>
            <w:pPr>
              <w:pStyle w:val="30"/>
              <w:spacing w:before="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《家用燃气快速热水器</w:t>
            </w:r>
            <w:r>
              <w:rPr>
                <w:rFonts w:hint="eastAsia" w:ascii="仿宋" w:hAnsi="仿宋" w:eastAsia="仿宋" w:cs="仿宋"/>
                <w:color w:val="auto"/>
                <w:spacing w:val="9"/>
                <w:w w:val="99"/>
                <w:sz w:val="21"/>
                <w:szCs w:val="21"/>
                <w:highlight w:val="none"/>
                <w:lang w:eastAsia="zh-CN"/>
              </w:rPr>
              <w:t>和</w:t>
            </w:r>
            <w:r>
              <w:rPr>
                <w:rFonts w:hint="eastAsia" w:ascii="仿宋" w:hAnsi="仿宋" w:eastAsia="仿宋" w:cs="仿宋"/>
                <w:color w:val="auto"/>
                <w:spacing w:val="12"/>
                <w:w w:val="99"/>
                <w:sz w:val="21"/>
                <w:szCs w:val="21"/>
                <w:highlight w:val="none"/>
                <w:lang w:eastAsia="zh-CN"/>
              </w:rPr>
              <w:t>燃气</w:t>
            </w:r>
            <w:r>
              <w:rPr>
                <w:rFonts w:hint="eastAsia" w:ascii="仿宋" w:hAnsi="仿宋" w:eastAsia="仿宋" w:cs="仿宋"/>
                <w:color w:val="auto"/>
                <w:w w:val="99"/>
                <w:sz w:val="21"/>
                <w:szCs w:val="21"/>
                <w:highlight w:val="none"/>
                <w:lang w:eastAsia="zh-CN"/>
              </w:rPr>
              <w:t>采暖热水</w:t>
            </w:r>
            <w:r>
              <w:rPr>
                <w:rFonts w:hint="eastAsia" w:ascii="仿宋" w:hAnsi="仿宋" w:eastAsia="仿宋" w:cs="仿宋"/>
                <w:color w:val="auto"/>
                <w:spacing w:val="2"/>
                <w:w w:val="99"/>
                <w:sz w:val="21"/>
                <w:szCs w:val="21"/>
                <w:highlight w:val="none"/>
                <w:lang w:eastAsia="zh-CN"/>
              </w:rPr>
              <w:t>炉</w:t>
            </w:r>
            <w:r>
              <w:rPr>
                <w:rFonts w:hint="eastAsia" w:ascii="仿宋" w:hAnsi="仿宋" w:eastAsia="仿宋" w:cs="仿宋"/>
                <w:color w:val="auto"/>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w:t>
            </w:r>
            <w:r>
              <w:rPr>
                <w:rFonts w:hint="eastAsia" w:ascii="仿宋" w:hAnsi="仿宋" w:eastAsia="仿宋" w:cs="仿宋"/>
                <w:color w:val="auto"/>
                <w:spacing w:val="2"/>
                <w:w w:val="99"/>
                <w:sz w:val="21"/>
                <w:szCs w:val="21"/>
                <w:highlight w:val="none"/>
                <w:lang w:eastAsia="zh-CN"/>
              </w:rPr>
              <w:t>及</w:t>
            </w:r>
            <w:r>
              <w:rPr>
                <w:rFonts w:hint="eastAsia" w:ascii="仿宋" w:hAnsi="仿宋" w:eastAsia="仿宋" w:cs="仿宋"/>
                <w:color w:val="auto"/>
                <w:w w:val="99"/>
                <w:sz w:val="21"/>
                <w:szCs w:val="21"/>
                <w:highlight w:val="none"/>
                <w:lang w:eastAsia="zh-CN"/>
              </w:rPr>
              <w:t>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p>
          <w:p>
            <w:pPr>
              <w:pStyle w:val="30"/>
              <w:spacing w:before="12"/>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65</w:t>
            </w:r>
            <w:r>
              <w:rPr>
                <w:rFonts w:hint="eastAsia" w:ascii="仿宋" w:hAnsi="仿宋" w:eastAsia="仿宋" w:cs="仿宋"/>
                <w:color w:val="auto"/>
                <w:w w:val="99"/>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6"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szCs w:val="21"/>
                <w:highlight w:val="none"/>
                <w:lang w:eastAsia="en-US"/>
              </w:rPr>
            </w:pPr>
          </w:p>
        </w:tc>
        <w:tc>
          <w:tcPr>
            <w:tcW w:w="1160" w:type="dxa"/>
            <w:vMerge w:val="continue"/>
            <w:tcBorders>
              <w:left w:val="single" w:color="000000" w:sz="4" w:space="0"/>
              <w:right w:val="single" w:color="000000" w:sz="4" w:space="0"/>
            </w:tcBorders>
            <w:vAlign w:val="center"/>
          </w:tcPr>
          <w:p>
            <w:pPr>
              <w:widowControl/>
              <w:jc w:val="left"/>
              <w:rPr>
                <w:rFonts w:ascii="仿宋" w:hAnsi="仿宋" w:eastAsia="仿宋" w:cs="仿宋"/>
                <w:color w:val="auto"/>
                <w:szCs w:val="21"/>
                <w:highlight w:val="none"/>
                <w:lang w:eastAsia="en-US"/>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lang w:eastAsia="en-US"/>
              </w:rPr>
            </w:pPr>
          </w:p>
        </w:tc>
        <w:tc>
          <w:tcPr>
            <w:tcW w:w="1896" w:type="dxa"/>
            <w:tcBorders>
              <w:top w:val="single" w:color="auto" w:sz="4" w:space="0"/>
              <w:left w:val="single" w:color="auto" w:sz="4" w:space="0"/>
              <w:bottom w:val="single" w:color="auto" w:sz="4" w:space="0"/>
              <w:right w:val="single" w:color="auto" w:sz="4" w:space="0"/>
            </w:tcBorders>
          </w:tcPr>
          <w:p>
            <w:pPr>
              <w:pStyle w:val="30"/>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热泵热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3000" w:type="dxa"/>
            <w:tcBorders>
              <w:top w:val="single" w:color="auto" w:sz="4" w:space="0"/>
              <w:left w:val="single" w:color="auto" w:sz="4" w:space="0"/>
              <w:bottom w:val="single" w:color="auto" w:sz="4" w:space="0"/>
              <w:right w:val="single" w:color="auto" w:sz="4" w:space="0"/>
            </w:tcBorders>
          </w:tcPr>
          <w:p>
            <w:pPr>
              <w:pStyle w:val="30"/>
              <w:spacing w:before="93"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《热泵</w:t>
            </w:r>
            <w:r>
              <w:rPr>
                <w:rFonts w:hint="eastAsia" w:ascii="仿宋" w:hAnsi="仿宋" w:eastAsia="仿宋" w:cs="仿宋"/>
                <w:color w:val="auto"/>
                <w:spacing w:val="2"/>
                <w:w w:val="99"/>
                <w:sz w:val="21"/>
                <w:szCs w:val="21"/>
                <w:highlight w:val="none"/>
                <w:lang w:eastAsia="zh-CN"/>
              </w:rPr>
              <w:t>热</w:t>
            </w:r>
            <w:r>
              <w:rPr>
                <w:rFonts w:hint="eastAsia" w:ascii="仿宋" w:hAnsi="仿宋" w:eastAsia="仿宋" w:cs="仿宋"/>
                <w:color w:val="auto"/>
                <w:w w:val="99"/>
                <w:sz w:val="21"/>
                <w:szCs w:val="21"/>
                <w:highlight w:val="none"/>
                <w:lang w:eastAsia="zh-CN"/>
              </w:rPr>
              <w:t>水</w:t>
            </w:r>
            <w:r>
              <w:rPr>
                <w:rFonts w:hint="eastAsia" w:ascii="仿宋" w:hAnsi="仿宋" w:eastAsia="仿宋" w:cs="仿宋"/>
                <w:color w:val="auto"/>
                <w:spacing w:val="-27"/>
                <w:w w:val="99"/>
                <w:sz w:val="21"/>
                <w:szCs w:val="21"/>
                <w:highlight w:val="none"/>
                <w:lang w:eastAsia="zh-CN"/>
              </w:rPr>
              <w:t>机</w:t>
            </w:r>
            <w:r>
              <w:rPr>
                <w:rFonts w:hint="eastAsia" w:ascii="仿宋" w:hAnsi="仿宋" w:eastAsia="仿宋" w:cs="仿宋"/>
                <w:color w:val="auto"/>
                <w:w w:val="99"/>
                <w:sz w:val="21"/>
                <w:szCs w:val="21"/>
                <w:highlight w:val="none"/>
                <w:lang w:eastAsia="zh-CN"/>
              </w:rPr>
              <w:t>（器</w:t>
            </w:r>
            <w:r>
              <w:rPr>
                <w:rFonts w:hint="eastAsia" w:ascii="仿宋" w:hAnsi="仿宋" w:eastAsia="仿宋" w:cs="仿宋"/>
                <w:color w:val="auto"/>
                <w:spacing w:val="-27"/>
                <w:w w:val="99"/>
                <w:sz w:val="21"/>
                <w:szCs w:val="21"/>
                <w:highlight w:val="none"/>
                <w:lang w:eastAsia="zh-CN"/>
              </w:rPr>
              <w:t>）</w:t>
            </w:r>
            <w:r>
              <w:rPr>
                <w:rFonts w:hint="eastAsia" w:ascii="仿宋" w:hAnsi="仿宋" w:eastAsia="仿宋" w:cs="仿宋"/>
                <w:color w:val="auto"/>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295</w:t>
            </w:r>
            <w:r>
              <w:rPr>
                <w:rFonts w:hint="eastAsia" w:ascii="仿宋" w:hAnsi="仿宋" w:eastAsia="仿宋" w:cs="仿宋"/>
                <w:color w:val="auto"/>
                <w:w w:val="99"/>
                <w:sz w:val="21"/>
                <w:szCs w:val="21"/>
                <w:highlight w:val="none"/>
                <w:lang w:eastAsia="zh-CN"/>
              </w:rPr>
              <w:t>4</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6" w:type="dxa"/>
            <w:vMerge w:val="continue"/>
            <w:tcBorders>
              <w:left w:val="single" w:color="000000" w:sz="4" w:space="0"/>
              <w:bottom w:val="single" w:color="auto" w:sz="4" w:space="0"/>
              <w:right w:val="single" w:color="000000" w:sz="4" w:space="0"/>
            </w:tcBorders>
            <w:vAlign w:val="center"/>
          </w:tcPr>
          <w:p>
            <w:pPr>
              <w:widowControl/>
              <w:jc w:val="left"/>
              <w:rPr>
                <w:rFonts w:ascii="新宋体" w:hAnsi="新宋体" w:eastAsia="新宋体" w:cs="新宋体"/>
                <w:color w:val="auto"/>
                <w:szCs w:val="21"/>
                <w:highlight w:val="none"/>
              </w:rPr>
            </w:pPr>
          </w:p>
        </w:tc>
        <w:tc>
          <w:tcPr>
            <w:tcW w:w="1160" w:type="dxa"/>
            <w:vMerge w:val="continue"/>
            <w:tcBorders>
              <w:left w:val="single" w:color="000000" w:sz="4" w:space="0"/>
              <w:bottom w:val="single" w:color="auto" w:sz="4" w:space="0"/>
              <w:right w:val="single" w:color="000000" w:sz="4" w:space="0"/>
            </w:tcBorders>
            <w:vAlign w:val="center"/>
          </w:tcPr>
          <w:p>
            <w:pPr>
              <w:widowControl/>
              <w:jc w:val="left"/>
              <w:rPr>
                <w:rFonts w:ascii="新宋体" w:hAnsi="新宋体" w:eastAsia="新宋体" w:cs="新宋体"/>
                <w:color w:val="auto"/>
                <w:szCs w:val="21"/>
                <w:highlight w:val="none"/>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0"/>
              <w:spacing w:before="12"/>
              <w:rPr>
                <w:rFonts w:ascii="新宋体" w:hAnsi="新宋体" w:eastAsia="新宋体" w:cs="新宋体"/>
                <w:color w:val="auto"/>
                <w:sz w:val="21"/>
                <w:szCs w:val="21"/>
                <w:highlight w:val="none"/>
                <w:lang w:eastAsia="zh-CN"/>
              </w:rPr>
            </w:pPr>
          </w:p>
          <w:p>
            <w:pPr>
              <w:pStyle w:val="30"/>
              <w:ind w:left="7"/>
              <w:rPr>
                <w:rFonts w:ascii="新宋体" w:hAnsi="新宋体" w:eastAsia="新宋体" w:cs="新宋体"/>
                <w:color w:val="auto"/>
                <w:sz w:val="21"/>
                <w:szCs w:val="21"/>
                <w:highlight w:val="none"/>
              </w:rPr>
            </w:pPr>
            <w:r>
              <w:rPr>
                <w:rFonts w:hint="eastAsia" w:ascii="仿宋" w:hAnsi="仿宋" w:eastAsia="仿宋" w:cs="仿宋"/>
                <w:color w:val="auto"/>
                <w:w w:val="99"/>
                <w:sz w:val="21"/>
                <w:szCs w:val="21"/>
                <w:highlight w:val="none"/>
              </w:rPr>
              <w:t>太阳能</w:t>
            </w:r>
            <w:r>
              <w:rPr>
                <w:rFonts w:hint="eastAsia" w:ascii="仿宋" w:hAnsi="仿宋" w:eastAsia="仿宋" w:cs="仿宋"/>
                <w:color w:val="auto"/>
                <w:spacing w:val="2"/>
                <w:w w:val="99"/>
                <w:sz w:val="21"/>
                <w:szCs w:val="21"/>
                <w:highlight w:val="none"/>
              </w:rPr>
              <w:t>热</w:t>
            </w:r>
            <w:r>
              <w:rPr>
                <w:rFonts w:hint="eastAsia" w:ascii="仿宋" w:hAnsi="仿宋" w:eastAsia="仿宋" w:cs="仿宋"/>
                <w:color w:val="auto"/>
                <w:w w:val="99"/>
                <w:sz w:val="21"/>
                <w:szCs w:val="21"/>
                <w:highlight w:val="none"/>
              </w:rPr>
              <w:t>水系统</w:t>
            </w:r>
          </w:p>
        </w:tc>
        <w:tc>
          <w:tcPr>
            <w:tcW w:w="3000" w:type="dxa"/>
            <w:tcBorders>
              <w:top w:val="single" w:color="auto" w:sz="4" w:space="0"/>
              <w:left w:val="single" w:color="auto" w:sz="4" w:space="0"/>
              <w:bottom w:val="single" w:color="auto" w:sz="4" w:space="0"/>
              <w:right w:val="single" w:color="auto" w:sz="4" w:space="0"/>
            </w:tcBorders>
          </w:tcPr>
          <w:p>
            <w:pPr>
              <w:pStyle w:val="30"/>
              <w:spacing w:before="52" w:line="280" w:lineRule="auto"/>
              <w:ind w:left="7" w:right="4"/>
              <w:rPr>
                <w:rFonts w:ascii="新宋体" w:hAnsi="新宋体" w:eastAsia="新宋体" w:cs="新宋体"/>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《家用太阳能热水系统</w:t>
            </w:r>
            <w:r>
              <w:rPr>
                <w:rFonts w:hint="eastAsia" w:ascii="仿宋" w:hAnsi="仿宋" w:eastAsia="仿宋" w:cs="仿宋"/>
                <w:color w:val="auto"/>
                <w:spacing w:val="9"/>
                <w:w w:val="99"/>
                <w:sz w:val="21"/>
                <w:szCs w:val="21"/>
                <w:highlight w:val="none"/>
                <w:lang w:eastAsia="zh-CN"/>
              </w:rPr>
              <w:t>能</w:t>
            </w:r>
            <w:r>
              <w:rPr>
                <w:rFonts w:hint="eastAsia" w:ascii="仿宋" w:hAnsi="仿宋" w:eastAsia="仿宋" w:cs="仿宋"/>
                <w:color w:val="auto"/>
                <w:spacing w:val="12"/>
                <w:w w:val="99"/>
                <w:sz w:val="21"/>
                <w:szCs w:val="21"/>
                <w:highlight w:val="none"/>
                <w:lang w:eastAsia="zh-CN"/>
              </w:rPr>
              <w:t>效限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26</w:t>
            </w:r>
            <w:r>
              <w:rPr>
                <w:rFonts w:hint="eastAsia" w:ascii="仿宋" w:hAnsi="仿宋" w:eastAsia="仿宋" w:cs="仿宋"/>
                <w:color w:val="auto"/>
                <w:w w:val="99"/>
                <w:sz w:val="21"/>
                <w:szCs w:val="21"/>
                <w:highlight w:val="none"/>
                <w:lang w:eastAsia="zh-CN"/>
              </w:rPr>
              <w:t>96</w:t>
            </w:r>
            <w:r>
              <w:rPr>
                <w:rFonts w:hint="eastAsia" w:ascii="仿宋" w:hAnsi="仿宋" w:eastAsia="仿宋" w:cs="仿宋"/>
                <w:color w:val="auto"/>
                <w:spacing w:val="-2"/>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6" w:type="dxa"/>
            <w:vMerge w:val="restart"/>
            <w:tcBorders>
              <w:top w:val="single" w:color="auto" w:sz="4" w:space="0"/>
              <w:left w:val="single" w:color="auto" w:sz="4" w:space="0"/>
              <w:bottom w:val="single" w:color="auto" w:sz="4" w:space="0"/>
              <w:right w:val="single" w:color="auto" w:sz="4" w:space="0"/>
            </w:tcBorders>
          </w:tcPr>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spacing w:before="12"/>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pacing w:val="1"/>
                <w:w w:val="99"/>
                <w:sz w:val="21"/>
                <w:szCs w:val="21"/>
                <w:highlight w:val="none"/>
              </w:rPr>
              <w:t>1</w:t>
            </w:r>
            <w:r>
              <w:rPr>
                <w:rFonts w:hint="eastAsia" w:ascii="新宋体" w:hAnsi="新宋体" w:eastAsia="新宋体" w:cs="新宋体"/>
                <w:color w:val="auto"/>
                <w:w w:val="99"/>
                <w:sz w:val="21"/>
                <w:szCs w:val="21"/>
                <w:highlight w:val="none"/>
              </w:rPr>
              <w:t>1</w:t>
            </w:r>
          </w:p>
        </w:tc>
        <w:tc>
          <w:tcPr>
            <w:tcW w:w="1160" w:type="dxa"/>
            <w:vMerge w:val="restart"/>
            <w:tcBorders>
              <w:top w:val="single" w:color="auto" w:sz="4" w:space="0"/>
              <w:left w:val="single" w:color="auto" w:sz="4" w:space="0"/>
              <w:bottom w:val="single" w:color="auto" w:sz="4" w:space="0"/>
              <w:right w:val="single" w:color="auto" w:sz="4" w:space="0"/>
            </w:tcBorders>
            <w:vAlign w:val="center"/>
          </w:tcPr>
          <w:p>
            <w:pPr>
              <w:pStyle w:val="30"/>
              <w:spacing w:before="157"/>
              <w:ind w:left="7"/>
              <w:jc w:val="both"/>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9照明设备</w:t>
            </w:r>
          </w:p>
        </w:tc>
        <w:tc>
          <w:tcPr>
            <w:tcW w:w="1799" w:type="dxa"/>
            <w:tcBorders>
              <w:top w:val="single" w:color="auto" w:sz="4" w:space="0"/>
              <w:left w:val="single" w:color="auto" w:sz="4" w:space="0"/>
              <w:bottom w:val="single" w:color="auto" w:sz="4" w:space="0"/>
              <w:right w:val="single" w:color="auto" w:sz="4" w:space="0"/>
            </w:tcBorders>
          </w:tcPr>
          <w:p>
            <w:pPr>
              <w:pStyle w:val="30"/>
              <w:spacing w:before="133"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4"/>
                <w:w w:val="99"/>
                <w:sz w:val="21"/>
                <w:szCs w:val="21"/>
                <w:highlight w:val="none"/>
                <w:lang w:eastAsia="zh-CN"/>
              </w:rPr>
              <w:t>普</w:t>
            </w:r>
            <w:r>
              <w:rPr>
                <w:rFonts w:hint="eastAsia" w:ascii="仿宋" w:hAnsi="仿宋" w:eastAsia="仿宋" w:cs="仿宋"/>
                <w:color w:val="auto"/>
                <w:w w:val="99"/>
                <w:sz w:val="21"/>
                <w:szCs w:val="21"/>
                <w:highlight w:val="none"/>
                <w:lang w:eastAsia="zh-CN"/>
              </w:rPr>
              <w:t>通照明用</w:t>
            </w:r>
            <w:r>
              <w:rPr>
                <w:rFonts w:hint="eastAsia" w:ascii="仿宋" w:hAnsi="仿宋" w:eastAsia="仿宋" w:cs="仿宋"/>
                <w:color w:val="auto"/>
                <w:spacing w:val="24"/>
                <w:w w:val="99"/>
                <w:sz w:val="21"/>
                <w:szCs w:val="21"/>
                <w:highlight w:val="none"/>
                <w:lang w:eastAsia="zh-CN"/>
              </w:rPr>
              <w:t>双</w:t>
            </w:r>
            <w:r>
              <w:rPr>
                <w:rFonts w:hint="eastAsia" w:ascii="仿宋" w:hAnsi="仿宋" w:eastAsia="仿宋" w:cs="仿宋"/>
                <w:color w:val="auto"/>
                <w:w w:val="99"/>
                <w:sz w:val="21"/>
                <w:szCs w:val="21"/>
                <w:highlight w:val="none"/>
                <w:lang w:eastAsia="zh-CN"/>
              </w:rPr>
              <w:t>端荧光灯</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133"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《普通照明用双端荧光</w:t>
            </w:r>
            <w:r>
              <w:rPr>
                <w:rFonts w:hint="eastAsia" w:ascii="仿宋" w:hAnsi="仿宋" w:eastAsia="仿宋" w:cs="仿宋"/>
                <w:color w:val="auto"/>
                <w:spacing w:val="9"/>
                <w:w w:val="99"/>
                <w:sz w:val="21"/>
                <w:szCs w:val="21"/>
                <w:highlight w:val="none"/>
                <w:lang w:eastAsia="zh-CN"/>
              </w:rPr>
              <w:t>灯</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w:t>
            </w:r>
            <w:r>
              <w:rPr>
                <w:rFonts w:hint="eastAsia" w:ascii="仿宋" w:hAnsi="仿宋" w:eastAsia="仿宋" w:cs="仿宋"/>
                <w:color w:val="auto"/>
                <w:w w:val="99"/>
                <w:sz w:val="21"/>
                <w:szCs w:val="21"/>
                <w:highlight w:val="none"/>
                <w:lang w:eastAsia="zh-CN"/>
              </w:rPr>
              <w:t>04</w:t>
            </w:r>
            <w:r>
              <w:rPr>
                <w:rFonts w:hint="eastAsia" w:ascii="仿宋" w:hAnsi="仿宋" w:eastAsia="仿宋" w:cs="仿宋"/>
                <w:color w:val="auto"/>
                <w:spacing w:val="1"/>
                <w:w w:val="99"/>
                <w:sz w:val="21"/>
                <w:szCs w:val="21"/>
                <w:highlight w:val="none"/>
                <w:lang w:eastAsia="zh-CN"/>
              </w:rPr>
              <w:t>3</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92" w:line="280" w:lineRule="auto"/>
              <w:ind w:left="7" w:right="2"/>
              <w:rPr>
                <w:rFonts w:ascii="仿宋" w:hAnsi="仿宋" w:eastAsia="仿宋" w:cs="仿宋"/>
                <w:color w:val="auto"/>
                <w:sz w:val="21"/>
                <w:szCs w:val="21"/>
                <w:highlight w:val="none"/>
                <w:lang w:eastAsia="zh-CN"/>
              </w:rPr>
            </w:pP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12"/>
                <w:w w:val="99"/>
                <w:sz w:val="21"/>
                <w:szCs w:val="21"/>
                <w:highlight w:val="none"/>
                <w:lang w:eastAsia="zh-CN"/>
              </w:rPr>
              <w:t>道</w:t>
            </w:r>
            <w:r>
              <w:rPr>
                <w:rFonts w:hint="eastAsia" w:ascii="仿宋" w:hAnsi="仿宋" w:eastAsia="仿宋" w:cs="仿宋"/>
                <w:color w:val="auto"/>
                <w:spacing w:val="9"/>
                <w:w w:val="99"/>
                <w:sz w:val="21"/>
                <w:szCs w:val="21"/>
                <w:highlight w:val="none"/>
                <w:lang w:eastAsia="zh-CN"/>
              </w:rPr>
              <w:t>路</w:t>
            </w:r>
            <w:r>
              <w:rPr>
                <w:rFonts w:hint="eastAsia" w:ascii="仿宋" w:hAnsi="仿宋" w:eastAsia="仿宋" w:cs="仿宋"/>
                <w:color w:val="auto"/>
                <w:spacing w:val="13"/>
                <w:w w:val="99"/>
                <w:sz w:val="21"/>
                <w:szCs w:val="21"/>
                <w:highlight w:val="none"/>
                <w:lang w:eastAsia="zh-CN"/>
              </w:rPr>
              <w:t>/</w:t>
            </w:r>
            <w:r>
              <w:rPr>
                <w:rFonts w:hint="eastAsia" w:ascii="仿宋" w:hAnsi="仿宋" w:eastAsia="仿宋" w:cs="仿宋"/>
                <w:color w:val="auto"/>
                <w:spacing w:val="12"/>
                <w:w w:val="99"/>
                <w:sz w:val="21"/>
                <w:szCs w:val="21"/>
                <w:highlight w:val="none"/>
                <w:lang w:eastAsia="zh-CN"/>
              </w:rPr>
              <w:t>隧道照</w:t>
            </w:r>
            <w:r>
              <w:rPr>
                <w:rFonts w:hint="eastAsia" w:ascii="仿宋" w:hAnsi="仿宋" w:eastAsia="仿宋" w:cs="仿宋"/>
                <w:color w:val="auto"/>
                <w:w w:val="99"/>
                <w:sz w:val="21"/>
                <w:szCs w:val="21"/>
                <w:highlight w:val="none"/>
                <w:lang w:eastAsia="zh-CN"/>
              </w:rPr>
              <w:t>明产品</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92"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道</w:t>
            </w:r>
            <w:r>
              <w:rPr>
                <w:rFonts w:hint="eastAsia" w:ascii="仿宋" w:hAnsi="仿宋" w:eastAsia="仿宋" w:cs="仿宋"/>
                <w:color w:val="auto"/>
                <w:spacing w:val="4"/>
                <w:w w:val="99"/>
                <w:sz w:val="21"/>
                <w:szCs w:val="21"/>
                <w:highlight w:val="none"/>
                <w:lang w:eastAsia="zh-CN"/>
              </w:rPr>
              <w:t>路和隧道照</w:t>
            </w:r>
            <w:r>
              <w:rPr>
                <w:rFonts w:hint="eastAsia" w:ascii="仿宋" w:hAnsi="仿宋" w:eastAsia="仿宋" w:cs="仿宋"/>
                <w:color w:val="auto"/>
                <w:spacing w:val="2"/>
                <w:w w:val="99"/>
                <w:sz w:val="21"/>
                <w:szCs w:val="21"/>
                <w:highlight w:val="none"/>
                <w:lang w:eastAsia="zh-CN"/>
              </w:rPr>
              <w:t>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灯</w:t>
            </w:r>
            <w:r>
              <w:rPr>
                <w:rFonts w:hint="eastAsia" w:ascii="仿宋" w:hAnsi="仿宋" w:eastAsia="仿宋" w:cs="仿宋"/>
                <w:color w:val="auto"/>
                <w:spacing w:val="2"/>
                <w:w w:val="99"/>
                <w:sz w:val="21"/>
                <w:szCs w:val="21"/>
                <w:highlight w:val="none"/>
                <w:lang w:eastAsia="zh-CN"/>
              </w:rPr>
              <w:t>具</w:t>
            </w:r>
            <w:r>
              <w:rPr>
                <w:rFonts w:hint="eastAsia" w:ascii="仿宋" w:hAnsi="仿宋" w:eastAsia="仿宋" w:cs="仿宋"/>
                <w:color w:val="auto"/>
                <w:w w:val="99"/>
                <w:sz w:val="21"/>
                <w:szCs w:val="21"/>
                <w:highlight w:val="none"/>
                <w:lang w:eastAsia="zh-CN"/>
              </w:rPr>
              <w:t>能效限定</w:t>
            </w:r>
            <w:r>
              <w:rPr>
                <w:rFonts w:hint="eastAsia" w:ascii="仿宋" w:hAnsi="仿宋" w:eastAsia="仿宋" w:cs="仿宋"/>
                <w:color w:val="auto"/>
                <w:spacing w:val="2"/>
                <w:w w:val="99"/>
                <w:sz w:val="21"/>
                <w:szCs w:val="21"/>
                <w:highlight w:val="none"/>
                <w:lang w:eastAsia="zh-CN"/>
              </w:rPr>
              <w:t>值</w:t>
            </w:r>
            <w:r>
              <w:rPr>
                <w:rFonts w:hint="eastAsia" w:ascii="仿宋" w:hAnsi="仿宋" w:eastAsia="仿宋" w:cs="仿宋"/>
                <w:color w:val="auto"/>
                <w:w w:val="99"/>
                <w:sz w:val="21"/>
                <w:szCs w:val="21"/>
                <w:highlight w:val="none"/>
                <w:lang w:eastAsia="zh-CN"/>
              </w:rPr>
              <w:t>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3747</w:t>
            </w:r>
            <w:r>
              <w:rPr>
                <w:rFonts w:hint="eastAsia" w:ascii="仿宋" w:hAnsi="仿宋" w:eastAsia="仿宋" w:cs="仿宋"/>
                <w:color w:val="auto"/>
                <w:w w:val="99"/>
                <w:sz w:val="21"/>
                <w:szCs w:val="21"/>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4"/>
              <w:rPr>
                <w:rFonts w:ascii="仿宋" w:hAnsi="仿宋" w:eastAsia="仿宋" w:cs="仿宋"/>
                <w:color w:val="auto"/>
                <w:sz w:val="21"/>
                <w:szCs w:val="21"/>
                <w:highlight w:val="none"/>
                <w:lang w:eastAsia="zh-CN"/>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LE</w:t>
            </w:r>
            <w:r>
              <w:rPr>
                <w:rFonts w:hint="eastAsia" w:ascii="仿宋" w:hAnsi="仿宋" w:eastAsia="仿宋" w:cs="仿宋"/>
                <w:color w:val="auto"/>
                <w:w w:val="99"/>
                <w:sz w:val="21"/>
                <w:szCs w:val="21"/>
                <w:highlight w:val="none"/>
              </w:rPr>
              <w:t>D筒灯</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83"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室</w:t>
            </w:r>
            <w:r>
              <w:rPr>
                <w:rFonts w:hint="eastAsia" w:ascii="仿宋" w:hAnsi="仿宋" w:eastAsia="仿宋" w:cs="仿宋"/>
                <w:color w:val="auto"/>
                <w:spacing w:val="4"/>
                <w:w w:val="99"/>
                <w:sz w:val="21"/>
                <w:szCs w:val="21"/>
                <w:highlight w:val="none"/>
                <w:lang w:eastAsia="zh-CN"/>
              </w:rPr>
              <w:t>内照明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产</w:t>
            </w:r>
            <w:r>
              <w:rPr>
                <w:rFonts w:hint="eastAsia" w:ascii="仿宋" w:hAnsi="仿宋" w:eastAsia="仿宋" w:cs="仿宋"/>
                <w:color w:val="auto"/>
                <w:spacing w:val="2"/>
                <w:w w:val="99"/>
                <w:sz w:val="21"/>
                <w:szCs w:val="21"/>
                <w:highlight w:val="none"/>
                <w:lang w:eastAsia="zh-CN"/>
              </w:rPr>
              <w:t>品</w:t>
            </w:r>
            <w:r>
              <w:rPr>
                <w:rFonts w:hint="eastAsia" w:ascii="仿宋" w:hAnsi="仿宋" w:eastAsia="仿宋" w:cs="仿宋"/>
                <w:color w:val="auto"/>
                <w:spacing w:val="4"/>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25</w:t>
            </w:r>
            <w:r>
              <w:rPr>
                <w:rFonts w:hint="eastAsia" w:ascii="仿宋" w:hAnsi="仿宋" w:eastAsia="仿宋" w:cs="仿宋"/>
                <w:color w:val="auto"/>
                <w:spacing w:val="-2"/>
                <w:w w:val="99"/>
                <w:sz w:val="21"/>
                <w:szCs w:val="21"/>
                <w:highlight w:val="none"/>
                <w:lang w:eastAsia="zh-CN"/>
              </w:rPr>
              <w:t>5</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5"/>
              <w:rPr>
                <w:rFonts w:ascii="仿宋" w:hAnsi="仿宋" w:eastAsia="仿宋" w:cs="仿宋"/>
                <w:color w:val="auto"/>
                <w:sz w:val="21"/>
                <w:szCs w:val="21"/>
                <w:highlight w:val="none"/>
                <w:lang w:eastAsia="zh-CN"/>
              </w:rPr>
            </w:pPr>
          </w:p>
          <w:p>
            <w:pPr>
              <w:pStyle w:val="30"/>
              <w:spacing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普</w:t>
            </w:r>
            <w:r>
              <w:rPr>
                <w:rFonts w:hint="eastAsia" w:ascii="仿宋" w:hAnsi="仿宋" w:eastAsia="仿宋" w:cs="仿宋"/>
                <w:color w:val="auto"/>
                <w:spacing w:val="24"/>
                <w:w w:val="99"/>
                <w:sz w:val="21"/>
                <w:szCs w:val="21"/>
                <w:highlight w:val="none"/>
                <w:lang w:eastAsia="zh-CN"/>
              </w:rPr>
              <w:t>通</w:t>
            </w:r>
            <w:r>
              <w:rPr>
                <w:rFonts w:hint="eastAsia" w:ascii="仿宋" w:hAnsi="仿宋" w:eastAsia="仿宋" w:cs="仿宋"/>
                <w:color w:val="auto"/>
                <w:w w:val="99"/>
                <w:sz w:val="21"/>
                <w:szCs w:val="21"/>
                <w:highlight w:val="none"/>
                <w:lang w:eastAsia="zh-CN"/>
              </w:rPr>
              <w:t>照明用非</w:t>
            </w:r>
            <w:r>
              <w:rPr>
                <w:rFonts w:hint="eastAsia" w:ascii="仿宋" w:hAnsi="仿宋" w:eastAsia="仿宋" w:cs="仿宋"/>
                <w:color w:val="auto"/>
                <w:spacing w:val="24"/>
                <w:w w:val="99"/>
                <w:sz w:val="21"/>
                <w:szCs w:val="21"/>
                <w:highlight w:val="none"/>
                <w:lang w:eastAsia="zh-CN"/>
              </w:rPr>
              <w:t>定</w:t>
            </w:r>
            <w:r>
              <w:rPr>
                <w:rFonts w:hint="eastAsia" w:ascii="仿宋" w:hAnsi="仿宋" w:eastAsia="仿宋" w:cs="仿宋"/>
                <w:color w:val="auto"/>
                <w:w w:val="99"/>
                <w:sz w:val="21"/>
                <w:szCs w:val="21"/>
                <w:highlight w:val="none"/>
                <w:lang w:eastAsia="zh-CN"/>
              </w:rPr>
              <w:t>向自镇流</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D灯</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5"/>
              <w:rPr>
                <w:rFonts w:ascii="仿宋" w:hAnsi="仿宋" w:eastAsia="仿宋" w:cs="仿宋"/>
                <w:color w:val="auto"/>
                <w:sz w:val="21"/>
                <w:szCs w:val="21"/>
                <w:highlight w:val="none"/>
                <w:lang w:eastAsia="zh-CN"/>
              </w:rPr>
            </w:pPr>
          </w:p>
          <w:p>
            <w:pPr>
              <w:pStyle w:val="30"/>
              <w:spacing w:line="280" w:lineRule="auto"/>
              <w:ind w:left="7" w:right="7"/>
              <w:rPr>
                <w:rFonts w:ascii="仿宋" w:hAnsi="仿宋" w:eastAsia="仿宋" w:cs="仿宋"/>
                <w:color w:val="auto"/>
                <w:sz w:val="21"/>
                <w:szCs w:val="21"/>
                <w:highlight w:val="none"/>
                <w:lang w:eastAsia="zh-CN"/>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室</w:t>
            </w:r>
            <w:r>
              <w:rPr>
                <w:rFonts w:hint="eastAsia" w:ascii="仿宋" w:hAnsi="仿宋" w:eastAsia="仿宋" w:cs="仿宋"/>
                <w:color w:val="auto"/>
                <w:spacing w:val="4"/>
                <w:w w:val="99"/>
                <w:sz w:val="21"/>
                <w:szCs w:val="21"/>
                <w:highlight w:val="none"/>
                <w:lang w:eastAsia="zh-CN"/>
              </w:rPr>
              <w:t>内照明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产</w:t>
            </w:r>
            <w:r>
              <w:rPr>
                <w:rFonts w:hint="eastAsia" w:ascii="仿宋" w:hAnsi="仿宋" w:eastAsia="仿宋" w:cs="仿宋"/>
                <w:color w:val="auto"/>
                <w:spacing w:val="2"/>
                <w:w w:val="99"/>
                <w:sz w:val="21"/>
                <w:szCs w:val="21"/>
                <w:highlight w:val="none"/>
                <w:lang w:eastAsia="zh-CN"/>
              </w:rPr>
              <w:t>品</w:t>
            </w:r>
            <w:r>
              <w:rPr>
                <w:rFonts w:hint="eastAsia" w:ascii="仿宋" w:hAnsi="仿宋" w:eastAsia="仿宋" w:cs="仿宋"/>
                <w:color w:val="auto"/>
                <w:spacing w:val="4"/>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25</w:t>
            </w:r>
            <w:r>
              <w:rPr>
                <w:rFonts w:hint="eastAsia" w:ascii="仿宋" w:hAnsi="仿宋" w:eastAsia="仿宋" w:cs="仿宋"/>
                <w:color w:val="auto"/>
                <w:spacing w:val="-2"/>
                <w:w w:val="99"/>
                <w:sz w:val="21"/>
                <w:szCs w:val="21"/>
                <w:highlight w:val="none"/>
                <w:lang w:eastAsia="zh-CN"/>
              </w:rPr>
              <w:t>5</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6" w:type="dxa"/>
            <w:tcBorders>
              <w:top w:val="single" w:color="auto" w:sz="4" w:space="0"/>
              <w:left w:val="single" w:color="auto" w:sz="4" w:space="0"/>
              <w:bottom w:val="single" w:color="auto" w:sz="4" w:space="0"/>
              <w:right w:val="single" w:color="auto" w:sz="4" w:space="0"/>
            </w:tcBorders>
          </w:tcPr>
          <w:p>
            <w:pPr>
              <w:pStyle w:val="30"/>
              <w:spacing w:before="1"/>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pacing w:val="1"/>
                <w:w w:val="99"/>
                <w:sz w:val="21"/>
                <w:szCs w:val="21"/>
                <w:highlight w:val="none"/>
              </w:rPr>
              <w:t>1</w:t>
            </w:r>
            <w:r>
              <w:rPr>
                <w:rFonts w:hint="eastAsia" w:ascii="新宋体" w:hAnsi="新宋体" w:eastAsia="新宋体" w:cs="新宋体"/>
                <w:color w:val="auto"/>
                <w:w w:val="99"/>
                <w:sz w:val="21"/>
                <w:szCs w:val="21"/>
                <w:highlight w:val="none"/>
              </w:rPr>
              <w:t>2</w:t>
            </w:r>
          </w:p>
        </w:tc>
        <w:tc>
          <w:tcPr>
            <w:tcW w:w="1160" w:type="dxa"/>
            <w:tcBorders>
              <w:top w:val="single" w:color="auto" w:sz="4" w:space="0"/>
              <w:left w:val="single" w:color="auto" w:sz="4" w:space="0"/>
              <w:bottom w:val="single" w:color="auto" w:sz="4" w:space="0"/>
              <w:right w:val="single" w:color="auto" w:sz="4" w:space="0"/>
            </w:tcBorders>
          </w:tcPr>
          <w:p>
            <w:pPr>
              <w:pStyle w:val="30"/>
              <w:spacing w:before="81"/>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910电视设备</w:t>
            </w:r>
          </w:p>
        </w:tc>
        <w:tc>
          <w:tcPr>
            <w:tcW w:w="1799" w:type="dxa"/>
            <w:tcBorders>
              <w:top w:val="single" w:color="auto" w:sz="4" w:space="0"/>
              <w:left w:val="single" w:color="auto" w:sz="4" w:space="0"/>
              <w:bottom w:val="single" w:color="auto" w:sz="4" w:space="0"/>
              <w:right w:val="single" w:color="auto" w:sz="4" w:space="0"/>
            </w:tcBorders>
          </w:tcPr>
          <w:p>
            <w:pPr>
              <w:pStyle w:val="30"/>
              <w:spacing w:before="81" w:line="280" w:lineRule="auto"/>
              <w:ind w:left="7" w:right="5"/>
              <w:rPr>
                <w:rFonts w:ascii="仿宋" w:hAnsi="仿宋" w:eastAsia="仿宋" w:cs="仿宋"/>
                <w:color w:val="auto"/>
                <w:sz w:val="21"/>
                <w:szCs w:val="21"/>
                <w:highlight w:val="none"/>
                <w:lang w:eastAsia="zh-CN"/>
              </w:rPr>
            </w:pPr>
            <w:r>
              <w:rPr>
                <w:rFonts w:hint="eastAsia" w:ascii="仿宋" w:hAnsi="仿宋" w:eastAsia="仿宋" w:cs="仿宋"/>
                <w:color w:val="auto"/>
                <w:spacing w:val="1"/>
                <w:w w:val="99"/>
                <w:sz w:val="21"/>
                <w:szCs w:val="21"/>
                <w:highlight w:val="none"/>
                <w:lang w:eastAsia="zh-CN"/>
              </w:rPr>
              <w:t>A02</w:t>
            </w:r>
            <w:r>
              <w:rPr>
                <w:rFonts w:hint="eastAsia" w:ascii="仿宋" w:hAnsi="仿宋" w:eastAsia="仿宋" w:cs="仿宋"/>
                <w:color w:val="auto"/>
                <w:w w:val="99"/>
                <w:sz w:val="21"/>
                <w:szCs w:val="21"/>
                <w:highlight w:val="none"/>
                <w:lang w:eastAsia="zh-CN"/>
              </w:rPr>
              <w:t>09</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001普通电视设备（</w:t>
            </w:r>
            <w:r>
              <w:rPr>
                <w:rFonts w:hint="eastAsia" w:ascii="仿宋" w:hAnsi="仿宋" w:eastAsia="仿宋" w:cs="仿宋"/>
                <w:color w:val="auto"/>
                <w:spacing w:val="2"/>
                <w:w w:val="99"/>
                <w:sz w:val="21"/>
                <w:szCs w:val="21"/>
                <w:highlight w:val="none"/>
                <w:lang w:eastAsia="zh-CN"/>
              </w:rPr>
              <w:t>电</w:t>
            </w:r>
            <w:r>
              <w:rPr>
                <w:rFonts w:hint="eastAsia" w:ascii="仿宋" w:hAnsi="仿宋" w:eastAsia="仿宋" w:cs="仿宋"/>
                <w:color w:val="auto"/>
                <w:w w:val="99"/>
                <w:sz w:val="21"/>
                <w:szCs w:val="21"/>
                <w:highlight w:val="none"/>
                <w:lang w:eastAsia="zh-CN"/>
              </w:rPr>
              <w:t>视机）</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81"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《平板电视能效限定值</w:t>
            </w:r>
            <w:r>
              <w:rPr>
                <w:rFonts w:hint="eastAsia" w:ascii="仿宋" w:hAnsi="仿宋" w:eastAsia="仿宋" w:cs="仿宋"/>
                <w:color w:val="auto"/>
                <w:spacing w:val="9"/>
                <w:w w:val="99"/>
                <w:sz w:val="21"/>
                <w:szCs w:val="21"/>
                <w:highlight w:val="none"/>
                <w:lang w:eastAsia="zh-CN"/>
              </w:rPr>
              <w:t>及</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248</w:t>
            </w:r>
            <w:r>
              <w:rPr>
                <w:rFonts w:hint="eastAsia" w:ascii="仿宋" w:hAnsi="仿宋" w:eastAsia="仿宋" w:cs="仿宋"/>
                <w:color w:val="auto"/>
                <w:w w:val="99"/>
                <w:sz w:val="21"/>
                <w:szCs w:val="21"/>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4" w:hRule="exact"/>
        </w:trPr>
        <w:tc>
          <w:tcPr>
            <w:tcW w:w="586" w:type="dxa"/>
            <w:tcBorders>
              <w:top w:val="single" w:color="auto" w:sz="4" w:space="0"/>
              <w:left w:val="single" w:color="auto" w:sz="4" w:space="0"/>
              <w:bottom w:val="single" w:color="auto" w:sz="4" w:space="0"/>
              <w:right w:val="single" w:color="auto" w:sz="4" w:space="0"/>
            </w:tcBorders>
          </w:tcPr>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spacing w:before="10"/>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pacing w:val="1"/>
                <w:w w:val="99"/>
                <w:sz w:val="21"/>
                <w:szCs w:val="21"/>
                <w:highlight w:val="none"/>
              </w:rPr>
              <w:t>1</w:t>
            </w:r>
            <w:r>
              <w:rPr>
                <w:rFonts w:hint="eastAsia" w:ascii="新宋体" w:hAnsi="新宋体" w:eastAsia="新宋体" w:cs="新宋体"/>
                <w:color w:val="auto"/>
                <w:w w:val="99"/>
                <w:sz w:val="21"/>
                <w:szCs w:val="21"/>
                <w:highlight w:val="none"/>
              </w:rPr>
              <w:t>3</w:t>
            </w:r>
          </w:p>
        </w:tc>
        <w:tc>
          <w:tcPr>
            <w:tcW w:w="1160" w:type="dxa"/>
            <w:tcBorders>
              <w:top w:val="single" w:color="auto" w:sz="4" w:space="0"/>
              <w:left w:val="single" w:color="auto" w:sz="4" w:space="0"/>
              <w:bottom w:val="single" w:color="auto" w:sz="4" w:space="0"/>
              <w:right w:val="single" w:color="auto" w:sz="4" w:space="0"/>
            </w:tcBorders>
          </w:tcPr>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911视频设备</w:t>
            </w:r>
          </w:p>
        </w:tc>
        <w:tc>
          <w:tcPr>
            <w:tcW w:w="1799" w:type="dxa"/>
            <w:tcBorders>
              <w:top w:val="single" w:color="auto" w:sz="4" w:space="0"/>
              <w:left w:val="single" w:color="auto" w:sz="4" w:space="0"/>
              <w:bottom w:val="single" w:color="auto" w:sz="4" w:space="0"/>
              <w:right w:val="single" w:color="auto" w:sz="4" w:space="0"/>
            </w:tcBorders>
          </w:tcPr>
          <w:p>
            <w:pPr>
              <w:pStyle w:val="30"/>
              <w:rPr>
                <w:rFonts w:ascii="仿宋" w:hAnsi="仿宋" w:eastAsia="仿宋" w:cs="仿宋"/>
                <w:color w:val="auto"/>
                <w:sz w:val="21"/>
                <w:szCs w:val="21"/>
                <w:highlight w:val="none"/>
              </w:rPr>
            </w:pPr>
          </w:p>
          <w:p>
            <w:pPr>
              <w:pStyle w:val="30"/>
              <w:spacing w:before="11"/>
              <w:rPr>
                <w:rFonts w:ascii="仿宋" w:hAnsi="仿宋" w:eastAsia="仿宋" w:cs="仿宋"/>
                <w:color w:val="auto"/>
                <w:sz w:val="21"/>
                <w:szCs w:val="21"/>
                <w:highlight w:val="none"/>
              </w:rPr>
            </w:pPr>
          </w:p>
          <w:p>
            <w:pPr>
              <w:pStyle w:val="30"/>
              <w:spacing w:line="280" w:lineRule="auto"/>
              <w:ind w:left="7" w:right="5"/>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09</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107视频监控设备</w:t>
            </w:r>
          </w:p>
        </w:tc>
        <w:tc>
          <w:tcPr>
            <w:tcW w:w="1896" w:type="dxa"/>
            <w:tcBorders>
              <w:top w:val="single" w:color="auto" w:sz="4" w:space="0"/>
              <w:left w:val="single" w:color="auto" w:sz="4" w:space="0"/>
              <w:bottom w:val="single" w:color="auto" w:sz="4" w:space="0"/>
              <w:right w:val="single" w:color="auto"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10"/>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监视器</w:t>
            </w:r>
          </w:p>
        </w:tc>
        <w:tc>
          <w:tcPr>
            <w:tcW w:w="3000" w:type="dxa"/>
            <w:tcBorders>
              <w:top w:val="single" w:color="auto" w:sz="4" w:space="0"/>
              <w:left w:val="single" w:color="auto" w:sz="4" w:space="0"/>
              <w:bottom w:val="single" w:color="auto" w:sz="4" w:space="0"/>
              <w:right w:val="single" w:color="auto" w:sz="4" w:space="0"/>
            </w:tcBorders>
          </w:tcPr>
          <w:p>
            <w:pPr>
              <w:pStyle w:val="30"/>
              <w:spacing w:before="28" w:line="280" w:lineRule="auto"/>
              <w:ind w:left="7" w:right="5"/>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以射频信号为主要信号</w:t>
            </w:r>
            <w:r>
              <w:rPr>
                <w:rFonts w:hint="eastAsia" w:ascii="仿宋" w:hAnsi="仿宋" w:eastAsia="仿宋" w:cs="仿宋"/>
                <w:color w:val="auto"/>
                <w:spacing w:val="9"/>
                <w:w w:val="99"/>
                <w:sz w:val="21"/>
                <w:szCs w:val="21"/>
                <w:highlight w:val="none"/>
                <w:lang w:eastAsia="zh-CN"/>
              </w:rPr>
              <w:t>输</w:t>
            </w:r>
            <w:r>
              <w:rPr>
                <w:rFonts w:hint="eastAsia" w:ascii="仿宋" w:hAnsi="仿宋" w:eastAsia="仿宋" w:cs="仿宋"/>
                <w:color w:val="auto"/>
                <w:spacing w:val="12"/>
                <w:w w:val="99"/>
                <w:sz w:val="21"/>
                <w:szCs w:val="21"/>
                <w:highlight w:val="none"/>
                <w:lang w:eastAsia="zh-CN"/>
              </w:rPr>
              <w:t>入的</w:t>
            </w:r>
            <w:r>
              <w:rPr>
                <w:rFonts w:hint="eastAsia" w:ascii="仿宋" w:hAnsi="仿宋" w:eastAsia="仿宋" w:cs="仿宋"/>
                <w:color w:val="auto"/>
                <w:w w:val="99"/>
                <w:sz w:val="21"/>
                <w:szCs w:val="21"/>
                <w:highlight w:val="none"/>
                <w:lang w:eastAsia="zh-CN"/>
              </w:rPr>
              <w:t>监视器应</w:t>
            </w:r>
            <w:r>
              <w:rPr>
                <w:rFonts w:hint="eastAsia" w:ascii="仿宋" w:hAnsi="仿宋" w:eastAsia="仿宋" w:cs="仿宋"/>
                <w:color w:val="auto"/>
                <w:spacing w:val="2"/>
                <w:w w:val="99"/>
                <w:sz w:val="21"/>
                <w:szCs w:val="21"/>
                <w:highlight w:val="none"/>
                <w:lang w:eastAsia="zh-CN"/>
              </w:rPr>
              <w:t>符</w:t>
            </w:r>
            <w:r>
              <w:rPr>
                <w:rFonts w:hint="eastAsia" w:ascii="仿宋" w:hAnsi="仿宋" w:eastAsia="仿宋" w:cs="仿宋"/>
                <w:color w:val="auto"/>
                <w:spacing w:val="-58"/>
                <w:w w:val="99"/>
                <w:sz w:val="21"/>
                <w:szCs w:val="21"/>
                <w:highlight w:val="none"/>
                <w:lang w:eastAsia="zh-CN"/>
              </w:rPr>
              <w:t>合</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平板</w:t>
            </w:r>
            <w:r>
              <w:rPr>
                <w:rFonts w:hint="eastAsia" w:ascii="仿宋" w:hAnsi="仿宋" w:eastAsia="仿宋" w:cs="仿宋"/>
                <w:color w:val="auto"/>
                <w:spacing w:val="2"/>
                <w:w w:val="99"/>
                <w:sz w:val="21"/>
                <w:szCs w:val="21"/>
                <w:highlight w:val="none"/>
                <w:lang w:eastAsia="zh-CN"/>
              </w:rPr>
              <w:t>电</w:t>
            </w:r>
            <w:r>
              <w:rPr>
                <w:rFonts w:hint="eastAsia" w:ascii="仿宋" w:hAnsi="仿宋" w:eastAsia="仿宋" w:cs="仿宋"/>
                <w:color w:val="auto"/>
                <w:w w:val="99"/>
                <w:sz w:val="21"/>
                <w:szCs w:val="21"/>
                <w:highlight w:val="none"/>
                <w:lang w:eastAsia="zh-CN"/>
              </w:rPr>
              <w:t>视能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限定值及能效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24850</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2"/>
                <w:w w:val="99"/>
                <w:sz w:val="21"/>
                <w:szCs w:val="21"/>
                <w:highlight w:val="none"/>
                <w:lang w:eastAsia="zh-CN"/>
              </w:rPr>
              <w:t>以数字信号为主要信号</w:t>
            </w:r>
            <w:r>
              <w:rPr>
                <w:rFonts w:hint="eastAsia" w:ascii="仿宋" w:hAnsi="仿宋" w:eastAsia="仿宋" w:cs="仿宋"/>
                <w:color w:val="auto"/>
                <w:spacing w:val="9"/>
                <w:w w:val="99"/>
                <w:sz w:val="21"/>
                <w:szCs w:val="21"/>
                <w:highlight w:val="none"/>
                <w:lang w:eastAsia="zh-CN"/>
              </w:rPr>
              <w:t>输</w:t>
            </w:r>
            <w:r>
              <w:rPr>
                <w:rFonts w:hint="eastAsia" w:ascii="仿宋" w:hAnsi="仿宋" w:eastAsia="仿宋" w:cs="仿宋"/>
                <w:color w:val="auto"/>
                <w:spacing w:val="12"/>
                <w:w w:val="99"/>
                <w:sz w:val="21"/>
                <w:szCs w:val="21"/>
                <w:highlight w:val="none"/>
                <w:lang w:eastAsia="zh-CN"/>
              </w:rPr>
              <w:t>入的</w:t>
            </w:r>
            <w:r>
              <w:rPr>
                <w:rFonts w:hint="eastAsia" w:ascii="仿宋" w:hAnsi="仿宋" w:eastAsia="仿宋" w:cs="仿宋"/>
                <w:color w:val="auto"/>
                <w:w w:val="99"/>
                <w:sz w:val="21"/>
                <w:szCs w:val="21"/>
                <w:highlight w:val="none"/>
                <w:lang w:eastAsia="zh-CN"/>
              </w:rPr>
              <w:t>监视器应</w:t>
            </w:r>
            <w:r>
              <w:rPr>
                <w:rFonts w:hint="eastAsia" w:ascii="仿宋" w:hAnsi="仿宋" w:eastAsia="仿宋" w:cs="仿宋"/>
                <w:color w:val="auto"/>
                <w:spacing w:val="2"/>
                <w:w w:val="99"/>
                <w:sz w:val="21"/>
                <w:szCs w:val="21"/>
                <w:highlight w:val="none"/>
                <w:lang w:eastAsia="zh-CN"/>
              </w:rPr>
              <w:t>符</w:t>
            </w:r>
            <w:r>
              <w:rPr>
                <w:rFonts w:hint="eastAsia" w:ascii="仿宋" w:hAnsi="仿宋" w:eastAsia="仿宋" w:cs="仿宋"/>
                <w:color w:val="auto"/>
                <w:spacing w:val="-58"/>
                <w:w w:val="99"/>
                <w:sz w:val="21"/>
                <w:szCs w:val="21"/>
                <w:highlight w:val="none"/>
                <w:lang w:eastAsia="zh-CN"/>
              </w:rPr>
              <w:t>合</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计算</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显示</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6" w:type="dxa"/>
            <w:tcBorders>
              <w:top w:val="single" w:color="auto" w:sz="4" w:space="0"/>
              <w:left w:val="single" w:color="auto" w:sz="4" w:space="0"/>
              <w:bottom w:val="single" w:color="auto" w:sz="4" w:space="0"/>
              <w:right w:val="single" w:color="auto" w:sz="4" w:space="0"/>
            </w:tcBorders>
          </w:tcPr>
          <w:p>
            <w:pPr>
              <w:pStyle w:val="30"/>
              <w:spacing w:before="10"/>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pacing w:val="1"/>
                <w:w w:val="99"/>
                <w:sz w:val="21"/>
                <w:szCs w:val="21"/>
                <w:highlight w:val="none"/>
              </w:rPr>
              <w:t>1</w:t>
            </w:r>
            <w:r>
              <w:rPr>
                <w:rFonts w:hint="eastAsia" w:ascii="新宋体" w:hAnsi="新宋体" w:eastAsia="新宋体" w:cs="新宋体"/>
                <w:color w:val="auto"/>
                <w:w w:val="99"/>
                <w:sz w:val="21"/>
                <w:szCs w:val="21"/>
                <w:highlight w:val="none"/>
              </w:rPr>
              <w:t>4</w:t>
            </w:r>
          </w:p>
        </w:tc>
        <w:tc>
          <w:tcPr>
            <w:tcW w:w="1160" w:type="dxa"/>
            <w:tcBorders>
              <w:top w:val="single" w:color="auto" w:sz="4" w:space="0"/>
              <w:left w:val="single" w:color="auto" w:sz="4" w:space="0"/>
              <w:bottom w:val="single" w:color="auto" w:sz="4" w:space="0"/>
              <w:right w:val="single" w:color="auto" w:sz="4" w:space="0"/>
            </w:tcBorders>
          </w:tcPr>
          <w:p>
            <w:pPr>
              <w:pStyle w:val="30"/>
              <w:spacing w:before="76"/>
              <w:ind w:left="7"/>
              <w:rPr>
                <w:rFonts w:ascii="仿宋" w:hAnsi="仿宋" w:eastAsia="仿宋" w:cs="仿宋"/>
                <w:color w:val="auto"/>
                <w:sz w:val="21"/>
                <w:szCs w:val="21"/>
                <w:highlight w:val="none"/>
              </w:rPr>
            </w:pPr>
            <w:r>
              <w:rPr>
                <w:rFonts w:hint="eastAsia" w:ascii="仿宋" w:hAnsi="仿宋" w:eastAsia="仿宋" w:cs="仿宋"/>
                <w:color w:val="auto"/>
                <w:spacing w:val="1"/>
                <w:w w:val="99"/>
                <w:sz w:val="21"/>
                <w:szCs w:val="21"/>
                <w:highlight w:val="none"/>
              </w:rPr>
              <w:t>A03</w:t>
            </w:r>
            <w:r>
              <w:rPr>
                <w:rFonts w:hint="eastAsia" w:ascii="仿宋" w:hAnsi="仿宋" w:eastAsia="仿宋" w:cs="仿宋"/>
                <w:color w:val="auto"/>
                <w:w w:val="99"/>
                <w:sz w:val="21"/>
                <w:szCs w:val="21"/>
                <w:highlight w:val="none"/>
              </w:rPr>
              <w:t>12</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0饮食炊事机械</w:t>
            </w:r>
          </w:p>
        </w:tc>
        <w:tc>
          <w:tcPr>
            <w:tcW w:w="1799" w:type="dxa"/>
            <w:tcBorders>
              <w:top w:val="single" w:color="auto" w:sz="4" w:space="0"/>
              <w:left w:val="single" w:color="auto" w:sz="4" w:space="0"/>
              <w:bottom w:val="single" w:color="auto" w:sz="4" w:space="0"/>
              <w:right w:val="single" w:color="auto" w:sz="4" w:space="0"/>
            </w:tcBorders>
          </w:tcPr>
          <w:p>
            <w:pPr>
              <w:pStyle w:val="30"/>
              <w:spacing w:before="10"/>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商用燃</w:t>
            </w:r>
            <w:r>
              <w:rPr>
                <w:rFonts w:hint="eastAsia" w:ascii="仿宋" w:hAnsi="仿宋" w:eastAsia="仿宋" w:cs="仿宋"/>
                <w:color w:val="auto"/>
                <w:spacing w:val="2"/>
                <w:w w:val="99"/>
                <w:sz w:val="21"/>
                <w:szCs w:val="21"/>
                <w:highlight w:val="none"/>
              </w:rPr>
              <w:t>气</w:t>
            </w:r>
            <w:r>
              <w:rPr>
                <w:rFonts w:hint="eastAsia" w:ascii="仿宋" w:hAnsi="仿宋" w:eastAsia="仿宋" w:cs="仿宋"/>
                <w:color w:val="auto"/>
                <w:w w:val="99"/>
                <w:sz w:val="21"/>
                <w:szCs w:val="21"/>
                <w:highlight w:val="none"/>
              </w:rPr>
              <w:t>灶具</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76"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《商用燃气灶具能效限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能效等级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53</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6" w:type="dxa"/>
            <w:vMerge w:val="restart"/>
            <w:tcBorders>
              <w:top w:val="single" w:color="auto" w:sz="4" w:space="0"/>
              <w:left w:val="single" w:color="auto" w:sz="4" w:space="0"/>
              <w:bottom w:val="single" w:color="auto" w:sz="4" w:space="0"/>
              <w:right w:val="single" w:color="auto" w:sz="4" w:space="0"/>
            </w:tcBorders>
          </w:tcPr>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rPr>
                <w:rFonts w:ascii="新宋体" w:hAnsi="新宋体" w:eastAsia="新宋体" w:cs="新宋体"/>
                <w:color w:val="auto"/>
                <w:sz w:val="21"/>
                <w:szCs w:val="21"/>
                <w:highlight w:val="none"/>
                <w:lang w:eastAsia="zh-CN"/>
              </w:rPr>
            </w:pPr>
          </w:p>
          <w:p>
            <w:pPr>
              <w:pStyle w:val="30"/>
              <w:spacing w:before="1"/>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w w:val="99"/>
                <w:sz w:val="21"/>
                <w:szCs w:val="21"/>
                <w:highlight w:val="none"/>
              </w:rPr>
            </w:pPr>
            <w:r>
              <w:rPr>
                <w:rFonts w:hint="eastAsia" w:ascii="新宋体" w:hAnsi="新宋体" w:eastAsia="新宋体" w:cs="新宋体"/>
                <w:color w:val="auto"/>
                <w:spacing w:val="1"/>
                <w:w w:val="99"/>
                <w:sz w:val="21"/>
                <w:szCs w:val="21"/>
                <w:highlight w:val="none"/>
              </w:rPr>
              <w:t>1</w:t>
            </w:r>
            <w:r>
              <w:rPr>
                <w:rFonts w:hint="eastAsia" w:ascii="新宋体" w:hAnsi="新宋体" w:eastAsia="新宋体" w:cs="新宋体"/>
                <w:color w:val="auto"/>
                <w:w w:val="99"/>
                <w:sz w:val="21"/>
                <w:szCs w:val="21"/>
                <w:highlight w:val="none"/>
              </w:rPr>
              <w:t>5</w:t>
            </w: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p>
            <w:pPr>
              <w:rPr>
                <w:rFonts w:ascii="新宋体" w:hAnsi="新宋体" w:eastAsia="新宋体" w:cs="新宋体"/>
                <w:color w:val="auto"/>
                <w:szCs w:val="21"/>
                <w:highlight w:val="none"/>
                <w:lang w:eastAsia="en-US"/>
              </w:rPr>
            </w:pPr>
          </w:p>
        </w:tc>
        <w:tc>
          <w:tcPr>
            <w:tcW w:w="1160" w:type="dxa"/>
            <w:vMerge w:val="restart"/>
            <w:tcBorders>
              <w:top w:val="single" w:color="auto" w:sz="4" w:space="0"/>
              <w:left w:val="single" w:color="auto" w:sz="4" w:space="0"/>
              <w:bottom w:val="single" w:color="auto" w:sz="4" w:space="0"/>
              <w:right w:val="single" w:color="auto" w:sz="4" w:space="0"/>
            </w:tcBorders>
          </w:tcPr>
          <w:p>
            <w:pPr>
              <w:pStyle w:val="30"/>
              <w:rPr>
                <w:rFonts w:ascii="仿宋" w:hAnsi="仿宋" w:eastAsia="仿宋" w:cs="仿宋"/>
                <w:color w:val="auto"/>
                <w:sz w:val="21"/>
                <w:szCs w:val="21"/>
                <w:highlight w:val="none"/>
              </w:rPr>
            </w:pPr>
          </w:p>
          <w:p>
            <w:pPr>
              <w:pStyle w:val="30"/>
              <w:rPr>
                <w:rFonts w:ascii="仿宋" w:hAnsi="仿宋" w:eastAsia="仿宋" w:cs="仿宋"/>
                <w:color w:val="auto"/>
                <w:sz w:val="21"/>
                <w:szCs w:val="21"/>
                <w:highlight w:val="none"/>
              </w:rPr>
            </w:pPr>
          </w:p>
          <w:p>
            <w:pPr>
              <w:pStyle w:val="30"/>
              <w:spacing w:before="9"/>
              <w:rPr>
                <w:rFonts w:ascii="仿宋" w:hAnsi="仿宋" w:eastAsia="仿宋" w:cs="仿宋"/>
                <w:color w:val="auto"/>
                <w:sz w:val="21"/>
                <w:szCs w:val="21"/>
                <w:highlight w:val="none"/>
              </w:rPr>
            </w:pPr>
          </w:p>
          <w:p>
            <w:pPr>
              <w:pStyle w:val="30"/>
              <w:ind w:left="7"/>
              <w:rPr>
                <w:rFonts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A060</w:t>
            </w:r>
            <w:r>
              <w:rPr>
                <w:rFonts w:hint="eastAsia" w:ascii="仿宋" w:hAnsi="仿宋" w:eastAsia="仿宋" w:cs="仿宋"/>
                <w:color w:val="auto"/>
                <w:w w:val="99"/>
                <w:sz w:val="21"/>
                <w:szCs w:val="21"/>
                <w:highlight w:val="none"/>
              </w:rPr>
              <w:t>805便器</w:t>
            </w: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p>
            <w:pPr>
              <w:rPr>
                <w:rFonts w:ascii="仿宋" w:hAnsi="仿宋" w:eastAsia="仿宋" w:cs="仿宋"/>
                <w:color w:val="auto"/>
                <w:szCs w:val="21"/>
                <w:highlight w:val="none"/>
                <w:lang w:eastAsia="en-US"/>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5"/>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坐便器</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124"/>
              <w:ind w:left="7"/>
              <w:rPr>
                <w:rFonts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《坐便</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水效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w:t>
            </w:r>
            <w:r>
              <w:rPr>
                <w:rFonts w:hint="eastAsia" w:ascii="仿宋" w:hAnsi="仿宋" w:eastAsia="仿宋" w:cs="仿宋"/>
                <w:color w:val="auto"/>
                <w:spacing w:val="2"/>
                <w:w w:val="99"/>
                <w:sz w:val="21"/>
                <w:szCs w:val="21"/>
                <w:highlight w:val="none"/>
                <w:lang w:eastAsia="zh-CN"/>
              </w:rPr>
              <w:t>及</w:t>
            </w:r>
            <w:r>
              <w:rPr>
                <w:rFonts w:hint="eastAsia" w:ascii="仿宋" w:hAnsi="仿宋" w:eastAsia="仿宋" w:cs="仿宋"/>
                <w:color w:val="auto"/>
                <w:w w:val="99"/>
                <w:sz w:val="21"/>
                <w:szCs w:val="21"/>
                <w:highlight w:val="none"/>
                <w:lang w:eastAsia="zh-CN"/>
              </w:rPr>
              <w:t>水</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p>
          <w:p>
            <w:pPr>
              <w:pStyle w:val="30"/>
              <w:spacing w:before="5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55</w:t>
            </w:r>
            <w:r>
              <w:rPr>
                <w:rFonts w:hint="eastAsia" w:ascii="仿宋" w:hAnsi="仿宋" w:eastAsia="仿宋" w:cs="仿宋"/>
                <w:color w:val="auto"/>
                <w:spacing w:val="1"/>
                <w:w w:val="99"/>
                <w:sz w:val="21"/>
                <w:szCs w:val="21"/>
                <w:highlight w:val="none"/>
              </w:rPr>
              <w:t>02</w:t>
            </w:r>
            <w:r>
              <w:rPr>
                <w:rFonts w:hint="eastAsia" w:ascii="仿宋" w:hAnsi="仿宋" w:eastAsia="仿宋" w:cs="仿宋"/>
                <w:color w:val="auto"/>
                <w:w w:val="99"/>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lang w:eastAsia="en-US"/>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lang w:eastAsia="en-US"/>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5"/>
              <w:rPr>
                <w:rFonts w:ascii="仿宋" w:hAnsi="仿宋" w:eastAsia="仿宋" w:cs="仿宋"/>
                <w:color w:val="auto"/>
                <w:sz w:val="21"/>
                <w:szCs w:val="21"/>
                <w:highlight w:val="none"/>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蹲便器</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12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《蹲便器用水效率限定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及用</w:t>
            </w:r>
            <w:r>
              <w:rPr>
                <w:rFonts w:hint="eastAsia" w:ascii="仿宋" w:hAnsi="仿宋" w:eastAsia="仿宋" w:cs="仿宋"/>
                <w:color w:val="auto"/>
                <w:w w:val="99"/>
                <w:sz w:val="21"/>
                <w:szCs w:val="21"/>
                <w:highlight w:val="none"/>
                <w:lang w:eastAsia="zh-CN"/>
              </w:rPr>
              <w:t>水效率等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307</w:t>
            </w:r>
            <w:r>
              <w:rPr>
                <w:rFonts w:hint="eastAsia" w:ascii="仿宋" w:hAnsi="仿宋" w:eastAsia="仿宋" w:cs="仿宋"/>
                <w:color w:val="auto"/>
                <w:w w:val="99"/>
                <w:sz w:val="21"/>
                <w:szCs w:val="21"/>
                <w:highlight w:val="none"/>
                <w:lang w:eastAsia="zh-CN"/>
              </w:rPr>
              <w:t>1</w:t>
            </w:r>
            <w:r>
              <w:rPr>
                <w:rFonts w:hint="eastAsia" w:ascii="仿宋" w:hAnsi="仿宋" w:eastAsia="仿宋" w:cs="仿宋"/>
                <w:color w:val="auto"/>
                <w:spacing w:val="-1"/>
                <w:w w:val="99"/>
                <w:sz w:val="21"/>
                <w:szCs w:val="21"/>
                <w:highlight w:val="none"/>
                <w:lang w:eastAsia="zh-CN"/>
              </w:rPr>
              <w:t>7</w:t>
            </w:r>
            <w:r>
              <w:rPr>
                <w:rFonts w:hint="eastAsia" w:ascii="仿宋" w:hAnsi="仿宋" w:eastAsia="仿宋" w:cs="仿宋"/>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auto"/>
                <w:kern w:val="0"/>
                <w:szCs w:val="21"/>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799" w:type="dxa"/>
            <w:tcBorders>
              <w:top w:val="single" w:color="auto" w:sz="4" w:space="0"/>
              <w:left w:val="single" w:color="auto" w:sz="4" w:space="0"/>
              <w:bottom w:val="single" w:color="auto" w:sz="4" w:space="0"/>
              <w:right w:val="single" w:color="auto" w:sz="4" w:space="0"/>
            </w:tcBorders>
          </w:tcPr>
          <w:p>
            <w:pPr>
              <w:pStyle w:val="30"/>
              <w:spacing w:before="5"/>
              <w:rPr>
                <w:rFonts w:ascii="仿宋" w:hAnsi="仿宋" w:eastAsia="仿宋" w:cs="仿宋"/>
                <w:color w:val="auto"/>
                <w:sz w:val="21"/>
                <w:szCs w:val="21"/>
                <w:highlight w:val="none"/>
                <w:lang w:eastAsia="zh-CN"/>
              </w:rPr>
            </w:pPr>
          </w:p>
          <w:p>
            <w:pPr>
              <w:pStyle w:val="30"/>
              <w:ind w:left="7"/>
              <w:rPr>
                <w:rFonts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小便器</w:t>
            </w:r>
          </w:p>
        </w:tc>
        <w:tc>
          <w:tcPr>
            <w:tcW w:w="189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pStyle w:val="30"/>
              <w:spacing w:before="124"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2"/>
                <w:w w:val="99"/>
                <w:sz w:val="21"/>
                <w:szCs w:val="21"/>
                <w:highlight w:val="none"/>
                <w:lang w:eastAsia="zh-CN"/>
              </w:rPr>
              <w:t>《小便器用水效率限定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及用</w:t>
            </w:r>
            <w:r>
              <w:rPr>
                <w:rFonts w:hint="eastAsia" w:ascii="仿宋" w:hAnsi="仿宋" w:eastAsia="仿宋" w:cs="仿宋"/>
                <w:color w:val="auto"/>
                <w:w w:val="99"/>
                <w:sz w:val="21"/>
                <w:szCs w:val="21"/>
                <w:highlight w:val="none"/>
                <w:lang w:eastAsia="zh-CN"/>
              </w:rPr>
              <w:t>水效率等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283</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1"/>
                <w:w w:val="99"/>
                <w:sz w:val="21"/>
                <w:szCs w:val="21"/>
                <w:highlight w:val="none"/>
                <w:lang w:eastAsia="zh-CN"/>
              </w:rPr>
              <w:t>7</w:t>
            </w:r>
            <w:r>
              <w:rPr>
                <w:rFonts w:hint="eastAsia" w:ascii="仿宋" w:hAnsi="仿宋" w:eastAsia="仿宋" w:cs="仿宋"/>
                <w:color w:val="auto"/>
                <w:w w:val="99"/>
                <w:sz w:val="21"/>
                <w:szCs w:val="21"/>
                <w:highlight w:val="none"/>
                <w:lang w:eastAsia="zh-CN"/>
              </w:rPr>
              <w:t>）</w:t>
            </w:r>
          </w:p>
        </w:tc>
      </w:tr>
      <w:tr>
        <w:tblPrEx>
          <w:tblCellMar>
            <w:top w:w="0" w:type="dxa"/>
            <w:left w:w="0" w:type="dxa"/>
            <w:bottom w:w="0" w:type="dxa"/>
            <w:right w:w="0" w:type="dxa"/>
          </w:tblCellMar>
        </w:tblPrEx>
        <w:trPr>
          <w:trHeight w:val="943"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8"/>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16</w:t>
            </w:r>
          </w:p>
        </w:tc>
        <w:tc>
          <w:tcPr>
            <w:tcW w:w="1160" w:type="dxa"/>
            <w:tcBorders>
              <w:top w:val="single" w:color="000000" w:sz="4" w:space="0"/>
              <w:left w:val="single" w:color="000000" w:sz="4" w:space="0"/>
              <w:bottom w:val="single" w:color="000000" w:sz="4" w:space="0"/>
              <w:right w:val="single" w:color="000000" w:sz="4" w:space="0"/>
            </w:tcBorders>
          </w:tcPr>
          <w:p>
            <w:pPr>
              <w:pStyle w:val="30"/>
              <w:spacing w:before="153"/>
              <w:ind w:left="7"/>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★A060806水</w:t>
            </w:r>
            <w:r>
              <w:rPr>
                <w:rFonts w:hint="eastAsia" w:ascii="仿宋" w:hAnsi="仿宋" w:eastAsia="仿宋" w:cs="仿宋"/>
                <w:color w:val="auto"/>
                <w:w w:val="99"/>
                <w:sz w:val="21"/>
                <w:szCs w:val="21"/>
                <w:highlight w:val="none"/>
              </w:rPr>
              <w:t>嘴</w:t>
            </w:r>
          </w:p>
        </w:tc>
        <w:tc>
          <w:tcPr>
            <w:tcW w:w="179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53"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《水嘴用水效率限定值及用水效</w:t>
            </w:r>
            <w:r>
              <w:rPr>
                <w:rFonts w:hint="eastAsia" w:ascii="仿宋" w:hAnsi="仿宋" w:eastAsia="仿宋" w:cs="仿宋"/>
                <w:color w:val="auto"/>
                <w:sz w:val="21"/>
                <w:szCs w:val="21"/>
                <w:highlight w:val="none"/>
                <w:lang w:eastAsia="zh-CN"/>
              </w:rPr>
              <w:t>率等级》（GB 25501）</w:t>
            </w:r>
          </w:p>
        </w:tc>
      </w:tr>
      <w:tr>
        <w:tblPrEx>
          <w:tblCellMar>
            <w:top w:w="0" w:type="dxa"/>
            <w:left w:w="0" w:type="dxa"/>
            <w:bottom w:w="0" w:type="dxa"/>
            <w:right w:w="0" w:type="dxa"/>
          </w:tblCellMar>
        </w:tblPrEx>
        <w:trPr>
          <w:trHeight w:val="862"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6"/>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17</w:t>
            </w:r>
          </w:p>
        </w:tc>
        <w:tc>
          <w:tcPr>
            <w:tcW w:w="1160" w:type="dxa"/>
            <w:tcBorders>
              <w:top w:val="single" w:color="000000" w:sz="4" w:space="0"/>
              <w:left w:val="single" w:color="000000" w:sz="4" w:space="0"/>
              <w:bottom w:val="single" w:color="000000" w:sz="4" w:space="0"/>
              <w:right w:val="single" w:color="000000" w:sz="4" w:space="0"/>
            </w:tcBorders>
          </w:tcPr>
          <w:p>
            <w:pPr>
              <w:pStyle w:val="30"/>
              <w:spacing w:before="112"/>
              <w:ind w:left="7"/>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A060807便器冲洗阀</w:t>
            </w:r>
          </w:p>
        </w:tc>
        <w:tc>
          <w:tcPr>
            <w:tcW w:w="179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12"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《便器冲洗阀用水效率限定值及</w:t>
            </w:r>
            <w:r>
              <w:rPr>
                <w:rFonts w:hint="eastAsia" w:ascii="仿宋" w:hAnsi="仿宋" w:eastAsia="仿宋" w:cs="仿宋"/>
                <w:color w:val="auto"/>
                <w:sz w:val="21"/>
                <w:szCs w:val="21"/>
                <w:highlight w:val="none"/>
                <w:lang w:eastAsia="zh-CN"/>
              </w:rPr>
              <w:t>用水效率等级》（GB28379）</w:t>
            </w:r>
          </w:p>
        </w:tc>
      </w:tr>
      <w:tr>
        <w:tblPrEx>
          <w:tblCellMar>
            <w:top w:w="0" w:type="dxa"/>
            <w:left w:w="0" w:type="dxa"/>
            <w:bottom w:w="0" w:type="dxa"/>
            <w:right w:w="0" w:type="dxa"/>
          </w:tblCellMar>
        </w:tblPrEx>
        <w:trPr>
          <w:trHeight w:val="902" w:hRule="exact"/>
        </w:trPr>
        <w:tc>
          <w:tcPr>
            <w:tcW w:w="586" w:type="dxa"/>
            <w:tcBorders>
              <w:top w:val="single" w:color="000000" w:sz="4" w:space="0"/>
              <w:left w:val="single" w:color="000000" w:sz="4" w:space="0"/>
              <w:bottom w:val="single" w:color="000000" w:sz="4" w:space="0"/>
              <w:right w:val="single" w:color="000000" w:sz="4" w:space="0"/>
            </w:tcBorders>
          </w:tcPr>
          <w:p>
            <w:pPr>
              <w:pStyle w:val="30"/>
              <w:spacing w:before="12"/>
              <w:rPr>
                <w:rFonts w:ascii="新宋体" w:hAnsi="新宋体" w:eastAsia="新宋体" w:cs="新宋体"/>
                <w:color w:val="auto"/>
                <w:sz w:val="21"/>
                <w:szCs w:val="21"/>
                <w:highlight w:val="none"/>
                <w:lang w:eastAsia="zh-CN"/>
              </w:rPr>
            </w:pPr>
          </w:p>
          <w:p>
            <w:pPr>
              <w:pStyle w:val="30"/>
              <w:ind w:left="182"/>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18</w:t>
            </w:r>
          </w:p>
        </w:tc>
        <w:tc>
          <w:tcPr>
            <w:tcW w:w="1160" w:type="dxa"/>
            <w:tcBorders>
              <w:top w:val="single" w:color="000000" w:sz="4" w:space="0"/>
              <w:left w:val="single" w:color="000000" w:sz="4" w:space="0"/>
              <w:bottom w:val="single" w:color="000000" w:sz="4" w:space="0"/>
              <w:right w:val="single" w:color="000000" w:sz="4" w:space="0"/>
            </w:tcBorders>
          </w:tcPr>
          <w:p>
            <w:pPr>
              <w:pStyle w:val="30"/>
              <w:spacing w:before="131"/>
              <w:ind w:left="7"/>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A060810淋浴</w:t>
            </w:r>
            <w:r>
              <w:rPr>
                <w:rFonts w:hint="eastAsia" w:ascii="仿宋" w:hAnsi="仿宋" w:eastAsia="仿宋" w:cs="仿宋"/>
                <w:color w:val="auto"/>
                <w:w w:val="99"/>
                <w:sz w:val="21"/>
                <w:szCs w:val="21"/>
                <w:highlight w:val="none"/>
              </w:rPr>
              <w:t>器</w:t>
            </w:r>
          </w:p>
        </w:tc>
        <w:tc>
          <w:tcPr>
            <w:tcW w:w="179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18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Cs w:val="21"/>
                <w:highlight w:val="none"/>
                <w:lang w:eastAsia="en-US"/>
              </w:rPr>
            </w:pPr>
          </w:p>
        </w:tc>
        <w:tc>
          <w:tcPr>
            <w:tcW w:w="3000" w:type="dxa"/>
            <w:tcBorders>
              <w:top w:val="single" w:color="000000" w:sz="4" w:space="0"/>
              <w:left w:val="single" w:color="000000" w:sz="4" w:space="0"/>
              <w:bottom w:val="single" w:color="000000" w:sz="4" w:space="0"/>
              <w:right w:val="single" w:color="000000" w:sz="4" w:space="0"/>
            </w:tcBorders>
          </w:tcPr>
          <w:p>
            <w:pPr>
              <w:pStyle w:val="30"/>
              <w:spacing w:before="131" w:line="280" w:lineRule="auto"/>
              <w:ind w:left="7" w:right="4"/>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《淋浴器用水效率限定值及用水</w:t>
            </w:r>
            <w:r>
              <w:rPr>
                <w:rFonts w:hint="eastAsia" w:ascii="仿宋" w:hAnsi="仿宋" w:eastAsia="仿宋" w:cs="仿宋"/>
                <w:color w:val="auto"/>
                <w:sz w:val="21"/>
                <w:szCs w:val="21"/>
                <w:highlight w:val="none"/>
                <w:lang w:eastAsia="zh-CN"/>
              </w:rPr>
              <w:t>效率等级》（GB28378）</w:t>
            </w:r>
          </w:p>
        </w:tc>
      </w:tr>
    </w:tbl>
    <w:p>
      <w:pPr>
        <w:pStyle w:val="11"/>
        <w:spacing w:line="360" w:lineRule="auto"/>
        <w:rPr>
          <w:rFonts w:ascii="宋体" w:hAnsi="宋体"/>
          <w:color w:val="auto"/>
          <w:sz w:val="21"/>
          <w:szCs w:val="21"/>
          <w:highlight w:val="none"/>
        </w:rPr>
      </w:pPr>
    </w:p>
    <w:p>
      <w:pPr>
        <w:pStyle w:val="11"/>
        <w:spacing w:line="360" w:lineRule="auto"/>
        <w:rPr>
          <w:rFonts w:ascii="宋体"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pPr>
        <w:pStyle w:val="11"/>
        <w:spacing w:line="360" w:lineRule="auto"/>
        <w:ind w:firstLine="420" w:firstLineChars="200"/>
        <w:rPr>
          <w:rFonts w:ascii="宋体" w:hAnsi="宋体" w:cs="宋体"/>
          <w:color w:val="auto"/>
          <w:sz w:val="21"/>
          <w:szCs w:val="21"/>
          <w:highlight w:val="none"/>
        </w:rPr>
      </w:pPr>
      <w:r>
        <w:rPr>
          <w:color w:val="auto"/>
          <w:sz w:val="21"/>
          <w:szCs w:val="21"/>
          <w:highlight w:val="none"/>
        </w:rPr>
        <w:t>2.</w:t>
      </w:r>
      <w:r>
        <w:rPr>
          <w:rFonts w:hint="eastAsia"/>
          <w:color w:val="auto"/>
          <w:sz w:val="21"/>
          <w:szCs w:val="21"/>
          <w:highlight w:val="none"/>
        </w:rPr>
        <w:t>以</w:t>
      </w:r>
      <w:r>
        <w:rPr>
          <w:color w:val="auto"/>
          <w:sz w:val="21"/>
          <w:szCs w:val="21"/>
          <w:highlight w:val="none"/>
        </w:rPr>
        <w:t>“</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标注的为政府强制采购产品。</w:t>
      </w:r>
    </w:p>
    <w:p>
      <w:pPr>
        <w:spacing w:line="428" w:lineRule="exact"/>
        <w:rPr>
          <w:rFonts w:ascii="宋体" w:hAnsi="宋体" w:cs="宋体"/>
          <w:color w:val="auto"/>
          <w:szCs w:val="21"/>
          <w:highlight w:val="none"/>
        </w:rPr>
      </w:pPr>
    </w:p>
    <w:p>
      <w:pPr>
        <w:pStyle w:val="14"/>
        <w:rPr>
          <w:rFonts w:hAnsi="宋体" w:cs="宋体"/>
          <w:color w:val="auto"/>
          <w:sz w:val="32"/>
          <w:szCs w:val="32"/>
          <w:highlight w:val="none"/>
        </w:rPr>
      </w:pPr>
      <w:r>
        <w:rPr>
          <w:rFonts w:hAnsi="宋体" w:cs="宋体"/>
          <w:color w:val="auto"/>
          <w:szCs w:val="20"/>
          <w:highlight w:val="none"/>
        </w:rPr>
        <w:br w:type="page"/>
      </w:r>
      <w:r>
        <w:rPr>
          <w:rFonts w:hint="eastAsia" w:hAnsi="宋体" w:cs="宋体"/>
          <w:color w:val="auto"/>
          <w:sz w:val="32"/>
          <w:szCs w:val="32"/>
          <w:highlight w:val="none"/>
        </w:rPr>
        <w:t>附件2：</w:t>
      </w:r>
    </w:p>
    <w:p>
      <w:pPr>
        <w:spacing w:line="528" w:lineRule="exact"/>
        <w:ind w:left="1871" w:firstLine="1200" w:firstLineChars="3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2"/>
        <w:tblW w:w="9637" w:type="dxa"/>
        <w:tblInd w:w="250" w:type="dxa"/>
        <w:tblLayout w:type="fixed"/>
        <w:tblCellMar>
          <w:top w:w="0" w:type="dxa"/>
          <w:left w:w="108" w:type="dxa"/>
          <w:bottom w:w="0" w:type="dxa"/>
          <w:right w:w="108" w:type="dxa"/>
        </w:tblCellMar>
      </w:tblPr>
      <w:tblGrid>
        <w:gridCol w:w="2177"/>
        <w:gridCol w:w="1652"/>
        <w:gridCol w:w="1231"/>
        <w:gridCol w:w="1823"/>
        <w:gridCol w:w="1621"/>
        <w:gridCol w:w="1133"/>
      </w:tblGrid>
      <w:tr>
        <w:tblPrEx>
          <w:tblCellMar>
            <w:top w:w="0" w:type="dxa"/>
            <w:left w:w="108" w:type="dxa"/>
            <w:bottom w:w="0" w:type="dxa"/>
            <w:right w:w="108" w:type="dxa"/>
          </w:tblCellMar>
        </w:tblPrEx>
        <w:trPr>
          <w:trHeight w:val="587" w:hRule="atLeast"/>
        </w:trPr>
        <w:tc>
          <w:tcPr>
            <w:tcW w:w="2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行业名称</w:t>
            </w:r>
          </w:p>
        </w:tc>
        <w:tc>
          <w:tcPr>
            <w:tcW w:w="1652" w:type="dxa"/>
            <w:tcBorders>
              <w:top w:val="single" w:color="auto" w:sz="4" w:space="0"/>
              <w:left w:val="nil"/>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指标名称</w:t>
            </w:r>
          </w:p>
        </w:tc>
        <w:tc>
          <w:tcPr>
            <w:tcW w:w="1231" w:type="dxa"/>
            <w:tcBorders>
              <w:top w:val="single" w:color="auto" w:sz="4" w:space="0"/>
              <w:left w:val="nil"/>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计量单位</w:t>
            </w:r>
          </w:p>
        </w:tc>
        <w:tc>
          <w:tcPr>
            <w:tcW w:w="1823" w:type="dxa"/>
            <w:tcBorders>
              <w:top w:val="single" w:color="auto" w:sz="4" w:space="0"/>
              <w:left w:val="nil"/>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中型</w:t>
            </w:r>
          </w:p>
        </w:tc>
        <w:tc>
          <w:tcPr>
            <w:tcW w:w="1621" w:type="dxa"/>
            <w:tcBorders>
              <w:top w:val="single" w:color="auto" w:sz="4" w:space="0"/>
              <w:left w:val="nil"/>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小型</w:t>
            </w:r>
          </w:p>
        </w:tc>
        <w:tc>
          <w:tcPr>
            <w:tcW w:w="1133" w:type="dxa"/>
            <w:tcBorders>
              <w:top w:val="single" w:color="auto" w:sz="4" w:space="0"/>
              <w:left w:val="nil"/>
              <w:bottom w:val="single" w:color="auto" w:sz="4" w:space="0"/>
              <w:right w:val="single" w:color="auto" w:sz="4" w:space="0"/>
            </w:tcBorders>
            <w:vAlign w:val="center"/>
          </w:tcPr>
          <w:p>
            <w:pPr>
              <w:rPr>
                <w:rFonts w:ascii="宋体" w:hAnsi="宋体" w:cs="宋体"/>
                <w:b/>
                <w:color w:val="auto"/>
                <w:sz w:val="24"/>
                <w:highlight w:val="none"/>
              </w:rPr>
            </w:pPr>
            <w:r>
              <w:rPr>
                <w:rFonts w:hint="eastAsia" w:ascii="宋体" w:hAnsi="宋体" w:cs="宋体"/>
                <w:b/>
                <w:color w:val="auto"/>
                <w:sz w:val="24"/>
                <w:highlight w:val="none"/>
              </w:rPr>
              <w:t>微型</w:t>
            </w:r>
          </w:p>
        </w:tc>
      </w:tr>
      <w:tr>
        <w:tblPrEx>
          <w:tblCellMar>
            <w:top w:w="0" w:type="dxa"/>
            <w:left w:w="108" w:type="dxa"/>
            <w:bottom w:w="0" w:type="dxa"/>
            <w:right w:w="108" w:type="dxa"/>
          </w:tblCellMar>
        </w:tblPrEx>
        <w:trPr>
          <w:trHeight w:val="437" w:hRule="atLeast"/>
        </w:trPr>
        <w:tc>
          <w:tcPr>
            <w:tcW w:w="2177" w:type="dxa"/>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农、林、牧、渔</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50≤Y＜500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Y＜50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2000≤Y＜40000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300≤Y＜2000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建筑业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6000≤Y＜80000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300≤Y＜6000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5000≤Z＜80000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300≤Z＜5000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Z＜300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批发业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20≤X＜200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5≤X＜20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X＜5</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5000≤Y＜40000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零售业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50≤X＜300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10≤X＜50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100≤Y＜500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交通运输业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3000≤Y＜30000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200≤Y＜3000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Y＜200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仓储业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100≤X＜200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20≤X＜100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1000≤Y＜30000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邮政业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2000≤Y＜30000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住宿业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餐饮业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信息传输业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100≤X＜2000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1000≤Y＜100000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软件和信息技术服务业</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1000≤Y＜10000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50≤Y＜1000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Y＜50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房地产开发经营</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1000≤Y＜200000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100≤X＜1000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5000≤Z＜10000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2000≤Y＜5000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Y＜2000</w:t>
            </w:r>
          </w:p>
        </w:tc>
      </w:tr>
      <w:tr>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物业管理</w:t>
            </w: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tblPrEx>
          <w:tblCellMar>
            <w:top w:w="0" w:type="dxa"/>
            <w:left w:w="108" w:type="dxa"/>
            <w:bottom w:w="0" w:type="dxa"/>
            <w:right w:w="108" w:type="dxa"/>
          </w:tblCellMar>
        </w:tblPrEx>
        <w:trPr>
          <w:trHeight w:val="455" w:hRule="atLeast"/>
        </w:trPr>
        <w:tc>
          <w:tcPr>
            <w:tcW w:w="2177"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62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500≤Y＜1000</w:t>
            </w:r>
          </w:p>
        </w:tc>
        <w:tc>
          <w:tcPr>
            <w:tcW w:w="113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Y＜500</w:t>
            </w:r>
          </w:p>
        </w:tc>
      </w:tr>
    </w:tbl>
    <w:p>
      <w:pPr>
        <w:jc w:val="center"/>
        <w:rPr>
          <w:rFonts w:ascii="宋体" w:hAnsi="宋体" w:cs="宋体"/>
          <w:b/>
          <w:bCs/>
          <w:color w:val="auto"/>
          <w:sz w:val="18"/>
          <w:szCs w:val="18"/>
          <w:highlight w:val="none"/>
        </w:rPr>
        <w:sectPr>
          <w:footerReference r:id="rId5" w:type="default"/>
          <w:pgSz w:w="11906" w:h="16838"/>
          <w:pgMar w:top="1134" w:right="1134" w:bottom="1134" w:left="1134" w:header="720" w:footer="720" w:gutter="0"/>
          <w:pgNumType w:start="1"/>
          <w:cols w:space="720" w:num="1"/>
          <w:docGrid w:type="lines" w:linePitch="331" w:charSpace="0"/>
        </w:sectPr>
      </w:pPr>
    </w:p>
    <w:tbl>
      <w:tblPr>
        <w:tblStyle w:val="22"/>
        <w:tblW w:w="9176" w:type="dxa"/>
        <w:tblInd w:w="250" w:type="dxa"/>
        <w:tblLayout w:type="fixed"/>
        <w:tblCellMar>
          <w:top w:w="0" w:type="dxa"/>
          <w:left w:w="108" w:type="dxa"/>
          <w:bottom w:w="0" w:type="dxa"/>
          <w:right w:w="108" w:type="dxa"/>
        </w:tblCellMar>
      </w:tblPr>
      <w:tblGrid>
        <w:gridCol w:w="1956"/>
        <w:gridCol w:w="1591"/>
        <w:gridCol w:w="1049"/>
        <w:gridCol w:w="1862"/>
        <w:gridCol w:w="1655"/>
        <w:gridCol w:w="1063"/>
      </w:tblGrid>
      <w:tr>
        <w:tblPrEx>
          <w:tblCellMar>
            <w:top w:w="0" w:type="dxa"/>
            <w:left w:w="108" w:type="dxa"/>
            <w:bottom w:w="0" w:type="dxa"/>
            <w:right w:w="108" w:type="dxa"/>
          </w:tblCellMar>
        </w:tblPrEx>
        <w:trPr>
          <w:trHeight w:val="476" w:hRule="atLeast"/>
        </w:trPr>
        <w:tc>
          <w:tcPr>
            <w:tcW w:w="1956" w:type="dxa"/>
            <w:vMerge w:val="restart"/>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租赁和商务服务业</w:t>
            </w:r>
          </w:p>
        </w:tc>
        <w:tc>
          <w:tcPr>
            <w:tcW w:w="159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049"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6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55"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06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tblPrEx>
          <w:tblCellMar>
            <w:top w:w="0" w:type="dxa"/>
            <w:left w:w="108" w:type="dxa"/>
            <w:bottom w:w="0" w:type="dxa"/>
            <w:right w:w="108" w:type="dxa"/>
          </w:tblCellMar>
        </w:tblPrEx>
        <w:trPr>
          <w:trHeight w:val="486" w:hRule="atLeast"/>
        </w:trPr>
        <w:tc>
          <w:tcPr>
            <w:tcW w:w="1956"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auto"/>
                <w:sz w:val="18"/>
                <w:szCs w:val="18"/>
                <w:highlight w:val="none"/>
              </w:rPr>
            </w:pPr>
          </w:p>
        </w:tc>
        <w:tc>
          <w:tcPr>
            <w:tcW w:w="159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049"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6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8000≤Z＜120000</w:t>
            </w:r>
          </w:p>
        </w:tc>
        <w:tc>
          <w:tcPr>
            <w:tcW w:w="1655"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100≤Z＜8000</w:t>
            </w:r>
          </w:p>
        </w:tc>
        <w:tc>
          <w:tcPr>
            <w:tcW w:w="106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tblPrEx>
          <w:tblCellMar>
            <w:top w:w="0" w:type="dxa"/>
            <w:left w:w="108" w:type="dxa"/>
            <w:bottom w:w="0" w:type="dxa"/>
            <w:right w:w="108" w:type="dxa"/>
          </w:tblCellMar>
        </w:tblPrEx>
        <w:trPr>
          <w:trHeight w:val="496" w:hRule="atLeast"/>
        </w:trPr>
        <w:tc>
          <w:tcPr>
            <w:tcW w:w="1956" w:type="dxa"/>
            <w:tcBorders>
              <w:top w:val="nil"/>
              <w:left w:val="single" w:color="auto" w:sz="4" w:space="0"/>
              <w:bottom w:val="single" w:color="auto" w:sz="4" w:space="0"/>
              <w:right w:val="single" w:color="auto" w:sz="4" w:space="0"/>
            </w:tcBorders>
            <w:vAlign w:val="bottom"/>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其他未列明行业</w:t>
            </w:r>
          </w:p>
        </w:tc>
        <w:tc>
          <w:tcPr>
            <w:tcW w:w="1591"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049"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62"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55"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06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bl>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1"/>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jc w:val="center"/>
        <w:rPr>
          <w:rFonts w:ascii="宋体" w:hAnsi="宋体" w:cs="宋体"/>
          <w:b/>
          <w:color w:val="auto"/>
          <w:sz w:val="84"/>
          <w:szCs w:val="84"/>
          <w:highlight w:val="none"/>
        </w:rPr>
      </w:pPr>
      <w:r>
        <w:rPr>
          <w:rFonts w:hint="eastAsia" w:ascii="宋体" w:hAnsi="宋体" w:cs="宋体"/>
          <w:b/>
          <w:color w:val="auto"/>
          <w:spacing w:val="92"/>
          <w:kern w:val="0"/>
          <w:sz w:val="84"/>
          <w:szCs w:val="84"/>
          <w:highlight w:val="none"/>
          <w:fitText w:val="8009" w:id="1018199930"/>
        </w:rPr>
        <w:t>崇左市财政局文</w:t>
      </w:r>
      <w:r>
        <w:rPr>
          <w:rFonts w:hint="eastAsia" w:ascii="宋体" w:hAnsi="宋体" w:cs="宋体"/>
          <w:b/>
          <w:color w:val="auto"/>
          <w:spacing w:val="0"/>
          <w:kern w:val="0"/>
          <w:sz w:val="84"/>
          <w:szCs w:val="84"/>
          <w:highlight w:val="none"/>
          <w:fitText w:val="8009" w:id="1018199930"/>
        </w:rPr>
        <w:t>件</w:t>
      </w:r>
    </w:p>
    <w:p>
      <w:pPr>
        <w:rPr>
          <w:b/>
          <w:color w:val="auto"/>
          <w:sz w:val="24"/>
          <w:highlight w:val="none"/>
        </w:rPr>
      </w:pPr>
    </w:p>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崇财采〔2023〕10号</w:t>
      </w:r>
    </w:p>
    <w:p>
      <w:pPr>
        <w:ind w:left="-283" w:leftChars="-135" w:right="-197" w:rightChars="-94"/>
        <w:jc w:val="center"/>
        <w:rPr>
          <w:b/>
          <w:color w:val="auto"/>
          <w:w w:val="150"/>
          <w:sz w:val="18"/>
          <w:szCs w:val="18"/>
          <w:highlight w:val="none"/>
        </w:rPr>
      </w:pPr>
      <w:r>
        <w:rPr>
          <w:b/>
          <w:color w:val="auto"/>
          <w:sz w:val="18"/>
          <w:szCs w:val="18"/>
          <w:highlight w:val="none"/>
        </w:rPr>
        <w:pict>
          <v:rect id="_x0000_i1025" o:spt="1" style="height:0.05pt;width:415.3pt;" fillcolor="#FF0000" filled="t" stroked="f" coordsize="21600,21600" o:hr="t" o:hrstd="t" o:hrnoshade="t" o:hralign="center">
            <v:path/>
            <v:fill on="t" focussize="0,0"/>
            <v:stroke on="f"/>
            <v:imagedata o:title=""/>
            <o:lock v:ext="edit"/>
            <w10:wrap type="none"/>
            <w10:anchorlock/>
          </v:rect>
        </w:pict>
      </w:r>
    </w:p>
    <w:p>
      <w:pPr>
        <w:spacing w:line="440" w:lineRule="exact"/>
        <w:jc w:val="center"/>
        <w:rPr>
          <w:rFonts w:ascii="方正小标宋简体" w:hAnsi="方正小标宋简体" w:eastAsia="方正小标宋简体" w:cs="方正小标宋简体"/>
          <w:color w:val="auto"/>
          <w:sz w:val="44"/>
          <w:szCs w:val="44"/>
          <w:highlight w:val="none"/>
        </w:rPr>
      </w:pPr>
    </w:p>
    <w:p>
      <w:pPr>
        <w:spacing w:line="560" w:lineRule="exact"/>
        <w:jc w:val="center"/>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rPr>
        <w:t>崇左市财政局关于进一步做好线上“政采贷”</w:t>
      </w:r>
    </w:p>
    <w:p>
      <w:pPr>
        <w:spacing w:line="560" w:lineRule="exact"/>
        <w:jc w:val="center"/>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rPr>
        <w:t>融资业务工作的通知</w:t>
      </w:r>
    </w:p>
    <w:p>
      <w:pPr>
        <w:spacing w:line="540" w:lineRule="exact"/>
        <w:jc w:val="center"/>
        <w:rPr>
          <w:rFonts w:ascii="方正小标宋_GBK" w:hAnsi="仿宋" w:eastAsia="方正小标宋_GBK"/>
          <w:color w:val="auto"/>
          <w:sz w:val="44"/>
          <w:szCs w:val="44"/>
          <w:highlight w:val="none"/>
        </w:rPr>
      </w:pPr>
    </w:p>
    <w:p>
      <w:pPr>
        <w:spacing w:line="560" w:lineRule="exact"/>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市直各预算单位、</w:t>
      </w:r>
      <w:r>
        <w:rPr>
          <w:rFonts w:hint="eastAsia" w:ascii="仿宋_GB2312" w:eastAsia="仿宋_GB2312"/>
          <w:color w:val="auto"/>
          <w:spacing w:val="16"/>
          <w:sz w:val="32"/>
          <w:szCs w:val="32"/>
          <w:highlight w:val="none"/>
          <w:lang w:eastAsia="zh-Hans"/>
        </w:rPr>
        <w:t>各县（</w:t>
      </w:r>
      <w:r>
        <w:rPr>
          <w:rFonts w:hint="eastAsia" w:ascii="仿宋_GB2312" w:eastAsia="仿宋_GB2312"/>
          <w:color w:val="auto"/>
          <w:spacing w:val="16"/>
          <w:sz w:val="32"/>
          <w:szCs w:val="32"/>
          <w:highlight w:val="none"/>
        </w:rPr>
        <w:t>市、</w:t>
      </w:r>
      <w:r>
        <w:rPr>
          <w:rFonts w:hint="eastAsia" w:ascii="仿宋_GB2312" w:eastAsia="仿宋_GB2312"/>
          <w:color w:val="auto"/>
          <w:spacing w:val="16"/>
          <w:sz w:val="32"/>
          <w:szCs w:val="32"/>
          <w:highlight w:val="none"/>
          <w:lang w:eastAsia="zh-Hans"/>
        </w:rPr>
        <w:t>区）财政局</w:t>
      </w:r>
      <w:r>
        <w:rPr>
          <w:rFonts w:hint="eastAsia" w:ascii="仿宋_GB2312" w:eastAsia="仿宋_GB2312"/>
          <w:color w:val="auto"/>
          <w:spacing w:val="16"/>
          <w:sz w:val="32"/>
          <w:szCs w:val="32"/>
          <w:highlight w:val="none"/>
        </w:rPr>
        <w:t>、</w:t>
      </w:r>
      <w:r>
        <w:rPr>
          <w:rFonts w:hint="eastAsia" w:ascii="仿宋_GB2312" w:eastAsia="仿宋_GB2312"/>
          <w:color w:val="auto"/>
          <w:sz w:val="32"/>
          <w:szCs w:val="32"/>
          <w:highlight w:val="none"/>
        </w:rPr>
        <w:t>各采购代理机构：</w:t>
      </w:r>
    </w:p>
    <w:p>
      <w:pPr>
        <w:spacing w:line="560" w:lineRule="exact"/>
        <w:ind w:firstLine="640" w:firstLineChars="20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rPr>
        <w:t>为加大政府采购支持中小企业力度，帮助</w:t>
      </w:r>
      <w:r>
        <w:rPr>
          <w:rFonts w:hint="eastAsia" w:ascii="仿宋_GB2312" w:eastAsia="仿宋_GB2312"/>
          <w:color w:val="auto"/>
          <w:sz w:val="32"/>
          <w:szCs w:val="32"/>
          <w:highlight w:val="none"/>
          <w:shd w:val="clear" w:color="auto" w:fill="FFFFFF"/>
        </w:rPr>
        <w:t>政府采购中标（成交）供应商解决融资难、融资贵的问题，进一步做好线上“政采贷”融资业务工作。经研究，现将有关事项通知如下：</w:t>
      </w:r>
    </w:p>
    <w:p>
      <w:pPr>
        <w:spacing w:line="560" w:lineRule="exact"/>
        <w:ind w:firstLine="640" w:firstLineChars="20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color w:val="auto"/>
          <w:sz w:val="32"/>
          <w:szCs w:val="32"/>
          <w:highlight w:val="none"/>
        </w:rPr>
        <w:t>采购人</w:t>
      </w:r>
      <w:r>
        <w:rPr>
          <w:rFonts w:hint="eastAsia" w:ascii="仿宋_GB2312" w:hAnsi="宋体" w:eastAsia="仿宋_GB2312"/>
          <w:color w:val="auto"/>
          <w:sz w:val="32"/>
          <w:szCs w:val="32"/>
          <w:highlight w:val="none"/>
        </w:rPr>
        <w:t>应及时</w:t>
      </w:r>
      <w:r>
        <w:rPr>
          <w:rFonts w:hint="eastAsia" w:ascii="仿宋_GB2312" w:eastAsia="仿宋_GB2312"/>
          <w:color w:val="auto"/>
          <w:sz w:val="32"/>
          <w:szCs w:val="32"/>
          <w:highlight w:val="none"/>
        </w:rPr>
        <w:t>配合</w:t>
      </w:r>
      <w:r>
        <w:rPr>
          <w:rFonts w:hint="eastAsia" w:ascii="仿宋_GB2312" w:hAnsi="宋体" w:eastAsia="仿宋_GB2312"/>
          <w:color w:val="auto"/>
          <w:sz w:val="32"/>
          <w:szCs w:val="32"/>
          <w:highlight w:val="none"/>
        </w:rPr>
        <w:t>签订政府采购合同，</w:t>
      </w:r>
      <w:r>
        <w:rPr>
          <w:rFonts w:hint="eastAsia" w:ascii="仿宋_GB2312" w:eastAsia="仿宋_GB2312"/>
          <w:color w:val="auto"/>
          <w:sz w:val="32"/>
          <w:szCs w:val="32"/>
          <w:highlight w:val="none"/>
        </w:rPr>
        <w:t>督促采购代理机构按时完成合同公告工作（政府采购公告法定网站“广西政府采购网”），缩短“政采贷”办理时间。采购人应主动向中标（成交）供应商宣传“政采贷”相关政策，配合、协助其在</w:t>
      </w:r>
      <w:r>
        <w:rPr>
          <w:rFonts w:hint="eastAsia" w:ascii="仿宋_GB2312" w:hAnsi="宋体" w:eastAsia="仿宋_GB2312"/>
          <w:color w:val="auto"/>
          <w:sz w:val="32"/>
          <w:szCs w:val="32"/>
          <w:highlight w:val="none"/>
        </w:rPr>
        <w:t>“中征应收账款融资服务平台”</w:t>
      </w:r>
      <w:r>
        <w:rPr>
          <w:rFonts w:hint="eastAsia" w:ascii="仿宋_GB2312" w:eastAsia="仿宋_GB2312"/>
          <w:color w:val="auto"/>
          <w:sz w:val="32"/>
          <w:szCs w:val="32"/>
          <w:highlight w:val="none"/>
        </w:rPr>
        <w:t>向相关金融机构申请</w:t>
      </w:r>
      <w:r>
        <w:rPr>
          <w:rFonts w:hint="eastAsia" w:ascii="仿宋_GB2312" w:hAnsi="宋体" w:eastAsia="仿宋_GB2312"/>
          <w:color w:val="auto"/>
          <w:sz w:val="32"/>
          <w:szCs w:val="32"/>
          <w:highlight w:val="none"/>
        </w:rPr>
        <w:t>“政采贷”</w:t>
      </w:r>
      <w:r>
        <w:rPr>
          <w:rFonts w:hint="eastAsia" w:ascii="仿宋_GB2312" w:eastAsia="仿宋_GB2312"/>
          <w:color w:val="auto"/>
          <w:sz w:val="32"/>
          <w:szCs w:val="32"/>
          <w:highlight w:val="none"/>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pPr>
        <w:spacing w:line="560" w:lineRule="exact"/>
        <w:ind w:firstLine="640" w:firstLineChars="200"/>
        <w:rPr>
          <w:rFonts w:ascii="仿宋_GB2312" w:eastAsia="仿宋_GB2312"/>
          <w:color w:val="auto"/>
          <w:sz w:val="32"/>
          <w:szCs w:val="32"/>
          <w:highlight w:val="none"/>
        </w:rPr>
      </w:pPr>
    </w:p>
    <w:p>
      <w:pPr>
        <w:pStyle w:val="21"/>
        <w:spacing w:after="0" w:line="560" w:lineRule="exact"/>
        <w:ind w:left="1700" w:hanging="1280" w:hangingChars="400"/>
        <w:jc w:val="left"/>
        <w:rPr>
          <w:rFonts w:hAnsi="仿宋_GB2312" w:eastAsia="仿宋_GB2312" w:cs="仿宋_GB2312"/>
          <w:color w:val="auto"/>
          <w:highlight w:val="none"/>
        </w:rPr>
      </w:pPr>
      <w:r>
        <w:rPr>
          <w:rFonts w:hint="eastAsia" w:hAnsi="仿宋_GB2312" w:eastAsia="仿宋_GB2312" w:cs="仿宋_GB2312"/>
          <w:color w:val="auto"/>
          <w:highlight w:val="none"/>
        </w:rPr>
        <w:t>附件：1.中国人民银行崇左市中心支行 崇左市财政局转发关于推广线上“政采贷”融资模式文件的通知</w:t>
      </w:r>
    </w:p>
    <w:p>
      <w:pPr>
        <w:pStyle w:val="21"/>
        <w:spacing w:after="0" w:line="560" w:lineRule="exact"/>
        <w:ind w:left="0" w:leftChars="0" w:firstLine="1600" w:firstLineChars="500"/>
        <w:jc w:val="left"/>
        <w:rPr>
          <w:rFonts w:hAnsi="仿宋_GB2312" w:eastAsia="仿宋_GB2312" w:cs="仿宋_GB2312"/>
          <w:color w:val="auto"/>
          <w:highlight w:val="none"/>
        </w:rPr>
      </w:pPr>
      <w:r>
        <w:rPr>
          <w:rFonts w:hint="eastAsia" w:hAnsi="仿宋_GB2312" w:eastAsia="仿宋_GB2312" w:cs="仿宋_GB2312"/>
          <w:color w:val="auto"/>
          <w:highlight w:val="none"/>
        </w:rPr>
        <w:t>2.崇左市线上“政采贷”政策告知函</w:t>
      </w:r>
    </w:p>
    <w:p>
      <w:pPr>
        <w:pStyle w:val="21"/>
        <w:spacing w:after="0" w:line="560" w:lineRule="exact"/>
        <w:ind w:left="0" w:leftChars="0" w:firstLine="640"/>
        <w:jc w:val="left"/>
        <w:rPr>
          <w:rFonts w:hAnsi="仿宋_GB2312" w:eastAsia="仿宋_GB2312" w:cs="仿宋_GB2312"/>
          <w:color w:val="auto"/>
          <w:highlight w:val="none"/>
        </w:rPr>
      </w:pPr>
      <w:r>
        <w:rPr>
          <w:rFonts w:hint="eastAsia"/>
          <w:color w:val="auto"/>
          <w:highlight w:val="none"/>
        </w:rPr>
        <w:t xml:space="preserve">      </w:t>
      </w:r>
      <w:r>
        <w:rPr>
          <w:rFonts w:hint="eastAsia" w:eastAsia="仿宋_GB2312"/>
          <w:color w:val="auto"/>
          <w:highlight w:val="none"/>
        </w:rPr>
        <w:t>3.</w:t>
      </w:r>
      <w:r>
        <w:rPr>
          <w:rFonts w:hint="eastAsia" w:hAnsi="仿宋_GB2312" w:eastAsia="仿宋_GB2312" w:cs="仿宋_GB2312"/>
          <w:color w:val="auto"/>
          <w:highlight w:val="none"/>
        </w:rPr>
        <w:t>崇左市线上“政采贷”业务流程图</w:t>
      </w:r>
    </w:p>
    <w:p>
      <w:pPr>
        <w:pStyle w:val="21"/>
        <w:spacing w:after="0" w:line="560" w:lineRule="exact"/>
        <w:ind w:left="0" w:leftChars="0" w:firstLine="640"/>
        <w:jc w:val="left"/>
        <w:rPr>
          <w:color w:val="auto"/>
          <w:highlight w:val="none"/>
        </w:rPr>
      </w:pPr>
      <w:r>
        <w:rPr>
          <w:rFonts w:hint="eastAsia"/>
          <w:color w:val="auto"/>
          <w:highlight w:val="none"/>
        </w:rPr>
        <w:t xml:space="preserve">     </w:t>
      </w:r>
      <w:r>
        <w:rPr>
          <w:rFonts w:hint="eastAsia" w:hAnsi="仿宋_GB2312" w:eastAsia="仿宋_GB2312" w:cs="仿宋_GB2312"/>
          <w:color w:val="auto"/>
          <w:highlight w:val="none"/>
        </w:rPr>
        <w:t xml:space="preserve"> 4.</w:t>
      </w:r>
      <w:r>
        <w:rPr>
          <w:rFonts w:hint="eastAsia"/>
          <w:color w:val="auto"/>
          <w:highlight w:val="none"/>
        </w:rPr>
        <w:t>崇左</w:t>
      </w:r>
      <w:r>
        <w:rPr>
          <w:rFonts w:hint="eastAsia" w:eastAsia="仿宋_GB2312"/>
          <w:color w:val="auto"/>
          <w:highlight w:val="none"/>
        </w:rPr>
        <w:t>市金融机构线上“政采贷”业务办理联络表</w:t>
      </w:r>
    </w:p>
    <w:p>
      <w:pPr>
        <w:pStyle w:val="21"/>
        <w:spacing w:after="0" w:line="560" w:lineRule="exact"/>
        <w:ind w:left="0" w:leftChars="0" w:firstLine="640"/>
        <w:jc w:val="left"/>
        <w:rPr>
          <w:rFonts w:eastAsia="仿宋_GB2312"/>
          <w:color w:val="auto"/>
          <w:highlight w:val="none"/>
        </w:rPr>
      </w:pPr>
    </w:p>
    <w:p>
      <w:pPr>
        <w:pStyle w:val="21"/>
        <w:spacing w:after="0" w:line="560" w:lineRule="exact"/>
        <w:ind w:left="0" w:leftChars="0" w:firstLine="640"/>
        <w:jc w:val="left"/>
        <w:rPr>
          <w:rFonts w:eastAsia="仿宋_GB2312"/>
          <w:color w:val="auto"/>
          <w:highlight w:val="none"/>
        </w:rPr>
      </w:pPr>
    </w:p>
    <w:p>
      <w:pPr>
        <w:pStyle w:val="21"/>
        <w:spacing w:after="0" w:line="560" w:lineRule="exact"/>
        <w:ind w:left="0" w:leftChars="0" w:firstLine="640"/>
        <w:jc w:val="left"/>
        <w:rPr>
          <w:rFonts w:eastAsia="仿宋_GB2312"/>
          <w:color w:val="auto"/>
          <w:highlight w:val="none"/>
        </w:rPr>
      </w:pPr>
    </w:p>
    <w:p>
      <w:pPr>
        <w:pStyle w:val="21"/>
        <w:spacing w:after="0" w:line="560" w:lineRule="exact"/>
        <w:ind w:left="0" w:leftChars="0" w:firstLine="640"/>
        <w:jc w:val="left"/>
        <w:rPr>
          <w:rFonts w:eastAsia="仿宋_GB2312"/>
          <w:color w:val="auto"/>
          <w:highlight w:val="none"/>
        </w:rPr>
      </w:pPr>
    </w:p>
    <w:p>
      <w:pPr>
        <w:spacing w:line="560" w:lineRule="exact"/>
        <w:ind w:firstLine="960" w:firstLineChars="3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崇左市财政局 </w:t>
      </w:r>
    </w:p>
    <w:p>
      <w:pPr>
        <w:spacing w:line="560" w:lineRule="exact"/>
        <w:ind w:firstLine="5120" w:firstLineChars="1600"/>
        <w:rPr>
          <w:rFonts w:ascii="仿宋_GB2312" w:eastAsia="仿宋_GB2312"/>
          <w:color w:val="auto"/>
          <w:sz w:val="32"/>
          <w:szCs w:val="32"/>
          <w:highlight w:val="none"/>
        </w:rPr>
      </w:pPr>
      <w:r>
        <w:rPr>
          <w:rFonts w:hint="eastAsia" w:ascii="仿宋_GB2312" w:eastAsia="仿宋_GB2312"/>
          <w:color w:val="auto"/>
          <w:sz w:val="32"/>
          <w:szCs w:val="32"/>
          <w:highlight w:val="none"/>
        </w:rPr>
        <w:t>2023年7月31日</w:t>
      </w:r>
    </w:p>
    <w:p>
      <w:pPr>
        <w:pStyle w:val="32"/>
        <w:spacing w:line="560" w:lineRule="exact"/>
        <w:ind w:firstLine="480"/>
        <w:rPr>
          <w:rFonts w:ascii="仿宋_GB2312" w:eastAsia="仿宋_GB2312"/>
          <w:color w:val="auto"/>
          <w:highlight w:val="none"/>
        </w:rPr>
      </w:pPr>
    </w:p>
    <w:p>
      <w:pPr>
        <w:spacing w:line="560" w:lineRule="exact"/>
        <w:jc w:val="left"/>
        <w:rPr>
          <w:rFonts w:ascii="仿宋_GB2312" w:hAnsi="仿宋_GB2312" w:eastAsia="仿宋_GB2312" w:cs="仿宋_GB2312"/>
          <w:b/>
          <w:bCs/>
          <w:color w:val="auto"/>
          <w:sz w:val="28"/>
          <w:szCs w:val="28"/>
          <w:highlight w:val="none"/>
        </w:rPr>
      </w:pPr>
    </w:p>
    <w:p>
      <w:pPr>
        <w:pStyle w:val="32"/>
        <w:ind w:firstLine="562"/>
        <w:rPr>
          <w:rFonts w:ascii="仿宋_GB2312" w:hAnsi="仿宋_GB2312" w:eastAsia="仿宋_GB2312" w:cs="仿宋_GB2312"/>
          <w:b/>
          <w:bCs/>
          <w:color w:val="auto"/>
          <w:sz w:val="28"/>
          <w:szCs w:val="28"/>
          <w:highlight w:val="none"/>
        </w:rPr>
      </w:pPr>
    </w:p>
    <w:p>
      <w:pPr>
        <w:rPr>
          <w:color w:val="auto"/>
          <w:highlight w:val="none"/>
        </w:rPr>
      </w:pPr>
    </w:p>
    <w:p>
      <w:pPr>
        <w:pStyle w:val="32"/>
        <w:ind w:firstLine="480"/>
        <w:rPr>
          <w:color w:val="auto"/>
          <w:highlight w:val="none"/>
        </w:rPr>
      </w:pPr>
    </w:p>
    <w:p>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公开方式：主动公开</w:t>
      </w:r>
      <w:r>
        <w:rPr>
          <w:rFonts w:hint="eastAsia" w:ascii="仿宋_GB2312" w:hAnsi="仿宋_GB2312" w:eastAsia="仿宋_GB2312" w:cs="仿宋_GB2312"/>
          <w:color w:val="auto"/>
          <w:sz w:val="28"/>
          <w:szCs w:val="28"/>
          <w:highlight w:val="none"/>
        </w:rPr>
        <w:t xml:space="preserve">                                     </w:t>
      </w:r>
    </w:p>
    <w:p>
      <w:pPr>
        <w:spacing w:line="560" w:lineRule="exact"/>
        <w:ind w:firstLine="280" w:firstLineChars="100"/>
        <w:jc w:val="left"/>
        <w:rPr>
          <w:rFonts w:ascii="仿宋_GB2312" w:hAnsi="仿宋_GB2312" w:eastAsia="仿宋_GB2312" w:cs="仿宋_GB2312"/>
          <w:color w:val="auto"/>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0288;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59264;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w:t>崇左市财政局办公室                       2023年7月31日印发</w:t>
      </w:r>
    </w:p>
    <w:p>
      <w:pPr>
        <w:widowControl/>
        <w:spacing w:line="720" w:lineRule="exact"/>
        <w:jc w:val="left"/>
        <w:rPr>
          <w:rFonts w:ascii="黑体" w:hAnsi="黑体" w:eastAsia="黑体" w:cs="黑体"/>
          <w:color w:val="auto"/>
          <w:sz w:val="32"/>
          <w:szCs w:val="32"/>
          <w:highlight w:val="none"/>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pPr>
        <w:pStyle w:val="32"/>
        <w:ind w:firstLine="480"/>
        <w:rPr>
          <w:color w:val="auto"/>
          <w:highlight w:val="none"/>
        </w:rPr>
      </w:pPr>
    </w:p>
    <w:p>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pPr>
        <w:spacing w:line="580" w:lineRule="exact"/>
        <w:ind w:firstLine="420" w:firstLineChars="200"/>
        <w:rPr>
          <w:color w:val="auto"/>
          <w:szCs w:val="32"/>
          <w:highlight w:val="none"/>
        </w:rPr>
      </w:pPr>
    </w:p>
    <w:p>
      <w:p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4"/>
          <w:rFonts w:hint="eastAsia" w:ascii="仿宋_GB2312" w:hAnsi="仿宋_GB2312" w:eastAsia="仿宋_GB2312" w:cs="仿宋_GB2312"/>
          <w:color w:val="auto"/>
          <w:sz w:val="32"/>
          <w:szCs w:val="32"/>
          <w:highlight w:val="none"/>
        </w:rPr>
        <w:t>https://www.crcrfsp.com/</w:t>
      </w:r>
      <w:r>
        <w:rPr>
          <w:rStyle w:val="24"/>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，客服电话：400-009-0001）。</w:t>
      </w:r>
    </w:p>
    <w:p>
      <w:pPr>
        <w:pStyle w:val="32"/>
        <w:ind w:firstLine="480"/>
        <w:rPr>
          <w:rFonts w:ascii="仿宋_GB2312" w:hAnsi="仿宋_GB2312" w:eastAsia="仿宋_GB2312" w:cs="仿宋_GB2312"/>
          <w:color w:val="auto"/>
          <w:szCs w:val="32"/>
          <w:highlight w:val="none"/>
        </w:rPr>
      </w:pPr>
    </w:p>
    <w:p>
      <w:pPr>
        <w:rPr>
          <w:rFonts w:ascii="仿宋_GB2312" w:hAnsi="仿宋_GB2312" w:cs="仿宋_GB2312"/>
          <w:color w:val="auto"/>
          <w:szCs w:val="32"/>
          <w:highlight w:val="none"/>
        </w:rPr>
      </w:pPr>
    </w:p>
    <w:p>
      <w:pPr>
        <w:pStyle w:val="32"/>
        <w:ind w:firstLine="480"/>
        <w:rPr>
          <w:rFonts w:ascii="仿宋_GB2312" w:hAnsi="仿宋_GB2312" w:cs="仿宋_GB2312"/>
          <w:color w:val="auto"/>
          <w:szCs w:val="32"/>
          <w:highlight w:val="none"/>
        </w:rPr>
      </w:pPr>
    </w:p>
    <w:p>
      <w:pPr>
        <w:rPr>
          <w:rFonts w:ascii="仿宋_GB2312" w:hAnsi="仿宋_GB2312" w:cs="仿宋_GB2312"/>
          <w:color w:val="auto"/>
          <w:szCs w:val="32"/>
          <w:highlight w:val="none"/>
        </w:rPr>
      </w:pPr>
    </w:p>
    <w:p>
      <w:pPr>
        <w:rPr>
          <w:rFonts w:ascii="仿宋_GB2312" w:hAnsi="仿宋_GB2312" w:cs="仿宋_GB2312"/>
          <w:color w:val="auto"/>
          <w:szCs w:val="32"/>
          <w:highlight w:val="none"/>
        </w:rPr>
      </w:pPr>
    </w:p>
    <w:p>
      <w:pPr>
        <w:pStyle w:val="32"/>
        <w:ind w:firstLine="480"/>
        <w:rPr>
          <w:rFonts w:ascii="仿宋_GB2312" w:hAnsi="仿宋_GB2312" w:cs="仿宋_GB2312"/>
          <w:color w:val="auto"/>
          <w:szCs w:val="32"/>
          <w:highlight w:val="none"/>
        </w:rPr>
      </w:pPr>
    </w:p>
    <w:p>
      <w:pPr>
        <w:spacing w:line="540" w:lineRule="exact"/>
        <w:rPr>
          <w:rFonts w:ascii="黑体" w:hAnsi="黑体" w:eastAsia="黑体" w:cs="黑体"/>
          <w:color w:val="auto"/>
          <w:szCs w:val="32"/>
          <w:highlight w:val="none"/>
        </w:rPr>
      </w:pPr>
    </w:p>
    <w:p>
      <w:pPr>
        <w:spacing w:line="540" w:lineRule="exact"/>
        <w:rPr>
          <w:rFonts w:ascii="黑体" w:hAnsi="黑体" w:eastAsia="黑体" w:cs="黑体"/>
          <w:color w:val="auto"/>
          <w:szCs w:val="32"/>
          <w:highlight w:val="none"/>
        </w:rPr>
      </w:pPr>
      <w:r>
        <w:rPr>
          <w:rFonts w:ascii="黑体" w:hAnsi="黑体" w:eastAsia="黑体" w:cs="黑体"/>
          <w:color w:val="auto"/>
          <w:szCs w:val="32"/>
          <w:highlight w:val="none"/>
        </w:rPr>
        <w:br w:type="page"/>
      </w:r>
      <w:r>
        <w:rPr>
          <w:rFonts w:hint="eastAsia" w:ascii="黑体" w:hAnsi="黑体" w:eastAsia="黑体" w:cs="黑体"/>
          <w:color w:val="auto"/>
          <w:szCs w:val="32"/>
          <w:highlight w:val="none"/>
        </w:rPr>
        <w:t>附件3</w:t>
      </w:r>
    </w:p>
    <w:p>
      <w:pPr>
        <w:pStyle w:val="32"/>
        <w:ind w:firstLine="480"/>
        <w:rPr>
          <w:color w:val="auto"/>
          <w:highlight w:val="none"/>
        </w:rPr>
      </w:pPr>
    </w:p>
    <w:p>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pPr>
        <w:rPr>
          <w:color w:val="auto"/>
          <w:highlight w:val="none"/>
        </w:rPr>
      </w:pPr>
      <w:r>
        <w:rPr>
          <w:rFonts w:hint="eastAsia" w:eastAsia="仿宋_GB2312"/>
          <w:color w:val="auto"/>
          <w:highlight w:val="none"/>
        </w:rPr>
        <w:drawing>
          <wp:inline distT="0" distB="0" distL="114300" distR="114300">
            <wp:extent cx="4926965" cy="7002780"/>
            <wp:effectExtent l="0" t="0" r="698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1"/>
                    <a:stretch>
                      <a:fillRect/>
                    </a:stretch>
                  </pic:blipFill>
                  <pic:spPr>
                    <a:xfrm>
                      <a:off x="0" y="0"/>
                      <a:ext cx="4926965" cy="7002780"/>
                    </a:xfrm>
                    <a:prstGeom prst="rect">
                      <a:avLst/>
                    </a:prstGeom>
                    <a:noFill/>
                    <a:ln>
                      <a:noFill/>
                    </a:ln>
                  </pic:spPr>
                </pic:pic>
              </a:graphicData>
            </a:graphic>
          </wp:inline>
        </w:drawing>
      </w:r>
    </w:p>
    <w:p>
      <w:pPr>
        <w:widowControl/>
        <w:ind w:firstLine="420" w:firstLineChars="200"/>
        <w:rPr>
          <w:color w:val="auto"/>
          <w:highlight w:val="none"/>
        </w:rPr>
      </w:pPr>
    </w:p>
    <w:p>
      <w:pPr>
        <w:widowControl/>
        <w:spacing w:line="720" w:lineRule="exact"/>
        <w:jc w:val="left"/>
        <w:rPr>
          <w:rFonts w:ascii="黑体" w:hAnsi="黑体" w:eastAsia="黑体" w:cs="黑体"/>
          <w:color w:val="auto"/>
          <w:sz w:val="32"/>
          <w:szCs w:val="32"/>
          <w:highlight w:val="none"/>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4</w:t>
      </w:r>
    </w:p>
    <w:p>
      <w:pPr>
        <w:pStyle w:val="32"/>
        <w:ind w:firstLine="480"/>
        <w:rPr>
          <w:color w:val="auto"/>
          <w:highlight w:val="none"/>
        </w:rPr>
      </w:pPr>
    </w:p>
    <w:p>
      <w:pPr>
        <w:pStyle w:val="32"/>
        <w:ind w:firstLine="72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22"/>
        <w:tblW w:w="8943" w:type="dxa"/>
        <w:tblInd w:w="96" w:type="dxa"/>
        <w:tblLayout w:type="fixed"/>
        <w:tblCellMar>
          <w:top w:w="0" w:type="dxa"/>
          <w:left w:w="108" w:type="dxa"/>
          <w:bottom w:w="0" w:type="dxa"/>
          <w:right w:w="108" w:type="dxa"/>
        </w:tblCellMar>
      </w:tblPr>
      <w:tblGrid>
        <w:gridCol w:w="2674"/>
        <w:gridCol w:w="3515"/>
        <w:gridCol w:w="2754"/>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highlight w:val="none"/>
              </w:rPr>
            </w:pPr>
            <w:r>
              <w:rPr>
                <w:rFonts w:hint="eastAsia" w:cs="宋体"/>
                <w:b/>
                <w:bCs/>
                <w:color w:val="auto"/>
                <w:sz w:val="28"/>
                <w:szCs w:val="28"/>
                <w:highlight w:val="none"/>
                <w:lang w:bidi="ar"/>
              </w:rPr>
              <w:t>业务</w:t>
            </w:r>
            <w:r>
              <w:rPr>
                <w:rFonts w:hint="eastAsia" w:ascii="宋体" w:hAnsi="宋体" w:cs="宋体"/>
                <w:b/>
                <w:bCs/>
                <w:color w:val="auto"/>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宋体"/>
                <w:color w:val="auto"/>
                <w:szCs w:val="21"/>
                <w:highlight w:val="none"/>
              </w:rPr>
            </w:pPr>
            <w:r>
              <w:rPr>
                <w:rFonts w:hint="eastAsia"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ascii="宋体" w:hAnsi="宋体" w:cs="宋体"/>
                <w:color w:val="auto"/>
                <w:szCs w:val="21"/>
                <w:highlight w:val="none"/>
              </w:rPr>
            </w:pPr>
            <w:r>
              <w:rPr>
                <w:rFonts w:hint="eastAsia" w:ascii="宋体" w:hAnsi="宋体" w:cs="宋体"/>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w:t>
            </w:r>
            <w:r>
              <w:rPr>
                <w:rFonts w:hint="eastAsia" w:ascii="宋体" w:hAnsi="宋体" w:cs="宋体"/>
                <w:color w:val="auto"/>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pPr>
        <w:rPr>
          <w:rFonts w:ascii="宋体" w:hAnsi="宋体"/>
          <w:color w:val="auto"/>
          <w:sz w:val="24"/>
          <w:highlight w:val="none"/>
        </w:rPr>
      </w:pPr>
    </w:p>
    <w:p>
      <w:pPr>
        <w:pStyle w:val="14"/>
        <w:jc w:val="center"/>
        <w:rPr>
          <w:rFonts w:hAnsi="宋体" w:cs="宋体"/>
          <w:color w:val="auto"/>
          <w:highlight w:val="none"/>
        </w:rPr>
        <w:sectPr>
          <w:footerReference r:id="rId6" w:type="default"/>
          <w:pgSz w:w="11906" w:h="16838"/>
          <w:pgMar w:top="1134" w:right="1134" w:bottom="1134" w:left="1134" w:header="720" w:footer="720" w:gutter="0"/>
          <w:cols w:space="720" w:num="1"/>
          <w:docGrid w:type="lines" w:linePitch="331" w:charSpace="0"/>
        </w:sectPr>
      </w:pPr>
    </w:p>
    <w:p>
      <w:pPr>
        <w:widowControl/>
        <w:rPr>
          <w:rFonts w:ascii="宋体" w:hAnsi="宋体" w:cs="宋体"/>
          <w:color w:val="auto"/>
          <w:sz w:val="20"/>
          <w:szCs w:val="20"/>
          <w:highlight w:val="none"/>
        </w:rPr>
      </w:pPr>
    </w:p>
    <w:p>
      <w:pPr>
        <w:pStyle w:val="3"/>
        <w:keepNext w:val="0"/>
        <w:keepLines w:val="0"/>
        <w:jc w:val="center"/>
        <w:rPr>
          <w:color w:val="auto"/>
          <w:highlight w:val="none"/>
        </w:rPr>
      </w:pPr>
      <w:bookmarkStart w:id="60" w:name="_Toc19686831"/>
      <w:r>
        <w:rPr>
          <w:rFonts w:hint="eastAsia"/>
          <w:color w:val="auto"/>
          <w:highlight w:val="none"/>
        </w:rPr>
        <w:t>第三章  投标人须知</w:t>
      </w:r>
      <w:bookmarkEnd w:id="60"/>
    </w:p>
    <w:p>
      <w:pPr>
        <w:jc w:val="center"/>
        <w:rPr>
          <w:color w:val="auto"/>
          <w:sz w:val="36"/>
          <w:szCs w:val="36"/>
          <w:highlight w:val="none"/>
        </w:rPr>
      </w:pPr>
      <w:bookmarkStart w:id="61" w:name="_Toc254970667"/>
      <w:bookmarkStart w:id="62" w:name="_Toc254970526"/>
      <w:r>
        <w:rPr>
          <w:rFonts w:hint="eastAsia"/>
          <w:color w:val="auto"/>
          <w:sz w:val="36"/>
          <w:szCs w:val="36"/>
          <w:highlight w:val="none"/>
        </w:rPr>
        <w:t>投标人须知前附表</w:t>
      </w:r>
      <w:bookmarkEnd w:id="61"/>
      <w:bookmarkEnd w:id="62"/>
    </w:p>
    <w:tbl>
      <w:tblPr>
        <w:tblStyle w:val="22"/>
        <w:tblW w:w="86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855"/>
        <w:gridCol w:w="70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pPr>
              <w:snapToGrid w:val="0"/>
              <w:spacing w:line="360" w:lineRule="auto"/>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63" w:name="_9.2"/>
            <w:bookmarkEnd w:id="63"/>
            <w:bookmarkStart w:id="64" w:name="_8.1"/>
            <w:bookmarkEnd w:id="64"/>
            <w:bookmarkStart w:id="65" w:name="_5"/>
            <w:bookmarkEnd w:id="65"/>
            <w:r>
              <w:rPr>
                <w:rFonts w:hint="eastAsia" w:ascii="宋体" w:hAnsi="宋体"/>
                <w:color w:val="auto"/>
                <w:szCs w:val="21"/>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6.1</w:t>
            </w:r>
          </w:p>
        </w:tc>
        <w:tc>
          <w:tcPr>
            <w:tcW w:w="7077"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7077"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olor w:val="auto"/>
                <w:szCs w:val="21"/>
                <w:highlight w:val="none"/>
              </w:rPr>
            </w:pPr>
            <w:bookmarkStart w:id="66" w:name="_Hlk54105293"/>
            <w:r>
              <w:rPr>
                <w:rFonts w:hint="eastAsia" w:ascii="宋体" w:hAnsi="宋体"/>
                <w:color w:val="auto"/>
                <w:szCs w:val="21"/>
                <w:highlight w:val="none"/>
              </w:rPr>
              <w:t>如接受联合体投标，</w:t>
            </w:r>
            <w:bookmarkEnd w:id="66"/>
            <w:r>
              <w:rPr>
                <w:rFonts w:hint="eastAsia" w:ascii="宋体" w:hAnsi="宋体"/>
                <w:color w:val="auto"/>
                <w:szCs w:val="21"/>
                <w:highlight w:val="none"/>
              </w:rPr>
              <w:t>联合体投标要求如下：（不接受联合体投标的，以下内容删除，写“无”）</w:t>
            </w:r>
          </w:p>
          <w:p>
            <w:pPr>
              <w:pStyle w:val="9"/>
              <w:spacing w:line="360" w:lineRule="auto"/>
              <w:rPr>
                <w:rFonts w:ascii="宋体" w:hAnsi="宋体"/>
                <w:color w:val="auto"/>
                <w:szCs w:val="21"/>
                <w:highlight w:val="none"/>
              </w:rPr>
            </w:pPr>
            <w:r>
              <w:rPr>
                <w:rFonts w:hint="eastAsia" w:ascii="宋体" w:hAnsi="宋体"/>
                <w:b/>
                <w:bCs/>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7077"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olor w:val="auto"/>
                <w:szCs w:val="21"/>
                <w:highlight w:val="none"/>
              </w:rPr>
            </w:pPr>
            <w:r>
              <w:rPr>
                <w:rFonts w:hint="eastAsia" w:ascii="宋体" w:hAnsi="宋体"/>
                <w:color w:val="auto"/>
                <w:szCs w:val="21"/>
                <w:highlight w:val="none"/>
              </w:rPr>
              <w:t>□不允许分包</w:t>
            </w:r>
          </w:p>
          <w:p>
            <w:pPr>
              <w:pStyle w:val="9"/>
              <w:spacing w:line="360" w:lineRule="auto"/>
              <w:rPr>
                <w:rFonts w:ascii="宋体" w:hAnsi="宋体"/>
                <w:color w:val="auto"/>
                <w:szCs w:val="21"/>
                <w:highlight w:val="none"/>
                <w:u w:val="single"/>
              </w:rPr>
            </w:pPr>
            <w:r>
              <w:rPr>
                <w:rFonts w:hint="eastAsia" w:ascii="宋体" w:hAnsi="宋体"/>
                <w:color w:val="auto"/>
                <w:szCs w:val="21"/>
                <w:highlight w:val="none"/>
              </w:rPr>
              <w:sym w:font="Wingdings 2" w:char="00A3"/>
            </w:r>
            <w:r>
              <w:rPr>
                <w:rFonts w:hint="eastAsia" w:ascii="宋体" w:hAnsi="宋体"/>
                <w:color w:val="auto"/>
                <w:szCs w:val="21"/>
                <w:highlight w:val="none"/>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8.1</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采用综合评分法的采购项目，提供相同品牌产品的不同投标人评审得分相同时，按照下列方式确定一个投标人获得中标人推荐资格：</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☑投标报价最低的；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☑不组织现场考察</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1" w:hRule="atLeast"/>
          <w:jc w:val="center"/>
        </w:trPr>
        <w:tc>
          <w:tcPr>
            <w:tcW w:w="71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67" w:name="_13.1"/>
            <w:bookmarkEnd w:id="67"/>
            <w:r>
              <w:rPr>
                <w:rFonts w:hint="eastAsia" w:ascii="宋体" w:hAnsi="宋体"/>
                <w:color w:val="auto"/>
                <w:szCs w:val="21"/>
                <w:highlight w:val="none"/>
              </w:rPr>
              <w:t>7</w:t>
            </w:r>
          </w:p>
        </w:tc>
        <w:tc>
          <w:tcPr>
            <w:tcW w:w="85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w:t>
            </w:r>
            <w:bookmarkStart w:id="68" w:name="_Hlt19632543"/>
            <w:r>
              <w:rPr>
                <w:rFonts w:hint="eastAsia" w:ascii="宋体" w:hAnsi="宋体"/>
                <w:color w:val="auto"/>
                <w:szCs w:val="21"/>
                <w:highlight w:val="none"/>
              </w:rPr>
              <w:t>1</w:t>
            </w:r>
            <w:bookmarkEnd w:id="68"/>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（必须提供，否则作无效投标处理）</w:t>
            </w:r>
          </w:p>
          <w:p>
            <w:pPr>
              <w:tabs>
                <w:tab w:val="left" w:pos="459"/>
              </w:tabs>
              <w:snapToGrid w:val="0"/>
              <w:spacing w:line="360" w:lineRule="auto"/>
              <w:jc w:val="left"/>
              <w:rPr>
                <w:rFonts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360" w:lineRule="auto"/>
              <w:ind w:firstLine="422" w:firstLineChars="200"/>
              <w:jc w:val="left"/>
              <w:rPr>
                <w:rFonts w:ascii="宋体" w:hAnsi="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投标函、开标一览表必须由法定代表人或者委托代理人在规定签章处逐一签字并加盖投标人公章，否则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9" w:hRule="atLeast"/>
          <w:jc w:val="center"/>
        </w:trPr>
        <w:tc>
          <w:tcPr>
            <w:tcW w:w="710"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70" w:name="_13.2"/>
            <w:bookmarkEnd w:id="70"/>
          </w:p>
        </w:tc>
        <w:tc>
          <w:tcPr>
            <w:tcW w:w="855" w:type="dxa"/>
            <w:vMerge w:val="continue"/>
            <w:tcBorders>
              <w:left w:val="single" w:color="auto" w:sz="4" w:space="0"/>
              <w:right w:val="single" w:color="auto" w:sz="4" w:space="0"/>
            </w:tcBorders>
            <w:vAlign w:val="center"/>
          </w:tcPr>
          <w:p>
            <w:pPr>
              <w:spacing w:line="360" w:lineRule="auto"/>
              <w:rPr>
                <w:rFonts w:ascii="宋体" w:hAnsi="宋体"/>
                <w:color w:val="auto"/>
                <w:szCs w:val="21"/>
                <w:highlight w:val="none"/>
              </w:rPr>
            </w:pP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1.崇左市政府采购供应商信用承诺函（格式后附，供应商应对其承诺内容的真实性、合法性、有效性负责）</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2.投标人直接控股、管理关系信息表（格式后附）；</w:t>
            </w:r>
            <w:r>
              <w:rPr>
                <w:rFonts w:hint="eastAsia" w:ascii="宋体" w:hAnsi="宋体"/>
                <w:b/>
                <w:color w:val="auto"/>
                <w:szCs w:val="21"/>
                <w:highlight w:val="none"/>
              </w:rPr>
              <w:t>（必须提供，否则作无效投标处理）</w:t>
            </w:r>
          </w:p>
          <w:p>
            <w:pPr>
              <w:snapToGrid w:val="0"/>
              <w:spacing w:line="360" w:lineRule="auto"/>
              <w:ind w:firstLine="420" w:firstLineChars="200"/>
              <w:jc w:val="left"/>
              <w:rPr>
                <w:rFonts w:ascii="宋体" w:hAnsi="宋体"/>
                <w:b/>
                <w:color w:val="auto"/>
                <w:szCs w:val="21"/>
                <w:highlight w:val="none"/>
              </w:rPr>
            </w:pPr>
            <w:r>
              <w:rPr>
                <w:rFonts w:hint="eastAsia" w:ascii="宋体" w:hAnsi="宋体" w:cs="宋体"/>
                <w:color w:val="auto"/>
                <w:szCs w:val="21"/>
                <w:highlight w:val="none"/>
              </w:rPr>
              <w:t>3.投标声明（格式后附）；</w:t>
            </w:r>
            <w:r>
              <w:rPr>
                <w:rFonts w:hint="eastAsia" w:ascii="宋体" w:hAnsi="宋体"/>
                <w:b/>
                <w:color w:val="auto"/>
                <w:szCs w:val="21"/>
                <w:highlight w:val="none"/>
              </w:rPr>
              <w:t>（必须提供，否则作无效投标处理）</w:t>
            </w:r>
          </w:p>
          <w:p>
            <w:pPr>
              <w:snapToGrid w:val="0"/>
              <w:spacing w:line="360" w:lineRule="auto"/>
              <w:ind w:firstLine="420" w:firstLineChars="200"/>
              <w:jc w:val="left"/>
              <w:rPr>
                <w:color w:val="auto"/>
                <w:highlight w:val="none"/>
              </w:rPr>
            </w:pPr>
            <w:r>
              <w:rPr>
                <w:rFonts w:hint="eastAsia" w:ascii="宋体" w:hAnsi="宋体" w:cs="宋体"/>
                <w:color w:val="auto"/>
                <w:szCs w:val="21"/>
                <w:highlight w:val="none"/>
              </w:rPr>
              <w:t>4.中小企业声明函或残疾人福利性单位声明函或供应商属于监狱企业的证明材料；</w:t>
            </w:r>
            <w:r>
              <w:rPr>
                <w:rFonts w:hint="eastAsia" w:ascii="宋体" w:hAnsi="宋体" w:cs="宋体"/>
                <w:b/>
                <w:bCs/>
                <w:color w:val="auto"/>
                <w:szCs w:val="21"/>
                <w:highlight w:val="none"/>
              </w:rPr>
              <w:t>（必须提供，否则响应文件按无效响应处理）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5.除招标文件规定必须提供以外，投标人认为需要提供的其他证明材料。</w:t>
            </w:r>
          </w:p>
          <w:p>
            <w:pPr>
              <w:snapToGrid w:val="0"/>
              <w:spacing w:line="360" w:lineRule="auto"/>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投标声明必须由法定代表人在规定签章处签字并加盖投标人公章，否则作无效投标处理。</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vMerge w:val="continue"/>
            <w:tcBorders>
              <w:left w:val="single" w:color="auto" w:sz="4" w:space="0"/>
              <w:right w:val="single" w:color="auto" w:sz="4" w:space="0"/>
            </w:tcBorders>
            <w:vAlign w:val="center"/>
          </w:tcPr>
          <w:p>
            <w:pPr>
              <w:spacing w:line="360" w:lineRule="auto"/>
              <w:rPr>
                <w:rFonts w:ascii="宋体" w:hAnsi="宋体"/>
                <w:color w:val="auto"/>
                <w:szCs w:val="21"/>
                <w:highlight w:val="none"/>
              </w:rPr>
            </w:pPr>
            <w:bookmarkStart w:id="71" w:name="_13.3"/>
            <w:bookmarkEnd w:id="71"/>
          </w:p>
        </w:tc>
        <w:tc>
          <w:tcPr>
            <w:tcW w:w="855" w:type="dxa"/>
            <w:vMerge w:val="continue"/>
            <w:tcBorders>
              <w:left w:val="single" w:color="auto" w:sz="4" w:space="0"/>
              <w:right w:val="single" w:color="auto" w:sz="4" w:space="0"/>
            </w:tcBorders>
            <w:vAlign w:val="center"/>
          </w:tcPr>
          <w:p>
            <w:pPr>
              <w:spacing w:line="360" w:lineRule="auto"/>
              <w:rPr>
                <w:rFonts w:ascii="宋体" w:hAnsi="宋体"/>
                <w:color w:val="auto"/>
                <w:szCs w:val="21"/>
                <w:highlight w:val="none"/>
              </w:rPr>
            </w:pP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pPr>
              <w:spacing w:line="360" w:lineRule="auto"/>
              <w:rPr>
                <w:color w:val="auto"/>
                <w:highlight w:val="none"/>
              </w:rPr>
            </w:pPr>
            <w:r>
              <w:rPr>
                <w:rFonts w:hint="eastAsia" w:ascii="宋体" w:hAnsi="宋体" w:cs="宋体"/>
                <w:color w:val="auto"/>
                <w:szCs w:val="21"/>
                <w:highlight w:val="none"/>
              </w:rPr>
              <w:t>4.投标保证金提交凭证；（</w:t>
            </w:r>
            <w:r>
              <w:rPr>
                <w:rFonts w:hint="eastAsia"/>
                <w:b/>
                <w:bCs/>
                <w:color w:val="auto"/>
                <w:highlight w:val="none"/>
              </w:rPr>
              <w:t>如要求提交则必须提供</w:t>
            </w:r>
            <w:r>
              <w:rPr>
                <w:rFonts w:hint="eastAsia" w:ascii="宋体" w:hAnsi="宋体" w:cs="宋体"/>
                <w:b/>
                <w:color w:val="auto"/>
                <w:szCs w:val="21"/>
                <w:highlight w:val="none"/>
              </w:rPr>
              <w:t>，否则投标文件按无效响应处理</w:t>
            </w:r>
            <w:r>
              <w:rPr>
                <w:rFonts w:hint="eastAsia" w:ascii="宋体" w:hAnsi="宋体" w:cs="宋体"/>
                <w:color w:val="auto"/>
                <w:szCs w:val="21"/>
                <w:highlight w:val="none"/>
              </w:rPr>
              <w:t>）</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6.投标人情况介绍（格式自拟）；</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7.除招标文件规定必须提供以外，投标人认为需要提供的其他证明材料（格式自拟）。（投标人根据“第二章 采购需求”及“第四章 评标方法及评标标准”提供有关证明材料）。</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注：1.法定代表人授权委托书必须由法定代表人及委托代理人签字或签章，并加盖投标人公章，否则作无效投标处理。</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2.以上标明“必须提供”的材料属于复印件的，必须加盖投标人公章，否则作无效投标处理。</w:t>
            </w:r>
          </w:p>
          <w:p>
            <w:pPr>
              <w:snapToGrid w:val="0"/>
              <w:spacing w:line="360" w:lineRule="auto"/>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3.以上材料未附格式的，由投标人自行拟定。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bookmarkStart w:id="72" w:name="_13.4"/>
            <w:bookmarkEnd w:id="72"/>
          </w:p>
        </w:tc>
        <w:tc>
          <w:tcPr>
            <w:tcW w:w="85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420" w:hanging="420" w:hangingChars="200"/>
              <w:jc w:val="left"/>
              <w:rPr>
                <w:rFonts w:ascii="宋体" w:hAnsi="宋体"/>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3.总体方案设计（格式自拟）；</w:t>
            </w:r>
          </w:p>
          <w:p>
            <w:pPr>
              <w:snapToGrid w:val="0"/>
              <w:spacing w:line="360"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.售后服务承诺（格式自拟）；</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5.投标人对本项目的合理化建议和改进措施（格式自拟）；</w:t>
            </w:r>
          </w:p>
          <w:p>
            <w:pPr>
              <w:snapToGrid w:val="0"/>
              <w:spacing w:line="360" w:lineRule="auto"/>
              <w:jc w:val="left"/>
              <w:rPr>
                <w:rFonts w:ascii="宋体" w:hAnsi="宋体"/>
                <w:bCs/>
                <w:color w:val="auto"/>
                <w:szCs w:val="21"/>
                <w:highlight w:val="none"/>
              </w:rPr>
            </w:pPr>
            <w:r>
              <w:rPr>
                <w:rFonts w:hint="eastAsia" w:ascii="宋体" w:hAnsi="宋体"/>
                <w:color w:val="auto"/>
                <w:szCs w:val="21"/>
                <w:highlight w:val="none"/>
              </w:rPr>
              <w:t>6.除招标文件规定必须提供以外，投标人需要说明的其他文件和说明（格式自拟）。</w:t>
            </w:r>
          </w:p>
          <w:p>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73" w:name="_13.5"/>
            <w:bookmarkEnd w:id="73"/>
            <w:r>
              <w:rPr>
                <w:rFonts w:hint="eastAsia" w:ascii="宋体" w:hAnsi="宋体"/>
                <w:color w:val="auto"/>
                <w:szCs w:val="21"/>
                <w:highlight w:val="none"/>
              </w:rPr>
              <w:t>8</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w:t>
            </w:r>
            <w:r>
              <w:rPr>
                <w:rFonts w:ascii="宋体" w:hAnsi="宋体"/>
                <w:color w:val="auto"/>
                <w:szCs w:val="21"/>
                <w:highlight w:val="none"/>
              </w:rPr>
              <w:t>2</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7" w:hanging="16" w:hangingChars="8"/>
              <w:jc w:val="left"/>
              <w:rPr>
                <w:rFonts w:ascii="宋体" w:hAnsi="宋体" w:cs="Courier New"/>
                <w:color w:val="auto"/>
                <w:szCs w:val="21"/>
                <w:highlight w:val="none"/>
              </w:rPr>
            </w:pPr>
            <w:r>
              <w:rPr>
                <w:rFonts w:hint="eastAsia" w:ascii="宋体" w:hAnsi="宋体" w:cs="Courier New"/>
                <w:color w:val="auto"/>
                <w:szCs w:val="21"/>
                <w:highlight w:val="none"/>
              </w:rPr>
              <w:t>电子备份电子响应文件光盘（或U盘）密封方式：单独放入一个密封袋中，加贴封条，并在封套封口处加盖供应商单位公章，在封套上标记“电子响应文件”字样，在投标截止时间前提交。（由供应商自行选择是否提交电子备份电子响应文件，但不提交电子备份电子响应文件的，不作为否决条件；若供应商在规定时间内无法解密或解密失败，供应商未在投标截止时间前递交电子备份电子响应文件的，自行承担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74" w:name="_16.2"/>
            <w:bookmarkEnd w:id="74"/>
            <w:r>
              <w:rPr>
                <w:rFonts w:hint="eastAsia" w:ascii="宋体" w:hAnsi="宋体"/>
                <w:color w:val="auto"/>
                <w:szCs w:val="21"/>
                <w:highlight w:val="none"/>
              </w:rPr>
              <w:t>9</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16</w:t>
            </w:r>
            <w:bookmarkStart w:id="75" w:name="_Hlt19194066"/>
            <w:bookmarkStart w:id="76" w:name="_Hlt19693758"/>
            <w:bookmarkStart w:id="77" w:name="_Hlt19693759"/>
            <w:bookmarkStart w:id="78" w:name="_Hlt19194067"/>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79" w:name="_17.1"/>
            <w:bookmarkEnd w:id="79"/>
            <w:r>
              <w:rPr>
                <w:rFonts w:hint="eastAsia" w:ascii="宋体" w:hAnsi="宋体"/>
                <w:color w:val="auto"/>
                <w:szCs w:val="21"/>
                <w:highlight w:val="none"/>
              </w:rPr>
              <w:t>10</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0" w:name="_18"/>
            <w:bookmarkEnd w:id="80"/>
            <w:r>
              <w:rPr>
                <w:rFonts w:hint="eastAsia" w:ascii="宋体" w:hAnsi="宋体"/>
                <w:color w:val="auto"/>
                <w:szCs w:val="21"/>
                <w:highlight w:val="none"/>
              </w:rPr>
              <w:t>11</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投标保证金的交纳方式：</w:t>
            </w:r>
            <w:r>
              <w:rPr>
                <w:rFonts w:hint="eastAsia" w:ascii="宋体" w:hAnsi="宋体" w:cs="宋体"/>
                <w:color w:val="auto"/>
                <w:kern w:val="0"/>
                <w:szCs w:val="21"/>
                <w:highlight w:val="none"/>
              </w:rPr>
              <w:t>银行转账、支票、汇票、本票或者银行、保险机构出具的保函、保险等，禁止采用现钞方式。采用银行转账方式的，在响应文件提交截止时间前交至采购代理机构指定账户并且到账；采用支票、汇票、本票或者保函、保险等方式的，在</w:t>
            </w:r>
            <w:r>
              <w:rPr>
                <w:rFonts w:hint="eastAsia" w:ascii="宋体" w:hAnsi="宋体" w:cs="宋体"/>
                <w:color w:val="auto"/>
                <w:szCs w:val="21"/>
                <w:highlight w:val="none"/>
              </w:rPr>
              <w:t>投标</w:t>
            </w:r>
            <w:r>
              <w:rPr>
                <w:rFonts w:hint="eastAsia" w:ascii="宋体" w:hAnsi="宋体" w:cs="宋体"/>
                <w:color w:val="auto"/>
                <w:kern w:val="0"/>
                <w:szCs w:val="21"/>
                <w:highlight w:val="none"/>
              </w:rPr>
              <w:t>文件提交截止时间前，供应商必须提交单独密封的支票、汇票、本票或者保函、保险原件。否则视为无效投标保证金。</w:t>
            </w:r>
          </w:p>
          <w:p>
            <w:pPr>
              <w:snapToGrid w:val="0"/>
              <w:spacing w:line="320" w:lineRule="exact"/>
              <w:textAlignment w:val="baseline"/>
              <w:rPr>
                <w:rFonts w:ascii="宋体" w:cs="宋体"/>
                <w:color w:val="auto"/>
                <w:sz w:val="20"/>
                <w:szCs w:val="21"/>
                <w:highlight w:val="none"/>
              </w:rPr>
            </w:pPr>
            <w:r>
              <w:rPr>
                <w:rFonts w:hint="eastAsia" w:ascii="宋体" w:hAnsi="宋体" w:cs="宋体"/>
                <w:color w:val="auto"/>
                <w:szCs w:val="21"/>
                <w:highlight w:val="none"/>
              </w:rPr>
              <w:t>投标保证金的金额：</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pPr>
              <w:snapToGrid w:val="0"/>
              <w:spacing w:line="320" w:lineRule="exact"/>
              <w:textAlignment w:val="baseline"/>
              <w:rPr>
                <w:rFonts w:ascii="宋体" w:cs="宋体"/>
                <w:color w:val="auto"/>
                <w:sz w:val="20"/>
                <w:szCs w:val="21"/>
                <w:highlight w:val="none"/>
              </w:rPr>
            </w:pPr>
            <w:r>
              <w:rPr>
                <w:rFonts w:hint="eastAsia" w:ascii="宋体" w:hAnsi="宋体" w:cs="宋体"/>
                <w:color w:val="auto"/>
                <w:szCs w:val="21"/>
                <w:highlight w:val="none"/>
              </w:rPr>
              <w:t>相关要求：</w:t>
            </w:r>
          </w:p>
          <w:p>
            <w:pPr>
              <w:snapToGrid w:val="0"/>
              <w:spacing w:line="320" w:lineRule="exact"/>
              <w:textAlignment w:val="baseline"/>
              <w:rPr>
                <w:rFonts w:ascii="宋体" w:cs="宋体"/>
                <w:color w:val="auto"/>
                <w:sz w:val="20"/>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投标保证金采用银行转账交纳方式的，在</w:t>
            </w:r>
            <w:r>
              <w:rPr>
                <w:rFonts w:hint="eastAsia" w:ascii="宋体" w:hAnsi="宋体" w:cs="宋体"/>
                <w:bCs/>
                <w:color w:val="auto"/>
                <w:szCs w:val="21"/>
                <w:highlight w:val="none"/>
              </w:rPr>
              <w:t>投标文件截止时间</w:t>
            </w:r>
            <w:r>
              <w:rPr>
                <w:rFonts w:hint="eastAsia" w:ascii="宋体" w:hAnsi="宋体" w:cs="宋体"/>
                <w:color w:val="auto"/>
                <w:szCs w:val="21"/>
                <w:highlight w:val="none"/>
              </w:rPr>
              <w:t>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20" w:lineRule="exact"/>
              <w:textAlignment w:val="baseline"/>
              <w:rPr>
                <w:rFonts w:ascii="宋体" w:cs="宋体"/>
                <w:color w:val="auto"/>
                <w:sz w:val="2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投标保证金采用支票、汇票或本票交纳方式的，投标人应将支票、汇票或本票的复印件作为投标保证金提交凭证，放置于商务文件中，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20" w:lineRule="exact"/>
              <w:textAlignment w:val="baseline"/>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投标保证金指定帐户：</w:t>
            </w:r>
          </w:p>
          <w:p>
            <w:pPr>
              <w:snapToGrid w:val="0"/>
              <w:spacing w:line="320" w:lineRule="exact"/>
              <w:textAlignment w:val="baseline"/>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20" w:lineRule="exact"/>
              <w:textAlignment w:val="baseline"/>
              <w:rPr>
                <w:rFonts w:ascii="宋体" w:hAnsi="宋体" w:cs="宋体"/>
                <w:color w:val="auto"/>
                <w:szCs w:val="21"/>
                <w:highlight w:val="none"/>
              </w:rPr>
            </w:pPr>
            <w:r>
              <w:rPr>
                <w:rFonts w:hint="eastAsia" w:ascii="宋体" w:hAnsi="宋体" w:cs="宋体"/>
                <w:color w:val="auto"/>
                <w:szCs w:val="21"/>
                <w:highlight w:val="none"/>
              </w:rPr>
              <w:t>开户银行：</w:t>
            </w:r>
          </w:p>
          <w:p>
            <w:pPr>
              <w:snapToGrid w:val="0"/>
              <w:spacing w:line="32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开户账号: </w:t>
            </w:r>
          </w:p>
          <w:p>
            <w:pPr>
              <w:snapToGrid w:val="0"/>
              <w:spacing w:line="320" w:lineRule="exact"/>
              <w:textAlignment w:val="baseline"/>
              <w:rPr>
                <w:rFonts w:ascii="宋体" w:cs="宋体"/>
                <w:b/>
                <w:color w:val="auto"/>
                <w:sz w:val="20"/>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pPr>
              <w:snapToGrid w:val="0"/>
              <w:spacing w:line="320" w:lineRule="exact"/>
              <w:textAlignment w:val="baseline"/>
              <w:rPr>
                <w:rFonts w:ascii="宋体" w:cs="宋体"/>
                <w:b/>
                <w:color w:val="auto"/>
                <w:sz w:val="20"/>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pPr>
              <w:snapToGrid w:val="0"/>
              <w:spacing w:line="320" w:lineRule="exact"/>
              <w:textAlignment w:val="baseline"/>
              <w:rPr>
                <w:rFonts w:ascii="宋体" w:cs="宋体"/>
                <w:b/>
                <w:color w:val="auto"/>
                <w:sz w:val="20"/>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投标保证金在投标截止时间后提交的，或不按规定交纳方式交纳的，或未足额交纳的（包含保函额度不足的），视为无效投标保证金。</w:t>
            </w:r>
          </w:p>
          <w:p>
            <w:pPr>
              <w:snapToGrid w:val="0"/>
              <w:spacing w:line="320" w:lineRule="exact"/>
              <w:textAlignment w:val="baseline"/>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投标人采用现钞方式或从个人账户（自然人投标除外）转出的投标保证金，视为无效投标保证金。</w:t>
            </w:r>
          </w:p>
          <w:p>
            <w:pPr>
              <w:snapToGrid w:val="0"/>
              <w:spacing w:line="3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3.支票、汇票或本票出现无效或者背书情形的，视为无效投标保证金。</w:t>
            </w:r>
          </w:p>
          <w:p>
            <w:pPr>
              <w:snapToGrid w:val="0"/>
              <w:spacing w:line="320" w:lineRule="exact"/>
              <w:textAlignment w:val="baseline"/>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snapToGrid w:val="0"/>
              <w:spacing w:line="320" w:lineRule="exact"/>
              <w:textAlignment w:val="baseline"/>
              <w:rPr>
                <w:rFonts w:ascii="宋体" w:hAnsi="宋体"/>
                <w:b/>
                <w:color w:val="auto"/>
                <w:szCs w:val="21"/>
                <w:highlight w:val="none"/>
              </w:rPr>
            </w:pPr>
            <w:r>
              <w:rPr>
                <w:rFonts w:hint="eastAsia" w:ascii="宋体" w:hAnsi="宋体" w:cs="宋体"/>
                <w:b/>
                <w:color w:val="auto"/>
                <w:szCs w:val="21"/>
                <w:highlight w:val="none"/>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12</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☑本项目接受备份投标文件。</w:t>
            </w:r>
          </w:p>
          <w:p>
            <w:pPr>
              <w:spacing w:line="320" w:lineRule="exact"/>
              <w:textAlignment w:val="baseline"/>
              <w:rPr>
                <w:color w:val="auto"/>
                <w:highlight w:val="none"/>
              </w:rPr>
            </w:pPr>
            <w:r>
              <w:rPr>
                <w:rFonts w:hint="eastAsia"/>
                <w:color w:val="auto"/>
                <w:highlight w:val="none"/>
              </w:rPr>
              <w:t>备份投标文件提交方式</w:t>
            </w:r>
            <w:r>
              <w:rPr>
                <w:color w:val="auto"/>
                <w:highlight w:val="none"/>
              </w:rPr>
              <w:t>：</w:t>
            </w:r>
            <w:r>
              <w:rPr>
                <w:rFonts w:hint="eastAsia"/>
                <w:color w:val="auto"/>
                <w:highlight w:val="none"/>
              </w:rPr>
              <w:t>投标人可以在投标截止时间前采用以下方式</w:t>
            </w:r>
            <w:r>
              <w:rPr>
                <w:color w:val="auto"/>
                <w:highlight w:val="none"/>
              </w:rPr>
              <w:t>向采购代理机构提交电子备份投标文件</w:t>
            </w:r>
            <w:r>
              <w:rPr>
                <w:rFonts w:hint="eastAsia"/>
                <w:color w:val="auto"/>
                <w:highlight w:val="none"/>
              </w:rPr>
              <w:t>：</w:t>
            </w:r>
          </w:p>
          <w:p>
            <w:pPr>
              <w:spacing w:line="320" w:lineRule="exact"/>
              <w:textAlignment w:val="baseline"/>
              <w:rPr>
                <w:color w:val="auto"/>
                <w:highlight w:val="none"/>
              </w:rPr>
            </w:pPr>
            <w:r>
              <w:rPr>
                <w:rFonts w:hint="eastAsia"/>
                <w:color w:val="auto"/>
                <w:highlight w:val="none"/>
              </w:rPr>
              <w:t>（1）</w:t>
            </w:r>
            <w:r>
              <w:rPr>
                <w:color w:val="auto"/>
                <w:highlight w:val="none"/>
              </w:rPr>
              <w:t>现场提交</w:t>
            </w:r>
            <w:r>
              <w:rPr>
                <w:rFonts w:hint="eastAsia"/>
                <w:color w:val="auto"/>
                <w:highlight w:val="none"/>
              </w:rPr>
              <w:t>方式，提交</w:t>
            </w:r>
            <w:r>
              <w:rPr>
                <w:color w:val="auto"/>
                <w:highlight w:val="none"/>
              </w:rPr>
              <w:t>地址：</w:t>
            </w:r>
            <w:r>
              <w:rPr>
                <w:rFonts w:hint="eastAsia"/>
                <w:color w:val="auto"/>
                <w:highlight w:val="none"/>
              </w:rPr>
              <w:t>崇左市公共资源交易中心（崇左市城南新区石景林路东段政务服务中心综合楼五楼）；</w:t>
            </w:r>
          </w:p>
          <w:p>
            <w:pPr>
              <w:spacing w:line="320" w:lineRule="exact"/>
              <w:textAlignment w:val="baseline"/>
              <w:rPr>
                <w:color w:val="auto"/>
                <w:highlight w:val="none"/>
              </w:rPr>
            </w:pPr>
            <w:r>
              <w:rPr>
                <w:rFonts w:hint="eastAsia"/>
                <w:color w:val="auto"/>
                <w:highlight w:val="none"/>
              </w:rPr>
              <w:t>（2）</w:t>
            </w:r>
            <w:r>
              <w:rPr>
                <w:color w:val="auto"/>
                <w:highlight w:val="none"/>
              </w:rPr>
              <w:t>电子邮件</w:t>
            </w:r>
            <w:r>
              <w:rPr>
                <w:rFonts w:hint="eastAsia"/>
                <w:color w:val="auto"/>
                <w:highlight w:val="none"/>
              </w:rPr>
              <w:t>方式，</w:t>
            </w:r>
            <w:r>
              <w:rPr>
                <w:color w:val="auto"/>
                <w:highlight w:val="none"/>
              </w:rPr>
              <w:t>接收电子备份投标文件的</w:t>
            </w:r>
            <w:r>
              <w:rPr>
                <w:rFonts w:hint="eastAsia"/>
                <w:color w:val="auto"/>
                <w:highlight w:val="none"/>
              </w:rPr>
              <w:t>，</w:t>
            </w:r>
            <w:r>
              <w:rPr>
                <w:color w:val="auto"/>
                <w:highlight w:val="none"/>
              </w:rPr>
              <w:t>电子邮箱为：</w:t>
            </w:r>
            <w:r>
              <w:rPr>
                <w:rFonts w:hint="eastAsia"/>
                <w:color w:val="auto"/>
                <w:highlight w:val="none"/>
              </w:rPr>
              <w:t>1810958943@qq.com ；</w:t>
            </w:r>
          </w:p>
          <w:p>
            <w:pPr>
              <w:spacing w:line="320" w:lineRule="exact"/>
              <w:textAlignment w:val="baseline"/>
              <w:rPr>
                <w:color w:val="auto"/>
                <w:highlight w:val="none"/>
              </w:rPr>
            </w:pPr>
            <w:r>
              <w:rPr>
                <w:rFonts w:hint="eastAsia"/>
                <w:color w:val="auto"/>
                <w:highlight w:val="none"/>
              </w:rPr>
              <w:t>（3）邮寄方式，邮寄地址：广西真诚工程咨询有限公司（崇左市江州区建设路原恒宇宾馆五楼(旧崇左市中医院旁） ），收件人：杨工，联系方式：0771-7832861；</w:t>
            </w:r>
          </w:p>
          <w:p>
            <w:pPr>
              <w:snapToGrid w:val="0"/>
              <w:spacing w:line="360" w:lineRule="auto"/>
              <w:rPr>
                <w:rFonts w:ascii="宋体" w:hAnsi="宋体" w:cs="宋体"/>
                <w:b/>
                <w:color w:val="auto"/>
                <w:szCs w:val="21"/>
                <w:highlight w:val="none"/>
              </w:rPr>
            </w:pPr>
            <w:r>
              <w:rPr>
                <w:color w:val="auto"/>
                <w:highlight w:val="none"/>
              </w:rPr>
              <w:t>投标人未</w:t>
            </w:r>
            <w:r>
              <w:rPr>
                <w:rFonts w:hint="eastAsia"/>
                <w:color w:val="auto"/>
                <w:highlight w:val="none"/>
              </w:rPr>
              <w:t>按</w:t>
            </w:r>
            <w:r>
              <w:rPr>
                <w:color w:val="auto"/>
                <w:highlight w:val="none"/>
              </w:rPr>
              <w:t>上述规定提交的电子备份投标文件，采购代理机构不予接收或承认。若投标人</w:t>
            </w:r>
            <w:r>
              <w:rPr>
                <w:rFonts w:hint="eastAsia"/>
                <w:color w:val="auto"/>
                <w:highlight w:val="none"/>
              </w:rPr>
              <w:t>无法在</w:t>
            </w:r>
            <w:r>
              <w:rPr>
                <w:color w:val="auto"/>
                <w:highlight w:val="none"/>
              </w:rPr>
              <w:t>规定的时间内解密</w:t>
            </w:r>
            <w:r>
              <w:rPr>
                <w:rFonts w:hint="eastAsia"/>
                <w:color w:val="auto"/>
                <w:highlight w:val="none"/>
              </w:rPr>
              <w:t>投标文件</w:t>
            </w:r>
            <w:r>
              <w:rPr>
                <w:color w:val="auto"/>
                <w:highlight w:val="none"/>
              </w:rPr>
              <w:t>或</w:t>
            </w:r>
            <w:r>
              <w:rPr>
                <w:rFonts w:hint="eastAsia"/>
                <w:color w:val="auto"/>
                <w:highlight w:val="none"/>
              </w:rPr>
              <w:t>者</w:t>
            </w:r>
            <w:r>
              <w:rPr>
                <w:color w:val="auto"/>
                <w:highlight w:val="none"/>
              </w:rPr>
              <w:t>解密失败的，采购代理机构</w:t>
            </w:r>
            <w:r>
              <w:rPr>
                <w:rFonts w:hint="eastAsia"/>
                <w:color w:val="auto"/>
                <w:highlight w:val="none"/>
              </w:rPr>
              <w:t>将</w:t>
            </w:r>
            <w:r>
              <w:rPr>
                <w:color w:val="auto"/>
                <w:highlight w:val="none"/>
              </w:rPr>
              <w:t>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w:t>
            </w:r>
            <w:r>
              <w:rPr>
                <w:rFonts w:hint="eastAsia"/>
                <w:color w:val="auto"/>
                <w:highlight w:val="none"/>
              </w:rPr>
              <w:t>解读</w:t>
            </w:r>
            <w:r>
              <w:rPr>
                <w:color w:val="auto"/>
                <w:highlight w:val="none"/>
              </w:rPr>
              <w:t>的情况），</w:t>
            </w:r>
            <w:r>
              <w:rPr>
                <w:rFonts w:hint="eastAsia"/>
                <w:color w:val="auto"/>
                <w:highlight w:val="none"/>
              </w:rPr>
              <w:t>投标人的投标文件作无效处理</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1" w:name="_21.1"/>
            <w:bookmarkEnd w:id="81"/>
            <w:bookmarkStart w:id="82" w:name="_19.2"/>
            <w:bookmarkEnd w:id="82"/>
            <w:r>
              <w:rPr>
                <w:rFonts w:hint="eastAsia" w:ascii="宋体" w:hAnsi="宋体"/>
                <w:color w:val="auto"/>
                <w:szCs w:val="21"/>
                <w:highlight w:val="none"/>
              </w:rPr>
              <w:t>13</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21.1</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360" w:lineRule="auto"/>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3" w:name="_23"/>
            <w:bookmarkEnd w:id="83"/>
            <w:r>
              <w:rPr>
                <w:rFonts w:hint="eastAsia" w:ascii="宋体" w:hAnsi="宋体"/>
                <w:color w:val="auto"/>
                <w:szCs w:val="21"/>
                <w:highlight w:val="none"/>
              </w:rPr>
              <w:t>14</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4" w:name="_25.3"/>
            <w:bookmarkEnd w:id="84"/>
            <w:r>
              <w:rPr>
                <w:rFonts w:hint="eastAsia" w:ascii="宋体" w:hAnsi="宋体"/>
                <w:color w:val="auto"/>
                <w:szCs w:val="21"/>
                <w:highlight w:val="none"/>
              </w:rPr>
              <w:t>15</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25.3（3）</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snapToGrid w:val="0"/>
              <w:spacing w:line="360" w:lineRule="auto"/>
              <w:rPr>
                <w:rFonts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snapToGrid w:val="0"/>
              <w:spacing w:line="360" w:lineRule="auto"/>
              <w:rPr>
                <w:rFonts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5" w:name="_26"/>
            <w:bookmarkEnd w:id="85"/>
            <w:r>
              <w:rPr>
                <w:rFonts w:hint="eastAsia" w:ascii="宋体" w:hAnsi="宋体"/>
                <w:color w:val="auto"/>
                <w:szCs w:val="21"/>
                <w:highlight w:val="none"/>
              </w:rPr>
              <w:t>16</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26</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6" w:name="_28.3"/>
            <w:bookmarkEnd w:id="86"/>
            <w:r>
              <w:rPr>
                <w:rFonts w:hint="eastAsia" w:ascii="宋体" w:hAnsi="宋体"/>
                <w:color w:val="auto"/>
                <w:szCs w:val="21"/>
                <w:highlight w:val="none"/>
              </w:rPr>
              <w:t>17</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29.1</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☑综合评分法</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0"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7" w:name="_29.2.2（2）"/>
            <w:bookmarkEnd w:id="87"/>
            <w:r>
              <w:rPr>
                <w:rFonts w:hint="eastAsia" w:ascii="宋体" w:hAnsi="宋体"/>
                <w:color w:val="auto"/>
                <w:szCs w:val="21"/>
                <w:highlight w:val="none"/>
              </w:rPr>
              <w:t>18</w:t>
            </w:r>
          </w:p>
        </w:tc>
        <w:tc>
          <w:tcPr>
            <w:tcW w:w="85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7077" w:type="dxa"/>
            <w:tcBorders>
              <w:top w:val="single" w:color="auto" w:sz="4" w:space="0"/>
              <w:left w:val="single" w:color="auto" w:sz="4" w:space="0"/>
              <w:right w:val="single" w:color="auto" w:sz="4" w:space="0"/>
            </w:tcBorders>
            <w:vAlign w:val="center"/>
          </w:tcPr>
          <w:p>
            <w:pPr>
              <w:snapToGrid w:val="0"/>
              <w:spacing w:line="360" w:lineRule="auto"/>
              <w:rPr>
                <w:color w:val="auto"/>
                <w:highlight w:val="none"/>
              </w:rPr>
            </w:pPr>
            <w:r>
              <w:rPr>
                <w:rFonts w:hint="eastAsia" w:hAnsi="宋体"/>
                <w:color w:val="auto"/>
                <w:highlight w:val="none"/>
              </w:rPr>
              <w:t>中标候选人推荐数量</w:t>
            </w:r>
            <w:r>
              <w:rPr>
                <w:rFonts w:hint="eastAsia"/>
                <w:color w:val="auto"/>
                <w:highlight w:val="none"/>
              </w:rPr>
              <w:t>：</w:t>
            </w:r>
            <w:r>
              <w:rPr>
                <w:rFonts w:hint="eastAsia"/>
                <w:color w:val="auto"/>
                <w:highlight w:val="none"/>
                <w:u w:val="single"/>
              </w:rPr>
              <w:t xml:space="preserve"> 3 </w:t>
            </w:r>
            <w:r>
              <w:rPr>
                <w:rFonts w:hint="eastAsia"/>
                <w:color w:val="auto"/>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88" w:name="_39.1"/>
            <w:bookmarkEnd w:id="88"/>
            <w:r>
              <w:rPr>
                <w:rFonts w:hint="eastAsia" w:ascii="宋体" w:hAnsi="宋体"/>
                <w:color w:val="auto"/>
                <w:szCs w:val="21"/>
                <w:highlight w:val="none"/>
              </w:rPr>
              <w:t>20</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0 </w:t>
            </w:r>
            <w:r>
              <w:rPr>
                <w:rFonts w:hint="eastAsia" w:ascii="宋体" w:hAnsi="宋体"/>
                <w:color w:val="auto"/>
                <w:szCs w:val="21"/>
                <w:highlight w:val="none"/>
              </w:rPr>
              <w:t>%（注：履约保证金不超过</w:t>
            </w:r>
            <w:r>
              <w:rPr>
                <w:rFonts w:ascii="宋体" w:hAnsi="宋体"/>
                <w:color w:val="auto"/>
                <w:szCs w:val="21"/>
                <w:highlight w:val="none"/>
              </w:rPr>
              <w:t>5</w:t>
            </w:r>
            <w:r>
              <w:rPr>
                <w:rFonts w:hint="eastAsia" w:ascii="宋体" w:hAnsi="宋体"/>
                <w:color w:val="auto"/>
                <w:szCs w:val="21"/>
                <w:highlight w:val="none"/>
              </w:rPr>
              <w:t>%）。</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autoSpaceDE w:val="0"/>
              <w:autoSpaceDN w:val="0"/>
              <w:snapToGrid w:val="0"/>
              <w:spacing w:line="360" w:lineRule="auto"/>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履约保证金自合同生效之日起生效至合同材料验收证书或进度款支付函签署之日起28天后失效，项目验收合格后，中标人可向采购人申请办理履约保证金的退付手续；如果中标人不履行合同约定的义务或其履行不符合合同的约定，采购人有权扣划全部或相应金额的履约保证金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广西民族师范学院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建设银行崇左友谊大道支行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45001598054059286666 </w:t>
            </w:r>
          </w:p>
          <w:p>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89"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9"/>
            <w:r>
              <w:rPr>
                <w:rFonts w:ascii="宋体" w:hAnsi="宋体" w:cs="Courier New"/>
                <w:color w:val="auto"/>
                <w:szCs w:val="21"/>
                <w:highlight w:val="none"/>
              </w:rPr>
              <w:br w:type="textWrapping"/>
            </w: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rPr>
              <w:br w:type="textWrapping"/>
            </w:r>
            <w:r>
              <w:rPr>
                <w:rFonts w:ascii="宋体" w:hAnsi="宋体"/>
                <w:b/>
                <w:color w:val="auto"/>
                <w:szCs w:val="21"/>
                <w:highlight w:val="none"/>
              </w:rPr>
              <w:t>3.采用金融、担保机构出具的保函的，必须为无条件保函，否则不予签订合同。</w:t>
            </w:r>
          </w:p>
          <w:p>
            <w:pPr>
              <w:spacing w:line="360" w:lineRule="auto"/>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90" w:name="_40.1"/>
            <w:bookmarkEnd w:id="90"/>
            <w:r>
              <w:rPr>
                <w:rFonts w:hint="eastAsia" w:ascii="宋体" w:hAnsi="宋体"/>
                <w:color w:val="auto"/>
                <w:szCs w:val="21"/>
                <w:highlight w:val="none"/>
              </w:rPr>
              <w:t>21</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36.1</w:t>
            </w:r>
          </w:p>
        </w:tc>
        <w:tc>
          <w:tcPr>
            <w:tcW w:w="7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 xml:space="preserve">广西真诚工程咨询有限公司 </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：0771-7832861，</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color w:val="auto"/>
                <w:highlight w:val="none"/>
              </w:rPr>
              <w:t xml:space="preserve">崇左市江州区建设路原恒宇宾馆五楼(旧崇左市中医院旁） </w:t>
            </w:r>
            <w:r>
              <w:rPr>
                <w:rFonts w:hint="eastAsia" w:ascii="宋体" w:hAnsi="宋体" w:cs="仿宋"/>
                <w:color w:val="auto"/>
                <w:highlight w:val="none"/>
              </w:rPr>
              <w:t>。</w:t>
            </w:r>
          </w:p>
          <w:p>
            <w:pPr>
              <w:autoSpaceDE w:val="0"/>
              <w:autoSpaceDN w:val="0"/>
              <w:snapToGrid w:val="0"/>
              <w:spacing w:line="360" w:lineRule="auto"/>
              <w:textAlignment w:val="bottom"/>
              <w:rPr>
                <w:rFonts w:ascii="宋体" w:hAnsi="宋体"/>
                <w:color w:val="auto"/>
                <w:szCs w:val="21"/>
                <w:highlight w:val="none"/>
              </w:rPr>
            </w:pPr>
            <w:r>
              <w:rPr>
                <w:rFonts w:hint="eastAsia" w:hAnsi="宋体"/>
                <w:color w:val="auto"/>
                <w:highlight w:val="none"/>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bookmarkStart w:id="91" w:name="_41"/>
            <w:bookmarkEnd w:id="91"/>
            <w:bookmarkStart w:id="92" w:name="_42"/>
            <w:bookmarkEnd w:id="92"/>
            <w:bookmarkStart w:id="93" w:name="_Hlt17709148"/>
            <w:r>
              <w:rPr>
                <w:rFonts w:hint="eastAsia" w:ascii="宋体" w:hAnsi="宋体"/>
                <w:color w:val="auto"/>
                <w:szCs w:val="21"/>
                <w:highlight w:val="none"/>
              </w:rPr>
              <w:t>23</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bookmarkEnd w:id="93"/>
            <w:r>
              <w:rPr>
                <w:rFonts w:ascii="宋体" w:hAnsi="宋体"/>
                <w:color w:val="auto"/>
                <w:szCs w:val="21"/>
                <w:highlight w:val="none"/>
              </w:rPr>
              <w:t>9.1</w:t>
            </w:r>
          </w:p>
        </w:tc>
        <w:tc>
          <w:tcPr>
            <w:tcW w:w="7077"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p>
          <w:p>
            <w:pPr>
              <w:pStyle w:val="14"/>
              <w:snapToGrid w:val="0"/>
              <w:spacing w:line="400" w:lineRule="exact"/>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☑本项目每个分标代理服务费按如下规定由</w:t>
            </w:r>
            <w:r>
              <w:rPr>
                <w:rFonts w:hint="eastAsia" w:ascii="新宋体" w:hAnsi="新宋体" w:eastAsia="新宋体" w:cs="新宋体"/>
                <w:color w:val="auto"/>
                <w:sz w:val="21"/>
                <w:highlight w:val="none"/>
                <w:u w:val="single"/>
              </w:rPr>
              <w:t>中标供应商</w:t>
            </w:r>
            <w:r>
              <w:rPr>
                <w:rFonts w:hint="eastAsia" w:ascii="新宋体" w:hAnsi="新宋体" w:eastAsia="新宋体" w:cs="新宋体"/>
                <w:color w:val="auto"/>
                <w:sz w:val="21"/>
                <w:highlight w:val="none"/>
              </w:rPr>
              <w:t>一次性向采购代理机构支付。</w:t>
            </w:r>
          </w:p>
          <w:p>
            <w:pPr>
              <w:pStyle w:val="14"/>
              <w:snapToGrid w:val="0"/>
              <w:spacing w:line="400" w:lineRule="exact"/>
              <w:rPr>
                <w:rFonts w:hAnsi="宋体" w:cs="宋体"/>
                <w:color w:val="auto"/>
                <w:sz w:val="21"/>
                <w:highlight w:val="none"/>
              </w:rPr>
            </w:pPr>
            <w:r>
              <w:rPr>
                <w:rFonts w:hint="eastAsia" w:ascii="新宋体" w:hAnsi="新宋体" w:eastAsia="新宋体" w:cs="新宋体"/>
                <w:color w:val="auto"/>
                <w:sz w:val="21"/>
                <w:highlight w:val="none"/>
              </w:rPr>
              <w:t>2.采购代理服务费根据计价格[2002]1980号文件及发改办价格[2003]857号文件规定收费标准在发出中标通知书前向中标供应商一次性收取。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24</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40.1</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25</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7077"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4"/>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电子签章”，是指经“政采云”平台认可的CA认证的电子签名数据为表现形式的印章，可用于签署电子投标文件，电子印章与实物印章具有同等法律效力，不因其采用电子化表现形式而否定其法律效力。</w:t>
            </w:r>
          </w:p>
          <w:p>
            <w:pPr>
              <w:pStyle w:val="14"/>
              <w:snapToGrid w:val="0"/>
              <w:spacing w:line="360" w:lineRule="auto"/>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4"/>
              <w:snapToGrid w:val="0"/>
              <w:spacing w:line="360" w:lineRule="auto"/>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pPr>
              <w:spacing w:line="360" w:lineRule="auto"/>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pStyle w:val="4"/>
        <w:keepNext w:val="0"/>
        <w:keepLines w:val="0"/>
        <w:jc w:val="center"/>
        <w:rPr>
          <w:color w:val="auto"/>
          <w:highlight w:val="none"/>
        </w:rPr>
      </w:pPr>
    </w:p>
    <w:p>
      <w:pPr>
        <w:spacing w:line="400" w:lineRule="exact"/>
        <w:jc w:val="center"/>
        <w:textAlignment w:val="baseline"/>
        <w:rPr>
          <w:rFonts w:ascii="宋体" w:cs="宋体"/>
          <w:b/>
          <w:color w:val="auto"/>
          <w:sz w:val="32"/>
          <w:highlight w:val="none"/>
        </w:rPr>
      </w:pPr>
      <w:r>
        <w:rPr>
          <w:rFonts w:hint="eastAsia" w:ascii="宋体" w:hAnsi="宋体" w:cs="宋体"/>
          <w:b/>
          <w:color w:val="auto"/>
          <w:sz w:val="32"/>
          <w:szCs w:val="32"/>
          <w:highlight w:val="none"/>
        </w:rPr>
        <w:t>投标人须知正文</w:t>
      </w:r>
    </w:p>
    <w:p>
      <w:pPr>
        <w:spacing w:line="400" w:lineRule="exact"/>
        <w:jc w:val="center"/>
        <w:textAlignment w:val="baseline"/>
        <w:rPr>
          <w:rFonts w:ascii="宋体" w:cs="宋体"/>
          <w:b/>
          <w:color w:val="auto"/>
          <w:sz w:val="32"/>
          <w:szCs w:val="32"/>
          <w:highlight w:val="none"/>
        </w:rPr>
      </w:pPr>
    </w:p>
    <w:p>
      <w:pPr>
        <w:pStyle w:val="4"/>
        <w:keepNext w:val="0"/>
        <w:keepLines w:val="0"/>
        <w:jc w:val="center"/>
        <w:rPr>
          <w:color w:val="auto"/>
          <w:highlight w:val="none"/>
        </w:rPr>
      </w:pPr>
      <w:r>
        <w:rPr>
          <w:rFonts w:hint="eastAsia"/>
          <w:color w:val="auto"/>
          <w:highlight w:val="none"/>
        </w:rPr>
        <w:t>一、总</w:t>
      </w:r>
      <w:r>
        <w:rPr>
          <w:color w:val="auto"/>
          <w:highlight w:val="none"/>
        </w:rPr>
        <w:t xml:space="preserve">  </w:t>
      </w:r>
      <w:r>
        <w:rPr>
          <w:rFonts w:hint="eastAsia"/>
          <w:color w:val="auto"/>
          <w:highlight w:val="none"/>
        </w:rPr>
        <w:t>则</w:t>
      </w:r>
    </w:p>
    <w:p>
      <w:pPr>
        <w:pStyle w:val="6"/>
        <w:keepNext w:val="0"/>
        <w:keepLines w:val="0"/>
        <w:spacing w:before="0" w:after="0" w:line="360" w:lineRule="auto"/>
        <w:ind w:left="420" w:leftChars="200"/>
        <w:rPr>
          <w:rFonts w:ascii="黑体" w:hAnsi="黑体" w:eastAsia="黑体"/>
          <w:color w:val="auto"/>
          <w:sz w:val="24"/>
          <w:highlight w:val="none"/>
        </w:rPr>
      </w:pPr>
      <w:bookmarkStart w:id="94" w:name="_Toc254970668"/>
      <w:bookmarkStart w:id="95" w:name="_Toc254970527"/>
      <w:r>
        <w:rPr>
          <w:rFonts w:ascii="黑体" w:hAnsi="黑体" w:eastAsia="黑体"/>
          <w:color w:val="auto"/>
          <w:sz w:val="24"/>
          <w:highlight w:val="none"/>
        </w:rPr>
        <w:t>1.</w:t>
      </w:r>
      <w:r>
        <w:rPr>
          <w:rFonts w:hint="eastAsia" w:ascii="黑体" w:hAnsi="黑体" w:eastAsia="黑体"/>
          <w:color w:val="auto"/>
          <w:sz w:val="24"/>
          <w:highlight w:val="none"/>
        </w:rPr>
        <w:t>适用范围</w:t>
      </w:r>
      <w:bookmarkEnd w:id="94"/>
      <w:bookmarkEnd w:id="95"/>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color w:val="auto"/>
          <w:sz w:val="24"/>
          <w:highlight w:val="none"/>
        </w:rPr>
      </w:pPr>
      <w:bookmarkStart w:id="96" w:name="_Toc254970528"/>
      <w:bookmarkStart w:id="97" w:name="_Toc254970669"/>
      <w:r>
        <w:rPr>
          <w:rFonts w:ascii="黑体" w:hAnsi="黑体" w:eastAsia="黑体"/>
          <w:color w:val="auto"/>
          <w:sz w:val="24"/>
          <w:highlight w:val="none"/>
        </w:rPr>
        <w:t>2.</w:t>
      </w:r>
      <w:r>
        <w:rPr>
          <w:rFonts w:hint="eastAsia" w:ascii="黑体" w:hAnsi="黑体" w:eastAsia="黑体"/>
          <w:color w:val="auto"/>
          <w:sz w:val="24"/>
          <w:highlight w:val="none"/>
        </w:rPr>
        <w:t>定义</w:t>
      </w:r>
      <w:bookmarkEnd w:id="96"/>
      <w:bookmarkEnd w:id="97"/>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2.1</w:t>
      </w:r>
      <w:r>
        <w:rPr>
          <w:rFonts w:hint="eastAsia" w:ascii="宋体" w:hAnsi="宋体"/>
          <w:b w:val="0"/>
          <w:color w:val="auto"/>
          <w:sz w:val="21"/>
          <w:szCs w:val="21"/>
          <w:highlight w:val="none"/>
        </w:rPr>
        <w:t>“采购人”是指依法进行政府采购的国家机关、事业单位、团体组织。</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2.2</w:t>
      </w:r>
      <w:r>
        <w:rPr>
          <w:rFonts w:hint="eastAsia" w:ascii="宋体" w:hAnsi="宋体"/>
          <w:b w:val="0"/>
          <w:color w:val="auto"/>
          <w:sz w:val="21"/>
          <w:szCs w:val="21"/>
          <w:highlight w:val="none"/>
        </w:rPr>
        <w:t>“采购代理机构”是指政府采购集中采购机构和集中采购机构以外的采购代理机构。</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2.3</w:t>
      </w:r>
      <w:r>
        <w:rPr>
          <w:rFonts w:hint="eastAsia" w:ascii="宋体" w:hAnsi="宋体"/>
          <w:b w:val="0"/>
          <w:color w:val="auto"/>
          <w:sz w:val="21"/>
          <w:szCs w:val="21"/>
          <w:highlight w:val="none"/>
        </w:rPr>
        <w:t>“供应商”是指向采购人提供货物、工程或者服务的法人、其他组织或者自然人。</w:t>
      </w:r>
    </w:p>
    <w:p>
      <w:pPr>
        <w:pStyle w:val="7"/>
        <w:spacing w:line="360" w:lineRule="auto"/>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“投标人”是指响应招标、参加投标竞争的法人、其他组织或者自然人。</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2.5</w:t>
      </w:r>
      <w:r>
        <w:rPr>
          <w:rFonts w:hint="eastAsia" w:ascii="宋体" w:hAnsi="宋体"/>
          <w:b w:val="0"/>
          <w:color w:val="auto"/>
          <w:sz w:val="21"/>
          <w:szCs w:val="21"/>
          <w:highlight w:val="none"/>
        </w:rPr>
        <w:t>“服务”是指除货物和工程以外的其他政府采购对象。</w:t>
      </w:r>
    </w:p>
    <w:p>
      <w:pPr>
        <w:pStyle w:val="6"/>
        <w:keepNext w:val="0"/>
        <w:keepLines w:val="0"/>
        <w:spacing w:before="0" w:after="0" w:line="360" w:lineRule="auto"/>
        <w:rPr>
          <w:rFonts w:ascii="宋体"/>
          <w:b w:val="0"/>
          <w:color w:val="auto"/>
          <w:sz w:val="21"/>
          <w:szCs w:val="21"/>
          <w:highlight w:val="none"/>
        </w:rPr>
      </w:pPr>
      <w:r>
        <w:rPr>
          <w:rFonts w:ascii="宋体" w:hAnsi="宋体"/>
          <w:b w:val="0"/>
          <w:color w:val="auto"/>
          <w:sz w:val="21"/>
          <w:szCs w:val="21"/>
          <w:highlight w:val="none"/>
        </w:rPr>
        <w:t xml:space="preserve">    2.6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2.7</w:t>
      </w:r>
      <w:r>
        <w:rPr>
          <w:rFonts w:hint="eastAsia" w:ascii="宋体" w:hAnsi="宋体"/>
          <w:b w:val="0"/>
          <w:color w:val="auto"/>
          <w:sz w:val="21"/>
          <w:szCs w:val="21"/>
          <w:highlight w:val="none"/>
        </w:rPr>
        <w:t>“实质性要求”是指招标文件中已经指明不满足则投标无效的条款，或者不能负偏离的条款。</w:t>
      </w:r>
    </w:p>
    <w:p>
      <w:pPr>
        <w:snapToGrid w:val="0"/>
        <w:spacing w:line="360" w:lineRule="auto"/>
        <w:ind w:firstLine="420" w:firstLineChars="200"/>
        <w:jc w:val="left"/>
        <w:rPr>
          <w:rFonts w:ascii="宋体" w:cs="宋体"/>
          <w:color w:val="auto"/>
          <w:szCs w:val="21"/>
          <w:highlight w:val="none"/>
        </w:rPr>
      </w:pPr>
      <w:r>
        <w:rPr>
          <w:rFonts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2.1</w:t>
      </w:r>
      <w:r>
        <w:rPr>
          <w:rFonts w:asci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98" w:name="_Toc254970529"/>
      <w:bookmarkStart w:id="99" w:name="_Toc254970670"/>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3.</w:t>
      </w:r>
      <w:bookmarkEnd w:id="98"/>
      <w:bookmarkEnd w:id="99"/>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投标人的资格要求详见“投标人须知前附表”。</w:t>
      </w:r>
    </w:p>
    <w:p>
      <w:pPr>
        <w:pStyle w:val="6"/>
        <w:keepNext w:val="0"/>
        <w:keepLines w:val="0"/>
        <w:spacing w:before="0" w:after="0" w:line="360" w:lineRule="auto"/>
        <w:ind w:left="420" w:leftChars="200"/>
        <w:rPr>
          <w:rFonts w:ascii="黑体" w:hAnsi="黑体" w:eastAsia="黑体"/>
          <w:color w:val="auto"/>
          <w:sz w:val="24"/>
          <w:highlight w:val="none"/>
        </w:rPr>
      </w:pPr>
      <w:bookmarkStart w:id="100" w:name="_Toc254970530"/>
      <w:bookmarkStart w:id="101" w:name="_Toc254970671"/>
      <w:r>
        <w:rPr>
          <w:rFonts w:ascii="黑体" w:hAnsi="黑体" w:eastAsia="黑体"/>
          <w:color w:val="auto"/>
          <w:sz w:val="24"/>
          <w:highlight w:val="none"/>
        </w:rPr>
        <w:t>4.</w:t>
      </w:r>
      <w:r>
        <w:rPr>
          <w:rFonts w:hint="eastAsia" w:ascii="黑体" w:hAnsi="黑体" w:eastAsia="黑体"/>
          <w:color w:val="auto"/>
          <w:sz w:val="24"/>
          <w:highlight w:val="none"/>
        </w:rPr>
        <w:t>投标委托</w:t>
      </w:r>
      <w:bookmarkEnd w:id="100"/>
      <w:bookmarkEnd w:id="101"/>
    </w:p>
    <w:p>
      <w:pPr>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pPr>
        <w:pStyle w:val="6"/>
        <w:keepNext w:val="0"/>
        <w:keepLines w:val="0"/>
        <w:spacing w:before="0" w:after="0" w:line="360" w:lineRule="auto"/>
        <w:ind w:left="420" w:leftChars="200"/>
        <w:rPr>
          <w:rFonts w:ascii="黑体" w:hAnsi="黑体" w:eastAsia="黑体"/>
          <w:color w:val="auto"/>
          <w:sz w:val="24"/>
          <w:highlight w:val="none"/>
        </w:rPr>
      </w:pPr>
      <w:bookmarkStart w:id="102" w:name="_5.投标费用"/>
      <w:bookmarkEnd w:id="102"/>
      <w:bookmarkStart w:id="103" w:name="_Toc254970531"/>
      <w:bookmarkStart w:id="104" w:name="_Toc254970672"/>
      <w:r>
        <w:rPr>
          <w:rFonts w:ascii="黑体" w:hAnsi="黑体" w:eastAsia="黑体"/>
          <w:color w:val="auto"/>
          <w:sz w:val="24"/>
          <w:highlight w:val="none"/>
        </w:rPr>
        <w:t>5.</w:t>
      </w:r>
      <w:r>
        <w:rPr>
          <w:rFonts w:hint="eastAsia" w:ascii="黑体" w:hAnsi="黑体" w:eastAsia="黑体"/>
          <w:color w:val="auto"/>
          <w:sz w:val="24"/>
          <w:highlight w:val="none"/>
        </w:rPr>
        <w:t>投标费用</w:t>
      </w:r>
      <w:bookmarkEnd w:id="103"/>
      <w:bookmarkEnd w:id="104"/>
    </w:p>
    <w:p>
      <w:pPr>
        <w:snapToGrid w:val="0"/>
        <w:spacing w:line="360" w:lineRule="auto"/>
        <w:ind w:firstLine="420" w:firstLineChars="200"/>
        <w:jc w:val="left"/>
        <w:rPr>
          <w:rFonts w:asci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6.</w:t>
      </w:r>
      <w:r>
        <w:rPr>
          <w:rFonts w:hint="eastAsia" w:ascii="黑体" w:hAnsi="黑体" w:eastAsia="黑体"/>
          <w:color w:val="auto"/>
          <w:sz w:val="24"/>
          <w:highlight w:val="none"/>
        </w:rPr>
        <w:t>联合体投标</w:t>
      </w:r>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本项目是否接受联合体投标，详见“投标人须知前附表”。</w:t>
      </w:r>
    </w:p>
    <w:p>
      <w:pPr>
        <w:snapToGrid w:val="0"/>
        <w:spacing w:line="360" w:lineRule="auto"/>
        <w:ind w:firstLine="420" w:firstLineChars="200"/>
        <w:jc w:val="left"/>
        <w:rPr>
          <w:rFonts w:ascii="宋体"/>
          <w:bCs/>
          <w:color w:val="auto"/>
          <w:szCs w:val="21"/>
          <w:highlight w:val="none"/>
        </w:rPr>
      </w:pPr>
      <w:r>
        <w:rPr>
          <w:rFonts w:ascii="宋体" w:hAnsi="宋体"/>
          <w:bCs/>
          <w:color w:val="auto"/>
          <w:szCs w:val="21"/>
          <w:highlight w:val="none"/>
        </w:rPr>
        <w:t>6.2</w:t>
      </w:r>
      <w:r>
        <w:rPr>
          <w:rFonts w:hint="eastAsia" w:ascii="宋体" w:hAnsi="宋体"/>
          <w:bCs/>
          <w:color w:val="auto"/>
          <w:szCs w:val="21"/>
          <w:highlight w:val="none"/>
        </w:rPr>
        <w:t>如接受联合体投标，联合体投标要求详见“投标人须知前附表”。</w:t>
      </w:r>
    </w:p>
    <w:p>
      <w:pPr>
        <w:snapToGrid w:val="0"/>
        <w:spacing w:line="360" w:lineRule="auto"/>
        <w:ind w:firstLine="420" w:firstLineChars="200"/>
        <w:jc w:val="left"/>
        <w:rPr>
          <w:rFonts w:ascii="宋体"/>
          <w:color w:val="auto"/>
          <w:szCs w:val="21"/>
          <w:highlight w:val="none"/>
        </w:rPr>
      </w:pPr>
      <w:r>
        <w:rPr>
          <w:rFonts w:ascii="宋体" w:hAnsi="宋体"/>
          <w:bCs/>
          <w:color w:val="auto"/>
          <w:szCs w:val="21"/>
          <w:highlight w:val="none"/>
        </w:rPr>
        <w:t>6.3</w:t>
      </w:r>
      <w:r>
        <w:rPr>
          <w:rFonts w:hint="eastAsia" w:ascii="宋体" w:hAnsi="宋体"/>
          <w:color w:val="auto"/>
          <w:szCs w:val="21"/>
          <w:highlight w:val="none"/>
        </w:rPr>
        <w:t>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auto"/>
          <w:szCs w:val="21"/>
          <w:highlight w:val="none"/>
        </w:rPr>
        <w:t>30%</w:t>
      </w:r>
      <w:r>
        <w:rPr>
          <w:rFonts w:hint="eastAsia" w:ascii="宋体" w:hAnsi="宋体"/>
          <w:color w:val="auto"/>
          <w:szCs w:val="21"/>
          <w:highlight w:val="none"/>
        </w:rPr>
        <w:t>以上的，采购人、采购代理机构应当对联合体或者大中型企业的报价给予</w:t>
      </w:r>
      <w:r>
        <w:rPr>
          <w:rFonts w:ascii="宋体" w:hAnsi="宋体"/>
          <w:color w:val="auto"/>
          <w:szCs w:val="21"/>
          <w:highlight w:val="none"/>
        </w:rPr>
        <w:t>2%-3%</w:t>
      </w:r>
      <w:r>
        <w:rPr>
          <w:rFonts w:hint="eastAsia" w:ascii="宋体" w:hAnsi="宋体"/>
          <w:color w:val="auto"/>
          <w:szCs w:val="21"/>
          <w:highlight w:val="none"/>
        </w:rPr>
        <w:t>的扣除，用扣除后的价格参加评审。</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7.</w:t>
      </w:r>
      <w:r>
        <w:rPr>
          <w:rFonts w:hint="eastAsia" w:ascii="黑体" w:hAnsi="黑体" w:eastAsia="黑体"/>
          <w:color w:val="auto"/>
          <w:sz w:val="24"/>
          <w:highlight w:val="none"/>
        </w:rPr>
        <w:t>转包与分包</w:t>
      </w:r>
      <w:r>
        <w:rPr>
          <w:rFonts w:ascii="黑体" w:hAnsi="黑体" w:eastAsia="黑体"/>
          <w:color w:val="auto"/>
          <w:sz w:val="24"/>
          <w:highlight w:val="none"/>
        </w:rPr>
        <w:t xml:space="preserve">             </w:t>
      </w:r>
    </w:p>
    <w:p>
      <w:pPr>
        <w:pStyle w:val="6"/>
        <w:keepNext w:val="0"/>
        <w:keepLines w:val="0"/>
        <w:spacing w:before="0" w:after="0" w:line="360" w:lineRule="auto"/>
        <w:ind w:left="420" w:leftChars="200"/>
        <w:rPr>
          <w:rFonts w:ascii="宋体"/>
          <w:b w:val="0"/>
          <w:color w:val="auto"/>
          <w:sz w:val="21"/>
          <w:szCs w:val="21"/>
          <w:highlight w:val="none"/>
        </w:rPr>
      </w:pPr>
      <w:bookmarkStart w:id="105" w:name="_Toc254970673"/>
      <w:bookmarkStart w:id="106" w:name="_Toc254970532"/>
      <w:r>
        <w:rPr>
          <w:rFonts w:ascii="宋体" w:hAnsi="宋体"/>
          <w:b w:val="0"/>
          <w:color w:val="auto"/>
          <w:sz w:val="21"/>
          <w:szCs w:val="21"/>
          <w:highlight w:val="none"/>
        </w:rPr>
        <w:t>7.1</w:t>
      </w:r>
      <w:r>
        <w:rPr>
          <w:rFonts w:hint="eastAsia" w:ascii="宋体" w:hAnsi="宋体"/>
          <w:b w:val="0"/>
          <w:color w:val="auto"/>
          <w:sz w:val="21"/>
          <w:szCs w:val="21"/>
          <w:highlight w:val="none"/>
        </w:rPr>
        <w:t>本项目不允许转包。</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7.2</w:t>
      </w:r>
      <w:r>
        <w:rPr>
          <w:rFonts w:hint="eastAsia" w:ascii="宋体" w:hAnsi="宋体"/>
          <w:b w:val="0"/>
          <w:color w:val="auto"/>
          <w:sz w:val="21"/>
          <w:szCs w:val="21"/>
          <w:highlight w:val="none"/>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7.3</w:t>
      </w:r>
      <w:r>
        <w:rPr>
          <w:rFonts w:hint="eastAsia" w:ascii="宋体" w:hAnsi="宋体"/>
          <w:b w:val="0"/>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8.</w:t>
      </w:r>
      <w:r>
        <w:rPr>
          <w:rFonts w:hint="eastAsia" w:ascii="黑体" w:hAnsi="黑体" w:eastAsia="黑体"/>
          <w:color w:val="auto"/>
          <w:sz w:val="24"/>
          <w:highlight w:val="none"/>
        </w:rPr>
        <w:t>特别说明</w:t>
      </w:r>
      <w:bookmarkEnd w:id="105"/>
      <w:bookmarkEnd w:id="106"/>
    </w:p>
    <w:p>
      <w:pPr>
        <w:pStyle w:val="6"/>
        <w:keepNext w:val="0"/>
        <w:keepLines w:val="0"/>
        <w:spacing w:before="0" w:after="0" w:line="360" w:lineRule="auto"/>
        <w:ind w:firstLine="367" w:firstLineChars="175"/>
        <w:rPr>
          <w:rFonts w:ascii="宋体"/>
          <w:b w:val="0"/>
          <w:color w:val="auto"/>
          <w:sz w:val="21"/>
          <w:szCs w:val="21"/>
          <w:highlight w:val="none"/>
        </w:rPr>
      </w:pPr>
      <w:r>
        <w:rPr>
          <w:rFonts w:ascii="宋体" w:hAnsi="宋体"/>
          <w:b w:val="0"/>
          <w:color w:val="auto"/>
          <w:sz w:val="21"/>
          <w:szCs w:val="21"/>
          <w:highlight w:val="none"/>
        </w:rPr>
        <w:t>8.1</w:t>
      </w:r>
      <w:r>
        <w:rPr>
          <w:rFonts w:hint="eastAsia" w:ascii="宋体" w:hAnsi="宋体"/>
          <w:b w:val="0"/>
          <w:color w:val="auto"/>
          <w:sz w:val="21"/>
          <w:szCs w:val="21"/>
          <w:highlight w:val="none"/>
        </w:rPr>
        <w:t>如果本招标文件要求提供投标人或制造商的资格、信誉、荣誉、业绩与企业认证等材料的，资格、信誉、荣誉、业绩与企业认证等必须为投标人或者制造商所拥有或自身获得</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w:t>
      </w:r>
    </w:p>
    <w:p>
      <w:pPr>
        <w:pStyle w:val="6"/>
        <w:keepNext w:val="0"/>
        <w:keepLines w:val="0"/>
        <w:spacing w:before="0" w:after="0" w:line="360" w:lineRule="auto"/>
        <w:ind w:firstLine="367" w:firstLineChars="175"/>
        <w:rPr>
          <w:rFonts w:ascii="宋体"/>
          <w:b w:val="0"/>
          <w:color w:val="auto"/>
          <w:sz w:val="21"/>
          <w:szCs w:val="21"/>
          <w:highlight w:val="none"/>
        </w:rPr>
      </w:pPr>
      <w:r>
        <w:rPr>
          <w:rFonts w:ascii="宋体" w:hAnsi="宋体"/>
          <w:b w:val="0"/>
          <w:color w:val="auto"/>
          <w:sz w:val="21"/>
          <w:szCs w:val="21"/>
          <w:highlight w:val="none"/>
        </w:rPr>
        <w:t>8.2</w:t>
      </w:r>
      <w:r>
        <w:rPr>
          <w:rFonts w:hint="eastAsia" w:ascii="宋体" w:hAnsi="宋体"/>
          <w:b w:val="0"/>
          <w:color w:val="auto"/>
          <w:sz w:val="21"/>
          <w:szCs w:val="21"/>
          <w:highlight w:val="none"/>
        </w:rPr>
        <w:t>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b w:val="0"/>
          <w:color w:val="auto"/>
          <w:sz w:val="21"/>
          <w:szCs w:val="21"/>
          <w:highlight w:val="none"/>
        </w:rPr>
      </w:pPr>
      <w:r>
        <w:rPr>
          <w:rFonts w:ascii="宋体" w:hAnsi="宋体"/>
          <w:b w:val="0"/>
          <w:color w:val="auto"/>
          <w:sz w:val="21"/>
          <w:szCs w:val="21"/>
          <w:highlight w:val="none"/>
        </w:rPr>
        <w:t>8.3</w:t>
      </w:r>
      <w:r>
        <w:rPr>
          <w:rFonts w:hint="eastAsia" w:ascii="宋体" w:hAnsi="宋体"/>
          <w:b w:val="0"/>
          <w:color w:val="auto"/>
          <w:sz w:val="21"/>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6"/>
        <w:keepNext w:val="0"/>
        <w:keepLines w:val="0"/>
        <w:spacing w:before="0" w:after="0" w:line="360" w:lineRule="auto"/>
        <w:ind w:firstLine="367" w:firstLineChars="175"/>
        <w:rPr>
          <w:rFonts w:ascii="宋体"/>
          <w:b w:val="0"/>
          <w:color w:val="auto"/>
          <w:sz w:val="21"/>
          <w:szCs w:val="21"/>
          <w:highlight w:val="none"/>
        </w:rPr>
      </w:pPr>
      <w:r>
        <w:rPr>
          <w:rFonts w:ascii="宋体" w:hAnsi="宋体"/>
          <w:b w:val="0"/>
          <w:color w:val="auto"/>
          <w:sz w:val="21"/>
          <w:szCs w:val="21"/>
          <w:highlight w:val="none"/>
        </w:rPr>
        <w:t>9.1</w:t>
      </w:r>
      <w:r>
        <w:rPr>
          <w:rFonts w:hint="eastAsia" w:ascii="宋体" w:hAnsi="宋体"/>
          <w:b w:val="0"/>
          <w:color w:val="auto"/>
          <w:sz w:val="21"/>
          <w:szCs w:val="21"/>
          <w:highlight w:val="none"/>
        </w:rPr>
        <w:t>在政府采购活动中，采购人员及相关人员与供应商有下列利害关系之一的，应当回避：</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1</w:t>
      </w:r>
      <w:r>
        <w:rPr>
          <w:rFonts w:hint="eastAsia" w:hAnsi="宋体"/>
          <w:color w:val="auto"/>
          <w:kern w:val="2"/>
          <w:sz w:val="21"/>
          <w:highlight w:val="none"/>
        </w:rPr>
        <w:t>）参加采购活动前</w:t>
      </w:r>
      <w:r>
        <w:rPr>
          <w:rFonts w:hAnsi="宋体"/>
          <w:color w:val="auto"/>
          <w:kern w:val="2"/>
          <w:sz w:val="21"/>
          <w:highlight w:val="none"/>
        </w:rPr>
        <w:t>3</w:t>
      </w:r>
      <w:r>
        <w:rPr>
          <w:rFonts w:hint="eastAsia" w:hAnsi="宋体"/>
          <w:color w:val="auto"/>
          <w:kern w:val="2"/>
          <w:sz w:val="21"/>
          <w:highlight w:val="none"/>
        </w:rPr>
        <w:t>年内与供应商存在劳动关系；</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2</w:t>
      </w:r>
      <w:r>
        <w:rPr>
          <w:rFonts w:hint="eastAsia" w:hAnsi="宋体"/>
          <w:color w:val="auto"/>
          <w:kern w:val="2"/>
          <w:sz w:val="21"/>
          <w:highlight w:val="none"/>
        </w:rPr>
        <w:t>）参加采购活动前</w:t>
      </w:r>
      <w:r>
        <w:rPr>
          <w:rFonts w:hAnsi="宋体"/>
          <w:color w:val="auto"/>
          <w:kern w:val="2"/>
          <w:sz w:val="21"/>
          <w:highlight w:val="none"/>
        </w:rPr>
        <w:t>3</w:t>
      </w:r>
      <w:r>
        <w:rPr>
          <w:rFonts w:hint="eastAsia" w:hAnsi="宋体"/>
          <w:color w:val="auto"/>
          <w:kern w:val="2"/>
          <w:sz w:val="21"/>
          <w:highlight w:val="none"/>
        </w:rPr>
        <w:t>年内担任供应商的董事、监事；</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3</w:t>
      </w:r>
      <w:r>
        <w:rPr>
          <w:rFonts w:hint="eastAsia" w:hAnsi="宋体"/>
          <w:color w:val="auto"/>
          <w:kern w:val="2"/>
          <w:sz w:val="21"/>
          <w:highlight w:val="none"/>
        </w:rPr>
        <w:t>）参加采购活动前</w:t>
      </w:r>
      <w:r>
        <w:rPr>
          <w:rFonts w:hAnsi="宋体"/>
          <w:color w:val="auto"/>
          <w:kern w:val="2"/>
          <w:sz w:val="21"/>
          <w:highlight w:val="none"/>
        </w:rPr>
        <w:t>3</w:t>
      </w:r>
      <w:r>
        <w:rPr>
          <w:rFonts w:hint="eastAsia" w:hAnsi="宋体"/>
          <w:color w:val="auto"/>
          <w:kern w:val="2"/>
          <w:sz w:val="21"/>
          <w:highlight w:val="none"/>
        </w:rPr>
        <w:t>年内是供应商的控股股东或者实际控制人；</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4</w:t>
      </w:r>
      <w:r>
        <w:rPr>
          <w:rFonts w:hint="eastAsia" w:hAnsi="宋体"/>
          <w:color w:val="auto"/>
          <w:kern w:val="2"/>
          <w:sz w:val="21"/>
          <w:highlight w:val="none"/>
        </w:rPr>
        <w:t>）与供应商的法定代表人或者负责人有夫妻、直系血亲、三代以内旁系血亲或者近姻亲关系；</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5</w:t>
      </w:r>
      <w:r>
        <w:rPr>
          <w:rFonts w:hint="eastAsia" w:hAnsi="宋体"/>
          <w:color w:val="auto"/>
          <w:kern w:val="2"/>
          <w:sz w:val="21"/>
          <w:highlight w:val="none"/>
        </w:rPr>
        <w:t>）与供应商有其他可能影响政府采购活动公平、公正进行的关系。</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1</w:t>
      </w:r>
      <w:r>
        <w:rPr>
          <w:rFonts w:hint="eastAsia" w:hAnsi="宋体"/>
          <w:b/>
          <w:color w:val="auto"/>
          <w:kern w:val="2"/>
          <w:sz w:val="21"/>
          <w:highlight w:val="none"/>
        </w:rPr>
        <w:t>）不同投标人的投标文件由同一单位或者个人编制；</w:t>
      </w:r>
      <w:r>
        <w:rPr>
          <w:rFonts w:hAnsi="宋体"/>
          <w:b/>
          <w:color w:val="auto"/>
          <w:kern w:val="2"/>
          <w:sz w:val="21"/>
          <w:highlight w:val="none"/>
        </w:rPr>
        <w:t xml:space="preserve"> </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2</w:t>
      </w:r>
      <w:r>
        <w:rPr>
          <w:rFonts w:hint="eastAsia" w:hAnsi="宋体"/>
          <w:b/>
          <w:color w:val="auto"/>
          <w:kern w:val="2"/>
          <w:sz w:val="21"/>
          <w:highlight w:val="none"/>
        </w:rPr>
        <w:t>）不同投标人委托同一单位或者个人办理投标事宜；</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3</w:t>
      </w:r>
      <w:r>
        <w:rPr>
          <w:rFonts w:hint="eastAsia" w:hAnsi="宋体"/>
          <w:b/>
          <w:color w:val="auto"/>
          <w:kern w:val="2"/>
          <w:sz w:val="21"/>
          <w:highlight w:val="none"/>
        </w:rPr>
        <w:t>）不同的投标人的投标文件载明的项目管理员为同一个人；</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4</w:t>
      </w:r>
      <w:r>
        <w:rPr>
          <w:rFonts w:hint="eastAsia" w:hAnsi="宋体"/>
          <w:b/>
          <w:color w:val="auto"/>
          <w:kern w:val="2"/>
          <w:sz w:val="21"/>
          <w:highlight w:val="none"/>
        </w:rPr>
        <w:t>）不同投标人的投标文件异常一致或者投标报价呈规律性差异；</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5</w:t>
      </w:r>
      <w:r>
        <w:rPr>
          <w:rFonts w:hint="eastAsia" w:hAnsi="宋体"/>
          <w:b/>
          <w:color w:val="auto"/>
          <w:kern w:val="2"/>
          <w:sz w:val="21"/>
          <w:highlight w:val="none"/>
        </w:rPr>
        <w:t>）不同投标人的投标文件相互混装；</w:t>
      </w:r>
    </w:p>
    <w:p>
      <w:pPr>
        <w:pStyle w:val="1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w:t>
      </w:r>
      <w:r>
        <w:rPr>
          <w:rFonts w:hAnsi="宋体"/>
          <w:b/>
          <w:color w:val="auto"/>
          <w:kern w:val="2"/>
          <w:sz w:val="21"/>
          <w:highlight w:val="none"/>
        </w:rPr>
        <w:t>6</w:t>
      </w:r>
      <w:r>
        <w:rPr>
          <w:rFonts w:hint="eastAsia" w:hAnsi="宋体"/>
          <w:b/>
          <w:color w:val="auto"/>
          <w:kern w:val="2"/>
          <w:sz w:val="21"/>
          <w:highlight w:val="none"/>
        </w:rPr>
        <w:t>）不同投标人的投标保证金从同一单位或者个人账户转出。</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）供应商直接或者间接从采购人或者采购代理机构处获得其他供应商的相关信息并修改其投标文件或者响应文件；</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）供应商按照采购人或者采购代理机构的授意撤换、修改投标文件或者响应文件；</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）供应商之间协商报价、技术方案等投标文件或者响应文件的实质性内容；</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）供应商之间事先约定一致抬高或者压低投标报价，或者在招标项目中事先约定轮流以高价位或者低价位中标，或者事先约定由某一特定供应商中标，然后再参加投标；</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）供应商之间商定部分供应商放弃参加政府采购活动或者放弃中标；</w:t>
      </w:r>
    </w:p>
    <w:p>
      <w:pPr>
        <w:spacing w:line="38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）供应商与采购人或者采购代理机构之间、供应商相互之间，为谋求特定供应商中标或者排斥其他供应商的其他串通行为。</w:t>
      </w:r>
    </w:p>
    <w:p>
      <w:pPr>
        <w:spacing w:line="380" w:lineRule="exact"/>
        <w:ind w:left="1" w:firstLine="398" w:firstLineChars="199"/>
        <w:jc w:val="center"/>
        <w:textAlignment w:val="baseline"/>
        <w:rPr>
          <w:rFonts w:ascii="宋体" w:cs="宋体"/>
          <w:color w:val="auto"/>
          <w:sz w:val="20"/>
          <w:highlight w:val="none"/>
        </w:rPr>
      </w:pPr>
      <w:bookmarkStart w:id="107" w:name="_Toc254970675"/>
      <w:bookmarkStart w:id="108" w:name="_Toc254970534"/>
    </w:p>
    <w:p>
      <w:pPr>
        <w:spacing w:line="380" w:lineRule="exact"/>
        <w:jc w:val="center"/>
        <w:textAlignment w:val="baseline"/>
        <w:rPr>
          <w:rFonts w:ascii="宋体" w:cs="宋体"/>
          <w:b/>
          <w:bCs/>
          <w:color w:val="auto"/>
          <w:sz w:val="32"/>
          <w:szCs w:val="32"/>
          <w:highlight w:val="none"/>
        </w:rPr>
      </w:pPr>
    </w:p>
    <w:p>
      <w:pPr>
        <w:spacing w:line="380" w:lineRule="exact"/>
        <w:jc w:val="center"/>
        <w:textAlignment w:val="baseline"/>
        <w:rPr>
          <w:rFonts w:ascii="宋体" w:cs="宋体"/>
          <w:b/>
          <w:bCs/>
          <w:color w:val="auto"/>
          <w:sz w:val="32"/>
          <w:szCs w:val="32"/>
          <w:highlight w:val="none"/>
        </w:rPr>
      </w:pPr>
      <w:r>
        <w:rPr>
          <w:rFonts w:hint="eastAsia" w:ascii="宋体" w:hAnsi="宋体" w:cs="宋体"/>
          <w:b/>
          <w:bCs/>
          <w:color w:val="auto"/>
          <w:sz w:val="32"/>
          <w:szCs w:val="32"/>
          <w:highlight w:val="none"/>
        </w:rPr>
        <w:t>二、招标文件</w:t>
      </w:r>
      <w:bookmarkEnd w:id="107"/>
      <w:bookmarkEnd w:id="108"/>
    </w:p>
    <w:p>
      <w:pPr>
        <w:spacing w:line="380" w:lineRule="exact"/>
        <w:jc w:val="center"/>
        <w:textAlignment w:val="baseline"/>
        <w:rPr>
          <w:rFonts w:ascii="宋体" w:cs="宋体"/>
          <w:color w:val="auto"/>
          <w:sz w:val="20"/>
          <w:szCs w:val="21"/>
          <w:highlight w:val="none"/>
        </w:rPr>
      </w:pP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10.</w:t>
      </w:r>
      <w:r>
        <w:rPr>
          <w:rFonts w:hint="eastAsia" w:ascii="黑体" w:hAnsi="黑体" w:eastAsia="黑体"/>
          <w:color w:val="auto"/>
          <w:sz w:val="24"/>
          <w:highlight w:val="none"/>
        </w:rPr>
        <w:t>招标文件的组成</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）采购需求；</w:t>
      </w:r>
      <w:r>
        <w:rPr>
          <w:rFonts w:ascii="宋体" w:hAnsi="宋体"/>
          <w:color w:val="auto"/>
          <w:szCs w:val="21"/>
          <w:highlight w:val="none"/>
        </w:rPr>
        <w:t xml:space="preserve"> </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）投标人须知；</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）评标方法及评标标准；</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）拟签订的合同文本；</w:t>
      </w:r>
    </w:p>
    <w:p>
      <w:pPr>
        <w:snapToGrid w:val="0"/>
        <w:spacing w:line="360" w:lineRule="auto"/>
        <w:ind w:firstLine="42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）投标文件格式。</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11.</w:t>
      </w:r>
      <w:r>
        <w:rPr>
          <w:rFonts w:hint="eastAsia" w:ascii="黑体" w:hAnsi="黑体" w:eastAsia="黑体"/>
          <w:color w:val="auto"/>
          <w:sz w:val="24"/>
          <w:highlight w:val="none"/>
        </w:rPr>
        <w:t>招标文件的澄清、修改</w:t>
      </w:r>
      <w:r>
        <w:rPr>
          <w:rFonts w:ascii="黑体" w:hAnsi="黑体" w:eastAsia="黑体"/>
          <w:color w:val="auto"/>
          <w:sz w:val="24"/>
          <w:highlight w:val="none"/>
        </w:rPr>
        <w:t xml:space="preserve"> </w:t>
      </w:r>
      <w:r>
        <w:rPr>
          <w:rFonts w:hint="eastAsia" w:ascii="黑体" w:hAnsi="黑体" w:eastAsia="黑体"/>
          <w:color w:val="auto"/>
          <w:sz w:val="24"/>
          <w:highlight w:val="none"/>
        </w:rPr>
        <w:t>、现场考察和答疑会</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11.1</w:t>
      </w:r>
      <w:r>
        <w:rPr>
          <w:rFonts w:hint="eastAsia" w:ascii="宋体" w:hAnsi="宋体"/>
          <w:b w:val="0"/>
          <w:color w:val="auto"/>
          <w:sz w:val="21"/>
          <w:szCs w:val="21"/>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w:t>
      </w:r>
      <w:r>
        <w:rPr>
          <w:rFonts w:hAnsi="宋体"/>
          <w:color w:val="auto"/>
          <w:sz w:val="21"/>
          <w:highlight w:val="none"/>
        </w:rPr>
        <w:t>15</w:t>
      </w:r>
      <w:r>
        <w:rPr>
          <w:rFonts w:hint="eastAsia" w:hAnsi="宋体"/>
          <w:color w:val="auto"/>
          <w:sz w:val="21"/>
          <w:highlight w:val="none"/>
        </w:rPr>
        <w:t>日前，以书面形式通知所有获取招标文件的潜在投标人；不足</w:t>
      </w:r>
      <w:r>
        <w:rPr>
          <w:rFonts w:hAnsi="宋体"/>
          <w:color w:val="auto"/>
          <w:sz w:val="21"/>
          <w:highlight w:val="none"/>
        </w:rPr>
        <w:t>15</w:t>
      </w:r>
      <w:r>
        <w:rPr>
          <w:rFonts w:hint="eastAsia" w:hAnsi="宋体"/>
          <w:color w:val="auto"/>
          <w:sz w:val="21"/>
          <w:highlight w:val="none"/>
        </w:rPr>
        <w:t>日的，采购人或者采购代理机构应当顺延提交投标文件的截止时间。投标人应当按照桂财采【</w:t>
      </w:r>
      <w:r>
        <w:rPr>
          <w:rFonts w:hAnsi="宋体"/>
          <w:color w:val="auto"/>
          <w:sz w:val="21"/>
          <w:highlight w:val="none"/>
        </w:rPr>
        <w:t>2007</w:t>
      </w:r>
      <w:r>
        <w:rPr>
          <w:rFonts w:hint="eastAsia" w:hAnsi="宋体"/>
          <w:color w:val="auto"/>
          <w:sz w:val="21"/>
          <w:highlight w:val="none"/>
        </w:rPr>
        <w:t>】</w:t>
      </w:r>
      <w:r>
        <w:rPr>
          <w:rFonts w:hAnsi="宋体"/>
          <w:color w:val="auto"/>
          <w:sz w:val="21"/>
          <w:highlight w:val="none"/>
        </w:rPr>
        <w:t>65</w:t>
      </w:r>
      <w:r>
        <w:rPr>
          <w:rFonts w:hint="eastAsia" w:hAnsi="宋体"/>
          <w:color w:val="auto"/>
          <w:sz w:val="21"/>
          <w:highlight w:val="none"/>
        </w:rPr>
        <w:t>号文件第二十九条规定，在澄清或者修改通知发出后</w:t>
      </w:r>
      <w:r>
        <w:rPr>
          <w:rFonts w:hAnsi="宋体"/>
          <w:color w:val="auto"/>
          <w:sz w:val="21"/>
          <w:highlight w:val="none"/>
        </w:rPr>
        <w:t>24</w:t>
      </w:r>
      <w:r>
        <w:rPr>
          <w:rFonts w:hint="eastAsia" w:hAnsi="宋体"/>
          <w:color w:val="auto"/>
          <w:sz w:val="21"/>
          <w:highlight w:val="none"/>
        </w:rPr>
        <w:t>小时内以书面形式进行确认（采用网上下载招标文件形式的除外），否则视为已经收到。</w:t>
      </w:r>
    </w:p>
    <w:p>
      <w:pPr>
        <w:spacing w:line="380" w:lineRule="exact"/>
        <w:textAlignment w:val="baseline"/>
        <w:rPr>
          <w:rFonts w:hAnsi="宋体"/>
          <w:color w:val="auto"/>
          <w:highlight w:val="none"/>
        </w:rPr>
      </w:pPr>
      <w:r>
        <w:rPr>
          <w:rFonts w:hAnsi="宋体"/>
          <w:color w:val="auto"/>
          <w:highlight w:val="none"/>
        </w:rPr>
        <w:t>11.2</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p>
      <w:pPr>
        <w:pStyle w:val="11"/>
        <w:rPr>
          <w:color w:val="auto"/>
          <w:highlight w:val="none"/>
        </w:rPr>
      </w:pPr>
    </w:p>
    <w:p>
      <w:pPr>
        <w:pStyle w:val="4"/>
        <w:keepNext w:val="0"/>
        <w:keepLines w:val="0"/>
        <w:jc w:val="center"/>
        <w:rPr>
          <w:color w:val="auto"/>
          <w:highlight w:val="none"/>
        </w:rPr>
      </w:pPr>
      <w:bookmarkStart w:id="109" w:name="_Toc254970676"/>
      <w:bookmarkStart w:id="110" w:name="_Toc254970535"/>
      <w:r>
        <w:rPr>
          <w:rFonts w:hint="eastAsia"/>
          <w:color w:val="auto"/>
          <w:highlight w:val="none"/>
        </w:rPr>
        <w:t>三、投标文件的编制</w:t>
      </w:r>
      <w:bookmarkEnd w:id="109"/>
      <w:bookmarkEnd w:id="110"/>
    </w:p>
    <w:p>
      <w:pPr>
        <w:pStyle w:val="6"/>
        <w:keepNext w:val="0"/>
        <w:keepLines w:val="0"/>
        <w:spacing w:before="0" w:after="0" w:line="360" w:lineRule="auto"/>
        <w:ind w:left="420" w:leftChars="200"/>
        <w:rPr>
          <w:rFonts w:ascii="黑体" w:hAnsi="黑体" w:eastAsia="黑体"/>
          <w:color w:val="auto"/>
          <w:sz w:val="24"/>
          <w:highlight w:val="none"/>
        </w:rPr>
      </w:pPr>
      <w:bookmarkStart w:id="111" w:name="_Toc254970536"/>
      <w:bookmarkStart w:id="112" w:name="_Toc254970677"/>
      <w:r>
        <w:rPr>
          <w:rFonts w:ascii="黑体" w:hAnsi="黑体" w:eastAsia="黑体"/>
          <w:color w:val="auto"/>
          <w:sz w:val="24"/>
          <w:highlight w:val="none"/>
        </w:rPr>
        <w:t>12.</w:t>
      </w:r>
      <w:r>
        <w:rPr>
          <w:rFonts w:hint="eastAsia" w:ascii="黑体" w:hAnsi="黑体" w:eastAsia="黑体"/>
          <w:color w:val="auto"/>
          <w:sz w:val="24"/>
          <w:highlight w:val="none"/>
        </w:rPr>
        <w:t>投标文件的编制原则</w:t>
      </w:r>
    </w:p>
    <w:p>
      <w:pPr>
        <w:snapToGrid w:val="0"/>
        <w:spacing w:line="360" w:lineRule="auto"/>
        <w:ind w:firstLine="420"/>
        <w:jc w:val="left"/>
        <w:rPr>
          <w:rFonts w:ascii="宋体" w:cs="Courier New"/>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13.</w:t>
      </w:r>
      <w:r>
        <w:rPr>
          <w:rFonts w:hint="eastAsia" w:ascii="黑体" w:hAnsi="黑体" w:eastAsia="黑体"/>
          <w:color w:val="auto"/>
          <w:sz w:val="24"/>
          <w:highlight w:val="none"/>
        </w:rPr>
        <w:t>投标文件的组成</w:t>
      </w:r>
      <w:bookmarkEnd w:id="111"/>
      <w:bookmarkEnd w:id="112"/>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投标文件由报价文件、资格证明文件、商务文件、技术文件四部分组成。</w:t>
      </w:r>
    </w:p>
    <w:p>
      <w:pPr>
        <w:pStyle w:val="6"/>
        <w:keepNext w:val="0"/>
        <w:keepLines w:val="0"/>
        <w:spacing w:before="0" w:after="0" w:line="360" w:lineRule="auto"/>
        <w:ind w:left="420" w:leftChars="200"/>
        <w:rPr>
          <w:rFonts w:ascii="宋体"/>
          <w:b w:val="0"/>
          <w:color w:val="auto"/>
          <w:sz w:val="21"/>
          <w:szCs w:val="21"/>
          <w:highlight w:val="none"/>
        </w:rPr>
      </w:pPr>
      <w:bookmarkStart w:id="113" w:name="_13.1报价文件:_具体材料见“投标人须知前附表”。"/>
      <w:bookmarkEnd w:id="113"/>
      <w:r>
        <w:rPr>
          <w:rFonts w:hint="eastAsia" w:ascii="宋体" w:hAnsi="宋体"/>
          <w:b w:val="0"/>
          <w:color w:val="auto"/>
          <w:sz w:val="21"/>
          <w:szCs w:val="21"/>
          <w:highlight w:val="none"/>
        </w:rPr>
        <w:t>（</w:t>
      </w:r>
      <w:r>
        <w:rPr>
          <w:rFonts w:ascii="宋体" w:hAnsi="宋体"/>
          <w:b w:val="0"/>
          <w:color w:val="auto"/>
          <w:sz w:val="21"/>
          <w:szCs w:val="21"/>
          <w:highlight w:val="none"/>
        </w:rPr>
        <w:t>1</w:t>
      </w:r>
      <w:r>
        <w:rPr>
          <w:rFonts w:hint="eastAsia" w:ascii="宋体" w:hAnsi="宋体"/>
          <w:b w:val="0"/>
          <w:color w:val="auto"/>
          <w:sz w:val="21"/>
          <w:szCs w:val="21"/>
          <w:highlight w:val="none"/>
        </w:rPr>
        <w:t>）报价文件：</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具体材料见</w:t>
      </w:r>
      <w:r>
        <w:rPr>
          <w:rFonts w:hint="eastAsia" w:ascii="宋体"/>
          <w:b w:val="0"/>
          <w:color w:val="auto"/>
          <w:sz w:val="21"/>
          <w:szCs w:val="21"/>
          <w:highlight w:val="none"/>
        </w:rPr>
        <w:t>“</w:t>
      </w:r>
      <w:r>
        <w:rPr>
          <w:rFonts w:hint="eastAsia" w:ascii="宋体" w:hAnsi="宋体"/>
          <w:b w:val="0"/>
          <w:color w:val="auto"/>
          <w:sz w:val="21"/>
          <w:szCs w:val="21"/>
          <w:highlight w:val="none"/>
        </w:rPr>
        <w:t>投标人须知前附表</w:t>
      </w:r>
      <w:r>
        <w:rPr>
          <w:rFonts w:hint="eastAsia" w:ascii="宋体"/>
          <w:b w:val="0"/>
          <w:color w:val="auto"/>
          <w:sz w:val="21"/>
          <w:szCs w:val="21"/>
          <w:highlight w:val="none"/>
        </w:rPr>
        <w:t>”</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b w:val="0"/>
          <w:color w:val="auto"/>
          <w:sz w:val="21"/>
          <w:szCs w:val="21"/>
          <w:highlight w:val="none"/>
        </w:rPr>
      </w:pPr>
      <w:bookmarkStart w:id="114" w:name="_13.2资格证明文件：具体材料见“投标人须知前附表”。"/>
      <w:bookmarkEnd w:id="114"/>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）资格证明文件：具体材料见</w:t>
      </w:r>
      <w:r>
        <w:rPr>
          <w:rFonts w:hint="eastAsia" w:ascii="宋体"/>
          <w:b w:val="0"/>
          <w:color w:val="auto"/>
          <w:sz w:val="21"/>
          <w:szCs w:val="21"/>
          <w:highlight w:val="none"/>
        </w:rPr>
        <w:t>“</w:t>
      </w:r>
      <w:r>
        <w:rPr>
          <w:rFonts w:hint="eastAsia" w:ascii="宋体" w:hAnsi="宋体"/>
          <w:b w:val="0"/>
          <w:color w:val="auto"/>
          <w:sz w:val="21"/>
          <w:szCs w:val="21"/>
          <w:highlight w:val="none"/>
        </w:rPr>
        <w:t>投标人须知前附表</w:t>
      </w:r>
      <w:r>
        <w:rPr>
          <w:rFonts w:hint="eastAsia" w:ascii="宋体"/>
          <w:b w:val="0"/>
          <w:color w:val="auto"/>
          <w:sz w:val="21"/>
          <w:szCs w:val="21"/>
          <w:highlight w:val="none"/>
        </w:rPr>
        <w:t>”</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b w:val="0"/>
          <w:color w:val="auto"/>
          <w:sz w:val="21"/>
          <w:szCs w:val="21"/>
          <w:highlight w:val="none"/>
        </w:rPr>
      </w:pPr>
      <w:bookmarkStart w:id="115" w:name="_13.3商务文件:_具体材料见“投标人须知前附表”。"/>
      <w:bookmarkEnd w:id="115"/>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）商务文件：具体材料见</w:t>
      </w:r>
      <w:r>
        <w:rPr>
          <w:rFonts w:hint="eastAsia" w:ascii="宋体"/>
          <w:b w:val="0"/>
          <w:color w:val="auto"/>
          <w:sz w:val="21"/>
          <w:szCs w:val="21"/>
          <w:highlight w:val="none"/>
        </w:rPr>
        <w:t>“</w:t>
      </w:r>
      <w:r>
        <w:rPr>
          <w:rFonts w:hint="eastAsia" w:ascii="宋体" w:hAnsi="宋体"/>
          <w:b w:val="0"/>
          <w:color w:val="auto"/>
          <w:sz w:val="21"/>
          <w:szCs w:val="21"/>
          <w:highlight w:val="none"/>
        </w:rPr>
        <w:t>投标人须知前附表</w:t>
      </w:r>
      <w:r>
        <w:rPr>
          <w:rFonts w:hint="eastAsia" w:ascii="宋体"/>
          <w:b w:val="0"/>
          <w:color w:val="auto"/>
          <w:sz w:val="21"/>
          <w:szCs w:val="21"/>
          <w:highlight w:val="none"/>
        </w:rPr>
        <w:t>”</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b w:val="0"/>
          <w:color w:val="auto"/>
          <w:sz w:val="21"/>
          <w:szCs w:val="21"/>
          <w:highlight w:val="none"/>
        </w:rPr>
      </w:pPr>
      <w:bookmarkStart w:id="116" w:name="_13.4技术文件：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）技术文件：具体材料见</w:t>
      </w:r>
      <w:r>
        <w:rPr>
          <w:rFonts w:hint="eastAsia" w:ascii="宋体"/>
          <w:b w:val="0"/>
          <w:color w:val="auto"/>
          <w:sz w:val="21"/>
          <w:szCs w:val="21"/>
          <w:highlight w:val="none"/>
        </w:rPr>
        <w:t>“</w:t>
      </w:r>
      <w:r>
        <w:rPr>
          <w:rFonts w:hint="eastAsia" w:ascii="宋体" w:hAnsi="宋体"/>
          <w:b w:val="0"/>
          <w:color w:val="auto"/>
          <w:sz w:val="21"/>
          <w:szCs w:val="21"/>
          <w:highlight w:val="none"/>
        </w:rPr>
        <w:t>投标人须知前附表</w:t>
      </w:r>
      <w:r>
        <w:rPr>
          <w:rFonts w:hint="eastAsia" w:ascii="宋体"/>
          <w:b w:val="0"/>
          <w:color w:val="auto"/>
          <w:sz w:val="21"/>
          <w:szCs w:val="21"/>
          <w:highlight w:val="none"/>
        </w:rPr>
        <w:t>”</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b w:val="0"/>
          <w:color w:val="auto"/>
          <w:sz w:val="21"/>
          <w:szCs w:val="21"/>
          <w:highlight w:val="none"/>
        </w:rPr>
      </w:pPr>
      <w:bookmarkStart w:id="117" w:name="_13.5投标文件电子版：具体材料见“投标人须知前附表”。"/>
      <w:bookmarkEnd w:id="117"/>
      <w:r>
        <w:rPr>
          <w:rFonts w:ascii="宋体" w:hAnsi="宋体"/>
          <w:b w:val="0"/>
          <w:color w:val="auto"/>
          <w:sz w:val="21"/>
          <w:szCs w:val="21"/>
          <w:highlight w:val="none"/>
        </w:rPr>
        <w:t>13.2</w:t>
      </w:r>
      <w:r>
        <w:rPr>
          <w:rFonts w:hint="eastAsia" w:ascii="宋体" w:hAnsi="宋体"/>
          <w:b w:val="0"/>
          <w:color w:val="auto"/>
          <w:sz w:val="21"/>
          <w:szCs w:val="21"/>
          <w:highlight w:val="none"/>
        </w:rPr>
        <w:t>投标文件电子版：具体要求见</w:t>
      </w:r>
      <w:r>
        <w:rPr>
          <w:rFonts w:hint="eastAsia" w:ascii="宋体"/>
          <w:b w:val="0"/>
          <w:color w:val="auto"/>
          <w:sz w:val="21"/>
          <w:szCs w:val="21"/>
          <w:highlight w:val="none"/>
        </w:rPr>
        <w:t>“</w:t>
      </w:r>
      <w:r>
        <w:rPr>
          <w:rFonts w:hint="eastAsia" w:ascii="宋体" w:hAnsi="宋体"/>
          <w:b w:val="0"/>
          <w:color w:val="auto"/>
          <w:sz w:val="21"/>
          <w:szCs w:val="21"/>
          <w:highlight w:val="none"/>
        </w:rPr>
        <w:t>投标人须知前附表</w:t>
      </w:r>
      <w:r>
        <w:rPr>
          <w:rFonts w:hint="eastAsia" w:ascii="宋体"/>
          <w:b w:val="0"/>
          <w:color w:val="auto"/>
          <w:sz w:val="21"/>
          <w:szCs w:val="21"/>
          <w:highlight w:val="none"/>
        </w:rPr>
        <w:t>”</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bookmarkStart w:id="118" w:name="_Toc254970678"/>
      <w:bookmarkStart w:id="119" w:name="_Toc254970537"/>
      <w:r>
        <w:rPr>
          <w:rFonts w:ascii="黑体" w:hAnsi="黑体" w:eastAsia="黑体"/>
          <w:color w:val="auto"/>
          <w:sz w:val="24"/>
          <w:highlight w:val="none"/>
        </w:rPr>
        <w:t>14.</w:t>
      </w:r>
      <w:r>
        <w:rPr>
          <w:rFonts w:hint="eastAsia" w:ascii="黑体" w:hAnsi="黑体" w:eastAsia="黑体"/>
          <w:color w:val="auto"/>
          <w:sz w:val="24"/>
          <w:highlight w:val="none"/>
        </w:rPr>
        <w:t>投标文件的语言及计量</w:t>
      </w:r>
      <w:bookmarkEnd w:id="118"/>
      <w:bookmarkEnd w:id="119"/>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14.1</w:t>
      </w:r>
      <w:r>
        <w:rPr>
          <w:rFonts w:hint="eastAsia" w:ascii="宋体" w:hAnsi="宋体"/>
          <w:b w:val="0"/>
          <w:color w:val="auto"/>
          <w:sz w:val="21"/>
          <w:szCs w:val="21"/>
          <w:highlight w:val="none"/>
        </w:rPr>
        <w:t>语言文字</w:t>
      </w:r>
    </w:p>
    <w:p>
      <w:pPr>
        <w:pStyle w:val="6"/>
        <w:keepNext w:val="0"/>
        <w:keepLines w:val="0"/>
        <w:spacing w:before="0" w:after="0" w:line="360" w:lineRule="auto"/>
        <w:ind w:firstLine="420" w:firstLineChars="200"/>
        <w:rPr>
          <w:rFonts w:asci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14.2</w:t>
      </w:r>
      <w:r>
        <w:rPr>
          <w:rFonts w:hint="eastAsia" w:ascii="宋体" w:hAnsi="宋体"/>
          <w:b w:val="0"/>
          <w:color w:val="auto"/>
          <w:sz w:val="21"/>
          <w:szCs w:val="21"/>
          <w:highlight w:val="none"/>
        </w:rPr>
        <w:t>投标计量单位</w:t>
      </w:r>
    </w:p>
    <w:p>
      <w:pPr>
        <w:pStyle w:val="6"/>
        <w:keepNext w:val="0"/>
        <w:keepLines w:val="0"/>
        <w:spacing w:before="0" w:after="0" w:line="360" w:lineRule="auto"/>
        <w:ind w:firstLine="420" w:firstLineChars="200"/>
        <w:rPr>
          <w:rFonts w:asci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15.</w:t>
      </w:r>
      <w:r>
        <w:rPr>
          <w:rFonts w:hint="eastAsia" w:ascii="黑体" w:hAnsi="黑体" w:eastAsia="黑体"/>
          <w:color w:val="auto"/>
          <w:sz w:val="24"/>
          <w:highlight w:val="none"/>
        </w:rPr>
        <w:t>投标的风险</w:t>
      </w:r>
    </w:p>
    <w:p>
      <w:pPr>
        <w:pStyle w:val="1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color w:val="auto"/>
          <w:sz w:val="24"/>
          <w:highlight w:val="none"/>
        </w:rPr>
      </w:pPr>
      <w:bookmarkStart w:id="120" w:name="_Toc254970538"/>
      <w:bookmarkStart w:id="121" w:name="_Toc254970679"/>
      <w:r>
        <w:rPr>
          <w:rFonts w:ascii="黑体" w:hAnsi="黑体" w:eastAsia="黑体"/>
          <w:color w:val="auto"/>
          <w:sz w:val="24"/>
          <w:highlight w:val="none"/>
        </w:rPr>
        <w:t>16.</w:t>
      </w:r>
      <w:r>
        <w:rPr>
          <w:rFonts w:hint="eastAsia" w:ascii="黑体" w:hAnsi="黑体" w:eastAsia="黑体"/>
          <w:color w:val="auto"/>
          <w:sz w:val="24"/>
          <w:highlight w:val="none"/>
        </w:rPr>
        <w:t>投标报价</w:t>
      </w:r>
      <w:bookmarkEnd w:id="120"/>
      <w:bookmarkEnd w:id="121"/>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16.1</w:t>
      </w:r>
      <w:r>
        <w:rPr>
          <w:rFonts w:hint="eastAsia" w:ascii="宋体" w:hAnsi="宋体"/>
          <w:b w:val="0"/>
          <w:color w:val="auto"/>
          <w:sz w:val="21"/>
          <w:szCs w:val="21"/>
          <w:highlight w:val="none"/>
        </w:rPr>
        <w:t>投标报价应按“第六章　投标文件格式”中“开标一览表”格式填写。</w:t>
      </w:r>
    </w:p>
    <w:p>
      <w:pPr>
        <w:pStyle w:val="6"/>
        <w:keepNext w:val="0"/>
        <w:keepLines w:val="0"/>
        <w:spacing w:before="0" w:after="0" w:line="360" w:lineRule="auto"/>
        <w:ind w:left="420" w:leftChars="200"/>
        <w:rPr>
          <w:rFonts w:ascii="宋体"/>
          <w:b w:val="0"/>
          <w:color w:val="auto"/>
          <w:sz w:val="21"/>
          <w:szCs w:val="21"/>
          <w:highlight w:val="none"/>
        </w:rPr>
      </w:pPr>
      <w:bookmarkStart w:id="122" w:name="_16.2投标报价具体定义见投标人须知前附表。"/>
      <w:bookmarkEnd w:id="122"/>
      <w:r>
        <w:rPr>
          <w:rFonts w:ascii="宋体" w:hAnsi="宋体"/>
          <w:b w:val="0"/>
          <w:color w:val="auto"/>
          <w:sz w:val="21"/>
          <w:szCs w:val="21"/>
          <w:highlight w:val="none"/>
        </w:rPr>
        <w:t>16.2</w:t>
      </w:r>
      <w:r>
        <w:rPr>
          <w:rFonts w:hint="eastAsia" w:ascii="宋体" w:hAnsi="宋体"/>
          <w:b w:val="0"/>
          <w:color w:val="auto"/>
          <w:sz w:val="21"/>
          <w:szCs w:val="21"/>
          <w:highlight w:val="none"/>
        </w:rPr>
        <w:t>投标报价具体包括内容详见“投标人须知前附表”。</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16.3</w:t>
      </w:r>
      <w:r>
        <w:rPr>
          <w:rFonts w:hint="eastAsia" w:ascii="宋体" w:hAnsi="宋体"/>
          <w:b w:val="0"/>
          <w:color w:val="auto"/>
          <w:sz w:val="21"/>
          <w:szCs w:val="21"/>
          <w:highlight w:val="none"/>
        </w:rPr>
        <w:t>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17.</w:t>
      </w:r>
      <w:r>
        <w:rPr>
          <w:rFonts w:hint="eastAsia" w:ascii="黑体" w:hAnsi="黑体" w:eastAsia="黑体"/>
          <w:color w:val="auto"/>
          <w:sz w:val="24"/>
          <w:highlight w:val="none"/>
        </w:rPr>
        <w:t>投标有效期</w:t>
      </w:r>
    </w:p>
    <w:p>
      <w:pPr>
        <w:pStyle w:val="6"/>
        <w:keepNext w:val="0"/>
        <w:keepLines w:val="0"/>
        <w:spacing w:before="0" w:after="0" w:line="360" w:lineRule="auto"/>
        <w:ind w:firstLine="420" w:firstLineChars="200"/>
        <w:rPr>
          <w:rFonts w:ascii="宋体"/>
          <w:b w:val="0"/>
          <w:color w:val="auto"/>
          <w:sz w:val="21"/>
          <w:szCs w:val="21"/>
          <w:highlight w:val="none"/>
        </w:rPr>
      </w:pPr>
      <w:bookmarkStart w:id="123" w:name="_17.1投标有效期应按“投标人须知中的前附表”规定的期限。"/>
      <w:bookmarkEnd w:id="123"/>
      <w:r>
        <w:rPr>
          <w:rFonts w:ascii="宋体" w:hAnsi="宋体"/>
          <w:b w:val="0"/>
          <w:color w:val="auto"/>
          <w:sz w:val="21"/>
          <w:szCs w:val="21"/>
          <w:highlight w:val="none"/>
        </w:rPr>
        <w:t>17.1</w:t>
      </w:r>
      <w:r>
        <w:rPr>
          <w:rFonts w:hint="eastAsia" w:ascii="宋体" w:hAnsi="宋体"/>
          <w:b w:val="0"/>
          <w:color w:val="auto"/>
          <w:sz w:val="21"/>
          <w:szCs w:val="21"/>
          <w:highlight w:val="none"/>
        </w:rPr>
        <w:t>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17.2</w:t>
      </w:r>
      <w:bookmarkStart w:id="124" w:name="_Toc254970540"/>
      <w:bookmarkStart w:id="125" w:name="_Toc254970681"/>
      <w:r>
        <w:rPr>
          <w:rFonts w:ascii="宋体" w:hAnsi="宋体"/>
          <w:b w:val="0"/>
          <w:color w:val="auto"/>
          <w:sz w:val="21"/>
          <w:szCs w:val="21"/>
          <w:highlight w:val="none"/>
        </w:rPr>
        <w:t xml:space="preserve"> </w:t>
      </w:r>
      <w:r>
        <w:rPr>
          <w:rFonts w:hint="eastAsia" w:ascii="宋体" w:hAnsi="宋体"/>
          <w:b w:val="0"/>
          <w:color w:val="auto"/>
          <w:sz w:val="21"/>
          <w:szCs w:val="21"/>
          <w:highlight w:val="none"/>
        </w:rPr>
        <w:t>投标有效期应按规定的期限作出承诺，具体详见“投标人须知前附表”。</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17.3</w:t>
      </w:r>
      <w:r>
        <w:rPr>
          <w:rFonts w:hint="eastAsia" w:ascii="宋体" w:hAnsi="宋体"/>
          <w:b w:val="0"/>
          <w:color w:val="auto"/>
          <w:sz w:val="21"/>
          <w:szCs w:val="21"/>
          <w:highlight w:val="none"/>
        </w:rPr>
        <w:t>投标人的投标文件在投标有效期内均保持有效。</w:t>
      </w:r>
      <w:bookmarkEnd w:id="124"/>
      <w:bookmarkEnd w:id="125"/>
    </w:p>
    <w:p>
      <w:pPr>
        <w:pStyle w:val="6"/>
        <w:keepNext w:val="0"/>
        <w:keepLines w:val="0"/>
        <w:spacing w:before="0" w:after="0" w:line="360" w:lineRule="auto"/>
        <w:ind w:left="420" w:leftChars="200"/>
        <w:rPr>
          <w:rFonts w:ascii="黑体" w:hAnsi="黑体" w:eastAsia="黑体"/>
          <w:color w:val="auto"/>
          <w:sz w:val="24"/>
          <w:highlight w:val="none"/>
        </w:rPr>
      </w:pPr>
      <w:bookmarkStart w:id="126" w:name="_18.投标保证金"/>
      <w:bookmarkEnd w:id="126"/>
      <w:bookmarkStart w:id="127" w:name="_Toc254970541"/>
      <w:bookmarkStart w:id="128" w:name="_Toc254970682"/>
      <w:r>
        <w:rPr>
          <w:rFonts w:ascii="黑体" w:hAnsi="黑体" w:eastAsia="黑体"/>
          <w:color w:val="auto"/>
          <w:sz w:val="24"/>
          <w:highlight w:val="none"/>
        </w:rPr>
        <w:t>18.</w:t>
      </w:r>
      <w:r>
        <w:rPr>
          <w:rFonts w:hint="eastAsia" w:ascii="黑体" w:hAnsi="黑体" w:eastAsia="黑体"/>
          <w:color w:val="auto"/>
          <w:sz w:val="24"/>
          <w:highlight w:val="none"/>
        </w:rPr>
        <w:t>投标保证金</w:t>
      </w:r>
      <w:bookmarkEnd w:id="127"/>
      <w:bookmarkEnd w:id="128"/>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18.1</w:t>
      </w:r>
      <w:r>
        <w:rPr>
          <w:rFonts w:hint="eastAsia" w:ascii="宋体" w:hAnsi="宋体"/>
          <w:b w:val="0"/>
          <w:color w:val="auto"/>
          <w:sz w:val="21"/>
          <w:szCs w:val="21"/>
          <w:highlight w:val="none"/>
        </w:rPr>
        <w:t>投标人须按“投标人须知前附表”</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的规定提交投标保证金。</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18.2</w:t>
      </w:r>
      <w:r>
        <w:rPr>
          <w:rFonts w:hint="eastAsia" w:ascii="宋体" w:hAnsi="宋体"/>
          <w:b w:val="0"/>
          <w:color w:val="auto"/>
          <w:sz w:val="21"/>
          <w:szCs w:val="21"/>
          <w:highlight w:val="none"/>
        </w:rPr>
        <w:t>投标保证金的退还</w:t>
      </w:r>
    </w:p>
    <w:p>
      <w:pPr>
        <w:pStyle w:val="6"/>
        <w:keepNext w:val="0"/>
        <w:keepLines w:val="0"/>
        <w:spacing w:before="0" w:after="0" w:line="360" w:lineRule="auto"/>
        <w:ind w:firstLine="420" w:firstLineChars="200"/>
        <w:rPr>
          <w:rFonts w:asci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未中标人的投标保证金自中标通知书发出之日起4个工作日内退还；中标人的投标保证金自政府采购合同签订之日起4个工作日内退还。</w:t>
      </w:r>
      <w:r>
        <w:rPr>
          <w:rFonts w:ascii="宋体" w:hAnsi="宋体"/>
          <w:b w:val="0"/>
          <w:color w:val="auto"/>
          <w:sz w:val="21"/>
          <w:szCs w:val="21"/>
          <w:highlight w:val="none"/>
        </w:rPr>
        <w:t xml:space="preserve"> </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18.3</w:t>
      </w:r>
      <w:r>
        <w:rPr>
          <w:rFonts w:hint="eastAsia" w:ascii="宋体" w:hAnsi="宋体"/>
          <w:b w:val="0"/>
          <w:color w:val="auto"/>
          <w:sz w:val="21"/>
          <w:szCs w:val="21"/>
          <w:highlight w:val="none"/>
        </w:rPr>
        <w:t>除逾期退还投标保证金和终止招标的情形以外，投标保证金不计息。</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18.4</w:t>
      </w:r>
      <w:r>
        <w:rPr>
          <w:rFonts w:hint="eastAsia" w:ascii="宋体" w:hAnsi="宋体"/>
          <w:b w:val="0"/>
          <w:color w:val="auto"/>
          <w:sz w:val="21"/>
          <w:szCs w:val="21"/>
          <w:highlight w:val="none"/>
        </w:rPr>
        <w:t>投标人有下列情形之一的，投标保证金将不予退还：</w:t>
      </w:r>
      <w:r>
        <w:rPr>
          <w:rFonts w:ascii="宋体" w:hAnsi="宋体"/>
          <w:b w:val="0"/>
          <w:color w:val="auto"/>
          <w:sz w:val="21"/>
          <w:szCs w:val="21"/>
          <w:highlight w:val="none"/>
        </w:rPr>
        <w:t xml:space="preserve"> </w:t>
      </w:r>
    </w:p>
    <w:p>
      <w:pPr>
        <w:snapToGrid w:val="0"/>
        <w:spacing w:line="360" w:lineRule="auto"/>
        <w:ind w:firstLine="411" w:firstLineChars="196"/>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）投标人在投标有效期内撤销投标文件的；</w:t>
      </w:r>
    </w:p>
    <w:p>
      <w:pPr>
        <w:snapToGrid w:val="0"/>
        <w:spacing w:line="360" w:lineRule="auto"/>
        <w:ind w:firstLine="411" w:firstLineChars="196"/>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）未按规定提交履约保证金的；</w:t>
      </w:r>
    </w:p>
    <w:p>
      <w:pPr>
        <w:snapToGrid w:val="0"/>
        <w:spacing w:line="360" w:lineRule="auto"/>
        <w:ind w:firstLine="411" w:firstLineChars="196"/>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）投标人在投标过程中弄虚作假，提供虚假材料的；</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）中标人无正当理由不与采购人签订合同的；</w:t>
      </w:r>
    </w:p>
    <w:p>
      <w:pPr>
        <w:snapToGrid w:val="0"/>
        <w:spacing w:line="360" w:lineRule="auto"/>
        <w:ind w:firstLine="420" w:firstLineChars="200"/>
        <w:rPr>
          <w:rFonts w:ascii="宋体"/>
          <w:color w:val="auto"/>
          <w:szCs w:val="21"/>
          <w:highlight w:val="none"/>
        </w:rPr>
      </w:pPr>
      <w:bookmarkStart w:id="129" w:name="_Toc254970683"/>
      <w:bookmarkStart w:id="130" w:name="_Toc254970542"/>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）投标人出现本章第</w:t>
      </w:r>
      <w:r>
        <w:rPr>
          <w:rFonts w:ascii="宋体" w:hAnsi="宋体"/>
          <w:color w:val="auto"/>
          <w:szCs w:val="21"/>
          <w:highlight w:val="none"/>
        </w:rPr>
        <w:t>9.2</w:t>
      </w:r>
      <w:r>
        <w:rPr>
          <w:rFonts w:hint="eastAsia" w:ascii="宋体" w:hAnsi="宋体"/>
          <w:color w:val="auto"/>
          <w:szCs w:val="21"/>
          <w:highlight w:val="none"/>
        </w:rPr>
        <w:t>、</w:t>
      </w:r>
      <w:r>
        <w:rPr>
          <w:rFonts w:ascii="宋体" w:hAnsi="宋体"/>
          <w:color w:val="auto"/>
          <w:szCs w:val="21"/>
          <w:highlight w:val="none"/>
        </w:rPr>
        <w:t>9.3</w:t>
      </w:r>
      <w:r>
        <w:rPr>
          <w:rFonts w:hint="eastAsia" w:ascii="宋体" w:hAnsi="宋体"/>
          <w:color w:val="auto"/>
          <w:szCs w:val="21"/>
          <w:highlight w:val="none"/>
        </w:rPr>
        <w:t>情形的；</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19.</w:t>
      </w:r>
      <w:r>
        <w:rPr>
          <w:rFonts w:hint="eastAsia" w:ascii="黑体" w:hAnsi="黑体" w:eastAsia="黑体"/>
          <w:color w:val="auto"/>
          <w:sz w:val="24"/>
          <w:highlight w:val="none"/>
        </w:rPr>
        <w:t>投标文件的</w:t>
      </w:r>
      <w:bookmarkEnd w:id="129"/>
      <w:bookmarkEnd w:id="130"/>
      <w:r>
        <w:rPr>
          <w:rFonts w:hint="eastAsia" w:ascii="黑体" w:hAnsi="黑体" w:eastAsia="黑体"/>
          <w:color w:val="auto"/>
          <w:sz w:val="24"/>
          <w:highlight w:val="none"/>
        </w:rPr>
        <w:t>编制</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19.1投标人应先安装“政采云电子交易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19.2为确保网上操作合法、有效和安全，投标人应当在投标截止时间前完成在“政采云”平台的身份认证，确保在电子投标过程中能够对相关数据电文进行加密和使用电子签名。</w:t>
      </w:r>
    </w:p>
    <w:p>
      <w:pPr>
        <w:pStyle w:val="6"/>
        <w:keepNext w:val="0"/>
        <w:keepLines w:val="0"/>
        <w:spacing w:before="0" w:after="0" w:line="360" w:lineRule="auto"/>
        <w:ind w:firstLine="315" w:firstLineChars="150"/>
        <w:rPr>
          <w:rFonts w:asci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19.3投标文件须由投标人在规定位置签字、盖章（具体以投标人须知前附表或投标文件格式规定为准），</w:t>
      </w:r>
      <w:r>
        <w:rPr>
          <w:rFonts w:hint="eastAsia" w:ascii="宋体" w:hAnsi="宋体"/>
          <w:bCs/>
          <w:color w:val="auto"/>
          <w:sz w:val="21"/>
          <w:szCs w:val="21"/>
          <w:highlight w:val="none"/>
        </w:rPr>
        <w:t>否则按无效投标处理</w:t>
      </w:r>
      <w:r>
        <w:rPr>
          <w:rFonts w:hint="eastAsia" w:hAnsi="宋体" w:cs="宋体"/>
          <w:b w:val="0"/>
          <w:bCs/>
          <w:color w:val="auto"/>
          <w:sz w:val="21"/>
          <w:highlight w:val="none"/>
        </w:rPr>
        <w:t>。</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19.4</w:t>
      </w:r>
      <w:r>
        <w:rPr>
          <w:rFonts w:hint="eastAsia" w:ascii="宋体" w:hAnsi="宋体"/>
          <w:b w:val="0"/>
          <w:color w:val="auto"/>
          <w:sz w:val="21"/>
          <w:szCs w:val="21"/>
          <w:highlight w:val="none"/>
        </w:rPr>
        <w:t>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19.5</w:t>
      </w:r>
      <w:r>
        <w:rPr>
          <w:rFonts w:hint="eastAsia" w:ascii="宋体" w:hAnsi="宋体"/>
          <w:b w:val="0"/>
          <w:color w:val="auto"/>
          <w:sz w:val="21"/>
          <w:szCs w:val="21"/>
          <w:highlight w:val="none"/>
        </w:rPr>
        <w:t>投标文件应尽量避免涂改、行间插字或者删除。如果出现上述情况，改动之处应由投标人的法定代表人或者其委托代理人签字或者加盖公章。投标文件因字迹潦草或者表达不清所引起的后果由投标人承担。</w:t>
      </w:r>
    </w:p>
    <w:p>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20.备份投标文件</w:t>
      </w:r>
    </w:p>
    <w:p>
      <w:pPr>
        <w:spacing w:line="360" w:lineRule="auto"/>
        <w:ind w:firstLine="420" w:firstLineChars="200"/>
        <w:rPr>
          <w:rFonts w:ascii="宋体"/>
          <w:color w:val="auto"/>
          <w:szCs w:val="21"/>
          <w:highlight w:val="none"/>
        </w:rPr>
      </w:pPr>
      <w:r>
        <w:rPr>
          <w:rFonts w:hint="eastAsia"/>
          <w:color w:val="auto"/>
          <w:highlight w:val="none"/>
        </w:rPr>
        <w:t>电子备份投标文件是指通过“政采云电子投标客户端”在线编制生成且后缀名为“</w:t>
      </w:r>
      <w:r>
        <w:rPr>
          <w:color w:val="auto"/>
          <w:highlight w:val="none"/>
        </w:rPr>
        <w:t>bfbs</w:t>
      </w:r>
      <w:r>
        <w:rPr>
          <w:rFonts w:hint="eastAsia"/>
          <w:color w:val="auto"/>
          <w:highlight w:val="none"/>
        </w:rPr>
        <w:t>”的文件，提交要求</w:t>
      </w:r>
      <w:r>
        <w:rPr>
          <w:rFonts w:hint="eastAsia" w:hAnsi="宋体"/>
          <w:bCs/>
          <w:color w:val="auto"/>
          <w:szCs w:val="21"/>
          <w:highlight w:val="none"/>
        </w:rPr>
        <w:t>详见在“投标人须知前附表”</w:t>
      </w:r>
      <w:r>
        <w:rPr>
          <w:rFonts w:hint="eastAsia" w:ascii="宋体" w:hAnsi="宋体"/>
          <w:color w:val="auto"/>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21.</w:t>
      </w:r>
      <w:r>
        <w:rPr>
          <w:rFonts w:hint="eastAsia" w:ascii="黑体" w:hAnsi="黑体" w:eastAsia="黑体"/>
          <w:color w:val="auto"/>
          <w:sz w:val="24"/>
          <w:highlight w:val="none"/>
        </w:rPr>
        <w:t>投标文件的提交</w:t>
      </w:r>
    </w:p>
    <w:p>
      <w:pPr>
        <w:spacing w:line="360" w:lineRule="auto"/>
        <w:ind w:firstLine="420" w:firstLineChars="200"/>
        <w:rPr>
          <w:rFonts w:hAnsi="宋体"/>
          <w:b/>
          <w:color w:val="auto"/>
          <w:highlight w:val="none"/>
        </w:rPr>
      </w:pPr>
      <w:bookmarkStart w:id="131" w:name="_21.1投标人必须在“投标人须知中的前附表”规定的投标文件接收时间和投"/>
      <w:bookmarkEnd w:id="131"/>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“政采云”平台</w:t>
      </w:r>
      <w:r>
        <w:rPr>
          <w:rFonts w:hint="eastAsia" w:hAnsi="宋体"/>
          <w:bCs/>
          <w:color w:val="auto"/>
          <w:szCs w:val="21"/>
          <w:highlight w:val="none"/>
        </w:rPr>
        <w:t xml:space="preserve">。 </w:t>
      </w:r>
      <w:r>
        <w:rPr>
          <w:rFonts w:hint="eastAsia" w:hAnsi="宋体"/>
          <w:b/>
          <w:color w:val="auto"/>
          <w:highlight w:val="none"/>
        </w:rPr>
        <w:t xml:space="preserve"> </w:t>
      </w:r>
    </w:p>
    <w:p>
      <w:pPr>
        <w:pStyle w:val="6"/>
        <w:keepNext w:val="0"/>
        <w:keepLines w:val="0"/>
        <w:spacing w:before="0" w:after="0" w:line="360" w:lineRule="auto"/>
        <w:ind w:firstLine="422" w:firstLineChars="200"/>
        <w:rPr>
          <w:rFonts w:ascii="宋体"/>
          <w:b w:val="0"/>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2</w:t>
      </w:r>
      <w:r>
        <w:rPr>
          <w:rFonts w:hint="eastAsia" w:ascii="宋体" w:hAnsi="宋体"/>
          <w:color w:val="auto"/>
          <w:sz w:val="21"/>
          <w:szCs w:val="21"/>
          <w:highlight w:val="none"/>
        </w:rPr>
        <w:t>未在规定时间内提交或者未按照招标文件要求加密的电子投标文件，“政采云”平台将拒收</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22. </w:t>
      </w:r>
      <w:r>
        <w:rPr>
          <w:rFonts w:hint="eastAsia" w:ascii="黑体" w:hAnsi="黑体" w:eastAsia="黑体"/>
          <w:color w:val="auto"/>
          <w:sz w:val="24"/>
          <w:highlight w:val="none"/>
        </w:rPr>
        <w:t>投标文件的补充、修改、撤回与退回</w:t>
      </w:r>
    </w:p>
    <w:p>
      <w:pPr>
        <w:snapToGrid w:val="0"/>
        <w:spacing w:line="360" w:lineRule="auto"/>
        <w:ind w:firstLine="420"/>
        <w:jc w:val="left"/>
        <w:rPr>
          <w:rFonts w:ascii="宋体" w:hAnsi="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“政采云”平台，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p>
      <w:pPr>
        <w:pStyle w:val="32"/>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2“政采云”平台收到投标文件，将妥善保存并即时向供应商发出确认回执通知。在投标截止时间前，除供应商补充、修改或者撤回投标文件外，任何单位和个人不得解密或提取投标文件。</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pPr>
        <w:pStyle w:val="13"/>
        <w:snapToGrid w:val="0"/>
        <w:spacing w:line="360" w:lineRule="auto"/>
        <w:ind w:firstLine="739"/>
        <w:rPr>
          <w:rFonts w:ascii="宋体" w:hAnsi="宋体" w:eastAsia="宋体"/>
          <w:snapToGrid w:val="0"/>
          <w:color w:val="auto"/>
          <w:sz w:val="21"/>
          <w:szCs w:val="21"/>
          <w:highlight w:val="none"/>
        </w:rPr>
      </w:pPr>
    </w:p>
    <w:p>
      <w:pPr>
        <w:pStyle w:val="4"/>
        <w:keepNext w:val="0"/>
        <w:keepLines w:val="0"/>
        <w:jc w:val="center"/>
        <w:rPr>
          <w:color w:val="auto"/>
          <w:highlight w:val="none"/>
        </w:rPr>
      </w:pPr>
      <w:bookmarkStart w:id="132" w:name="_Toc254970685"/>
      <w:bookmarkStart w:id="133" w:name="_Toc254970544"/>
      <w:r>
        <w:rPr>
          <w:rFonts w:hint="eastAsia"/>
          <w:color w:val="auto"/>
          <w:highlight w:val="none"/>
        </w:rPr>
        <w:t>四、开</w:t>
      </w:r>
      <w:r>
        <w:rPr>
          <w:color w:val="auto"/>
          <w:highlight w:val="none"/>
        </w:rPr>
        <w:t xml:space="preserve">    </w:t>
      </w:r>
      <w:r>
        <w:rPr>
          <w:rFonts w:hint="eastAsia"/>
          <w:color w:val="auto"/>
          <w:highlight w:val="none"/>
        </w:rPr>
        <w:t>标</w:t>
      </w:r>
      <w:bookmarkEnd w:id="132"/>
      <w:bookmarkEnd w:id="133"/>
    </w:p>
    <w:p>
      <w:pPr>
        <w:pStyle w:val="6"/>
        <w:keepNext w:val="0"/>
        <w:keepLines w:val="0"/>
        <w:spacing w:before="0" w:after="0" w:line="360" w:lineRule="auto"/>
        <w:ind w:left="420" w:leftChars="200"/>
        <w:rPr>
          <w:rFonts w:ascii="黑体" w:hAnsi="黑体" w:eastAsia="黑体"/>
          <w:color w:val="auto"/>
          <w:sz w:val="24"/>
          <w:highlight w:val="none"/>
        </w:rPr>
      </w:pPr>
      <w:bookmarkStart w:id="134" w:name="_23.开标时间和地点"/>
      <w:bookmarkEnd w:id="134"/>
      <w:r>
        <w:rPr>
          <w:rFonts w:ascii="黑体" w:hAnsi="黑体" w:eastAsia="黑体"/>
          <w:color w:val="auto"/>
          <w:sz w:val="24"/>
          <w:highlight w:val="none"/>
        </w:rPr>
        <w:t>23.</w:t>
      </w:r>
      <w:r>
        <w:rPr>
          <w:rFonts w:hint="eastAsia" w:ascii="黑体" w:hAnsi="黑体" w:eastAsia="黑体"/>
          <w:color w:val="auto"/>
          <w:sz w:val="24"/>
          <w:highlight w:val="none"/>
        </w:rPr>
        <w:t>开标时间和地点</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开标时间及地点详见“投标人须知前附表”。</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24.</w:t>
      </w:r>
      <w:r>
        <w:rPr>
          <w:rFonts w:hint="eastAsia" w:ascii="黑体" w:hAnsi="黑体" w:eastAsia="黑体"/>
          <w:color w:val="auto"/>
          <w:sz w:val="24"/>
          <w:highlight w:val="none"/>
        </w:rPr>
        <w:t>开标程序</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24.1提交投标文件截止时间止，投标人不足3家的，不得开标。</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24.2采购代理机构将按照招标文件规定的时间通过“政采云”平台组织线上开标活动，所有供应商均应当准时在线参加，投标人因未在线参加开标而导致投标文件无法按时解密等一切后果由投标人自己承担。</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24.3开标程序</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凭加密时所用的CA锁准时登录到“政采云”平台电子开标大厅签到并对电子投标文件解密。开标后5分钟投标人还未能完成解密的要主动联系代理机构或者拨打政采云客服电话咨询排查异常，如投标文件仍未按时解密，或者投标人没预留联系方式或预留联系方式无效，导致代理机构无法联系到投标人进行解密的，均视为无效投标。</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（解密异常情况处理：详见本章29.3 电子交易活动的中止。）</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（2）电子唱标。投标文件解密结束，各投标供应商报价均在“政采云”平台远程不见面开标大厅展示；</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pPr>
        <w:pStyle w:val="1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特别说明：如遇“政采云”平台电子化开标或评审程序调整的，按调整后执行。</w:t>
      </w:r>
    </w:p>
    <w:p>
      <w:pPr>
        <w:pStyle w:val="14"/>
        <w:snapToGrid w:val="0"/>
        <w:spacing w:line="360" w:lineRule="auto"/>
        <w:ind w:left="689" w:leftChars="228" w:hanging="210" w:hangingChars="100"/>
        <w:rPr>
          <w:rFonts w:hAnsi="宋体"/>
          <w:color w:val="auto"/>
          <w:sz w:val="21"/>
          <w:highlight w:val="none"/>
        </w:rPr>
      </w:pPr>
    </w:p>
    <w:p>
      <w:pPr>
        <w:pStyle w:val="4"/>
        <w:keepNext w:val="0"/>
        <w:keepLines w:val="0"/>
        <w:jc w:val="center"/>
        <w:rPr>
          <w:color w:val="auto"/>
          <w:highlight w:val="none"/>
        </w:rPr>
      </w:pPr>
      <w:r>
        <w:rPr>
          <w:rFonts w:hint="eastAsia"/>
          <w:color w:val="auto"/>
          <w:highlight w:val="none"/>
        </w:rPr>
        <w:t>五、资格审查</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25.</w:t>
      </w:r>
      <w:r>
        <w:rPr>
          <w:rFonts w:hint="eastAsia" w:ascii="黑体" w:hAnsi="黑体" w:eastAsia="黑体"/>
          <w:color w:val="auto"/>
          <w:sz w:val="24"/>
          <w:highlight w:val="none"/>
        </w:rPr>
        <w:t>资格审查</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25.1</w:t>
      </w:r>
      <w:r>
        <w:rPr>
          <w:rFonts w:ascii="宋体" w:hAnsi="宋体"/>
          <w:color w:val="auto"/>
          <w:sz w:val="21"/>
          <w:szCs w:val="21"/>
          <w:highlight w:val="none"/>
        </w:rPr>
        <w:t>开标结束后，</w:t>
      </w:r>
      <w:r>
        <w:rPr>
          <w:rFonts w:hint="eastAsia" w:ascii="宋体" w:hAnsi="宋体"/>
          <w:color w:val="auto"/>
          <w:sz w:val="21"/>
          <w:szCs w:val="21"/>
          <w:highlight w:val="none"/>
        </w:rPr>
        <w:t>采购人或者采购代理机构通过电子开评标系统依据招标文件对电子投标文件进行线上资格审查</w:t>
      </w:r>
      <w:r>
        <w:rPr>
          <w:rFonts w:hint="eastAsia" w:ascii="宋体" w:hAnsi="宋体"/>
          <w:b w:val="0"/>
          <w:color w:val="auto"/>
          <w:sz w:val="21"/>
          <w:szCs w:val="21"/>
          <w:highlight w:val="none"/>
        </w:rPr>
        <w:t>。</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25.2</w:t>
      </w:r>
      <w:r>
        <w:rPr>
          <w:rFonts w:hint="eastAsia" w:ascii="宋体" w:hAnsi="宋体"/>
          <w:b w:val="0"/>
          <w:color w:val="auto"/>
          <w:sz w:val="21"/>
          <w:szCs w:val="21"/>
          <w:highlight w:val="none"/>
        </w:rPr>
        <w:t>资格审查标准为本招标文件中载明对投标人资格要求的条件。本项目资格审查采用合格制，凡符合招标文件规定的投标人资格要求的投标人均通过资格审查。</w:t>
      </w:r>
    </w:p>
    <w:p>
      <w:pPr>
        <w:pStyle w:val="6"/>
        <w:keepNext w:val="0"/>
        <w:keepLines w:val="0"/>
        <w:spacing w:before="0" w:after="0" w:line="360" w:lineRule="auto"/>
        <w:ind w:firstLine="422" w:firstLineChars="200"/>
        <w:rPr>
          <w:rFonts w:ascii="宋体"/>
          <w:color w:val="auto"/>
          <w:sz w:val="21"/>
          <w:szCs w:val="21"/>
          <w:highlight w:val="none"/>
        </w:rPr>
      </w:pPr>
      <w:bookmarkStart w:id="135" w:name="_25.3_投标人有下列情形之一的，资格审查不通过而导致其投标无效："/>
      <w:bookmarkEnd w:id="135"/>
      <w:r>
        <w:rPr>
          <w:rFonts w:ascii="宋体" w:hAnsi="宋体"/>
          <w:color w:val="auto"/>
          <w:sz w:val="21"/>
          <w:szCs w:val="21"/>
          <w:highlight w:val="none"/>
        </w:rPr>
        <w:t xml:space="preserve">25.3 </w:t>
      </w:r>
      <w:r>
        <w:rPr>
          <w:rFonts w:hint="eastAsia" w:ascii="宋体" w:hAnsi="宋体"/>
          <w:color w:val="auto"/>
          <w:sz w:val="21"/>
          <w:szCs w:val="21"/>
          <w:highlight w:val="none"/>
        </w:rPr>
        <w:t>投标人有下列情形之一的，资格审查不通过，作无效投标处理：</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1</w:t>
      </w:r>
      <w:r>
        <w:rPr>
          <w:rFonts w:hint="eastAsia" w:hAnsi="宋体"/>
          <w:b/>
          <w:color w:val="auto"/>
          <w:sz w:val="21"/>
          <w:highlight w:val="none"/>
        </w:rPr>
        <w:t>）未按招标文件规定的方式获取本招标文件的投标人；</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2</w:t>
      </w:r>
      <w:r>
        <w:rPr>
          <w:rFonts w:hint="eastAsia" w:hAnsi="宋体"/>
          <w:b/>
          <w:color w:val="auto"/>
          <w:sz w:val="21"/>
          <w:highlight w:val="none"/>
        </w:rPr>
        <w:t>）不具备招标文件中规定的资格要求的；</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3</w:t>
      </w:r>
      <w:r>
        <w:rPr>
          <w:rFonts w:hint="eastAsia" w:hAnsi="宋体"/>
          <w:b/>
          <w:color w:val="auto"/>
          <w:sz w:val="21"/>
          <w:highlight w:val="none"/>
        </w:rPr>
        <w:t>）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4</w:t>
      </w:r>
      <w:r>
        <w:rPr>
          <w:rFonts w:hint="eastAsia" w:hAnsi="宋体"/>
          <w:b/>
          <w:color w:val="auto"/>
          <w:sz w:val="21"/>
          <w:highlight w:val="none"/>
        </w:rPr>
        <w:t>）同一合同项下的不同投标人，单位负责人为同一人或者存在直接控股、管理关系的；为本项目提供过整体设计、规范编制或者项目管理、监理、检测等服务的供应商，再参加该采购项目的其他采购活动的；</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color w:val="auto"/>
          <w:sz w:val="21"/>
          <w:szCs w:val="21"/>
          <w:highlight w:val="none"/>
        </w:rPr>
        <w:t>25.4</w:t>
      </w:r>
      <w:r>
        <w:rPr>
          <w:rFonts w:hint="eastAsia" w:ascii="宋体" w:hAnsi="宋体"/>
          <w:color w:val="auto"/>
          <w:sz w:val="21"/>
          <w:szCs w:val="21"/>
          <w:highlight w:val="none"/>
        </w:rPr>
        <w:t>合格投标人不足</w:t>
      </w:r>
      <w:r>
        <w:rPr>
          <w:rFonts w:ascii="宋体" w:hAnsi="宋体"/>
          <w:color w:val="auto"/>
          <w:sz w:val="21"/>
          <w:szCs w:val="21"/>
          <w:highlight w:val="none"/>
        </w:rPr>
        <w:t>3</w:t>
      </w:r>
      <w:r>
        <w:rPr>
          <w:rFonts w:hint="eastAsia" w:ascii="宋体" w:hAnsi="宋体"/>
          <w:color w:val="auto"/>
          <w:sz w:val="21"/>
          <w:szCs w:val="21"/>
          <w:highlight w:val="none"/>
        </w:rPr>
        <w:t>家的，不得评标。</w:t>
      </w:r>
    </w:p>
    <w:p>
      <w:pPr>
        <w:pStyle w:val="14"/>
        <w:snapToGrid w:val="0"/>
        <w:spacing w:line="360" w:lineRule="auto"/>
        <w:ind w:left="689" w:leftChars="228" w:hanging="210" w:hangingChars="100"/>
        <w:rPr>
          <w:rFonts w:hAnsi="宋体"/>
          <w:color w:val="auto"/>
          <w:sz w:val="21"/>
          <w:highlight w:val="none"/>
        </w:rPr>
      </w:pPr>
    </w:p>
    <w:p>
      <w:pPr>
        <w:pStyle w:val="4"/>
        <w:keepNext w:val="0"/>
        <w:keepLines w:val="0"/>
        <w:jc w:val="center"/>
        <w:rPr>
          <w:color w:val="auto"/>
          <w:highlight w:val="none"/>
        </w:rPr>
      </w:pPr>
      <w:r>
        <w:rPr>
          <w:rFonts w:hint="eastAsia"/>
          <w:color w:val="auto"/>
          <w:highlight w:val="none"/>
        </w:rPr>
        <w:t>六、评</w:t>
      </w:r>
      <w:r>
        <w:rPr>
          <w:color w:val="auto"/>
          <w:highlight w:val="none"/>
        </w:rPr>
        <w:t xml:space="preserve">   </w:t>
      </w:r>
      <w:r>
        <w:rPr>
          <w:rFonts w:hint="eastAsia"/>
          <w:color w:val="auto"/>
          <w:highlight w:val="none"/>
        </w:rPr>
        <w:t>标</w:t>
      </w:r>
    </w:p>
    <w:p>
      <w:pPr>
        <w:pStyle w:val="6"/>
        <w:keepNext w:val="0"/>
        <w:keepLines w:val="0"/>
        <w:spacing w:before="0" w:after="0" w:line="360" w:lineRule="auto"/>
        <w:ind w:left="420" w:leftChars="200"/>
        <w:rPr>
          <w:rFonts w:ascii="黑体" w:hAnsi="黑体" w:eastAsia="黑体"/>
          <w:color w:val="auto"/>
          <w:sz w:val="24"/>
          <w:highlight w:val="none"/>
        </w:rPr>
      </w:pPr>
      <w:bookmarkStart w:id="136" w:name="_26.组建评标委员会"/>
      <w:bookmarkEnd w:id="136"/>
      <w:r>
        <w:rPr>
          <w:rFonts w:ascii="黑体" w:hAnsi="黑体" w:eastAsia="黑体"/>
          <w:color w:val="auto"/>
          <w:sz w:val="24"/>
          <w:highlight w:val="none"/>
        </w:rPr>
        <w:t>26.</w:t>
      </w:r>
      <w:r>
        <w:rPr>
          <w:rFonts w:hint="eastAsia" w:ascii="黑体" w:hAnsi="黑体" w:eastAsia="黑体"/>
          <w:color w:val="auto"/>
          <w:sz w:val="24"/>
          <w:highlight w:val="none"/>
        </w:rPr>
        <w:t>组建评标委员会</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pPr>
        <w:pStyle w:val="1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pPr>
        <w:pStyle w:val="1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采购代理机构必须基于“政采云”平台选取评审专家，如采购代理机构未按规定选取专家的，视为本次开评标无效，应当重新采购</w:t>
      </w:r>
      <w:r>
        <w:rPr>
          <w:rFonts w:hint="eastAsia" w:hAnsi="宋体"/>
          <w:color w:val="auto"/>
          <w:sz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27.</w:t>
      </w:r>
      <w:r>
        <w:rPr>
          <w:rFonts w:hint="eastAsia" w:ascii="黑体" w:hAnsi="黑体" w:eastAsia="黑体"/>
          <w:color w:val="auto"/>
          <w:sz w:val="24"/>
          <w:highlight w:val="none"/>
        </w:rPr>
        <w:t>评标的依据</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w:t>
      </w:r>
      <w:r>
        <w:rPr>
          <w:rFonts w:hAnsi="宋体" w:cs="宋体"/>
          <w:color w:val="auto"/>
          <w:sz w:val="21"/>
          <w:highlight w:val="none"/>
        </w:rPr>
        <w:t xml:space="preserve"> </w:t>
      </w:r>
      <w:r>
        <w:rPr>
          <w:rFonts w:hint="eastAsia" w:hAnsi="宋体" w:cs="宋体"/>
          <w:color w:val="auto"/>
          <w:sz w:val="21"/>
          <w:highlight w:val="none"/>
        </w:rPr>
        <w:t>评标方法和评标标准”</w:t>
      </w:r>
      <w:r>
        <w:rPr>
          <w:rFonts w:hint="eastAsia" w:hAnsi="宋体"/>
          <w:color w:val="auto"/>
          <w:sz w:val="21"/>
          <w:highlight w:val="none"/>
        </w:rPr>
        <w:t>为依据对投标文件进行评审，没有规定的方法、评审因素和标准，不作为评标依据。</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28.</w:t>
      </w:r>
      <w:r>
        <w:rPr>
          <w:rFonts w:hint="eastAsia" w:ascii="黑体" w:hAnsi="黑体" w:eastAsia="黑体"/>
          <w:color w:val="auto"/>
          <w:sz w:val="24"/>
          <w:highlight w:val="none"/>
        </w:rPr>
        <w:t>评标原则</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28.1</w:t>
      </w:r>
      <w:r>
        <w:rPr>
          <w:rFonts w:hint="eastAsia" w:hAnsi="宋体"/>
          <w:color w:val="auto"/>
          <w:sz w:val="21"/>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28.2</w:t>
      </w:r>
      <w:r>
        <w:rPr>
          <w:rFonts w:hint="eastAsia" w:hAnsi="宋体"/>
          <w:color w:val="auto"/>
          <w:sz w:val="21"/>
          <w:highlight w:val="none"/>
        </w:rPr>
        <w:t>评委表决。评标委员会成员对需要共同认定的事项存在争议的，应当按照少数服从多数的原则作出结论。</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28.3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28.4</w:t>
      </w:r>
      <w:r>
        <w:rPr>
          <w:rFonts w:hint="eastAsia" w:hAnsi="宋体"/>
          <w:color w:val="auto"/>
          <w:sz w:val="21"/>
          <w:highlight w:val="none"/>
        </w:rPr>
        <w:t>评标过程的监控。本项目电子评标过程实行网上留痕、全程录音、录像监控，投标人在评标过程中所进行的试图影响评标结果的不公正活动，可能导致其投标按无效处理</w:t>
      </w:r>
      <w:r>
        <w:rPr>
          <w:rFonts w:hint="eastAsia" w:hAnsi="宋体"/>
          <w:b/>
          <w:color w:val="auto"/>
          <w:sz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29.</w:t>
      </w:r>
      <w:r>
        <w:rPr>
          <w:rFonts w:hint="eastAsia" w:ascii="黑体" w:hAnsi="黑体" w:eastAsia="黑体"/>
          <w:color w:val="auto"/>
          <w:sz w:val="24"/>
          <w:highlight w:val="none"/>
        </w:rPr>
        <w:t>评标方法及中标候选人推荐</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29.1</w:t>
      </w:r>
      <w:r>
        <w:rPr>
          <w:rFonts w:hint="eastAsia" w:hAnsi="宋体"/>
          <w:color w:val="auto"/>
          <w:sz w:val="21"/>
          <w:highlight w:val="none"/>
        </w:rPr>
        <w:t>本项目的评标方法详见“投标人须知前附表”。</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29.2</w:t>
      </w:r>
      <w:r>
        <w:rPr>
          <w:rFonts w:hAnsi="宋体" w:cs="宋体"/>
          <w:color w:val="auto"/>
          <w:sz w:val="21"/>
          <w:highlight w:val="none"/>
        </w:rPr>
        <w:t xml:space="preserve"> </w:t>
      </w:r>
      <w:r>
        <w:rPr>
          <w:rFonts w:hint="eastAsia" w:hAnsi="宋体"/>
          <w:color w:val="auto"/>
          <w:sz w:val="21"/>
          <w:highlight w:val="none"/>
        </w:rPr>
        <w:t>中标候选人推荐数量详见“投标人须知前附表”。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电子交易活动的中止。采购过程中出现以下情形，导致电子交易平台无法正常运行，或者无法保证电子交易的公平、公正和安全时，采购代理机构可以中止电子交易活动：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napToGrid w:val="0"/>
        <w:spacing w:line="360" w:lineRule="auto"/>
        <w:ind w:firstLine="420" w:firstLineChars="200"/>
        <w:rPr>
          <w:rFonts w:ascii="宋体" w:hAnsi="宋体"/>
          <w:color w:val="auto"/>
          <w:szCs w:val="21"/>
          <w:highlight w:val="none"/>
        </w:rPr>
      </w:pPr>
      <w:r>
        <w:rPr>
          <w:rFonts w:hint="eastAsia" w:ascii="宋体" w:hAnsi="宋体" w:cs="宋体"/>
          <w:color w:val="auto"/>
          <w:highlight w:val="none"/>
        </w:rPr>
        <w:t>（5）其他无法保证电子交易的公平、公正和安全的情况。</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14"/>
        <w:snapToGrid w:val="0"/>
        <w:spacing w:line="360" w:lineRule="auto"/>
        <w:rPr>
          <w:rFonts w:hAnsi="宋体"/>
          <w:color w:val="auto"/>
          <w:sz w:val="21"/>
          <w:highlight w:val="none"/>
        </w:rPr>
      </w:pPr>
    </w:p>
    <w:p>
      <w:pPr>
        <w:pStyle w:val="4"/>
        <w:keepNext w:val="0"/>
        <w:keepLines w:val="0"/>
        <w:jc w:val="center"/>
        <w:rPr>
          <w:color w:val="auto"/>
          <w:highlight w:val="none"/>
        </w:rPr>
      </w:pPr>
      <w:bookmarkStart w:id="137" w:name="_Toc254970546"/>
      <w:bookmarkStart w:id="138" w:name="_Toc254970687"/>
      <w:r>
        <w:rPr>
          <w:rFonts w:hint="eastAsia"/>
          <w:color w:val="auto"/>
          <w:highlight w:val="none"/>
        </w:rPr>
        <w:t>七、</w:t>
      </w:r>
      <w:bookmarkEnd w:id="137"/>
      <w:bookmarkEnd w:id="138"/>
      <w:r>
        <w:rPr>
          <w:rFonts w:hint="eastAsia"/>
          <w:color w:val="auto"/>
          <w:highlight w:val="none"/>
        </w:rPr>
        <w:t>中标和合同</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30 </w:t>
      </w:r>
      <w:r>
        <w:rPr>
          <w:rFonts w:hint="eastAsia" w:ascii="黑体" w:hAnsi="黑体" w:eastAsia="黑体"/>
          <w:color w:val="auto"/>
          <w:sz w:val="24"/>
          <w:highlight w:val="none"/>
        </w:rPr>
        <w:t>确定中标人</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30.1</w:t>
      </w:r>
      <w:r>
        <w:rPr>
          <w:rFonts w:hint="eastAsia" w:ascii="宋体" w:hAnsi="宋体"/>
          <w:color w:val="auto"/>
          <w:szCs w:val="21"/>
          <w:highlight w:val="none"/>
        </w:rPr>
        <w:t>采购代理机构在评标结束之日起</w:t>
      </w:r>
      <w:r>
        <w:rPr>
          <w:rFonts w:ascii="宋体" w:hAnsi="宋体"/>
          <w:color w:val="auto"/>
          <w:szCs w:val="21"/>
          <w:highlight w:val="none"/>
        </w:rPr>
        <w:t>2</w:t>
      </w:r>
      <w:r>
        <w:rPr>
          <w:rFonts w:hint="eastAsia" w:ascii="宋体" w:hAnsi="宋体"/>
          <w:color w:val="auto"/>
          <w:szCs w:val="21"/>
          <w:highlight w:val="none"/>
        </w:rPr>
        <w:t>个工作日内将评标报告送采购人，采购人在收到评标报告之日起</w:t>
      </w:r>
      <w:r>
        <w:rPr>
          <w:rFonts w:ascii="宋体" w:hAnsi="宋体"/>
          <w:color w:val="auto"/>
          <w:szCs w:val="21"/>
          <w:highlight w:val="none"/>
        </w:rPr>
        <w:t>5</w:t>
      </w:r>
      <w:r>
        <w:rPr>
          <w:rFonts w:hint="eastAsia" w:ascii="宋体" w:hAnsi="宋体"/>
          <w:color w:val="auto"/>
          <w:szCs w:val="21"/>
          <w:highlight w:val="none"/>
        </w:rPr>
        <w:t>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30.2</w:t>
      </w:r>
      <w:r>
        <w:rPr>
          <w:rFonts w:hint="eastAsia" w:ascii="宋体" w:hAnsi="宋体"/>
          <w:color w:val="auto"/>
          <w:szCs w:val="21"/>
          <w:highlight w:val="none"/>
        </w:rPr>
        <w:t>采购人在收到评标报告</w:t>
      </w:r>
      <w:r>
        <w:rPr>
          <w:rFonts w:ascii="宋体" w:hAnsi="宋体"/>
          <w:color w:val="auto"/>
          <w:szCs w:val="21"/>
          <w:highlight w:val="none"/>
        </w:rPr>
        <w:t>5</w:t>
      </w:r>
      <w:r>
        <w:rPr>
          <w:rFonts w:hint="eastAsia"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30.3</w:t>
      </w:r>
      <w:r>
        <w:rPr>
          <w:rFonts w:hint="eastAsia" w:ascii="宋体" w:hAnsi="宋体"/>
          <w:color w:val="auto"/>
          <w:szCs w:val="21"/>
          <w:highlight w:val="none"/>
        </w:rPr>
        <w:t>出现下列情形之一的，应予废标：</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）符合专业条件的供应商或者对招标文件作实质响应的供应商不足三家的；</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）出现影响采购公正的违法、违规行为的；</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）投标人的报价均超过了采购预算，采购人不能支付的；</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）因重大变故，采购任务取消的。</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废标后，采购人应当将废标理由通知所有投标人。</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31. </w:t>
      </w:r>
      <w:r>
        <w:rPr>
          <w:rFonts w:hint="eastAsia" w:ascii="黑体" w:hAnsi="黑体" w:eastAsia="黑体"/>
          <w:color w:val="auto"/>
          <w:sz w:val="24"/>
          <w:highlight w:val="none"/>
        </w:rPr>
        <w:t>结果公告</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31.1</w:t>
      </w:r>
      <w:r>
        <w:rPr>
          <w:rFonts w:hint="eastAsia" w:ascii="宋体" w:hAnsi="宋体"/>
          <w:b w:val="0"/>
          <w:color w:val="auto"/>
          <w:sz w:val="21"/>
          <w:szCs w:val="21"/>
          <w:highlight w:val="none"/>
        </w:rPr>
        <w:t>采购人或者采购代理机构应当自中标人确定之日起</w:t>
      </w:r>
      <w:r>
        <w:rPr>
          <w:rFonts w:ascii="宋体" w:hAnsi="宋体"/>
          <w:b w:val="0"/>
          <w:color w:val="auto"/>
          <w:sz w:val="21"/>
          <w:szCs w:val="21"/>
          <w:highlight w:val="none"/>
        </w:rPr>
        <w:t>2</w:t>
      </w:r>
      <w:r>
        <w:rPr>
          <w:rFonts w:hint="eastAsia" w:ascii="宋体" w:hAnsi="宋体"/>
          <w:b w:val="0"/>
          <w:color w:val="auto"/>
          <w:sz w:val="21"/>
          <w:szCs w:val="21"/>
          <w:highlight w:val="none"/>
        </w:rPr>
        <w:t>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以上信息查询记录及相关证据与采购文件一并保存。</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31.2</w:t>
      </w:r>
      <w:r>
        <w:rPr>
          <w:rFonts w:hint="eastAsia" w:ascii="宋体" w:hAnsi="宋体"/>
          <w:b w:val="0"/>
          <w:color w:val="auto"/>
          <w:sz w:val="21"/>
          <w:szCs w:val="21"/>
          <w:highlight w:val="none"/>
        </w:rPr>
        <w:t>中标供应商享受《政府采购促进中小企业发展管理办法》（财库〔</w:t>
      </w:r>
      <w:r>
        <w:rPr>
          <w:rFonts w:ascii="宋体" w:hAnsi="宋体"/>
          <w:b w:val="0"/>
          <w:color w:val="auto"/>
          <w:sz w:val="21"/>
          <w:szCs w:val="21"/>
          <w:highlight w:val="none"/>
        </w:rPr>
        <w:t>2020</w:t>
      </w:r>
      <w:r>
        <w:rPr>
          <w:rFonts w:hint="eastAsia" w:ascii="宋体" w:hAnsi="宋体"/>
          <w:b w:val="0"/>
          <w:color w:val="auto"/>
          <w:sz w:val="21"/>
          <w:szCs w:val="21"/>
          <w:highlight w:val="none"/>
        </w:rPr>
        <w:t>〕</w:t>
      </w:r>
      <w:r>
        <w:rPr>
          <w:rFonts w:ascii="宋体" w:hAnsi="宋体"/>
          <w:b w:val="0"/>
          <w:color w:val="auto"/>
          <w:sz w:val="21"/>
          <w:szCs w:val="21"/>
          <w:highlight w:val="none"/>
        </w:rPr>
        <w:t>46</w:t>
      </w:r>
      <w:r>
        <w:rPr>
          <w:rFonts w:hint="eastAsia" w:ascii="宋体" w:hAnsi="宋体"/>
          <w:b w:val="0"/>
          <w:color w:val="auto"/>
          <w:sz w:val="21"/>
          <w:szCs w:val="21"/>
          <w:highlight w:val="none"/>
        </w:rPr>
        <w:t>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32.</w:t>
      </w:r>
      <w:r>
        <w:rPr>
          <w:rFonts w:hint="eastAsia" w:ascii="黑体" w:hAnsi="黑体" w:eastAsia="黑体"/>
          <w:color w:val="auto"/>
          <w:sz w:val="24"/>
          <w:highlight w:val="none"/>
        </w:rPr>
        <w:t>发出中标通知书</w:t>
      </w:r>
    </w:p>
    <w:p>
      <w:pPr>
        <w:pStyle w:val="6"/>
        <w:keepNext w:val="0"/>
        <w:keepLines w:val="0"/>
        <w:spacing w:before="0" w:after="0" w:line="360" w:lineRule="auto"/>
        <w:ind w:firstLine="420" w:firstLineChars="200"/>
        <w:rPr>
          <w:rFonts w:ascii="宋体"/>
          <w:b w:val="0"/>
          <w:bCs/>
          <w:color w:val="auto"/>
          <w:sz w:val="21"/>
          <w:szCs w:val="21"/>
          <w:highlight w:val="none"/>
        </w:rPr>
      </w:pPr>
      <w:r>
        <w:rPr>
          <w:rFonts w:hint="eastAsia" w:ascii="宋体" w:hAnsi="宋体"/>
          <w:b w:val="0"/>
          <w:bCs/>
          <w:color w:val="auto"/>
          <w:sz w:val="21"/>
          <w:szCs w:val="21"/>
          <w:highlight w:val="none"/>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33. </w:t>
      </w:r>
      <w:r>
        <w:rPr>
          <w:rFonts w:hint="eastAsia" w:ascii="黑体" w:hAnsi="黑体" w:eastAsia="黑体"/>
          <w:color w:val="auto"/>
          <w:sz w:val="24"/>
          <w:highlight w:val="none"/>
        </w:rPr>
        <w:t>无义务解释未中标原因</w:t>
      </w:r>
    </w:p>
    <w:p>
      <w:pPr>
        <w:pStyle w:val="6"/>
        <w:keepNext w:val="0"/>
        <w:keepLines w:val="0"/>
        <w:spacing w:before="0" w:after="0" w:line="360" w:lineRule="auto"/>
        <w:ind w:left="420" w:leftChars="200"/>
        <w:rPr>
          <w:rFonts w:asci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34.</w:t>
      </w:r>
      <w:r>
        <w:rPr>
          <w:rFonts w:hint="eastAsia" w:ascii="黑体" w:hAnsi="黑体" w:eastAsia="黑体"/>
          <w:color w:val="auto"/>
          <w:sz w:val="24"/>
          <w:highlight w:val="none"/>
        </w:rPr>
        <w:t>合同授予标准</w:t>
      </w:r>
    </w:p>
    <w:p>
      <w:pPr>
        <w:snapToGrid w:val="0"/>
        <w:spacing w:line="360" w:lineRule="auto"/>
        <w:ind w:firstLine="420" w:firstLineChars="200"/>
        <w:rPr>
          <w:rFonts w:asci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35.</w:t>
      </w:r>
      <w:r>
        <w:rPr>
          <w:rFonts w:hint="eastAsia" w:ascii="黑体" w:hAnsi="黑体" w:eastAsia="黑体"/>
          <w:color w:val="auto"/>
          <w:sz w:val="24"/>
          <w:highlight w:val="none"/>
        </w:rPr>
        <w:t>履约保证金</w:t>
      </w:r>
    </w:p>
    <w:p>
      <w:pPr>
        <w:pStyle w:val="6"/>
        <w:keepNext w:val="0"/>
        <w:keepLines w:val="0"/>
        <w:spacing w:before="0" w:after="0" w:line="360" w:lineRule="auto"/>
        <w:ind w:firstLine="315" w:firstLineChars="150"/>
        <w:rPr>
          <w:rFonts w:ascii="宋体"/>
          <w:b w:val="0"/>
          <w:color w:val="auto"/>
          <w:sz w:val="21"/>
          <w:szCs w:val="21"/>
          <w:highlight w:val="none"/>
        </w:rPr>
      </w:pPr>
      <w:bookmarkStart w:id="139" w:name="_39.1中标人须于签订合同前按本须知前附表规定的金额转账或电汇到指定账"/>
      <w:bookmarkEnd w:id="139"/>
      <w:r>
        <w:rPr>
          <w:rFonts w:ascii="宋体" w:hAnsi="宋体"/>
          <w:b w:val="0"/>
          <w:color w:val="auto"/>
          <w:sz w:val="21"/>
          <w:szCs w:val="21"/>
          <w:highlight w:val="none"/>
        </w:rPr>
        <w:t xml:space="preserve"> 35.1 </w:t>
      </w:r>
      <w:r>
        <w:rPr>
          <w:rFonts w:hint="eastAsia" w:ascii="宋体" w:hAnsi="宋体"/>
          <w:b w:val="0"/>
          <w:color w:val="auto"/>
          <w:sz w:val="21"/>
          <w:szCs w:val="21"/>
          <w:highlight w:val="none"/>
        </w:rPr>
        <w:t>履约保证金的金额、提交方式、退付的时间和条件详见</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“投标人须知前附表”。中标人未按规定提交履约保证金的，视为拒绝与采购人签订合同。</w:t>
      </w:r>
    </w:p>
    <w:p>
      <w:pPr>
        <w:pStyle w:val="6"/>
        <w:keepNext w:val="0"/>
        <w:keepLines w:val="0"/>
        <w:spacing w:before="0" w:after="0" w:line="360" w:lineRule="auto"/>
        <w:ind w:firstLine="420" w:firstLineChars="200"/>
        <w:rPr>
          <w:rFonts w:ascii="宋体"/>
          <w:b w:val="0"/>
          <w:color w:val="auto"/>
          <w:sz w:val="21"/>
          <w:szCs w:val="21"/>
          <w:highlight w:val="none"/>
        </w:rPr>
      </w:pPr>
      <w:r>
        <w:rPr>
          <w:rFonts w:ascii="宋体" w:hAnsi="宋体"/>
          <w:b w:val="0"/>
          <w:color w:val="auto"/>
          <w:sz w:val="21"/>
          <w:szCs w:val="21"/>
          <w:highlight w:val="none"/>
        </w:rPr>
        <w:t xml:space="preserve">35.2 </w:t>
      </w:r>
      <w:r>
        <w:rPr>
          <w:rFonts w:hint="eastAsia" w:ascii="宋体" w:hAnsi="宋体"/>
          <w:b w:val="0"/>
          <w:color w:val="auto"/>
          <w:sz w:val="21"/>
          <w:szCs w:val="21"/>
          <w:highlight w:val="none"/>
        </w:rPr>
        <w:t>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36.</w:t>
      </w:r>
      <w:r>
        <w:rPr>
          <w:rFonts w:hint="eastAsia" w:ascii="黑体" w:hAnsi="黑体" w:eastAsia="黑体"/>
          <w:color w:val="auto"/>
          <w:sz w:val="24"/>
          <w:highlight w:val="none"/>
        </w:rPr>
        <w:t>签订合同</w:t>
      </w:r>
    </w:p>
    <w:p>
      <w:pPr>
        <w:pStyle w:val="6"/>
        <w:keepNext w:val="0"/>
        <w:keepLines w:val="0"/>
        <w:spacing w:before="0" w:after="0" w:line="360" w:lineRule="auto"/>
        <w:ind w:firstLine="315" w:firstLineChars="150"/>
        <w:rPr>
          <w:rFonts w:ascii="宋体" w:hAnsi="宋体"/>
          <w:b w:val="0"/>
          <w:color w:val="auto"/>
          <w:sz w:val="21"/>
          <w:szCs w:val="21"/>
          <w:highlight w:val="none"/>
        </w:rPr>
      </w:pPr>
      <w:bookmarkStart w:id="140" w:name="_40.1投标人接到中标通知书后，按须知前附表规定向采购人出示相关资格证"/>
      <w:bookmarkEnd w:id="140"/>
      <w:r>
        <w:rPr>
          <w:rFonts w:ascii="宋体" w:hAnsi="宋体"/>
          <w:b w:val="0"/>
          <w:color w:val="auto"/>
          <w:sz w:val="21"/>
          <w:szCs w:val="21"/>
          <w:highlight w:val="none"/>
        </w:rPr>
        <w:t xml:space="preserve"> </w:t>
      </w:r>
      <w:r>
        <w:rPr>
          <w:rFonts w:hint="eastAsia" w:ascii="宋体" w:hAnsi="宋体"/>
          <w:b w:val="0"/>
          <w:bCs/>
          <w:color w:val="auto"/>
          <w:sz w:val="21"/>
          <w:szCs w:val="21"/>
          <w:highlight w:val="none"/>
        </w:rPr>
        <w:t>36.1签订电子采购合同：中标人领取电子中标通知书后，</w:t>
      </w:r>
      <w:r>
        <w:rPr>
          <w:rFonts w:hint="eastAsia" w:ascii="宋体" w:hAnsi="宋体"/>
          <w:b w:val="0"/>
          <w:bCs/>
          <w:color w:val="auto"/>
          <w:kern w:val="0"/>
          <w:sz w:val="21"/>
          <w:szCs w:val="21"/>
          <w:highlight w:val="none"/>
        </w:rPr>
        <w:t>在</w:t>
      </w:r>
      <w:r>
        <w:rPr>
          <w:rFonts w:hint="eastAsia" w:ascii="宋体" w:hAnsi="宋体"/>
          <w:b w:val="0"/>
          <w:bCs/>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pPr>
        <w:numPr>
          <w:ilvl w:val="4"/>
          <w:numId w:val="1"/>
        </w:numPr>
        <w:spacing w:line="360" w:lineRule="auto"/>
        <w:ind w:firstLine="315" w:firstLineChars="150"/>
        <w:outlineLvl w:val="4"/>
        <w:rPr>
          <w:rFonts w:ascii="宋体" w:hAnsi="宋体"/>
          <w:color w:val="auto"/>
          <w:szCs w:val="21"/>
          <w:highlight w:val="none"/>
        </w:rPr>
      </w:pPr>
      <w:r>
        <w:rPr>
          <w:rFonts w:hint="eastAsia" w:ascii="宋体" w:hAnsi="宋体"/>
          <w:color w:val="auto"/>
          <w:szCs w:val="21"/>
          <w:highlight w:val="none"/>
        </w:rPr>
        <w:t xml:space="preserve"> 线下签订纸质合同：投标人领取中标通知书后，按“投标人须知前附表”规定向采购人出示相关证明材料，经采购人核验合格后方可签订合同。</w:t>
      </w:r>
    </w:p>
    <w:p>
      <w:pPr>
        <w:spacing w:line="360" w:lineRule="auto"/>
        <w:ind w:firstLine="420" w:firstLineChars="200"/>
        <w:outlineLvl w:val="4"/>
        <w:rPr>
          <w:rFonts w:ascii="宋体" w:hAnsi="宋体"/>
          <w:color w:val="auto"/>
          <w:szCs w:val="21"/>
          <w:highlight w:val="none"/>
        </w:rPr>
      </w:pPr>
      <w:r>
        <w:rPr>
          <w:rFonts w:hint="eastAsia" w:ascii="宋体" w:hAnsi="宋体"/>
          <w:color w:val="auto"/>
          <w:szCs w:val="21"/>
          <w:highlight w:val="none"/>
        </w:rPr>
        <w:t>36.2签订合同时间：按中标通知书规定的时间与采购人签订合同。</w:t>
      </w:r>
    </w:p>
    <w:p>
      <w:pPr>
        <w:numPr>
          <w:ilvl w:val="4"/>
          <w:numId w:val="1"/>
        </w:numPr>
        <w:spacing w:line="360" w:lineRule="auto"/>
        <w:outlineLvl w:val="4"/>
        <w:rPr>
          <w:rFonts w:ascii="宋体" w:hAnsi="宋体"/>
          <w:color w:val="auto"/>
          <w:szCs w:val="21"/>
          <w:highlight w:val="none"/>
        </w:rPr>
      </w:pPr>
      <w:r>
        <w:rPr>
          <w:rFonts w:hint="eastAsia" w:ascii="宋体" w:hAnsi="宋体"/>
          <w:color w:val="auto"/>
          <w:szCs w:val="21"/>
          <w:highlight w:val="none"/>
        </w:rPr>
        <w:t xml:space="preserve">    36.</w:t>
      </w:r>
      <w:r>
        <w:rPr>
          <w:rFonts w:ascii="宋体" w:hAnsi="宋体"/>
          <w:color w:val="auto"/>
          <w:szCs w:val="21"/>
          <w:highlight w:val="none"/>
        </w:rPr>
        <w:t>3</w:t>
      </w:r>
      <w:r>
        <w:rPr>
          <w:rFonts w:hint="eastAsia" w:ascii="宋体" w:hAnsi="宋体"/>
          <w:color w:val="auto"/>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pPr>
        <w:pStyle w:val="6"/>
        <w:keepNext w:val="0"/>
        <w:keepLines w:val="0"/>
        <w:spacing w:before="0" w:after="0" w:line="360" w:lineRule="auto"/>
        <w:ind w:firstLine="316" w:firstLineChars="150"/>
        <w:rPr>
          <w:rFonts w:ascii="宋体" w:hAnsi="宋体" w:cs="宋体"/>
          <w:b w:val="0"/>
          <w:color w:val="auto"/>
          <w:sz w:val="21"/>
          <w:szCs w:val="21"/>
          <w:highlight w:val="none"/>
        </w:rPr>
      </w:pPr>
      <w:r>
        <w:rPr>
          <w:rFonts w:hint="eastAsia" w:ascii="宋体" w:hAnsi="宋体" w:cs="宋体"/>
          <w:color w:val="auto"/>
          <w:sz w:val="21"/>
          <w:szCs w:val="21"/>
          <w:highlight w:val="none"/>
        </w:rPr>
        <w:t>36.7采购人需追加与合同标的相同的货物或者货物的，在不改变原合同条款且已报财政部门批准落实资金的前提下，可从原中标供应商处添购，所签订的补充添置合同的采购资金总额不超过原采购合同金额的10%</w:t>
      </w:r>
      <w:r>
        <w:rPr>
          <w:rFonts w:hint="eastAsia" w:ascii="宋体" w:hAnsi="宋体" w:cs="宋体"/>
          <w:b w:val="0"/>
          <w:color w:val="auto"/>
          <w:sz w:val="21"/>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bookmarkStart w:id="141" w:name="_41.政府采购合同公告"/>
      <w:bookmarkEnd w:id="141"/>
      <w:r>
        <w:rPr>
          <w:rFonts w:ascii="黑体" w:hAnsi="黑体" w:eastAsia="黑体"/>
          <w:color w:val="auto"/>
          <w:sz w:val="24"/>
          <w:highlight w:val="none"/>
        </w:rPr>
        <w:t>37.</w:t>
      </w:r>
      <w:r>
        <w:rPr>
          <w:rFonts w:hint="eastAsia" w:ascii="黑体" w:hAnsi="黑体" w:eastAsia="黑体"/>
          <w:color w:val="auto"/>
          <w:sz w:val="24"/>
          <w:highlight w:val="none"/>
        </w:rPr>
        <w:t>政府采购合同公告</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w:t>
      </w:r>
      <w:r>
        <w:rPr>
          <w:rFonts w:hAnsi="宋体"/>
          <w:color w:val="auto"/>
          <w:sz w:val="21"/>
          <w:highlight w:val="none"/>
        </w:rPr>
        <w:t>2</w:t>
      </w:r>
      <w:r>
        <w:rPr>
          <w:rFonts w:hint="eastAsia" w:hAnsi="宋体"/>
          <w:color w:val="auto"/>
          <w:sz w:val="21"/>
          <w:highlight w:val="none"/>
        </w:rPr>
        <w:t>个工作日内，将政府采购合同在省级以上人民政府财政部门指定的媒体上公告，但政府采购合同中涉及国家秘密、商业秘密的内容除外。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38. </w:t>
      </w:r>
      <w:r>
        <w:rPr>
          <w:rFonts w:hint="eastAsia" w:ascii="黑体" w:hAnsi="黑体" w:eastAsia="黑体"/>
          <w:color w:val="auto"/>
          <w:sz w:val="24"/>
          <w:highlight w:val="none"/>
        </w:rPr>
        <w:t>询问、质疑和投诉</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38.1</w:t>
      </w:r>
      <w:r>
        <w:rPr>
          <w:rFonts w:hint="eastAsia" w:ascii="宋体" w:hAnsi="宋体"/>
          <w:b w:val="0"/>
          <w:color w:val="auto"/>
          <w:sz w:val="21"/>
          <w:szCs w:val="21"/>
          <w:highlight w:val="none"/>
        </w:rPr>
        <w:t>供应商对政府采购活动事项有疑问的，可以向采购人提出询问，采购人或者采购代理机构应当在</w:t>
      </w:r>
      <w:r>
        <w:rPr>
          <w:rFonts w:ascii="宋体" w:hAnsi="宋体"/>
          <w:b w:val="0"/>
          <w:color w:val="auto"/>
          <w:sz w:val="21"/>
          <w:szCs w:val="21"/>
          <w:highlight w:val="none"/>
        </w:rPr>
        <w:t>3</w:t>
      </w:r>
      <w:r>
        <w:rPr>
          <w:rFonts w:hint="eastAsia" w:ascii="宋体" w:hAnsi="宋体"/>
          <w:b w:val="0"/>
          <w:color w:val="auto"/>
          <w:sz w:val="21"/>
          <w:szCs w:val="21"/>
          <w:highlight w:val="none"/>
        </w:rPr>
        <w:t>个工作日内对供应商依法提出的询问作出答复，但答复的内容不得涉及商业秘密。</w:t>
      </w:r>
    </w:p>
    <w:p>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38.2</w:t>
      </w:r>
      <w:r>
        <w:rPr>
          <w:rFonts w:hint="eastAsia" w:ascii="宋体" w:hAnsi="宋体"/>
          <w:b w:val="0"/>
          <w:color w:val="auto"/>
          <w:sz w:val="21"/>
          <w:szCs w:val="21"/>
          <w:highlight w:val="none"/>
        </w:rPr>
        <w:t>供应商认为招标文件、采购过程或者中标结果使自己的合法权益受到损害的，必须在知道或者应知其权益受到损害之日起</w:t>
      </w:r>
      <w:r>
        <w:rPr>
          <w:rFonts w:ascii="宋体" w:hAnsi="宋体"/>
          <w:b w:val="0"/>
          <w:color w:val="auto"/>
          <w:sz w:val="21"/>
          <w:szCs w:val="21"/>
          <w:highlight w:val="none"/>
        </w:rPr>
        <w:t>7</w:t>
      </w:r>
      <w:r>
        <w:rPr>
          <w:rFonts w:hint="eastAsia" w:ascii="宋体" w:hAnsi="宋体"/>
          <w:b w:val="0"/>
          <w:color w:val="auto"/>
          <w:sz w:val="21"/>
          <w:szCs w:val="21"/>
          <w:highlight w:val="none"/>
        </w:rPr>
        <w:t>个工作日内，以书面形式向采购人、采购代理机构提出质疑。采购人、采购代理机构接收质疑函的方式、联系部门、联系电话和通讯地址等信息详见“投标人须知前附表”。具体质疑起算时间如下：</w:t>
      </w:r>
      <w:r>
        <w:rPr>
          <w:rFonts w:ascii="宋体" w:hAnsi="宋体"/>
          <w:b w:val="0"/>
          <w:color w:val="auto"/>
          <w:sz w:val="21"/>
          <w:szCs w:val="21"/>
          <w:highlight w:val="none"/>
        </w:rPr>
        <w:t xml:space="preserve"> </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1</w:t>
      </w:r>
      <w:r>
        <w:rPr>
          <w:rFonts w:hint="eastAsia" w:hAnsi="宋体"/>
          <w:color w:val="auto"/>
          <w:sz w:val="21"/>
          <w:highlight w:val="none"/>
        </w:rPr>
        <w:t>）对可以质疑的招标文件提出质疑的，为收到招标文件之日或者招标文件公告期限届满之日；</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2</w:t>
      </w:r>
      <w:r>
        <w:rPr>
          <w:rFonts w:hint="eastAsia" w:hAnsi="宋体"/>
          <w:color w:val="auto"/>
          <w:sz w:val="21"/>
          <w:highlight w:val="none"/>
        </w:rPr>
        <w:t>）对采购过程提出质疑的，为各采购程序环节结束之日；</w:t>
      </w:r>
    </w:p>
    <w:p>
      <w:pPr>
        <w:pStyle w:val="14"/>
        <w:snapToGrid w:val="0"/>
        <w:spacing w:line="360" w:lineRule="auto"/>
        <w:ind w:firstLine="420" w:firstLineChars="200"/>
        <w:rPr>
          <w:rFonts w:hAnsi="宋体"/>
          <w:bCs/>
          <w:color w:val="auto"/>
          <w:sz w:val="21"/>
          <w:highlight w:val="none"/>
        </w:rPr>
      </w:pPr>
      <w:r>
        <w:rPr>
          <w:rFonts w:hint="eastAsia" w:hAnsi="宋体"/>
          <w:color w:val="auto"/>
          <w:sz w:val="21"/>
          <w:highlight w:val="none"/>
        </w:rPr>
        <w:t>（</w:t>
      </w:r>
      <w:r>
        <w:rPr>
          <w:rFonts w:hAnsi="宋体"/>
          <w:color w:val="auto"/>
          <w:sz w:val="21"/>
          <w:highlight w:val="none"/>
        </w:rPr>
        <w:t>3</w:t>
      </w:r>
      <w:r>
        <w:rPr>
          <w:rFonts w:hint="eastAsia" w:hAnsi="宋体"/>
          <w:color w:val="auto"/>
          <w:sz w:val="21"/>
          <w:highlight w:val="none"/>
        </w:rPr>
        <w:t>）对中标结果提出质疑的，为中标结果公告期限届满之日。</w:t>
      </w:r>
    </w:p>
    <w:p>
      <w:pPr>
        <w:pStyle w:val="6"/>
        <w:keepNext w:val="0"/>
        <w:keepLines w:val="0"/>
        <w:spacing w:before="0" w:after="0" w:line="360" w:lineRule="auto"/>
        <w:ind w:firstLine="315" w:firstLineChars="150"/>
        <w:rPr>
          <w:rFonts w:ascii="宋体"/>
          <w:b w:val="0"/>
          <w:color w:val="auto"/>
          <w:sz w:val="21"/>
          <w:szCs w:val="21"/>
          <w:highlight w:val="none"/>
        </w:rPr>
      </w:pPr>
      <w:bookmarkStart w:id="142" w:name="_9.2质疑、投诉应当采用书面形式，质疑函、投诉书均应明确阐述招标文件、"/>
      <w:bookmarkEnd w:id="142"/>
      <w:r>
        <w:rPr>
          <w:rFonts w:ascii="宋体" w:hAnsi="宋体"/>
          <w:b w:val="0"/>
          <w:color w:val="auto"/>
          <w:sz w:val="21"/>
          <w:szCs w:val="21"/>
          <w:highlight w:val="none"/>
        </w:rPr>
        <w:t xml:space="preserve"> 38</w:t>
      </w:r>
      <w:r>
        <w:rPr>
          <w:rFonts w:ascii="宋体"/>
          <w:b w:val="0"/>
          <w:color w:val="auto"/>
          <w:sz w:val="21"/>
          <w:szCs w:val="21"/>
          <w:highlight w:val="none"/>
        </w:rPr>
        <w:t>.</w:t>
      </w:r>
      <w:r>
        <w:rPr>
          <w:rFonts w:ascii="宋体" w:hAnsi="宋体"/>
          <w:b w:val="0"/>
          <w:color w:val="auto"/>
          <w:sz w:val="21"/>
          <w:szCs w:val="21"/>
          <w:highlight w:val="none"/>
        </w:rPr>
        <w:t xml:space="preserve">3 </w:t>
      </w:r>
      <w:r>
        <w:rPr>
          <w:rFonts w:hint="eastAsia" w:hAnsi="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1</w:t>
      </w:r>
      <w:r>
        <w:rPr>
          <w:rFonts w:hint="eastAsia" w:hAnsi="宋体"/>
          <w:bCs/>
          <w:color w:val="auto"/>
          <w:sz w:val="21"/>
          <w:highlight w:val="none"/>
        </w:rPr>
        <w:t>）供应商的姓名或者名称、地址、邮编、联系人及联系电话；</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2</w:t>
      </w:r>
      <w:r>
        <w:rPr>
          <w:rFonts w:hint="eastAsia" w:hAnsi="宋体"/>
          <w:bCs/>
          <w:color w:val="auto"/>
          <w:sz w:val="21"/>
          <w:highlight w:val="none"/>
        </w:rPr>
        <w:t>）质疑项目的名称、编号；</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3</w:t>
      </w:r>
      <w:r>
        <w:rPr>
          <w:rFonts w:hint="eastAsia" w:hAnsi="宋体"/>
          <w:bCs/>
          <w:color w:val="auto"/>
          <w:sz w:val="21"/>
          <w:highlight w:val="none"/>
        </w:rPr>
        <w:t>）具体、明确的质疑事项和与质疑事项相关的请求；</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4</w:t>
      </w:r>
      <w:r>
        <w:rPr>
          <w:rFonts w:hint="eastAsia" w:hAnsi="宋体"/>
          <w:bCs/>
          <w:color w:val="auto"/>
          <w:sz w:val="21"/>
          <w:highlight w:val="none"/>
        </w:rPr>
        <w:t>）事实依据；</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5</w:t>
      </w:r>
      <w:r>
        <w:rPr>
          <w:rFonts w:hint="eastAsia" w:hAnsi="宋体"/>
          <w:bCs/>
          <w:color w:val="auto"/>
          <w:sz w:val="21"/>
          <w:highlight w:val="none"/>
        </w:rPr>
        <w:t>）必要的法律依据；</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w:t>
      </w:r>
      <w:r>
        <w:rPr>
          <w:rFonts w:hAnsi="宋体"/>
          <w:bCs/>
          <w:color w:val="auto"/>
          <w:sz w:val="21"/>
          <w:highlight w:val="none"/>
        </w:rPr>
        <w:t>6</w:t>
      </w:r>
      <w:r>
        <w:rPr>
          <w:rFonts w:hint="eastAsia" w:hAnsi="宋体"/>
          <w:bCs/>
          <w:color w:val="auto"/>
          <w:sz w:val="21"/>
          <w:highlight w:val="none"/>
        </w:rPr>
        <w:t>）提出质疑的日期。</w:t>
      </w:r>
    </w:p>
    <w:p>
      <w:pPr>
        <w:pStyle w:val="14"/>
        <w:snapToGrid w:val="0"/>
        <w:spacing w:line="360" w:lineRule="auto"/>
        <w:ind w:firstLine="420" w:firstLineChars="200"/>
        <w:rPr>
          <w:rFonts w:hAnsi="宋体"/>
          <w:bCs/>
          <w:color w:val="auto"/>
          <w:sz w:val="21"/>
          <w:highlight w:val="none"/>
        </w:rPr>
      </w:pPr>
      <w:r>
        <w:rPr>
          <w:rFonts w:hint="eastAsia" w:hAnsi="宋体"/>
          <w:bCs/>
          <w:color w:val="auto"/>
          <w:sz w:val="21"/>
          <w:highlight w:val="none"/>
        </w:rPr>
        <w:t>供应商为自然人的，应当由本人签字；供应商为法人或者其他组织的，应当由法定代表人、主要负责人，或者其委托代理人签字或者盖章，并加盖公章。</w:t>
      </w:r>
    </w:p>
    <w:p>
      <w:pPr>
        <w:pStyle w:val="6"/>
        <w:keepNext w:val="0"/>
        <w:keepLines w:val="0"/>
        <w:snapToGrid w:val="0"/>
        <w:spacing w:before="0" w:after="0" w:line="360" w:lineRule="auto"/>
        <w:ind w:firstLine="420" w:firstLineChars="200"/>
        <w:rPr>
          <w:rFonts w:asci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4"/>
        <w:snapToGrid w:val="0"/>
        <w:spacing w:line="360" w:lineRule="auto"/>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14"/>
        <w:snapToGrid w:val="0"/>
        <w:spacing w:line="360" w:lineRule="auto"/>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38.5</w:t>
      </w:r>
      <w:r>
        <w:rPr>
          <w:rFonts w:hint="eastAsia" w:hAnsi="宋体"/>
          <w:color w:val="auto"/>
          <w:sz w:val="21"/>
          <w:highlight w:val="none"/>
        </w:rPr>
        <w:t>质疑供应商对采购人、采购代理机构的答复不满意，或者采购人、采购代理机构未在规定时间内作出答复的，可以在答复期满后</w:t>
      </w:r>
      <w:r>
        <w:rPr>
          <w:rFonts w:hAnsi="宋体"/>
          <w:color w:val="auto"/>
          <w:sz w:val="21"/>
          <w:highlight w:val="none"/>
        </w:rPr>
        <w:t>15</w:t>
      </w:r>
      <w:r>
        <w:rPr>
          <w:rFonts w:hint="eastAsia" w:hAnsi="宋体"/>
          <w:color w:val="auto"/>
          <w:sz w:val="21"/>
          <w:highlight w:val="none"/>
        </w:rPr>
        <w:t>个工作日内向《政府采购质疑和投诉办法》（财政部令第</w:t>
      </w:r>
      <w:r>
        <w:rPr>
          <w:rFonts w:hAnsi="宋体"/>
          <w:color w:val="auto"/>
          <w:sz w:val="21"/>
          <w:highlight w:val="none"/>
        </w:rPr>
        <w:t>94</w:t>
      </w:r>
      <w:r>
        <w:rPr>
          <w:rFonts w:hint="eastAsia" w:hAnsi="宋体"/>
          <w:color w:val="auto"/>
          <w:sz w:val="21"/>
          <w:highlight w:val="none"/>
        </w:rPr>
        <w:t>号）第六条规定的财政部门提起投诉（投诉书格式后附）。</w:t>
      </w:r>
    </w:p>
    <w:p>
      <w:pPr>
        <w:pStyle w:val="4"/>
        <w:keepNext w:val="0"/>
        <w:keepLines w:val="0"/>
        <w:spacing w:before="240" w:after="240" w:line="415" w:lineRule="auto"/>
        <w:jc w:val="center"/>
        <w:rPr>
          <w:color w:val="auto"/>
          <w:highlight w:val="none"/>
        </w:rPr>
      </w:pPr>
      <w:bookmarkStart w:id="143" w:name="_八、其他事项"/>
      <w:bookmarkEnd w:id="143"/>
      <w:r>
        <w:rPr>
          <w:rFonts w:hint="eastAsia"/>
          <w:color w:val="auto"/>
          <w:highlight w:val="none"/>
        </w:rPr>
        <w:t>八、其他事项</w:t>
      </w:r>
    </w:p>
    <w:p>
      <w:pPr>
        <w:pStyle w:val="6"/>
        <w:keepNext w:val="0"/>
        <w:keepLines w:val="0"/>
        <w:spacing w:before="0" w:after="0" w:line="360" w:lineRule="auto"/>
        <w:ind w:left="420" w:leftChars="200"/>
        <w:rPr>
          <w:rFonts w:ascii="黑体" w:hAnsi="黑体" w:eastAsia="黑体"/>
          <w:color w:val="auto"/>
          <w:sz w:val="24"/>
          <w:highlight w:val="none"/>
        </w:rPr>
      </w:pPr>
      <w:bookmarkStart w:id="144" w:name="_42.代理服务费"/>
      <w:bookmarkEnd w:id="144"/>
      <w:r>
        <w:rPr>
          <w:rFonts w:ascii="黑体" w:hAnsi="黑体" w:eastAsia="黑体"/>
          <w:color w:val="auto"/>
          <w:sz w:val="24"/>
          <w:highlight w:val="none"/>
        </w:rPr>
        <w:t>39.</w:t>
      </w:r>
      <w:r>
        <w:rPr>
          <w:rFonts w:hint="eastAsia" w:ascii="黑体" w:hAnsi="黑体" w:eastAsia="黑体"/>
          <w:color w:val="auto"/>
          <w:sz w:val="24"/>
          <w:highlight w:val="none"/>
        </w:rPr>
        <w:t>代理服务费</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39.1</w:t>
      </w:r>
      <w:r>
        <w:rPr>
          <w:rFonts w:hint="eastAsia" w:ascii="宋体" w:hAnsi="宋体"/>
          <w:b w:val="0"/>
          <w:color w:val="auto"/>
          <w:sz w:val="21"/>
          <w:szCs w:val="21"/>
          <w:highlight w:val="none"/>
        </w:rPr>
        <w:t>代理服务收取标准及缴费账户详见“投标人须知前附表”，投标人为联合体的，可以由联合体中的一方或者多方共同交纳代理服务费。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b w:val="0"/>
          <w:color w:val="auto"/>
          <w:sz w:val="21"/>
          <w:szCs w:val="21"/>
          <w:highlight w:val="none"/>
        </w:rPr>
      </w:pPr>
      <w:r>
        <w:rPr>
          <w:rFonts w:ascii="宋体" w:hAnsi="宋体"/>
          <w:b w:val="0"/>
          <w:color w:val="auto"/>
          <w:sz w:val="21"/>
          <w:szCs w:val="21"/>
          <w:highlight w:val="none"/>
        </w:rPr>
        <w:t>39.2</w:t>
      </w:r>
      <w:r>
        <w:rPr>
          <w:rFonts w:hint="eastAsia" w:ascii="宋体" w:hAnsi="宋体"/>
          <w:b w:val="0"/>
          <w:color w:val="auto"/>
          <w:sz w:val="21"/>
          <w:szCs w:val="21"/>
          <w:highlight w:val="none"/>
        </w:rPr>
        <w:t>代理服务收费标准：</w:t>
      </w:r>
    </w:p>
    <w:p>
      <w:pPr>
        <w:spacing w:line="360" w:lineRule="auto"/>
        <w:rPr>
          <w:rFonts w:ascii="宋体"/>
          <w:color w:val="auto"/>
          <w:szCs w:val="21"/>
          <w:highlight w:val="none"/>
        </w:rPr>
      </w:pP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费率</w:t>
            </w:r>
          </w:p>
          <w:p>
            <w:pPr>
              <w:spacing w:line="360" w:lineRule="auto"/>
              <w:rPr>
                <w:rFonts w:ascii="宋体"/>
                <w:color w:val="auto"/>
                <w:szCs w:val="21"/>
                <w:highlight w:val="none"/>
              </w:rPr>
            </w:pPr>
            <w:r>
              <w:rPr>
                <w:rFonts w:hint="eastAsia" w:ascii="宋体" w:hAnsi="宋体"/>
                <w:color w:val="auto"/>
                <w:szCs w:val="21"/>
                <w:highlight w:val="none"/>
              </w:rPr>
              <w:t>中标金额</w:t>
            </w:r>
          </w:p>
        </w:tc>
        <w:tc>
          <w:tcPr>
            <w:tcW w:w="1659" w:type="dxa"/>
            <w:vAlign w:val="center"/>
          </w:tcPr>
          <w:p>
            <w:pPr>
              <w:spacing w:line="360" w:lineRule="auto"/>
              <w:ind w:firstLine="105" w:firstLineChars="50"/>
              <w:jc w:val="center"/>
              <w:rPr>
                <w:rFonts w:ascii="宋体"/>
                <w:color w:val="auto"/>
                <w:szCs w:val="21"/>
                <w:highlight w:val="none"/>
              </w:rPr>
            </w:pPr>
            <w:r>
              <w:rPr>
                <w:rFonts w:hint="eastAsia" w:ascii="宋体" w:hAnsi="宋体"/>
                <w:color w:val="auto"/>
                <w:szCs w:val="21"/>
                <w:highlight w:val="none"/>
              </w:rPr>
              <w:t>货物招标</w:t>
            </w:r>
          </w:p>
        </w:tc>
        <w:tc>
          <w:tcPr>
            <w:tcW w:w="1687" w:type="dxa"/>
            <w:vAlign w:val="center"/>
          </w:tcPr>
          <w:p>
            <w:pPr>
              <w:spacing w:line="360" w:lineRule="auto"/>
              <w:jc w:val="center"/>
              <w:rPr>
                <w:rFonts w:ascii="宋体"/>
                <w:color w:val="auto"/>
                <w:szCs w:val="21"/>
                <w:highlight w:val="none"/>
              </w:rPr>
            </w:pPr>
            <w:r>
              <w:rPr>
                <w:rFonts w:hint="eastAsia" w:ascii="宋体" w:hAnsi="宋体"/>
                <w:color w:val="auto"/>
                <w:szCs w:val="21"/>
                <w:highlight w:val="none"/>
              </w:rPr>
              <w:t>服务招标</w:t>
            </w:r>
          </w:p>
        </w:tc>
        <w:tc>
          <w:tcPr>
            <w:tcW w:w="1659" w:type="dxa"/>
            <w:vAlign w:val="center"/>
          </w:tcPr>
          <w:p>
            <w:pPr>
              <w:spacing w:line="360" w:lineRule="auto"/>
              <w:jc w:val="center"/>
              <w:rPr>
                <w:rFonts w:asci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万元以下</w:t>
            </w:r>
          </w:p>
        </w:tc>
        <w:tc>
          <w:tcPr>
            <w:tcW w:w="1659" w:type="dxa"/>
          </w:tcPr>
          <w:p>
            <w:pPr>
              <w:spacing w:line="360" w:lineRule="auto"/>
              <w:rPr>
                <w:rFonts w:ascii="宋体"/>
                <w:color w:val="auto"/>
                <w:szCs w:val="21"/>
                <w:highlight w:val="none"/>
              </w:rPr>
            </w:pPr>
            <w:r>
              <w:rPr>
                <w:rFonts w:ascii="宋体" w:hAnsi="宋体" w:cs="宋体"/>
                <w:color w:val="auto"/>
                <w:kern w:val="0"/>
                <w:szCs w:val="21"/>
                <w:highlight w:val="none"/>
              </w:rPr>
              <w:t xml:space="preserve">  1.5%                </w:t>
            </w:r>
          </w:p>
        </w:tc>
        <w:tc>
          <w:tcPr>
            <w:tcW w:w="1687"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1.5%</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500</w:t>
            </w:r>
            <w:r>
              <w:rPr>
                <w:rFonts w:hint="eastAsia" w:ascii="宋体" w:hAnsi="宋体"/>
                <w:color w:val="auto"/>
                <w:szCs w:val="21"/>
                <w:highlight w:val="none"/>
              </w:rPr>
              <w:t>万元</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1.1%                 </w:t>
            </w:r>
          </w:p>
        </w:tc>
        <w:tc>
          <w:tcPr>
            <w:tcW w:w="1687"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0.8%</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w:t>
            </w:r>
            <w:r>
              <w:rPr>
                <w:rFonts w:ascii="宋体" w:hAnsi="宋体"/>
                <w:color w:val="auto"/>
                <w:szCs w:val="21"/>
                <w:highlight w:val="none"/>
              </w:rPr>
              <w:t>1000</w:t>
            </w:r>
            <w:r>
              <w:rPr>
                <w:rFonts w:hint="eastAsia" w:ascii="宋体" w:hAnsi="宋体"/>
                <w:color w:val="auto"/>
                <w:szCs w:val="21"/>
                <w:highlight w:val="none"/>
              </w:rPr>
              <w:t>万元</w:t>
            </w:r>
          </w:p>
        </w:tc>
        <w:tc>
          <w:tcPr>
            <w:tcW w:w="1659" w:type="dxa"/>
          </w:tcPr>
          <w:p>
            <w:pPr>
              <w:spacing w:line="360" w:lineRule="auto"/>
              <w:rPr>
                <w:rFonts w:ascii="宋体"/>
                <w:color w:val="auto"/>
                <w:szCs w:val="21"/>
                <w:highlight w:val="none"/>
              </w:rPr>
            </w:pPr>
            <w:r>
              <w:rPr>
                <w:rFonts w:ascii="宋体" w:hAnsi="宋体" w:cs="宋体"/>
                <w:color w:val="auto"/>
                <w:kern w:val="0"/>
                <w:szCs w:val="21"/>
                <w:highlight w:val="none"/>
              </w:rPr>
              <w:t xml:space="preserve">  0.8%                </w:t>
            </w:r>
          </w:p>
        </w:tc>
        <w:tc>
          <w:tcPr>
            <w:tcW w:w="1687"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0.45%</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1000</w:t>
            </w:r>
            <w:r>
              <w:rPr>
                <w:rFonts w:hint="eastAsia" w:ascii="宋体" w:hAnsi="宋体"/>
                <w:color w:val="auto"/>
                <w:szCs w:val="21"/>
                <w:highlight w:val="none"/>
              </w:rPr>
              <w:t>～</w:t>
            </w:r>
            <w:r>
              <w:rPr>
                <w:rFonts w:ascii="宋体" w:hAnsi="宋体"/>
                <w:color w:val="auto"/>
                <w:szCs w:val="21"/>
                <w:highlight w:val="none"/>
              </w:rPr>
              <w:t>5000</w:t>
            </w:r>
            <w:r>
              <w:rPr>
                <w:rFonts w:hint="eastAsia" w:ascii="宋体" w:hAnsi="宋体"/>
                <w:color w:val="auto"/>
                <w:szCs w:val="21"/>
                <w:highlight w:val="none"/>
              </w:rPr>
              <w:t>万元</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0.5%                </w:t>
            </w:r>
          </w:p>
        </w:tc>
        <w:tc>
          <w:tcPr>
            <w:tcW w:w="1687"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0.25%</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5000</w:t>
            </w:r>
            <w:r>
              <w:rPr>
                <w:rFonts w:hint="eastAsia" w:ascii="宋体" w:hAnsi="宋体"/>
                <w:color w:val="auto"/>
                <w:szCs w:val="21"/>
                <w:highlight w:val="none"/>
              </w:rPr>
              <w:t>万元～</w:t>
            </w:r>
            <w:r>
              <w:rPr>
                <w:rFonts w:ascii="宋体" w:hAnsi="宋体"/>
                <w:color w:val="auto"/>
                <w:szCs w:val="21"/>
                <w:highlight w:val="none"/>
              </w:rPr>
              <w:t>1</w:t>
            </w:r>
            <w:r>
              <w:rPr>
                <w:rFonts w:hint="eastAsia" w:ascii="宋体" w:hAnsi="宋体"/>
                <w:color w:val="auto"/>
                <w:szCs w:val="21"/>
                <w:highlight w:val="none"/>
              </w:rPr>
              <w:t>亿元</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 xml:space="preserve">0.25%                 </w:t>
            </w:r>
          </w:p>
        </w:tc>
        <w:tc>
          <w:tcPr>
            <w:tcW w:w="1687"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0.1%</w:t>
            </w:r>
          </w:p>
        </w:tc>
        <w:tc>
          <w:tcPr>
            <w:tcW w:w="1659" w:type="dxa"/>
          </w:tcPr>
          <w:p>
            <w:pPr>
              <w:spacing w:line="360" w:lineRule="auto"/>
              <w:ind w:firstLine="210" w:firstLineChars="100"/>
              <w:rPr>
                <w:rFonts w:asci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亿元</w:t>
            </w:r>
          </w:p>
        </w:tc>
        <w:tc>
          <w:tcPr>
            <w:tcW w:w="1659" w:type="dxa"/>
          </w:tcPr>
          <w:p>
            <w:pPr>
              <w:spacing w:line="360" w:lineRule="auto"/>
              <w:ind w:firstLine="210" w:firstLineChars="100"/>
              <w:rPr>
                <w:rFonts w:ascii="宋体"/>
                <w:color w:val="auto"/>
                <w:szCs w:val="21"/>
                <w:highlight w:val="none"/>
              </w:rPr>
            </w:pPr>
            <w:r>
              <w:rPr>
                <w:rFonts w:ascii="宋体" w:hAnsi="宋体"/>
                <w:color w:val="auto"/>
                <w:szCs w:val="21"/>
                <w:highlight w:val="none"/>
              </w:rPr>
              <w:t>0.05%</w:t>
            </w:r>
          </w:p>
        </w:tc>
        <w:tc>
          <w:tcPr>
            <w:tcW w:w="1687" w:type="dxa"/>
          </w:tcPr>
          <w:p>
            <w:pPr>
              <w:spacing w:line="360" w:lineRule="auto"/>
              <w:rPr>
                <w:rFonts w:ascii="宋体"/>
                <w:color w:val="auto"/>
                <w:szCs w:val="21"/>
                <w:highlight w:val="none"/>
              </w:rPr>
            </w:pPr>
            <w:r>
              <w:rPr>
                <w:rFonts w:ascii="宋体" w:hAnsi="宋体"/>
                <w:color w:val="auto"/>
                <w:szCs w:val="21"/>
                <w:highlight w:val="none"/>
              </w:rPr>
              <w:t xml:space="preserve">  0.05%</w:t>
            </w:r>
          </w:p>
        </w:tc>
        <w:tc>
          <w:tcPr>
            <w:tcW w:w="1659" w:type="dxa"/>
          </w:tcPr>
          <w:p>
            <w:pPr>
              <w:spacing w:line="360" w:lineRule="auto"/>
              <w:rPr>
                <w:rFonts w:ascii="宋体"/>
                <w:color w:val="auto"/>
                <w:szCs w:val="21"/>
                <w:highlight w:val="none"/>
              </w:rPr>
            </w:pPr>
            <w:r>
              <w:rPr>
                <w:rFonts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亿元</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0.035%</w:t>
            </w:r>
          </w:p>
        </w:tc>
        <w:tc>
          <w:tcPr>
            <w:tcW w:w="1687" w:type="dxa"/>
          </w:tcPr>
          <w:p>
            <w:pPr>
              <w:spacing w:line="360" w:lineRule="auto"/>
              <w:rPr>
                <w:rFonts w:ascii="宋体"/>
                <w:color w:val="auto"/>
                <w:szCs w:val="21"/>
                <w:highlight w:val="none"/>
              </w:rPr>
            </w:pPr>
            <w:r>
              <w:rPr>
                <w:rFonts w:ascii="宋体" w:hAnsi="宋体"/>
                <w:color w:val="auto"/>
                <w:szCs w:val="21"/>
                <w:highlight w:val="none"/>
              </w:rPr>
              <w:t xml:space="preserve">  0.035%</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50</w:t>
            </w:r>
            <w:r>
              <w:rPr>
                <w:rFonts w:hint="eastAsia" w:ascii="宋体" w:hAnsi="宋体"/>
                <w:color w:val="auto"/>
                <w:szCs w:val="21"/>
                <w:highlight w:val="none"/>
              </w:rPr>
              <w:t>亿元</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0.008%</w:t>
            </w:r>
          </w:p>
        </w:tc>
        <w:tc>
          <w:tcPr>
            <w:tcW w:w="1687" w:type="dxa"/>
          </w:tcPr>
          <w:p>
            <w:pPr>
              <w:spacing w:line="360" w:lineRule="auto"/>
              <w:ind w:firstLine="210" w:firstLineChars="100"/>
              <w:rPr>
                <w:rFonts w:ascii="宋体"/>
                <w:color w:val="auto"/>
                <w:szCs w:val="21"/>
                <w:highlight w:val="none"/>
              </w:rPr>
            </w:pPr>
            <w:r>
              <w:rPr>
                <w:rFonts w:ascii="宋体" w:hAnsi="宋体"/>
                <w:color w:val="auto"/>
                <w:szCs w:val="21"/>
                <w:highlight w:val="none"/>
              </w:rPr>
              <w:t>0.008%</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50</w:t>
            </w:r>
            <w:r>
              <w:rPr>
                <w:rFonts w:hint="eastAsia" w:ascii="宋体" w:hAnsi="宋体"/>
                <w:color w:val="auto"/>
                <w:szCs w:val="21"/>
                <w:highlight w:val="none"/>
              </w:rPr>
              <w:t>～</w:t>
            </w:r>
            <w:r>
              <w:rPr>
                <w:rFonts w:ascii="宋体" w:hAnsi="宋体"/>
                <w:color w:val="auto"/>
                <w:szCs w:val="21"/>
                <w:highlight w:val="none"/>
              </w:rPr>
              <w:t>100</w:t>
            </w:r>
            <w:r>
              <w:rPr>
                <w:rFonts w:hint="eastAsia" w:ascii="宋体" w:hAnsi="宋体"/>
                <w:color w:val="auto"/>
                <w:szCs w:val="21"/>
                <w:highlight w:val="none"/>
              </w:rPr>
              <w:t>亿元</w:t>
            </w:r>
          </w:p>
        </w:tc>
        <w:tc>
          <w:tcPr>
            <w:tcW w:w="1659" w:type="dxa"/>
          </w:tcPr>
          <w:p>
            <w:pPr>
              <w:spacing w:line="360" w:lineRule="auto"/>
              <w:rPr>
                <w:rFonts w:ascii="宋体"/>
                <w:color w:val="auto"/>
                <w:szCs w:val="21"/>
                <w:highlight w:val="none"/>
              </w:rPr>
            </w:pPr>
            <w:r>
              <w:rPr>
                <w:rFonts w:ascii="宋体" w:hAnsi="宋体"/>
                <w:color w:val="auto"/>
                <w:szCs w:val="21"/>
                <w:highlight w:val="none"/>
              </w:rPr>
              <w:t xml:space="preserve"> 0.006%</w:t>
            </w:r>
          </w:p>
        </w:tc>
        <w:tc>
          <w:tcPr>
            <w:tcW w:w="1687" w:type="dxa"/>
          </w:tcPr>
          <w:p>
            <w:pPr>
              <w:spacing w:line="360" w:lineRule="auto"/>
              <w:ind w:firstLine="210" w:firstLineChars="100"/>
              <w:rPr>
                <w:rFonts w:ascii="宋体"/>
                <w:color w:val="auto"/>
                <w:szCs w:val="21"/>
                <w:highlight w:val="none"/>
              </w:rPr>
            </w:pPr>
            <w:r>
              <w:rPr>
                <w:rFonts w:ascii="宋体" w:hAnsi="宋体"/>
                <w:color w:val="auto"/>
                <w:szCs w:val="21"/>
                <w:highlight w:val="none"/>
              </w:rPr>
              <w:t>0.006%</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亿以上</w:t>
            </w:r>
          </w:p>
        </w:tc>
        <w:tc>
          <w:tcPr>
            <w:tcW w:w="1659" w:type="dxa"/>
          </w:tcPr>
          <w:p>
            <w:pPr>
              <w:spacing w:line="360" w:lineRule="auto"/>
              <w:rPr>
                <w:rFonts w:ascii="宋体"/>
                <w:color w:val="auto"/>
                <w:szCs w:val="21"/>
                <w:highlight w:val="none"/>
              </w:rPr>
            </w:pPr>
            <w:r>
              <w:rPr>
                <w:rFonts w:ascii="宋体" w:hAnsi="宋体"/>
                <w:color w:val="auto"/>
                <w:szCs w:val="21"/>
                <w:highlight w:val="none"/>
              </w:rPr>
              <w:t xml:space="preserve"> 0.004%</w:t>
            </w:r>
          </w:p>
        </w:tc>
        <w:tc>
          <w:tcPr>
            <w:tcW w:w="1687" w:type="dxa"/>
          </w:tcPr>
          <w:p>
            <w:pPr>
              <w:spacing w:line="360" w:lineRule="auto"/>
              <w:ind w:firstLine="210" w:firstLineChars="100"/>
              <w:rPr>
                <w:rFonts w:ascii="宋体"/>
                <w:color w:val="auto"/>
                <w:szCs w:val="21"/>
                <w:highlight w:val="none"/>
              </w:rPr>
            </w:pPr>
            <w:r>
              <w:rPr>
                <w:rFonts w:ascii="宋体" w:hAnsi="宋体"/>
                <w:color w:val="auto"/>
                <w:szCs w:val="21"/>
                <w:highlight w:val="none"/>
              </w:rPr>
              <w:t>0.004%</w:t>
            </w:r>
          </w:p>
        </w:tc>
        <w:tc>
          <w:tcPr>
            <w:tcW w:w="1659" w:type="dxa"/>
          </w:tcPr>
          <w:p>
            <w:pPr>
              <w:spacing w:line="360" w:lineRule="auto"/>
              <w:ind w:firstLine="105" w:firstLineChars="50"/>
              <w:rPr>
                <w:rFonts w:ascii="宋体"/>
                <w:color w:val="auto"/>
                <w:szCs w:val="21"/>
                <w:highlight w:val="none"/>
              </w:rPr>
            </w:pPr>
            <w:r>
              <w:rPr>
                <w:rFonts w:ascii="宋体" w:hAnsi="宋体"/>
                <w:color w:val="auto"/>
                <w:szCs w:val="21"/>
                <w:highlight w:val="none"/>
              </w:rPr>
              <w:t>0.004%</w:t>
            </w:r>
          </w:p>
        </w:tc>
      </w:tr>
    </w:tbl>
    <w:p>
      <w:pPr>
        <w:spacing w:line="360" w:lineRule="auto"/>
        <w:ind w:firstLine="420" w:firstLineChars="200"/>
        <w:rPr>
          <w:rFonts w:ascii="宋体" w:cs="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）按本表费率计算的收费为采购代理的收费基准价格；</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）采购代理收费按差额定率累进法计算。</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例如：某货物采购代理业务中标金额或者暂定价为</w:t>
      </w:r>
      <w:r>
        <w:rPr>
          <w:rFonts w:ascii="宋体" w:hAnsi="宋体" w:cs="宋体"/>
          <w:color w:val="auto"/>
          <w:szCs w:val="21"/>
          <w:highlight w:val="none"/>
        </w:rPr>
        <w:t>200</w:t>
      </w:r>
      <w:r>
        <w:rPr>
          <w:rFonts w:hint="eastAsia" w:ascii="宋体" w:hAnsi="宋体" w:cs="宋体"/>
          <w:color w:val="auto"/>
          <w:szCs w:val="21"/>
          <w:highlight w:val="none"/>
        </w:rPr>
        <w:t>万元，计算采购代理收费额如下：</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100 </w:t>
      </w:r>
      <w:r>
        <w:rPr>
          <w:rFonts w:hint="eastAsia" w:ascii="宋体" w:hAnsi="宋体" w:cs="宋体"/>
          <w:color w:val="auto"/>
          <w:szCs w:val="21"/>
          <w:highlight w:val="none"/>
        </w:rPr>
        <w:t>万元</w:t>
      </w:r>
      <w:r>
        <w:rPr>
          <w:rFonts w:hint="eastAsia" w:ascii="宋体" w:cs="宋体"/>
          <w:color w:val="auto"/>
          <w:szCs w:val="21"/>
          <w:highlight w:val="none"/>
        </w:rPr>
        <w:t>×</w:t>
      </w:r>
      <w:r>
        <w:rPr>
          <w:rFonts w:ascii="宋体" w:hAnsi="宋体" w:cs="宋体"/>
          <w:color w:val="auto"/>
          <w:szCs w:val="21"/>
          <w:highlight w:val="none"/>
        </w:rPr>
        <w:t>l.5 %</w:t>
      </w:r>
      <w:r>
        <w:rPr>
          <w:rFonts w:hint="eastAsia" w:ascii="宋体" w:hAnsi="宋体" w:cs="宋体"/>
          <w:color w:val="auto"/>
          <w:szCs w:val="21"/>
          <w:highlight w:val="none"/>
        </w:rPr>
        <w:t>＝</w:t>
      </w:r>
      <w:r>
        <w:rPr>
          <w:rFonts w:ascii="宋体" w:hAnsi="宋体" w:cs="宋体"/>
          <w:color w:val="auto"/>
          <w:szCs w:val="21"/>
          <w:highlight w:val="none"/>
        </w:rPr>
        <w:t xml:space="preserve"> 1.5 </w:t>
      </w:r>
      <w:r>
        <w:rPr>
          <w:rFonts w:hint="eastAsia" w:ascii="宋体" w:hAnsi="宋体" w:cs="宋体"/>
          <w:color w:val="auto"/>
          <w:szCs w:val="21"/>
          <w:highlight w:val="none"/>
        </w:rPr>
        <w:t>万元</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200 </w:t>
      </w:r>
      <w:r>
        <w:rPr>
          <w:rFonts w:hint="eastAsia" w:ascii="宋体" w:hAnsi="宋体" w:cs="宋体"/>
          <w:color w:val="auto"/>
          <w:szCs w:val="21"/>
          <w:highlight w:val="none"/>
        </w:rPr>
        <w:t>－</w:t>
      </w:r>
      <w:r>
        <w:rPr>
          <w:rFonts w:ascii="宋体" w:hAnsi="宋体" w:cs="宋体"/>
          <w:color w:val="auto"/>
          <w:szCs w:val="21"/>
          <w:highlight w:val="none"/>
        </w:rPr>
        <w:t xml:space="preserve"> 100 </w:t>
      </w:r>
      <w:r>
        <w:rPr>
          <w:rFonts w:hint="eastAsia" w:ascii="宋体" w:hAnsi="宋体" w:cs="宋体"/>
          <w:color w:val="auto"/>
          <w:szCs w:val="21"/>
          <w:highlight w:val="none"/>
        </w:rPr>
        <w:t>）万元</w:t>
      </w:r>
      <w:r>
        <w:rPr>
          <w:rFonts w:ascii="宋体" w:hAnsi="宋体" w:cs="宋体"/>
          <w:color w:val="auto"/>
          <w:szCs w:val="21"/>
          <w:highlight w:val="none"/>
        </w:rPr>
        <w:t xml:space="preserve"> </w:t>
      </w:r>
      <w:r>
        <w:rPr>
          <w:rFonts w:hint="eastAsia" w:ascii="宋体" w:hAnsi="宋体" w:cs="宋体"/>
          <w:color w:val="auto"/>
          <w:szCs w:val="21"/>
          <w:highlight w:val="none"/>
        </w:rPr>
        <w:t>×1.1</w:t>
      </w:r>
      <w:r>
        <w:rPr>
          <w:rFonts w:ascii="宋体" w:hAnsi="宋体" w:cs="宋体"/>
          <w:color w:val="auto"/>
          <w:szCs w:val="21"/>
          <w:highlight w:val="none"/>
        </w:rPr>
        <w:t>%</w:t>
      </w:r>
      <w:r>
        <w:rPr>
          <w:rFonts w:hint="eastAsia" w:ascii="宋体" w:hAnsi="宋体" w:cs="宋体"/>
          <w:color w:val="auto"/>
          <w:szCs w:val="21"/>
          <w:highlight w:val="none"/>
        </w:rPr>
        <w:t>＝1.1万元</w:t>
      </w:r>
    </w:p>
    <w:p>
      <w:pPr>
        <w:pStyle w:val="1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合计收费＝</w:t>
      </w:r>
      <w:r>
        <w:rPr>
          <w:rFonts w:hAnsi="宋体" w:cs="宋体"/>
          <w:color w:val="auto"/>
          <w:sz w:val="21"/>
          <w:highlight w:val="none"/>
        </w:rPr>
        <w:t xml:space="preserve"> 1.5+</w:t>
      </w:r>
      <w:r>
        <w:rPr>
          <w:rFonts w:hint="eastAsia" w:hAnsi="宋体" w:cs="宋体"/>
          <w:color w:val="auto"/>
          <w:sz w:val="21"/>
          <w:highlight w:val="none"/>
        </w:rPr>
        <w:t>1.1＝</w:t>
      </w:r>
      <w:r>
        <w:rPr>
          <w:rFonts w:hAnsi="宋体" w:cs="宋体"/>
          <w:color w:val="auto"/>
          <w:sz w:val="21"/>
          <w:highlight w:val="none"/>
        </w:rPr>
        <w:t xml:space="preserve"> 2.</w:t>
      </w:r>
      <w:r>
        <w:rPr>
          <w:rFonts w:hint="eastAsia" w:hAnsi="宋体" w:cs="宋体"/>
          <w:color w:val="auto"/>
          <w:sz w:val="21"/>
          <w:highlight w:val="none"/>
        </w:rPr>
        <w:t>6（万元）</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 xml:space="preserve">40. </w:t>
      </w:r>
      <w:r>
        <w:rPr>
          <w:rFonts w:hint="eastAsia" w:ascii="黑体" w:hAnsi="黑体" w:eastAsia="黑体"/>
          <w:color w:val="auto"/>
          <w:sz w:val="24"/>
          <w:highlight w:val="none"/>
        </w:rPr>
        <w:t>需要补充的其他内容</w:t>
      </w:r>
    </w:p>
    <w:p>
      <w:pPr>
        <w:pStyle w:val="14"/>
        <w:spacing w:line="360" w:lineRule="auto"/>
        <w:ind w:firstLine="420" w:firstLineChars="200"/>
        <w:rPr>
          <w:rFonts w:hAnsi="宋体" w:cs="宋体"/>
          <w:color w:val="auto"/>
          <w:sz w:val="21"/>
          <w:highlight w:val="none"/>
        </w:rPr>
      </w:pPr>
      <w:r>
        <w:rPr>
          <w:rFonts w:hAnsi="宋体" w:cs="宋体"/>
          <w:color w:val="auto"/>
          <w:sz w:val="21"/>
          <w:highlight w:val="none"/>
        </w:rPr>
        <w:t>40.1</w:t>
      </w:r>
      <w:r>
        <w:rPr>
          <w:rFonts w:hint="eastAsia" w:hAnsi="宋体" w:cs="宋体"/>
          <w:color w:val="auto"/>
          <w:sz w:val="21"/>
          <w:highlight w:val="none"/>
        </w:rPr>
        <w:t>本招标文件解释规则详见“投标人须知前附表”。</w:t>
      </w:r>
    </w:p>
    <w:p>
      <w:pPr>
        <w:pStyle w:val="14"/>
        <w:spacing w:line="360" w:lineRule="auto"/>
        <w:ind w:firstLine="420" w:firstLineChars="200"/>
        <w:rPr>
          <w:rFonts w:hAnsi="宋体" w:cs="宋体"/>
          <w:color w:val="auto"/>
          <w:sz w:val="21"/>
          <w:highlight w:val="none"/>
        </w:rPr>
      </w:pPr>
      <w:r>
        <w:rPr>
          <w:rFonts w:hAnsi="宋体" w:cs="宋体"/>
          <w:color w:val="auto"/>
          <w:sz w:val="21"/>
          <w:highlight w:val="none"/>
        </w:rPr>
        <w:t xml:space="preserve">40.2 </w:t>
      </w:r>
      <w:r>
        <w:rPr>
          <w:rFonts w:hint="eastAsia" w:hAnsi="宋体" w:cs="宋体"/>
          <w:color w:val="auto"/>
          <w:sz w:val="21"/>
          <w:highlight w:val="none"/>
        </w:rPr>
        <w:t>其他事项详见“投标人须知前附表”。</w:t>
      </w:r>
    </w:p>
    <w:p>
      <w:pPr>
        <w:pStyle w:val="14"/>
        <w:spacing w:line="360" w:lineRule="auto"/>
        <w:ind w:firstLine="420" w:firstLineChars="200"/>
        <w:rPr>
          <w:rFonts w:hAnsi="宋体" w:cs="宋体"/>
          <w:color w:val="auto"/>
          <w:sz w:val="21"/>
          <w:highlight w:val="none"/>
        </w:rPr>
      </w:pPr>
      <w:r>
        <w:rPr>
          <w:rFonts w:hAnsi="宋体" w:cs="宋体"/>
          <w:color w:val="auto"/>
          <w:sz w:val="21"/>
          <w:highlight w:val="none"/>
        </w:rPr>
        <w:t>40.3</w:t>
      </w:r>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hAnsi="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r>
        <w:rPr>
          <w:rFonts w:hAnsi="宋体"/>
          <w:color w:val="auto"/>
          <w:highlight w:val="none"/>
        </w:rPr>
        <w:br w:type="page"/>
      </w:r>
    </w:p>
    <w:p>
      <w:pPr>
        <w:pStyle w:val="14"/>
        <w:snapToGrid w:val="0"/>
        <w:spacing w:before="120" w:after="120"/>
        <w:ind w:firstLine="400" w:firstLineChars="200"/>
        <w:rPr>
          <w:rFonts w:hAnsi="宋体"/>
          <w:color w:val="auto"/>
          <w:highlight w:val="none"/>
        </w:rPr>
      </w:pPr>
      <w:r>
        <w:rPr>
          <w:rFonts w:hint="eastAsia" w:hAnsi="宋体"/>
          <w:color w:val="auto"/>
          <w:highlight w:val="none"/>
        </w:rPr>
        <w:t>附件1：</w:t>
      </w:r>
    </w:p>
    <w:p>
      <w:pPr>
        <w:shd w:val="clear" w:color="auto" w:fill="FFFFFF"/>
        <w:spacing w:line="480" w:lineRule="atLeast"/>
        <w:jc w:val="center"/>
        <w:rPr>
          <w:rFonts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pPr>
        <w:shd w:val="clear" w:color="auto" w:fill="FFFFFF"/>
        <w:spacing w:line="480" w:lineRule="atLeast"/>
        <w:jc w:val="center"/>
        <w:rPr>
          <w:rFonts w:ascii="仿宋" w:hAnsi="仿宋" w:eastAsia="仿宋"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jc w:val="left"/>
        <w:rPr>
          <w:rFonts w:hAnsi="宋体"/>
          <w:color w:val="auto"/>
          <w:highlight w:val="none"/>
        </w:rPr>
      </w:pPr>
      <w:r>
        <w:rPr>
          <w:rFonts w:hAnsi="宋体"/>
          <w:color w:val="auto"/>
          <w:highlight w:val="none"/>
        </w:rPr>
        <w:br w:type="page"/>
      </w:r>
      <w:r>
        <w:rPr>
          <w:rFonts w:hint="eastAsia" w:hAnsi="宋体"/>
          <w:color w:val="auto"/>
          <w:highlight w:val="none"/>
        </w:rPr>
        <w:t>附件2：</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456"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color w:val="auto"/>
                <w:sz w:val="24"/>
                <w:highlight w:val="none"/>
              </w:rPr>
            </w:pPr>
          </w:p>
        </w:tc>
        <w:tc>
          <w:tcPr>
            <w:tcW w:w="8456"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color w:val="auto"/>
                <w:sz w:val="24"/>
                <w:highlight w:val="none"/>
              </w:rPr>
            </w:pPr>
          </w:p>
        </w:tc>
        <w:tc>
          <w:tcPr>
            <w:tcW w:w="8456" w:type="dxa"/>
          </w:tcPr>
          <w:p>
            <w:pPr>
              <w:rPr>
                <w:color w:val="auto"/>
                <w:sz w:val="24"/>
                <w:highlight w:val="none"/>
              </w:rPr>
            </w:pPr>
            <w:r>
              <w:rPr>
                <w:rFonts w:hint="eastAsia"/>
                <w:color w:val="auto"/>
                <w:sz w:val="24"/>
                <w:highlight w:val="none"/>
              </w:rPr>
              <w:t xml:space="preserve">  </w:t>
            </w:r>
          </w:p>
          <w:p>
            <w:pPr>
              <w:spacing w:line="400" w:lineRule="exact"/>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color w:val="auto"/>
                <w:sz w:val="24"/>
                <w:highlight w:val="none"/>
              </w:rPr>
            </w:pPr>
            <w:r>
              <w:rPr>
                <w:rFonts w:hint="eastAsia"/>
                <w:color w:val="auto"/>
                <w:sz w:val="24"/>
                <w:highlight w:val="none"/>
              </w:rPr>
              <w:t>单位名称：</w:t>
            </w:r>
          </w:p>
          <w:p>
            <w:pPr>
              <w:spacing w:line="400" w:lineRule="exact"/>
              <w:ind w:firstLine="705"/>
              <w:rPr>
                <w:color w:val="auto"/>
                <w:sz w:val="24"/>
                <w:highlight w:val="none"/>
              </w:rPr>
            </w:pPr>
            <w:r>
              <w:rPr>
                <w:rFonts w:hint="eastAsia"/>
                <w:color w:val="auto"/>
                <w:sz w:val="24"/>
                <w:highlight w:val="none"/>
              </w:rPr>
              <w:t>开户银行：</w:t>
            </w:r>
          </w:p>
          <w:p>
            <w:pPr>
              <w:spacing w:line="400" w:lineRule="exact"/>
              <w:ind w:firstLine="705"/>
              <w:rPr>
                <w:color w:val="auto"/>
                <w:sz w:val="24"/>
                <w:highlight w:val="none"/>
              </w:rPr>
            </w:pPr>
            <w:r>
              <w:rPr>
                <w:rFonts w:hint="eastAsia"/>
                <w:color w:val="auto"/>
                <w:sz w:val="24"/>
                <w:highlight w:val="none"/>
              </w:rPr>
              <w:t>帐   号：</w:t>
            </w:r>
          </w:p>
          <w:p>
            <w:pPr>
              <w:spacing w:line="400" w:lineRule="exact"/>
              <w:rPr>
                <w:color w:val="auto"/>
                <w:sz w:val="24"/>
                <w:highlight w:val="none"/>
              </w:rPr>
            </w:pPr>
            <w:r>
              <w:rPr>
                <w:rFonts w:hint="eastAsia"/>
                <w:color w:val="auto"/>
                <w:sz w:val="24"/>
                <w:highlight w:val="none"/>
              </w:rPr>
              <w:t>联系人及电话：</w:t>
            </w:r>
          </w:p>
          <w:p>
            <w:pPr>
              <w:spacing w:line="400" w:lineRule="exact"/>
              <w:rPr>
                <w:color w:val="auto"/>
                <w:sz w:val="24"/>
                <w:highlight w:val="none"/>
              </w:rPr>
            </w:pPr>
          </w:p>
          <w:p>
            <w:pPr>
              <w:spacing w:line="520" w:lineRule="exact"/>
              <w:jc w:val="center"/>
              <w:rPr>
                <w:color w:val="auto"/>
                <w:sz w:val="24"/>
                <w:highlight w:val="none"/>
              </w:rPr>
            </w:pPr>
            <w:r>
              <w:rPr>
                <w:rFonts w:hint="eastAsia"/>
                <w:color w:val="auto"/>
                <w:sz w:val="24"/>
                <w:highlight w:val="none"/>
              </w:rPr>
              <w:t xml:space="preserve">         投标人签章：</w:t>
            </w:r>
          </w:p>
          <w:p>
            <w:pPr>
              <w:spacing w:line="520" w:lineRule="exact"/>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人</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456"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line="520" w:lineRule="exact"/>
              <w:rPr>
                <w:color w:val="auto"/>
                <w:sz w:val="24"/>
                <w:highlight w:val="none"/>
              </w:rPr>
            </w:pPr>
            <w:r>
              <w:rPr>
                <w:rFonts w:hint="eastAsia"/>
                <w:color w:val="auto"/>
                <w:sz w:val="24"/>
                <w:highlight w:val="none"/>
              </w:rPr>
              <w:t>联系人及电话：                         采购人签章</w:t>
            </w:r>
          </w:p>
          <w:p>
            <w:pPr>
              <w:spacing w:line="520" w:lineRule="exact"/>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08" w:type="dxa"/>
            <w:vAlign w:val="center"/>
          </w:tcPr>
          <w:p>
            <w:pPr>
              <w:jc w:val="center"/>
              <w:rPr>
                <w:color w:val="auto"/>
                <w:sz w:val="24"/>
                <w:highlight w:val="none"/>
              </w:rPr>
            </w:pPr>
            <w:r>
              <w:rPr>
                <w:rFonts w:hint="eastAsia"/>
                <w:color w:val="auto"/>
                <w:sz w:val="24"/>
                <w:highlight w:val="none"/>
              </w:rPr>
              <w:t>备注</w:t>
            </w:r>
          </w:p>
        </w:tc>
        <w:tc>
          <w:tcPr>
            <w:tcW w:w="8456" w:type="dxa"/>
          </w:tcPr>
          <w:p>
            <w:pPr>
              <w:rPr>
                <w:color w:val="auto"/>
                <w:sz w:val="24"/>
                <w:highlight w:val="none"/>
              </w:rPr>
            </w:pPr>
          </w:p>
        </w:tc>
      </w:tr>
    </w:tbl>
    <w:p>
      <w:pPr>
        <w:pStyle w:val="11"/>
        <w:ind w:left="420" w:leftChars="114" w:hanging="181" w:hangingChars="100"/>
        <w:rPr>
          <w:rFonts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r>
        <w:rPr>
          <w:rFonts w:hAnsi="宋体"/>
          <w:color w:val="auto"/>
          <w:highlight w:val="none"/>
        </w:rPr>
        <w:br w:type="page"/>
      </w: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rPr>
          <w:color w:val="auto"/>
          <w:highlight w:val="none"/>
        </w:rPr>
      </w:pPr>
    </w:p>
    <w:p>
      <w:pPr>
        <w:pStyle w:val="14"/>
        <w:snapToGrid w:val="0"/>
        <w:spacing w:before="120" w:after="120"/>
        <w:rPr>
          <w:rFonts w:hAnsi="宋体"/>
          <w:color w:val="auto"/>
          <w:highlight w:val="none"/>
        </w:rPr>
      </w:pPr>
    </w:p>
    <w:p>
      <w:pPr>
        <w:pStyle w:val="14"/>
        <w:snapToGrid w:val="0"/>
        <w:spacing w:before="120" w:after="120"/>
        <w:rPr>
          <w:rFonts w:hAnsi="宋体"/>
          <w:color w:val="auto"/>
          <w:highlight w:val="none"/>
        </w:rPr>
      </w:pPr>
    </w:p>
    <w:p>
      <w:pPr>
        <w:pStyle w:val="3"/>
        <w:keepNext w:val="0"/>
        <w:keepLines w:val="0"/>
        <w:jc w:val="center"/>
        <w:rPr>
          <w:color w:val="auto"/>
          <w:highlight w:val="none"/>
        </w:rPr>
      </w:pPr>
      <w:bookmarkStart w:id="145" w:name="_Toc19686832"/>
      <w:bookmarkStart w:id="146" w:name="_Toc330456896"/>
      <w:bookmarkStart w:id="147" w:name="_Toc254970548"/>
      <w:bookmarkStart w:id="148" w:name="_Toc254970689"/>
      <w:r>
        <w:rPr>
          <w:rFonts w:hint="eastAsia"/>
          <w:color w:val="auto"/>
          <w:highlight w:val="none"/>
        </w:rPr>
        <w:t>第四章  评标方法及评标标准</w:t>
      </w:r>
      <w:bookmarkEnd w:id="145"/>
      <w:bookmarkEnd w:id="146"/>
      <w:bookmarkEnd w:id="147"/>
      <w:bookmarkEnd w:id="148"/>
    </w:p>
    <w:p>
      <w:pPr>
        <w:pStyle w:val="14"/>
        <w:spacing w:before="120" w:after="120"/>
        <w:outlineLvl w:val="0"/>
        <w:rPr>
          <w:rFonts w:hAnsi="宋体"/>
          <w:b/>
          <w:color w:val="auto"/>
          <w:highlight w:val="none"/>
        </w:rPr>
      </w:pPr>
      <w:bookmarkStart w:id="149" w:name="_Toc254970549"/>
      <w:bookmarkStart w:id="150" w:name="_Toc254970690"/>
    </w:p>
    <w:bookmarkEnd w:id="149"/>
    <w:bookmarkEnd w:id="150"/>
    <w:p>
      <w:pPr>
        <w:pStyle w:val="14"/>
        <w:spacing w:before="120" w:after="120"/>
        <w:outlineLvl w:val="0"/>
        <w:rPr>
          <w:rFonts w:hAnsi="宋体"/>
          <w:bCs/>
          <w:color w:val="auto"/>
          <w:sz w:val="32"/>
          <w:szCs w:val="32"/>
          <w:highlight w:val="none"/>
        </w:rPr>
      </w:pPr>
    </w:p>
    <w:p>
      <w:pPr>
        <w:pStyle w:val="14"/>
        <w:spacing w:before="120" w:after="120"/>
        <w:outlineLvl w:val="0"/>
        <w:rPr>
          <w:rFonts w:hAnsi="宋体"/>
          <w:bCs/>
          <w:color w:val="auto"/>
          <w:sz w:val="32"/>
          <w:szCs w:val="32"/>
          <w:highlight w:val="none"/>
        </w:rPr>
      </w:pPr>
    </w:p>
    <w:p>
      <w:pPr>
        <w:pStyle w:val="14"/>
        <w:spacing w:before="120" w:after="120"/>
        <w:outlineLvl w:val="0"/>
        <w:rPr>
          <w:rFonts w:hAnsi="宋体"/>
          <w:bCs/>
          <w:color w:val="auto"/>
          <w:sz w:val="32"/>
          <w:szCs w:val="32"/>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14"/>
        <w:spacing w:line="360" w:lineRule="exact"/>
        <w:rPr>
          <w:rFonts w:hAnsi="宋体"/>
          <w:b/>
          <w:color w:val="auto"/>
          <w:sz w:val="24"/>
          <w:highlight w:val="none"/>
        </w:rPr>
      </w:pPr>
    </w:p>
    <w:p>
      <w:pPr>
        <w:pStyle w:val="14"/>
        <w:spacing w:line="360" w:lineRule="exact"/>
        <w:rPr>
          <w:rFonts w:hAnsi="宋体"/>
          <w:b/>
          <w:color w:val="auto"/>
          <w:sz w:val="24"/>
          <w:highlight w:val="none"/>
        </w:rPr>
      </w:pPr>
    </w:p>
    <w:p>
      <w:pPr>
        <w:pStyle w:val="14"/>
        <w:spacing w:line="360" w:lineRule="exact"/>
        <w:rPr>
          <w:rFonts w:hAnsi="宋体"/>
          <w:bCs/>
          <w:color w:val="auto"/>
          <w:highlight w:val="none"/>
        </w:rPr>
      </w:pPr>
    </w:p>
    <w:p>
      <w:pPr>
        <w:pStyle w:val="4"/>
        <w:keepNext w:val="0"/>
        <w:keepLines w:val="0"/>
        <w:jc w:val="center"/>
        <w:rPr>
          <w:color w:val="auto"/>
          <w:sz w:val="30"/>
          <w:szCs w:val="30"/>
          <w:highlight w:val="none"/>
        </w:rPr>
      </w:pPr>
    </w:p>
    <w:p>
      <w:pPr>
        <w:pStyle w:val="4"/>
        <w:keepNext w:val="0"/>
        <w:keepLines w:val="0"/>
        <w:jc w:val="center"/>
        <w:rPr>
          <w:color w:val="auto"/>
          <w:sz w:val="30"/>
          <w:szCs w:val="30"/>
          <w:highlight w:val="none"/>
        </w:rPr>
      </w:pPr>
      <w:r>
        <w:rPr>
          <w:rFonts w:hint="eastAsia"/>
          <w:color w:val="auto"/>
          <w:sz w:val="30"/>
          <w:szCs w:val="30"/>
          <w:highlight w:val="none"/>
        </w:rPr>
        <w:t>一、评标方法</w:t>
      </w:r>
    </w:p>
    <w:p>
      <w:pPr>
        <w:pStyle w:val="1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4"/>
        <w:keepNext w:val="0"/>
        <w:keepLines w:val="0"/>
        <w:jc w:val="center"/>
        <w:rPr>
          <w:color w:val="auto"/>
          <w:sz w:val="30"/>
          <w:szCs w:val="30"/>
          <w:highlight w:val="none"/>
        </w:rPr>
      </w:pPr>
      <w:r>
        <w:rPr>
          <w:rFonts w:hint="eastAsia"/>
          <w:color w:val="auto"/>
          <w:sz w:val="30"/>
          <w:szCs w:val="30"/>
          <w:highlight w:val="none"/>
        </w:rPr>
        <w:t>二、评标程序</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14"/>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pPr>
        <w:pStyle w:val="7"/>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商务条款出现负偏离的。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（1）明显不满足招标文件要求的技术规格、安全、质量标准；</w:t>
      </w:r>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（2）技术条款出现负偏离的；</w:t>
      </w:r>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w:t>
      </w:r>
      <w:bookmarkStart w:id="151"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51"/>
    </w:p>
    <w:p>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（6）未响应招标文件实质性要求的。</w:t>
      </w:r>
    </w:p>
    <w:p>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.3经投标人确认修正后的报价作为评审及签订合同的依据。</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6"/>
        <w:keepNext w:val="0"/>
        <w:keepLines w:val="0"/>
        <w:spacing w:before="0" w:after="0" w:line="240" w:lineRule="auto"/>
        <w:ind w:left="420" w:leftChars="200"/>
        <w:rPr>
          <w:rFonts w:ascii="宋体" w:hAnsi="宋体"/>
          <w:b w:val="0"/>
          <w:color w:val="auto"/>
          <w:sz w:val="21"/>
          <w:szCs w:val="21"/>
          <w:highlight w:val="none"/>
        </w:rPr>
      </w:pPr>
    </w:p>
    <w:p>
      <w:pPr>
        <w:pStyle w:val="4"/>
        <w:keepNext w:val="0"/>
        <w:keepLines w:val="0"/>
        <w:numPr>
          <w:ilvl w:val="0"/>
          <w:numId w:val="6"/>
        </w:numPr>
        <w:jc w:val="center"/>
        <w:rPr>
          <w:color w:val="auto"/>
          <w:highlight w:val="none"/>
        </w:rPr>
      </w:pPr>
      <w:r>
        <w:rPr>
          <w:rFonts w:hAnsi="宋体"/>
          <w:color w:val="auto"/>
          <w:highlight w:val="none"/>
        </w:rPr>
        <w:br w:type="page"/>
      </w:r>
      <w:r>
        <w:rPr>
          <w:rFonts w:hint="eastAsia"/>
          <w:color w:val="auto"/>
          <w:highlight w:val="none"/>
        </w:rPr>
        <w:t>评标标准</w:t>
      </w:r>
    </w:p>
    <w:p>
      <w:pPr>
        <w:pStyle w:val="14"/>
        <w:spacing w:line="360" w:lineRule="exact"/>
        <w:rPr>
          <w:b/>
          <w:bCs/>
          <w:color w:val="auto"/>
          <w:sz w:val="21"/>
          <w:highlight w:val="none"/>
        </w:rPr>
      </w:pPr>
      <w:r>
        <w:rPr>
          <w:rFonts w:hint="eastAsia" w:hAnsi="宋体" w:cs="Courier New"/>
          <w:bCs/>
          <w:color w:val="auto"/>
          <w:kern w:val="2"/>
          <w:sz w:val="21"/>
          <w:highlight w:val="none"/>
        </w:rPr>
        <w:t xml:space="preserve"> </w:t>
      </w:r>
      <w:r>
        <w:rPr>
          <w:rFonts w:hint="eastAsia"/>
          <w:b/>
          <w:bCs/>
          <w:color w:val="auto"/>
          <w:sz w:val="21"/>
          <w:highlight w:val="none"/>
        </w:rPr>
        <w:t>一、价格分</w:t>
      </w:r>
      <w:r>
        <w:rPr>
          <w:rFonts w:hint="eastAsia" w:hAnsi="宋体"/>
          <w:b/>
          <w:color w:val="auto"/>
          <w:sz w:val="21"/>
          <w:highlight w:val="none"/>
        </w:rPr>
        <w:t>……………………………………………………………………</w:t>
      </w:r>
      <w:r>
        <w:rPr>
          <w:rFonts w:hint="eastAsia"/>
          <w:b/>
          <w:bCs/>
          <w:color w:val="auto"/>
          <w:sz w:val="21"/>
          <w:highlight w:val="none"/>
        </w:rPr>
        <w:t>（满分30分）</w:t>
      </w:r>
    </w:p>
    <w:p>
      <w:pPr>
        <w:spacing w:line="410" w:lineRule="exact"/>
        <w:ind w:firstLine="422" w:firstLineChars="200"/>
        <w:rPr>
          <w:rFonts w:ascii="宋体" w:hAnsi="宋体"/>
          <w:b/>
          <w:color w:val="auto"/>
          <w:szCs w:val="21"/>
          <w:highlight w:val="none"/>
        </w:rPr>
      </w:pPr>
      <w:r>
        <w:rPr>
          <w:rFonts w:hint="eastAsia" w:ascii="宋体" w:hAnsi="宋体"/>
          <w:b/>
          <w:color w:val="auto"/>
          <w:szCs w:val="21"/>
          <w:highlight w:val="none"/>
        </w:rPr>
        <w:t>为了避免价格的恶性竞争，根据中华人民共和国财政部令第87号《政府采购货物和服务招标投标管理办法》第六十条，评标委员会认为有可能“低于成本”或者“明显不合理并影响商品质量或不能诚信履约”的投标文件，将启动成本评审工作程序，成本评审依据可以是以下内容：投标供应商自身出具的产品详细价格构成说明函原件（包括进货成本、管理费用、人员成本构成、物流运输成本、税收等所有成本和利润）。如果投标人认为自己的投标价有可能过低的，应提前准备好本招标文件要求的成本评审依据。有可能影响产品质量或者不能诚信履约的，应当要求其在评标现场合理的时间内提供书面说明，必要时提交相关证明材料；投标人不能证明其报价合理性的，评标委员会应当将其作为无效投标处理。如果投标人报价明显低于采购预算，应提前准备相关证明材料（[包括进货成本、管理费用、人员成本构成、物流运输成本、税收等所有成本和利润）：以备评标委员会查验，以评标委员会通知为准，投标人可提前做好相关材料准备工作。</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（1）评标价为投标人的投标报价进行政策性扣除后的价格，评标价只是作为评标时使用。最终中标人的中标金额＝投标报价。</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2）按照《政府采购促进中小企业发展管理办法》（财库〔2020〕46号）之规定，投标人为小型和微型企业，并在其投标文件中提供《中小企业声明函》，且其所投标产品为小型和微型企业产品的，对其投标价格给予20%的扣除。</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（5）政策性扣除计算方法。</w:t>
      </w:r>
    </w:p>
    <w:p>
      <w:pPr>
        <w:snapToGrid w:val="0"/>
        <w:spacing w:line="380" w:lineRule="atLeast"/>
        <w:ind w:firstLine="420" w:firstLineChars="200"/>
        <w:rPr>
          <w:rFonts w:hAnsi="宋体"/>
          <w:bCs/>
          <w:color w:val="auto"/>
          <w:szCs w:val="21"/>
          <w:highlight w:val="none"/>
        </w:rPr>
      </w:pPr>
      <w:r>
        <w:rPr>
          <w:rFonts w:hint="eastAsia" w:hAnsi="宋体"/>
          <w:bCs/>
          <w:color w:val="auto"/>
          <w:szCs w:val="21"/>
          <w:highlight w:val="none"/>
        </w:rPr>
        <w:t>在货物采购项目中，供应商所投标全部货物为小型或者微型企业货物的；在工程采购项目中，工程由</w:t>
      </w:r>
      <w:r>
        <w:rPr>
          <w:rFonts w:hint="eastAsia"/>
          <w:color w:val="auto"/>
          <w:highlight w:val="none"/>
        </w:rPr>
        <w:t>小微</w:t>
      </w:r>
      <w:r>
        <w:rPr>
          <w:rFonts w:hint="eastAsia" w:hAnsi="宋体"/>
          <w:bCs/>
          <w:color w:val="auto"/>
          <w:szCs w:val="21"/>
          <w:highlight w:val="none"/>
        </w:rPr>
        <w:t>企业承建；在服务采购项目中，服务由</w:t>
      </w:r>
      <w:r>
        <w:rPr>
          <w:rFonts w:hint="eastAsia"/>
          <w:color w:val="auto"/>
          <w:highlight w:val="none"/>
        </w:rPr>
        <w:t>小微</w:t>
      </w:r>
      <w:r>
        <w:rPr>
          <w:rFonts w:hint="eastAsia" w:hAnsi="宋体"/>
          <w:bCs/>
          <w:color w:val="auto"/>
          <w:szCs w:val="21"/>
          <w:highlight w:val="none"/>
        </w:rPr>
        <w:t>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价，即评标报价=投标报价×（1-6%）；除上述情况外，评标报价=投标报价。（本项目为专门面向中小企业项目，不重复享受政策。）</w:t>
      </w:r>
    </w:p>
    <w:p>
      <w:pPr>
        <w:snapToGrid w:val="0"/>
        <w:spacing w:line="380" w:lineRule="atLeast"/>
        <w:ind w:firstLine="233" w:firstLineChars="111"/>
        <w:rPr>
          <w:rFonts w:hAnsi="宋体"/>
          <w:bCs/>
          <w:color w:val="auto"/>
          <w:szCs w:val="21"/>
          <w:highlight w:val="none"/>
        </w:rPr>
      </w:pPr>
      <w:r>
        <w:rPr>
          <w:rFonts w:hint="eastAsia" w:hAnsi="宋体"/>
          <w:bCs/>
          <w:color w:val="auto"/>
          <w:szCs w:val="21"/>
          <w:highlight w:val="none"/>
        </w:rPr>
        <w:t>（6）以进入综合评分环节的最低的评标报价为基准价，基准价报价得分为30分。</w:t>
      </w:r>
    </w:p>
    <w:p>
      <w:pPr>
        <w:snapToGrid w:val="0"/>
        <w:spacing w:line="380" w:lineRule="atLeast"/>
        <w:ind w:firstLine="233" w:firstLineChars="111"/>
        <w:rPr>
          <w:rFonts w:hAnsi="宋体"/>
          <w:bCs/>
          <w:color w:val="auto"/>
          <w:szCs w:val="21"/>
          <w:highlight w:val="none"/>
        </w:rPr>
      </w:pPr>
      <w:r>
        <w:rPr>
          <w:rFonts w:hint="eastAsia" w:hAnsi="宋体"/>
          <w:bCs/>
          <w:color w:val="auto"/>
          <w:szCs w:val="21"/>
          <w:highlight w:val="none"/>
        </w:rPr>
        <w:t xml:space="preserve">（7）价格分计算公式：        </w:t>
      </w:r>
    </w:p>
    <w:p>
      <w:pPr>
        <w:pStyle w:val="14"/>
        <w:spacing w:line="380" w:lineRule="exact"/>
        <w:ind w:firstLine="420" w:firstLineChars="200"/>
        <w:rPr>
          <w:rFonts w:hAnsi="宋体"/>
          <w:bCs/>
          <w:color w:val="auto"/>
          <w:sz w:val="21"/>
          <w:highlight w:val="none"/>
        </w:rPr>
      </w:pPr>
      <w:r>
        <w:rPr>
          <w:rFonts w:hint="eastAsia" w:hAnsi="宋体"/>
          <w:bCs/>
          <w:color w:val="auto"/>
          <w:sz w:val="21"/>
          <w:highlight w:val="none"/>
        </w:rPr>
        <w:t>某投标人价格分=基准价/某投标人评标报价金额×30分</w:t>
      </w:r>
    </w:p>
    <w:p>
      <w:pPr>
        <w:pStyle w:val="14"/>
        <w:spacing w:line="380" w:lineRule="exact"/>
        <w:ind w:firstLine="420" w:firstLineChars="200"/>
        <w:rPr>
          <w:rFonts w:hAnsi="宋体"/>
          <w:color w:val="auto"/>
          <w:sz w:val="21"/>
          <w:highlight w:val="none"/>
        </w:rPr>
      </w:pPr>
      <w:r>
        <w:rPr>
          <w:rFonts w:hint="eastAsia" w:hAnsi="宋体"/>
          <w:color w:val="auto"/>
          <w:sz w:val="21"/>
          <w:highlight w:val="none"/>
        </w:rPr>
        <w:t>为了确保采购质量和维护公平的竞争，根据《中华人民共和国政府采购法》第七十七条。采购人不接受投标人的恶意低价竞争。</w:t>
      </w:r>
    </w:p>
    <w:p>
      <w:pPr>
        <w:rPr>
          <w:color w:val="auto"/>
          <w:highlight w:val="none"/>
        </w:rPr>
      </w:pPr>
    </w:p>
    <w:p>
      <w:pPr>
        <w:spacing w:line="360" w:lineRule="auto"/>
        <w:rPr>
          <w:rFonts w:ascii="宋体" w:hAnsi="宋体"/>
          <w:color w:val="auto"/>
          <w:szCs w:val="21"/>
          <w:highlight w:val="none"/>
        </w:rPr>
      </w:pPr>
      <w:r>
        <w:rPr>
          <w:rFonts w:hint="eastAsia" w:ascii="宋体" w:hAnsi="宋体"/>
          <w:b/>
          <w:color w:val="auto"/>
          <w:szCs w:val="21"/>
          <w:highlight w:val="none"/>
        </w:rPr>
        <w:t>二、货物性能分……………………………………………………………………（满分30分）</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注：提供投标产品技术参数带▲号的证明文件(可以是产品相关技术参数认证证书或第三方机构出具的检测检验报告复印件)，且该证明文件须包含投标产品技术指标。当投标响应技术指标与上述证明文件不一致时，以上述证明文件的指标为准。</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资格审查、符合性审查均合格的投标人，对第二章《采购需求》的技术指标，基本满足的得6分；带▲号的技术参数为重要技术参数，每满足1 项重要技术参数的得 2 分，最多得24分；满分30分。</w:t>
      </w:r>
    </w:p>
    <w:p>
      <w:pPr>
        <w:spacing w:line="360" w:lineRule="auto"/>
        <w:rPr>
          <w:rFonts w:ascii="宋体" w:hAnsi="宋体"/>
          <w:b/>
          <w:color w:val="auto"/>
          <w:szCs w:val="21"/>
          <w:highlight w:val="none"/>
        </w:rPr>
      </w:pPr>
      <w:r>
        <w:rPr>
          <w:rFonts w:hint="eastAsia" w:ascii="宋体" w:hAnsi="宋体"/>
          <w:b/>
          <w:color w:val="auto"/>
          <w:szCs w:val="21"/>
          <w:highlight w:val="none"/>
        </w:rPr>
        <w:t>三、项目实施方案分…………………………………………………………………（满分20分）</w:t>
      </w:r>
    </w:p>
    <w:p>
      <w:pPr>
        <w:widowControl/>
        <w:snapToGrid w:val="0"/>
        <w:spacing w:line="360" w:lineRule="atLeast"/>
        <w:ind w:firstLine="420" w:firstLineChars="200"/>
        <w:rPr>
          <w:color w:val="auto"/>
          <w:highlight w:val="none"/>
        </w:rPr>
      </w:pPr>
      <w:r>
        <w:rPr>
          <w:rFonts w:hint="eastAsia"/>
          <w:color w:val="auto"/>
          <w:highlight w:val="none"/>
        </w:rPr>
        <w:t>项目实施方案完善程度：①履行合同能力的项目实施人员，②具备项 目实施的设备及运输工具，③安装设计、安装人员构成、安装进度计划④ 质量保证措施，⑤时间进度安排，⑥安装调试方案，⑦工程安全保证措施 及安全应急预案，⑧有方便快捷验收方案。</w:t>
      </w:r>
    </w:p>
    <w:p>
      <w:pPr>
        <w:widowControl/>
        <w:snapToGrid w:val="0"/>
        <w:spacing w:line="360" w:lineRule="atLeast"/>
        <w:ind w:firstLine="420" w:firstLineChars="200"/>
        <w:rPr>
          <w:color w:val="auto"/>
          <w:highlight w:val="none"/>
        </w:rPr>
      </w:pPr>
      <w:r>
        <w:rPr>
          <w:rFonts w:hint="eastAsia"/>
          <w:color w:val="auto"/>
          <w:highlight w:val="none"/>
        </w:rPr>
        <w:t>一档 (2 分) ：投标人未完全提供项目实施方案，或提供的项目实施方案与本项目不太合理；</w:t>
      </w:r>
    </w:p>
    <w:p>
      <w:pPr>
        <w:widowControl/>
        <w:snapToGrid w:val="0"/>
        <w:spacing w:line="360" w:lineRule="atLeast"/>
        <w:ind w:firstLine="420" w:firstLineChars="200"/>
        <w:rPr>
          <w:color w:val="auto"/>
          <w:highlight w:val="none"/>
        </w:rPr>
      </w:pPr>
      <w:r>
        <w:rPr>
          <w:rFonts w:hint="eastAsia"/>
          <w:color w:val="auto"/>
          <w:highlight w:val="none"/>
        </w:rPr>
        <w:t>二档 (</w:t>
      </w:r>
      <w:r>
        <w:rPr>
          <w:color w:val="auto"/>
          <w:highlight w:val="none"/>
        </w:rPr>
        <w:t>6</w:t>
      </w:r>
      <w:r>
        <w:rPr>
          <w:rFonts w:hint="eastAsia"/>
          <w:color w:val="auto"/>
          <w:highlight w:val="none"/>
        </w:rPr>
        <w:t xml:space="preserve"> 分) ：项目实施方案具备以上 8 项要素，且整体 实施方案基本合理；</w:t>
      </w:r>
    </w:p>
    <w:p>
      <w:pPr>
        <w:widowControl/>
        <w:snapToGrid w:val="0"/>
        <w:spacing w:line="360" w:lineRule="atLeast"/>
        <w:ind w:firstLine="420" w:firstLineChars="200"/>
        <w:rPr>
          <w:color w:val="auto"/>
          <w:highlight w:val="none"/>
        </w:rPr>
      </w:pPr>
      <w:r>
        <w:rPr>
          <w:rFonts w:hint="eastAsia"/>
          <w:color w:val="auto"/>
          <w:highlight w:val="none"/>
        </w:rPr>
        <w:t>三档 (</w:t>
      </w:r>
      <w:r>
        <w:rPr>
          <w:color w:val="auto"/>
          <w:highlight w:val="none"/>
        </w:rPr>
        <w:t>12</w:t>
      </w:r>
      <w:r>
        <w:rPr>
          <w:rFonts w:hint="eastAsia"/>
          <w:color w:val="auto"/>
          <w:highlight w:val="none"/>
        </w:rPr>
        <w:t xml:space="preserve"> 分) ：项目实施方案具备以上 8 项要素，且整体实 施方案合理、人员实力的配套设备可行、有针对性；</w:t>
      </w:r>
    </w:p>
    <w:p>
      <w:pPr>
        <w:widowControl/>
        <w:snapToGrid w:val="0"/>
        <w:spacing w:line="360" w:lineRule="atLeast"/>
        <w:ind w:firstLine="420" w:firstLineChars="200"/>
        <w:rPr>
          <w:color w:val="auto"/>
          <w:highlight w:val="none"/>
        </w:rPr>
      </w:pPr>
      <w:r>
        <w:rPr>
          <w:rFonts w:hint="eastAsia"/>
          <w:color w:val="auto"/>
          <w:highlight w:val="none"/>
        </w:rPr>
        <w:t>四档 (20 分) ：项目实施方案具备以上 8 项要素，且整体实施方案完整详细、科学合理，流程规范，人员实力的配套设备充足，有针对性。</w:t>
      </w:r>
    </w:p>
    <w:p>
      <w:pPr>
        <w:pStyle w:val="33"/>
        <w:rPr>
          <w:color w:val="auto"/>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四、售后服务分…………………………………………………………（满分16分）</w:t>
      </w:r>
    </w:p>
    <w:p>
      <w:pPr>
        <w:spacing w:line="440" w:lineRule="exact"/>
        <w:ind w:firstLine="420" w:firstLineChars="200"/>
        <w:rPr>
          <w:color w:val="auto"/>
          <w:highlight w:val="none"/>
        </w:rPr>
      </w:pPr>
      <w:r>
        <w:rPr>
          <w:rFonts w:hint="eastAsia"/>
          <w:color w:val="auto"/>
          <w:highlight w:val="none"/>
        </w:rPr>
        <w:t>售后服务的完善程度：①有履行合同能力的人员及设备、②交付使用期、 ③质保期、④到达现场处理故障时间、⑤免费保修期外维修维护方案 (含零配件的优惠供应等内容) 、⑥是否具备故障时的替代产品、⑦培训技术人员方案、⑧定期回访、⑨本地售后服务保障、⑩其他增值售后服务或其 它实质性优惠措施、⑪验收方案便捷有效等因素</w:t>
      </w:r>
    </w:p>
    <w:p>
      <w:pPr>
        <w:snapToGrid w:val="0"/>
        <w:spacing w:line="360" w:lineRule="atLeast"/>
        <w:ind w:firstLine="420" w:firstLineChars="200"/>
        <w:rPr>
          <w:color w:val="auto"/>
          <w:highlight w:val="none"/>
        </w:rPr>
      </w:pPr>
      <w:r>
        <w:rPr>
          <w:rFonts w:hint="eastAsia"/>
          <w:color w:val="auto"/>
          <w:highlight w:val="none"/>
        </w:rPr>
        <w:t>一档 (2 分) ：没有完整的售后服务方案，或以上因素不完全满足采购文件要求的；</w:t>
      </w:r>
    </w:p>
    <w:p>
      <w:pPr>
        <w:snapToGrid w:val="0"/>
        <w:spacing w:line="360" w:lineRule="atLeast"/>
        <w:ind w:firstLine="420" w:firstLineChars="200"/>
        <w:rPr>
          <w:color w:val="auto"/>
          <w:highlight w:val="none"/>
        </w:rPr>
      </w:pPr>
      <w:r>
        <w:rPr>
          <w:rFonts w:hint="eastAsia"/>
          <w:color w:val="auto"/>
          <w:highlight w:val="none"/>
        </w:rPr>
        <w:t>二档 (6 分) ：售后服务方案在满足招标文件《采购需求》中服务要求 的所有内容的基础上，根据上述因素 ， 方案针对性、合理性不强，方案较简单的；</w:t>
      </w:r>
    </w:p>
    <w:p>
      <w:pPr>
        <w:snapToGrid w:val="0"/>
        <w:spacing w:line="360" w:lineRule="atLeast"/>
        <w:ind w:firstLine="420" w:firstLineChars="200"/>
        <w:rPr>
          <w:color w:val="auto"/>
          <w:highlight w:val="none"/>
        </w:rPr>
      </w:pPr>
      <w:r>
        <w:rPr>
          <w:rFonts w:hint="eastAsia"/>
          <w:color w:val="auto"/>
          <w:highlight w:val="none"/>
        </w:rPr>
        <w:t>三档 (10 分) ：售后服务方案在满足招标文件《采购需求》中服务要求的所有内容的基础上，根据上述因素， 方案较针对性、合理性较强，方案合理的；</w:t>
      </w:r>
    </w:p>
    <w:p>
      <w:pPr>
        <w:snapToGrid w:val="0"/>
        <w:spacing w:line="360" w:lineRule="atLeast"/>
        <w:ind w:firstLine="420" w:firstLineChars="200"/>
        <w:rPr>
          <w:color w:val="auto"/>
          <w:highlight w:val="none"/>
        </w:rPr>
      </w:pPr>
      <w:r>
        <w:rPr>
          <w:rFonts w:hint="eastAsia"/>
          <w:color w:val="auto"/>
          <w:highlight w:val="none"/>
        </w:rPr>
        <w:t>四档 (16 分) ：售后服务方案在满足招标文件《采购需求》中服务要 求的所有内容的基础上，根据上述因素，完整程度、 方案针对性、合理性强，方案详实的；且承诺在后续服务中积极响应并配合采购人相关工作。</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五、商务信誉分………………………………………………………（满分4分）</w:t>
      </w:r>
    </w:p>
    <w:p>
      <w:pPr>
        <w:pStyle w:val="14"/>
        <w:spacing w:line="440" w:lineRule="exact"/>
        <w:ind w:firstLine="315" w:firstLineChars="150"/>
        <w:rPr>
          <w:rFonts w:hAnsi="宋体" w:cs="宋体"/>
          <w:bCs/>
          <w:color w:val="auto"/>
          <w:sz w:val="21"/>
          <w:highlight w:val="none"/>
        </w:rPr>
      </w:pPr>
      <w:r>
        <w:rPr>
          <w:rFonts w:hint="eastAsia" w:hAnsi="宋体" w:cs="宋体"/>
          <w:bCs/>
          <w:color w:val="auto"/>
          <w:sz w:val="21"/>
          <w:highlight w:val="none"/>
        </w:rPr>
        <w:t>（1）业绩分（满分4分）</w:t>
      </w:r>
    </w:p>
    <w:p>
      <w:pPr>
        <w:pStyle w:val="14"/>
        <w:spacing w:line="440" w:lineRule="exact"/>
        <w:ind w:firstLine="315" w:firstLineChars="150"/>
        <w:rPr>
          <w:rFonts w:hAnsi="宋体" w:cs="宋体"/>
          <w:bCs/>
          <w:color w:val="auto"/>
          <w:sz w:val="21"/>
          <w:highlight w:val="none"/>
        </w:rPr>
      </w:pPr>
      <w:r>
        <w:rPr>
          <w:rFonts w:hint="eastAsia" w:hAnsi="宋体" w:cs="宋体"/>
          <w:bCs/>
          <w:color w:val="auto"/>
          <w:sz w:val="21"/>
          <w:highlight w:val="none"/>
        </w:rPr>
        <w:t>投标人自 2020年1月1日以来具有类似项目业绩的 [无不良记录，以中标、成交通知书或签订的项目合同复印件为准，并能清晰反映项目的名称、种类、金额，否则将不予评审，同一个编号的项目有两个或两个以上的分标中标的只算一次] ，每个得1分，最多得4分。</w:t>
      </w:r>
    </w:p>
    <w:p>
      <w:pPr>
        <w:rPr>
          <w:color w:val="auto"/>
          <w:highlight w:val="none"/>
        </w:rPr>
      </w:pPr>
    </w:p>
    <w:p>
      <w:pPr>
        <w:pStyle w:val="11"/>
        <w:ind w:firstLine="422" w:firstLineChars="200"/>
        <w:rPr>
          <w:rFonts w:hAnsi="宋体"/>
          <w:b/>
          <w:bCs/>
          <w:color w:val="auto"/>
          <w:sz w:val="21"/>
          <w:highlight w:val="none"/>
        </w:rPr>
      </w:pPr>
      <w:r>
        <w:rPr>
          <w:rFonts w:hint="eastAsia" w:hAnsi="宋体"/>
          <w:b/>
          <w:bCs/>
          <w:color w:val="auto"/>
          <w:sz w:val="21"/>
          <w:highlight w:val="none"/>
        </w:rPr>
        <w:t xml:space="preserve">综合总得分= </w:t>
      </w:r>
      <w:r>
        <w:rPr>
          <w:rFonts w:hint="eastAsia" w:ascii="宋体" w:hAnsi="宋体" w:cs="宋体"/>
          <w:b/>
          <w:bCs/>
          <w:color w:val="auto"/>
          <w:sz w:val="21"/>
          <w:highlight w:val="none"/>
        </w:rPr>
        <w:t>一 +二+三</w:t>
      </w:r>
      <w:r>
        <w:rPr>
          <w:rFonts w:hint="eastAsia" w:hAnsi="宋体"/>
          <w:b/>
          <w:bCs/>
          <w:color w:val="auto"/>
          <w:sz w:val="21"/>
          <w:highlight w:val="none"/>
        </w:rPr>
        <w:t>+四+五。</w:t>
      </w:r>
    </w:p>
    <w:p>
      <w:pPr>
        <w:spacing w:line="360" w:lineRule="auto"/>
        <w:rPr>
          <w:b/>
          <w:bCs/>
          <w:color w:val="auto"/>
          <w:sz w:val="32"/>
          <w:szCs w:val="32"/>
          <w:highlight w:val="none"/>
        </w:rPr>
      </w:pPr>
    </w:p>
    <w:p>
      <w:pPr>
        <w:spacing w:line="360" w:lineRule="auto"/>
        <w:jc w:val="center"/>
        <w:rPr>
          <w:b/>
          <w:bCs/>
          <w:color w:val="auto"/>
          <w:sz w:val="32"/>
          <w:szCs w:val="32"/>
          <w:highlight w:val="none"/>
        </w:rPr>
      </w:pPr>
    </w:p>
    <w:p>
      <w:pPr>
        <w:spacing w:line="360" w:lineRule="auto"/>
        <w:jc w:val="center"/>
        <w:rPr>
          <w:b/>
          <w:bCs/>
          <w:color w:val="auto"/>
          <w:sz w:val="32"/>
          <w:szCs w:val="32"/>
          <w:highlight w:val="none"/>
        </w:rPr>
      </w:pPr>
      <w:r>
        <w:rPr>
          <w:rFonts w:hint="eastAsia"/>
          <w:b/>
          <w:bCs/>
          <w:color w:val="auto"/>
          <w:sz w:val="32"/>
          <w:szCs w:val="32"/>
          <w:highlight w:val="none"/>
        </w:rPr>
        <w:t>四、中标候选人推荐原则</w:t>
      </w:r>
    </w:p>
    <w:p>
      <w:pPr>
        <w:pStyle w:val="14"/>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ind w:firstLine="420" w:firstLineChars="200"/>
        <w:rPr>
          <w:color w:val="auto"/>
          <w:highlight w:val="none"/>
        </w:rPr>
      </w:pPr>
      <w:r>
        <w:rPr>
          <w:rFonts w:hint="eastAsia"/>
          <w:color w:val="auto"/>
          <w:highlight w:val="none"/>
        </w:rPr>
        <w:t>注：计分方法按四舍五入取至百分位。</w:t>
      </w:r>
    </w:p>
    <w:p>
      <w:pPr>
        <w:pStyle w:val="14"/>
        <w:spacing w:line="360" w:lineRule="auto"/>
        <w:ind w:firstLine="482" w:firstLineChars="200"/>
        <w:contextualSpacing/>
        <w:rPr>
          <w:rFonts w:hAnsi="宋体"/>
          <w:b/>
          <w:color w:val="auto"/>
          <w:sz w:val="24"/>
          <w:highlight w:val="none"/>
        </w:rPr>
      </w:pPr>
      <w:r>
        <w:rPr>
          <w:rFonts w:hAnsi="宋体"/>
          <w:b/>
          <w:color w:val="auto"/>
          <w:sz w:val="24"/>
          <w:highlight w:val="none"/>
        </w:rPr>
        <w:br w:type="page"/>
      </w: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3"/>
        <w:keepNext w:val="0"/>
        <w:keepLines w:val="0"/>
        <w:jc w:val="center"/>
        <w:rPr>
          <w:color w:val="auto"/>
          <w:highlight w:val="none"/>
        </w:rPr>
      </w:pPr>
      <w:bookmarkStart w:id="152" w:name="_Toc19686833"/>
      <w:r>
        <w:rPr>
          <w:rFonts w:hint="eastAsia"/>
          <w:color w:val="auto"/>
          <w:highlight w:val="none"/>
        </w:rPr>
        <w:t>第五章  拟签订的合同文本</w:t>
      </w:r>
      <w:bookmarkEnd w:id="152"/>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spacing w:line="360" w:lineRule="auto"/>
        <w:ind w:firstLine="640" w:firstLineChars="200"/>
        <w:jc w:val="center"/>
        <w:rPr>
          <w:rFonts w:ascii="宋体" w:hAnsi="宋体"/>
          <w:b/>
          <w:bCs/>
          <w:color w:val="auto"/>
          <w:sz w:val="32"/>
          <w:szCs w:val="32"/>
          <w:highlight w:val="none"/>
        </w:rPr>
      </w:pPr>
      <w:r>
        <w:rPr>
          <w:rFonts w:ascii="宋体" w:hAnsi="宋体"/>
          <w:bCs/>
          <w:color w:val="auto"/>
          <w:sz w:val="32"/>
          <w:szCs w:val="32"/>
          <w:highlight w:val="none"/>
        </w:rPr>
        <w:br w:type="page"/>
      </w:r>
      <w:bookmarkStart w:id="153" w:name="_Hlk55381736"/>
      <w:r>
        <w:rPr>
          <w:rFonts w:hint="eastAsia" w:ascii="宋体" w:hAnsi="宋体"/>
          <w:b/>
          <w:bCs/>
          <w:color w:val="auto"/>
          <w:sz w:val="32"/>
          <w:szCs w:val="32"/>
          <w:highlight w:val="none"/>
        </w:rPr>
        <w:t>《广西壮族自治区政府采购合同》参考</w:t>
      </w: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55"/>
        <w:gridCol w:w="1250"/>
        <w:gridCol w:w="1455"/>
        <w:gridCol w:w="1071"/>
        <w:gridCol w:w="788"/>
        <w:gridCol w:w="111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836"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55"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250"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455"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71"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78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11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403"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36"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455" w:type="dxa"/>
            <w:vAlign w:val="center"/>
          </w:tcPr>
          <w:p>
            <w:pPr>
              <w:snapToGrid w:val="0"/>
              <w:spacing w:line="360" w:lineRule="auto"/>
              <w:jc w:val="center"/>
              <w:rPr>
                <w:rFonts w:ascii="宋体" w:hAnsi="宋体"/>
                <w:color w:val="auto"/>
                <w:szCs w:val="21"/>
                <w:highlight w:val="none"/>
              </w:rPr>
            </w:pPr>
          </w:p>
        </w:tc>
        <w:tc>
          <w:tcPr>
            <w:tcW w:w="1250" w:type="dxa"/>
            <w:vAlign w:val="center"/>
          </w:tcPr>
          <w:p>
            <w:pPr>
              <w:snapToGrid w:val="0"/>
              <w:spacing w:line="360" w:lineRule="auto"/>
              <w:jc w:val="center"/>
              <w:rPr>
                <w:rFonts w:ascii="宋体" w:hAnsi="宋体"/>
                <w:color w:val="auto"/>
                <w:szCs w:val="21"/>
                <w:highlight w:val="none"/>
              </w:rPr>
            </w:pPr>
          </w:p>
        </w:tc>
        <w:tc>
          <w:tcPr>
            <w:tcW w:w="1455" w:type="dxa"/>
            <w:vAlign w:val="center"/>
          </w:tcPr>
          <w:p>
            <w:pPr>
              <w:snapToGrid w:val="0"/>
              <w:spacing w:line="360" w:lineRule="auto"/>
              <w:jc w:val="center"/>
              <w:rPr>
                <w:rFonts w:ascii="宋体" w:hAnsi="宋体"/>
                <w:color w:val="auto"/>
                <w:szCs w:val="21"/>
                <w:highlight w:val="none"/>
              </w:rPr>
            </w:pPr>
          </w:p>
        </w:tc>
        <w:tc>
          <w:tcPr>
            <w:tcW w:w="1071" w:type="dxa"/>
          </w:tcPr>
          <w:p>
            <w:pPr>
              <w:snapToGrid w:val="0"/>
              <w:spacing w:line="360" w:lineRule="auto"/>
              <w:jc w:val="center"/>
              <w:rPr>
                <w:rFonts w:ascii="宋体" w:hAnsi="宋体"/>
                <w:color w:val="auto"/>
                <w:szCs w:val="21"/>
                <w:highlight w:val="none"/>
              </w:rPr>
            </w:pPr>
          </w:p>
        </w:tc>
        <w:tc>
          <w:tcPr>
            <w:tcW w:w="788" w:type="dxa"/>
          </w:tcPr>
          <w:p>
            <w:pPr>
              <w:snapToGrid w:val="0"/>
              <w:spacing w:line="360" w:lineRule="auto"/>
              <w:jc w:val="center"/>
              <w:rPr>
                <w:rFonts w:ascii="宋体" w:hAnsi="宋体"/>
                <w:color w:val="auto"/>
                <w:szCs w:val="21"/>
                <w:highlight w:val="none"/>
              </w:rPr>
            </w:pPr>
          </w:p>
        </w:tc>
        <w:tc>
          <w:tcPr>
            <w:tcW w:w="1117" w:type="dxa"/>
            <w:vAlign w:val="center"/>
          </w:tcPr>
          <w:p>
            <w:pPr>
              <w:snapToGrid w:val="0"/>
              <w:spacing w:line="360" w:lineRule="auto"/>
              <w:jc w:val="center"/>
              <w:rPr>
                <w:rFonts w:ascii="宋体" w:hAnsi="宋体"/>
                <w:color w:val="auto"/>
                <w:szCs w:val="21"/>
                <w:highlight w:val="none"/>
              </w:rPr>
            </w:pPr>
          </w:p>
        </w:tc>
        <w:tc>
          <w:tcPr>
            <w:tcW w:w="1403"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36"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455" w:type="dxa"/>
            <w:vAlign w:val="center"/>
          </w:tcPr>
          <w:p>
            <w:pPr>
              <w:snapToGrid w:val="0"/>
              <w:spacing w:line="360" w:lineRule="auto"/>
              <w:jc w:val="center"/>
              <w:rPr>
                <w:rFonts w:ascii="宋体" w:hAnsi="宋体"/>
                <w:color w:val="auto"/>
                <w:szCs w:val="21"/>
                <w:highlight w:val="none"/>
              </w:rPr>
            </w:pPr>
          </w:p>
        </w:tc>
        <w:tc>
          <w:tcPr>
            <w:tcW w:w="1250" w:type="dxa"/>
            <w:vAlign w:val="center"/>
          </w:tcPr>
          <w:p>
            <w:pPr>
              <w:snapToGrid w:val="0"/>
              <w:spacing w:line="360" w:lineRule="auto"/>
              <w:jc w:val="center"/>
              <w:rPr>
                <w:rFonts w:ascii="宋体" w:hAnsi="宋体"/>
                <w:color w:val="auto"/>
                <w:szCs w:val="21"/>
                <w:highlight w:val="none"/>
              </w:rPr>
            </w:pPr>
          </w:p>
        </w:tc>
        <w:tc>
          <w:tcPr>
            <w:tcW w:w="1455" w:type="dxa"/>
            <w:vAlign w:val="center"/>
          </w:tcPr>
          <w:p>
            <w:pPr>
              <w:snapToGrid w:val="0"/>
              <w:spacing w:line="360" w:lineRule="auto"/>
              <w:jc w:val="center"/>
              <w:rPr>
                <w:rFonts w:ascii="宋体" w:hAnsi="宋体"/>
                <w:color w:val="auto"/>
                <w:szCs w:val="21"/>
                <w:highlight w:val="none"/>
              </w:rPr>
            </w:pPr>
          </w:p>
        </w:tc>
        <w:tc>
          <w:tcPr>
            <w:tcW w:w="1071" w:type="dxa"/>
          </w:tcPr>
          <w:p>
            <w:pPr>
              <w:snapToGrid w:val="0"/>
              <w:spacing w:line="360" w:lineRule="auto"/>
              <w:jc w:val="center"/>
              <w:rPr>
                <w:rFonts w:ascii="宋体" w:hAnsi="宋体"/>
                <w:color w:val="auto"/>
                <w:szCs w:val="21"/>
                <w:highlight w:val="none"/>
              </w:rPr>
            </w:pPr>
          </w:p>
        </w:tc>
        <w:tc>
          <w:tcPr>
            <w:tcW w:w="788" w:type="dxa"/>
          </w:tcPr>
          <w:p>
            <w:pPr>
              <w:snapToGrid w:val="0"/>
              <w:spacing w:line="360" w:lineRule="auto"/>
              <w:jc w:val="center"/>
              <w:rPr>
                <w:rFonts w:ascii="宋体" w:hAnsi="宋体"/>
                <w:color w:val="auto"/>
                <w:szCs w:val="21"/>
                <w:highlight w:val="none"/>
              </w:rPr>
            </w:pPr>
          </w:p>
        </w:tc>
        <w:tc>
          <w:tcPr>
            <w:tcW w:w="1117" w:type="dxa"/>
            <w:vAlign w:val="center"/>
          </w:tcPr>
          <w:p>
            <w:pPr>
              <w:snapToGrid w:val="0"/>
              <w:spacing w:line="360" w:lineRule="auto"/>
              <w:jc w:val="center"/>
              <w:rPr>
                <w:rFonts w:ascii="宋体" w:hAnsi="宋体"/>
                <w:color w:val="auto"/>
                <w:szCs w:val="21"/>
                <w:highlight w:val="none"/>
              </w:rPr>
            </w:pPr>
          </w:p>
        </w:tc>
        <w:tc>
          <w:tcPr>
            <w:tcW w:w="1403"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36"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455" w:type="dxa"/>
            <w:vAlign w:val="center"/>
          </w:tcPr>
          <w:p>
            <w:pPr>
              <w:snapToGrid w:val="0"/>
              <w:spacing w:line="360" w:lineRule="auto"/>
              <w:jc w:val="center"/>
              <w:rPr>
                <w:rFonts w:ascii="宋体" w:hAnsi="宋体"/>
                <w:color w:val="auto"/>
                <w:szCs w:val="21"/>
                <w:highlight w:val="none"/>
              </w:rPr>
            </w:pPr>
          </w:p>
        </w:tc>
        <w:tc>
          <w:tcPr>
            <w:tcW w:w="1250" w:type="dxa"/>
            <w:vAlign w:val="center"/>
          </w:tcPr>
          <w:p>
            <w:pPr>
              <w:snapToGrid w:val="0"/>
              <w:spacing w:line="360" w:lineRule="auto"/>
              <w:jc w:val="center"/>
              <w:rPr>
                <w:rFonts w:ascii="宋体" w:hAnsi="宋体"/>
                <w:color w:val="auto"/>
                <w:szCs w:val="21"/>
                <w:highlight w:val="none"/>
              </w:rPr>
            </w:pPr>
          </w:p>
        </w:tc>
        <w:tc>
          <w:tcPr>
            <w:tcW w:w="1455" w:type="dxa"/>
            <w:vAlign w:val="center"/>
          </w:tcPr>
          <w:p>
            <w:pPr>
              <w:snapToGrid w:val="0"/>
              <w:spacing w:line="360" w:lineRule="auto"/>
              <w:jc w:val="center"/>
              <w:rPr>
                <w:rFonts w:ascii="宋体" w:hAnsi="宋体"/>
                <w:color w:val="auto"/>
                <w:szCs w:val="21"/>
                <w:highlight w:val="none"/>
              </w:rPr>
            </w:pPr>
          </w:p>
        </w:tc>
        <w:tc>
          <w:tcPr>
            <w:tcW w:w="1071" w:type="dxa"/>
          </w:tcPr>
          <w:p>
            <w:pPr>
              <w:snapToGrid w:val="0"/>
              <w:spacing w:line="360" w:lineRule="auto"/>
              <w:jc w:val="center"/>
              <w:rPr>
                <w:rFonts w:ascii="宋体" w:hAnsi="宋体"/>
                <w:color w:val="auto"/>
                <w:szCs w:val="21"/>
                <w:highlight w:val="none"/>
              </w:rPr>
            </w:pPr>
          </w:p>
        </w:tc>
        <w:tc>
          <w:tcPr>
            <w:tcW w:w="788" w:type="dxa"/>
          </w:tcPr>
          <w:p>
            <w:pPr>
              <w:snapToGrid w:val="0"/>
              <w:spacing w:line="360" w:lineRule="auto"/>
              <w:jc w:val="center"/>
              <w:rPr>
                <w:rFonts w:ascii="宋体" w:hAnsi="宋体"/>
                <w:color w:val="auto"/>
                <w:szCs w:val="21"/>
                <w:highlight w:val="none"/>
              </w:rPr>
            </w:pPr>
          </w:p>
        </w:tc>
        <w:tc>
          <w:tcPr>
            <w:tcW w:w="1117" w:type="dxa"/>
            <w:vAlign w:val="center"/>
          </w:tcPr>
          <w:p>
            <w:pPr>
              <w:snapToGrid w:val="0"/>
              <w:spacing w:line="360" w:lineRule="auto"/>
              <w:jc w:val="center"/>
              <w:rPr>
                <w:rFonts w:ascii="宋体" w:hAnsi="宋体"/>
                <w:color w:val="auto"/>
                <w:szCs w:val="21"/>
                <w:highlight w:val="none"/>
              </w:rPr>
            </w:pPr>
          </w:p>
        </w:tc>
        <w:tc>
          <w:tcPr>
            <w:tcW w:w="1403"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375" w:type="dxa"/>
            <w:gridSpan w:val="8"/>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snapToGrid w:val="0"/>
        <w:spacing w:line="360" w:lineRule="auto"/>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2.合同合计金额包括货物价款，备件、专用工具、安装、调试、检验、技术培训及技术资料和包装、运输等全部费用。</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质量要求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1.乙方所提供的产品名称、商标品牌、规格型号、技术参数等质量必须与招标文件规定及投标文件承诺相一致。乙方提供的节能和环保产品必须是列入政府采购品目清单的产品。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满足本次采购运输要求 。</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无  。</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采购人指定地点  </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7  </w:t>
      </w:r>
      <w:r>
        <w:rPr>
          <w:rFonts w:hint="eastAsia" w:ascii="宋体" w:hAnsi="宋体"/>
          <w:color w:val="auto"/>
          <w:szCs w:val="21"/>
          <w:highlight w:val="none"/>
        </w:rPr>
        <w:t>日内及时予以解决。</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双方另行约定  。</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售后服务、质保期</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 xml:space="preserve">  </w:t>
      </w:r>
      <w:r>
        <w:rPr>
          <w:color w:val="auto"/>
          <w:szCs w:val="21"/>
          <w:highlight w:val="none"/>
          <w:u w:val="single"/>
        </w:rPr>
        <w:t>按乙方承诺，但是不得低于国家相关标准</w:t>
      </w:r>
      <w:r>
        <w:rPr>
          <w:rFonts w:hint="eastAsia" w:ascii="宋体" w:hAnsi="宋体"/>
          <w:color w:val="auto"/>
          <w:szCs w:val="21"/>
          <w:highlight w:val="none"/>
          <w:u w:val="single"/>
        </w:rPr>
        <w:t>。</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第八条　付款方式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1.资金性质：</w:t>
      </w:r>
      <w:r>
        <w:rPr>
          <w:rFonts w:hint="eastAsia" w:ascii="宋体" w:hAnsi="宋体"/>
          <w:color w:val="auto"/>
          <w:szCs w:val="21"/>
          <w:highlight w:val="none"/>
          <w:u w:val="single"/>
        </w:rPr>
        <w:t xml:space="preserve">  银行贷款     </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2.采购数量与实际使用数量必须一致。</w:t>
      </w:r>
    </w:p>
    <w:p>
      <w:pPr>
        <w:spacing w:before="66" w:line="343" w:lineRule="auto"/>
        <w:ind w:right="36" w:firstLine="411" w:firstLineChars="196"/>
        <w:rPr>
          <w:rFonts w:hAnsi="宋体"/>
          <w:bCs/>
          <w:color w:val="auto"/>
          <w:highlight w:val="none"/>
        </w:rPr>
      </w:pPr>
      <w:r>
        <w:rPr>
          <w:rFonts w:hint="eastAsia" w:hAnsi="宋体"/>
          <w:bCs/>
          <w:color w:val="auto"/>
          <w:highlight w:val="none"/>
        </w:rPr>
        <w:t>3.付款方式：</w:t>
      </w:r>
    </w:p>
    <w:p>
      <w:pPr>
        <w:spacing w:before="66" w:line="343" w:lineRule="auto"/>
        <w:ind w:right="34" w:firstLine="420" w:firstLineChars="200"/>
        <w:rPr>
          <w:rFonts w:ascii="宋体" w:hAnsi="宋体" w:cs="宋体"/>
          <w:color w:val="auto"/>
          <w:szCs w:val="21"/>
          <w:highlight w:val="none"/>
        </w:rPr>
      </w:pPr>
      <w:r>
        <w:rPr>
          <w:rFonts w:hint="eastAsia" w:ascii="宋体" w:hAnsi="宋体" w:cs="宋体"/>
          <w:color w:val="auto"/>
          <w:szCs w:val="21"/>
          <w:highlight w:val="none"/>
        </w:rPr>
        <w:t>本项目分两部分付款：</w:t>
      </w:r>
    </w:p>
    <w:p>
      <w:pPr>
        <w:spacing w:before="66" w:line="343" w:lineRule="auto"/>
        <w:ind w:right="34" w:firstLine="420" w:firstLineChars="200"/>
        <w:rPr>
          <w:rFonts w:ascii="宋体" w:hAnsi="宋体" w:cs="宋体"/>
          <w:color w:val="auto"/>
          <w:szCs w:val="21"/>
          <w:highlight w:val="none"/>
        </w:rPr>
      </w:pPr>
      <w:r>
        <w:rPr>
          <w:rFonts w:hint="eastAsia" w:ascii="宋体" w:hAnsi="宋体" w:cs="宋体"/>
          <w:color w:val="auto"/>
          <w:szCs w:val="21"/>
          <w:highlight w:val="none"/>
        </w:rPr>
        <w:t>（1）、物资与服务采购部分  预付款为该部分合同价款的</w:t>
      </w:r>
      <w:r>
        <w:rPr>
          <w:rFonts w:ascii="宋体" w:hAnsi="宋体" w:cs="宋体"/>
          <w:color w:val="auto"/>
          <w:szCs w:val="21"/>
          <w:highlight w:val="none"/>
        </w:rPr>
        <w:t>50</w:t>
      </w:r>
      <w:r>
        <w:rPr>
          <w:rFonts w:hint="eastAsia" w:ascii="宋体" w:hAnsi="宋体" w:cs="宋体"/>
          <w:color w:val="auto"/>
          <w:szCs w:val="21"/>
          <w:highlight w:val="none"/>
        </w:rPr>
        <w:t>%，在合同生效以及具备实施条件后，由中标供应商向采购人提交预付款担保，预付款保证金为银行、保险公司和担保公司出具的保函，采购人在 30 日内支付预付款；在交货验收合格并正常使用后，中标人在 3 日内开具增值税专用发票给采购人，采购人收到增值税专用发票后 30 日内无息支付合同全部余额。（成交人需先开具开等额发票给采购人后付款）。</w:t>
      </w:r>
    </w:p>
    <w:p>
      <w:pPr>
        <w:pStyle w:val="14"/>
        <w:snapToGrid w:val="0"/>
        <w:spacing w:line="360" w:lineRule="auto"/>
        <w:ind w:firstLine="420" w:firstLineChars="200"/>
        <w:rPr>
          <w:rFonts w:hAnsi="宋体" w:cs="宋体"/>
          <w:color w:val="auto"/>
          <w:kern w:val="2"/>
          <w:sz w:val="21"/>
          <w:highlight w:val="none"/>
        </w:rPr>
      </w:pPr>
      <w:r>
        <w:rPr>
          <w:rFonts w:hint="eastAsia" w:hAnsi="宋体" w:cs="宋体"/>
          <w:color w:val="auto"/>
          <w:kern w:val="2"/>
          <w:sz w:val="21"/>
          <w:highlight w:val="none"/>
        </w:rPr>
        <w:t>（2）、工程部分  在签订合同生效后并开具正规发票后30日内，付合同价</w:t>
      </w:r>
      <w:r>
        <w:rPr>
          <w:rFonts w:hint="eastAsia" w:hAnsi="宋体" w:cs="宋体"/>
          <w:b/>
          <w:color w:val="auto"/>
          <w:kern w:val="2"/>
          <w:sz w:val="21"/>
          <w:highlight w:val="none"/>
        </w:rPr>
        <w:t>（扣除暂列金额、安全文明施工费）</w:t>
      </w:r>
      <w:r>
        <w:rPr>
          <w:rFonts w:hint="eastAsia" w:hAnsi="宋体" w:cs="宋体"/>
          <w:color w:val="auto"/>
          <w:kern w:val="2"/>
          <w:sz w:val="21"/>
          <w:highlight w:val="none"/>
        </w:rPr>
        <w:t>的30%，作为预付款，工程完工验收后，进度款拨至80%时，工程竣工验收合格，承包人按要求向发包人递交竣工及备案所需全部材料，工程竣工总结算经发包人或专业机构出具审计报告后，并开具正规发票后30日内向承包人支付至结算总价的97%，剩余3%作为质量保修金，根据缺陷责任期相关条款约定返还。</w:t>
      </w:r>
    </w:p>
    <w:p>
      <w:pPr>
        <w:pStyle w:val="5"/>
        <w:suppressLineNumbers/>
        <w:spacing w:line="240" w:lineRule="auto"/>
        <w:ind w:firstLine="420" w:firstLineChars="20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olor w:val="auto"/>
          <w:highlight w:val="none"/>
        </w:rPr>
        <w:t xml:space="preserve"> </w:t>
      </w:r>
      <w:r>
        <w:rPr>
          <w:rFonts w:hint="eastAsia" w:asciiTheme="minorEastAsia" w:hAnsiTheme="minorEastAsia" w:eastAsiaTheme="minorEastAsia"/>
          <w:color w:val="auto"/>
          <w:sz w:val="21"/>
          <w:szCs w:val="21"/>
          <w:highlight w:val="none"/>
        </w:rPr>
        <w:t>竣工结算审核：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pPr>
        <w:autoSpaceDE w:val="0"/>
        <w:autoSpaceDN w:val="0"/>
        <w:snapToGrid w:val="0"/>
        <w:spacing w:line="360" w:lineRule="auto"/>
        <w:ind w:firstLine="420" w:firstLineChars="200"/>
        <w:textAlignment w:val="bottom"/>
        <w:rPr>
          <w:rFonts w:ascii="宋体" w:hAnsi="宋体" w:cs="宋体"/>
          <w:color w:val="auto"/>
          <w:szCs w:val="21"/>
          <w:highlight w:val="none"/>
          <w:u w:val="single"/>
        </w:rPr>
      </w:pPr>
      <w:r>
        <w:rPr>
          <w:rFonts w:hint="eastAsia" w:ascii="宋体" w:hAnsi="宋体" w:cs="宋体"/>
          <w:color w:val="auto"/>
          <w:szCs w:val="21"/>
          <w:highlight w:val="none"/>
          <w:u w:val="single"/>
        </w:rPr>
        <w:t xml:space="preserve">  无  </w:t>
      </w:r>
    </w:p>
    <w:p>
      <w:pPr>
        <w:snapToGrid w:val="0"/>
        <w:spacing w:line="360" w:lineRule="auto"/>
        <w:ind w:left="-61" w:firstLine="514"/>
        <w:rPr>
          <w:rFonts w:ascii="宋体" w:hAnsi="宋体"/>
          <w:b/>
          <w:color w:val="auto"/>
          <w:szCs w:val="21"/>
          <w:highlight w:val="none"/>
        </w:rPr>
      </w:pPr>
      <w:r>
        <w:rPr>
          <w:rFonts w:hint="eastAsia" w:ascii="宋体" w:hAnsi="宋体"/>
          <w:b/>
          <w:color w:val="auto"/>
          <w:szCs w:val="21"/>
          <w:highlight w:val="none"/>
        </w:rPr>
        <w:t>第十条  税费</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第十一条  质量保证及售后服务</w:t>
      </w:r>
    </w:p>
    <w:p>
      <w:pPr>
        <w:pStyle w:val="14"/>
        <w:snapToGrid w:val="0"/>
        <w:spacing w:line="360" w:lineRule="auto"/>
        <w:ind w:firstLine="420" w:firstLineChars="200"/>
        <w:rPr>
          <w:rFonts w:hAnsi="宋体"/>
          <w:color w:val="auto"/>
          <w:sz w:val="21"/>
          <w:highlight w:val="none"/>
        </w:rPr>
      </w:pPr>
      <w:r>
        <w:rPr>
          <w:rFonts w:hint="eastAsia" w:hAnsi="宋体"/>
          <w:bCs/>
          <w:color w:val="auto"/>
          <w:sz w:val="21"/>
          <w:highlight w:val="none"/>
        </w:rPr>
        <w:t>1.</w:t>
      </w:r>
      <w:r>
        <w:rPr>
          <w:rFonts w:hint="eastAsia" w:hAnsi="宋体"/>
          <w:color w:val="auto"/>
          <w:sz w:val="21"/>
          <w:highlight w:val="none"/>
        </w:rPr>
        <w:t>乙方应按招标文件规定的产品名称、商标品牌、规格型号、技术参数、质量标准向甲方提供未经使用的全新产品。不符合要求的，根据实际情况，经双方协商，可按以下办法处理：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⑴更换：由乙方承担所发生的全部费用。</w:t>
      </w:r>
    </w:p>
    <w:p>
      <w:pPr>
        <w:pStyle w:val="14"/>
        <w:snapToGrid w:val="0"/>
        <w:spacing w:line="360" w:lineRule="auto"/>
        <w:ind w:firstLine="420"/>
        <w:rPr>
          <w:rFonts w:hAnsi="宋体"/>
          <w:color w:val="auto"/>
          <w:sz w:val="21"/>
          <w:highlight w:val="none"/>
        </w:rPr>
      </w:pPr>
      <w:r>
        <w:rPr>
          <w:rFonts w:hint="eastAsia" w:hAnsi="宋体"/>
          <w:color w:val="auto"/>
          <w:sz w:val="21"/>
          <w:highlight w:val="none"/>
        </w:rPr>
        <w:t>⑵贬值处理：由甲乙双方合议定价。</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⑶退货处理：乙方应退还甲方支付的合同款，同时应承担该货物的直接费用（运输、保险、检验、</w:t>
      </w:r>
    </w:p>
    <w:p>
      <w:pPr>
        <w:pStyle w:val="14"/>
        <w:snapToGrid w:val="0"/>
        <w:spacing w:line="360" w:lineRule="auto"/>
        <w:rPr>
          <w:rFonts w:hAnsi="宋体"/>
          <w:color w:val="auto"/>
          <w:sz w:val="21"/>
          <w:highlight w:val="none"/>
        </w:rPr>
      </w:pPr>
      <w:r>
        <w:rPr>
          <w:rFonts w:hint="eastAsia" w:hAnsi="宋体"/>
          <w:color w:val="auto"/>
          <w:sz w:val="21"/>
          <w:highlight w:val="none"/>
        </w:rPr>
        <w:t>货款利息及银行手续费等）。</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2.如在使用过程中发生质量问题，乙方在接到甲方通知后到达甲方现场处理的时间（</w:t>
      </w:r>
      <w:r>
        <w:rPr>
          <w:rFonts w:hint="eastAsia" w:hAnsi="宋体"/>
          <w:color w:val="auto"/>
          <w:sz w:val="21"/>
          <w:highlight w:val="none"/>
          <w:u w:val="single"/>
        </w:rPr>
        <w:t>按投标文件承诺的数据填写</w:t>
      </w:r>
      <w:r>
        <w:rPr>
          <w:rFonts w:hint="eastAsia" w:hAnsi="宋体"/>
          <w:color w:val="auto"/>
          <w:sz w:val="21"/>
          <w:highlight w:val="none"/>
        </w:rPr>
        <w:t>）小时内。</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3.在质保期内，乙方应对货物出现的质量及安全问题负责处理解决并承担一切费用。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4.上述的货物质保期为</w:t>
      </w:r>
      <w:r>
        <w:rPr>
          <w:rFonts w:hint="eastAsia" w:ascii="宋体" w:hAnsi="宋体"/>
          <w:color w:val="auto"/>
          <w:szCs w:val="21"/>
          <w:highlight w:val="none"/>
          <w:u w:val="single"/>
        </w:rPr>
        <w:t xml:space="preserve">  1  </w:t>
      </w:r>
      <w:r>
        <w:rPr>
          <w:rFonts w:hint="eastAsia" w:ascii="宋体" w:hAnsi="宋体"/>
          <w:color w:val="auto"/>
          <w:szCs w:val="21"/>
          <w:highlight w:val="none"/>
        </w:rPr>
        <w:t>年，因人为因素出现的故障不在保修范围内。超过保修期的机器设备，终生维修，维修时只收部件成本费。</w:t>
      </w:r>
    </w:p>
    <w:p>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pPr>
        <w:pStyle w:val="1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2.乙方交货前应对产品作出全面检查和对验收文件进行整理，并列出清单，作为甲方收货验收和使用的技术条件依据，检验的结果应随货物交甲方。</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4.对技术复杂的货物，甲方应请国家认可的专业检测机构参与初步验收及最终验收，并由其出具质量检测报告。</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pPr>
        <w:pStyle w:val="1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第十三条  货物包装、发运及运输</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 使用说明书（货物属于进口产品的，供货时应同时附上中文使用说明书）、质量检验证明书、随配附件和工具以及清单一并附于货物内。</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3.乙方在货物发运手续办理完毕后二十四小时内或者货到甲方四十八小时前通知甲方，以准备接货。</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4.货物在交付甲方前发生的风险均由乙方负责。</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5.货物在规</w:t>
      </w:r>
      <w:r>
        <w:rPr>
          <w:rFonts w:hint="eastAsia" w:hAnsi="宋体"/>
          <w:color w:val="auto"/>
          <w:spacing w:val="-8"/>
          <w:sz w:val="21"/>
          <w:highlight w:val="none"/>
        </w:rPr>
        <w:t>定的交付期限内由乙方送达甲方指定的地点视为交付，乙方同时需通知甲方货物已送达。</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第十四条　违约责任</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2.乙方提供的货物如侵犯了第三方合法权益而引发的任何纠纷或者诉讼，均由乙方负责交涉并承担全部责任。</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3.因包装、运输引起的货物损坏，按质量不合格处罚。</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4.甲方无故延期接收货物、乙方逾期交货的，每天向对方偿付违约货款额3‰违约金，但违约金累计不得超过违约货款额5%，超过</w:t>
      </w:r>
      <w:r>
        <w:rPr>
          <w:rFonts w:hint="eastAsia" w:hAnsi="宋体"/>
          <w:color w:val="auto"/>
          <w:sz w:val="21"/>
          <w:highlight w:val="none"/>
          <w:u w:val="single"/>
        </w:rPr>
        <w:t xml:space="preserve"> 30 </w:t>
      </w:r>
      <w:r>
        <w:rPr>
          <w:rFonts w:hint="eastAsia" w:hAnsi="宋体"/>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5. 乙方未按本合同和投标文件中规定的服务承诺提供售后服务的，乙方应按本合同合计金额 5%向甲方支付违约金。</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6. 乙方提供的货物在质量保证期内，因设计、工艺或者材料的缺陷和其它质量原因造成的问题，由乙方负责，费用从余款或者履约保证金中扣除，不足另补。</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7. 甲乙双方有其它违约行为的，由违约方向对方支付违约内容涉及货款额的5%，违约内容涉及货款额的5%不足以赔偿经济损失的按实际赔偿。</w:t>
      </w:r>
    </w:p>
    <w:p>
      <w:pPr>
        <w:pStyle w:val="1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第十五条  不可抗力事件处理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第十六条  合同争议解决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因履行本合同引起的或者与本合同有关的争议，甲乙双方应首先通过友好协商解决，如果协商不能解决，可向甲方所在地</w:t>
      </w:r>
      <w:r>
        <w:rPr>
          <w:rFonts w:hint="eastAsia" w:ascii="宋体" w:hAnsi="宋体" w:cs="宋体"/>
          <w:color w:val="auto"/>
          <w:szCs w:val="21"/>
          <w:highlight w:val="none"/>
        </w:rPr>
        <w:t>崇左仲裁委员会申请仲裁</w:t>
      </w:r>
      <w:r>
        <w:rPr>
          <w:rFonts w:hint="eastAsia" w:ascii="宋体" w:hAnsi="宋体"/>
          <w:color w:val="auto"/>
          <w:szCs w:val="21"/>
          <w:highlight w:val="none"/>
        </w:rPr>
        <w:t>。</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3.仲裁期间，本合同继续履行。</w:t>
      </w:r>
    </w:p>
    <w:p>
      <w:pPr>
        <w:pStyle w:val="1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第十七条  合同生效及其它</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1. 合同经双方法定代表人或者委托代理人签字并加盖单位公章后生效（委托代理人签字的需后附法定代表人授权委托书，格式自拟）。</w:t>
      </w:r>
    </w:p>
    <w:p>
      <w:pPr>
        <w:pStyle w:val="14"/>
        <w:snapToGrid w:val="0"/>
        <w:spacing w:line="360" w:lineRule="auto"/>
        <w:ind w:firstLine="422" w:firstLineChars="200"/>
        <w:rPr>
          <w:rFonts w:hAnsi="宋体"/>
          <w:b/>
          <w:color w:val="auto"/>
          <w:sz w:val="21"/>
          <w:highlight w:val="none"/>
        </w:rPr>
      </w:pPr>
      <w:r>
        <w:rPr>
          <w:rFonts w:hint="eastAsia" w:hAnsi="宋体"/>
          <w:b/>
          <w:color w:val="auto"/>
          <w:sz w:val="21"/>
          <w:highlight w:val="none"/>
        </w:rPr>
        <w:t>2.合同执行中涉及采购资金和采购内容修改或者补充的，须经财政部门审批，并签书面补充协议报财政部门备案，方可作为主合同不可分割的一部分。</w:t>
      </w:r>
    </w:p>
    <w:p>
      <w:pPr>
        <w:pStyle w:val="14"/>
        <w:snapToGrid w:val="0"/>
        <w:spacing w:line="360" w:lineRule="auto"/>
        <w:ind w:left="420" w:leftChars="200"/>
        <w:rPr>
          <w:rFonts w:hAnsi="宋体"/>
          <w:b/>
          <w:color w:val="auto"/>
          <w:sz w:val="21"/>
          <w:highlight w:val="none"/>
        </w:rPr>
      </w:pPr>
      <w:r>
        <w:rPr>
          <w:rFonts w:hint="eastAsia" w:hAnsi="宋体"/>
          <w:b/>
          <w:color w:val="auto"/>
          <w:sz w:val="21"/>
          <w:highlight w:val="none"/>
        </w:rPr>
        <w:t>3.本合同未尽事宜，遵照《中华人民共和国民法典》有关条文执行。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2. 乙方不得擅自转让（无进口资格的供应商委托进口货物除外）其应履行的合同义务。</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 xml:space="preserve"> </w:t>
      </w:r>
      <w:r>
        <w:rPr>
          <w:rFonts w:hint="eastAsia" w:ascii="宋体" w:hAnsi="宋体"/>
          <w:color w:val="auto"/>
          <w:szCs w:val="21"/>
          <w:highlight w:val="none"/>
        </w:rPr>
        <w:t>于变更估价的约定</w:t>
      </w:r>
      <w:r>
        <w:rPr>
          <w:rFonts w:ascii="宋体" w:hAnsi="宋体"/>
          <w:color w:val="auto"/>
          <w:szCs w:val="21"/>
          <w:highlight w:val="none"/>
        </w:rPr>
        <w:t xml:space="preserve">: </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因设计变更、相关签证引起工程项目、工程量任何变化的，变更合同价款按下列方法进行：（</w:t>
      </w:r>
      <w:r>
        <w:rPr>
          <w:rFonts w:ascii="宋体" w:hAnsi="宋体"/>
          <w:color w:val="auto"/>
          <w:szCs w:val="21"/>
          <w:highlight w:val="none"/>
        </w:rPr>
        <w:t>1</w:t>
      </w:r>
      <w:r>
        <w:rPr>
          <w:rFonts w:hint="eastAsia" w:ascii="宋体" w:hAnsi="宋体"/>
          <w:color w:val="auto"/>
          <w:szCs w:val="21"/>
          <w:highlight w:val="none"/>
        </w:rPr>
        <w:t>）合同中已有相同清单项目的，按合同该清单项目价格进行计算；（</w:t>
      </w:r>
      <w:r>
        <w:rPr>
          <w:rFonts w:ascii="宋体" w:hAnsi="宋体"/>
          <w:color w:val="auto"/>
          <w:szCs w:val="21"/>
          <w:highlight w:val="none"/>
        </w:rPr>
        <w:t>2</w:t>
      </w:r>
      <w:r>
        <w:rPr>
          <w:rFonts w:hint="eastAsia" w:ascii="宋体" w:hAnsi="宋体"/>
          <w:color w:val="auto"/>
          <w:szCs w:val="21"/>
          <w:highlight w:val="none"/>
        </w:rPr>
        <w:t>）合同中只有类似清单项目的，参照该类似清单项目价格进行计算；（</w:t>
      </w:r>
      <w:r>
        <w:rPr>
          <w:rFonts w:ascii="宋体" w:hAnsi="宋体"/>
          <w:color w:val="auto"/>
          <w:szCs w:val="21"/>
          <w:highlight w:val="none"/>
        </w:rPr>
        <w:t>3</w:t>
      </w:r>
      <w:r>
        <w:rPr>
          <w:rFonts w:hint="eastAsia" w:ascii="宋体" w:hAnsi="宋体"/>
          <w:color w:val="auto"/>
          <w:szCs w:val="21"/>
          <w:highlight w:val="none"/>
        </w:rPr>
        <w:t>）合同中没有适用或类似清单项目的价格计算方法：有定额的套定额，并（</w:t>
      </w:r>
      <w:r>
        <w:rPr>
          <w:rFonts w:hint="eastAsia" w:ascii="MS Mincho" w:hAnsi="MS Mincho" w:eastAsia="MS Mincho" w:cs="MS Mincho"/>
          <w:color w:val="auto"/>
          <w:szCs w:val="21"/>
          <w:highlight w:val="none"/>
        </w:rPr>
        <w:t>☑</w:t>
      </w:r>
      <w:r>
        <w:rPr>
          <w:rFonts w:hint="eastAsia" w:ascii="宋体" w:hAnsi="宋体"/>
          <w:color w:val="auto"/>
          <w:szCs w:val="21"/>
          <w:highlight w:val="none"/>
        </w:rPr>
        <w:t>乘以下浮系数中标价</w:t>
      </w:r>
      <w:r>
        <w:rPr>
          <w:rFonts w:ascii="宋体" w:hAnsi="宋体"/>
          <w:color w:val="auto"/>
          <w:szCs w:val="21"/>
          <w:highlight w:val="none"/>
        </w:rPr>
        <w:t>/</w:t>
      </w:r>
      <w:r>
        <w:rPr>
          <w:rFonts w:hint="eastAsia" w:ascii="宋体" w:hAnsi="宋体"/>
          <w:color w:val="auto"/>
          <w:szCs w:val="21"/>
          <w:highlight w:val="none"/>
        </w:rPr>
        <w:t>招标控制价</w:t>
      </w:r>
      <w:r>
        <w:rPr>
          <w:rFonts w:ascii="宋体" w:hAnsi="宋体"/>
          <w:color w:val="auto"/>
          <w:szCs w:val="21"/>
          <w:highlight w:val="none"/>
        </w:rPr>
        <w:t>%</w:t>
      </w:r>
      <w:r>
        <w:rPr>
          <w:rFonts w:hint="eastAsia" w:ascii="宋体" w:hAnsi="宋体"/>
          <w:color w:val="auto"/>
          <w:szCs w:val="21"/>
          <w:highlight w:val="none"/>
        </w:rPr>
        <w:t>，□不乘下浮系数）计算，其中材料价格按施工期间的《崇左市建设工程造价信息》相应价格信息进行计算；《崇左市建设工程造价信息》没有相应价格信息的按市场价计算；无定额可套的，根据市场价格协商确定综合价格；对于国有资产投资的项目，新增项目的单价必须经</w:t>
      </w:r>
      <w:r>
        <w:rPr>
          <w:rFonts w:hint="eastAsia" w:ascii="宋体" w:hAnsi="宋体"/>
          <w:color w:val="auto"/>
          <w:szCs w:val="21"/>
          <w:highlight w:val="none"/>
          <w:u w:val="single"/>
        </w:rPr>
        <w:t xml:space="preserve">  审计部门  </w:t>
      </w:r>
      <w:r>
        <w:rPr>
          <w:rFonts w:hint="eastAsia" w:ascii="宋体" w:hAnsi="宋体"/>
          <w:color w:val="auto"/>
          <w:szCs w:val="21"/>
          <w:highlight w:val="none"/>
        </w:rPr>
        <w:t>审定。</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第十九条　</w:t>
      </w:r>
      <w:r>
        <w:rPr>
          <w:rFonts w:hint="eastAsia" w:ascii="宋体" w:hAnsi="宋体" w:cs="微软雅黑"/>
          <w:color w:val="auto"/>
          <w:spacing w:val="-2"/>
          <w:kern w:val="0"/>
          <w:szCs w:val="21"/>
          <w:highlight w:val="none"/>
        </w:rPr>
        <w:t>本</w:t>
      </w:r>
      <w:r>
        <w:rPr>
          <w:rFonts w:hint="eastAsia" w:ascii="宋体" w:hAnsi="宋体" w:cs="微软雅黑"/>
          <w:color w:val="auto"/>
          <w:kern w:val="0"/>
          <w:szCs w:val="21"/>
          <w:highlight w:val="none"/>
        </w:rPr>
        <w:t>合同书</w:t>
      </w:r>
      <w:r>
        <w:rPr>
          <w:rFonts w:hint="eastAsia" w:ascii="宋体" w:hAnsi="宋体" w:cs="微软雅黑"/>
          <w:color w:val="auto"/>
          <w:spacing w:val="-2"/>
          <w:kern w:val="0"/>
          <w:szCs w:val="21"/>
          <w:highlight w:val="none"/>
        </w:rPr>
        <w:t>与</w:t>
      </w:r>
      <w:r>
        <w:rPr>
          <w:rFonts w:hint="eastAsia" w:ascii="宋体" w:hAnsi="宋体" w:cs="微软雅黑"/>
          <w:color w:val="auto"/>
          <w:kern w:val="0"/>
          <w:szCs w:val="21"/>
          <w:highlight w:val="none"/>
        </w:rPr>
        <w:t>下</w:t>
      </w:r>
      <w:r>
        <w:rPr>
          <w:rFonts w:hint="eastAsia" w:ascii="宋体" w:hAnsi="宋体" w:cs="微软雅黑"/>
          <w:color w:val="auto"/>
          <w:spacing w:val="-2"/>
          <w:kern w:val="0"/>
          <w:szCs w:val="21"/>
          <w:highlight w:val="none"/>
        </w:rPr>
        <w:t>列</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件一</w:t>
      </w:r>
      <w:r>
        <w:rPr>
          <w:rFonts w:hint="eastAsia" w:ascii="宋体" w:hAnsi="宋体" w:cs="微软雅黑"/>
          <w:color w:val="auto"/>
          <w:kern w:val="0"/>
          <w:szCs w:val="21"/>
          <w:highlight w:val="none"/>
        </w:rPr>
        <w:t>起构</w:t>
      </w:r>
      <w:r>
        <w:rPr>
          <w:rFonts w:hint="eastAsia" w:ascii="宋体" w:hAnsi="宋体" w:cs="微软雅黑"/>
          <w:color w:val="auto"/>
          <w:spacing w:val="-2"/>
          <w:kern w:val="0"/>
          <w:szCs w:val="21"/>
          <w:highlight w:val="none"/>
        </w:rPr>
        <w:t>成</w:t>
      </w:r>
      <w:r>
        <w:rPr>
          <w:rFonts w:hint="eastAsia" w:ascii="宋体" w:hAnsi="宋体" w:cs="微软雅黑"/>
          <w:color w:val="auto"/>
          <w:kern w:val="0"/>
          <w:szCs w:val="21"/>
          <w:highlight w:val="none"/>
        </w:rPr>
        <w:t>合</w:t>
      </w:r>
      <w:r>
        <w:rPr>
          <w:rFonts w:hint="eastAsia" w:ascii="宋体" w:hAnsi="宋体" w:cs="微软雅黑"/>
          <w:color w:val="auto"/>
          <w:spacing w:val="-2"/>
          <w:kern w:val="0"/>
          <w:szCs w:val="21"/>
          <w:highlight w:val="none"/>
        </w:rPr>
        <w:t>同</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1.中标通知书；</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2.投标函；</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3.商务条款偏离表和技术偏离表；</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4.采购需求；</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5.开标一览表；</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6.设备性能配置清单；</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7.其他合同文件。</w:t>
      </w:r>
    </w:p>
    <w:p>
      <w:pPr>
        <w:pStyle w:val="14"/>
        <w:snapToGrid w:val="0"/>
        <w:spacing w:line="360" w:lineRule="auto"/>
        <w:ind w:left="420" w:leftChars="200"/>
        <w:rPr>
          <w:rFonts w:hAnsi="宋体"/>
          <w:b/>
          <w:color w:val="auto"/>
          <w:sz w:val="21"/>
          <w:highlight w:val="none"/>
        </w:rPr>
      </w:pPr>
      <w:r>
        <w:rPr>
          <w:rFonts w:hint="eastAsia" w:hAnsi="宋体"/>
          <w:color w:val="auto"/>
          <w:sz w:val="21"/>
          <w:highlight w:val="none"/>
        </w:rPr>
        <w:t>8.上述合同文件互相补充和解释。如果合同文件之间存在矛盾或者不一致之处，以上述文件 的排列顺序在先者为准。</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第二十条　本合同一式8份（可根据需要另增加），</w:t>
      </w:r>
      <w:r>
        <w:rPr>
          <w:rFonts w:hint="eastAsia" w:ascii="宋体" w:hAnsi="宋体"/>
          <w:bCs/>
          <w:color w:val="auto"/>
          <w:szCs w:val="21"/>
          <w:highlight w:val="none"/>
        </w:rPr>
        <w:t>经甲乙双方法定代表人或被授权人签字并加盖公章后生效。甲方执4份，乙方执1份，采购监督管理部门执1份，交易中心执1份，广西真诚工程咨询有限公司执1份，具同等法律效力。</w:t>
      </w:r>
    </w:p>
    <w:p>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ascii="宋体" w:hAnsi="宋体"/>
          <w:color w:val="auto"/>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400" w:lineRule="exact"/>
              <w:rPr>
                <w:rFonts w:ascii="宋体" w:hAnsi="宋体" w:cs="宋体"/>
                <w:color w:val="auto"/>
                <w:szCs w:val="21"/>
                <w:highlight w:val="none"/>
              </w:rPr>
            </w:pPr>
          </w:p>
          <w:p>
            <w:pPr>
              <w:snapToGrid w:val="0"/>
              <w:spacing w:line="40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400" w:lineRule="exact"/>
              <w:rPr>
                <w:rFonts w:ascii="宋体" w:hAnsi="宋体" w:cs="宋体"/>
                <w:color w:val="auto"/>
                <w:szCs w:val="21"/>
                <w:highlight w:val="none"/>
              </w:rPr>
            </w:pPr>
          </w:p>
          <w:p>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snapToGrid w:val="0"/>
              <w:spacing w:line="400" w:lineRule="exact"/>
              <w:rPr>
                <w:rFonts w:ascii="宋体" w:hAnsi="宋体" w:cs="宋体"/>
                <w:color w:val="auto"/>
                <w:szCs w:val="21"/>
                <w:highlight w:val="none"/>
              </w:rPr>
            </w:pPr>
          </w:p>
        </w:tc>
        <w:tc>
          <w:tcPr>
            <w:tcW w:w="4455" w:type="dxa"/>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纳税人识别号：</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455"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072" w:type="dxa"/>
            <w:gridSpan w:val="2"/>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经办人：</w:t>
            </w:r>
          </w:p>
          <w:p>
            <w:pPr>
              <w:snapToGrid w:val="0"/>
              <w:spacing w:line="400" w:lineRule="exact"/>
              <w:rPr>
                <w:rFonts w:ascii="宋体" w:hAnsi="宋体" w:cs="宋体"/>
                <w:color w:val="auto"/>
                <w:szCs w:val="21"/>
                <w:highlight w:val="none"/>
              </w:rPr>
            </w:pPr>
          </w:p>
          <w:p>
            <w:pPr>
              <w:snapToGrid w:val="0"/>
              <w:spacing w:line="4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pPr>
        <w:snapToGrid w:val="0"/>
        <w:spacing w:line="360" w:lineRule="auto"/>
        <w:ind w:left="420" w:hanging="420" w:hangingChars="200"/>
        <w:rPr>
          <w:rFonts w:ascii="宋体" w:hAnsi="宋体"/>
          <w:color w:val="auto"/>
          <w:szCs w:val="21"/>
          <w:highlight w:val="none"/>
        </w:rPr>
      </w:pPr>
    </w:p>
    <w:p>
      <w:pPr>
        <w:snapToGrid w:val="0"/>
        <w:jc w:val="center"/>
        <w:rPr>
          <w:rFonts w:ascii="宋体" w:hAnsi="宋体"/>
          <w:bCs/>
          <w:color w:val="auto"/>
          <w:sz w:val="32"/>
          <w:szCs w:val="32"/>
          <w:highlight w:val="none"/>
        </w:rPr>
      </w:pPr>
      <w:r>
        <w:rPr>
          <w:rFonts w:ascii="宋体" w:hAnsi="宋体"/>
          <w:b/>
          <w:color w:val="auto"/>
          <w:szCs w:val="21"/>
          <w:highlight w:val="none"/>
        </w:rPr>
        <w:br w:type="page"/>
      </w:r>
    </w:p>
    <w:bookmarkEnd w:id="153"/>
    <w:p>
      <w:pPr>
        <w:snapToGrid w:val="0"/>
        <w:spacing w:line="480" w:lineRule="auto"/>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pStyle w:val="3"/>
        <w:keepNext w:val="0"/>
        <w:keepLines w:val="0"/>
        <w:jc w:val="center"/>
        <w:rPr>
          <w:color w:val="auto"/>
          <w:highlight w:val="none"/>
        </w:rPr>
      </w:pPr>
      <w:bookmarkStart w:id="154" w:name="_Toc19686834"/>
      <w:r>
        <w:rPr>
          <w:rFonts w:hint="eastAsia"/>
          <w:color w:val="auto"/>
          <w:highlight w:val="none"/>
        </w:rPr>
        <w:t>第六章　投标文件格式</w:t>
      </w:r>
      <w:bookmarkEnd w:id="154"/>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b/>
          <w:bCs/>
          <w:color w:val="auto"/>
          <w:sz w:val="28"/>
          <w:szCs w:val="28"/>
          <w:highlight w:val="none"/>
        </w:rPr>
      </w:pPr>
      <w:r>
        <w:rPr>
          <w:rFonts w:ascii="宋体" w:hAnsi="宋体"/>
          <w:color w:val="auto"/>
          <w:sz w:val="32"/>
          <w:szCs w:val="20"/>
          <w:highlight w:val="none"/>
        </w:rPr>
        <w:br w:type="page"/>
      </w:r>
      <w:bookmarkStart w:id="155" w:name="_Toc254970697"/>
      <w:bookmarkStart w:id="156" w:name="_Toc254970556"/>
      <w:bookmarkStart w:id="157" w:name="_Toc19686835"/>
      <w:r>
        <w:rPr>
          <w:rFonts w:hint="eastAsia" w:ascii="宋体" w:hAnsi="宋体"/>
          <w:b/>
          <w:bCs/>
          <w:color w:val="auto"/>
          <w:sz w:val="28"/>
          <w:szCs w:val="28"/>
          <w:highlight w:val="none"/>
        </w:rPr>
        <w:t>一、投标文件外层包装封面格式</w:t>
      </w:r>
      <w:bookmarkEnd w:id="155"/>
      <w:bookmarkEnd w:id="156"/>
      <w:bookmarkEnd w:id="157"/>
      <w:r>
        <w:rPr>
          <w:rFonts w:hint="eastAsia" w:ascii="宋体" w:hAnsi="宋体"/>
          <w:b/>
          <w:color w:val="auto"/>
          <w:sz w:val="28"/>
          <w:szCs w:val="28"/>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Cs/>
          <w:color w:val="auto"/>
          <w:sz w:val="24"/>
          <w:szCs w:val="20"/>
          <w:highlight w:val="none"/>
        </w:rPr>
      </w:pPr>
    </w:p>
    <w:p>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投 标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360" w:firstLineChars="150"/>
        <w:rPr>
          <w:rFonts w:ascii="宋体" w:hAnsi="宋体"/>
          <w:bCs/>
          <w:color w:val="auto"/>
          <w:sz w:val="24"/>
          <w:szCs w:val="20"/>
          <w:highlight w:val="none"/>
        </w:rPr>
      </w:pPr>
    </w:p>
    <w:p>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360" w:firstLineChars="150"/>
        <w:rPr>
          <w:rFonts w:ascii="宋体" w:hAnsi="宋体"/>
          <w:bCs/>
          <w:color w:val="auto"/>
          <w:sz w:val="24"/>
          <w:szCs w:val="20"/>
          <w:highlight w:val="none"/>
        </w:rPr>
      </w:pPr>
    </w:p>
    <w:p>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360" w:firstLineChars="150"/>
        <w:rPr>
          <w:rFonts w:ascii="宋体" w:hAnsi="宋体"/>
          <w:bCs/>
          <w:color w:val="auto"/>
          <w:sz w:val="24"/>
          <w:szCs w:val="20"/>
          <w:highlight w:val="none"/>
        </w:rPr>
      </w:pPr>
      <w:r>
        <w:rPr>
          <w:rFonts w:hint="eastAsia" w:ascii="宋体" w:hAnsi="宋体"/>
          <w:bCs/>
          <w:color w:val="auto"/>
          <w:sz w:val="24"/>
          <w:szCs w:val="20"/>
          <w:highlight w:val="none"/>
        </w:rPr>
        <w:t>投标人名称：</w:t>
      </w:r>
    </w:p>
    <w:p>
      <w:pPr>
        <w:snapToGrid w:val="0"/>
        <w:spacing w:before="120" w:beforeLines="50" w:after="50"/>
        <w:ind w:firstLine="360" w:firstLineChars="150"/>
        <w:rPr>
          <w:rFonts w:ascii="宋体" w:hAnsi="宋体"/>
          <w:bCs/>
          <w:color w:val="auto"/>
          <w:sz w:val="24"/>
          <w:szCs w:val="20"/>
          <w:highlight w:val="none"/>
        </w:rPr>
      </w:pPr>
    </w:p>
    <w:p>
      <w:pPr>
        <w:snapToGrid w:val="0"/>
        <w:spacing w:before="120" w:beforeLines="50" w:after="50"/>
        <w:ind w:firstLine="360" w:firstLineChars="150"/>
        <w:rPr>
          <w:rFonts w:ascii="宋体" w:hAnsi="宋体"/>
          <w:bCs/>
          <w:color w:val="auto"/>
          <w:sz w:val="24"/>
          <w:szCs w:val="20"/>
          <w:highlight w:val="none"/>
        </w:rPr>
      </w:pPr>
      <w:r>
        <w:rPr>
          <w:rFonts w:hint="eastAsia" w:ascii="宋体" w:hAnsi="宋体"/>
          <w:bCs/>
          <w:color w:val="auto"/>
          <w:sz w:val="24"/>
          <w:szCs w:val="20"/>
          <w:highlight w:val="none"/>
        </w:rPr>
        <w:t>投标人地址：</w:t>
      </w:r>
    </w:p>
    <w:p>
      <w:pPr>
        <w:snapToGrid w:val="0"/>
        <w:spacing w:before="120" w:beforeLines="50" w:after="50"/>
        <w:ind w:firstLine="360" w:firstLineChars="150"/>
        <w:rPr>
          <w:rFonts w:ascii="宋体" w:hAnsi="宋体"/>
          <w:bCs/>
          <w:color w:val="auto"/>
          <w:sz w:val="24"/>
          <w:szCs w:val="20"/>
          <w:highlight w:val="none"/>
        </w:rPr>
      </w:pPr>
    </w:p>
    <w:p>
      <w:pPr>
        <w:snapToGrid w:val="0"/>
        <w:spacing w:before="120" w:beforeLines="50" w:after="50"/>
        <w:ind w:firstLine="360" w:firstLineChars="150"/>
        <w:jc w:val="center"/>
        <w:rPr>
          <w:rFonts w:ascii="宋体" w:hAnsi="宋体"/>
          <w:bCs/>
          <w:color w:val="auto"/>
          <w:sz w:val="24"/>
          <w:highlight w:val="none"/>
        </w:rPr>
      </w:pPr>
      <w:r>
        <w:rPr>
          <w:rFonts w:hint="eastAsia" w:ascii="宋体" w:hAnsi="宋体"/>
          <w:bCs/>
          <w:color w:val="auto"/>
          <w:sz w:val="24"/>
          <w:szCs w:val="20"/>
          <w:highlight w:val="none"/>
        </w:rPr>
        <w:t>投标截止时间前不得启封</w:t>
      </w:r>
    </w:p>
    <w:p>
      <w:pPr>
        <w:snapToGrid w:val="0"/>
        <w:spacing w:before="120" w:beforeLines="50" w:after="50"/>
        <w:ind w:firstLine="4080" w:firstLineChars="1700"/>
        <w:rPr>
          <w:rFonts w:ascii="宋体" w:hAnsi="宋体"/>
          <w:bCs/>
          <w:color w:val="auto"/>
          <w:sz w:val="24"/>
          <w:szCs w:val="20"/>
          <w:highlight w:val="none"/>
        </w:rPr>
      </w:pPr>
    </w:p>
    <w:p>
      <w:pPr>
        <w:snapToGrid w:val="0"/>
        <w:spacing w:before="120" w:beforeLines="50" w:after="50"/>
        <w:ind w:firstLine="645"/>
        <w:jc w:val="left"/>
        <w:rPr>
          <w:rFonts w:ascii="宋体" w:hAnsi="宋体"/>
          <w:bCs/>
          <w:color w:val="auto"/>
          <w:sz w:val="24"/>
          <w:szCs w:val="20"/>
          <w:highlight w:val="none"/>
        </w:rPr>
      </w:pPr>
      <w:r>
        <w:rPr>
          <w:rFonts w:hint="eastAsia" w:ascii="宋体" w:hAnsi="宋体"/>
          <w:bCs/>
          <w:color w:val="auto"/>
          <w:sz w:val="24"/>
          <w:highlight w:val="none"/>
        </w:rPr>
        <w:t xml:space="preserve">                        年    月    日</w:t>
      </w:r>
    </w:p>
    <w:p>
      <w:pPr>
        <w:snapToGrid w:val="0"/>
        <w:spacing w:before="120" w:beforeLines="50" w:after="50"/>
        <w:jc w:val="center"/>
        <w:outlineLvl w:val="1"/>
        <w:rPr>
          <w:rFonts w:ascii="宋体" w:hAnsi="宋体"/>
          <w:color w:val="auto"/>
          <w:highlight w:val="none"/>
        </w:rPr>
      </w:pPr>
    </w:p>
    <w:p>
      <w:pPr>
        <w:snapToGrid w:val="0"/>
        <w:spacing w:before="120" w:beforeLines="50" w:after="50"/>
        <w:jc w:val="center"/>
        <w:outlineLvl w:val="1"/>
        <w:rPr>
          <w:rFonts w:ascii="宋体" w:hAnsi="宋体"/>
          <w:color w:val="auto"/>
          <w:highlight w:val="none"/>
        </w:rPr>
      </w:pPr>
    </w:p>
    <w:p>
      <w:pPr>
        <w:snapToGrid w:val="0"/>
        <w:spacing w:before="120" w:beforeLines="50" w:after="50"/>
        <w:jc w:val="center"/>
        <w:outlineLvl w:val="1"/>
        <w:rPr>
          <w:rFonts w:ascii="宋体" w:hAnsi="宋体"/>
          <w:color w:val="auto"/>
          <w:highlight w:val="none"/>
        </w:rPr>
      </w:pPr>
    </w:p>
    <w:p>
      <w:pPr>
        <w:snapToGrid w:val="0"/>
        <w:spacing w:before="120" w:beforeLines="50" w:after="50"/>
        <w:jc w:val="center"/>
        <w:outlineLvl w:val="1"/>
        <w:rPr>
          <w:rFonts w:ascii="宋体" w:hAnsi="宋体"/>
          <w:color w:val="auto"/>
          <w:highlight w:val="none"/>
        </w:rPr>
      </w:pPr>
      <w:r>
        <w:rPr>
          <w:rFonts w:ascii="宋体" w:hAnsi="宋体"/>
          <w:color w:val="auto"/>
          <w:highlight w:val="none"/>
        </w:rPr>
        <w:br w:type="page"/>
      </w:r>
    </w:p>
    <w:p>
      <w:pPr>
        <w:snapToGrid w:val="0"/>
        <w:spacing w:before="120" w:beforeLines="50" w:after="50" w:line="360" w:lineRule="auto"/>
        <w:outlineLvl w:val="1"/>
        <w:rPr>
          <w:rFonts w:ascii="宋体" w:hAnsi="宋体"/>
          <w:b/>
          <w:bCs/>
          <w:color w:val="auto"/>
          <w:sz w:val="28"/>
          <w:szCs w:val="28"/>
          <w:highlight w:val="none"/>
        </w:rPr>
      </w:pPr>
      <w:bookmarkStart w:id="158" w:name="_Toc19686836"/>
      <w:bookmarkStart w:id="159" w:name="_Toc254970698"/>
      <w:bookmarkStart w:id="160" w:name="_Toc254970557"/>
      <w:r>
        <w:rPr>
          <w:rFonts w:hint="eastAsia" w:ascii="宋体" w:hAnsi="宋体"/>
          <w:b/>
          <w:bCs/>
          <w:color w:val="auto"/>
          <w:sz w:val="28"/>
          <w:szCs w:val="28"/>
          <w:highlight w:val="none"/>
        </w:rPr>
        <w:t>二、报价文件格式</w:t>
      </w:r>
      <w:bookmarkEnd w:id="158"/>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7"/>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ascii="宋体" w:hAnsi="宋体"/>
          <w:b/>
          <w:color w:val="auto"/>
          <w:sz w:val="32"/>
          <w:szCs w:val="32"/>
          <w:highlight w:val="none"/>
        </w:rPr>
      </w:pPr>
    </w:p>
    <w:p>
      <w:pPr>
        <w:spacing w:line="36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pPr>
        <w:spacing w:line="36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14"/>
        <w:spacing w:line="36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14"/>
        <w:spacing w:line="36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tbl>
      <w:tblPr>
        <w:tblStyle w:val="22"/>
        <w:tblW w:w="985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95"/>
        <w:gridCol w:w="885"/>
        <w:gridCol w:w="1800"/>
        <w:gridCol w:w="1095"/>
        <w:gridCol w:w="1637"/>
        <w:gridCol w:w="169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right"/>
        </w:trPr>
        <w:tc>
          <w:tcPr>
            <w:tcW w:w="645" w:type="dxa"/>
            <w:vAlign w:val="center"/>
          </w:tcPr>
          <w:p>
            <w:pPr>
              <w:pStyle w:val="14"/>
              <w:jc w:val="center"/>
              <w:rPr>
                <w:rFonts w:hAnsi="宋体" w:cs="宋体"/>
                <w:color w:val="auto"/>
                <w:spacing w:val="-20"/>
                <w:sz w:val="24"/>
                <w:szCs w:val="24"/>
                <w:highlight w:val="none"/>
              </w:rPr>
            </w:pPr>
            <w:r>
              <w:rPr>
                <w:rFonts w:hint="eastAsia" w:hAnsi="宋体" w:cs="宋体"/>
                <w:color w:val="auto"/>
                <w:spacing w:val="-20"/>
                <w:sz w:val="24"/>
                <w:szCs w:val="24"/>
                <w:highlight w:val="none"/>
              </w:rPr>
              <w:t>项号</w:t>
            </w:r>
          </w:p>
        </w:tc>
        <w:tc>
          <w:tcPr>
            <w:tcW w:w="1095" w:type="dxa"/>
            <w:vAlign w:val="center"/>
          </w:tcPr>
          <w:p>
            <w:pPr>
              <w:pStyle w:val="14"/>
              <w:jc w:val="center"/>
              <w:rPr>
                <w:rFonts w:hAnsi="宋体" w:cs="宋体"/>
                <w:color w:val="auto"/>
                <w:spacing w:val="-20"/>
                <w:sz w:val="24"/>
                <w:szCs w:val="24"/>
                <w:highlight w:val="none"/>
              </w:rPr>
            </w:pPr>
            <w:r>
              <w:rPr>
                <w:rFonts w:hint="eastAsia" w:hAnsi="宋体" w:cs="宋体"/>
                <w:color w:val="auto"/>
                <w:spacing w:val="-20"/>
                <w:sz w:val="24"/>
                <w:szCs w:val="24"/>
                <w:highlight w:val="none"/>
              </w:rPr>
              <w:t>货物名称</w:t>
            </w:r>
          </w:p>
        </w:tc>
        <w:tc>
          <w:tcPr>
            <w:tcW w:w="885" w:type="dxa"/>
            <w:vAlign w:val="center"/>
          </w:tcPr>
          <w:p>
            <w:pPr>
              <w:pStyle w:val="14"/>
              <w:jc w:val="center"/>
              <w:rPr>
                <w:rFonts w:hAnsi="宋体" w:cs="宋体"/>
                <w:color w:val="auto"/>
                <w:spacing w:val="-20"/>
                <w:sz w:val="24"/>
                <w:szCs w:val="24"/>
                <w:highlight w:val="none"/>
              </w:rPr>
            </w:pPr>
            <w:r>
              <w:rPr>
                <w:rFonts w:hint="eastAsia" w:hAnsi="宋体" w:cs="宋体"/>
                <w:color w:val="auto"/>
                <w:spacing w:val="-20"/>
                <w:sz w:val="24"/>
                <w:szCs w:val="24"/>
                <w:highlight w:val="none"/>
              </w:rPr>
              <w:t>总数量</w:t>
            </w:r>
          </w:p>
          <w:p>
            <w:pPr>
              <w:pStyle w:val="14"/>
              <w:jc w:val="center"/>
              <w:rPr>
                <w:rFonts w:hAnsi="宋体" w:cs="宋体"/>
                <w:color w:val="auto"/>
                <w:spacing w:val="-20"/>
                <w:sz w:val="24"/>
                <w:szCs w:val="24"/>
                <w:highlight w:val="none"/>
              </w:rPr>
            </w:pPr>
            <w:r>
              <w:rPr>
                <w:rFonts w:hint="eastAsia" w:hAnsi="宋体" w:cs="宋体"/>
                <w:color w:val="auto"/>
                <w:spacing w:val="-20"/>
                <w:sz w:val="24"/>
                <w:szCs w:val="24"/>
                <w:highlight w:val="none"/>
              </w:rPr>
              <w:t>①</w:t>
            </w:r>
          </w:p>
        </w:tc>
        <w:tc>
          <w:tcPr>
            <w:tcW w:w="1800"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货物全称、品牌</w:t>
            </w:r>
          </w:p>
        </w:tc>
        <w:tc>
          <w:tcPr>
            <w:tcW w:w="1095"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规格型号</w:t>
            </w:r>
          </w:p>
        </w:tc>
        <w:tc>
          <w:tcPr>
            <w:tcW w:w="1637"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单价(元)②</w:t>
            </w:r>
          </w:p>
        </w:tc>
        <w:tc>
          <w:tcPr>
            <w:tcW w:w="1698"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单项合价（元）</w:t>
            </w:r>
          </w:p>
          <w:p>
            <w:pPr>
              <w:pStyle w:val="14"/>
              <w:jc w:val="center"/>
              <w:rPr>
                <w:rFonts w:hAnsi="宋体" w:cs="宋体"/>
                <w:color w:val="auto"/>
                <w:sz w:val="24"/>
                <w:szCs w:val="24"/>
                <w:highlight w:val="none"/>
              </w:rPr>
            </w:pPr>
            <w:r>
              <w:rPr>
                <w:rFonts w:hint="eastAsia" w:hAnsi="宋体" w:cs="宋体"/>
                <w:color w:val="auto"/>
                <w:sz w:val="24"/>
                <w:szCs w:val="24"/>
                <w:highlight w:val="none"/>
              </w:rPr>
              <w:t>③＝①×②</w:t>
            </w:r>
          </w:p>
        </w:tc>
        <w:tc>
          <w:tcPr>
            <w:tcW w:w="996"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1</w:t>
            </w:r>
          </w:p>
        </w:tc>
        <w:tc>
          <w:tcPr>
            <w:tcW w:w="1095" w:type="dxa"/>
            <w:vAlign w:val="center"/>
          </w:tcPr>
          <w:p>
            <w:pPr>
              <w:pStyle w:val="14"/>
              <w:rPr>
                <w:rFonts w:hAnsi="宋体" w:cs="宋体"/>
                <w:color w:val="auto"/>
                <w:sz w:val="24"/>
                <w:szCs w:val="24"/>
                <w:highlight w:val="none"/>
              </w:rPr>
            </w:pPr>
          </w:p>
        </w:tc>
        <w:tc>
          <w:tcPr>
            <w:tcW w:w="885" w:type="dxa"/>
            <w:vAlign w:val="center"/>
          </w:tcPr>
          <w:p>
            <w:pPr>
              <w:pStyle w:val="14"/>
              <w:rPr>
                <w:rFonts w:hAnsi="宋体" w:cs="宋体"/>
                <w:color w:val="auto"/>
                <w:sz w:val="24"/>
                <w:szCs w:val="24"/>
                <w:highlight w:val="none"/>
              </w:rPr>
            </w:pPr>
          </w:p>
        </w:tc>
        <w:tc>
          <w:tcPr>
            <w:tcW w:w="1800" w:type="dxa"/>
            <w:vAlign w:val="center"/>
          </w:tcPr>
          <w:p>
            <w:pPr>
              <w:pStyle w:val="14"/>
              <w:rPr>
                <w:rFonts w:hAnsi="宋体" w:cs="宋体"/>
                <w:color w:val="auto"/>
                <w:sz w:val="24"/>
                <w:szCs w:val="24"/>
                <w:highlight w:val="none"/>
              </w:rPr>
            </w:pPr>
          </w:p>
        </w:tc>
        <w:tc>
          <w:tcPr>
            <w:tcW w:w="1095" w:type="dxa"/>
            <w:vAlign w:val="center"/>
          </w:tcPr>
          <w:p>
            <w:pPr>
              <w:pStyle w:val="14"/>
              <w:rPr>
                <w:rFonts w:hAnsi="宋体" w:cs="宋体"/>
                <w:color w:val="auto"/>
                <w:sz w:val="24"/>
                <w:szCs w:val="24"/>
                <w:highlight w:val="none"/>
              </w:rPr>
            </w:pPr>
          </w:p>
        </w:tc>
        <w:tc>
          <w:tcPr>
            <w:tcW w:w="1637" w:type="dxa"/>
            <w:vAlign w:val="center"/>
          </w:tcPr>
          <w:p>
            <w:pPr>
              <w:pStyle w:val="14"/>
              <w:rPr>
                <w:rFonts w:hAnsi="宋体" w:cs="宋体"/>
                <w:color w:val="auto"/>
                <w:sz w:val="24"/>
                <w:szCs w:val="24"/>
                <w:highlight w:val="none"/>
              </w:rPr>
            </w:pPr>
          </w:p>
        </w:tc>
        <w:tc>
          <w:tcPr>
            <w:tcW w:w="1698" w:type="dxa"/>
            <w:vAlign w:val="center"/>
          </w:tcPr>
          <w:p>
            <w:pPr>
              <w:pStyle w:val="14"/>
              <w:rPr>
                <w:rFonts w:hAnsi="宋体" w:cs="宋体"/>
                <w:color w:val="auto"/>
                <w:sz w:val="24"/>
                <w:szCs w:val="24"/>
                <w:highlight w:val="none"/>
              </w:rPr>
            </w:pPr>
          </w:p>
        </w:tc>
        <w:tc>
          <w:tcPr>
            <w:tcW w:w="996" w:type="dxa"/>
            <w:vAlign w:val="center"/>
          </w:tcPr>
          <w:p>
            <w:pPr>
              <w:pStyle w:val="14"/>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2</w:t>
            </w:r>
          </w:p>
        </w:tc>
        <w:tc>
          <w:tcPr>
            <w:tcW w:w="1095" w:type="dxa"/>
            <w:vAlign w:val="center"/>
          </w:tcPr>
          <w:p>
            <w:pPr>
              <w:pStyle w:val="14"/>
              <w:rPr>
                <w:rFonts w:hAnsi="宋体" w:cs="宋体"/>
                <w:color w:val="auto"/>
                <w:sz w:val="24"/>
                <w:szCs w:val="24"/>
                <w:highlight w:val="none"/>
              </w:rPr>
            </w:pPr>
          </w:p>
        </w:tc>
        <w:tc>
          <w:tcPr>
            <w:tcW w:w="885" w:type="dxa"/>
            <w:vAlign w:val="center"/>
          </w:tcPr>
          <w:p>
            <w:pPr>
              <w:pStyle w:val="14"/>
              <w:rPr>
                <w:rFonts w:hAnsi="宋体" w:cs="宋体"/>
                <w:color w:val="auto"/>
                <w:sz w:val="24"/>
                <w:szCs w:val="24"/>
                <w:highlight w:val="none"/>
              </w:rPr>
            </w:pPr>
          </w:p>
        </w:tc>
        <w:tc>
          <w:tcPr>
            <w:tcW w:w="1800" w:type="dxa"/>
            <w:vAlign w:val="center"/>
          </w:tcPr>
          <w:p>
            <w:pPr>
              <w:pStyle w:val="14"/>
              <w:rPr>
                <w:rFonts w:hAnsi="宋体" w:cs="宋体"/>
                <w:color w:val="auto"/>
                <w:sz w:val="24"/>
                <w:szCs w:val="24"/>
                <w:highlight w:val="none"/>
              </w:rPr>
            </w:pPr>
          </w:p>
        </w:tc>
        <w:tc>
          <w:tcPr>
            <w:tcW w:w="1095" w:type="dxa"/>
            <w:vAlign w:val="center"/>
          </w:tcPr>
          <w:p>
            <w:pPr>
              <w:pStyle w:val="14"/>
              <w:rPr>
                <w:rFonts w:hAnsi="宋体" w:cs="宋体"/>
                <w:color w:val="auto"/>
                <w:sz w:val="24"/>
                <w:szCs w:val="24"/>
                <w:highlight w:val="none"/>
              </w:rPr>
            </w:pPr>
          </w:p>
        </w:tc>
        <w:tc>
          <w:tcPr>
            <w:tcW w:w="1637" w:type="dxa"/>
            <w:vAlign w:val="center"/>
          </w:tcPr>
          <w:p>
            <w:pPr>
              <w:pStyle w:val="14"/>
              <w:rPr>
                <w:rFonts w:hAnsi="宋体" w:cs="宋体"/>
                <w:color w:val="auto"/>
                <w:sz w:val="24"/>
                <w:szCs w:val="24"/>
                <w:highlight w:val="none"/>
              </w:rPr>
            </w:pPr>
          </w:p>
        </w:tc>
        <w:tc>
          <w:tcPr>
            <w:tcW w:w="1698" w:type="dxa"/>
            <w:vAlign w:val="center"/>
          </w:tcPr>
          <w:p>
            <w:pPr>
              <w:pStyle w:val="14"/>
              <w:rPr>
                <w:rFonts w:hAnsi="宋体" w:cs="宋体"/>
                <w:color w:val="auto"/>
                <w:sz w:val="24"/>
                <w:szCs w:val="24"/>
                <w:highlight w:val="none"/>
              </w:rPr>
            </w:pPr>
          </w:p>
        </w:tc>
        <w:tc>
          <w:tcPr>
            <w:tcW w:w="996" w:type="dxa"/>
            <w:vAlign w:val="center"/>
          </w:tcPr>
          <w:p>
            <w:pPr>
              <w:pStyle w:val="14"/>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w:t>
            </w:r>
          </w:p>
        </w:tc>
        <w:tc>
          <w:tcPr>
            <w:tcW w:w="1095" w:type="dxa"/>
            <w:vAlign w:val="center"/>
          </w:tcPr>
          <w:p>
            <w:pPr>
              <w:pStyle w:val="14"/>
              <w:rPr>
                <w:rFonts w:hAnsi="宋体" w:cs="宋体"/>
                <w:color w:val="auto"/>
                <w:sz w:val="24"/>
                <w:szCs w:val="24"/>
                <w:highlight w:val="none"/>
              </w:rPr>
            </w:pPr>
          </w:p>
        </w:tc>
        <w:tc>
          <w:tcPr>
            <w:tcW w:w="885" w:type="dxa"/>
            <w:vAlign w:val="center"/>
          </w:tcPr>
          <w:p>
            <w:pPr>
              <w:pStyle w:val="14"/>
              <w:rPr>
                <w:rFonts w:hAnsi="宋体" w:cs="宋体"/>
                <w:color w:val="auto"/>
                <w:sz w:val="24"/>
                <w:szCs w:val="24"/>
                <w:highlight w:val="none"/>
              </w:rPr>
            </w:pPr>
          </w:p>
        </w:tc>
        <w:tc>
          <w:tcPr>
            <w:tcW w:w="1800" w:type="dxa"/>
            <w:vAlign w:val="center"/>
          </w:tcPr>
          <w:p>
            <w:pPr>
              <w:pStyle w:val="14"/>
              <w:rPr>
                <w:rFonts w:hAnsi="宋体" w:cs="宋体"/>
                <w:color w:val="auto"/>
                <w:sz w:val="24"/>
                <w:szCs w:val="24"/>
                <w:highlight w:val="none"/>
              </w:rPr>
            </w:pPr>
          </w:p>
        </w:tc>
        <w:tc>
          <w:tcPr>
            <w:tcW w:w="1095" w:type="dxa"/>
            <w:vAlign w:val="center"/>
          </w:tcPr>
          <w:p>
            <w:pPr>
              <w:pStyle w:val="14"/>
              <w:rPr>
                <w:rFonts w:hAnsi="宋体" w:cs="宋体"/>
                <w:color w:val="auto"/>
                <w:sz w:val="24"/>
                <w:szCs w:val="24"/>
                <w:highlight w:val="none"/>
              </w:rPr>
            </w:pPr>
          </w:p>
        </w:tc>
        <w:tc>
          <w:tcPr>
            <w:tcW w:w="1637" w:type="dxa"/>
            <w:vAlign w:val="center"/>
          </w:tcPr>
          <w:p>
            <w:pPr>
              <w:pStyle w:val="14"/>
              <w:rPr>
                <w:rFonts w:hAnsi="宋体" w:cs="宋体"/>
                <w:color w:val="auto"/>
                <w:sz w:val="24"/>
                <w:szCs w:val="24"/>
                <w:highlight w:val="none"/>
              </w:rPr>
            </w:pPr>
          </w:p>
        </w:tc>
        <w:tc>
          <w:tcPr>
            <w:tcW w:w="1698" w:type="dxa"/>
            <w:vAlign w:val="center"/>
          </w:tcPr>
          <w:p>
            <w:pPr>
              <w:pStyle w:val="14"/>
              <w:rPr>
                <w:rFonts w:hAnsi="宋体" w:cs="宋体"/>
                <w:color w:val="auto"/>
                <w:sz w:val="24"/>
                <w:szCs w:val="24"/>
                <w:highlight w:val="none"/>
              </w:rPr>
            </w:pPr>
          </w:p>
        </w:tc>
        <w:tc>
          <w:tcPr>
            <w:tcW w:w="996" w:type="dxa"/>
            <w:vAlign w:val="center"/>
          </w:tcPr>
          <w:p>
            <w:pPr>
              <w:pStyle w:val="14"/>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vAlign w:val="center"/>
          </w:tcPr>
          <w:p>
            <w:pPr>
              <w:pStyle w:val="14"/>
              <w:rPr>
                <w:rFonts w:hAnsi="宋体" w:cs="宋体"/>
                <w:color w:val="auto"/>
                <w:sz w:val="24"/>
                <w:szCs w:val="24"/>
                <w:highlight w:val="none"/>
              </w:rPr>
            </w:pPr>
            <w:r>
              <w:rPr>
                <w:rFonts w:hint="eastAsia" w:hAnsi="宋体" w:cs="宋体"/>
                <w:color w:val="auto"/>
                <w:sz w:val="24"/>
                <w:szCs w:val="24"/>
                <w:highlight w:val="none"/>
              </w:rPr>
              <w:t>报价合计（包含装卸、运输等所有费用）：（大写）人民币                （￥            元）</w:t>
            </w:r>
          </w:p>
          <w:p>
            <w:pPr>
              <w:rPr>
                <w:rFonts w:ascii="宋体" w:hAnsi="宋体" w:cs="宋体"/>
                <w:color w:val="auto"/>
                <w:sz w:val="24"/>
                <w:highlight w:val="none"/>
              </w:rPr>
            </w:pPr>
            <w:r>
              <w:rPr>
                <w:rFonts w:hint="eastAsia" w:ascii="宋体" w:hAnsi="宋体" w:cs="宋体"/>
                <w:color w:val="auto"/>
                <w:spacing w:val="-6"/>
                <w:sz w:val="24"/>
                <w:highlight w:val="none"/>
              </w:rPr>
              <w:t>投标货物中，属于小微企业生产的产品总值为</w:t>
            </w:r>
            <w:r>
              <w:rPr>
                <w:rFonts w:hint="eastAsia" w:ascii="宋体" w:hAnsi="宋体" w:cs="宋体"/>
                <w:color w:val="auto"/>
                <w:sz w:val="24"/>
                <w:highlight w:val="none"/>
              </w:rPr>
              <w:t>￥</w:t>
            </w:r>
            <w:r>
              <w:rPr>
                <w:rFonts w:hint="eastAsia" w:ascii="宋体" w:hAnsi="宋体" w:cs="宋体"/>
                <w:color w:val="auto"/>
                <w:spacing w:val="-6"/>
                <w:sz w:val="24"/>
                <w:highlight w:val="none"/>
              </w:rPr>
              <w:t xml:space="preserve">    元，占本投标报价的比例为   %；属于优先采购节能产品总值为</w:t>
            </w:r>
            <w:r>
              <w:rPr>
                <w:rFonts w:hint="eastAsia" w:ascii="宋体" w:hAnsi="宋体" w:cs="宋体"/>
                <w:color w:val="auto"/>
                <w:sz w:val="24"/>
                <w:highlight w:val="none"/>
              </w:rPr>
              <w:t>￥</w:t>
            </w:r>
            <w:r>
              <w:rPr>
                <w:rFonts w:hint="eastAsia" w:ascii="宋体" w:hAnsi="宋体" w:cs="宋体"/>
                <w:color w:val="auto"/>
                <w:spacing w:val="-6"/>
                <w:sz w:val="24"/>
                <w:highlight w:val="none"/>
              </w:rPr>
              <w:t xml:space="preserve">    元，占本投标报价的比例为   %；属于优先采购环境标志产品总值为</w:t>
            </w:r>
            <w:r>
              <w:rPr>
                <w:rFonts w:hint="eastAsia" w:ascii="宋体" w:hAnsi="宋体" w:cs="宋体"/>
                <w:color w:val="auto"/>
                <w:sz w:val="24"/>
                <w:highlight w:val="none"/>
              </w:rPr>
              <w:t>￥</w:t>
            </w:r>
            <w:r>
              <w:rPr>
                <w:rFonts w:hint="eastAsia" w:ascii="宋体" w:hAnsi="宋体" w:cs="宋体"/>
                <w:color w:val="auto"/>
                <w:spacing w:val="-6"/>
                <w:sz w:val="24"/>
                <w:highlight w:val="none"/>
              </w:rPr>
              <w:t xml:space="preserve">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vAlign w:val="center"/>
          </w:tcPr>
          <w:p>
            <w:pPr>
              <w:pStyle w:val="14"/>
              <w:tabs>
                <w:tab w:val="left" w:pos="2907"/>
              </w:tabs>
              <w:rPr>
                <w:rFonts w:hAnsi="宋体" w:cs="宋体"/>
                <w:color w:val="auto"/>
                <w:spacing w:val="-6"/>
                <w:sz w:val="24"/>
                <w:szCs w:val="24"/>
                <w:highlight w:val="none"/>
              </w:rPr>
            </w:pP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vAlign w:val="center"/>
          </w:tcPr>
          <w:p>
            <w:pPr>
              <w:pStyle w:val="14"/>
              <w:rPr>
                <w:rFonts w:hAnsi="宋体" w:cs="宋体"/>
                <w:color w:val="auto"/>
                <w:spacing w:val="-6"/>
                <w:sz w:val="24"/>
                <w:szCs w:val="24"/>
                <w:highlight w:val="none"/>
                <w:u w:val="single"/>
              </w:rPr>
            </w:pPr>
            <w:r>
              <w:rPr>
                <w:rFonts w:hint="eastAsia" w:hAnsi="宋体" w:cs="宋体"/>
                <w:color w:val="auto"/>
                <w:spacing w:val="-6"/>
                <w:sz w:val="24"/>
                <w:szCs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vAlign w:val="center"/>
          </w:tcPr>
          <w:p>
            <w:pPr>
              <w:pStyle w:val="14"/>
              <w:rPr>
                <w:rFonts w:hAnsi="宋体" w:cs="宋体"/>
                <w:color w:val="auto"/>
                <w:spacing w:val="-6"/>
                <w:sz w:val="24"/>
                <w:szCs w:val="24"/>
                <w:highlight w:val="none"/>
              </w:rPr>
            </w:pPr>
            <w:r>
              <w:rPr>
                <w:rFonts w:hint="eastAsia" w:hAnsi="宋体" w:cs="宋体"/>
                <w:color w:val="auto"/>
                <w:spacing w:val="-6"/>
                <w:sz w:val="24"/>
                <w:szCs w:val="24"/>
                <w:highlight w:val="none"/>
              </w:rPr>
              <w:t xml:space="preserve">法定代表人或其委托代理人（签字或盖章）：       </w:t>
            </w:r>
          </w:p>
        </w:tc>
      </w:tr>
    </w:tbl>
    <w:p>
      <w:pPr>
        <w:pStyle w:val="14"/>
        <w:rPr>
          <w:rFonts w:hint="eastAsia" w:hAnsi="宋体" w:cs="宋体"/>
          <w:b/>
          <w:bCs/>
          <w:color w:val="auto"/>
          <w:sz w:val="24"/>
          <w:szCs w:val="24"/>
          <w:highlight w:val="none"/>
        </w:rPr>
      </w:pPr>
    </w:p>
    <w:p>
      <w:pPr>
        <w:pStyle w:val="14"/>
        <w:rPr>
          <w:rFonts w:hint="eastAsia" w:hAnsi="宋体" w:cs="宋体"/>
          <w:b/>
          <w:bCs/>
          <w:color w:val="auto"/>
          <w:sz w:val="24"/>
          <w:szCs w:val="24"/>
          <w:highlight w:val="none"/>
        </w:rPr>
      </w:pPr>
      <w:r>
        <w:rPr>
          <w:rFonts w:hint="eastAsia" w:hAnsi="宋体" w:cs="宋体"/>
          <w:b/>
          <w:bCs/>
          <w:color w:val="auto"/>
          <w:sz w:val="24"/>
          <w:szCs w:val="24"/>
          <w:highlight w:val="none"/>
        </w:rPr>
        <w:t>注：</w:t>
      </w:r>
    </w:p>
    <w:p>
      <w:pPr>
        <w:pStyle w:val="14"/>
        <w:rPr>
          <w:rFonts w:hint="eastAsia" w:hAnsi="宋体" w:cs="宋体"/>
          <w:color w:val="auto"/>
          <w:sz w:val="24"/>
          <w:szCs w:val="24"/>
          <w:highlight w:val="none"/>
        </w:rPr>
      </w:pPr>
      <w:r>
        <w:rPr>
          <w:rFonts w:hint="eastAsia" w:hAnsi="宋体" w:cs="宋体"/>
          <w:color w:val="auto"/>
          <w:sz w:val="24"/>
          <w:szCs w:val="24"/>
          <w:highlight w:val="none"/>
        </w:rPr>
        <w:t>表格内容均需按要求填写并盖章，不得留空，否则按投标无效处理。</w:t>
      </w:r>
    </w:p>
    <w:p>
      <w:pPr>
        <w:pStyle w:val="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投标要求：1-</w:t>
      </w:r>
      <w:r>
        <w:rPr>
          <w:rFonts w:hint="eastAsia" w:ascii="宋体" w:hAnsi="宋体" w:eastAsia="宋体" w:cs="宋体"/>
          <w:b/>
          <w:bCs/>
          <w:color w:val="auto"/>
          <w:sz w:val="24"/>
          <w:szCs w:val="24"/>
          <w:highlight w:val="none"/>
          <w:lang w:val="en-US" w:eastAsia="zh-CN"/>
        </w:rPr>
        <w:t>418</w:t>
      </w:r>
      <w:r>
        <w:rPr>
          <w:rFonts w:hint="eastAsia" w:ascii="宋体" w:hAnsi="宋体" w:eastAsia="宋体" w:cs="宋体"/>
          <w:b/>
          <w:bCs/>
          <w:color w:val="auto"/>
          <w:sz w:val="24"/>
          <w:szCs w:val="24"/>
          <w:highlight w:val="none"/>
        </w:rPr>
        <w:t>项分别报价。419-423项合并报价并附工程量清单，合并报价与工程量清单报价一致，否则投标无效。</w:t>
      </w:r>
    </w:p>
    <w:p>
      <w:pPr>
        <w:snapToGrid w:val="0"/>
        <w:spacing w:before="120" w:beforeLines="50" w:after="50" w:line="360" w:lineRule="auto"/>
        <w:outlineLvl w:val="1"/>
        <w:rPr>
          <w:rFonts w:ascii="宋体" w:hAnsi="宋体"/>
          <w:b/>
          <w:bCs/>
          <w:color w:val="auto"/>
          <w:sz w:val="24"/>
          <w:highlight w:val="none"/>
        </w:rPr>
      </w:pPr>
      <w:r>
        <w:rPr>
          <w:rFonts w:hint="eastAsia" w:ascii="宋体" w:hAnsi="宋体"/>
          <w:b w:val="0"/>
          <w:bCs w:val="0"/>
          <w:color w:val="auto"/>
          <w:sz w:val="24"/>
          <w:highlight w:val="none"/>
        </w:rPr>
        <w:t>投标报价应包括墓体石材、制造、包装、运输、装卸、施工安装、人员工资、检测、验收、保修期内保修服务与备用物件、税费等一切可预见及不可预见的完成本采购项目所需的一切费用。</w:t>
      </w:r>
    </w:p>
    <w:p>
      <w:pPr>
        <w:snapToGrid w:val="0"/>
        <w:spacing w:before="120" w:beforeLines="50" w:after="50" w:line="360" w:lineRule="auto"/>
        <w:outlineLvl w:val="1"/>
        <w:rPr>
          <w:rFonts w:ascii="宋体" w:hAnsi="宋体"/>
          <w:b/>
          <w:bCs/>
          <w:color w:val="auto"/>
          <w:sz w:val="24"/>
          <w:highlight w:val="none"/>
        </w:rPr>
      </w:pPr>
    </w:p>
    <w:p>
      <w:pPr>
        <w:snapToGrid w:val="0"/>
        <w:spacing w:before="120" w:beforeLines="50" w:after="50" w:line="360" w:lineRule="auto"/>
        <w:outlineLvl w:val="1"/>
        <w:rPr>
          <w:rFonts w:ascii="宋体" w:hAnsi="宋体"/>
          <w:b/>
          <w:bCs/>
          <w:color w:val="auto"/>
          <w:sz w:val="28"/>
          <w:szCs w:val="28"/>
          <w:highlight w:val="none"/>
        </w:rPr>
      </w:pPr>
      <w:r>
        <w:rPr>
          <w:rFonts w:hint="eastAsia" w:ascii="宋体" w:hAnsi="宋体"/>
          <w:b/>
          <w:bCs/>
          <w:color w:val="auto"/>
          <w:sz w:val="24"/>
          <w:highlight w:val="none"/>
        </w:rPr>
        <w:t>5.投标人针对报价需要说明的其他文件和说明（格式自拟）</w:t>
      </w:r>
      <w:r>
        <w:rPr>
          <w:rFonts w:ascii="宋体" w:hAnsi="宋体"/>
          <w:b/>
          <w:bCs/>
          <w:color w:val="auto"/>
          <w:sz w:val="24"/>
          <w:highlight w:val="none"/>
        </w:rPr>
        <w:br w:type="page"/>
      </w:r>
      <w:bookmarkStart w:id="161" w:name="_Toc19686837"/>
      <w:r>
        <w:rPr>
          <w:rFonts w:hint="eastAsia" w:ascii="宋体" w:hAnsi="宋体"/>
          <w:b/>
          <w:bCs/>
          <w:color w:val="auto"/>
          <w:sz w:val="28"/>
          <w:szCs w:val="28"/>
          <w:highlight w:val="none"/>
        </w:rPr>
        <w:t>三、资格证明文件格式</w:t>
      </w:r>
      <w:bookmarkEnd w:id="159"/>
      <w:bookmarkEnd w:id="160"/>
      <w:bookmarkEnd w:id="161"/>
    </w:p>
    <w:p>
      <w:pPr>
        <w:numPr>
          <w:ilvl w:val="2"/>
          <w:numId w:val="7"/>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7"/>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widowControl/>
        <w:spacing w:line="440" w:lineRule="exact"/>
        <w:jc w:val="center"/>
        <w:rPr>
          <w:rFonts w:ascii="宋体" w:hAnsi="宋体" w:cs="宋体"/>
          <w:color w:val="auto"/>
          <w:sz w:val="32"/>
          <w:szCs w:val="32"/>
          <w:highlight w:val="none"/>
        </w:rPr>
      </w:pPr>
      <w:r>
        <w:rPr>
          <w:rFonts w:ascii="宋体" w:hAnsi="宋体"/>
          <w:b/>
          <w:color w:val="auto"/>
          <w:sz w:val="24"/>
          <w:highlight w:val="none"/>
        </w:rPr>
        <w:br w:type="page"/>
      </w:r>
      <w:r>
        <w:rPr>
          <w:rFonts w:hint="eastAsia" w:ascii="宋体" w:hAnsi="宋体" w:cs="宋体"/>
          <w:color w:val="auto"/>
          <w:kern w:val="0"/>
          <w:sz w:val="36"/>
          <w:szCs w:val="36"/>
          <w:highlight w:val="none"/>
          <w:lang w:bidi="ar"/>
        </w:rPr>
        <w:t>崇左市政府采购供应商信用承诺函（格式）</w:t>
      </w:r>
    </w:p>
    <w:p>
      <w:pPr>
        <w:widowControl/>
        <w:spacing w:line="440" w:lineRule="exact"/>
        <w:jc w:val="left"/>
        <w:rPr>
          <w:rFonts w:ascii="宋体" w:hAnsi="宋体" w:cs="宋体"/>
          <w:color w:val="auto"/>
          <w:kern w:val="0"/>
          <w:sz w:val="32"/>
          <w:szCs w:val="32"/>
          <w:highlight w:val="none"/>
          <w:lang w:bidi="ar"/>
        </w:rPr>
      </w:pPr>
    </w:p>
    <w:p>
      <w:pPr>
        <w:widowControl/>
        <w:spacing w:line="440" w:lineRule="exact"/>
        <w:rPr>
          <w:rFonts w:ascii="宋体" w:hAnsi="宋体" w:cs="宋体"/>
          <w:color w:val="auto"/>
          <w:sz w:val="24"/>
          <w:highlight w:val="none"/>
          <w:u w:val="single"/>
        </w:rPr>
      </w:pPr>
      <w:r>
        <w:rPr>
          <w:rFonts w:hint="eastAsia" w:ascii="宋体" w:hAnsi="宋体" w:cs="宋体"/>
          <w:color w:val="auto"/>
          <w:kern w:val="0"/>
          <w:sz w:val="24"/>
          <w:highlight w:val="none"/>
          <w:lang w:bidi="ar"/>
        </w:rPr>
        <w:t>致</w:t>
      </w:r>
      <w:r>
        <w:rPr>
          <w:rFonts w:hint="eastAsia" w:ascii="宋体" w:hAnsi="宋体" w:cs="宋体"/>
          <w:color w:val="auto"/>
          <w:kern w:val="0"/>
          <w:sz w:val="24"/>
          <w:highlight w:val="none"/>
          <w:u w:val="single"/>
          <w:lang w:bidi="ar"/>
        </w:rPr>
        <w:t>（采购代理机构名称）</w:t>
      </w:r>
      <w:r>
        <w:rPr>
          <w:rFonts w:hint="eastAsia" w:ascii="宋体" w:hAnsi="宋体" w:cs="宋体"/>
          <w:color w:val="auto"/>
          <w:kern w:val="0"/>
          <w:sz w:val="24"/>
          <w:highlight w:val="none"/>
          <w:lang w:bidi="ar"/>
        </w:rPr>
        <w:t>:</w:t>
      </w:r>
    </w:p>
    <w:p>
      <w:pPr>
        <w:widowControl/>
        <w:spacing w:line="44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lang w:bidi="ar"/>
        </w:rPr>
        <w:t>我方自愿参加</w:t>
      </w:r>
      <w:r>
        <w:rPr>
          <w:rFonts w:hint="eastAsia" w:ascii="宋体" w:hAnsi="宋体" w:cs="宋体"/>
          <w:color w:val="auto"/>
          <w:kern w:val="0"/>
          <w:sz w:val="24"/>
          <w:highlight w:val="none"/>
          <w:u w:val="single"/>
          <w:lang w:bidi="ar"/>
        </w:rPr>
        <w:t xml:space="preserve"> （项目名称） </w:t>
      </w:r>
      <w:r>
        <w:rPr>
          <w:rFonts w:hint="eastAsia" w:ascii="宋体" w:hAnsi="宋体" w:cs="宋体"/>
          <w:color w:val="auto"/>
          <w:kern w:val="0"/>
          <w:sz w:val="24"/>
          <w:highlight w:val="none"/>
          <w:lang w:bidi="ar"/>
        </w:rPr>
        <w:t>项目</w:t>
      </w: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w:t>
      </w:r>
      <w:r>
        <w:rPr>
          <w:rFonts w:hint="eastAsia" w:ascii="宋体" w:hAnsi="宋体" w:cs="宋体"/>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4"/>
          <w:highlight w:val="none"/>
          <w:lang w:bidi="ar"/>
        </w:rPr>
        <w:t xml:space="preserve">： </w:t>
      </w:r>
    </w:p>
    <w:p>
      <w:pPr>
        <w:widowControl/>
        <w:spacing w:line="440" w:lineRule="exact"/>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1.我方</w:t>
      </w:r>
      <w:r>
        <w:rPr>
          <w:rFonts w:hint="eastAsia" w:ascii="宋体" w:hAnsi="宋体" w:cs="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 xml:space="preserve">2.我方具有符合采购文件资格要求的财务状况报告。 </w:t>
      </w:r>
    </w:p>
    <w:p>
      <w:pPr>
        <w:widowControl/>
        <w:spacing w:line="440" w:lineRule="exact"/>
        <w:ind w:firstLine="456" w:firstLineChars="200"/>
        <w:rPr>
          <w:rFonts w:ascii="宋体" w:hAnsi="宋体" w:cs="宋体"/>
          <w:color w:val="auto"/>
          <w:spacing w:val="-17"/>
          <w:sz w:val="24"/>
          <w:highlight w:val="none"/>
        </w:rPr>
      </w:pPr>
      <w:r>
        <w:rPr>
          <w:rFonts w:hint="eastAsia" w:ascii="宋体" w:hAnsi="宋体" w:cs="宋体"/>
          <w:color w:val="auto"/>
          <w:spacing w:val="-6"/>
          <w:kern w:val="0"/>
          <w:sz w:val="24"/>
          <w:highlight w:val="none"/>
          <w:lang w:bidi="ar"/>
        </w:rPr>
        <w:t>3.我方具有符合采购文件资格要求的依法缴纳税收和社会保障资金的良好记录。</w:t>
      </w:r>
      <w:r>
        <w:rPr>
          <w:rFonts w:hint="eastAsia" w:ascii="宋体" w:hAnsi="宋体" w:cs="宋体"/>
          <w:color w:val="auto"/>
          <w:spacing w:val="-17"/>
          <w:kern w:val="0"/>
          <w:sz w:val="24"/>
          <w:highlight w:val="none"/>
          <w:lang w:bidi="ar"/>
        </w:rPr>
        <w:t xml:space="preserve"> </w:t>
      </w:r>
    </w:p>
    <w:p>
      <w:pPr>
        <w:widowControl/>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 xml:space="preserve">4.我方具有符合采购文件资格要求履行合同所必需的设备和专业技术能力。 </w:t>
      </w:r>
    </w:p>
    <w:p>
      <w:pPr>
        <w:widowControl/>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 xml:space="preserve">5.我方参加政府采购活动前3年内在经营活动中没有重大违法记录。 </w:t>
      </w:r>
    </w:p>
    <w:p>
      <w:pPr>
        <w:widowControl/>
        <w:spacing w:line="440" w:lineRule="exact"/>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我方对以上承诺内容的真实性负责。如有虚假，将依法承担相应责任。</w:t>
      </w:r>
    </w:p>
    <w:p>
      <w:pPr>
        <w:widowControl/>
        <w:spacing w:line="440" w:lineRule="exact"/>
        <w:ind w:firstLine="480" w:firstLineChars="200"/>
        <w:rPr>
          <w:rFonts w:ascii="宋体" w:hAnsi="宋体" w:cs="宋体"/>
          <w:color w:val="auto"/>
          <w:kern w:val="0"/>
          <w:sz w:val="24"/>
          <w:highlight w:val="none"/>
          <w:lang w:bidi="ar"/>
        </w:rPr>
      </w:pPr>
    </w:p>
    <w:p>
      <w:pPr>
        <w:widowControl/>
        <w:spacing w:line="440" w:lineRule="exact"/>
        <w:ind w:firstLine="480" w:firstLineChars="200"/>
        <w:rPr>
          <w:rFonts w:ascii="宋体" w:hAnsi="宋体" w:cs="宋体"/>
          <w:color w:val="auto"/>
          <w:kern w:val="0"/>
          <w:sz w:val="24"/>
          <w:highlight w:val="none"/>
          <w:lang w:bidi="ar"/>
        </w:rPr>
      </w:pPr>
    </w:p>
    <w:p>
      <w:pPr>
        <w:widowControl/>
        <w:spacing w:line="440" w:lineRule="exact"/>
        <w:ind w:firstLine="3600" w:firstLineChars="1500"/>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供应商名称（盖章）： </w:t>
      </w:r>
    </w:p>
    <w:p>
      <w:pPr>
        <w:tabs>
          <w:tab w:val="left" w:pos="7560"/>
        </w:tabs>
        <w:spacing w:line="440" w:lineRule="exact"/>
        <w:ind w:firstLine="3600" w:firstLineChars="15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日期：</w:t>
      </w:r>
    </w:p>
    <w:p>
      <w:pPr>
        <w:pStyle w:val="20"/>
        <w:wordWrap w:val="0"/>
        <w:spacing w:before="0" w:beforeAutospacing="0" w:after="0" w:afterAutospacing="0" w:line="560" w:lineRule="exact"/>
        <w:jc w:val="both"/>
        <w:rPr>
          <w:rFonts w:cs="宋体"/>
          <w:color w:val="auto"/>
          <w:highlight w:val="none"/>
          <w:lang w:bidi="ar"/>
        </w:rPr>
      </w:pPr>
    </w:p>
    <w:p>
      <w:pPr>
        <w:pStyle w:val="20"/>
        <w:wordWrap w:val="0"/>
        <w:spacing w:before="0" w:beforeAutospacing="0" w:after="0" w:afterAutospacing="0" w:line="400" w:lineRule="exact"/>
        <w:jc w:val="both"/>
        <w:rPr>
          <w:rFonts w:cs="宋体"/>
          <w:color w:val="auto"/>
          <w:highlight w:val="none"/>
        </w:rPr>
      </w:pPr>
      <w:r>
        <w:rPr>
          <w:rFonts w:hint="eastAsia" w:cs="宋体"/>
          <w:color w:val="auto"/>
          <w:highlight w:val="none"/>
          <w:lang w:bidi="ar"/>
        </w:rPr>
        <w:t>注：1.</w:t>
      </w:r>
      <w:r>
        <w:rPr>
          <w:rFonts w:hint="eastAsia" w:cs="宋体"/>
          <w:color w:val="auto"/>
          <w:highlight w:val="none"/>
        </w:rPr>
        <w:t>参与政府采购活动的供应商可按第1点的内容：“</w:t>
      </w:r>
      <w:r>
        <w:rPr>
          <w:rFonts w:hint="eastAsia" w:cs="宋体"/>
          <w:color w:val="auto"/>
          <w:highlight w:val="none"/>
          <w:lang w:bidi="ar"/>
        </w:rPr>
        <w:t>我方</w:t>
      </w:r>
      <w:r>
        <w:rPr>
          <w:rFonts w:hint="eastAsia" w:cs="宋体"/>
          <w:color w:val="auto"/>
          <w:spacing w:val="6"/>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cs="宋体"/>
          <w:color w:val="auto"/>
          <w:highlight w:val="none"/>
          <w:lang w:bidi="ar"/>
        </w:rPr>
        <w:t>我方</w:t>
      </w:r>
      <w:r>
        <w:rPr>
          <w:rFonts w:hint="eastAsia" w:cs="宋体"/>
          <w:color w:val="auto"/>
          <w:spacing w:val="6"/>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line="360" w:lineRule="auto"/>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投标人直接控股、管理关系信息表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24"/>
          <w:highlight w:val="none"/>
        </w:rPr>
      </w:pPr>
      <w:r>
        <w:rPr>
          <w:rFonts w:hint="eastAsia" w:ascii="宋体" w:hAnsi="宋体"/>
          <w:b/>
          <w:color w:val="auto"/>
          <w:sz w:val="24"/>
          <w:highlight w:val="none"/>
        </w:rPr>
        <w:t>投标人直接控股股东信息表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Cs w:val="21"/>
          <w:highlight w:val="none"/>
        </w:rPr>
      </w:pPr>
      <w:r>
        <w:rPr>
          <w:rFonts w:hint="eastAsia" w:ascii="宋体" w:hAnsi="宋体"/>
          <w:color w:val="auto"/>
          <w:sz w:val="24"/>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napToGrid w:val="0"/>
        <w:spacing w:line="360" w:lineRule="auto"/>
        <w:jc w:val="center"/>
        <w:rPr>
          <w:rFonts w:ascii="宋体" w:hAnsi="宋体"/>
          <w:color w:val="auto"/>
          <w:sz w:val="24"/>
          <w:highlight w:val="none"/>
        </w:rPr>
      </w:pPr>
      <w:r>
        <w:rPr>
          <w:rFonts w:hint="eastAsia" w:ascii="宋体" w:hAnsi="宋体"/>
          <w:b/>
          <w:color w:val="auto"/>
          <w:sz w:val="24"/>
          <w:highlight w:val="none"/>
        </w:rPr>
        <w:t>投标人直接管理关系信息表</w:t>
      </w:r>
    </w:p>
    <w:tbl>
      <w:tblPr>
        <w:tblStyle w:val="2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ascii="宋体" w:hAnsi="宋体"/>
          <w:color w:val="auto"/>
          <w:szCs w:val="21"/>
          <w:highlight w:val="none"/>
        </w:rPr>
      </w:pPr>
    </w:p>
    <w:p>
      <w:pPr>
        <w:snapToGrid w:val="0"/>
        <w:spacing w:before="120" w:beforeLines="50" w:after="50"/>
        <w:jc w:val="left"/>
        <w:rPr>
          <w:rFonts w:ascii="宋体" w:hAnsi="宋体"/>
          <w:b/>
          <w:color w:val="auto"/>
          <w:sz w:val="24"/>
          <w:szCs w:val="20"/>
          <w:highlight w:val="none"/>
        </w:rPr>
      </w:pP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center"/>
        <w:rPr>
          <w:rFonts w:ascii="宋体" w:hAnsi="宋体"/>
          <w:b/>
          <w:color w:val="auto"/>
          <w:sz w:val="32"/>
          <w:szCs w:val="32"/>
          <w:highlight w:val="none"/>
        </w:rPr>
      </w:pPr>
      <w:r>
        <w:rPr>
          <w:rFonts w:hint="eastAsia" w:ascii="宋体" w:hAnsi="宋体"/>
          <w:b/>
          <w:color w:val="auto"/>
          <w:sz w:val="32"/>
          <w:szCs w:val="32"/>
          <w:highlight w:val="none"/>
        </w:rPr>
        <w:t>投标声明</w:t>
      </w:r>
    </w:p>
    <w:p>
      <w:pPr>
        <w:spacing w:line="360" w:lineRule="auto"/>
        <w:contextualSpacing/>
        <w:jc w:val="left"/>
        <w:rPr>
          <w:color w:val="auto"/>
          <w:sz w:val="24"/>
          <w:highlight w:val="none"/>
        </w:rPr>
      </w:pPr>
      <w:r>
        <w:rPr>
          <w:rFonts w:hint="eastAsia"/>
          <w:color w:val="auto"/>
          <w:sz w:val="24"/>
          <w:highlight w:val="none"/>
        </w:rPr>
        <w:t>（采购人名称）：</w:t>
      </w:r>
    </w:p>
    <w:p>
      <w:pPr>
        <w:spacing w:line="360" w:lineRule="auto"/>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注：如为联合体投标，盖章处须加盖联合体各方公章并由联合体各方法定代表人分别签字，否则投标无效。</w:t>
      </w:r>
    </w:p>
    <w:p>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360" w:lineRule="auto"/>
        <w:contextualSpacing/>
        <w:jc w:val="left"/>
        <w:rPr>
          <w:rFonts w:ascii="宋体" w:hAnsi="宋体"/>
          <w:color w:val="auto"/>
          <w:highlight w:val="none"/>
        </w:rPr>
      </w:pPr>
      <w:r>
        <w:rPr>
          <w:rFonts w:hint="eastAsia" w:ascii="宋体" w:hAnsi="宋体"/>
          <w:color w:val="auto"/>
          <w:sz w:val="24"/>
          <w:highlight w:val="none"/>
        </w:rPr>
        <w:t xml:space="preserve">                                                  年    月    日</w:t>
      </w:r>
    </w:p>
    <w:p>
      <w:pPr>
        <w:spacing w:line="360" w:lineRule="auto"/>
        <w:contextualSpacing/>
        <w:jc w:val="left"/>
        <w:rPr>
          <w:rFonts w:ascii="宋体" w:hAnsi="宋体"/>
          <w:color w:val="auto"/>
          <w:sz w:val="24"/>
          <w:highlight w:val="none"/>
          <w:u w:val="single"/>
        </w:rPr>
      </w:pPr>
    </w:p>
    <w:p>
      <w:pPr>
        <w:spacing w:line="360" w:lineRule="auto"/>
        <w:contextualSpacing/>
        <w:jc w:val="left"/>
        <w:rPr>
          <w:rFonts w:ascii="宋体" w:hAnsi="宋体"/>
          <w:b/>
          <w:bCs/>
          <w:color w:val="auto"/>
          <w:sz w:val="28"/>
          <w:szCs w:val="28"/>
          <w:highlight w:val="none"/>
        </w:rPr>
      </w:pPr>
      <w:r>
        <w:rPr>
          <w:rFonts w:hint="eastAsia" w:ascii="宋体" w:hAnsi="宋体"/>
          <w:color w:val="auto"/>
          <w:sz w:val="24"/>
          <w:highlight w:val="none"/>
          <w:u w:val="single"/>
        </w:rPr>
        <w:br w:type="page"/>
      </w:r>
      <w:bookmarkStart w:id="162" w:name="_Toc19686838"/>
      <w:r>
        <w:rPr>
          <w:rFonts w:hint="eastAsia" w:ascii="宋体" w:hAnsi="宋体"/>
          <w:b/>
          <w:bCs/>
          <w:color w:val="auto"/>
          <w:sz w:val="28"/>
          <w:szCs w:val="28"/>
          <w:highlight w:val="none"/>
        </w:rPr>
        <w:t>四、商务文件格式</w:t>
      </w:r>
      <w:bookmarkEnd w:id="162"/>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pacing w:line="360" w:lineRule="auto"/>
        <w:contextualSpacing/>
        <w:rPr>
          <w:rFonts w:ascii="宋体" w:hAnsi="宋体"/>
          <w:b/>
          <w:color w:val="auto"/>
          <w:sz w:val="24"/>
          <w:highlight w:val="none"/>
        </w:rPr>
      </w:pPr>
    </w:p>
    <w:p>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360" w:lineRule="auto"/>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360" w:lineRule="auto"/>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360" w:lineRule="auto"/>
        <w:ind w:firstLine="472" w:firstLineChars="196"/>
        <w:contextualSpacing/>
        <w:jc w:val="left"/>
        <w:rPr>
          <w:rFonts w:hAnsi="宋体"/>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4"/>
        <w:spacing w:line="360" w:lineRule="auto"/>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14"/>
        <w:spacing w:line="360" w:lineRule="auto"/>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宋体" w:hAnsi="Courier New"/>
          <w:b/>
          <w:color w:val="auto"/>
          <w:sz w:val="32"/>
          <w:szCs w:val="32"/>
          <w:highlight w:val="none"/>
        </w:rPr>
      </w:pPr>
    </w:p>
    <w:p>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授权委托书</w:t>
      </w:r>
    </w:p>
    <w:p>
      <w:pPr>
        <w:spacing w:line="360" w:lineRule="auto"/>
        <w:contextualSpacing/>
        <w:jc w:val="center"/>
        <w:rPr>
          <w:rFonts w:ascii="宋体" w:hAnsi="宋体"/>
          <w:b/>
          <w:color w:val="auto"/>
          <w:sz w:val="24"/>
          <w:highlight w:val="none"/>
        </w:rPr>
      </w:pPr>
      <w:r>
        <w:rPr>
          <w:rFonts w:hint="eastAsia" w:ascii="宋体" w:hAnsi="宋体"/>
          <w:b/>
          <w:color w:val="auto"/>
          <w:sz w:val="32"/>
          <w:szCs w:val="32"/>
          <w:highlight w:val="none"/>
        </w:rPr>
        <w:t>（如有委托时）</w:t>
      </w:r>
    </w:p>
    <w:p>
      <w:pPr>
        <w:spacing w:line="360" w:lineRule="auto"/>
        <w:contextualSpacing/>
        <w:jc w:val="center"/>
        <w:rPr>
          <w:rFonts w:ascii="宋体" w:hAnsi="宋体"/>
          <w:b/>
          <w:color w:val="auto"/>
          <w:sz w:val="24"/>
          <w:highlight w:val="none"/>
        </w:rPr>
      </w:pPr>
    </w:p>
    <w:p>
      <w:pPr>
        <w:spacing w:line="360" w:lineRule="auto"/>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pPr>
        <w:spacing w:line="360" w:lineRule="auto"/>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pPr>
        <w:spacing w:line="360" w:lineRule="auto"/>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360" w:lineRule="auto"/>
        <w:contextualSpacing/>
        <w:rPr>
          <w:rFonts w:ascii="宋体" w:hAnsi="宋体"/>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63" w:name="_Hlk65851555"/>
      <w:bookmarkStart w:id="164" w:name="_Hlk65851620"/>
      <w:r>
        <w:rPr>
          <w:rFonts w:hint="eastAsia" w:ascii="宋体" w:hAnsi="宋体" w:cs="仿宋_GB2312"/>
          <w:color w:val="auto"/>
          <w:sz w:val="24"/>
          <w:highlight w:val="none"/>
        </w:rPr>
        <w:t>法定代表人必须在授权委托书上亲笔签字或盖章，</w:t>
      </w:r>
      <w:bookmarkEnd w:id="163"/>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164"/>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ascii="宋体" w:hAnsi="宋体"/>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p>
      <w:pPr>
        <w:rPr>
          <w:rFonts w:ascii="宋体" w:hAnsi="宋体"/>
          <w:color w:val="auto"/>
          <w:sz w:val="24"/>
          <w:highlight w:val="none"/>
        </w:rPr>
      </w:pPr>
      <w:r>
        <w:rPr>
          <w:rFonts w:ascii="宋体" w:hAnsi="宋体"/>
          <w:color w:val="auto"/>
          <w:sz w:val="24"/>
          <w:highlight w:val="none"/>
        </w:rPr>
        <w:br w:type="page"/>
      </w:r>
    </w:p>
    <w:p>
      <w:pPr>
        <w:rPr>
          <w:rFonts w:ascii="宋体" w:hAnsi="宋体"/>
          <w:b/>
          <w:color w:val="auto"/>
          <w:sz w:val="24"/>
          <w:highlight w:val="none"/>
        </w:rPr>
      </w:pPr>
      <w:r>
        <w:rPr>
          <w:rFonts w:hint="eastAsia" w:ascii="宋体" w:hAnsi="宋体"/>
          <w:b/>
          <w:color w:val="auto"/>
          <w:sz w:val="24"/>
          <w:highlight w:val="none"/>
        </w:rPr>
        <w:t>6.投标保证金提交凭证；（如要求提交则必须提供，否则投标文件按无效响应处理）</w:t>
      </w:r>
    </w:p>
    <w:p>
      <w:pPr>
        <w:rPr>
          <w:rFonts w:ascii="宋体" w:hAnsi="宋体"/>
          <w:b/>
          <w:color w:val="auto"/>
          <w:sz w:val="24"/>
          <w:highlight w:val="none"/>
        </w:rPr>
      </w:pPr>
    </w:p>
    <w:p>
      <w:pPr>
        <w:rPr>
          <w:rFonts w:ascii="宋体" w:hAnsi="宋体"/>
          <w:b/>
          <w:color w:val="auto"/>
          <w:sz w:val="24"/>
          <w:highlight w:val="none"/>
        </w:rPr>
      </w:pPr>
    </w:p>
    <w:p>
      <w:pPr>
        <w:pStyle w:val="17"/>
        <w:ind w:firstLine="241"/>
        <w:rPr>
          <w:color w:val="auto"/>
          <w:highlight w:val="none"/>
        </w:rPr>
      </w:pPr>
    </w:p>
    <w:p>
      <w:pPr>
        <w:rPr>
          <w:color w:val="auto"/>
          <w:highlight w:val="none"/>
        </w:rPr>
      </w:pPr>
    </w:p>
    <w:p>
      <w:pPr>
        <w:rPr>
          <w:rFonts w:ascii="宋体" w:hAnsi="宋体"/>
          <w:b/>
          <w:color w:val="auto"/>
          <w:sz w:val="24"/>
          <w:szCs w:val="20"/>
          <w:highlight w:val="none"/>
        </w:rPr>
      </w:pPr>
      <w:r>
        <w:rPr>
          <w:rFonts w:hint="eastAsia" w:ascii="宋体" w:hAnsi="宋体"/>
          <w:b/>
          <w:color w:val="auto"/>
          <w:sz w:val="24"/>
          <w:highlight w:val="none"/>
        </w:rPr>
        <w:t>7.商务条款偏离表格式(注：按项目需求表具体项目修改)</w:t>
      </w: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u w:val="single"/>
        </w:rPr>
      </w:pPr>
    </w:p>
    <w:tbl>
      <w:tblPr>
        <w:tblStyle w:val="22"/>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售后服务要求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pP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交付时间：</w:t>
            </w:r>
            <w:r>
              <w:rPr>
                <w:rFonts w:ascii="宋体" w:hAnsi="宋体"/>
                <w:color w:val="auto"/>
                <w:sz w:val="24"/>
                <w:highlight w:val="none"/>
              </w:rPr>
              <w:t xml:space="preserve"> </w:t>
            </w:r>
          </w:p>
          <w:p>
            <w:pPr>
              <w:snapToGrid w:val="0"/>
              <w:spacing w:before="120" w:beforeLines="5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交付地点：</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付款条件</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bl>
    <w:p>
      <w:pPr>
        <w:pStyle w:val="10"/>
        <w:rPr>
          <w:rFonts w:ascii="宋体" w:hAnsi="宋体"/>
          <w:color w:val="auto"/>
          <w:highlight w:val="none"/>
        </w:rPr>
      </w:pPr>
      <w:r>
        <w:rPr>
          <w:rFonts w:hint="eastAsia" w:ascii="宋体" w:hAnsi="宋体"/>
          <w:color w:val="auto"/>
          <w:highlight w:val="none"/>
        </w:rPr>
        <w:t>注：</w:t>
      </w:r>
    </w:p>
    <w:p>
      <w:pPr>
        <w:pStyle w:val="13"/>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采购需求”中的“一、商务要求”和“二、商务条款其他要求”逐条作明确的投标响应，并作出偏离说明。</w:t>
      </w:r>
    </w:p>
    <w:p>
      <w:pPr>
        <w:pStyle w:val="1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ascii="宋体" w:hAnsi="宋体"/>
          <w:b/>
          <w:bCs/>
          <w:color w:val="auto"/>
          <w:sz w:val="24"/>
          <w:szCs w:val="20"/>
          <w:highlight w:val="none"/>
        </w:rPr>
      </w:pPr>
      <w:r>
        <w:rPr>
          <w:rFonts w:hint="eastAsia" w:ascii="宋体" w:hAnsi="宋体"/>
          <w:b/>
          <w:color w:val="auto"/>
          <w:sz w:val="24"/>
          <w:highlight w:val="none"/>
        </w:rPr>
        <w:t>8.投标人情况介绍（格式自拟）</w:t>
      </w:r>
      <w:r>
        <w:rPr>
          <w:rFonts w:ascii="宋体" w:hAnsi="宋体"/>
          <w:color w:val="auto"/>
          <w:sz w:val="24"/>
          <w:szCs w:val="20"/>
          <w:highlight w:val="none"/>
        </w:rPr>
        <w:br w:type="page"/>
      </w:r>
      <w:r>
        <w:rPr>
          <w:rFonts w:hint="eastAsia" w:ascii="宋体" w:hAnsi="宋体"/>
          <w:b/>
          <w:bCs/>
          <w:color w:val="auto"/>
          <w:sz w:val="24"/>
          <w:szCs w:val="20"/>
          <w:highlight w:val="none"/>
        </w:rPr>
        <w:t>9.除招标文件规定必须提供以外，投标人认为需要提供的其他证明材料（格式自拟）</w:t>
      </w:r>
    </w:p>
    <w:p>
      <w:pPr>
        <w:snapToGrid w:val="0"/>
        <w:spacing w:before="120" w:beforeLines="50" w:after="50"/>
        <w:jc w:val="left"/>
        <w:rPr>
          <w:rFonts w:ascii="宋体" w:hAnsi="宋体"/>
          <w:b/>
          <w:color w:val="auto"/>
          <w:sz w:val="24"/>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pStyle w:val="18"/>
        <w:snapToGrid w:val="0"/>
        <w:ind w:left="480" w:hanging="480"/>
        <w:rPr>
          <w:rFonts w:ascii="宋体" w:hAnsi="宋体"/>
          <w:color w:val="auto"/>
          <w:sz w:val="24"/>
          <w:highlight w:val="none"/>
        </w:rPr>
      </w:pPr>
      <w:r>
        <w:rPr>
          <w:rFonts w:hint="eastAsia" w:ascii="宋体" w:hAnsi="宋体"/>
          <w:color w:val="auto"/>
          <w:sz w:val="24"/>
          <w:highlight w:val="none"/>
        </w:rPr>
        <w:t xml:space="preserve">附件：投标人业绩情况一览表格式： </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8"/>
        <w:spacing w:before="0" w:after="0" w:line="360" w:lineRule="auto"/>
        <w:contextualSpacing/>
        <w:rPr>
          <w:rFonts w:ascii="宋体" w:hAnsi="宋体" w:eastAsia="宋体"/>
          <w:color w:val="auto"/>
          <w:sz w:val="24"/>
          <w:szCs w:val="24"/>
          <w:highlight w:val="none"/>
        </w:rPr>
      </w:pPr>
    </w:p>
    <w:p>
      <w:pPr>
        <w:pStyle w:val="8"/>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8"/>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footerReference r:id="rId7" w:type="default"/>
          <w:pgSz w:w="11906" w:h="16838"/>
          <w:pgMar w:top="1440" w:right="1080" w:bottom="1440" w:left="1080" w:header="851" w:footer="992" w:gutter="0"/>
          <w:cols w:space="720" w:num="1"/>
          <w:docGrid w:linePitch="312" w:charSpace="0"/>
        </w:sectPr>
      </w:pPr>
    </w:p>
    <w:p>
      <w:pPr>
        <w:snapToGrid w:val="0"/>
        <w:spacing w:before="156" w:beforeLines="50" w:after="50"/>
        <w:outlineLvl w:val="1"/>
        <w:rPr>
          <w:rFonts w:ascii="宋体" w:hAnsi="宋体"/>
          <w:b/>
          <w:color w:val="auto"/>
          <w:sz w:val="28"/>
          <w:szCs w:val="28"/>
          <w:highlight w:val="none"/>
        </w:rPr>
      </w:pPr>
      <w:r>
        <w:rPr>
          <w:rFonts w:hint="eastAsia" w:ascii="宋体" w:hAnsi="宋体"/>
          <w:b/>
          <w:color w:val="auto"/>
          <w:sz w:val="28"/>
          <w:szCs w:val="28"/>
          <w:highlight w:val="none"/>
        </w:rPr>
        <w:t>五、技术文件格式</w:t>
      </w:r>
    </w:p>
    <w:p>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56"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ascii="宋体" w:hAnsi="宋体"/>
          <w:color w:val="auto"/>
          <w:sz w:val="24"/>
          <w:szCs w:val="20"/>
          <w:highlight w:val="none"/>
        </w:rPr>
      </w:pPr>
    </w:p>
    <w:p>
      <w:pPr>
        <w:snapToGrid w:val="0"/>
        <w:spacing w:before="156"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56" w:beforeLines="50" w:after="50"/>
        <w:rPr>
          <w:rFonts w:ascii="宋体" w:hAnsi="宋体"/>
          <w:bCs/>
          <w:color w:val="auto"/>
          <w:sz w:val="24"/>
          <w:szCs w:val="20"/>
          <w:highlight w:val="none"/>
        </w:rPr>
      </w:pPr>
    </w:p>
    <w:p>
      <w:pPr>
        <w:snapToGrid w:val="0"/>
        <w:spacing w:before="156"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56"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56"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56"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56"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56"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56" w:beforeLines="50" w:after="50"/>
        <w:ind w:firstLine="645"/>
        <w:jc w:val="center"/>
        <w:rPr>
          <w:rFonts w:ascii="宋体" w:hAnsi="宋体"/>
          <w:color w:val="auto"/>
          <w:sz w:val="24"/>
          <w:szCs w:val="20"/>
          <w:highlight w:val="none"/>
        </w:rPr>
      </w:pPr>
    </w:p>
    <w:p>
      <w:pPr>
        <w:snapToGrid w:val="0"/>
        <w:spacing w:before="156"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 技术文件目录</w:t>
      </w:r>
    </w:p>
    <w:p>
      <w:pPr>
        <w:snapToGrid w:val="0"/>
        <w:spacing w:before="50" w:after="156" w:afterLines="50" w:line="280" w:lineRule="exact"/>
        <w:ind w:left="283" w:leftChars="135"/>
        <w:jc w:val="left"/>
        <w:rPr>
          <w:rFonts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pPr>
        <w:snapToGrid w:val="0"/>
        <w:spacing w:before="156"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56" w:beforeLines="50" w:after="50"/>
        <w:ind w:left="142"/>
        <w:jc w:val="left"/>
        <w:rPr>
          <w:rFonts w:ascii="宋体" w:hAnsi="宋体"/>
          <w:b/>
          <w:color w:val="auto"/>
          <w:sz w:val="24"/>
          <w:highlight w:val="none"/>
        </w:rPr>
      </w:pPr>
    </w:p>
    <w:p>
      <w:pPr>
        <w:snapToGrid w:val="0"/>
        <w:spacing w:before="156" w:beforeLines="50" w:after="50"/>
        <w:ind w:left="142"/>
        <w:jc w:val="center"/>
        <w:rPr>
          <w:rFonts w:ascii="宋体" w:hAnsi="宋体"/>
          <w:b/>
          <w:color w:val="auto"/>
          <w:sz w:val="24"/>
          <w:highlight w:val="none"/>
        </w:rPr>
      </w:pPr>
      <w:r>
        <w:rPr>
          <w:rFonts w:hint="eastAsia" w:ascii="宋体" w:hAnsi="宋体"/>
          <w:b/>
          <w:color w:val="auto"/>
          <w:sz w:val="24"/>
          <w:highlight w:val="none"/>
        </w:rPr>
        <w:t>设备性能配置清单</w:t>
      </w:r>
    </w:p>
    <w:p>
      <w:pPr>
        <w:pStyle w:val="14"/>
        <w:rPr>
          <w:color w:val="auto"/>
          <w:sz w:val="24"/>
          <w:szCs w:val="24"/>
          <w:highlight w:val="none"/>
        </w:rPr>
      </w:pPr>
    </w:p>
    <w:tbl>
      <w:tblPr>
        <w:tblStyle w:val="22"/>
        <w:tblW w:w="8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1544"/>
        <w:gridCol w:w="996"/>
        <w:gridCol w:w="1110"/>
        <w:gridCol w:w="2215"/>
        <w:gridCol w:w="1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221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21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21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9"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21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以上性能配置清单中“货物名称、数量及单位、品牌、规格型号、参数性能、指标及配置”必须如实填写完整，品牌、规格型号没有则填无，填写有缺漏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否则作无效投标处理。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56" w:afterLines="50"/>
        <w:jc w:val="left"/>
        <w:rPr>
          <w:rFonts w:ascii="宋体" w:hAnsi="宋体"/>
          <w:color w:val="auto"/>
          <w:sz w:val="24"/>
          <w:szCs w:val="20"/>
          <w:highlight w:val="none"/>
        </w:rPr>
      </w:pPr>
    </w:p>
    <w:p>
      <w:pPr>
        <w:snapToGrid w:val="0"/>
        <w:spacing w:before="50" w:after="156" w:afterLines="50"/>
        <w:jc w:val="left"/>
        <w:rPr>
          <w:rFonts w:ascii="宋体" w:hAnsi="宋体"/>
          <w:color w:val="auto"/>
          <w:sz w:val="24"/>
          <w:szCs w:val="20"/>
          <w:highlight w:val="none"/>
        </w:rPr>
      </w:pPr>
    </w:p>
    <w:p>
      <w:pPr>
        <w:snapToGrid w:val="0"/>
        <w:spacing w:before="156"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技术偏离表格式</w:t>
      </w:r>
    </w:p>
    <w:p>
      <w:pPr>
        <w:snapToGrid w:val="0"/>
        <w:spacing w:before="156" w:beforeLines="50" w:after="50"/>
        <w:ind w:left="142"/>
        <w:jc w:val="left"/>
        <w:rPr>
          <w:rFonts w:ascii="宋体" w:hAnsi="宋体"/>
          <w:b/>
          <w:color w:val="auto"/>
          <w:sz w:val="24"/>
          <w:highlight w:val="none"/>
        </w:rPr>
      </w:pPr>
    </w:p>
    <w:p>
      <w:pPr>
        <w:snapToGrid w:val="0"/>
        <w:spacing w:before="156" w:beforeLines="50" w:after="50"/>
        <w:ind w:left="142"/>
        <w:jc w:val="center"/>
        <w:rPr>
          <w:rFonts w:ascii="宋体" w:hAnsi="宋体"/>
          <w:b/>
          <w:color w:val="auto"/>
          <w:sz w:val="24"/>
          <w:highlight w:val="none"/>
        </w:rPr>
      </w:pPr>
      <w:r>
        <w:rPr>
          <w:rFonts w:hint="eastAsia" w:ascii="宋体" w:hAnsi="宋体"/>
          <w:b/>
          <w:color w:val="auto"/>
          <w:sz w:val="24"/>
          <w:highlight w:val="none"/>
        </w:rPr>
        <w:t>技术偏离表</w:t>
      </w:r>
    </w:p>
    <w:p>
      <w:pPr>
        <w:pStyle w:val="14"/>
        <w:rPr>
          <w:rFonts w:hAnsi="宋体"/>
          <w:color w:val="auto"/>
          <w:sz w:val="24"/>
          <w:szCs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技术需求</w:t>
            </w:r>
          </w:p>
        </w:tc>
        <w:tc>
          <w:tcPr>
            <w:tcW w:w="2181" w:type="dxa"/>
            <w:vAlign w:val="center"/>
          </w:tcPr>
          <w:p>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jc w:val="center"/>
              <w:rPr>
                <w:rFonts w:hAnsi="宋体" w:cs="Courier New"/>
                <w:color w:val="auto"/>
                <w:kern w:val="2"/>
                <w:sz w:val="24"/>
                <w:szCs w:val="24"/>
                <w:highlight w:val="none"/>
              </w:rPr>
            </w:pPr>
          </w:p>
        </w:tc>
        <w:tc>
          <w:tcPr>
            <w:tcW w:w="2143" w:type="dxa"/>
            <w:vAlign w:val="center"/>
          </w:tcPr>
          <w:p>
            <w:pPr>
              <w:pStyle w:val="14"/>
              <w:spacing w:line="600" w:lineRule="exact"/>
              <w:jc w:val="center"/>
              <w:rPr>
                <w:rFonts w:hAnsi="宋体" w:cs="Courier New"/>
                <w:color w:val="auto"/>
                <w:kern w:val="2"/>
                <w:sz w:val="24"/>
                <w:szCs w:val="24"/>
                <w:highlight w:val="none"/>
              </w:rPr>
            </w:pPr>
          </w:p>
        </w:tc>
        <w:tc>
          <w:tcPr>
            <w:tcW w:w="1834" w:type="dxa"/>
            <w:vAlign w:val="center"/>
          </w:tcPr>
          <w:p>
            <w:pPr>
              <w:pStyle w:val="14"/>
              <w:spacing w:line="600" w:lineRule="exact"/>
              <w:jc w:val="center"/>
              <w:rPr>
                <w:rFonts w:hAnsi="宋体" w:cs="Courier New"/>
                <w:color w:val="auto"/>
                <w:kern w:val="2"/>
                <w:sz w:val="24"/>
                <w:szCs w:val="24"/>
                <w:highlight w:val="none"/>
              </w:rPr>
            </w:pPr>
          </w:p>
        </w:tc>
        <w:tc>
          <w:tcPr>
            <w:tcW w:w="2181" w:type="dxa"/>
            <w:vAlign w:val="center"/>
          </w:tcPr>
          <w:p>
            <w:pPr>
              <w:pStyle w:val="14"/>
              <w:spacing w:line="600" w:lineRule="exact"/>
              <w:jc w:val="center"/>
              <w:rPr>
                <w:rFonts w:hAnsi="宋体" w:cs="Courier New"/>
                <w:color w:val="auto"/>
                <w:kern w:val="2"/>
                <w:sz w:val="24"/>
                <w:szCs w:val="24"/>
                <w:highlight w:val="none"/>
              </w:rPr>
            </w:pPr>
          </w:p>
        </w:tc>
        <w:tc>
          <w:tcPr>
            <w:tcW w:w="1934" w:type="dxa"/>
            <w:vAlign w:val="center"/>
          </w:tcPr>
          <w:p>
            <w:pPr>
              <w:pStyle w:val="14"/>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rPr>
                <w:rFonts w:hAnsi="宋体" w:cs="Courier New"/>
                <w:color w:val="auto"/>
                <w:kern w:val="2"/>
                <w:sz w:val="24"/>
                <w:szCs w:val="24"/>
                <w:highlight w:val="none"/>
              </w:rPr>
            </w:pPr>
          </w:p>
        </w:tc>
        <w:tc>
          <w:tcPr>
            <w:tcW w:w="2143" w:type="dxa"/>
          </w:tcPr>
          <w:p>
            <w:pPr>
              <w:pStyle w:val="14"/>
              <w:spacing w:line="600" w:lineRule="exact"/>
              <w:rPr>
                <w:rFonts w:hAnsi="宋体" w:cs="Courier New"/>
                <w:color w:val="auto"/>
                <w:kern w:val="2"/>
                <w:sz w:val="24"/>
                <w:szCs w:val="24"/>
                <w:highlight w:val="none"/>
              </w:rPr>
            </w:pPr>
          </w:p>
        </w:tc>
        <w:tc>
          <w:tcPr>
            <w:tcW w:w="1834" w:type="dxa"/>
          </w:tcPr>
          <w:p>
            <w:pPr>
              <w:pStyle w:val="14"/>
              <w:spacing w:line="600" w:lineRule="exact"/>
              <w:rPr>
                <w:rFonts w:hAnsi="宋体" w:cs="Courier New"/>
                <w:color w:val="auto"/>
                <w:kern w:val="2"/>
                <w:sz w:val="24"/>
                <w:szCs w:val="24"/>
                <w:highlight w:val="none"/>
              </w:rPr>
            </w:pPr>
          </w:p>
        </w:tc>
        <w:tc>
          <w:tcPr>
            <w:tcW w:w="2181" w:type="dxa"/>
          </w:tcPr>
          <w:p>
            <w:pPr>
              <w:pStyle w:val="14"/>
              <w:spacing w:line="600" w:lineRule="exact"/>
              <w:rPr>
                <w:rFonts w:hAnsi="宋体" w:cs="Courier New"/>
                <w:color w:val="auto"/>
                <w:kern w:val="2"/>
                <w:sz w:val="24"/>
                <w:szCs w:val="24"/>
                <w:highlight w:val="none"/>
              </w:rPr>
            </w:pPr>
          </w:p>
        </w:tc>
        <w:tc>
          <w:tcPr>
            <w:tcW w:w="1934" w:type="dxa"/>
          </w:tcPr>
          <w:p>
            <w:pPr>
              <w:pStyle w:val="1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rPr>
                <w:rFonts w:hAnsi="宋体" w:cs="Courier New"/>
                <w:color w:val="auto"/>
                <w:kern w:val="2"/>
                <w:sz w:val="24"/>
                <w:szCs w:val="24"/>
                <w:highlight w:val="none"/>
              </w:rPr>
            </w:pPr>
          </w:p>
        </w:tc>
        <w:tc>
          <w:tcPr>
            <w:tcW w:w="2143" w:type="dxa"/>
          </w:tcPr>
          <w:p>
            <w:pPr>
              <w:pStyle w:val="14"/>
              <w:spacing w:line="600" w:lineRule="exact"/>
              <w:rPr>
                <w:rFonts w:hAnsi="宋体" w:cs="Courier New"/>
                <w:color w:val="auto"/>
                <w:kern w:val="2"/>
                <w:sz w:val="24"/>
                <w:szCs w:val="24"/>
                <w:highlight w:val="none"/>
              </w:rPr>
            </w:pPr>
          </w:p>
        </w:tc>
        <w:tc>
          <w:tcPr>
            <w:tcW w:w="1834" w:type="dxa"/>
          </w:tcPr>
          <w:p>
            <w:pPr>
              <w:pStyle w:val="14"/>
              <w:spacing w:line="600" w:lineRule="exact"/>
              <w:rPr>
                <w:rFonts w:hAnsi="宋体" w:cs="Courier New"/>
                <w:color w:val="auto"/>
                <w:kern w:val="2"/>
                <w:sz w:val="24"/>
                <w:szCs w:val="24"/>
                <w:highlight w:val="none"/>
              </w:rPr>
            </w:pPr>
          </w:p>
        </w:tc>
        <w:tc>
          <w:tcPr>
            <w:tcW w:w="2181" w:type="dxa"/>
          </w:tcPr>
          <w:p>
            <w:pPr>
              <w:pStyle w:val="14"/>
              <w:spacing w:line="600" w:lineRule="exact"/>
              <w:rPr>
                <w:rFonts w:hAnsi="宋体" w:cs="Courier New"/>
                <w:color w:val="auto"/>
                <w:kern w:val="2"/>
                <w:sz w:val="24"/>
                <w:szCs w:val="24"/>
                <w:highlight w:val="none"/>
              </w:rPr>
            </w:pPr>
          </w:p>
        </w:tc>
        <w:tc>
          <w:tcPr>
            <w:tcW w:w="1934" w:type="dxa"/>
          </w:tcPr>
          <w:p>
            <w:pPr>
              <w:pStyle w:val="1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rPr>
                <w:rFonts w:hAnsi="宋体" w:cs="Courier New"/>
                <w:color w:val="auto"/>
                <w:kern w:val="2"/>
                <w:sz w:val="24"/>
                <w:szCs w:val="24"/>
                <w:highlight w:val="none"/>
              </w:rPr>
            </w:pPr>
          </w:p>
        </w:tc>
        <w:tc>
          <w:tcPr>
            <w:tcW w:w="2143" w:type="dxa"/>
          </w:tcPr>
          <w:p>
            <w:pPr>
              <w:pStyle w:val="14"/>
              <w:spacing w:line="600" w:lineRule="exact"/>
              <w:rPr>
                <w:rFonts w:hAnsi="宋体" w:cs="Courier New"/>
                <w:color w:val="auto"/>
                <w:kern w:val="2"/>
                <w:sz w:val="24"/>
                <w:szCs w:val="24"/>
                <w:highlight w:val="none"/>
              </w:rPr>
            </w:pPr>
          </w:p>
        </w:tc>
        <w:tc>
          <w:tcPr>
            <w:tcW w:w="1834" w:type="dxa"/>
          </w:tcPr>
          <w:p>
            <w:pPr>
              <w:pStyle w:val="14"/>
              <w:spacing w:line="600" w:lineRule="exact"/>
              <w:rPr>
                <w:rFonts w:hAnsi="宋体" w:cs="Courier New"/>
                <w:color w:val="auto"/>
                <w:kern w:val="2"/>
                <w:sz w:val="24"/>
                <w:szCs w:val="24"/>
                <w:highlight w:val="none"/>
              </w:rPr>
            </w:pPr>
          </w:p>
        </w:tc>
        <w:tc>
          <w:tcPr>
            <w:tcW w:w="2181" w:type="dxa"/>
          </w:tcPr>
          <w:p>
            <w:pPr>
              <w:pStyle w:val="14"/>
              <w:spacing w:line="600" w:lineRule="exact"/>
              <w:rPr>
                <w:rFonts w:hAnsi="宋体" w:cs="Courier New"/>
                <w:color w:val="auto"/>
                <w:kern w:val="2"/>
                <w:sz w:val="24"/>
                <w:szCs w:val="24"/>
                <w:highlight w:val="none"/>
              </w:rPr>
            </w:pPr>
          </w:p>
        </w:tc>
        <w:tc>
          <w:tcPr>
            <w:tcW w:w="1934" w:type="dxa"/>
          </w:tcPr>
          <w:p>
            <w:pPr>
              <w:pStyle w:val="1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rPr>
                <w:rFonts w:hAnsi="宋体" w:cs="Courier New"/>
                <w:color w:val="auto"/>
                <w:kern w:val="2"/>
                <w:sz w:val="24"/>
                <w:szCs w:val="24"/>
                <w:highlight w:val="none"/>
              </w:rPr>
            </w:pPr>
          </w:p>
        </w:tc>
        <w:tc>
          <w:tcPr>
            <w:tcW w:w="2143" w:type="dxa"/>
          </w:tcPr>
          <w:p>
            <w:pPr>
              <w:pStyle w:val="14"/>
              <w:spacing w:line="600" w:lineRule="exact"/>
              <w:rPr>
                <w:rFonts w:hAnsi="宋体" w:cs="Courier New"/>
                <w:color w:val="auto"/>
                <w:kern w:val="2"/>
                <w:sz w:val="24"/>
                <w:szCs w:val="24"/>
                <w:highlight w:val="none"/>
              </w:rPr>
            </w:pPr>
          </w:p>
        </w:tc>
        <w:tc>
          <w:tcPr>
            <w:tcW w:w="1834" w:type="dxa"/>
          </w:tcPr>
          <w:p>
            <w:pPr>
              <w:pStyle w:val="14"/>
              <w:spacing w:line="600" w:lineRule="exact"/>
              <w:rPr>
                <w:rFonts w:hAnsi="宋体" w:cs="Courier New"/>
                <w:color w:val="auto"/>
                <w:kern w:val="2"/>
                <w:sz w:val="24"/>
                <w:szCs w:val="24"/>
                <w:highlight w:val="none"/>
              </w:rPr>
            </w:pPr>
          </w:p>
        </w:tc>
        <w:tc>
          <w:tcPr>
            <w:tcW w:w="2181" w:type="dxa"/>
          </w:tcPr>
          <w:p>
            <w:pPr>
              <w:pStyle w:val="14"/>
              <w:spacing w:line="600" w:lineRule="exact"/>
              <w:rPr>
                <w:rFonts w:hAnsi="宋体" w:cs="Courier New"/>
                <w:color w:val="auto"/>
                <w:kern w:val="2"/>
                <w:sz w:val="24"/>
                <w:szCs w:val="24"/>
                <w:highlight w:val="none"/>
              </w:rPr>
            </w:pPr>
          </w:p>
        </w:tc>
        <w:tc>
          <w:tcPr>
            <w:tcW w:w="1934" w:type="dxa"/>
          </w:tcPr>
          <w:p>
            <w:pPr>
              <w:pStyle w:val="14"/>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4"/>
              <w:spacing w:line="600" w:lineRule="exact"/>
              <w:rPr>
                <w:rFonts w:hAnsi="宋体" w:cs="Courier New"/>
                <w:color w:val="auto"/>
                <w:kern w:val="2"/>
                <w:sz w:val="24"/>
                <w:szCs w:val="24"/>
                <w:highlight w:val="none"/>
              </w:rPr>
            </w:pPr>
          </w:p>
        </w:tc>
        <w:tc>
          <w:tcPr>
            <w:tcW w:w="2143" w:type="dxa"/>
          </w:tcPr>
          <w:p>
            <w:pPr>
              <w:pStyle w:val="14"/>
              <w:spacing w:line="600" w:lineRule="exact"/>
              <w:rPr>
                <w:rFonts w:hAnsi="宋体" w:cs="Courier New"/>
                <w:color w:val="auto"/>
                <w:kern w:val="2"/>
                <w:sz w:val="24"/>
                <w:szCs w:val="24"/>
                <w:highlight w:val="none"/>
              </w:rPr>
            </w:pPr>
          </w:p>
        </w:tc>
        <w:tc>
          <w:tcPr>
            <w:tcW w:w="1834" w:type="dxa"/>
          </w:tcPr>
          <w:p>
            <w:pPr>
              <w:pStyle w:val="14"/>
              <w:spacing w:line="600" w:lineRule="exact"/>
              <w:rPr>
                <w:rFonts w:hAnsi="宋体" w:cs="Courier New"/>
                <w:color w:val="auto"/>
                <w:kern w:val="2"/>
                <w:sz w:val="24"/>
                <w:szCs w:val="24"/>
                <w:highlight w:val="none"/>
              </w:rPr>
            </w:pPr>
          </w:p>
        </w:tc>
        <w:tc>
          <w:tcPr>
            <w:tcW w:w="2181" w:type="dxa"/>
          </w:tcPr>
          <w:p>
            <w:pPr>
              <w:pStyle w:val="14"/>
              <w:spacing w:line="600" w:lineRule="exact"/>
              <w:rPr>
                <w:rFonts w:hAnsi="宋体" w:cs="Courier New"/>
                <w:color w:val="auto"/>
                <w:kern w:val="2"/>
                <w:sz w:val="24"/>
                <w:szCs w:val="24"/>
                <w:highlight w:val="none"/>
              </w:rPr>
            </w:pPr>
          </w:p>
        </w:tc>
        <w:tc>
          <w:tcPr>
            <w:tcW w:w="1934" w:type="dxa"/>
          </w:tcPr>
          <w:p>
            <w:pPr>
              <w:pStyle w:val="14"/>
              <w:spacing w:line="600" w:lineRule="exact"/>
              <w:rPr>
                <w:rFonts w:hAnsi="宋体" w:cs="Courier New"/>
                <w:color w:val="auto"/>
                <w:kern w:val="2"/>
                <w:sz w:val="24"/>
                <w:szCs w:val="24"/>
                <w:highlight w:val="none"/>
              </w:rPr>
            </w:pPr>
          </w:p>
        </w:tc>
      </w:tr>
    </w:tbl>
    <w:p>
      <w:pPr>
        <w:pStyle w:val="10"/>
        <w:rPr>
          <w:rFonts w:ascii="宋体" w:hAnsi="宋体"/>
          <w:color w:val="auto"/>
          <w:highlight w:val="none"/>
        </w:rPr>
      </w:pPr>
      <w:r>
        <w:rPr>
          <w:rFonts w:hint="eastAsia" w:ascii="宋体" w:hAnsi="宋体"/>
          <w:color w:val="auto"/>
          <w:highlight w:val="none"/>
        </w:rPr>
        <w:t>注：</w:t>
      </w:r>
    </w:p>
    <w:p>
      <w:pPr>
        <w:pStyle w:val="13"/>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pPr>
        <w:pStyle w:val="10"/>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投标人根据投标货物的性能指标，对照招标文件技术需求，在“偏离说明”中注明“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3"/>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pPr>
        <w:pStyle w:val="13"/>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z w:val="24"/>
          <w:szCs w:val="20"/>
          <w:highlight w:val="none"/>
        </w:rPr>
      </w:pPr>
    </w:p>
    <w:p>
      <w:pPr>
        <w:snapToGrid w:val="0"/>
        <w:spacing w:before="156"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总体方案设计（格式自拟）</w:t>
      </w:r>
    </w:p>
    <w:p>
      <w:pPr>
        <w:snapToGrid w:val="0"/>
        <w:spacing w:before="156" w:beforeLines="50" w:after="50"/>
        <w:ind w:left="142"/>
        <w:jc w:val="left"/>
        <w:rPr>
          <w:rFonts w:ascii="宋体" w:hAnsi="宋体"/>
          <w:b/>
          <w:color w:val="auto"/>
          <w:sz w:val="24"/>
          <w:highlight w:val="none"/>
        </w:rPr>
      </w:pPr>
    </w:p>
    <w:p>
      <w:pPr>
        <w:spacing w:line="360" w:lineRule="auto"/>
        <w:contextualSpacing/>
        <w:jc w:val="left"/>
        <w:rPr>
          <w:rFonts w:ascii="宋体" w:hAnsi="宋体"/>
          <w:color w:val="auto"/>
          <w:sz w:val="24"/>
          <w:szCs w:val="20"/>
          <w:highlight w:val="none"/>
        </w:rPr>
      </w:pPr>
    </w:p>
    <w:p>
      <w:pPr>
        <w:snapToGrid w:val="0"/>
        <w:spacing w:before="156" w:beforeLines="50" w:after="50"/>
        <w:ind w:left="142"/>
        <w:jc w:val="left"/>
        <w:rPr>
          <w:rFonts w:ascii="宋体" w:hAnsi="宋体"/>
          <w:b/>
          <w:color w:val="auto"/>
          <w:sz w:val="24"/>
          <w:highlight w:val="none"/>
        </w:rPr>
      </w:pPr>
    </w:p>
    <w:p>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6. 售后服务承诺（格式自拟）</w:t>
      </w:r>
    </w:p>
    <w:p>
      <w:pPr>
        <w:snapToGrid w:val="0"/>
        <w:spacing w:before="156" w:beforeLines="50" w:after="50"/>
        <w:ind w:left="142"/>
        <w:jc w:val="left"/>
        <w:rPr>
          <w:rFonts w:ascii="宋体" w:hAnsi="宋体"/>
          <w:b/>
          <w:color w:val="auto"/>
          <w:sz w:val="24"/>
          <w:highlight w:val="none"/>
        </w:rPr>
      </w:pPr>
    </w:p>
    <w:p>
      <w:pPr>
        <w:pStyle w:val="27"/>
        <w:rPr>
          <w:rFonts w:ascii="宋体" w:hAnsi="宋体"/>
          <w:b/>
          <w:color w:val="auto"/>
          <w:highlight w:val="none"/>
        </w:rPr>
      </w:pPr>
    </w:p>
    <w:p>
      <w:pPr>
        <w:pStyle w:val="27"/>
        <w:rPr>
          <w:rFonts w:ascii="宋体" w:hAnsi="宋体"/>
          <w:b/>
          <w:color w:val="auto"/>
          <w:highlight w:val="none"/>
        </w:rPr>
      </w:pPr>
    </w:p>
    <w:p>
      <w:pPr>
        <w:numPr>
          <w:ilvl w:val="0"/>
          <w:numId w:val="8"/>
        </w:num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投标人对本项目的合理化建议和改进措施（格式自拟）</w:t>
      </w:r>
    </w:p>
    <w:p>
      <w:pPr>
        <w:pStyle w:val="27"/>
        <w:rPr>
          <w:rFonts w:ascii="宋体" w:hAnsi="宋体"/>
          <w:b/>
          <w:color w:val="auto"/>
          <w:highlight w:val="none"/>
        </w:rPr>
      </w:pPr>
    </w:p>
    <w:p>
      <w:pPr>
        <w:pStyle w:val="27"/>
        <w:rPr>
          <w:rFonts w:ascii="宋体" w:hAnsi="宋体"/>
          <w:b/>
          <w:color w:val="auto"/>
          <w:highlight w:val="none"/>
        </w:rPr>
      </w:pPr>
    </w:p>
    <w:p>
      <w:pPr>
        <w:pStyle w:val="27"/>
        <w:rPr>
          <w:rFonts w:ascii="宋体" w:hAnsi="宋体"/>
          <w:b/>
          <w:color w:val="auto"/>
          <w:highlight w:val="none"/>
        </w:rPr>
      </w:pPr>
    </w:p>
    <w:p>
      <w:pPr>
        <w:numPr>
          <w:ilvl w:val="0"/>
          <w:numId w:val="8"/>
        </w:num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除招标文件规定必须提供以外，投标人需要说明的其他文件和说明（格式自拟）</w:t>
      </w:r>
    </w:p>
    <w:p>
      <w:pPr>
        <w:snapToGrid w:val="0"/>
        <w:spacing w:before="156" w:beforeLines="50" w:after="50"/>
        <w:jc w:val="left"/>
        <w:rPr>
          <w:rFonts w:ascii="宋体" w:hAnsi="宋体"/>
          <w:b/>
          <w:bCs/>
          <w:color w:val="auto"/>
          <w:sz w:val="28"/>
          <w:szCs w:val="28"/>
          <w:highlight w:val="none"/>
        </w:rPr>
      </w:pPr>
    </w:p>
    <w:p>
      <w:pPr>
        <w:snapToGrid w:val="0"/>
        <w:spacing w:before="156" w:beforeLines="50" w:after="50"/>
        <w:jc w:val="left"/>
        <w:rPr>
          <w:rFonts w:ascii="宋体" w:hAnsi="宋体"/>
          <w:b/>
          <w:bCs/>
          <w:color w:val="auto"/>
          <w:sz w:val="28"/>
          <w:szCs w:val="28"/>
          <w:highlight w:val="none"/>
        </w:rPr>
      </w:pPr>
      <w:r>
        <w:rPr>
          <w:rFonts w:ascii="宋体" w:hAnsi="宋体"/>
          <w:b/>
          <w:bCs/>
          <w:color w:val="auto"/>
          <w:sz w:val="24"/>
          <w:highlight w:val="none"/>
        </w:rPr>
        <w:br w:type="page"/>
      </w:r>
      <w:r>
        <w:rPr>
          <w:rFonts w:hint="eastAsia" w:ascii="宋体" w:hAnsi="宋体"/>
          <w:b/>
          <w:bCs/>
          <w:color w:val="auto"/>
          <w:sz w:val="28"/>
          <w:szCs w:val="28"/>
          <w:highlight w:val="none"/>
        </w:rPr>
        <w:t>六、其他文书、文件格式</w:t>
      </w:r>
    </w:p>
    <w:p>
      <w:pPr>
        <w:snapToGrid w:val="0"/>
        <w:spacing w:before="156" w:beforeLines="50" w:after="50"/>
        <w:jc w:val="left"/>
        <w:rPr>
          <w:rFonts w:ascii="宋体" w:hAnsi="宋体"/>
          <w:b/>
          <w:color w:val="auto"/>
          <w:sz w:val="24"/>
          <w:highlight w:val="none"/>
        </w:rPr>
      </w:pPr>
    </w:p>
    <w:p>
      <w:pPr>
        <w:snapToGrid w:val="0"/>
        <w:spacing w:before="156" w:beforeLines="50" w:after="50"/>
        <w:jc w:val="left"/>
        <w:rPr>
          <w:color w:val="auto"/>
          <w:highlight w:val="none"/>
        </w:rPr>
      </w:pPr>
      <w:r>
        <w:rPr>
          <w:rFonts w:hint="eastAsia" w:ascii="宋体" w:hAnsi="宋体"/>
          <w:b/>
          <w:color w:val="auto"/>
          <w:sz w:val="24"/>
          <w:highlight w:val="none"/>
        </w:rPr>
        <w:t xml:space="preserve"> 1.中小企业声明函格式</w:t>
      </w:r>
    </w:p>
    <w:p>
      <w:pPr>
        <w:rPr>
          <w:color w:val="auto"/>
          <w:highlight w:val="none"/>
        </w:rPr>
      </w:pPr>
    </w:p>
    <w:p>
      <w:pPr>
        <w:pStyle w:val="2"/>
        <w:spacing w:before="146" w:line="500" w:lineRule="exact"/>
        <w:ind w:right="142"/>
        <w:jc w:val="center"/>
        <w:rPr>
          <w:b w:val="0"/>
          <w:bCs w:val="0"/>
          <w:color w:val="auto"/>
          <w:sz w:val="24"/>
          <w:szCs w:val="24"/>
          <w:highlight w:val="none"/>
        </w:rPr>
      </w:pPr>
      <w:r>
        <w:rPr>
          <w:color w:val="auto"/>
          <w:sz w:val="24"/>
          <w:szCs w:val="24"/>
          <w:highlight w:val="none"/>
        </w:rPr>
        <w:t>中小企业声明函</w:t>
      </w:r>
    </w:p>
    <w:p>
      <w:pPr>
        <w:spacing w:before="2" w:line="500" w:lineRule="exact"/>
        <w:rPr>
          <w:rFonts w:ascii="宋体" w:hAnsi="宋体" w:cs="宋体"/>
          <w:b/>
          <w:bCs/>
          <w:color w:val="auto"/>
          <w:sz w:val="27"/>
          <w:szCs w:val="27"/>
          <w:highlight w:val="none"/>
        </w:rPr>
      </w:pPr>
    </w:p>
    <w:p>
      <w:pPr>
        <w:pStyle w:val="11"/>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1"/>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1"/>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1"/>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1"/>
        <w:spacing w:line="360" w:lineRule="auto"/>
        <w:ind w:left="3960" w:right="1808"/>
        <w:contextualSpacing/>
        <w:rPr>
          <w:rFonts w:ascii="宋体" w:hAnsi="宋体"/>
          <w:color w:val="auto"/>
          <w:kern w:val="24"/>
          <w:highlight w:val="none"/>
        </w:rPr>
      </w:pPr>
    </w:p>
    <w:p>
      <w:pPr>
        <w:pStyle w:val="11"/>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1"/>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1"/>
        <w:spacing w:line="360" w:lineRule="auto"/>
        <w:ind w:left="3960" w:right="1808"/>
        <w:contextualSpacing/>
        <w:rPr>
          <w:rFonts w:ascii="宋体" w:hAnsi="宋体"/>
          <w:color w:val="auto"/>
          <w:kern w:val="24"/>
          <w:highlight w:val="none"/>
        </w:rPr>
      </w:pPr>
    </w:p>
    <w:p>
      <w:pPr>
        <w:pStyle w:val="11"/>
        <w:spacing w:line="360" w:lineRule="auto"/>
        <w:ind w:left="3960" w:right="1808"/>
        <w:contextualSpacing/>
        <w:rPr>
          <w:rFonts w:ascii="宋体" w:hAnsi="宋体"/>
          <w:color w:val="auto"/>
          <w:kern w:val="24"/>
          <w:highlight w:val="none"/>
        </w:rPr>
      </w:pPr>
    </w:p>
    <w:p>
      <w:pPr>
        <w:pStyle w:val="11"/>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2.残疾人福利性单位声明函格式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pPr>
        <w:spacing w:line="360" w:lineRule="auto"/>
        <w:contextualSpacing/>
        <w:rPr>
          <w:rFonts w:ascii="仿宋_GB2312" w:eastAsia="仿宋_GB2312"/>
          <w:b/>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14"/>
        <w:spacing w:line="360" w:lineRule="auto"/>
        <w:ind w:left="25" w:leftChars="12" w:firstLine="295" w:firstLineChars="147"/>
        <w:rPr>
          <w:rFonts w:hAnsi="宋体"/>
          <w:b/>
          <w:color w:val="auto"/>
          <w:highlight w:val="none"/>
        </w:rPr>
      </w:pPr>
    </w:p>
    <w:p>
      <w:pPr>
        <w:pStyle w:val="14"/>
        <w:spacing w:line="360" w:lineRule="auto"/>
        <w:ind w:left="25" w:leftChars="12" w:firstLine="295" w:firstLineChars="147"/>
        <w:rPr>
          <w:rFonts w:hAnsi="宋体"/>
          <w:b/>
          <w:color w:val="auto"/>
          <w:highlight w:val="none"/>
        </w:rPr>
      </w:pPr>
    </w:p>
    <w:p>
      <w:pPr>
        <w:pStyle w:val="14"/>
        <w:spacing w:line="360" w:lineRule="auto"/>
        <w:ind w:left="25" w:leftChars="12" w:firstLine="295" w:firstLineChars="147"/>
        <w:rPr>
          <w:rFonts w:hAnsi="宋体"/>
          <w:b/>
          <w:color w:val="auto"/>
          <w:highlight w:val="none"/>
        </w:rPr>
      </w:pPr>
    </w:p>
    <w:p>
      <w:pPr>
        <w:pStyle w:val="14"/>
        <w:spacing w:line="360" w:lineRule="auto"/>
        <w:ind w:left="25" w:leftChars="12" w:firstLine="295" w:firstLineChars="147"/>
        <w:rPr>
          <w:rFonts w:hAnsi="宋体"/>
          <w: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仿宋_GB2312"/>
    <w:panose1 w:val="00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230</w:t>
                    </w:r>
                    <w: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266</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CF4C"/>
    <w:multiLevelType w:val="singleLevel"/>
    <w:tmpl w:val="9C0CCF4C"/>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1">
    <w:nsid w:val="9FA8400F"/>
    <w:multiLevelType w:val="singleLevel"/>
    <w:tmpl w:val="9FA8400F"/>
    <w:lvl w:ilvl="0" w:tentative="0">
      <w:start w:val="3"/>
      <w:numFmt w:val="decimal"/>
      <w:lvlText w:val="%1."/>
      <w:lvlJc w:val="left"/>
      <w:pPr>
        <w:tabs>
          <w:tab w:val="left" w:pos="312"/>
        </w:tabs>
      </w:pPr>
    </w:lvl>
  </w:abstractNum>
  <w:abstractNum w:abstractNumId="2">
    <w:nsid w:val="A8B85D45"/>
    <w:multiLevelType w:val="singleLevel"/>
    <w:tmpl w:val="A8B85D45"/>
    <w:lvl w:ilvl="0" w:tentative="0">
      <w:start w:val="3"/>
      <w:numFmt w:val="chineseCounting"/>
      <w:suff w:val="nothing"/>
      <w:lvlText w:val="%1、"/>
      <w:lvlJc w:val="left"/>
      <w:rPr>
        <w:rFonts w:hint="eastAsia"/>
      </w:rPr>
    </w:lvl>
  </w:abstractNum>
  <w:abstractNum w:abstractNumId="3">
    <w:nsid w:val="AF0481C2"/>
    <w:multiLevelType w:val="singleLevel"/>
    <w:tmpl w:val="AF0481C2"/>
    <w:lvl w:ilvl="0" w:tentative="0">
      <w:start w:val="7"/>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YjkwMzY2YzBkMDI4NmFiNjFlYzFiNzI5MjRkZTIifQ=="/>
  </w:docVars>
  <w:rsids>
    <w:rsidRoot w:val="007E6071"/>
    <w:rsid w:val="000F64F9"/>
    <w:rsid w:val="00263035"/>
    <w:rsid w:val="00503EE8"/>
    <w:rsid w:val="007E6071"/>
    <w:rsid w:val="00DE342C"/>
    <w:rsid w:val="00E60BF0"/>
    <w:rsid w:val="00EB62D6"/>
    <w:rsid w:val="00F0117F"/>
    <w:rsid w:val="00FE2481"/>
    <w:rsid w:val="1ED1442B"/>
    <w:rsid w:val="20E11A61"/>
    <w:rsid w:val="357A39EE"/>
    <w:rsid w:val="43DC0845"/>
    <w:rsid w:val="56554CD5"/>
    <w:rsid w:val="5F7B0094"/>
    <w:rsid w:val="6B45457D"/>
    <w:rsid w:val="6B5379BC"/>
    <w:rsid w:val="6E390D44"/>
    <w:rsid w:val="77576742"/>
    <w:rsid w:val="7856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120" w:after="120" w:line="360" w:lineRule="auto"/>
      <w:jc w:val="center"/>
      <w:outlineLvl w:val="3"/>
    </w:pPr>
    <w:rPr>
      <w:rFonts w:eastAsia="黑体"/>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2"/>
    <w:qFormat/>
    <w:uiPriority w:val="99"/>
    <w:pPr>
      <w:spacing w:line="380" w:lineRule="exact"/>
    </w:pPr>
    <w:rPr>
      <w:kern w:val="0"/>
      <w:sz w:val="24"/>
    </w:rPr>
  </w:style>
  <w:style w:type="paragraph" w:styleId="12">
    <w:name w:val="header"/>
    <w:basedOn w:val="1"/>
    <w:next w:val="1"/>
    <w:unhideWhenUsed/>
    <w:qFormat/>
    <w:uiPriority w:val="99"/>
    <w:pPr>
      <w:pBdr>
        <w:bottom w:val="single" w:color="auto" w:sz="6" w:space="1"/>
      </w:pBdr>
      <w:tabs>
        <w:tab w:val="center" w:pos="0"/>
        <w:tab w:val="left" w:pos="8306"/>
      </w:tabs>
      <w:snapToGrid w:val="0"/>
      <w:jc w:val="center"/>
    </w:pPr>
    <w:rPr>
      <w:sz w:val="18"/>
      <w:szCs w:val="18"/>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next w:val="5"/>
    <w:qFormat/>
    <w:uiPriority w:val="0"/>
    <w:rPr>
      <w:rFonts w:ascii="宋体" w:hAnsi="Courier New"/>
      <w:kern w:val="0"/>
      <w:sz w:val="20"/>
      <w:szCs w:val="21"/>
    </w:rPr>
  </w:style>
  <w:style w:type="paragraph" w:styleId="15">
    <w:name w:val="Balloon Text"/>
    <w:basedOn w:val="1"/>
    <w:link w:val="34"/>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1"/>
    <w:qFormat/>
    <w:uiPriority w:val="0"/>
    <w:pPr>
      <w:spacing w:after="120"/>
      <w:ind w:left="420" w:leftChars="200" w:firstLine="420" w:firstLineChars="200"/>
    </w:pPr>
    <w:rPr>
      <w:rFonts w:hAnsi="宋体" w:eastAsia="华文仿宋"/>
      <w:sz w:val="32"/>
      <w:szCs w:val="32"/>
    </w:rPr>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表格文字"/>
    <w:basedOn w:val="1"/>
    <w:qFormat/>
    <w:uiPriority w:val="0"/>
    <w:pPr>
      <w:spacing w:before="25" w:after="25"/>
      <w:jc w:val="left"/>
    </w:pPr>
    <w:rPr>
      <w:bCs/>
      <w:spacing w:val="10"/>
      <w:kern w:val="0"/>
      <w:sz w:val="24"/>
    </w:rPr>
  </w:style>
  <w:style w:type="character" w:customStyle="1" w:styleId="28">
    <w:name w:val="font71"/>
    <w:basedOn w:val="23"/>
    <w:qFormat/>
    <w:uiPriority w:val="0"/>
    <w:rPr>
      <w:rFonts w:hint="eastAsia" w:ascii="宋体" w:hAnsi="宋体" w:eastAsia="宋体" w:cs="宋体"/>
      <w:b/>
      <w:bCs/>
      <w:color w:val="000000"/>
      <w:sz w:val="20"/>
      <w:szCs w:val="20"/>
      <w:u w:val="none"/>
    </w:rPr>
  </w:style>
  <w:style w:type="character" w:customStyle="1" w:styleId="29">
    <w:name w:val="font11"/>
    <w:basedOn w:val="23"/>
    <w:qFormat/>
    <w:uiPriority w:val="0"/>
    <w:rPr>
      <w:rFonts w:hint="eastAsia" w:ascii="宋体" w:hAnsi="宋体" w:eastAsia="宋体" w:cs="宋体"/>
      <w:color w:val="000000"/>
      <w:sz w:val="20"/>
      <w:szCs w:val="20"/>
      <w:u w:val="none"/>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目录 81"/>
    <w:basedOn w:val="1"/>
    <w:next w:val="1"/>
    <w:semiHidden/>
    <w:qFormat/>
    <w:uiPriority w:val="0"/>
    <w:pPr>
      <w:ind w:left="1470"/>
    </w:pPr>
    <w:rPr>
      <w:rFonts w:ascii="宋体"/>
      <w:sz w:val="18"/>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批注框文本 Char"/>
    <w:basedOn w:val="23"/>
    <w:link w:val="1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41414</Words>
  <Characters>236065</Characters>
  <Lines>1967</Lines>
  <Paragraphs>553</Paragraphs>
  <TotalTime>3</TotalTime>
  <ScaleCrop>false</ScaleCrop>
  <LinksUpToDate>false</LinksUpToDate>
  <CharactersWithSpaces>276926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尚︱燚(yi)洛</cp:lastModifiedBy>
  <dcterms:modified xsi:type="dcterms:W3CDTF">2023-12-26T08:02:12Z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44F839AA9CF04ECA8E0ADF7DD440B064_12</vt:lpwstr>
  </property>
</Properties>
</file>