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66"/>
          <w:szCs w:val="66"/>
          <w:highlight w:val="none"/>
        </w:rPr>
      </w:pPr>
      <w:r>
        <w:rPr>
          <w:rFonts w:hint="eastAsia" w:ascii="宋体" w:hAnsi="宋体"/>
          <w:b/>
          <w:color w:val="auto"/>
          <w:sz w:val="66"/>
          <w:szCs w:val="66"/>
          <w:highlight w:val="none"/>
        </w:rPr>
        <w:t>广西达华工程造价咨询有限责任公司</w:t>
      </w:r>
    </w:p>
    <w:p>
      <w:pPr>
        <w:jc w:val="center"/>
        <w:rPr>
          <w:rFonts w:ascii="宋体" w:hAnsi="宋体"/>
          <w:color w:val="auto"/>
          <w:highlight w:val="none"/>
        </w:rPr>
      </w:pPr>
    </w:p>
    <w:p>
      <w:pPr>
        <w:jc w:val="center"/>
        <w:rPr>
          <w:rFonts w:ascii="宋体" w:hAnsi="宋体"/>
          <w:color w:val="auto"/>
          <w:highlight w:val="none"/>
        </w:rPr>
      </w:pPr>
    </w:p>
    <w:p>
      <w:pPr>
        <w:jc w:val="center"/>
        <w:rPr>
          <w:rFonts w:ascii="宋体" w:hAnsi="宋体"/>
          <w:color w:val="auto"/>
          <w:highlight w:val="none"/>
        </w:rPr>
      </w:pPr>
      <w:r>
        <w:rPr>
          <w:rFonts w:ascii="宋体" w:hAnsi="宋体"/>
          <w:color w:val="auto"/>
          <w:highlight w:val="none"/>
        </w:rPr>
        <w:cr/>
      </w:r>
      <w:r>
        <w:rPr>
          <w:rFonts w:hint="eastAsia" w:ascii="宋体" w:hAnsi="宋体"/>
          <w:b/>
          <w:bCs/>
          <w:color w:val="auto"/>
          <w:sz w:val="84"/>
          <w:highlight w:val="none"/>
        </w:rPr>
        <w:t>竞争性磋商文件</w:t>
      </w:r>
      <w:r>
        <w:rPr>
          <w:rFonts w:hint="eastAsia" w:ascii="宋体" w:hAnsi="宋体"/>
          <w:color w:val="auto"/>
          <w:sz w:val="72"/>
          <w:highlight w:val="none"/>
        </w:rPr>
        <w:cr/>
      </w:r>
    </w:p>
    <w:p>
      <w:pPr>
        <w:jc w:val="center"/>
        <w:rPr>
          <w:rFonts w:ascii="宋体" w:hAnsi="宋体"/>
          <w:color w:val="auto"/>
          <w:highlight w:val="none"/>
        </w:rPr>
      </w:pPr>
    </w:p>
    <w:p>
      <w:pPr>
        <w:spacing w:line="900" w:lineRule="exact"/>
        <w:ind w:left="1260" w:leftChars="600" w:right="50" w:rightChars="24"/>
        <w:rPr>
          <w:rFonts w:ascii="宋体" w:hAnsi="宋体"/>
          <w:b/>
          <w:color w:val="auto"/>
          <w:sz w:val="36"/>
          <w:szCs w:val="36"/>
          <w:highlight w:val="none"/>
        </w:rPr>
      </w:pPr>
      <w:r>
        <w:rPr>
          <w:rFonts w:hint="eastAsia" w:ascii="宋体" w:hAnsi="宋体"/>
          <w:b/>
          <w:color w:val="auto"/>
          <w:sz w:val="36"/>
          <w:szCs w:val="36"/>
          <w:highlight w:val="none"/>
        </w:rPr>
        <w:t>项目名称：2020年防城港市优化营商环境指标第三方评估项目</w:t>
      </w:r>
    </w:p>
    <w:p>
      <w:pPr>
        <w:spacing w:line="900" w:lineRule="exact"/>
        <w:ind w:right="50" w:rightChars="24" w:firstLine="1446" w:firstLineChars="400"/>
        <w:rPr>
          <w:rFonts w:ascii="宋体" w:hAnsi="宋体"/>
          <w:b/>
          <w:color w:val="auto"/>
          <w:sz w:val="36"/>
          <w:szCs w:val="36"/>
          <w:highlight w:val="none"/>
        </w:rPr>
      </w:pPr>
      <w:r>
        <w:rPr>
          <w:rFonts w:hint="eastAsia" w:ascii="宋体" w:hAnsi="宋体"/>
          <w:b/>
          <w:color w:val="auto"/>
          <w:sz w:val="36"/>
          <w:szCs w:val="36"/>
          <w:highlight w:val="none"/>
        </w:rPr>
        <w:t>项目编号：FCZC2020-C3-10010-GXDH</w:t>
      </w:r>
    </w:p>
    <w:p>
      <w:pPr>
        <w:spacing w:line="900" w:lineRule="exact"/>
        <w:ind w:left="1260" w:leftChars="600" w:right="50" w:rightChars="24"/>
        <w:rPr>
          <w:rFonts w:ascii="宋体" w:hAnsi="宋体"/>
          <w:color w:val="auto"/>
          <w:highlight w:val="none"/>
        </w:rPr>
      </w:pPr>
      <w:r>
        <w:rPr>
          <w:rFonts w:hint="eastAsia" w:ascii="宋体" w:hAnsi="宋体"/>
          <w:b/>
          <w:color w:val="auto"/>
          <w:sz w:val="36"/>
          <w:szCs w:val="36"/>
          <w:highlight w:val="none"/>
        </w:rPr>
        <w:cr/>
      </w:r>
    </w:p>
    <w:p>
      <w:pPr>
        <w:ind w:left="-2" w:leftChars="-1" w:firstLine="1365" w:firstLineChars="650"/>
        <w:rPr>
          <w:rFonts w:ascii="宋体" w:hAnsi="宋体"/>
          <w:color w:val="auto"/>
          <w:highlight w:val="none"/>
        </w:rPr>
      </w:pPr>
    </w:p>
    <w:p>
      <w:pPr>
        <w:ind w:left="-2" w:leftChars="-1" w:firstLine="1365" w:firstLineChars="650"/>
        <w:rPr>
          <w:rFonts w:ascii="宋体" w:hAnsi="宋体"/>
          <w:color w:val="auto"/>
          <w:highlight w:val="none"/>
        </w:rPr>
      </w:pPr>
    </w:p>
    <w:p>
      <w:pPr>
        <w:ind w:left="-2" w:leftChars="-1" w:firstLine="1365" w:firstLineChars="650"/>
        <w:rPr>
          <w:rFonts w:ascii="宋体" w:hAnsi="宋体"/>
          <w:color w:val="auto"/>
          <w:highlight w:val="none"/>
        </w:rPr>
      </w:pPr>
    </w:p>
    <w:p>
      <w:pPr>
        <w:rPr>
          <w:rFonts w:ascii="宋体" w:hAnsi="宋体"/>
          <w:color w:val="auto"/>
          <w:highlight w:val="none"/>
        </w:rPr>
      </w:pPr>
    </w:p>
    <w:p>
      <w:pPr>
        <w:ind w:left="-2" w:leftChars="-1" w:firstLine="1365" w:firstLineChars="650"/>
        <w:rPr>
          <w:rFonts w:ascii="宋体" w:hAnsi="宋体"/>
          <w:color w:val="auto"/>
          <w:highlight w:val="none"/>
        </w:rPr>
      </w:pPr>
    </w:p>
    <w:p>
      <w:pPr>
        <w:ind w:left="-2" w:leftChars="-1" w:firstLine="1365" w:firstLineChars="650"/>
        <w:rPr>
          <w:rFonts w:ascii="宋体" w:hAnsi="宋体"/>
          <w:color w:val="auto"/>
          <w:highlight w:val="none"/>
        </w:rPr>
      </w:pPr>
    </w:p>
    <w:p>
      <w:pPr>
        <w:ind w:firstLine="964" w:firstLineChars="300"/>
        <w:rPr>
          <w:rFonts w:ascii="宋体" w:hAnsi="宋体"/>
          <w:b/>
          <w:color w:val="auto"/>
          <w:sz w:val="32"/>
          <w:szCs w:val="32"/>
          <w:highlight w:val="none"/>
        </w:rPr>
      </w:pPr>
      <w:r>
        <w:rPr>
          <w:rFonts w:hint="eastAsia" w:ascii="宋体" w:hAnsi="宋体"/>
          <w:b/>
          <w:color w:val="auto"/>
          <w:sz w:val="32"/>
          <w:szCs w:val="32"/>
          <w:highlight w:val="none"/>
        </w:rPr>
        <w:t>采  购  人：防城港市发展和改革委员会</w:t>
      </w:r>
    </w:p>
    <w:p>
      <w:pPr>
        <w:ind w:firstLine="964" w:firstLineChars="300"/>
        <w:rPr>
          <w:rFonts w:ascii="宋体" w:hAnsi="宋体"/>
          <w:b/>
          <w:color w:val="auto"/>
          <w:sz w:val="32"/>
          <w:szCs w:val="32"/>
          <w:highlight w:val="none"/>
        </w:rPr>
      </w:pPr>
    </w:p>
    <w:p>
      <w:pPr>
        <w:jc w:val="center"/>
        <w:rPr>
          <w:rFonts w:ascii="宋体" w:hAnsi="宋体"/>
          <w:b/>
          <w:color w:val="auto"/>
          <w:spacing w:val="-8"/>
          <w:sz w:val="32"/>
          <w:szCs w:val="32"/>
          <w:highlight w:val="none"/>
        </w:rPr>
      </w:pPr>
      <w:r>
        <w:rPr>
          <w:rFonts w:hint="eastAsia" w:ascii="宋体" w:hAnsi="宋体"/>
          <w:b/>
          <w:color w:val="auto"/>
          <w:sz w:val="32"/>
          <w:szCs w:val="32"/>
          <w:highlight w:val="none"/>
        </w:rPr>
        <w:t>采购代理机构：广西达华工程造价咨询有限责任公司</w:t>
      </w:r>
    </w:p>
    <w:p>
      <w:pPr>
        <w:jc w:val="center"/>
        <w:rPr>
          <w:rFonts w:ascii="宋体" w:hAnsi="宋体"/>
          <w:b/>
          <w:color w:val="auto"/>
          <w:sz w:val="32"/>
          <w:szCs w:val="32"/>
          <w:highlight w:val="none"/>
        </w:rPr>
      </w:pPr>
    </w:p>
    <w:p>
      <w:pPr>
        <w:jc w:val="center"/>
        <w:rPr>
          <w:rFonts w:ascii="宋体" w:hAnsi="宋体"/>
          <w:b/>
          <w:color w:val="auto"/>
          <w:sz w:val="32"/>
          <w:szCs w:val="32"/>
          <w:highlight w:val="none"/>
        </w:rPr>
      </w:pPr>
      <w:r>
        <w:rPr>
          <w:rFonts w:hint="eastAsia" w:ascii="宋体" w:hAnsi="宋体"/>
          <w:b/>
          <w:color w:val="auto"/>
          <w:sz w:val="32"/>
          <w:szCs w:val="32"/>
          <w:highlight w:val="none"/>
        </w:rPr>
        <w:t>2020年9月</w:t>
      </w:r>
    </w:p>
    <w:p>
      <w:pPr>
        <w:spacing w:line="400" w:lineRule="exact"/>
        <w:ind w:left="-2" w:leftChars="-1"/>
        <w:rPr>
          <w:rFonts w:ascii="宋体" w:hAnsi="宋体"/>
          <w:color w:val="auto"/>
          <w:highlight w:val="none"/>
        </w:rPr>
      </w:pPr>
    </w:p>
    <w:p>
      <w:pPr>
        <w:rPr>
          <w:color w:val="auto"/>
          <w:highlight w:val="none"/>
        </w:rPr>
      </w:pPr>
    </w:p>
    <w:p>
      <w:pPr>
        <w:rPr>
          <w:color w:val="auto"/>
          <w:highlight w:val="none"/>
        </w:rPr>
      </w:pPr>
    </w:p>
    <w:p>
      <w:pPr>
        <w:rPr>
          <w:color w:val="auto"/>
          <w:highlight w:val="none"/>
        </w:rPr>
      </w:pPr>
    </w:p>
    <w:p>
      <w:pPr>
        <w:pStyle w:val="29"/>
        <w:spacing w:line="260" w:lineRule="exact"/>
        <w:jc w:val="both"/>
        <w:rPr>
          <w:color w:val="auto"/>
          <w:highlight w:val="none"/>
          <w:lang w:val="zh-CN"/>
        </w:rPr>
      </w:pPr>
    </w:p>
    <w:p>
      <w:pPr>
        <w:rPr>
          <w:color w:val="auto"/>
          <w:highlight w:val="none"/>
          <w:lang w:val="zh-CN"/>
        </w:rPr>
      </w:pPr>
    </w:p>
    <w:p>
      <w:pPr>
        <w:rPr>
          <w:color w:val="auto"/>
          <w:highlight w:val="none"/>
          <w:lang w:val="zh-CN"/>
        </w:rPr>
      </w:pPr>
    </w:p>
    <w:p>
      <w:pPr>
        <w:pStyle w:val="29"/>
        <w:spacing w:line="260" w:lineRule="exact"/>
        <w:jc w:val="center"/>
        <w:rPr>
          <w:color w:val="auto"/>
          <w:highlight w:val="none"/>
          <w:lang w:val="zh-CN"/>
        </w:rPr>
      </w:pPr>
      <w:r>
        <w:rPr>
          <w:rFonts w:hint="eastAsia"/>
          <w:color w:val="auto"/>
          <w:highlight w:val="none"/>
          <w:lang w:val="zh-CN"/>
        </w:rPr>
        <w:t>目录</w:t>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"_Toc528924902" </w:instrText>
      </w:r>
      <w:r>
        <w:rPr>
          <w:color w:val="auto"/>
          <w:highlight w:val="none"/>
        </w:rPr>
        <w:fldChar w:fldCharType="separate"/>
      </w:r>
      <w:r>
        <w:rPr>
          <w:rStyle w:val="25"/>
          <w:rFonts w:hint="eastAsia" w:ascii="宋体" w:hAnsi="宋体"/>
          <w:color w:val="auto"/>
          <w:highlight w:val="none"/>
        </w:rPr>
        <w:t>第一章竞争性磋商公告</w:t>
      </w:r>
      <w:r>
        <w:rPr>
          <w:color w:val="auto"/>
          <w:highlight w:val="none"/>
        </w:rPr>
        <w:tab/>
      </w:r>
      <w:r>
        <w:rPr>
          <w:color w:val="auto"/>
          <w:highlight w:val="none"/>
        </w:rPr>
        <w:fldChar w:fldCharType="begin"/>
      </w:r>
      <w:r>
        <w:rPr>
          <w:color w:val="auto"/>
          <w:highlight w:val="none"/>
        </w:rPr>
        <w:instrText xml:space="preserve"> PAGEREF _Toc528924902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"_Toc528924903" </w:instrText>
      </w:r>
      <w:r>
        <w:rPr>
          <w:color w:val="auto"/>
          <w:highlight w:val="none"/>
        </w:rPr>
        <w:fldChar w:fldCharType="separate"/>
      </w:r>
      <w:r>
        <w:rPr>
          <w:rStyle w:val="25"/>
          <w:rFonts w:hint="eastAsia" w:ascii="宋体" w:hAnsi="宋体"/>
          <w:color w:val="auto"/>
          <w:highlight w:val="none"/>
        </w:rPr>
        <w:t>第二章服务商须知及前附表</w:t>
      </w:r>
      <w:r>
        <w:rPr>
          <w:color w:val="auto"/>
          <w:highlight w:val="none"/>
        </w:rPr>
        <w:tab/>
      </w:r>
      <w:r>
        <w:rPr>
          <w:rFonts w:hint="eastAsia"/>
          <w:color w:val="auto"/>
          <w:highlight w:val="none"/>
        </w:rPr>
        <w:t>5</w:t>
      </w:r>
      <w:r>
        <w:rPr>
          <w:rFonts w:hint="eastAsia"/>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"_Toc528924904" </w:instrText>
      </w:r>
      <w:r>
        <w:rPr>
          <w:color w:val="auto"/>
          <w:highlight w:val="none"/>
        </w:rPr>
        <w:fldChar w:fldCharType="separate"/>
      </w:r>
      <w:r>
        <w:rPr>
          <w:rStyle w:val="25"/>
          <w:rFonts w:hint="eastAsia" w:ascii="宋体" w:hAnsi="宋体"/>
          <w:color w:val="auto"/>
          <w:highlight w:val="none"/>
        </w:rPr>
        <w:t>一总则</w:t>
      </w:r>
      <w:r>
        <w:rPr>
          <w:color w:val="auto"/>
          <w:highlight w:val="none"/>
        </w:rPr>
        <w:tab/>
      </w:r>
      <w:r>
        <w:rPr>
          <w:color w:val="auto"/>
          <w:highlight w:val="none"/>
        </w:rPr>
        <w:fldChar w:fldCharType="begin"/>
      </w:r>
      <w:r>
        <w:rPr>
          <w:color w:val="auto"/>
          <w:highlight w:val="none"/>
        </w:rPr>
        <w:instrText xml:space="preserve"> PAGEREF _Toc528924904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"_Toc528924905" </w:instrText>
      </w:r>
      <w:r>
        <w:rPr>
          <w:color w:val="auto"/>
          <w:highlight w:val="none"/>
        </w:rPr>
        <w:fldChar w:fldCharType="separate"/>
      </w:r>
      <w:r>
        <w:rPr>
          <w:rStyle w:val="25"/>
          <w:rFonts w:ascii="宋体" w:hAnsi="宋体"/>
          <w:color w:val="auto"/>
          <w:highlight w:val="none"/>
        </w:rPr>
        <w:t>1</w:t>
      </w:r>
      <w:r>
        <w:rPr>
          <w:rStyle w:val="25"/>
          <w:rFonts w:hint="eastAsia" w:ascii="宋体" w:hAnsi="宋体"/>
          <w:color w:val="auto"/>
          <w:highlight w:val="none"/>
        </w:rPr>
        <w:t>、适用范围及定义</w:t>
      </w:r>
      <w:r>
        <w:rPr>
          <w:color w:val="auto"/>
          <w:highlight w:val="none"/>
        </w:rPr>
        <w:tab/>
      </w:r>
      <w:r>
        <w:rPr>
          <w:color w:val="auto"/>
          <w:highlight w:val="none"/>
        </w:rPr>
        <w:fldChar w:fldCharType="begin"/>
      </w:r>
      <w:r>
        <w:rPr>
          <w:color w:val="auto"/>
          <w:highlight w:val="none"/>
        </w:rPr>
        <w:instrText xml:space="preserve"> PAGEREF _Toc528924905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"_Toc528924906" </w:instrText>
      </w:r>
      <w:r>
        <w:rPr>
          <w:color w:val="auto"/>
          <w:highlight w:val="none"/>
        </w:rPr>
        <w:fldChar w:fldCharType="separate"/>
      </w:r>
      <w:r>
        <w:rPr>
          <w:rStyle w:val="25"/>
          <w:rFonts w:ascii="宋体" w:hAnsi="宋体"/>
          <w:color w:val="auto"/>
          <w:highlight w:val="none"/>
        </w:rPr>
        <w:t>2</w:t>
      </w:r>
      <w:r>
        <w:rPr>
          <w:rStyle w:val="25"/>
          <w:rFonts w:hint="eastAsia" w:ascii="宋体" w:hAnsi="宋体"/>
          <w:color w:val="auto"/>
          <w:highlight w:val="none"/>
        </w:rPr>
        <w:t>、合格的服务商</w:t>
      </w:r>
      <w:r>
        <w:rPr>
          <w:color w:val="auto"/>
          <w:highlight w:val="none"/>
        </w:rPr>
        <w:tab/>
      </w:r>
      <w:r>
        <w:rPr>
          <w:color w:val="auto"/>
          <w:highlight w:val="none"/>
        </w:rPr>
        <w:fldChar w:fldCharType="begin"/>
      </w:r>
      <w:r>
        <w:rPr>
          <w:color w:val="auto"/>
          <w:highlight w:val="none"/>
        </w:rPr>
        <w:instrText xml:space="preserve"> PAGEREF _Toc528924906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"_Toc528924907" </w:instrText>
      </w:r>
      <w:r>
        <w:rPr>
          <w:color w:val="auto"/>
          <w:highlight w:val="none"/>
        </w:rPr>
        <w:fldChar w:fldCharType="separate"/>
      </w:r>
      <w:r>
        <w:rPr>
          <w:rStyle w:val="25"/>
          <w:rFonts w:ascii="宋体" w:hAnsi="宋体"/>
          <w:color w:val="auto"/>
          <w:highlight w:val="none"/>
        </w:rPr>
        <w:t>3</w:t>
      </w:r>
      <w:r>
        <w:rPr>
          <w:rStyle w:val="25"/>
          <w:rFonts w:hint="eastAsia" w:ascii="宋体" w:hAnsi="宋体"/>
          <w:color w:val="auto"/>
          <w:highlight w:val="none"/>
        </w:rPr>
        <w:t>、磋商费用</w:t>
      </w:r>
      <w:r>
        <w:rPr>
          <w:color w:val="auto"/>
          <w:highlight w:val="none"/>
        </w:rPr>
        <w:tab/>
      </w:r>
      <w:r>
        <w:rPr>
          <w:color w:val="auto"/>
          <w:highlight w:val="none"/>
        </w:rPr>
        <w:fldChar w:fldCharType="begin"/>
      </w:r>
      <w:r>
        <w:rPr>
          <w:color w:val="auto"/>
          <w:highlight w:val="none"/>
        </w:rPr>
        <w:instrText xml:space="preserve"> PAGEREF _Toc528924907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"_Toc528924908" </w:instrText>
      </w:r>
      <w:r>
        <w:rPr>
          <w:color w:val="auto"/>
          <w:highlight w:val="none"/>
        </w:rPr>
        <w:fldChar w:fldCharType="separate"/>
      </w:r>
      <w:r>
        <w:rPr>
          <w:rStyle w:val="25"/>
          <w:rFonts w:ascii="宋体" w:hAnsi="宋体"/>
          <w:color w:val="auto"/>
          <w:highlight w:val="none"/>
        </w:rPr>
        <w:t>4</w:t>
      </w:r>
      <w:r>
        <w:rPr>
          <w:rStyle w:val="25"/>
          <w:rFonts w:hint="eastAsia" w:ascii="宋体" w:hAnsi="宋体"/>
          <w:color w:val="auto"/>
          <w:highlight w:val="none"/>
        </w:rPr>
        <w:t>、特别说明</w:t>
      </w:r>
      <w:r>
        <w:rPr>
          <w:color w:val="auto"/>
          <w:highlight w:val="none"/>
        </w:rPr>
        <w:tab/>
      </w:r>
      <w:r>
        <w:rPr>
          <w:color w:val="auto"/>
          <w:highlight w:val="none"/>
        </w:rPr>
        <w:fldChar w:fldCharType="begin"/>
      </w:r>
      <w:r>
        <w:rPr>
          <w:color w:val="auto"/>
          <w:highlight w:val="none"/>
        </w:rPr>
        <w:instrText xml:space="preserve"> PAGEREF _Toc528924908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"_Toc528924909" </w:instrText>
      </w:r>
      <w:r>
        <w:rPr>
          <w:color w:val="auto"/>
          <w:highlight w:val="none"/>
        </w:rPr>
        <w:fldChar w:fldCharType="separate"/>
      </w:r>
      <w:r>
        <w:rPr>
          <w:rStyle w:val="25"/>
          <w:rFonts w:hint="eastAsia" w:ascii="宋体" w:hAnsi="宋体"/>
          <w:color w:val="auto"/>
          <w:highlight w:val="none"/>
        </w:rPr>
        <w:t>二竞争性磋商文件（简称磋商文件）</w:t>
      </w:r>
      <w:r>
        <w:rPr>
          <w:color w:val="auto"/>
          <w:highlight w:val="none"/>
        </w:rPr>
        <w:tab/>
      </w:r>
      <w:r>
        <w:rPr>
          <w:color w:val="auto"/>
          <w:highlight w:val="none"/>
        </w:rPr>
        <w:fldChar w:fldCharType="begin"/>
      </w:r>
      <w:r>
        <w:rPr>
          <w:color w:val="auto"/>
          <w:highlight w:val="none"/>
        </w:rPr>
        <w:instrText xml:space="preserve"> PAGEREF _Toc528924909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"_Toc528924910" </w:instrText>
      </w:r>
      <w:r>
        <w:rPr>
          <w:color w:val="auto"/>
          <w:highlight w:val="none"/>
        </w:rPr>
        <w:fldChar w:fldCharType="separate"/>
      </w:r>
      <w:r>
        <w:rPr>
          <w:rStyle w:val="25"/>
          <w:rFonts w:ascii="宋体" w:hAnsi="宋体"/>
          <w:color w:val="auto"/>
          <w:highlight w:val="none"/>
        </w:rPr>
        <w:t>6</w:t>
      </w:r>
      <w:r>
        <w:rPr>
          <w:rStyle w:val="25"/>
          <w:rFonts w:hint="eastAsia" w:ascii="宋体" w:hAnsi="宋体"/>
          <w:color w:val="auto"/>
          <w:highlight w:val="none"/>
        </w:rPr>
        <w:t>、磋商文件的构成</w:t>
      </w:r>
      <w:r>
        <w:rPr>
          <w:color w:val="auto"/>
          <w:highlight w:val="none"/>
        </w:rPr>
        <w:tab/>
      </w:r>
      <w:r>
        <w:rPr>
          <w:color w:val="auto"/>
          <w:highlight w:val="none"/>
        </w:rPr>
        <w:fldChar w:fldCharType="begin"/>
      </w:r>
      <w:r>
        <w:rPr>
          <w:color w:val="auto"/>
          <w:highlight w:val="none"/>
        </w:rPr>
        <w:instrText xml:space="preserve"> PAGEREF _Toc528924910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"_Toc528924911" </w:instrText>
      </w:r>
      <w:r>
        <w:rPr>
          <w:color w:val="auto"/>
          <w:highlight w:val="none"/>
        </w:rPr>
        <w:fldChar w:fldCharType="separate"/>
      </w:r>
      <w:r>
        <w:rPr>
          <w:rStyle w:val="25"/>
          <w:rFonts w:ascii="宋体" w:hAnsi="宋体"/>
          <w:color w:val="auto"/>
          <w:highlight w:val="none"/>
        </w:rPr>
        <w:t>7</w:t>
      </w:r>
      <w:r>
        <w:rPr>
          <w:rStyle w:val="25"/>
          <w:rFonts w:hint="eastAsia" w:ascii="宋体" w:hAnsi="宋体"/>
          <w:color w:val="auto"/>
          <w:highlight w:val="none"/>
        </w:rPr>
        <w:t>、磋商文件的澄清和修改</w:t>
      </w:r>
      <w:r>
        <w:rPr>
          <w:color w:val="auto"/>
          <w:highlight w:val="none"/>
        </w:rPr>
        <w:tab/>
      </w:r>
      <w:r>
        <w:rPr>
          <w:color w:val="auto"/>
          <w:highlight w:val="none"/>
        </w:rPr>
        <w:fldChar w:fldCharType="begin"/>
      </w:r>
      <w:r>
        <w:rPr>
          <w:color w:val="auto"/>
          <w:highlight w:val="none"/>
        </w:rPr>
        <w:instrText xml:space="preserve"> PAGEREF _Toc528924911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"_Toc528924912" </w:instrText>
      </w:r>
      <w:r>
        <w:rPr>
          <w:color w:val="auto"/>
          <w:highlight w:val="none"/>
        </w:rPr>
        <w:fldChar w:fldCharType="separate"/>
      </w:r>
      <w:r>
        <w:rPr>
          <w:rStyle w:val="25"/>
          <w:rFonts w:hint="eastAsia" w:ascii="宋体" w:hAnsi="宋体"/>
          <w:color w:val="auto"/>
          <w:highlight w:val="none"/>
        </w:rPr>
        <w:t>三响应文件的编制</w:t>
      </w:r>
      <w:r>
        <w:rPr>
          <w:color w:val="auto"/>
          <w:highlight w:val="none"/>
        </w:rPr>
        <w:tab/>
      </w:r>
      <w:r>
        <w:rPr>
          <w:color w:val="auto"/>
          <w:highlight w:val="none"/>
        </w:rPr>
        <w:fldChar w:fldCharType="begin"/>
      </w:r>
      <w:r>
        <w:rPr>
          <w:color w:val="auto"/>
          <w:highlight w:val="none"/>
        </w:rPr>
        <w:instrText xml:space="preserve"> PAGEREF _Toc528924912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"_Toc528924913" </w:instrText>
      </w:r>
      <w:r>
        <w:rPr>
          <w:color w:val="auto"/>
          <w:highlight w:val="none"/>
        </w:rPr>
        <w:fldChar w:fldCharType="separate"/>
      </w:r>
      <w:r>
        <w:rPr>
          <w:rStyle w:val="25"/>
          <w:rFonts w:ascii="宋体" w:hAnsi="宋体"/>
          <w:color w:val="auto"/>
          <w:highlight w:val="none"/>
        </w:rPr>
        <w:t>8</w:t>
      </w:r>
      <w:r>
        <w:rPr>
          <w:rStyle w:val="25"/>
          <w:rFonts w:hint="eastAsia" w:ascii="宋体" w:hAnsi="宋体"/>
          <w:color w:val="auto"/>
          <w:highlight w:val="none"/>
        </w:rPr>
        <w:t>、响应文件编写的注意事项</w:t>
      </w:r>
      <w:r>
        <w:rPr>
          <w:color w:val="auto"/>
          <w:highlight w:val="none"/>
        </w:rPr>
        <w:tab/>
      </w:r>
      <w:r>
        <w:rPr>
          <w:color w:val="auto"/>
          <w:highlight w:val="none"/>
        </w:rPr>
        <w:fldChar w:fldCharType="begin"/>
      </w:r>
      <w:r>
        <w:rPr>
          <w:color w:val="auto"/>
          <w:highlight w:val="none"/>
        </w:rPr>
        <w:instrText xml:space="preserve"> PAGEREF _Toc528924913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"_Toc528924914" </w:instrText>
      </w:r>
      <w:r>
        <w:rPr>
          <w:color w:val="auto"/>
          <w:highlight w:val="none"/>
        </w:rPr>
        <w:fldChar w:fldCharType="separate"/>
      </w:r>
      <w:r>
        <w:rPr>
          <w:rStyle w:val="25"/>
          <w:rFonts w:ascii="宋体" w:hAnsi="宋体"/>
          <w:color w:val="auto"/>
          <w:highlight w:val="none"/>
        </w:rPr>
        <w:t>9</w:t>
      </w:r>
      <w:r>
        <w:rPr>
          <w:rStyle w:val="25"/>
          <w:rFonts w:hint="eastAsia" w:ascii="宋体" w:hAnsi="宋体"/>
          <w:color w:val="auto"/>
          <w:highlight w:val="none"/>
        </w:rPr>
        <w:t>、响应文件的文字及计量单位</w:t>
      </w:r>
      <w:r>
        <w:rPr>
          <w:color w:val="auto"/>
          <w:highlight w:val="none"/>
        </w:rPr>
        <w:tab/>
      </w:r>
      <w:r>
        <w:rPr>
          <w:color w:val="auto"/>
          <w:highlight w:val="none"/>
        </w:rPr>
        <w:fldChar w:fldCharType="begin"/>
      </w:r>
      <w:r>
        <w:rPr>
          <w:color w:val="auto"/>
          <w:highlight w:val="none"/>
        </w:rPr>
        <w:instrText xml:space="preserve"> PAGEREF _Toc528924914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"_Toc528924915" </w:instrText>
      </w:r>
      <w:r>
        <w:rPr>
          <w:color w:val="auto"/>
          <w:highlight w:val="none"/>
        </w:rPr>
        <w:fldChar w:fldCharType="separate"/>
      </w:r>
      <w:r>
        <w:rPr>
          <w:rStyle w:val="25"/>
          <w:rFonts w:ascii="宋体" w:hAnsi="宋体"/>
          <w:color w:val="auto"/>
          <w:highlight w:val="none"/>
        </w:rPr>
        <w:t>10</w:t>
      </w:r>
      <w:r>
        <w:rPr>
          <w:rStyle w:val="25"/>
          <w:rFonts w:hint="eastAsia" w:ascii="宋体" w:hAnsi="宋体"/>
          <w:color w:val="auto"/>
          <w:highlight w:val="none"/>
        </w:rPr>
        <w:t>、响应文件的构成及装订要求</w:t>
      </w:r>
      <w:r>
        <w:rPr>
          <w:color w:val="auto"/>
          <w:highlight w:val="none"/>
        </w:rPr>
        <w:tab/>
      </w:r>
      <w:r>
        <w:rPr>
          <w:color w:val="auto"/>
          <w:highlight w:val="none"/>
        </w:rPr>
        <w:fldChar w:fldCharType="begin"/>
      </w:r>
      <w:r>
        <w:rPr>
          <w:color w:val="auto"/>
          <w:highlight w:val="none"/>
        </w:rPr>
        <w:instrText xml:space="preserve"> PAGEREF _Toc528924915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"_Toc528924916" </w:instrText>
      </w:r>
      <w:r>
        <w:rPr>
          <w:color w:val="auto"/>
          <w:highlight w:val="none"/>
        </w:rPr>
        <w:fldChar w:fldCharType="separate"/>
      </w:r>
      <w:r>
        <w:rPr>
          <w:rStyle w:val="25"/>
          <w:rFonts w:ascii="宋体" w:hAnsi="宋体"/>
          <w:color w:val="auto"/>
          <w:highlight w:val="none"/>
        </w:rPr>
        <w:t>11</w:t>
      </w:r>
      <w:r>
        <w:rPr>
          <w:rStyle w:val="25"/>
          <w:rFonts w:hint="eastAsia" w:ascii="宋体" w:hAnsi="宋体"/>
          <w:color w:val="auto"/>
          <w:highlight w:val="none"/>
        </w:rPr>
        <w:t>、响应文件格式</w:t>
      </w:r>
      <w:r>
        <w:rPr>
          <w:color w:val="auto"/>
          <w:highlight w:val="none"/>
        </w:rPr>
        <w:tab/>
      </w:r>
      <w:r>
        <w:rPr>
          <w:color w:val="auto"/>
          <w:highlight w:val="none"/>
        </w:rPr>
        <w:fldChar w:fldCharType="begin"/>
      </w:r>
      <w:r>
        <w:rPr>
          <w:color w:val="auto"/>
          <w:highlight w:val="none"/>
        </w:rPr>
        <w:instrText xml:space="preserve"> PAGEREF _Toc528924916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"_Toc528924917" </w:instrText>
      </w:r>
      <w:r>
        <w:rPr>
          <w:color w:val="auto"/>
          <w:highlight w:val="none"/>
        </w:rPr>
        <w:fldChar w:fldCharType="separate"/>
      </w:r>
      <w:r>
        <w:rPr>
          <w:rStyle w:val="25"/>
          <w:rFonts w:ascii="宋体" w:hAnsi="宋体"/>
          <w:color w:val="auto"/>
          <w:highlight w:val="none"/>
        </w:rPr>
        <w:t>12</w:t>
      </w:r>
      <w:r>
        <w:rPr>
          <w:rStyle w:val="25"/>
          <w:rFonts w:hint="eastAsia" w:ascii="宋体" w:hAnsi="宋体"/>
          <w:color w:val="auto"/>
          <w:highlight w:val="none"/>
        </w:rPr>
        <w:t>、磋商报价</w:t>
      </w:r>
      <w:r>
        <w:rPr>
          <w:color w:val="auto"/>
          <w:highlight w:val="none"/>
        </w:rPr>
        <w:tab/>
      </w:r>
      <w:r>
        <w:rPr>
          <w:color w:val="auto"/>
          <w:highlight w:val="none"/>
        </w:rPr>
        <w:fldChar w:fldCharType="begin"/>
      </w:r>
      <w:r>
        <w:rPr>
          <w:color w:val="auto"/>
          <w:highlight w:val="none"/>
        </w:rPr>
        <w:instrText xml:space="preserve"> PAGEREF _Toc528924917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"_Toc528924918" </w:instrText>
      </w:r>
      <w:r>
        <w:rPr>
          <w:color w:val="auto"/>
          <w:highlight w:val="none"/>
        </w:rPr>
        <w:fldChar w:fldCharType="separate"/>
      </w:r>
      <w:r>
        <w:rPr>
          <w:rStyle w:val="25"/>
          <w:rFonts w:ascii="宋体" w:hAnsi="宋体"/>
          <w:color w:val="auto"/>
          <w:highlight w:val="none"/>
        </w:rPr>
        <w:t>13</w:t>
      </w:r>
      <w:r>
        <w:rPr>
          <w:rStyle w:val="25"/>
          <w:rFonts w:hint="eastAsia" w:ascii="宋体" w:hAnsi="宋体"/>
          <w:color w:val="auto"/>
          <w:highlight w:val="none"/>
        </w:rPr>
        <w:t>、磋商货币</w:t>
      </w:r>
      <w:r>
        <w:rPr>
          <w:color w:val="auto"/>
          <w:highlight w:val="none"/>
        </w:rPr>
        <w:tab/>
      </w:r>
      <w:r>
        <w:rPr>
          <w:color w:val="auto"/>
          <w:highlight w:val="none"/>
        </w:rPr>
        <w:fldChar w:fldCharType="begin"/>
      </w:r>
      <w:r>
        <w:rPr>
          <w:color w:val="auto"/>
          <w:highlight w:val="none"/>
        </w:rPr>
        <w:instrText xml:space="preserve"> PAGEREF _Toc528924918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"_Toc528924919" </w:instrText>
      </w:r>
      <w:r>
        <w:rPr>
          <w:color w:val="auto"/>
          <w:highlight w:val="none"/>
        </w:rPr>
        <w:fldChar w:fldCharType="separate"/>
      </w:r>
      <w:r>
        <w:rPr>
          <w:rStyle w:val="25"/>
          <w:rFonts w:ascii="宋体" w:hAnsi="宋体"/>
          <w:color w:val="auto"/>
          <w:highlight w:val="none"/>
        </w:rPr>
        <w:t>14</w:t>
      </w:r>
      <w:r>
        <w:rPr>
          <w:rStyle w:val="25"/>
          <w:rFonts w:hint="eastAsia" w:ascii="宋体" w:hAnsi="宋体"/>
          <w:color w:val="auto"/>
          <w:highlight w:val="none"/>
        </w:rPr>
        <w:t>、服务商其它文件资料</w:t>
      </w:r>
      <w:r>
        <w:rPr>
          <w:color w:val="auto"/>
          <w:highlight w:val="none"/>
        </w:rPr>
        <w:tab/>
      </w:r>
      <w:r>
        <w:rPr>
          <w:color w:val="auto"/>
          <w:highlight w:val="none"/>
        </w:rPr>
        <w:fldChar w:fldCharType="begin"/>
      </w:r>
      <w:r>
        <w:rPr>
          <w:color w:val="auto"/>
          <w:highlight w:val="none"/>
        </w:rPr>
        <w:instrText xml:space="preserve"> PAGEREF _Toc528924919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"_Toc528924920" </w:instrText>
      </w:r>
      <w:r>
        <w:rPr>
          <w:color w:val="auto"/>
          <w:highlight w:val="none"/>
        </w:rPr>
        <w:fldChar w:fldCharType="separate"/>
      </w:r>
      <w:r>
        <w:rPr>
          <w:rStyle w:val="25"/>
          <w:rFonts w:ascii="宋体" w:hAnsi="宋体"/>
          <w:color w:val="auto"/>
          <w:highlight w:val="none"/>
        </w:rPr>
        <w:t>15</w:t>
      </w:r>
      <w:r>
        <w:rPr>
          <w:rStyle w:val="25"/>
          <w:rFonts w:hint="eastAsia" w:ascii="宋体" w:hAnsi="宋体"/>
          <w:color w:val="auto"/>
          <w:highlight w:val="none"/>
        </w:rPr>
        <w:t>、磋商的有效期</w:t>
      </w:r>
      <w:r>
        <w:rPr>
          <w:color w:val="auto"/>
          <w:highlight w:val="none"/>
        </w:rPr>
        <w:tab/>
      </w:r>
      <w:r>
        <w:rPr>
          <w:color w:val="auto"/>
          <w:highlight w:val="none"/>
        </w:rPr>
        <w:fldChar w:fldCharType="begin"/>
      </w:r>
      <w:r>
        <w:rPr>
          <w:color w:val="auto"/>
          <w:highlight w:val="none"/>
        </w:rPr>
        <w:instrText xml:space="preserve"> PAGEREF _Toc528924920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"_Toc528924921" </w:instrText>
      </w:r>
      <w:r>
        <w:rPr>
          <w:color w:val="auto"/>
          <w:highlight w:val="none"/>
        </w:rPr>
        <w:fldChar w:fldCharType="separate"/>
      </w:r>
      <w:r>
        <w:rPr>
          <w:rStyle w:val="25"/>
          <w:rFonts w:ascii="宋体" w:hAnsi="宋体"/>
          <w:color w:val="auto"/>
          <w:highlight w:val="none"/>
        </w:rPr>
        <w:t>16</w:t>
      </w:r>
      <w:r>
        <w:rPr>
          <w:rStyle w:val="25"/>
          <w:rFonts w:hint="eastAsia" w:ascii="宋体" w:hAnsi="宋体"/>
          <w:color w:val="auto"/>
          <w:highlight w:val="none"/>
        </w:rPr>
        <w:t>、响应文件书写及签名、盖章要求</w:t>
      </w:r>
      <w:r>
        <w:rPr>
          <w:color w:val="auto"/>
          <w:highlight w:val="none"/>
        </w:rPr>
        <w:tab/>
      </w:r>
      <w:r>
        <w:rPr>
          <w:color w:val="auto"/>
          <w:highlight w:val="none"/>
        </w:rPr>
        <w:fldChar w:fldCharType="begin"/>
      </w:r>
      <w:r>
        <w:rPr>
          <w:color w:val="auto"/>
          <w:highlight w:val="none"/>
        </w:rPr>
        <w:instrText xml:space="preserve"> PAGEREF _Toc528924921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"_Toc528924922" </w:instrText>
      </w:r>
      <w:r>
        <w:rPr>
          <w:color w:val="auto"/>
          <w:highlight w:val="none"/>
        </w:rPr>
        <w:fldChar w:fldCharType="separate"/>
      </w:r>
      <w:r>
        <w:rPr>
          <w:rStyle w:val="25"/>
          <w:rFonts w:ascii="宋体" w:hAnsi="宋体"/>
          <w:color w:val="auto"/>
          <w:highlight w:val="none"/>
        </w:rPr>
        <w:t>17</w:t>
      </w:r>
      <w:r>
        <w:rPr>
          <w:rStyle w:val="25"/>
          <w:rFonts w:hint="eastAsia" w:ascii="宋体" w:hAnsi="宋体"/>
          <w:color w:val="auto"/>
          <w:highlight w:val="none"/>
        </w:rPr>
        <w:t>、磋商保证金</w:t>
      </w:r>
      <w:r>
        <w:rPr>
          <w:color w:val="auto"/>
          <w:highlight w:val="none"/>
        </w:rPr>
        <w:tab/>
      </w:r>
      <w:r>
        <w:rPr>
          <w:color w:val="auto"/>
          <w:highlight w:val="none"/>
        </w:rPr>
        <w:fldChar w:fldCharType="begin"/>
      </w:r>
      <w:r>
        <w:rPr>
          <w:color w:val="auto"/>
          <w:highlight w:val="none"/>
        </w:rPr>
        <w:instrText xml:space="preserve"> PAGEREF _Toc528924922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"_Toc528924923" </w:instrText>
      </w:r>
      <w:r>
        <w:rPr>
          <w:color w:val="auto"/>
          <w:highlight w:val="none"/>
        </w:rPr>
        <w:fldChar w:fldCharType="separate"/>
      </w:r>
      <w:r>
        <w:rPr>
          <w:rStyle w:val="25"/>
          <w:rFonts w:hint="eastAsia" w:ascii="宋体" w:hAnsi="宋体"/>
          <w:color w:val="auto"/>
          <w:highlight w:val="none"/>
        </w:rPr>
        <w:t>四响应文件的递交</w:t>
      </w:r>
      <w:r>
        <w:rPr>
          <w:color w:val="auto"/>
          <w:highlight w:val="none"/>
        </w:rPr>
        <w:tab/>
      </w:r>
      <w:r>
        <w:rPr>
          <w:color w:val="auto"/>
          <w:highlight w:val="none"/>
        </w:rPr>
        <w:fldChar w:fldCharType="begin"/>
      </w:r>
      <w:r>
        <w:rPr>
          <w:color w:val="auto"/>
          <w:highlight w:val="none"/>
        </w:rPr>
        <w:instrText xml:space="preserve"> PAGEREF _Toc528924923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"_Toc528924924" </w:instrText>
      </w:r>
      <w:r>
        <w:rPr>
          <w:color w:val="auto"/>
          <w:highlight w:val="none"/>
        </w:rPr>
        <w:fldChar w:fldCharType="separate"/>
      </w:r>
      <w:r>
        <w:rPr>
          <w:rStyle w:val="25"/>
          <w:rFonts w:ascii="宋体" w:hAnsi="宋体"/>
          <w:color w:val="auto"/>
          <w:highlight w:val="none"/>
        </w:rPr>
        <w:t>19</w:t>
      </w:r>
      <w:r>
        <w:rPr>
          <w:rStyle w:val="25"/>
          <w:rFonts w:hint="eastAsia" w:ascii="宋体" w:hAnsi="宋体"/>
          <w:color w:val="auto"/>
          <w:highlight w:val="none"/>
        </w:rPr>
        <w:t>、响应文件的密封与标记</w:t>
      </w:r>
      <w:r>
        <w:rPr>
          <w:color w:val="auto"/>
          <w:highlight w:val="none"/>
        </w:rPr>
        <w:tab/>
      </w:r>
      <w:r>
        <w:rPr>
          <w:color w:val="auto"/>
          <w:highlight w:val="none"/>
        </w:rPr>
        <w:fldChar w:fldCharType="begin"/>
      </w:r>
      <w:r>
        <w:rPr>
          <w:color w:val="auto"/>
          <w:highlight w:val="none"/>
        </w:rPr>
        <w:instrText xml:space="preserve"> PAGEREF _Toc528924924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"_Toc528924925" </w:instrText>
      </w:r>
      <w:r>
        <w:rPr>
          <w:color w:val="auto"/>
          <w:highlight w:val="none"/>
        </w:rPr>
        <w:fldChar w:fldCharType="separate"/>
      </w:r>
      <w:r>
        <w:rPr>
          <w:rStyle w:val="25"/>
          <w:rFonts w:ascii="宋体" w:hAnsi="宋体"/>
          <w:color w:val="auto"/>
          <w:highlight w:val="none"/>
        </w:rPr>
        <w:t>20</w:t>
      </w:r>
      <w:r>
        <w:rPr>
          <w:rStyle w:val="25"/>
          <w:rFonts w:hint="eastAsia" w:ascii="宋体" w:hAnsi="宋体"/>
          <w:color w:val="auto"/>
          <w:highlight w:val="none"/>
        </w:rPr>
        <w:t>、磋商截止时间、地点</w:t>
      </w:r>
      <w:r>
        <w:rPr>
          <w:color w:val="auto"/>
          <w:highlight w:val="none"/>
        </w:rPr>
        <w:tab/>
      </w:r>
      <w:r>
        <w:rPr>
          <w:color w:val="auto"/>
          <w:highlight w:val="none"/>
        </w:rPr>
        <w:fldChar w:fldCharType="begin"/>
      </w:r>
      <w:r>
        <w:rPr>
          <w:color w:val="auto"/>
          <w:highlight w:val="none"/>
        </w:rPr>
        <w:instrText xml:space="preserve"> PAGEREF _Toc528924925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5"/>
        <w:rPr>
          <w:rFonts w:ascii="Calibri" w:hAnsi="Calibri"/>
          <w:smallCaps w:val="0"/>
          <w:color w:val="auto"/>
          <w:sz w:val="21"/>
          <w:szCs w:val="22"/>
          <w:highlight w:val="none"/>
        </w:rPr>
      </w:pPr>
      <w:r>
        <w:rPr>
          <w:color w:val="auto"/>
          <w:highlight w:val="none"/>
        </w:rPr>
        <w:fldChar w:fldCharType="begin"/>
      </w:r>
      <w:r>
        <w:rPr>
          <w:color w:val="auto"/>
          <w:highlight w:val="none"/>
        </w:rPr>
        <w:instrText xml:space="preserve"> HYPERLINK \l "_Toc528924926" </w:instrText>
      </w:r>
      <w:r>
        <w:rPr>
          <w:color w:val="auto"/>
          <w:highlight w:val="none"/>
        </w:rPr>
        <w:fldChar w:fldCharType="separate"/>
      </w:r>
      <w:r>
        <w:rPr>
          <w:rStyle w:val="25"/>
          <w:rFonts w:ascii="宋体" w:hAnsi="宋体"/>
          <w:color w:val="auto"/>
          <w:highlight w:val="none"/>
        </w:rPr>
        <w:t>21</w:t>
      </w:r>
      <w:r>
        <w:rPr>
          <w:rStyle w:val="25"/>
          <w:rFonts w:hint="eastAsia" w:ascii="宋体" w:hAnsi="宋体"/>
          <w:color w:val="auto"/>
          <w:highlight w:val="none"/>
        </w:rPr>
        <w:t>、响应文件的修改及撤回</w:t>
      </w:r>
      <w:r>
        <w:rPr>
          <w:color w:val="auto"/>
          <w:highlight w:val="none"/>
        </w:rPr>
        <w:tab/>
      </w:r>
      <w:r>
        <w:rPr>
          <w:color w:val="auto"/>
          <w:highlight w:val="none"/>
        </w:rPr>
        <w:fldChar w:fldCharType="begin"/>
      </w:r>
      <w:r>
        <w:rPr>
          <w:color w:val="auto"/>
          <w:highlight w:val="none"/>
        </w:rPr>
        <w:instrText xml:space="preserve"> PAGEREF _Toc528924926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"_Toc528924927" </w:instrText>
      </w:r>
      <w:r>
        <w:rPr>
          <w:color w:val="auto"/>
          <w:highlight w:val="none"/>
        </w:rPr>
        <w:fldChar w:fldCharType="separate"/>
      </w:r>
      <w:r>
        <w:rPr>
          <w:rStyle w:val="25"/>
          <w:rFonts w:hint="eastAsia" w:ascii="宋体" w:hAnsi="宋体"/>
          <w:color w:val="auto"/>
          <w:highlight w:val="none"/>
        </w:rPr>
        <w:t>五响应文件评审</w:t>
      </w:r>
      <w:r>
        <w:rPr>
          <w:color w:val="auto"/>
          <w:highlight w:val="none"/>
        </w:rPr>
        <w:tab/>
      </w:r>
      <w:r>
        <w:rPr>
          <w:color w:val="auto"/>
          <w:highlight w:val="none"/>
        </w:rPr>
        <w:fldChar w:fldCharType="begin"/>
      </w:r>
      <w:r>
        <w:rPr>
          <w:color w:val="auto"/>
          <w:highlight w:val="none"/>
        </w:rPr>
        <w:instrText xml:space="preserve"> PAGEREF _Toc528924927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"_Toc528924935" </w:instrText>
      </w:r>
      <w:r>
        <w:rPr>
          <w:color w:val="auto"/>
          <w:highlight w:val="none"/>
        </w:rPr>
        <w:fldChar w:fldCharType="separate"/>
      </w:r>
      <w:r>
        <w:rPr>
          <w:rStyle w:val="25"/>
          <w:rFonts w:hint="eastAsia" w:ascii="宋体" w:hAnsi="宋体"/>
          <w:color w:val="auto"/>
          <w:highlight w:val="none"/>
        </w:rPr>
        <w:t>六签订合同</w:t>
      </w:r>
      <w:r>
        <w:rPr>
          <w:color w:val="auto"/>
          <w:highlight w:val="none"/>
        </w:rPr>
        <w:tab/>
      </w:r>
      <w:r>
        <w:rPr>
          <w:color w:val="auto"/>
          <w:highlight w:val="none"/>
        </w:rPr>
        <w:fldChar w:fldCharType="begin"/>
      </w:r>
      <w:r>
        <w:rPr>
          <w:color w:val="auto"/>
          <w:highlight w:val="none"/>
        </w:rPr>
        <w:instrText xml:space="preserve"> PAGEREF _Toc528924935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"_Toc528924940" </w:instrText>
      </w:r>
      <w:r>
        <w:rPr>
          <w:color w:val="auto"/>
          <w:highlight w:val="none"/>
        </w:rPr>
        <w:fldChar w:fldCharType="separate"/>
      </w:r>
      <w:r>
        <w:rPr>
          <w:rStyle w:val="25"/>
          <w:rFonts w:hint="eastAsia" w:ascii="宋体" w:hAnsi="宋体"/>
          <w:color w:val="auto"/>
          <w:highlight w:val="none"/>
        </w:rPr>
        <w:t>七其他事项</w:t>
      </w:r>
      <w:r>
        <w:rPr>
          <w:color w:val="auto"/>
          <w:highlight w:val="none"/>
        </w:rPr>
        <w:tab/>
      </w:r>
      <w:r>
        <w:rPr>
          <w:color w:val="auto"/>
          <w:highlight w:val="none"/>
        </w:rPr>
        <w:fldChar w:fldCharType="begin"/>
      </w:r>
      <w:r>
        <w:rPr>
          <w:color w:val="auto"/>
          <w:highlight w:val="none"/>
        </w:rPr>
        <w:instrText xml:space="preserve"> PAGEREF _Toc528924940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"_Toc528924944" </w:instrText>
      </w:r>
      <w:r>
        <w:rPr>
          <w:color w:val="auto"/>
          <w:highlight w:val="none"/>
        </w:rPr>
        <w:fldChar w:fldCharType="separate"/>
      </w:r>
      <w:r>
        <w:rPr>
          <w:rStyle w:val="25"/>
          <w:rFonts w:hint="eastAsia" w:ascii="宋体" w:hAnsi="宋体"/>
          <w:color w:val="auto"/>
          <w:highlight w:val="none"/>
        </w:rPr>
        <w:t>第三章服务要求</w:t>
      </w:r>
      <w:r>
        <w:rPr>
          <w:color w:val="auto"/>
          <w:highlight w:val="none"/>
        </w:rPr>
        <w:tab/>
      </w:r>
      <w:r>
        <w:rPr>
          <w:color w:val="auto"/>
          <w:highlight w:val="none"/>
        </w:rPr>
        <w:fldChar w:fldCharType="begin"/>
      </w:r>
      <w:r>
        <w:rPr>
          <w:color w:val="auto"/>
          <w:highlight w:val="none"/>
        </w:rPr>
        <w:instrText xml:space="preserve"> PAGEREF _Toc528924944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"_Toc528924945" </w:instrText>
      </w:r>
      <w:r>
        <w:rPr>
          <w:color w:val="auto"/>
          <w:highlight w:val="none"/>
        </w:rPr>
        <w:fldChar w:fldCharType="separate"/>
      </w:r>
      <w:r>
        <w:rPr>
          <w:rStyle w:val="25"/>
          <w:rFonts w:hint="eastAsia" w:ascii="宋体" w:hAnsi="宋体"/>
          <w:color w:val="auto"/>
          <w:highlight w:val="none"/>
        </w:rPr>
        <w:t>第四章政府采购合同（格式）</w:t>
      </w:r>
      <w:r>
        <w:rPr>
          <w:color w:val="auto"/>
          <w:highlight w:val="none"/>
        </w:rPr>
        <w:tab/>
      </w:r>
      <w:r>
        <w:rPr>
          <w:color w:val="auto"/>
          <w:highlight w:val="none"/>
        </w:rPr>
        <w:fldChar w:fldCharType="begin"/>
      </w:r>
      <w:r>
        <w:rPr>
          <w:color w:val="auto"/>
          <w:highlight w:val="none"/>
        </w:rPr>
        <w:instrText xml:space="preserve"> PAGEREF _Toc528924945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"_Toc528924949" </w:instrText>
      </w:r>
      <w:r>
        <w:rPr>
          <w:color w:val="auto"/>
          <w:highlight w:val="none"/>
        </w:rPr>
        <w:fldChar w:fldCharType="separate"/>
      </w:r>
      <w:r>
        <w:rPr>
          <w:rStyle w:val="25"/>
          <w:rFonts w:hint="eastAsia"/>
          <w:color w:val="auto"/>
          <w:highlight w:val="none"/>
        </w:rPr>
        <w:t>合同主要条款及格式（参考）</w:t>
      </w:r>
      <w:r>
        <w:rPr>
          <w:color w:val="auto"/>
          <w:highlight w:val="none"/>
        </w:rPr>
        <w:tab/>
      </w:r>
      <w:r>
        <w:rPr>
          <w:rFonts w:hint="eastAsia"/>
          <w:color w:val="auto"/>
          <w:highlight w:val="none"/>
        </w:rPr>
        <w:t>1</w:t>
      </w:r>
      <w:r>
        <w:rPr>
          <w:rFonts w:hint="eastAsia"/>
          <w:color w:val="auto"/>
          <w:highlight w:val="none"/>
        </w:rPr>
        <w:fldChar w:fldCharType="end"/>
      </w:r>
      <w:r>
        <w:rPr>
          <w:rFonts w:hint="eastAsia"/>
          <w:color w:val="auto"/>
          <w:highlight w:val="none"/>
        </w:rPr>
        <w:t>9</w:t>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"_Toc528924950" </w:instrText>
      </w:r>
      <w:r>
        <w:rPr>
          <w:color w:val="auto"/>
          <w:highlight w:val="none"/>
        </w:rPr>
        <w:fldChar w:fldCharType="separate"/>
      </w:r>
      <w:r>
        <w:rPr>
          <w:rStyle w:val="25"/>
          <w:rFonts w:hint="eastAsia" w:ascii="宋体" w:hAnsi="宋体"/>
          <w:color w:val="auto"/>
          <w:highlight w:val="none"/>
        </w:rPr>
        <w:t>第五章评标方法</w:t>
      </w:r>
      <w:r>
        <w:rPr>
          <w:color w:val="auto"/>
          <w:highlight w:val="none"/>
        </w:rPr>
        <w:tab/>
      </w:r>
      <w:r>
        <w:rPr>
          <w:color w:val="auto"/>
          <w:highlight w:val="none"/>
        </w:rPr>
        <w:fldChar w:fldCharType="begin"/>
      </w:r>
      <w:r>
        <w:rPr>
          <w:color w:val="auto"/>
          <w:highlight w:val="none"/>
        </w:rPr>
        <w:instrText xml:space="preserve"> PAGEREF _Toc528924950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"_Toc528924953" </w:instrText>
      </w:r>
      <w:r>
        <w:rPr>
          <w:color w:val="auto"/>
          <w:highlight w:val="none"/>
        </w:rPr>
        <w:fldChar w:fldCharType="separate"/>
      </w:r>
      <w:r>
        <w:rPr>
          <w:rStyle w:val="25"/>
          <w:rFonts w:hint="eastAsia" w:ascii="宋体" w:hAnsi="宋体"/>
          <w:color w:val="auto"/>
          <w:highlight w:val="none"/>
        </w:rPr>
        <w:t>第六章响应文件（格式）</w:t>
      </w:r>
      <w:r>
        <w:rPr>
          <w:color w:val="auto"/>
          <w:highlight w:val="none"/>
        </w:rPr>
        <w:tab/>
      </w:r>
      <w:r>
        <w:rPr>
          <w:color w:val="auto"/>
          <w:highlight w:val="none"/>
        </w:rPr>
        <w:fldChar w:fldCharType="begin"/>
      </w:r>
      <w:r>
        <w:rPr>
          <w:color w:val="auto"/>
          <w:highlight w:val="none"/>
        </w:rPr>
        <w:instrText xml:space="preserve"> PAGEREF _Toc528924953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4"/>
        <w:rPr>
          <w:rFonts w:ascii="Calibri" w:hAnsi="Calibri"/>
          <w:b w:val="0"/>
          <w:bCs w:val="0"/>
          <w:caps w:val="0"/>
          <w:color w:val="auto"/>
          <w:szCs w:val="22"/>
          <w:highlight w:val="none"/>
        </w:rPr>
      </w:pPr>
      <w:r>
        <w:rPr>
          <w:color w:val="auto"/>
          <w:highlight w:val="none"/>
        </w:rPr>
        <w:fldChar w:fldCharType="begin"/>
      </w:r>
      <w:r>
        <w:rPr>
          <w:color w:val="auto"/>
          <w:highlight w:val="none"/>
        </w:rPr>
        <w:instrText xml:space="preserve"> HYPERLINK \l "_Toc528924955" </w:instrText>
      </w:r>
      <w:r>
        <w:rPr>
          <w:color w:val="auto"/>
          <w:highlight w:val="none"/>
        </w:rPr>
        <w:fldChar w:fldCharType="separate"/>
      </w:r>
      <w:r>
        <w:rPr>
          <w:rStyle w:val="25"/>
          <w:rFonts w:hint="eastAsia" w:ascii="宋体" w:hAnsi="宋体"/>
          <w:color w:val="auto"/>
          <w:highlight w:val="none"/>
        </w:rPr>
        <w:t>第七章附件</w:t>
      </w:r>
      <w:r>
        <w:rPr>
          <w:color w:val="auto"/>
          <w:highlight w:val="none"/>
        </w:rPr>
        <w:tab/>
      </w:r>
      <w:r>
        <w:rPr>
          <w:color w:val="auto"/>
          <w:highlight w:val="none"/>
        </w:rPr>
        <w:fldChar w:fldCharType="begin"/>
      </w:r>
      <w:r>
        <w:rPr>
          <w:color w:val="auto"/>
          <w:highlight w:val="none"/>
        </w:rPr>
        <w:instrText xml:space="preserve"> PAGEREF _Toc528924955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rPr>
          <w:color w:val="auto"/>
          <w:highlight w:val="none"/>
        </w:rPr>
      </w:pPr>
      <w:r>
        <w:rPr>
          <w:color w:val="auto"/>
          <w:highlight w:val="none"/>
        </w:rPr>
        <w:fldChar w:fldCharType="end"/>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p>
    <w:p>
      <w:pPr>
        <w:pStyle w:val="3"/>
        <w:spacing w:line="560" w:lineRule="exact"/>
        <w:jc w:val="center"/>
        <w:rPr>
          <w:rFonts w:ascii="宋体" w:hAnsi="宋体"/>
          <w:bCs/>
          <w:color w:val="auto"/>
          <w:sz w:val="44"/>
          <w:highlight w:val="none"/>
        </w:rPr>
      </w:pPr>
      <w:bookmarkStart w:id="0" w:name="_Toc528924902"/>
      <w:r>
        <w:rPr>
          <w:rFonts w:hint="eastAsia" w:ascii="宋体" w:hAnsi="宋体"/>
          <w:bCs/>
          <w:color w:val="auto"/>
          <w:sz w:val="44"/>
          <w:highlight w:val="none"/>
        </w:rPr>
        <w:t xml:space="preserve">第一章  </w:t>
      </w:r>
      <w:bookmarkEnd w:id="0"/>
    </w:p>
    <w:p>
      <w:pPr>
        <w:spacing w:line="400" w:lineRule="exact"/>
        <w:jc w:val="center"/>
        <w:rPr>
          <w:rFonts w:ascii="宋体" w:hAnsi="宋体"/>
          <w:b/>
          <w:bCs/>
          <w:color w:val="auto"/>
          <w:sz w:val="30"/>
          <w:szCs w:val="30"/>
          <w:highlight w:val="none"/>
        </w:rPr>
      </w:pPr>
      <w:r>
        <w:rPr>
          <w:rFonts w:hint="eastAsia" w:ascii="宋体" w:hAnsi="宋体"/>
          <w:b/>
          <w:bCs/>
          <w:color w:val="auto"/>
          <w:sz w:val="30"/>
          <w:szCs w:val="30"/>
          <w:highlight w:val="none"/>
        </w:rPr>
        <w:t>2020年防城港市优化营商环境指标第三方评估项目</w:t>
      </w:r>
      <w:r>
        <w:rPr>
          <w:rFonts w:ascii="宋体" w:hAnsi="宋体"/>
          <w:b/>
          <w:bCs/>
          <w:color w:val="auto"/>
          <w:sz w:val="30"/>
          <w:szCs w:val="30"/>
          <w:highlight w:val="none"/>
        </w:rPr>
        <w:t>竞争性</w:t>
      </w:r>
      <w:r>
        <w:rPr>
          <w:rFonts w:hint="eastAsia" w:ascii="宋体" w:hAnsi="宋体"/>
          <w:b/>
          <w:bCs/>
          <w:color w:val="auto"/>
          <w:sz w:val="30"/>
          <w:szCs w:val="30"/>
          <w:highlight w:val="none"/>
        </w:rPr>
        <w:t>磋商</w:t>
      </w:r>
      <w:r>
        <w:rPr>
          <w:rFonts w:ascii="宋体" w:hAnsi="宋体"/>
          <w:b/>
          <w:bCs/>
          <w:color w:val="auto"/>
          <w:sz w:val="30"/>
          <w:szCs w:val="30"/>
          <w:highlight w:val="none"/>
        </w:rPr>
        <w:t>公告</w:t>
      </w:r>
    </w:p>
    <w:p>
      <w:pPr>
        <w:pBdr>
          <w:top w:val="single" w:color="auto" w:sz="4" w:space="1"/>
          <w:left w:val="single" w:color="auto" w:sz="4" w:space="4"/>
          <w:bottom w:val="single" w:color="auto" w:sz="4" w:space="1"/>
          <w:right w:val="single" w:color="auto" w:sz="4" w:space="4"/>
        </w:pBdr>
        <w:spacing w:line="3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00" w:lineRule="exact"/>
        <w:ind w:firstLine="420" w:firstLineChars="200"/>
        <w:rPr>
          <w:rFonts w:ascii="宋体" w:hAnsi="宋体"/>
          <w:b/>
          <w:bCs/>
          <w:color w:val="auto"/>
          <w:sz w:val="30"/>
          <w:szCs w:val="30"/>
          <w:highlight w:val="none"/>
        </w:rPr>
      </w:pPr>
      <w:r>
        <w:rPr>
          <w:rFonts w:hint="eastAsia" w:ascii="宋体" w:hAnsi="宋体" w:cs="宋体"/>
          <w:color w:val="auto"/>
          <w:szCs w:val="21"/>
          <w:highlight w:val="none"/>
        </w:rPr>
        <w:t>2020年防城港市优化营商环境指标第三方评估项目项目的潜在投标人应在</w:t>
      </w:r>
      <w:r>
        <w:rPr>
          <w:rFonts w:hint="eastAsia" w:ascii="宋体" w:hAnsi="宋体" w:cs="宋体"/>
          <w:color w:val="auto"/>
          <w:szCs w:val="21"/>
          <w:highlight w:val="none"/>
          <w:u w:val="singl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Fonts w:hint="eastAsia" w:ascii="宋体" w:hAnsi="宋体" w:cs="宋体"/>
          <w:color w:val="auto"/>
          <w:szCs w:val="21"/>
          <w:highlight w:val="none"/>
          <w:u w:val="single"/>
        </w:rPr>
        <w:t>https://www.zcygov.cn/</w:t>
      </w:r>
      <w:r>
        <w:rPr>
          <w:rFonts w:hint="eastAsia" w:ascii="宋体" w:hAnsi="宋体" w:cs="宋体"/>
          <w:color w:val="auto"/>
          <w:szCs w:val="21"/>
          <w:highlight w:val="none"/>
          <w:u w:val="single"/>
        </w:rPr>
        <w:fldChar w:fldCharType="end"/>
      </w:r>
      <w:r>
        <w:rPr>
          <w:rFonts w:hint="eastAsia" w:ascii="宋体" w:hAnsi="宋体" w:cs="宋体"/>
          <w:color w:val="auto"/>
          <w:szCs w:val="21"/>
          <w:highlight w:val="none"/>
          <w:u w:val="single"/>
        </w:rPr>
        <w:t>）</w:t>
      </w:r>
      <w:r>
        <w:rPr>
          <w:rFonts w:hint="eastAsia" w:ascii="宋体" w:hAnsi="宋体" w:cs="宋体"/>
          <w:color w:val="auto"/>
          <w:szCs w:val="21"/>
          <w:highlight w:val="none"/>
        </w:rPr>
        <w:t>获取招标文件，并于</w:t>
      </w:r>
      <w:r>
        <w:rPr>
          <w:rFonts w:hint="eastAsia" w:ascii="宋体" w:hAnsi="宋体" w:cs="宋体"/>
          <w:color w:val="auto"/>
          <w:szCs w:val="21"/>
          <w:highlight w:val="none"/>
          <w:u w:val="single"/>
        </w:rPr>
        <w:t>2020</w:t>
      </w:r>
      <w:r>
        <w:rPr>
          <w:rFonts w:hint="eastAsia" w:ascii="宋体" w:hAnsi="宋体" w:cs="宋体"/>
          <w:bCs/>
          <w:color w:val="auto"/>
          <w:szCs w:val="21"/>
          <w:highlight w:val="none"/>
          <w:u w:val="single"/>
        </w:rPr>
        <w:t>年9月</w:t>
      </w:r>
      <w:r>
        <w:rPr>
          <w:rFonts w:hint="eastAsia" w:ascii="宋体" w:hAnsi="宋体" w:cs="宋体"/>
          <w:bCs/>
          <w:color w:val="auto"/>
          <w:szCs w:val="21"/>
          <w:highlight w:val="none"/>
          <w:u w:val="single"/>
          <w:lang w:val="en-US" w:eastAsia="zh-CN"/>
        </w:rPr>
        <w:t>28</w:t>
      </w:r>
      <w:r>
        <w:rPr>
          <w:rFonts w:hint="eastAsia" w:ascii="宋体" w:hAnsi="宋体" w:cs="宋体"/>
          <w:bCs/>
          <w:color w:val="auto"/>
          <w:szCs w:val="21"/>
          <w:highlight w:val="none"/>
          <w:u w:val="single"/>
        </w:rPr>
        <w:t>日9点30分</w:t>
      </w:r>
      <w:r>
        <w:rPr>
          <w:rFonts w:hint="eastAsia" w:ascii="宋体" w:hAnsi="宋体" w:cs="宋体"/>
          <w:bCs/>
          <w:color w:val="auto"/>
          <w:szCs w:val="21"/>
          <w:highlight w:val="none"/>
        </w:rPr>
        <w:t>（北京时间）前递交投标文件</w:t>
      </w:r>
      <w:r>
        <w:rPr>
          <w:rFonts w:hint="eastAsia" w:ascii="宋体" w:hAnsi="宋体" w:cs="宋体"/>
          <w:color w:val="auto"/>
          <w:szCs w:val="21"/>
          <w:highlight w:val="none"/>
        </w:rPr>
        <w:t>。</w:t>
      </w:r>
    </w:p>
    <w:p>
      <w:pPr>
        <w:pStyle w:val="36"/>
        <w:spacing w:line="300" w:lineRule="exact"/>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一、项目基本情况</w:t>
      </w:r>
    </w:p>
    <w:p>
      <w:pPr>
        <w:spacing w:line="3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项目编号：FCZC2020-C3-10010-GXDH</w:t>
      </w:r>
    </w:p>
    <w:p>
      <w:pPr>
        <w:spacing w:line="300" w:lineRule="exact"/>
        <w:ind w:firstLine="420" w:firstLineChars="200"/>
        <w:rPr>
          <w:rFonts w:hint="eastAsia" w:ascii="宋体" w:hAnsi="宋体" w:eastAsia="宋体"/>
          <w:color w:val="auto"/>
          <w:szCs w:val="21"/>
          <w:highlight w:val="none"/>
          <w:lang w:eastAsia="zh-CN"/>
        </w:rPr>
      </w:pPr>
      <w:bookmarkStart w:id="345" w:name="_GoBack"/>
      <w:bookmarkEnd w:id="345"/>
      <w:r>
        <w:rPr>
          <w:rFonts w:hint="eastAsia" w:ascii="宋体" w:hAnsi="宋体"/>
          <w:color w:val="auto"/>
          <w:szCs w:val="21"/>
          <w:highlight w:val="none"/>
        </w:rPr>
        <w:t>项目名称：2020年防城港市优化营商环境指标第三方评估项目</w:t>
      </w:r>
    </w:p>
    <w:p>
      <w:pPr>
        <w:spacing w:line="300" w:lineRule="exact"/>
        <w:ind w:firstLine="420" w:firstLineChars="200"/>
        <w:rPr>
          <w:rFonts w:ascii="宋体" w:hAnsi="宋体"/>
          <w:color w:val="auto"/>
          <w:szCs w:val="21"/>
          <w:highlight w:val="none"/>
        </w:rPr>
      </w:pPr>
      <w:r>
        <w:rPr>
          <w:rFonts w:hint="eastAsia" w:ascii="宋体" w:hAnsi="宋体"/>
          <w:color w:val="auto"/>
          <w:szCs w:val="21"/>
          <w:highlight w:val="none"/>
        </w:rPr>
        <w:t>预算金额：</w:t>
      </w:r>
      <w:r>
        <w:rPr>
          <w:rFonts w:hint="eastAsia" w:ascii="宋体" w:hAnsi="宋体"/>
          <w:color w:val="auto"/>
          <w:szCs w:val="21"/>
          <w:highlight w:val="none"/>
          <w:u w:val="single"/>
        </w:rPr>
        <w:t>195</w:t>
      </w:r>
      <w:r>
        <w:rPr>
          <w:rFonts w:hint="eastAsia" w:ascii="宋体" w:hAnsi="宋体"/>
          <w:color w:val="auto"/>
          <w:szCs w:val="21"/>
          <w:highlight w:val="none"/>
        </w:rPr>
        <w:t>万元</w:t>
      </w:r>
    </w:p>
    <w:p>
      <w:pPr>
        <w:spacing w:line="300" w:lineRule="exact"/>
        <w:ind w:firstLine="420" w:firstLineChars="200"/>
        <w:rPr>
          <w:rFonts w:ascii="宋体" w:hAnsi="宋体"/>
          <w:color w:val="auto"/>
          <w:szCs w:val="21"/>
          <w:highlight w:val="none"/>
        </w:rPr>
      </w:pPr>
      <w:r>
        <w:rPr>
          <w:rFonts w:hint="eastAsia" w:ascii="宋体" w:hAnsi="宋体"/>
          <w:color w:val="auto"/>
          <w:szCs w:val="21"/>
          <w:highlight w:val="none"/>
        </w:rPr>
        <w:t>采购需求：2020年防城港市优化营商环境指标第三方评估项目，如需进一步了解详细内容，详见竞争性磋商文件。</w:t>
      </w:r>
    </w:p>
    <w:p>
      <w:pPr>
        <w:spacing w:line="300" w:lineRule="exact"/>
        <w:ind w:firstLine="420" w:firstLineChars="200"/>
        <w:rPr>
          <w:rFonts w:ascii="宋体" w:hAnsi="宋体"/>
          <w:color w:val="auto"/>
          <w:szCs w:val="21"/>
          <w:highlight w:val="none"/>
        </w:rPr>
      </w:pPr>
      <w:r>
        <w:rPr>
          <w:rFonts w:hint="eastAsia" w:ascii="宋体" w:hAnsi="宋体"/>
          <w:color w:val="auto"/>
          <w:szCs w:val="21"/>
          <w:highlight w:val="none"/>
        </w:rPr>
        <w:t>合同履行期限：在2020年11月30日前提交2020年防城港市总报告（含简稿）、各指标分报告和4个县（市、区）分报告。</w:t>
      </w:r>
    </w:p>
    <w:p>
      <w:pPr>
        <w:pStyle w:val="36"/>
        <w:spacing w:line="300" w:lineRule="exact"/>
        <w:ind w:firstLine="0" w:firstLineChars="0"/>
        <w:rPr>
          <w:rFonts w:ascii="宋体" w:hAnsi="宋体" w:cs="宋体"/>
          <w:color w:val="auto"/>
          <w:kern w:val="0"/>
          <w:szCs w:val="21"/>
          <w:highlight w:val="none"/>
        </w:rPr>
      </w:pPr>
      <w:bookmarkStart w:id="1" w:name="_Toc35393791"/>
      <w:bookmarkStart w:id="2" w:name="_Toc28359080"/>
      <w:bookmarkStart w:id="3" w:name="_Toc28359003"/>
      <w:bookmarkStart w:id="4" w:name="_Toc35393622"/>
      <w:r>
        <w:rPr>
          <w:rFonts w:hint="eastAsia" w:ascii="宋体" w:hAnsi="宋体" w:cs="宋体"/>
          <w:color w:val="auto"/>
          <w:kern w:val="0"/>
          <w:szCs w:val="21"/>
          <w:highlight w:val="none"/>
        </w:rPr>
        <w:t>二、申请人的资格要求：</w:t>
      </w:r>
      <w:bookmarkEnd w:id="1"/>
      <w:bookmarkEnd w:id="2"/>
      <w:bookmarkEnd w:id="3"/>
      <w:bookmarkEnd w:id="4"/>
    </w:p>
    <w:p>
      <w:pPr>
        <w:spacing w:line="3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3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2、落实政府采购政策需满足的资格要求：无；</w:t>
      </w:r>
    </w:p>
    <w:p>
      <w:pPr>
        <w:spacing w:line="300" w:lineRule="exact"/>
        <w:ind w:firstLine="420" w:firstLineChars="200"/>
        <w:rPr>
          <w:rFonts w:ascii="宋体" w:hAnsi="宋体"/>
          <w:b/>
          <w:bCs/>
          <w:color w:val="auto"/>
          <w:sz w:val="30"/>
          <w:szCs w:val="30"/>
          <w:highlight w:val="none"/>
        </w:rPr>
      </w:pPr>
      <w:r>
        <w:rPr>
          <w:rFonts w:hint="eastAsia" w:ascii="宋体" w:hAnsi="宋体" w:cs="宋体"/>
          <w:color w:val="auto"/>
          <w:szCs w:val="21"/>
          <w:highlight w:val="none"/>
        </w:rPr>
        <w:t>3、本项目的特定资格要求：无；</w:t>
      </w:r>
    </w:p>
    <w:p>
      <w:pPr>
        <w:spacing w:line="300" w:lineRule="exact"/>
        <w:ind w:firstLine="420" w:firstLineChars="200"/>
        <w:rPr>
          <w:rFonts w:ascii="宋体" w:hAnsi="宋体"/>
          <w:color w:val="auto"/>
          <w:szCs w:val="21"/>
          <w:highlight w:val="none"/>
        </w:rPr>
      </w:pPr>
      <w:r>
        <w:rPr>
          <w:rFonts w:hint="eastAsia" w:ascii="宋体" w:hAnsi="宋体"/>
          <w:color w:val="auto"/>
          <w:szCs w:val="21"/>
          <w:highlight w:val="none"/>
        </w:rPr>
        <w:t>4、单位负责人为同一人或者存在直接控股、管理关系的不同服务商，不得参加同一合同项下的政府采购活动。除单一来源采购项目外，为采购项目提供整体设计、规范编制或者项目管理、监理、检测等服务的服务商，不得再参加该采购项目的其他采购活动；</w:t>
      </w:r>
    </w:p>
    <w:p>
      <w:pPr>
        <w:spacing w:line="300" w:lineRule="exact"/>
        <w:ind w:firstLine="420" w:firstLineChars="200"/>
        <w:rPr>
          <w:rFonts w:ascii="宋体" w:hAnsi="宋体"/>
          <w:color w:val="auto"/>
          <w:szCs w:val="21"/>
          <w:highlight w:val="none"/>
        </w:rPr>
      </w:pPr>
      <w:r>
        <w:rPr>
          <w:rFonts w:hint="eastAsia" w:ascii="宋体" w:hAnsi="宋体"/>
          <w:color w:val="auto"/>
          <w:szCs w:val="21"/>
          <w:highlight w:val="none"/>
        </w:rPr>
        <w:t>5、对在“信用中国”网站(www.creditchina.gov.cn)中列入失信被执行人、重大税收违法案件当事人名单、政府采购严重违法失信行为记录名单及其他不符合《中华人民共和国政府采购法》第二十二条规定条件的服务商，不得参与政府采购活动；服务商在“信用中国”网站（www.creditchina.gov.cn）查询相关服务商主体信用记录，在响应文件中将查询结果截图加盖单位公章如实报告磋商小组）；</w:t>
      </w:r>
    </w:p>
    <w:p>
      <w:pPr>
        <w:spacing w:line="300" w:lineRule="exact"/>
        <w:ind w:firstLine="420" w:firstLineChars="200"/>
        <w:rPr>
          <w:rFonts w:ascii="宋体" w:hAnsi="宋体"/>
          <w:color w:val="auto"/>
          <w:szCs w:val="21"/>
          <w:highlight w:val="none"/>
        </w:rPr>
      </w:pPr>
      <w:r>
        <w:rPr>
          <w:rFonts w:hint="eastAsia" w:ascii="宋体" w:hAnsi="宋体"/>
          <w:color w:val="auto"/>
          <w:szCs w:val="21"/>
          <w:highlight w:val="none"/>
        </w:rPr>
        <w:t>6、本项目不接受未购买本招标文件的投标人参与投标；</w:t>
      </w:r>
    </w:p>
    <w:p>
      <w:pPr>
        <w:spacing w:line="300" w:lineRule="exact"/>
        <w:ind w:firstLine="420" w:firstLineChars="200"/>
        <w:rPr>
          <w:rFonts w:ascii="宋体" w:hAnsi="宋体"/>
          <w:color w:val="auto"/>
          <w:szCs w:val="21"/>
          <w:highlight w:val="none"/>
        </w:rPr>
      </w:pPr>
      <w:r>
        <w:rPr>
          <w:rFonts w:hint="eastAsia" w:ascii="宋体" w:hAnsi="宋体"/>
          <w:color w:val="auto"/>
          <w:szCs w:val="21"/>
          <w:highlight w:val="none"/>
        </w:rPr>
        <w:t>7、本项目不接受联合体</w:t>
      </w:r>
      <w:r>
        <w:rPr>
          <w:rFonts w:ascii="宋体" w:hAnsi="宋体"/>
          <w:color w:val="auto"/>
          <w:szCs w:val="21"/>
          <w:highlight w:val="none"/>
        </w:rPr>
        <w:t>参与磋商</w:t>
      </w:r>
      <w:r>
        <w:rPr>
          <w:rFonts w:hint="eastAsia" w:ascii="宋体" w:hAnsi="宋体"/>
          <w:color w:val="auto"/>
          <w:szCs w:val="21"/>
          <w:highlight w:val="none"/>
        </w:rPr>
        <w:t>，成交后不允许转包、分包。</w:t>
      </w:r>
    </w:p>
    <w:p>
      <w:pPr>
        <w:pStyle w:val="36"/>
        <w:spacing w:line="300" w:lineRule="exact"/>
        <w:ind w:firstLine="0" w:firstLineChars="0"/>
        <w:rPr>
          <w:rFonts w:ascii="宋体" w:hAnsi="宋体" w:cs="宋体"/>
          <w:color w:val="auto"/>
          <w:kern w:val="0"/>
          <w:szCs w:val="21"/>
          <w:highlight w:val="none"/>
        </w:rPr>
      </w:pPr>
      <w:bookmarkStart w:id="5" w:name="_Toc35393623"/>
      <w:bookmarkStart w:id="6" w:name="_Toc35393792"/>
      <w:r>
        <w:rPr>
          <w:rFonts w:hint="eastAsia" w:ascii="宋体" w:hAnsi="宋体" w:cs="宋体"/>
          <w:color w:val="auto"/>
          <w:kern w:val="0"/>
          <w:szCs w:val="21"/>
          <w:highlight w:val="none"/>
        </w:rPr>
        <w:t>三、获取招标文件</w:t>
      </w:r>
      <w:bookmarkEnd w:id="5"/>
      <w:bookmarkEnd w:id="6"/>
    </w:p>
    <w:p>
      <w:pPr>
        <w:spacing w:line="3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1、发售时间：</w:t>
      </w:r>
      <w:r>
        <w:rPr>
          <w:rFonts w:hint="eastAsia" w:ascii="宋体" w:hAnsi="宋体" w:cs="宋体"/>
          <w:bCs/>
          <w:color w:val="auto"/>
          <w:szCs w:val="21"/>
          <w:highlight w:val="none"/>
        </w:rPr>
        <w:t>2020年</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16</w:t>
      </w:r>
      <w:r>
        <w:rPr>
          <w:rFonts w:hint="eastAsia" w:ascii="宋体" w:hAnsi="宋体" w:cs="宋体"/>
          <w:bCs/>
          <w:color w:val="auto"/>
          <w:szCs w:val="21"/>
          <w:highlight w:val="none"/>
        </w:rPr>
        <w:t>日</w:t>
      </w:r>
      <w:r>
        <w:rPr>
          <w:rFonts w:hint="eastAsia" w:ascii="宋体" w:hAnsi="宋体" w:cs="宋体"/>
          <w:color w:val="auto"/>
          <w:szCs w:val="21"/>
          <w:highlight w:val="none"/>
        </w:rPr>
        <w:t>至2020年</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23</w:t>
      </w:r>
      <w:r>
        <w:rPr>
          <w:rFonts w:hint="eastAsia" w:ascii="宋体" w:hAnsi="宋体" w:cs="宋体"/>
          <w:color w:val="auto"/>
          <w:szCs w:val="21"/>
          <w:highlight w:val="none"/>
        </w:rPr>
        <w:t>日，上午8时00分到12时00分，下午3时00分到6时00分，双休日和法定节假日不办理业务。</w:t>
      </w:r>
    </w:p>
    <w:p>
      <w:pPr>
        <w:spacing w:line="3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2、地点：政采云平台（https://www.zcygov.cn/）。</w:t>
      </w:r>
    </w:p>
    <w:p>
      <w:pPr>
        <w:spacing w:line="3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3、①</w:t>
      </w:r>
      <w:r>
        <w:rPr>
          <w:rFonts w:hint="eastAsia" w:ascii="宋体" w:hAnsi="宋体" w:cs="宋体"/>
          <w:bCs/>
          <w:color w:val="auto"/>
          <w:szCs w:val="21"/>
          <w:highlight w:val="none"/>
        </w:rPr>
        <w:t>由潜在供应商登陆政采云平台（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Fonts w:hint="eastAsia" w:ascii="宋体" w:hAnsi="宋体" w:cs="宋体"/>
          <w:bCs/>
          <w:color w:val="auto"/>
          <w:szCs w:val="21"/>
          <w:highlight w:val="none"/>
        </w:rPr>
        <w:t>https://www.zcygov.cn/</w:t>
      </w:r>
      <w:r>
        <w:rPr>
          <w:rFonts w:hint="eastAsia" w:ascii="宋体" w:hAnsi="宋体" w:cs="宋体"/>
          <w:bCs/>
          <w:color w:val="auto"/>
          <w:szCs w:val="21"/>
          <w:highlight w:val="none"/>
        </w:rPr>
        <w:fldChar w:fldCharType="end"/>
      </w:r>
      <w:r>
        <w:rPr>
          <w:rFonts w:hint="eastAsia" w:ascii="宋体" w:hAnsi="宋体" w:cs="宋体"/>
          <w:bCs/>
          <w:color w:val="auto"/>
          <w:szCs w:val="21"/>
          <w:highlight w:val="none"/>
        </w:rPr>
        <w:t>）进行报名登记，并在附件上传主体资格证明（如营业执照或事业单位法人证书等）副本复印件（加盖单位公章），待审核通过后方可从网上下载采购文件电子版,并根据采购文件规定的投标截止时间和地点提交响应文件。未注册的供应商可登录政采云平台进行注册，如在操作过程中遇到问题或者需要技术支持，请致电政采云客服热线：400-881-7190</w:t>
      </w:r>
    </w:p>
    <w:p>
      <w:pPr>
        <w:spacing w:line="3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②采购代理机构确认采购文件价款到达指定账户后，供应商获取采购文件的信息方可通过，通过后供应商才能下载采购文件电子版，并根据采购文件规定的响应文件递交截止时间和地点提交响应文件。供应商未按以上时间、方式获取本项目采购文件的，本公司将拒收其响应文件。</w:t>
      </w:r>
    </w:p>
    <w:p>
      <w:pPr>
        <w:spacing w:line="3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4、售价：采购文件售价每本250元，售后不退。</w:t>
      </w:r>
    </w:p>
    <w:p>
      <w:pPr>
        <w:spacing w:line="3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5、采购文件款项缴纳银行账户（不接受个人名义转账）：</w:t>
      </w:r>
    </w:p>
    <w:p>
      <w:pPr>
        <w:spacing w:line="3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开户名称：广西达华工程造价咨询有限责任公司防城港分公司</w:t>
      </w:r>
    </w:p>
    <w:p>
      <w:pPr>
        <w:spacing w:line="3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开户银行：中国建设银行防城港桃花湾广场支行</w:t>
      </w:r>
    </w:p>
    <w:p>
      <w:pPr>
        <w:spacing w:line="300" w:lineRule="exact"/>
        <w:ind w:firstLine="420" w:firstLineChars="200"/>
        <w:rPr>
          <w:color w:val="auto"/>
          <w:highlight w:val="none"/>
        </w:rPr>
      </w:pPr>
      <w:r>
        <w:rPr>
          <w:rFonts w:hint="eastAsia" w:ascii="宋体" w:hAnsi="宋体" w:cs="宋体"/>
          <w:color w:val="auto"/>
          <w:szCs w:val="21"/>
          <w:highlight w:val="none"/>
        </w:rPr>
        <w:t>银行帐号：4505 0165 9542 0000 0837</w:t>
      </w:r>
    </w:p>
    <w:p>
      <w:pPr>
        <w:pStyle w:val="36"/>
        <w:spacing w:line="300" w:lineRule="exact"/>
        <w:ind w:firstLine="0" w:firstLineChars="0"/>
        <w:rPr>
          <w:rFonts w:ascii="宋体" w:hAnsi="宋体" w:cs="宋体"/>
          <w:color w:val="auto"/>
          <w:kern w:val="0"/>
          <w:szCs w:val="21"/>
          <w:highlight w:val="none"/>
        </w:rPr>
      </w:pPr>
      <w:bookmarkStart w:id="7" w:name="_Toc35393624"/>
      <w:bookmarkStart w:id="8" w:name="_Toc28359082"/>
      <w:bookmarkStart w:id="9" w:name="_Toc28359005"/>
      <w:bookmarkStart w:id="10" w:name="_Toc35393793"/>
      <w:r>
        <w:rPr>
          <w:rFonts w:hint="eastAsia" w:ascii="宋体" w:hAnsi="宋体" w:cs="宋体"/>
          <w:color w:val="auto"/>
          <w:kern w:val="0"/>
          <w:szCs w:val="21"/>
          <w:highlight w:val="none"/>
        </w:rPr>
        <w:t>四、</w:t>
      </w:r>
      <w:bookmarkEnd w:id="7"/>
      <w:bookmarkEnd w:id="8"/>
      <w:bookmarkEnd w:id="9"/>
      <w:bookmarkEnd w:id="10"/>
      <w:r>
        <w:rPr>
          <w:rFonts w:hint="eastAsia" w:ascii="宋体" w:hAnsi="宋体" w:cs="宋体"/>
          <w:color w:val="auto"/>
          <w:kern w:val="0"/>
          <w:szCs w:val="21"/>
          <w:highlight w:val="none"/>
        </w:rPr>
        <w:t>响应文件提交</w:t>
      </w:r>
    </w:p>
    <w:p>
      <w:pPr>
        <w:spacing w:line="3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截止时间：2020年</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28</w:t>
      </w:r>
      <w:r>
        <w:rPr>
          <w:rFonts w:hint="eastAsia" w:ascii="宋体" w:hAnsi="宋体" w:cs="宋体"/>
          <w:bCs/>
          <w:color w:val="auto"/>
          <w:szCs w:val="21"/>
          <w:highlight w:val="none"/>
        </w:rPr>
        <w:t>日9点30分；</w:t>
      </w:r>
    </w:p>
    <w:p>
      <w:pPr>
        <w:spacing w:line="3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地点：防城港市公共资源交易中心开标厅（防城港市迎宾路红树林大厦东塔，详见6楼电子大屏）。</w:t>
      </w:r>
    </w:p>
    <w:p>
      <w:pPr>
        <w:pStyle w:val="36"/>
        <w:spacing w:line="300" w:lineRule="exact"/>
        <w:ind w:firstLine="0" w:firstLineChars="0"/>
        <w:rPr>
          <w:rFonts w:ascii="宋体" w:hAnsi="宋体" w:cs="宋体"/>
          <w:color w:val="auto"/>
          <w:kern w:val="0"/>
          <w:szCs w:val="21"/>
          <w:highlight w:val="none"/>
        </w:rPr>
      </w:pPr>
      <w:bookmarkStart w:id="11" w:name="_Toc35393802"/>
      <w:bookmarkStart w:id="12" w:name="_Toc28359093"/>
      <w:bookmarkStart w:id="13" w:name="_Toc35393633"/>
      <w:bookmarkStart w:id="14" w:name="_Toc28359016"/>
      <w:r>
        <w:rPr>
          <w:rFonts w:hint="eastAsia" w:ascii="宋体" w:hAnsi="宋体" w:cs="宋体"/>
          <w:color w:val="auto"/>
          <w:kern w:val="0"/>
          <w:szCs w:val="21"/>
          <w:highlight w:val="none"/>
        </w:rPr>
        <w:t>五、开启</w:t>
      </w:r>
      <w:bookmarkEnd w:id="11"/>
      <w:bookmarkEnd w:id="12"/>
      <w:bookmarkEnd w:id="13"/>
      <w:bookmarkEnd w:id="14"/>
    </w:p>
    <w:p>
      <w:pPr>
        <w:pStyle w:val="36"/>
        <w:spacing w:line="300" w:lineRule="exact"/>
        <w:rPr>
          <w:rFonts w:ascii="宋体" w:hAnsi="宋体" w:cs="宋体"/>
          <w:color w:val="auto"/>
          <w:kern w:val="0"/>
          <w:szCs w:val="21"/>
          <w:highlight w:val="none"/>
        </w:rPr>
      </w:pPr>
      <w:r>
        <w:rPr>
          <w:rFonts w:hint="eastAsia" w:ascii="宋体" w:hAnsi="宋体" w:cs="宋体"/>
          <w:color w:val="auto"/>
          <w:kern w:val="0"/>
          <w:szCs w:val="21"/>
          <w:highlight w:val="none"/>
        </w:rPr>
        <w:t>时间：2020年</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28</w:t>
      </w:r>
      <w:r>
        <w:rPr>
          <w:rFonts w:hint="eastAsia" w:ascii="宋体" w:hAnsi="宋体" w:cs="宋体"/>
          <w:color w:val="auto"/>
          <w:kern w:val="0"/>
          <w:szCs w:val="21"/>
          <w:highlight w:val="none"/>
        </w:rPr>
        <w:t>日9时30分截标后为与服务商磋商时间，具体时间由采购代理机构另行通知；</w:t>
      </w:r>
    </w:p>
    <w:p>
      <w:pPr>
        <w:pStyle w:val="36"/>
        <w:spacing w:line="300" w:lineRule="exact"/>
        <w:rPr>
          <w:rFonts w:ascii="宋体" w:hAnsi="宋体" w:cs="宋体"/>
          <w:color w:val="auto"/>
          <w:kern w:val="0"/>
          <w:szCs w:val="21"/>
          <w:highlight w:val="none"/>
        </w:rPr>
      </w:pPr>
      <w:r>
        <w:rPr>
          <w:rFonts w:hint="eastAsia" w:ascii="宋体" w:hAnsi="宋体" w:cs="宋体"/>
          <w:color w:val="auto"/>
          <w:kern w:val="0"/>
          <w:szCs w:val="21"/>
          <w:highlight w:val="none"/>
        </w:rPr>
        <w:t>地点：防城港市公共资源交易中心（防城港市迎宾路红树林大厦东塔）评标厅，参加磋商的法定代表人或委托代理人必须持证件（法定代表人凭法定代表人身份证明原件和身份证原件；委托代理人凭法定代表人授权委托书原件和身份证原件）出席，依时到达指定地点等候当面磋商。</w:t>
      </w:r>
    </w:p>
    <w:p>
      <w:pPr>
        <w:pStyle w:val="36"/>
        <w:spacing w:line="300" w:lineRule="exact"/>
        <w:ind w:firstLine="0" w:firstLineChars="0"/>
        <w:rPr>
          <w:rFonts w:ascii="宋体" w:hAnsi="宋体" w:cs="宋体"/>
          <w:color w:val="auto"/>
          <w:kern w:val="0"/>
          <w:szCs w:val="21"/>
          <w:highlight w:val="none"/>
        </w:rPr>
      </w:pPr>
      <w:bookmarkStart w:id="15" w:name="_Toc35393625"/>
      <w:bookmarkStart w:id="16" w:name="_Toc28359007"/>
      <w:bookmarkStart w:id="17" w:name="_Toc35393794"/>
      <w:bookmarkStart w:id="18" w:name="_Toc28359084"/>
      <w:r>
        <w:rPr>
          <w:rFonts w:hint="eastAsia" w:ascii="宋体" w:hAnsi="宋体" w:cs="宋体"/>
          <w:color w:val="auto"/>
          <w:kern w:val="0"/>
          <w:szCs w:val="21"/>
          <w:highlight w:val="none"/>
        </w:rPr>
        <w:t>六、公告期限</w:t>
      </w:r>
      <w:bookmarkEnd w:id="15"/>
      <w:bookmarkEnd w:id="16"/>
      <w:bookmarkEnd w:id="17"/>
      <w:bookmarkEnd w:id="18"/>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pStyle w:val="36"/>
        <w:spacing w:line="300" w:lineRule="exact"/>
        <w:ind w:firstLine="0" w:firstLineChars="0"/>
        <w:rPr>
          <w:rFonts w:ascii="宋体" w:hAnsi="宋体" w:cs="宋体"/>
          <w:color w:val="auto"/>
          <w:kern w:val="0"/>
          <w:szCs w:val="21"/>
          <w:highlight w:val="none"/>
        </w:rPr>
      </w:pPr>
      <w:bookmarkStart w:id="19" w:name="_Toc35393626"/>
      <w:bookmarkStart w:id="20" w:name="_Toc35393795"/>
      <w:r>
        <w:rPr>
          <w:rFonts w:hint="eastAsia" w:ascii="宋体" w:hAnsi="宋体" w:cs="宋体"/>
          <w:color w:val="auto"/>
          <w:kern w:val="0"/>
          <w:szCs w:val="21"/>
          <w:highlight w:val="none"/>
        </w:rPr>
        <w:t>七、其他补充事宜</w:t>
      </w:r>
      <w:bookmarkEnd w:id="19"/>
      <w:bookmarkEnd w:id="20"/>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投标保证金金额：按照防财采〔2020〕14号文件规定，本项目不收取投标保证金。</w:t>
      </w:r>
    </w:p>
    <w:p>
      <w:pPr>
        <w:pStyle w:val="36"/>
        <w:spacing w:line="300" w:lineRule="exact"/>
        <w:ind w:firstLine="0" w:firstLineChars="0"/>
        <w:rPr>
          <w:rFonts w:ascii="宋体" w:hAnsi="宋体" w:cs="宋体"/>
          <w:color w:val="auto"/>
          <w:kern w:val="0"/>
          <w:szCs w:val="21"/>
          <w:highlight w:val="none"/>
        </w:rPr>
      </w:pPr>
      <w:bookmarkStart w:id="21" w:name="_Toc35393796"/>
      <w:bookmarkStart w:id="22" w:name="_Toc28359008"/>
      <w:bookmarkStart w:id="23" w:name="_Toc35393627"/>
      <w:bookmarkStart w:id="24" w:name="_Toc28359085"/>
      <w:r>
        <w:rPr>
          <w:rFonts w:hint="eastAsia" w:ascii="宋体" w:hAnsi="宋体" w:cs="宋体"/>
          <w:color w:val="auto"/>
          <w:kern w:val="0"/>
          <w:szCs w:val="21"/>
          <w:highlight w:val="none"/>
        </w:rPr>
        <w:t>八、对本次招标提出询问，请按以下方式联系。</w:t>
      </w:r>
      <w:bookmarkEnd w:id="21"/>
      <w:bookmarkEnd w:id="22"/>
      <w:bookmarkEnd w:id="23"/>
      <w:bookmarkEnd w:id="24"/>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1.采购人信息</w:t>
      </w:r>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名称：防城港市发展和改革委员会；</w:t>
      </w:r>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地址：防城港市行政中心区政府大楼二楼；</w:t>
      </w:r>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联系方式：</w:t>
      </w:r>
      <w:bookmarkStart w:id="25" w:name="_Toc28359086"/>
      <w:bookmarkStart w:id="26" w:name="_Toc28359009"/>
      <w:r>
        <w:rPr>
          <w:rFonts w:hint="eastAsia" w:ascii="宋体" w:hAnsi="宋体" w:cs="宋体"/>
          <w:color w:val="auto"/>
          <w:kern w:val="0"/>
          <w:szCs w:val="21"/>
          <w:highlight w:val="none"/>
        </w:rPr>
        <w:t>苏莺，13677709960</w:t>
      </w:r>
      <w:r>
        <w:rPr>
          <w:rFonts w:hint="eastAsia" w:ascii="宋体" w:hAnsi="宋体"/>
          <w:color w:val="auto"/>
          <w:szCs w:val="21"/>
          <w:highlight w:val="none"/>
        </w:rPr>
        <w:t xml:space="preserve">  </w:t>
      </w:r>
      <w:r>
        <w:rPr>
          <w:rFonts w:hint="eastAsia" w:ascii="宋体" w:hAnsi="宋体" w:cs="宋体"/>
          <w:color w:val="auto"/>
          <w:kern w:val="0"/>
          <w:szCs w:val="21"/>
          <w:highlight w:val="none"/>
        </w:rPr>
        <w:t>。</w:t>
      </w:r>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2.采购代理机构信息</w:t>
      </w:r>
      <w:bookmarkEnd w:id="25"/>
      <w:bookmarkEnd w:id="26"/>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名称：广西达华工程造价咨询有限责任公司；</w:t>
      </w:r>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地址：防城港市港口区渔洲坪街道中段金石国际财富中心1302房；</w:t>
      </w:r>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联系方式：</w:t>
      </w:r>
      <w:bookmarkStart w:id="27" w:name="_Toc28359087"/>
      <w:bookmarkStart w:id="28" w:name="_Toc28359010"/>
      <w:r>
        <w:rPr>
          <w:rFonts w:hint="eastAsia" w:ascii="宋体" w:hAnsi="宋体" w:cs="宋体"/>
          <w:color w:val="auto"/>
          <w:kern w:val="0"/>
          <w:szCs w:val="21"/>
          <w:highlight w:val="none"/>
        </w:rPr>
        <w:t>0770-2882618。</w:t>
      </w:r>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3.项目联系方式</w:t>
      </w:r>
      <w:bookmarkEnd w:id="27"/>
      <w:bookmarkEnd w:id="28"/>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项目联系人：林桦；</w:t>
      </w:r>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电话：13307708400。</w:t>
      </w:r>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 xml:space="preserve">4.政府采购监督管理部门：防城港市政府采购管理中心；  </w:t>
      </w:r>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电话：0770-6102319。</w:t>
      </w:r>
    </w:p>
    <w:p>
      <w:pPr>
        <w:pStyle w:val="36"/>
        <w:spacing w:line="300" w:lineRule="exact"/>
        <w:ind w:left="495"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5.网上查询地址：</w:t>
      </w:r>
    </w:p>
    <w:p>
      <w:pPr>
        <w:spacing w:line="3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中国政府采购网（http://www.ccgp.gov.cn）、广西壮族自治区政府采购网（http://zfcg.gxzf.gov.cn）、广西防城港政府采购网站（http://zfcg.fcgs.gov.cn）、防城港市公共资源交易中心网（http://www.fcgggzy.cn）。</w:t>
      </w:r>
    </w:p>
    <w:p>
      <w:pPr>
        <w:pStyle w:val="19"/>
        <w:spacing w:line="300" w:lineRule="exact"/>
        <w:ind w:firstLine="210"/>
        <w:rPr>
          <w:rFonts w:ascii="宋体" w:hAnsi="宋体" w:cs="宋体"/>
          <w:color w:val="auto"/>
          <w:highlight w:val="none"/>
        </w:rPr>
      </w:pPr>
    </w:p>
    <w:p>
      <w:pPr>
        <w:pStyle w:val="36"/>
        <w:spacing w:line="300" w:lineRule="exact"/>
        <w:ind w:left="495" w:firstLine="0" w:firstLineChars="0"/>
        <w:jc w:val="right"/>
        <w:rPr>
          <w:rFonts w:ascii="宋体" w:hAnsi="宋体" w:cs="宋体"/>
          <w:color w:val="auto"/>
          <w:kern w:val="0"/>
          <w:szCs w:val="21"/>
          <w:highlight w:val="none"/>
        </w:rPr>
      </w:pPr>
      <w:r>
        <w:rPr>
          <w:rFonts w:hint="eastAsia" w:ascii="宋体" w:hAnsi="宋体" w:cs="宋体"/>
          <w:color w:val="auto"/>
          <w:kern w:val="0"/>
          <w:szCs w:val="21"/>
          <w:highlight w:val="none"/>
        </w:rPr>
        <w:t>防城港市发展和改革委员会</w:t>
      </w:r>
    </w:p>
    <w:p>
      <w:pPr>
        <w:pStyle w:val="36"/>
        <w:spacing w:line="300" w:lineRule="exact"/>
        <w:ind w:left="495" w:firstLine="0" w:firstLineChars="0"/>
        <w:jc w:val="right"/>
        <w:rPr>
          <w:rFonts w:ascii="宋体" w:hAnsi="宋体" w:cs="宋体"/>
          <w:color w:val="auto"/>
          <w:kern w:val="0"/>
          <w:szCs w:val="21"/>
          <w:highlight w:val="none"/>
        </w:rPr>
      </w:pPr>
      <w:r>
        <w:rPr>
          <w:rFonts w:hint="eastAsia" w:ascii="宋体" w:hAnsi="宋体" w:cs="宋体"/>
          <w:color w:val="auto"/>
          <w:kern w:val="0"/>
          <w:szCs w:val="21"/>
          <w:highlight w:val="none"/>
        </w:rPr>
        <w:t>广西达华工程造价咨询有限责任公司</w:t>
      </w:r>
    </w:p>
    <w:p>
      <w:pPr>
        <w:pStyle w:val="36"/>
        <w:wordWrap w:val="0"/>
        <w:spacing w:line="300" w:lineRule="exact"/>
        <w:ind w:left="495" w:firstLine="0" w:firstLineChars="0"/>
        <w:jc w:val="right"/>
        <w:rPr>
          <w:color w:val="auto"/>
          <w:highlight w:val="none"/>
        </w:rPr>
      </w:pPr>
      <w:r>
        <w:rPr>
          <w:rFonts w:hint="eastAsia" w:ascii="宋体" w:hAnsi="宋体" w:cs="宋体"/>
          <w:color w:val="auto"/>
          <w:kern w:val="0"/>
          <w:szCs w:val="21"/>
          <w:highlight w:val="none"/>
        </w:rPr>
        <w:t>2020年9月</w:t>
      </w: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日</w:t>
      </w:r>
    </w:p>
    <w:p>
      <w:pPr>
        <w:rPr>
          <w:color w:val="auto"/>
          <w:highlight w:val="none"/>
        </w:rPr>
      </w:pPr>
    </w:p>
    <w:p>
      <w:pPr>
        <w:rPr>
          <w:color w:val="auto"/>
          <w:highlight w:val="none"/>
        </w:rPr>
      </w:pPr>
    </w:p>
    <w:p>
      <w:pPr>
        <w:pStyle w:val="3"/>
        <w:spacing w:line="560" w:lineRule="exact"/>
        <w:jc w:val="center"/>
        <w:rPr>
          <w:rFonts w:ascii="宋体" w:hAnsi="宋体"/>
          <w:bCs/>
          <w:color w:val="auto"/>
          <w:sz w:val="44"/>
          <w:highlight w:val="none"/>
        </w:rPr>
      </w:pPr>
      <w:bookmarkStart w:id="29" w:name="_Toc230578055"/>
      <w:bookmarkStart w:id="30" w:name="_Toc207770833"/>
      <w:bookmarkStart w:id="31" w:name="_Toc185702547"/>
      <w:bookmarkStart w:id="32" w:name="_Toc206525680"/>
      <w:bookmarkStart w:id="33" w:name="_Toc239839861"/>
      <w:bookmarkStart w:id="34" w:name="_Toc398287289"/>
    </w:p>
    <w:p>
      <w:pPr>
        <w:rPr>
          <w:rFonts w:ascii="宋体" w:hAnsi="宋体"/>
          <w:bCs/>
          <w:color w:val="auto"/>
          <w:sz w:val="44"/>
          <w:highlight w:val="none"/>
        </w:rPr>
      </w:pPr>
    </w:p>
    <w:p>
      <w:pPr>
        <w:pStyle w:val="2"/>
        <w:rPr>
          <w:rFonts w:ascii="宋体" w:hAnsi="宋体"/>
          <w:bCs/>
          <w:color w:val="auto"/>
          <w:sz w:val="44"/>
          <w:highlight w:val="none"/>
        </w:rPr>
      </w:pPr>
    </w:p>
    <w:p>
      <w:pPr>
        <w:pStyle w:val="2"/>
        <w:rPr>
          <w:rFonts w:ascii="宋体" w:hAnsi="宋体"/>
          <w:bCs/>
          <w:color w:val="auto"/>
          <w:sz w:val="44"/>
          <w:highlight w:val="none"/>
        </w:rPr>
      </w:pPr>
    </w:p>
    <w:p>
      <w:pPr>
        <w:pStyle w:val="2"/>
        <w:rPr>
          <w:rFonts w:ascii="宋体" w:hAnsi="宋体"/>
          <w:bCs/>
          <w:color w:val="auto"/>
          <w:sz w:val="44"/>
          <w:highlight w:val="none"/>
        </w:rPr>
      </w:pPr>
    </w:p>
    <w:p>
      <w:pPr>
        <w:rPr>
          <w:color w:val="auto"/>
          <w:highlight w:val="none"/>
        </w:rPr>
      </w:pPr>
    </w:p>
    <w:p>
      <w:pPr>
        <w:pStyle w:val="3"/>
        <w:spacing w:line="560" w:lineRule="exact"/>
        <w:jc w:val="center"/>
        <w:rPr>
          <w:rFonts w:ascii="宋体" w:hAnsi="宋体"/>
          <w:bCs/>
          <w:color w:val="auto"/>
          <w:sz w:val="44"/>
          <w:highlight w:val="none"/>
        </w:rPr>
      </w:pPr>
      <w:r>
        <w:rPr>
          <w:rFonts w:hint="eastAsia" w:ascii="宋体" w:hAnsi="宋体"/>
          <w:bCs/>
          <w:color w:val="auto"/>
          <w:sz w:val="44"/>
          <w:highlight w:val="none"/>
        </w:rPr>
        <w:t>第二章   服务商须知及前附表</w:t>
      </w:r>
    </w:p>
    <w:p>
      <w:pPr>
        <w:pStyle w:val="10"/>
        <w:spacing w:line="380" w:lineRule="exact"/>
        <w:jc w:val="center"/>
        <w:rPr>
          <w:rFonts w:hAnsi="宋体"/>
          <w:bCs/>
          <w:color w:val="auto"/>
          <w:sz w:val="32"/>
          <w:highlight w:val="none"/>
        </w:rPr>
      </w:pPr>
      <w:r>
        <w:rPr>
          <w:rFonts w:hint="eastAsia" w:hAnsi="宋体"/>
          <w:bCs/>
          <w:color w:val="auto"/>
          <w:sz w:val="32"/>
          <w:highlight w:val="none"/>
        </w:rPr>
        <w:t>服务商须知前附表</w:t>
      </w:r>
      <w:bookmarkEnd w:id="29"/>
      <w:bookmarkEnd w:id="30"/>
      <w:bookmarkEnd w:id="31"/>
      <w:bookmarkEnd w:id="32"/>
      <w:bookmarkEnd w:id="33"/>
      <w:bookmarkEnd w:id="34"/>
    </w:p>
    <w:p>
      <w:pPr>
        <w:pStyle w:val="30"/>
        <w:spacing w:line="140" w:lineRule="exact"/>
        <w:rPr>
          <w:rFonts w:hAnsi="宋体"/>
          <w:color w:val="auto"/>
          <w:sz w:val="32"/>
          <w:highlight w:val="none"/>
        </w:rPr>
      </w:pPr>
    </w:p>
    <w:tbl>
      <w:tblPr>
        <w:tblStyle w:val="20"/>
        <w:tblW w:w="9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654"/>
        <w:gridCol w:w="8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blHeader/>
          <w:jc w:val="center"/>
        </w:trPr>
        <w:tc>
          <w:tcPr>
            <w:tcW w:w="536" w:type="dxa"/>
            <w:vAlign w:val="center"/>
          </w:tcPr>
          <w:p>
            <w:pPr>
              <w:pStyle w:val="30"/>
              <w:snapToGrid w:val="0"/>
              <w:spacing w:line="320" w:lineRule="exact"/>
              <w:ind w:left="-105" w:leftChars="-50" w:right="-105" w:rightChars="-50"/>
              <w:jc w:val="center"/>
              <w:rPr>
                <w:rFonts w:hAnsi="宋体"/>
                <w:color w:val="auto"/>
                <w:highlight w:val="none"/>
              </w:rPr>
            </w:pPr>
            <w:r>
              <w:rPr>
                <w:rFonts w:hint="eastAsia" w:hAnsi="宋体"/>
                <w:color w:val="auto"/>
                <w:highlight w:val="none"/>
              </w:rPr>
              <w:t>序号</w:t>
            </w:r>
          </w:p>
        </w:tc>
        <w:tc>
          <w:tcPr>
            <w:tcW w:w="654" w:type="dxa"/>
            <w:vAlign w:val="center"/>
          </w:tcPr>
          <w:p>
            <w:pPr>
              <w:pStyle w:val="30"/>
              <w:snapToGrid w:val="0"/>
              <w:spacing w:line="320" w:lineRule="exact"/>
              <w:ind w:left="-105" w:leftChars="-50" w:right="-105" w:rightChars="-50"/>
              <w:jc w:val="center"/>
              <w:rPr>
                <w:rFonts w:hAnsi="宋体"/>
                <w:color w:val="auto"/>
                <w:highlight w:val="none"/>
              </w:rPr>
            </w:pPr>
            <w:r>
              <w:rPr>
                <w:rFonts w:hint="eastAsia" w:hAnsi="宋体"/>
                <w:color w:val="auto"/>
                <w:highlight w:val="none"/>
              </w:rPr>
              <w:t>条款号</w:t>
            </w:r>
          </w:p>
        </w:tc>
        <w:tc>
          <w:tcPr>
            <w:tcW w:w="8758" w:type="dxa"/>
            <w:vAlign w:val="center"/>
          </w:tcPr>
          <w:p>
            <w:pPr>
              <w:pStyle w:val="30"/>
              <w:snapToGrid w:val="0"/>
              <w:spacing w:line="320" w:lineRule="exact"/>
              <w:jc w:val="center"/>
              <w:rPr>
                <w:rFonts w:hAnsi="宋体"/>
                <w:color w:val="auto"/>
                <w:highlight w:val="none"/>
              </w:rPr>
            </w:pPr>
            <w:r>
              <w:rPr>
                <w:rFonts w:hint="eastAsia" w:hAnsi="宋体"/>
                <w:color w:val="auto"/>
                <w:highlight w:val="none"/>
              </w:rPr>
              <w:t xml:space="preserve">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w:t>
            </w:r>
          </w:p>
        </w:tc>
        <w:tc>
          <w:tcPr>
            <w:tcW w:w="654"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1.2</w:t>
            </w:r>
          </w:p>
        </w:tc>
        <w:tc>
          <w:tcPr>
            <w:tcW w:w="8758" w:type="dxa"/>
            <w:vAlign w:val="center"/>
          </w:tcPr>
          <w:p>
            <w:pPr>
              <w:pStyle w:val="30"/>
              <w:snapToGrid w:val="0"/>
              <w:spacing w:line="320" w:lineRule="exact"/>
              <w:rPr>
                <w:rFonts w:hAnsi="宋体"/>
                <w:color w:val="auto"/>
                <w:highlight w:val="none"/>
                <w:u w:val="single"/>
              </w:rPr>
            </w:pPr>
            <w:r>
              <w:rPr>
                <w:rFonts w:hint="eastAsia" w:hAnsi="宋体"/>
                <w:color w:val="auto"/>
                <w:highlight w:val="none"/>
              </w:rPr>
              <w:t>项目名称：2020年防城港市优化营商环境指标第三方评估项目</w:t>
            </w:r>
          </w:p>
          <w:p>
            <w:pPr>
              <w:pStyle w:val="10"/>
              <w:snapToGrid w:val="0"/>
              <w:spacing w:line="320" w:lineRule="exact"/>
              <w:ind w:left="1050" w:hanging="1050" w:hangingChars="500"/>
              <w:rPr>
                <w:rFonts w:hAnsi="宋体"/>
                <w:color w:val="auto"/>
                <w:highlight w:val="none"/>
              </w:rPr>
            </w:pPr>
            <w:r>
              <w:rPr>
                <w:rFonts w:hint="eastAsia" w:hAnsi="宋体"/>
                <w:color w:val="auto"/>
                <w:highlight w:val="none"/>
              </w:rPr>
              <w:t>项目编号：FCZC2020-C3-10010-GXDH</w:t>
            </w:r>
          </w:p>
          <w:p>
            <w:pPr>
              <w:pStyle w:val="10"/>
              <w:snapToGrid w:val="0"/>
              <w:spacing w:line="320" w:lineRule="exact"/>
              <w:ind w:left="1050" w:hanging="1050" w:hangingChars="500"/>
              <w:rPr>
                <w:rFonts w:hAnsi="宋体"/>
                <w:color w:val="auto"/>
                <w:highlight w:val="none"/>
              </w:rPr>
            </w:pPr>
            <w:r>
              <w:rPr>
                <w:rFonts w:hint="eastAsia" w:hAnsi="宋体"/>
                <w:color w:val="auto"/>
                <w:highlight w:val="none"/>
              </w:rPr>
              <w:t>磋商内容：2020年防城港市优化营商环境指标第三方评估项目（具体内容详见竞争性磋商文件</w:t>
            </w:r>
            <w:r>
              <w:rPr>
                <w:rFonts w:hint="eastAsia" w:hAnsi="宋体"/>
                <w:color w:val="auto"/>
                <w:szCs w:val="21"/>
                <w:highlight w:val="none"/>
              </w:rPr>
              <w:t>第三章要求</w:t>
            </w:r>
            <w:r>
              <w:rPr>
                <w:rFonts w:hint="eastAsia" w:hAnsi="宋体"/>
                <w:color w:val="auto"/>
                <w:highlight w:val="none"/>
              </w:rPr>
              <w:t>）</w:t>
            </w:r>
          </w:p>
          <w:p>
            <w:pPr>
              <w:pStyle w:val="10"/>
              <w:snapToGrid w:val="0"/>
              <w:spacing w:line="320" w:lineRule="exact"/>
              <w:ind w:left="1010" w:hanging="1010" w:hangingChars="500"/>
              <w:rPr>
                <w:rFonts w:hAnsi="宋体" w:cs="宋体"/>
                <w:color w:val="auto"/>
                <w:spacing w:val="-4"/>
                <w:kern w:val="0"/>
                <w:szCs w:val="21"/>
                <w:highlight w:val="none"/>
              </w:rPr>
            </w:pPr>
            <w:r>
              <w:rPr>
                <w:rFonts w:hint="eastAsia" w:hAnsi="宋体" w:cs="宋体"/>
                <w:color w:val="auto"/>
                <w:spacing w:val="-4"/>
                <w:kern w:val="0"/>
                <w:szCs w:val="21"/>
                <w:highlight w:val="none"/>
              </w:rPr>
              <w:t>项目预算：</w:t>
            </w:r>
            <w:r>
              <w:rPr>
                <w:rFonts w:hint="eastAsia" w:hAnsi="宋体"/>
                <w:color w:val="auto"/>
                <w:szCs w:val="21"/>
                <w:highlight w:val="none"/>
                <w:u w:val="single"/>
              </w:rPr>
              <w:t>195</w:t>
            </w:r>
            <w:r>
              <w:rPr>
                <w:rFonts w:hint="eastAsia" w:hAnsi="宋体"/>
                <w:color w:val="auto"/>
                <w:szCs w:val="21"/>
                <w:highlight w:val="none"/>
              </w:rPr>
              <w:t>万元</w:t>
            </w:r>
          </w:p>
          <w:p>
            <w:pPr>
              <w:pStyle w:val="10"/>
              <w:snapToGrid w:val="0"/>
              <w:spacing w:line="320" w:lineRule="exact"/>
              <w:ind w:left="1050" w:hanging="1050" w:hangingChars="500"/>
              <w:rPr>
                <w:rFonts w:hAnsi="宋体" w:cs="宋体"/>
                <w:color w:val="auto"/>
                <w:kern w:val="0"/>
                <w:szCs w:val="21"/>
                <w:highlight w:val="none"/>
              </w:rPr>
            </w:pPr>
            <w:r>
              <w:rPr>
                <w:rFonts w:hint="eastAsia" w:hAnsi="宋体"/>
                <w:color w:val="auto"/>
                <w:highlight w:val="none"/>
              </w:rPr>
              <w:t>服务时间：</w:t>
            </w:r>
            <w:r>
              <w:rPr>
                <w:rFonts w:hint="eastAsia" w:hAnsi="宋体" w:cs="宋体"/>
                <w:color w:val="auto"/>
                <w:kern w:val="0"/>
                <w:szCs w:val="21"/>
                <w:highlight w:val="none"/>
              </w:rPr>
              <w:t>在2020年11月30日前提交2020年防城港市总报告（含简稿）、各指标分报告和4个县（市、区）分报告。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2</w:t>
            </w:r>
          </w:p>
        </w:tc>
        <w:tc>
          <w:tcPr>
            <w:tcW w:w="654"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2.1</w:t>
            </w:r>
          </w:p>
        </w:tc>
        <w:tc>
          <w:tcPr>
            <w:tcW w:w="8758" w:type="dxa"/>
            <w:vAlign w:val="center"/>
          </w:tcPr>
          <w:p>
            <w:pPr>
              <w:spacing w:line="320" w:lineRule="exact"/>
              <w:ind w:right="120"/>
              <w:rPr>
                <w:rFonts w:ascii="宋体" w:hAnsi="宋体"/>
                <w:color w:val="auto"/>
                <w:highlight w:val="none"/>
              </w:rPr>
            </w:pPr>
            <w:r>
              <w:rPr>
                <w:rFonts w:hint="eastAsia" w:ascii="宋体" w:hAnsi="宋体"/>
                <w:color w:val="auto"/>
                <w:highlight w:val="none"/>
              </w:rPr>
              <w:t>服务商资格及要求：</w:t>
            </w:r>
          </w:p>
          <w:p>
            <w:pPr>
              <w:spacing w:line="280" w:lineRule="exact"/>
              <w:ind w:firstLine="420" w:firstLineChars="200"/>
              <w:rPr>
                <w:rFonts w:ascii="宋体" w:hAnsi="宋体"/>
                <w:color w:val="auto"/>
                <w:highlight w:val="none"/>
              </w:rPr>
            </w:pPr>
            <w:r>
              <w:rPr>
                <w:rFonts w:hint="eastAsia" w:ascii="宋体" w:hAnsi="宋体"/>
                <w:color w:val="auto"/>
                <w:highlight w:val="none"/>
              </w:rPr>
              <w:t>1、满足《中华人民共和国政府采购法》第二十二条规定；</w:t>
            </w:r>
          </w:p>
          <w:p>
            <w:pPr>
              <w:spacing w:line="280" w:lineRule="exact"/>
              <w:ind w:firstLine="420" w:firstLineChars="200"/>
              <w:rPr>
                <w:rFonts w:ascii="宋体" w:hAnsi="宋体"/>
                <w:color w:val="auto"/>
                <w:highlight w:val="none"/>
              </w:rPr>
            </w:pPr>
            <w:r>
              <w:rPr>
                <w:rFonts w:hint="eastAsia" w:ascii="宋体" w:hAnsi="宋体"/>
                <w:color w:val="auto"/>
                <w:highlight w:val="none"/>
              </w:rPr>
              <w:t>2、落实政府采购政策需满足的资格要求：无；</w:t>
            </w:r>
          </w:p>
          <w:p>
            <w:pPr>
              <w:spacing w:line="280" w:lineRule="exact"/>
              <w:ind w:firstLine="420" w:firstLineChars="200"/>
              <w:rPr>
                <w:rFonts w:ascii="宋体" w:hAnsi="宋体"/>
                <w:color w:val="auto"/>
                <w:highlight w:val="none"/>
              </w:rPr>
            </w:pPr>
            <w:r>
              <w:rPr>
                <w:rFonts w:hint="eastAsia" w:ascii="宋体" w:hAnsi="宋体"/>
                <w:color w:val="auto"/>
                <w:highlight w:val="none"/>
              </w:rPr>
              <w:t>3、本项目的特定资格要求：无；</w:t>
            </w:r>
          </w:p>
          <w:p>
            <w:pPr>
              <w:spacing w:line="280" w:lineRule="exact"/>
              <w:ind w:firstLine="420" w:firstLineChars="200"/>
              <w:rPr>
                <w:rFonts w:ascii="宋体" w:hAnsi="宋体"/>
                <w:color w:val="auto"/>
                <w:highlight w:val="none"/>
              </w:rPr>
            </w:pPr>
            <w:r>
              <w:rPr>
                <w:rFonts w:hint="eastAsia" w:ascii="宋体" w:hAnsi="宋体"/>
                <w:color w:val="auto"/>
                <w:highlight w:val="none"/>
              </w:rPr>
              <w:t>4、单位负责人为同一人或者存在直接控股、管理关系的不同服务商，不得参加同一合同项下的政府采购活动。除单一来源采购项目外，为采购项目提供整体设计、规范编制或者项目管理、监理、检测等服务的服务商，不得再参加该采购项目的其他采购活动；</w:t>
            </w:r>
          </w:p>
          <w:p>
            <w:pPr>
              <w:spacing w:line="280" w:lineRule="exact"/>
              <w:ind w:firstLine="420" w:firstLineChars="200"/>
              <w:rPr>
                <w:rFonts w:ascii="宋体" w:hAnsi="宋体"/>
                <w:color w:val="auto"/>
                <w:highlight w:val="none"/>
              </w:rPr>
            </w:pPr>
            <w:r>
              <w:rPr>
                <w:rFonts w:hint="eastAsia" w:ascii="宋体" w:hAnsi="宋体"/>
                <w:color w:val="auto"/>
                <w:highlight w:val="none"/>
              </w:rPr>
              <w:t>5、对在“信用中国”网站(www.creditchina.gov.cn)中列入失信被执行人、重大税收违法案件当事人名单、政府采购严重违法失信行为记录名单及其他不符合《中华人民共和国政府采购法》第二十二条规定条件的服务商，不得参与政府采购活动；服务商在“信用中国”网站（www.creditchina.gov.cn）查询相关服务商主体信用记录，在响应文件中将查询结果截图加盖单位公章如实报告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3</w:t>
            </w:r>
          </w:p>
        </w:tc>
        <w:tc>
          <w:tcPr>
            <w:tcW w:w="654"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12.1</w:t>
            </w:r>
          </w:p>
        </w:tc>
        <w:tc>
          <w:tcPr>
            <w:tcW w:w="8758" w:type="dxa"/>
            <w:vAlign w:val="bottom"/>
          </w:tcPr>
          <w:p>
            <w:pPr>
              <w:spacing w:line="320" w:lineRule="exact"/>
              <w:ind w:left="80"/>
              <w:rPr>
                <w:rFonts w:ascii="宋体" w:hAnsi="宋体"/>
                <w:color w:val="auto"/>
                <w:highlight w:val="none"/>
              </w:rPr>
            </w:pPr>
            <w:r>
              <w:rPr>
                <w:rFonts w:ascii="宋体" w:hAnsi="宋体"/>
                <w:color w:val="auto"/>
                <w:highlight w:val="none"/>
              </w:rPr>
              <w:t>服务商必须就“项目要求”中所竞的所有内容作完整唯一报价，否则，其响应将被拒绝。响应文件只允许有一个报价，有选择的或有条件的报价将不予接受。</w:t>
            </w:r>
            <w:r>
              <w:rPr>
                <w:rFonts w:hint="eastAsia" w:ascii="宋体" w:hAnsi="宋体"/>
                <w:color w:val="auto"/>
                <w:highlight w:val="none"/>
              </w:rPr>
              <w:t>本项目为</w:t>
            </w:r>
            <w:r>
              <w:rPr>
                <w:rFonts w:hint="eastAsia"/>
                <w:color w:val="auto"/>
                <w:highlight w:val="none"/>
              </w:rPr>
              <w:t>单价承包，单价报价，不能高于单价最高限价，否则</w:t>
            </w:r>
            <w:r>
              <w:rPr>
                <w:rFonts w:ascii="宋体" w:hAnsi="宋体"/>
                <w:color w:val="auto"/>
                <w:highlight w:val="none"/>
              </w:rPr>
              <w:t>将</w:t>
            </w:r>
            <w:r>
              <w:rPr>
                <w:rFonts w:hint="eastAsia" w:ascii="宋体" w:hAnsi="宋体"/>
                <w:color w:val="auto"/>
                <w:highlight w:val="none"/>
              </w:rPr>
              <w:t>视为无效报价</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4</w:t>
            </w:r>
          </w:p>
        </w:tc>
        <w:tc>
          <w:tcPr>
            <w:tcW w:w="654"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15.1</w:t>
            </w:r>
          </w:p>
        </w:tc>
        <w:tc>
          <w:tcPr>
            <w:tcW w:w="8758" w:type="dxa"/>
            <w:vAlign w:val="center"/>
          </w:tcPr>
          <w:p>
            <w:pPr>
              <w:pStyle w:val="10"/>
              <w:snapToGrid w:val="0"/>
              <w:spacing w:line="320" w:lineRule="exact"/>
              <w:ind w:left="1037" w:hanging="1037" w:hangingChars="494"/>
              <w:jc w:val="center"/>
              <w:rPr>
                <w:rFonts w:hAnsi="宋体"/>
                <w:color w:val="auto"/>
                <w:w w:val="97"/>
                <w:highlight w:val="none"/>
              </w:rPr>
            </w:pPr>
            <w:r>
              <w:rPr>
                <w:rFonts w:hint="eastAsia" w:hAnsi="宋体"/>
                <w:color w:val="auto"/>
                <w:highlight w:val="none"/>
              </w:rPr>
              <w:t>磋商有效期：磋商截止日期后60天。【注：磋商保证金</w:t>
            </w:r>
            <w:r>
              <w:rPr>
                <w:rFonts w:hint="eastAsia" w:hAnsi="宋体" w:cs="方正仿宋简体"/>
                <w:color w:val="auto"/>
                <w:kern w:val="0"/>
                <w:highlight w:val="none"/>
              </w:rPr>
              <w:t>有效期应比磋商有效期延长25日。</w:t>
            </w:r>
            <w:r>
              <w:rPr>
                <w:rFonts w:hint="eastAsia"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5</w:t>
            </w:r>
          </w:p>
        </w:tc>
        <w:tc>
          <w:tcPr>
            <w:tcW w:w="654"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16.5</w:t>
            </w:r>
          </w:p>
        </w:tc>
        <w:tc>
          <w:tcPr>
            <w:tcW w:w="8758" w:type="dxa"/>
            <w:vAlign w:val="bottom"/>
          </w:tcPr>
          <w:p>
            <w:pPr>
              <w:spacing w:line="320" w:lineRule="exact"/>
              <w:ind w:left="80"/>
              <w:rPr>
                <w:rFonts w:ascii="宋体" w:hAnsi="宋体"/>
                <w:color w:val="auto"/>
                <w:w w:val="97"/>
                <w:highlight w:val="none"/>
              </w:rPr>
            </w:pPr>
            <w:r>
              <w:rPr>
                <w:rFonts w:hint="eastAsia" w:ascii="宋体" w:hAnsi="宋体"/>
                <w:color w:val="auto"/>
                <w:highlight w:val="none"/>
              </w:rPr>
              <w:t>响应文件：</w:t>
            </w:r>
            <w:r>
              <w:rPr>
                <w:rFonts w:hint="eastAsia" w:ascii="宋体" w:hAnsi="宋体"/>
                <w:color w:val="auto"/>
                <w:highlight w:val="none"/>
                <w:u w:val="single"/>
              </w:rPr>
              <w:t>一套正本，三套副本</w:t>
            </w:r>
            <w:r>
              <w:rPr>
                <w:rFonts w:ascii="宋体" w:hAnsi="宋体"/>
                <w:color w:val="auto"/>
                <w:highlight w:val="none"/>
                <w:u w:val="single"/>
              </w:rPr>
              <w:t>及电子版（U盘）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6</w:t>
            </w:r>
          </w:p>
        </w:tc>
        <w:tc>
          <w:tcPr>
            <w:tcW w:w="654"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17.1</w:t>
            </w:r>
          </w:p>
        </w:tc>
        <w:tc>
          <w:tcPr>
            <w:tcW w:w="8758" w:type="dxa"/>
            <w:vAlign w:val="bottom"/>
          </w:tcPr>
          <w:p>
            <w:pPr>
              <w:pStyle w:val="30"/>
              <w:snapToGrid w:val="0"/>
              <w:spacing w:line="320" w:lineRule="exact"/>
              <w:ind w:left="306" w:hanging="306" w:hangingChars="145"/>
              <w:rPr>
                <w:rFonts w:hAnsi="宋体"/>
                <w:b/>
                <w:color w:val="auto"/>
                <w:highlight w:val="none"/>
              </w:rPr>
            </w:pPr>
            <w:r>
              <w:rPr>
                <w:rFonts w:hint="eastAsia" w:hAnsi="宋体"/>
                <w:b/>
                <w:color w:val="auto"/>
                <w:highlight w:val="none"/>
              </w:rPr>
              <w:t>磋商保证金递交：</w:t>
            </w:r>
          </w:p>
          <w:p>
            <w:pPr>
              <w:spacing w:line="320" w:lineRule="exact"/>
              <w:ind w:left="80"/>
              <w:rPr>
                <w:rFonts w:ascii="宋体" w:hAnsi="宋体"/>
                <w:color w:val="auto"/>
                <w:w w:val="97"/>
                <w:highlight w:val="none"/>
              </w:rPr>
            </w:pPr>
            <w:r>
              <w:rPr>
                <w:rFonts w:hint="eastAsia" w:ascii="宋体" w:hAnsi="宋体" w:cs="宋体"/>
                <w:color w:val="auto"/>
                <w:kern w:val="0"/>
                <w:szCs w:val="21"/>
                <w:highlight w:val="none"/>
              </w:rPr>
              <w:t>按照防财采〔2020〕14号文件规定，本项目不收取投标保证金。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7</w:t>
            </w:r>
          </w:p>
        </w:tc>
        <w:tc>
          <w:tcPr>
            <w:tcW w:w="654"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20</w:t>
            </w:r>
          </w:p>
        </w:tc>
        <w:tc>
          <w:tcPr>
            <w:tcW w:w="8758" w:type="dxa"/>
            <w:vAlign w:val="center"/>
          </w:tcPr>
          <w:p>
            <w:pPr>
              <w:pStyle w:val="10"/>
              <w:snapToGrid w:val="0"/>
              <w:spacing w:line="320" w:lineRule="exact"/>
              <w:ind w:left="1037" w:hanging="1037" w:hangingChars="494"/>
              <w:rPr>
                <w:rFonts w:hAnsi="宋体"/>
                <w:color w:val="auto"/>
                <w:highlight w:val="none"/>
              </w:rPr>
            </w:pPr>
            <w:r>
              <w:rPr>
                <w:rFonts w:hint="eastAsia" w:hAnsi="宋体"/>
                <w:color w:val="auto"/>
                <w:highlight w:val="none"/>
              </w:rPr>
              <w:t>响应文件提交的截止时间：</w:t>
            </w:r>
            <w:r>
              <w:rPr>
                <w:rFonts w:hint="eastAsia" w:hAnsi="宋体" w:cs="宋体"/>
                <w:color w:val="auto"/>
                <w:szCs w:val="21"/>
                <w:highlight w:val="none"/>
              </w:rPr>
              <w:t>于2020年</w:t>
            </w:r>
            <w:r>
              <w:rPr>
                <w:rFonts w:hint="eastAsia" w:hAnsi="宋体" w:cs="宋体"/>
                <w:color w:val="auto"/>
                <w:szCs w:val="21"/>
                <w:highlight w:val="none"/>
                <w:lang w:val="en-US" w:eastAsia="zh-CN"/>
              </w:rPr>
              <w:t>9</w:t>
            </w:r>
            <w:r>
              <w:rPr>
                <w:rFonts w:hint="eastAsia" w:hAnsi="宋体" w:cs="宋体"/>
                <w:color w:val="auto"/>
                <w:szCs w:val="21"/>
                <w:highlight w:val="none"/>
              </w:rPr>
              <w:t>月</w:t>
            </w:r>
            <w:r>
              <w:rPr>
                <w:rFonts w:hint="eastAsia" w:hAnsi="宋体" w:cs="宋体"/>
                <w:color w:val="auto"/>
                <w:szCs w:val="21"/>
                <w:highlight w:val="none"/>
                <w:lang w:val="en-US" w:eastAsia="zh-CN"/>
              </w:rPr>
              <w:t>28</w:t>
            </w:r>
            <w:r>
              <w:rPr>
                <w:rFonts w:hint="eastAsia" w:hAnsi="宋体" w:cs="宋体"/>
                <w:color w:val="auto"/>
                <w:szCs w:val="21"/>
                <w:highlight w:val="none"/>
              </w:rPr>
              <w:t>日9时30分</w:t>
            </w:r>
          </w:p>
          <w:p>
            <w:pPr>
              <w:pStyle w:val="10"/>
              <w:snapToGrid w:val="0"/>
              <w:spacing w:line="320" w:lineRule="exact"/>
              <w:ind w:left="2717" w:hanging="2717" w:hangingChars="1294"/>
              <w:rPr>
                <w:rFonts w:hAnsi="宋体"/>
                <w:color w:val="auto"/>
                <w:highlight w:val="none"/>
              </w:rPr>
            </w:pPr>
            <w:r>
              <w:rPr>
                <w:rFonts w:hint="eastAsia" w:hAnsi="宋体"/>
                <w:color w:val="auto"/>
                <w:highlight w:val="none"/>
              </w:rPr>
              <w:t>响应文件提交的地点：防城港市公共资源交易中心（防城港市迎宾路红树林大厦东塔）</w:t>
            </w:r>
          </w:p>
          <w:p>
            <w:pPr>
              <w:pStyle w:val="10"/>
              <w:snapToGrid w:val="0"/>
              <w:spacing w:line="320" w:lineRule="exact"/>
              <w:rPr>
                <w:rFonts w:hAnsi="宋体"/>
                <w:color w:val="auto"/>
                <w:highlight w:val="none"/>
              </w:rPr>
            </w:pPr>
            <w:r>
              <w:rPr>
                <w:rFonts w:hint="eastAsia" w:hAnsi="宋体"/>
                <w:color w:val="auto"/>
                <w:highlight w:val="none"/>
              </w:rPr>
              <w:t>服务商的法定代表人或其委托代理人必须签到出席截标会并提交以下资料原件接受核查，否则磋商无效。</w:t>
            </w:r>
          </w:p>
          <w:p>
            <w:pPr>
              <w:pStyle w:val="10"/>
              <w:snapToGrid w:val="0"/>
              <w:rPr>
                <w:rFonts w:hAnsi="宋体"/>
                <w:color w:val="auto"/>
                <w:szCs w:val="21"/>
                <w:highlight w:val="none"/>
              </w:rPr>
            </w:pPr>
            <w:r>
              <w:rPr>
                <w:rFonts w:hint="eastAsia" w:hAnsi="宋体"/>
                <w:color w:val="auto"/>
                <w:szCs w:val="21"/>
                <w:highlight w:val="none"/>
              </w:rPr>
              <w:t>①法定代表人(负责人)身份证明书及法定代表人</w:t>
            </w:r>
            <w:r>
              <w:rPr>
                <w:rFonts w:hint="eastAsia" w:hAnsi="宋体"/>
                <w:color w:val="auto"/>
                <w:kern w:val="0"/>
                <w:szCs w:val="21"/>
                <w:highlight w:val="none"/>
              </w:rPr>
              <w:t>(负责人)</w:t>
            </w:r>
            <w:r>
              <w:rPr>
                <w:rFonts w:hint="eastAsia" w:hAnsi="宋体"/>
                <w:color w:val="auto"/>
                <w:szCs w:val="21"/>
                <w:highlight w:val="none"/>
              </w:rPr>
              <w:t>本人第二代身份证(如法定代表人</w:t>
            </w:r>
            <w:r>
              <w:rPr>
                <w:rFonts w:hint="eastAsia" w:hAnsi="宋体"/>
                <w:color w:val="auto"/>
                <w:kern w:val="0"/>
                <w:szCs w:val="21"/>
                <w:highlight w:val="none"/>
              </w:rPr>
              <w:t>(负责人)</w:t>
            </w:r>
            <w:r>
              <w:rPr>
                <w:rFonts w:hint="eastAsia" w:hAnsi="宋体"/>
                <w:color w:val="auto"/>
                <w:szCs w:val="21"/>
                <w:highlight w:val="none"/>
              </w:rPr>
              <w:t>参加磋商时)；</w:t>
            </w:r>
          </w:p>
          <w:p>
            <w:pPr>
              <w:pStyle w:val="10"/>
              <w:snapToGrid w:val="0"/>
              <w:rPr>
                <w:rFonts w:hAnsi="宋体"/>
                <w:color w:val="auto"/>
                <w:szCs w:val="21"/>
                <w:highlight w:val="none"/>
              </w:rPr>
            </w:pPr>
            <w:r>
              <w:rPr>
                <w:rFonts w:hint="eastAsia" w:hAnsi="宋体"/>
                <w:color w:val="auto"/>
                <w:szCs w:val="21"/>
                <w:highlight w:val="none"/>
              </w:rPr>
              <w:t>②法定代表人(负责人)授权委托书及委托代理人本人第二代身份证(如委托代理人参加磋商时)；</w:t>
            </w:r>
          </w:p>
          <w:p>
            <w:pPr>
              <w:pStyle w:val="10"/>
              <w:snapToGrid w:val="0"/>
              <w:rPr>
                <w:rFonts w:hAnsi="宋体"/>
                <w:color w:val="auto"/>
                <w:szCs w:val="21"/>
                <w:highlight w:val="none"/>
              </w:rPr>
            </w:pPr>
            <w:r>
              <w:rPr>
                <w:rFonts w:hint="eastAsia"/>
                <w:color w:val="auto"/>
                <w:highlight w:val="none"/>
              </w:rPr>
              <w:t>③</w:t>
            </w:r>
            <w:r>
              <w:rPr>
                <w:rFonts w:hint="eastAsia" w:hAnsi="宋体"/>
                <w:color w:val="auto"/>
                <w:szCs w:val="21"/>
                <w:highlight w:val="none"/>
              </w:rPr>
              <w:t>采购代理机构出具的购买竞争性磋商文件收据原件。</w:t>
            </w:r>
          </w:p>
          <w:p>
            <w:pPr>
              <w:pStyle w:val="10"/>
              <w:snapToGrid w:val="0"/>
              <w:spacing w:line="320" w:lineRule="exact"/>
              <w:ind w:left="1041" w:hanging="1041" w:hangingChars="494"/>
              <w:rPr>
                <w:rFonts w:hAnsi="宋体"/>
                <w:color w:val="auto"/>
                <w:highlight w:val="none"/>
              </w:rPr>
            </w:pPr>
            <w:r>
              <w:rPr>
                <w:rFonts w:hint="eastAsia" w:hAnsi="宋体"/>
                <w:b/>
                <w:color w:val="auto"/>
                <w:szCs w:val="21"/>
                <w:highlight w:val="none"/>
              </w:rPr>
              <w:t>注：经检验，资格证件不齐或不合格的，响应文件将不予启封。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8</w:t>
            </w:r>
          </w:p>
        </w:tc>
        <w:tc>
          <w:tcPr>
            <w:tcW w:w="654"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23.1</w:t>
            </w:r>
          </w:p>
        </w:tc>
        <w:tc>
          <w:tcPr>
            <w:tcW w:w="8758" w:type="dxa"/>
            <w:vAlign w:val="center"/>
          </w:tcPr>
          <w:p>
            <w:pPr>
              <w:pStyle w:val="30"/>
              <w:snapToGrid w:val="0"/>
              <w:spacing w:line="320" w:lineRule="exact"/>
              <w:rPr>
                <w:rFonts w:hAnsi="宋体"/>
                <w:color w:val="auto"/>
                <w:highlight w:val="none"/>
              </w:rPr>
            </w:pPr>
            <w:r>
              <w:rPr>
                <w:rFonts w:hint="eastAsia" w:hAnsi="宋体"/>
                <w:color w:val="auto"/>
                <w:highlight w:val="none"/>
              </w:rPr>
              <w:t>1、响应文件开启时间（评审时间）：</w:t>
            </w:r>
            <w:r>
              <w:rPr>
                <w:rFonts w:hint="eastAsia" w:hAnsi="宋体" w:cs="宋体"/>
                <w:color w:val="auto"/>
                <w:szCs w:val="21"/>
                <w:highlight w:val="none"/>
              </w:rPr>
              <w:t>于2020年</w:t>
            </w:r>
            <w:r>
              <w:rPr>
                <w:rFonts w:hint="eastAsia" w:hAnsi="宋体" w:cs="宋体"/>
                <w:color w:val="auto"/>
                <w:szCs w:val="21"/>
                <w:highlight w:val="none"/>
                <w:lang w:val="en-US" w:eastAsia="zh-CN"/>
              </w:rPr>
              <w:t>9</w:t>
            </w:r>
            <w:r>
              <w:rPr>
                <w:rFonts w:hint="eastAsia" w:hAnsi="宋体" w:cs="宋体"/>
                <w:color w:val="auto"/>
                <w:szCs w:val="21"/>
                <w:highlight w:val="none"/>
              </w:rPr>
              <w:t>月</w:t>
            </w:r>
            <w:r>
              <w:rPr>
                <w:rFonts w:hint="eastAsia" w:hAnsi="宋体" w:cs="宋体"/>
                <w:color w:val="auto"/>
                <w:szCs w:val="21"/>
                <w:highlight w:val="none"/>
                <w:lang w:val="en-US" w:eastAsia="zh-CN"/>
              </w:rPr>
              <w:t>28</w:t>
            </w:r>
            <w:r>
              <w:rPr>
                <w:rFonts w:hint="eastAsia" w:hAnsi="宋体" w:cs="宋体"/>
                <w:color w:val="auto"/>
                <w:szCs w:val="21"/>
                <w:highlight w:val="none"/>
              </w:rPr>
              <w:t>日9时30分</w:t>
            </w:r>
            <w:r>
              <w:rPr>
                <w:rFonts w:hAnsi="宋体"/>
                <w:color w:val="auto"/>
                <w:szCs w:val="21"/>
                <w:highlight w:val="none"/>
              </w:rPr>
              <w:t>截</w:t>
            </w:r>
            <w:r>
              <w:rPr>
                <w:rFonts w:hint="eastAsia" w:hAnsi="宋体"/>
                <w:color w:val="auto"/>
                <w:szCs w:val="21"/>
                <w:highlight w:val="none"/>
              </w:rPr>
              <w:t>标后</w:t>
            </w:r>
          </w:p>
          <w:p>
            <w:pPr>
              <w:pStyle w:val="30"/>
              <w:snapToGrid w:val="0"/>
              <w:spacing w:line="320" w:lineRule="exact"/>
              <w:rPr>
                <w:rFonts w:hAnsi="宋体"/>
                <w:color w:val="auto"/>
                <w:highlight w:val="none"/>
              </w:rPr>
            </w:pPr>
            <w:r>
              <w:rPr>
                <w:rFonts w:hint="eastAsia" w:hAnsi="宋体"/>
                <w:color w:val="auto"/>
                <w:highlight w:val="none"/>
              </w:rPr>
              <w:t>2、响应文件开启地点（评审地点）：防城港市公共资源交易中心（防城港市迎宾路红树林大厦东塔）</w:t>
            </w:r>
          </w:p>
          <w:p>
            <w:pPr>
              <w:pStyle w:val="10"/>
              <w:spacing w:line="320" w:lineRule="exact"/>
              <w:rPr>
                <w:rFonts w:hAnsi="宋体"/>
                <w:color w:val="auto"/>
                <w:highlight w:val="none"/>
              </w:rPr>
            </w:pPr>
            <w:r>
              <w:rPr>
                <w:rFonts w:hint="eastAsia" w:hAnsi="宋体"/>
                <w:color w:val="auto"/>
                <w:highlight w:val="none"/>
              </w:rPr>
              <w:t>3、磋商时间：</w:t>
            </w:r>
            <w:r>
              <w:rPr>
                <w:rFonts w:hint="eastAsia" w:hAnsi="宋体" w:cs="宋体"/>
                <w:color w:val="auto"/>
                <w:szCs w:val="21"/>
                <w:highlight w:val="none"/>
              </w:rPr>
              <w:t>于2020年</w:t>
            </w:r>
            <w:r>
              <w:rPr>
                <w:rFonts w:hint="eastAsia" w:hAnsi="宋体" w:cs="宋体"/>
                <w:color w:val="auto"/>
                <w:szCs w:val="21"/>
                <w:highlight w:val="none"/>
                <w:lang w:val="en-US" w:eastAsia="zh-CN"/>
              </w:rPr>
              <w:t>9</w:t>
            </w:r>
            <w:r>
              <w:rPr>
                <w:rFonts w:hint="eastAsia" w:hAnsi="宋体" w:cs="宋体"/>
                <w:color w:val="auto"/>
                <w:szCs w:val="21"/>
                <w:highlight w:val="none"/>
              </w:rPr>
              <w:t>月</w:t>
            </w:r>
            <w:r>
              <w:rPr>
                <w:rFonts w:hint="eastAsia" w:hAnsi="宋体" w:cs="宋体"/>
                <w:color w:val="auto"/>
                <w:szCs w:val="21"/>
                <w:highlight w:val="none"/>
                <w:lang w:val="en-US" w:eastAsia="zh-CN"/>
              </w:rPr>
              <w:t>28</w:t>
            </w:r>
            <w:r>
              <w:rPr>
                <w:rFonts w:hint="eastAsia" w:hAnsi="宋体" w:cs="宋体"/>
                <w:color w:val="auto"/>
                <w:szCs w:val="21"/>
                <w:highlight w:val="none"/>
              </w:rPr>
              <w:t>日9时30分</w:t>
            </w:r>
            <w:r>
              <w:rPr>
                <w:rFonts w:hAnsi="宋体"/>
                <w:color w:val="auto"/>
                <w:szCs w:val="21"/>
                <w:highlight w:val="none"/>
              </w:rPr>
              <w:t>截</w:t>
            </w:r>
            <w:r>
              <w:rPr>
                <w:rFonts w:hint="eastAsia" w:hAnsi="宋体"/>
                <w:color w:val="auto"/>
                <w:szCs w:val="21"/>
                <w:highlight w:val="none"/>
              </w:rPr>
              <w:t>标后，</w:t>
            </w:r>
            <w:r>
              <w:rPr>
                <w:rFonts w:hint="eastAsia" w:hAnsi="宋体"/>
                <w:color w:val="auto"/>
                <w:highlight w:val="none"/>
              </w:rPr>
              <w:t>具体时间由广西达华工程造价咨询有限责任公司另行通知。</w:t>
            </w:r>
          </w:p>
          <w:p>
            <w:pPr>
              <w:pStyle w:val="10"/>
              <w:spacing w:line="320" w:lineRule="exact"/>
              <w:rPr>
                <w:rFonts w:hAnsi="宋体"/>
                <w:color w:val="auto"/>
                <w:highlight w:val="none"/>
              </w:rPr>
            </w:pPr>
            <w:r>
              <w:rPr>
                <w:rFonts w:hint="eastAsia" w:hAnsi="宋体"/>
                <w:color w:val="auto"/>
                <w:highlight w:val="none"/>
              </w:rPr>
              <w:t>4、磋商地点：防城港市公共资源交易中心（防城港市迎宾路红树林大厦东塔）。</w:t>
            </w:r>
          </w:p>
          <w:p>
            <w:pPr>
              <w:pStyle w:val="10"/>
              <w:spacing w:line="320" w:lineRule="exact"/>
              <w:rPr>
                <w:rFonts w:hAnsi="宋体"/>
                <w:color w:val="auto"/>
                <w:highlight w:val="none"/>
              </w:rPr>
            </w:pPr>
            <w:r>
              <w:rPr>
                <w:rFonts w:hint="eastAsia" w:hAnsi="宋体"/>
                <w:color w:val="auto"/>
                <w:kern w:val="0"/>
                <w:szCs w:val="21"/>
                <w:highlight w:val="none"/>
              </w:rPr>
              <w:t>5、参加磋商的法定代表人(负责人)或委托代理人必须持本人身份证原件依时到达指定地点等候当面磋商，并自觉接受核验身份。</w:t>
            </w:r>
            <w:r>
              <w:rPr>
                <w:rFonts w:hint="eastAsia" w:hAnsi="宋体"/>
                <w:bCs/>
                <w:color w:val="auto"/>
                <w:spacing w:val="-4"/>
                <w:szCs w:val="21"/>
                <w:highlight w:val="none"/>
              </w:rPr>
              <w:t>服务商在规定时间内不参加磋商的，视为服务商自动放弃磋商。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9</w:t>
            </w:r>
          </w:p>
        </w:tc>
        <w:tc>
          <w:tcPr>
            <w:tcW w:w="654"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23</w:t>
            </w:r>
          </w:p>
        </w:tc>
        <w:tc>
          <w:tcPr>
            <w:tcW w:w="8758" w:type="dxa"/>
            <w:vAlign w:val="center"/>
          </w:tcPr>
          <w:p>
            <w:pPr>
              <w:pStyle w:val="10"/>
              <w:snapToGrid w:val="0"/>
              <w:spacing w:line="320" w:lineRule="exact"/>
              <w:ind w:left="1037" w:hanging="1037" w:hangingChars="494"/>
              <w:rPr>
                <w:rFonts w:hAnsi="宋体"/>
                <w:color w:val="auto"/>
                <w:highlight w:val="none"/>
              </w:rPr>
            </w:pPr>
            <w:r>
              <w:rPr>
                <w:rFonts w:hint="eastAsia" w:hAnsi="宋体"/>
                <w:color w:val="auto"/>
                <w:highlight w:val="none"/>
              </w:rPr>
              <w:t>评标办法：</w:t>
            </w:r>
            <w:r>
              <w:rPr>
                <w:rFonts w:hint="eastAsia" w:hAnsi="宋体"/>
                <w:b/>
                <w:color w:val="auto"/>
                <w:highlight w:val="none"/>
              </w:rPr>
              <w:t>综合评分法</w:t>
            </w:r>
            <w:r>
              <w:rPr>
                <w:rFonts w:hint="eastAsia" w:hAnsi="宋体"/>
                <w:color w:val="auto"/>
                <w:highlight w:val="none"/>
              </w:rPr>
              <w:t>（详见第四章评标方法）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10</w:t>
            </w:r>
          </w:p>
        </w:tc>
        <w:tc>
          <w:tcPr>
            <w:tcW w:w="654"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29.2</w:t>
            </w:r>
          </w:p>
        </w:tc>
        <w:tc>
          <w:tcPr>
            <w:tcW w:w="8758" w:type="dxa"/>
            <w:vAlign w:val="center"/>
          </w:tcPr>
          <w:p>
            <w:pPr>
              <w:pStyle w:val="10"/>
              <w:spacing w:line="320" w:lineRule="exact"/>
              <w:rPr>
                <w:rFonts w:hAnsi="宋体"/>
                <w:color w:val="auto"/>
                <w:highlight w:val="none"/>
              </w:rPr>
            </w:pPr>
            <w:r>
              <w:rPr>
                <w:rFonts w:hint="eastAsia" w:hAnsi="宋体"/>
                <w:color w:val="auto"/>
                <w:highlight w:val="none"/>
              </w:rPr>
              <w:t>签订合同：</w:t>
            </w:r>
            <w:bookmarkStart w:id="35" w:name="OLE_LINK1"/>
            <w:r>
              <w:rPr>
                <w:rFonts w:hint="eastAsia" w:hAnsi="宋体"/>
                <w:color w:val="auto"/>
                <w:highlight w:val="none"/>
              </w:rPr>
              <w:t>成交人应自接到本采购代理机构通知之日起5个工作日内领取成交通知书，并由采购单位向广西达华工程造价咨询有限责任公司一次性付清招标代理服务费。自成交通知书发出之日起30日内凭成交通知书与采购人签订政府采购合同，逾期则视为放弃成交。</w:t>
            </w:r>
          </w:p>
          <w:p>
            <w:pPr>
              <w:pStyle w:val="10"/>
              <w:spacing w:line="320" w:lineRule="exact"/>
              <w:rPr>
                <w:rFonts w:hAnsi="宋体"/>
                <w:color w:val="auto"/>
                <w:highlight w:val="none"/>
              </w:rPr>
            </w:pPr>
            <w:r>
              <w:rPr>
                <w:rFonts w:hint="eastAsia" w:hAnsi="宋体"/>
                <w:color w:val="auto"/>
                <w:highlight w:val="none"/>
              </w:rPr>
              <w:t>注：采购合同必须与本磋商文件中的合同书格式(包括内容和结构)相一致，不能改变主要条款。</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11</w:t>
            </w:r>
          </w:p>
        </w:tc>
        <w:tc>
          <w:tcPr>
            <w:tcW w:w="654"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30</w:t>
            </w:r>
          </w:p>
        </w:tc>
        <w:tc>
          <w:tcPr>
            <w:tcW w:w="8758" w:type="dxa"/>
            <w:vAlign w:val="center"/>
          </w:tcPr>
          <w:p>
            <w:pPr>
              <w:adjustRightInd w:val="0"/>
              <w:snapToGrid w:val="0"/>
              <w:spacing w:line="320" w:lineRule="exact"/>
              <w:rPr>
                <w:rFonts w:ascii="宋体" w:hAnsi="宋体"/>
                <w:color w:val="auto"/>
                <w:highlight w:val="none"/>
              </w:rPr>
            </w:pPr>
            <w:r>
              <w:rPr>
                <w:rFonts w:hint="eastAsia" w:hAnsi="宋体"/>
                <w:color w:val="auto"/>
                <w:highlight w:val="none"/>
              </w:rPr>
              <w:t>成交服务费：</w:t>
            </w:r>
            <w:r>
              <w:rPr>
                <w:rFonts w:hint="eastAsia" w:hAnsi="宋体"/>
                <w:color w:val="auto"/>
                <w:szCs w:val="21"/>
                <w:highlight w:val="none"/>
              </w:rPr>
              <w:t>成交人在领取成交通知书前向广西达华工程造价咨询有限责任公司一次性付清代理服务费及开标费，否则不给予成交通知书。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12</w:t>
            </w:r>
          </w:p>
        </w:tc>
        <w:tc>
          <w:tcPr>
            <w:tcW w:w="654" w:type="dxa"/>
            <w:vAlign w:val="center"/>
          </w:tcPr>
          <w:p>
            <w:pPr>
              <w:snapToGrid w:val="0"/>
              <w:spacing w:line="320" w:lineRule="exact"/>
              <w:jc w:val="center"/>
              <w:rPr>
                <w:rFonts w:ascii="宋体" w:hAnsi="宋体"/>
                <w:color w:val="auto"/>
                <w:highlight w:val="none"/>
              </w:rPr>
            </w:pPr>
          </w:p>
        </w:tc>
        <w:tc>
          <w:tcPr>
            <w:tcW w:w="8758" w:type="dxa"/>
            <w:vAlign w:val="center"/>
          </w:tcPr>
          <w:p>
            <w:pPr>
              <w:pStyle w:val="30"/>
              <w:snapToGrid w:val="0"/>
              <w:spacing w:line="320" w:lineRule="exact"/>
              <w:rPr>
                <w:rFonts w:hAnsi="宋体"/>
                <w:color w:val="auto"/>
                <w:highlight w:val="none"/>
              </w:rPr>
            </w:pPr>
            <w:r>
              <w:rPr>
                <w:rFonts w:hint="eastAsia" w:hAnsi="宋体"/>
                <w:color w:val="auto"/>
                <w:highlight w:val="none"/>
              </w:rPr>
              <w:t>采购人、采购代理机构不再组织服务商进行现场考察或召开磋商前答疑会。编制单位可自行到现场踏勘，在现场考察过程中，报名单位及其聘用、雇佣人员如果发生意外人身伤亡伤害、财物或其它损失等一切风险均由报名单位自理，采购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13</w:t>
            </w:r>
          </w:p>
        </w:tc>
        <w:tc>
          <w:tcPr>
            <w:tcW w:w="654" w:type="dxa"/>
            <w:vAlign w:val="center"/>
          </w:tcPr>
          <w:p>
            <w:pPr>
              <w:snapToGrid w:val="0"/>
              <w:spacing w:line="320" w:lineRule="exact"/>
              <w:jc w:val="center"/>
              <w:rPr>
                <w:rFonts w:ascii="宋体" w:hAnsi="宋体"/>
                <w:color w:val="auto"/>
                <w:highlight w:val="none"/>
              </w:rPr>
            </w:pPr>
          </w:p>
        </w:tc>
        <w:tc>
          <w:tcPr>
            <w:tcW w:w="8758" w:type="dxa"/>
            <w:vAlign w:val="center"/>
          </w:tcPr>
          <w:p>
            <w:pPr>
              <w:pStyle w:val="30"/>
              <w:snapToGrid w:val="0"/>
              <w:spacing w:line="320" w:lineRule="exact"/>
              <w:rPr>
                <w:rFonts w:hAnsi="宋体"/>
                <w:color w:val="auto"/>
                <w:highlight w:val="none"/>
              </w:rPr>
            </w:pPr>
            <w:r>
              <w:rPr>
                <w:rFonts w:hint="eastAsia" w:hAnsi="宋体"/>
                <w:color w:val="auto"/>
                <w:highlight w:val="none"/>
              </w:rPr>
              <w:t>服务商必须对响应文件中所提供的所有文件的真实性、有效性及合法性负责，如果经查实服务商提供虚假资料的，响应无效，如成交，即取消其成交资格。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14</w:t>
            </w:r>
          </w:p>
        </w:tc>
        <w:tc>
          <w:tcPr>
            <w:tcW w:w="654" w:type="dxa"/>
            <w:vAlign w:val="center"/>
          </w:tcPr>
          <w:p>
            <w:pPr>
              <w:snapToGrid w:val="0"/>
              <w:spacing w:line="320" w:lineRule="exact"/>
              <w:jc w:val="center"/>
              <w:rPr>
                <w:rFonts w:ascii="宋体" w:hAnsi="宋体"/>
                <w:color w:val="auto"/>
                <w:highlight w:val="none"/>
              </w:rPr>
            </w:pPr>
          </w:p>
        </w:tc>
        <w:tc>
          <w:tcPr>
            <w:tcW w:w="8758" w:type="dxa"/>
            <w:vAlign w:val="center"/>
          </w:tcPr>
          <w:p>
            <w:pPr>
              <w:pStyle w:val="30"/>
              <w:snapToGrid w:val="0"/>
              <w:spacing w:line="320" w:lineRule="exact"/>
              <w:rPr>
                <w:rFonts w:hAnsi="宋体"/>
                <w:color w:val="auto"/>
                <w:highlight w:val="none"/>
              </w:rPr>
            </w:pPr>
            <w:r>
              <w:rPr>
                <w:rFonts w:hint="eastAsia" w:hAnsi="宋体"/>
                <w:color w:val="auto"/>
                <w:highlight w:val="none"/>
              </w:rPr>
              <w:t>本项目不允许转包或分包，如成交人出现转包或分包情形，采购单位有权取消其成交资格。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16</w:t>
            </w:r>
          </w:p>
        </w:tc>
        <w:tc>
          <w:tcPr>
            <w:tcW w:w="654" w:type="dxa"/>
            <w:vAlign w:val="center"/>
          </w:tcPr>
          <w:p>
            <w:pPr>
              <w:snapToGrid w:val="0"/>
              <w:spacing w:line="320" w:lineRule="exact"/>
              <w:jc w:val="center"/>
              <w:rPr>
                <w:rFonts w:ascii="宋体" w:hAnsi="宋体"/>
                <w:color w:val="auto"/>
                <w:highlight w:val="none"/>
              </w:rPr>
            </w:pPr>
          </w:p>
        </w:tc>
        <w:tc>
          <w:tcPr>
            <w:tcW w:w="8758" w:type="dxa"/>
            <w:vAlign w:val="center"/>
          </w:tcPr>
          <w:p>
            <w:pPr>
              <w:snapToGrid w:val="0"/>
              <w:ind w:left="316" w:hanging="316" w:hangingChars="150"/>
              <w:jc w:val="left"/>
              <w:rPr>
                <w:rFonts w:hAnsi="宋体" w:cs="宋体"/>
                <w:color w:val="auto"/>
                <w:kern w:val="0"/>
                <w:szCs w:val="21"/>
                <w:highlight w:val="none"/>
              </w:rPr>
            </w:pPr>
            <w:r>
              <w:rPr>
                <w:rFonts w:hint="eastAsia" w:ascii="宋体" w:hAnsi="宋体"/>
                <w:b/>
                <w:color w:val="auto"/>
                <w:szCs w:val="21"/>
                <w:highlight w:val="none"/>
              </w:rPr>
              <w:t>本项目需要落实的政府采购政策：</w:t>
            </w:r>
          </w:p>
          <w:p>
            <w:pPr>
              <w:pStyle w:val="30"/>
              <w:snapToGrid w:val="0"/>
              <w:spacing w:line="320" w:lineRule="exact"/>
              <w:rPr>
                <w:rFonts w:hAnsi="宋体"/>
                <w:color w:val="auto"/>
                <w:highlight w:val="none"/>
              </w:rPr>
            </w:pPr>
            <w:r>
              <w:rPr>
                <w:rFonts w:hint="eastAsia" w:hAnsi="宋体"/>
                <w:color w:val="auto"/>
                <w:highlight w:val="none"/>
              </w:rPr>
              <w:t>节能环保，促进中小企业发展，促进监狱企业发展，促进残疾人就业，广西工业产品产销等政府采购政策。</w:t>
            </w:r>
          </w:p>
          <w:p>
            <w:pPr>
              <w:pStyle w:val="30"/>
              <w:snapToGrid w:val="0"/>
              <w:spacing w:line="320" w:lineRule="exact"/>
              <w:rPr>
                <w:rFonts w:hAnsi="宋体"/>
                <w:color w:val="auto"/>
                <w:highlight w:val="none"/>
              </w:rPr>
            </w:pPr>
            <w:r>
              <w:rPr>
                <w:rFonts w:hint="eastAsia" w:hAnsi="宋体"/>
                <w:color w:val="auto"/>
                <w:highlight w:val="none"/>
              </w:rPr>
              <w:t>1．磋商产品属于财政部、国家发展改革委《节能产品政府采购清单》（以下简称“节能产品清单”）有效期内产品的，在技术、服务等指标满足采购需求的前提下，优先采购清单中的产品。</w:t>
            </w:r>
          </w:p>
          <w:p>
            <w:pPr>
              <w:pStyle w:val="30"/>
              <w:snapToGrid w:val="0"/>
              <w:spacing w:line="320" w:lineRule="exact"/>
              <w:rPr>
                <w:rFonts w:hAnsi="宋体"/>
                <w:color w:val="auto"/>
                <w:highlight w:val="none"/>
              </w:rPr>
            </w:pPr>
            <w:r>
              <w:rPr>
                <w:rFonts w:hint="eastAsia" w:hAnsi="宋体"/>
                <w:color w:val="auto"/>
                <w:highlight w:val="none"/>
              </w:rPr>
              <w:t>2．磋商产品属于财政部、环境保护部《环境标志产品政府采购清单》（以下简称“环保产品清单”）有效期内产品的，在性能、技术、服务等指标同等条件下，优先采购清单中的产品。注：如磋商产品同时属于“节能产品清单”和“环保产品清单”两个清单中产品的，在技术、服务等指标满足采购需求的前提下，优先采购同时属于两个清单中的产品。</w:t>
            </w:r>
          </w:p>
          <w:p>
            <w:pPr>
              <w:pStyle w:val="30"/>
              <w:snapToGrid w:val="0"/>
              <w:spacing w:line="320" w:lineRule="exact"/>
              <w:rPr>
                <w:rFonts w:hAnsi="宋体"/>
                <w:color w:val="auto"/>
                <w:highlight w:val="none"/>
              </w:rPr>
            </w:pPr>
            <w:r>
              <w:rPr>
                <w:rFonts w:hint="eastAsia" w:hAnsi="宋体"/>
                <w:color w:val="auto"/>
                <w:highlight w:val="none"/>
              </w:rPr>
              <w:t>3．服务商认定为小型和微型企业且所投产品均为小型、微型企业产品的，评标时磋商价格给予一定的价格扣除。</w:t>
            </w:r>
          </w:p>
          <w:p>
            <w:pPr>
              <w:pStyle w:val="30"/>
              <w:snapToGrid w:val="0"/>
              <w:spacing w:line="320" w:lineRule="exact"/>
              <w:rPr>
                <w:rFonts w:hAnsi="宋体"/>
                <w:color w:val="auto"/>
                <w:highlight w:val="none"/>
              </w:rPr>
            </w:pPr>
            <w:r>
              <w:rPr>
                <w:rFonts w:hint="eastAsia" w:hAnsi="宋体"/>
                <w:color w:val="auto"/>
                <w:highlight w:val="none"/>
              </w:rPr>
              <w:t>4．根据财政部、司法部关于政府采购支持监狱企业发展有关问题的通知（财库[2014]68号），监狱企业视同小型、微型企业，享受小型、微型企业政策，评标时磋商价格给予一定的价格扣除。</w:t>
            </w:r>
          </w:p>
          <w:p>
            <w:pPr>
              <w:pStyle w:val="30"/>
              <w:snapToGrid w:val="0"/>
              <w:spacing w:line="320" w:lineRule="exact"/>
              <w:rPr>
                <w:rFonts w:hAnsi="宋体"/>
                <w:color w:val="auto"/>
                <w:highlight w:val="none"/>
              </w:rPr>
            </w:pPr>
            <w:r>
              <w:rPr>
                <w:rFonts w:hint="eastAsia" w:hAnsi="宋体"/>
                <w:color w:val="auto"/>
                <w:highlight w:val="none"/>
              </w:rPr>
              <w:t>5．根据财政部、民政部、中国残疾人联合会三部门发布的关于促进残疾人就业政府采购政策的通知（财库〔2017〕141号），残疾人福利性单位视同小型、微型企业，享受小型、微型企业政策，评标时磋商价格给予一定的价格扣除。服务商既属于残疾人福利性单位又属于小型、微型企业的，其只能享受磋商价格一次性的扣除，不重复享受政策。</w:t>
            </w:r>
          </w:p>
          <w:p>
            <w:pPr>
              <w:pStyle w:val="30"/>
              <w:snapToGrid w:val="0"/>
              <w:spacing w:line="320" w:lineRule="exact"/>
              <w:rPr>
                <w:rFonts w:hAnsi="宋体"/>
                <w:color w:val="auto"/>
                <w:highlight w:val="none"/>
              </w:rPr>
            </w:pPr>
            <w:r>
              <w:rPr>
                <w:rFonts w:hint="eastAsia" w:hAnsi="宋体"/>
                <w:color w:val="auto"/>
                <w:highlight w:val="none"/>
              </w:rPr>
              <w:t>6．根据《广西壮族自治区人民政府办公厅关于印发招标采购促进广西工业产品产销对接实施细则的通知》的规定，货物服务招标采购评标方法采用综合评分法的，对使用广西工业产品80％以上（含）的服务商，评标时给予一定的政策功能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17</w:t>
            </w:r>
          </w:p>
        </w:tc>
        <w:tc>
          <w:tcPr>
            <w:tcW w:w="654" w:type="dxa"/>
            <w:vAlign w:val="center"/>
          </w:tcPr>
          <w:p>
            <w:pPr>
              <w:snapToGrid w:val="0"/>
              <w:spacing w:line="320" w:lineRule="exact"/>
              <w:jc w:val="center"/>
              <w:rPr>
                <w:rFonts w:ascii="宋体" w:hAnsi="宋体"/>
                <w:color w:val="auto"/>
                <w:highlight w:val="none"/>
              </w:rPr>
            </w:pPr>
          </w:p>
        </w:tc>
        <w:tc>
          <w:tcPr>
            <w:tcW w:w="8758" w:type="dxa"/>
            <w:vAlign w:val="center"/>
          </w:tcPr>
          <w:p>
            <w:pPr>
              <w:pStyle w:val="8"/>
              <w:snapToGrid w:val="0"/>
              <w:rPr>
                <w:rFonts w:ascii="宋体" w:hAnsi="宋体"/>
                <w:b/>
                <w:bCs/>
                <w:color w:val="auto"/>
                <w:szCs w:val="21"/>
                <w:highlight w:val="none"/>
              </w:rPr>
            </w:pPr>
            <w:r>
              <w:rPr>
                <w:rFonts w:hint="eastAsia" w:ascii="宋体" w:hAnsi="宋体"/>
                <w:b/>
                <w:bCs/>
                <w:color w:val="auto"/>
                <w:szCs w:val="21"/>
                <w:highlight w:val="none"/>
              </w:rPr>
              <w:t>政府采购合同审核、备案：</w:t>
            </w:r>
          </w:p>
          <w:p>
            <w:pPr>
              <w:spacing w:line="320" w:lineRule="exact"/>
              <w:rPr>
                <w:rFonts w:ascii="宋体" w:hAnsi="宋体"/>
                <w:color w:val="auto"/>
                <w:highlight w:val="none"/>
              </w:rPr>
            </w:pPr>
            <w:r>
              <w:rPr>
                <w:rFonts w:hint="eastAsia" w:hAnsi="宋体"/>
                <w:color w:val="auto"/>
                <w:szCs w:val="21"/>
                <w:highlight w:val="none"/>
              </w:rPr>
              <w:t>政府采购合同自签订之日起2个工作日内，成交服务商必须将政府采购合同送本采购代理机构审核盖章确认。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536" w:type="dxa"/>
            <w:vAlign w:val="center"/>
          </w:tcPr>
          <w:p>
            <w:pPr>
              <w:snapToGrid w:val="0"/>
              <w:spacing w:line="320" w:lineRule="exact"/>
              <w:jc w:val="center"/>
              <w:rPr>
                <w:rFonts w:ascii="宋体" w:hAnsi="宋体"/>
                <w:color w:val="auto"/>
                <w:highlight w:val="none"/>
              </w:rPr>
            </w:pPr>
            <w:r>
              <w:rPr>
                <w:rFonts w:hint="eastAsia" w:ascii="宋体" w:hAnsi="宋体"/>
                <w:color w:val="auto"/>
                <w:highlight w:val="none"/>
              </w:rPr>
              <w:t>18</w:t>
            </w:r>
          </w:p>
        </w:tc>
        <w:tc>
          <w:tcPr>
            <w:tcW w:w="654" w:type="dxa"/>
            <w:vAlign w:val="center"/>
          </w:tcPr>
          <w:p>
            <w:pPr>
              <w:snapToGrid w:val="0"/>
              <w:spacing w:line="320" w:lineRule="exact"/>
              <w:jc w:val="center"/>
              <w:rPr>
                <w:rFonts w:ascii="宋体" w:hAnsi="宋体"/>
                <w:color w:val="auto"/>
                <w:highlight w:val="none"/>
              </w:rPr>
            </w:pPr>
          </w:p>
        </w:tc>
        <w:tc>
          <w:tcPr>
            <w:tcW w:w="8758" w:type="dxa"/>
            <w:vAlign w:val="center"/>
          </w:tcPr>
          <w:p>
            <w:pPr>
              <w:pStyle w:val="8"/>
              <w:snapToGrid w:val="0"/>
              <w:rPr>
                <w:rFonts w:ascii="宋体" w:hAnsi="宋体"/>
                <w:b/>
                <w:bCs/>
                <w:color w:val="auto"/>
                <w:szCs w:val="21"/>
                <w:highlight w:val="none"/>
              </w:rPr>
            </w:pPr>
            <w:r>
              <w:rPr>
                <w:rFonts w:hint="eastAsia" w:ascii="宋体" w:hAnsi="宋体"/>
                <w:b/>
                <w:bCs/>
                <w:color w:val="auto"/>
                <w:szCs w:val="21"/>
                <w:highlight w:val="none"/>
              </w:rPr>
              <w:t xml:space="preserve">履约保证金的收取: 可以支票、汇票、本票或者银行、保险机构出具的保函等非现金方式。 </w:t>
            </w:r>
          </w:p>
          <w:p>
            <w:pPr>
              <w:pStyle w:val="8"/>
              <w:snapToGrid w:val="0"/>
              <w:rPr>
                <w:rFonts w:ascii="宋体" w:hAnsi="宋体"/>
                <w:color w:val="auto"/>
                <w:szCs w:val="21"/>
                <w:highlight w:val="none"/>
              </w:rPr>
            </w:pPr>
            <w:r>
              <w:rPr>
                <w:rFonts w:hint="eastAsia" w:ascii="宋体" w:hAnsi="宋体"/>
                <w:color w:val="auto"/>
                <w:szCs w:val="21"/>
                <w:highlight w:val="none"/>
              </w:rPr>
              <w:t>1、金额：成交金额5%。</w:t>
            </w:r>
          </w:p>
          <w:p>
            <w:pPr>
              <w:pStyle w:val="8"/>
              <w:snapToGrid w:val="0"/>
              <w:rPr>
                <w:rFonts w:hAnsi="宋体"/>
                <w:color w:val="auto"/>
                <w:szCs w:val="21"/>
                <w:highlight w:val="none"/>
              </w:rPr>
            </w:pPr>
            <w:r>
              <w:rPr>
                <w:rFonts w:hint="eastAsia" w:ascii="宋体" w:hAnsi="宋体"/>
                <w:color w:val="auto"/>
                <w:szCs w:val="21"/>
                <w:highlight w:val="none"/>
              </w:rPr>
              <w:t>2、退还：自项目验收合格后，成交人按第七章附件“履约保证金退付确认函”的要求至采购单位办理退还履约保证金手续。</w:t>
            </w:r>
            <w:r>
              <w:rPr>
                <w:rFonts w:hint="eastAsia" w:hAnsi="宋体"/>
                <w:color w:val="auto"/>
                <w:szCs w:val="20"/>
                <w:highlight w:val="none"/>
              </w:rPr>
              <w:t>采购单位</w:t>
            </w:r>
            <w:r>
              <w:rPr>
                <w:rFonts w:hAnsi="宋体"/>
                <w:color w:val="auto"/>
                <w:szCs w:val="20"/>
                <w:highlight w:val="none"/>
              </w:rPr>
              <w:t>收到退还申请后，将在5个工作日内不计利息原额退还。</w:t>
            </w:r>
          </w:p>
        </w:tc>
      </w:tr>
    </w:tbl>
    <w:p>
      <w:pPr>
        <w:rPr>
          <w:color w:val="auto"/>
          <w:highlight w:val="none"/>
        </w:rPr>
      </w:pPr>
    </w:p>
    <w:p>
      <w:pPr>
        <w:pStyle w:val="27"/>
        <w:rPr>
          <w:color w:val="auto"/>
          <w:highlight w:val="none"/>
        </w:rPr>
      </w:pPr>
    </w:p>
    <w:p>
      <w:pPr>
        <w:pStyle w:val="30"/>
        <w:jc w:val="center"/>
        <w:rPr>
          <w:rFonts w:hAnsi="宋体"/>
          <w:b/>
          <w:color w:val="auto"/>
          <w:sz w:val="32"/>
          <w:highlight w:val="none"/>
        </w:rPr>
      </w:pPr>
      <w:r>
        <w:rPr>
          <w:rFonts w:hint="eastAsia" w:hAnsi="宋体"/>
          <w:b/>
          <w:color w:val="auto"/>
          <w:sz w:val="32"/>
          <w:highlight w:val="none"/>
        </w:rPr>
        <w:t>服 务 商 须 知</w:t>
      </w:r>
    </w:p>
    <w:p>
      <w:pPr>
        <w:pStyle w:val="10"/>
        <w:spacing w:line="400" w:lineRule="exact"/>
        <w:rPr>
          <w:rFonts w:hAnsi="宋体"/>
          <w:color w:val="auto"/>
          <w:highlight w:val="none"/>
        </w:rPr>
      </w:pPr>
    </w:p>
    <w:p>
      <w:pPr>
        <w:pStyle w:val="3"/>
        <w:spacing w:line="400" w:lineRule="exact"/>
        <w:jc w:val="center"/>
        <w:rPr>
          <w:rFonts w:ascii="宋体" w:hAnsi="宋体"/>
          <w:color w:val="auto"/>
          <w:highlight w:val="none"/>
        </w:rPr>
      </w:pPr>
      <w:bookmarkStart w:id="36" w:name="_Toc207770834"/>
      <w:bookmarkStart w:id="37" w:name="_Toc230578056"/>
      <w:bookmarkStart w:id="38" w:name="_Toc398287290"/>
      <w:bookmarkStart w:id="39" w:name="_Toc185702548"/>
      <w:bookmarkStart w:id="40" w:name="_Toc206525681"/>
      <w:bookmarkStart w:id="41" w:name="_Toc528924904"/>
      <w:bookmarkStart w:id="42" w:name="_Toc239839862"/>
      <w:r>
        <w:rPr>
          <w:rFonts w:hint="eastAsia" w:ascii="宋体" w:hAnsi="宋体"/>
          <w:color w:val="auto"/>
          <w:highlight w:val="none"/>
        </w:rPr>
        <w:t>一   总  则</w:t>
      </w:r>
      <w:bookmarkEnd w:id="36"/>
      <w:bookmarkEnd w:id="37"/>
      <w:bookmarkEnd w:id="38"/>
      <w:bookmarkEnd w:id="39"/>
      <w:bookmarkEnd w:id="40"/>
      <w:bookmarkEnd w:id="41"/>
      <w:bookmarkEnd w:id="42"/>
    </w:p>
    <w:p>
      <w:pPr>
        <w:pStyle w:val="4"/>
        <w:spacing w:before="0" w:after="0" w:line="360" w:lineRule="exact"/>
        <w:rPr>
          <w:rFonts w:ascii="宋体" w:hAnsi="宋体" w:eastAsia="宋体"/>
          <w:color w:val="auto"/>
          <w:sz w:val="21"/>
          <w:szCs w:val="21"/>
          <w:highlight w:val="none"/>
        </w:rPr>
      </w:pPr>
      <w:bookmarkStart w:id="43" w:name="_Toc230578057"/>
      <w:bookmarkStart w:id="44" w:name="_Toc185702549"/>
      <w:bookmarkStart w:id="45" w:name="_Toc239839863"/>
      <w:bookmarkStart w:id="46" w:name="_Toc206525682"/>
      <w:bookmarkStart w:id="47" w:name="_Toc207770835"/>
      <w:bookmarkStart w:id="48" w:name="_Toc528924905"/>
      <w:bookmarkStart w:id="49" w:name="_Toc398287291"/>
      <w:r>
        <w:rPr>
          <w:rFonts w:hint="eastAsia" w:ascii="宋体" w:hAnsi="宋体" w:eastAsia="宋体"/>
          <w:color w:val="auto"/>
          <w:sz w:val="21"/>
          <w:szCs w:val="21"/>
          <w:highlight w:val="none"/>
        </w:rPr>
        <w:t>1、</w:t>
      </w:r>
      <w:bookmarkEnd w:id="43"/>
      <w:bookmarkEnd w:id="44"/>
      <w:bookmarkEnd w:id="45"/>
      <w:bookmarkEnd w:id="46"/>
      <w:bookmarkEnd w:id="47"/>
      <w:r>
        <w:rPr>
          <w:rFonts w:hint="eastAsia" w:ascii="宋体" w:hAnsi="宋体" w:eastAsia="宋体"/>
          <w:color w:val="auto"/>
          <w:sz w:val="21"/>
          <w:szCs w:val="21"/>
          <w:highlight w:val="none"/>
        </w:rPr>
        <w:t>适用范围及定义</w:t>
      </w:r>
      <w:bookmarkEnd w:id="48"/>
      <w:bookmarkEnd w:id="49"/>
    </w:p>
    <w:p>
      <w:pPr>
        <w:spacing w:line="360" w:lineRule="exact"/>
        <w:ind w:firstLine="420"/>
        <w:rPr>
          <w:rFonts w:ascii="宋体" w:hAnsi="宋体"/>
          <w:color w:val="auto"/>
          <w:szCs w:val="21"/>
          <w:highlight w:val="none"/>
        </w:rPr>
      </w:pPr>
      <w:bookmarkStart w:id="50" w:name="_Toc185702550"/>
      <w:bookmarkStart w:id="51" w:name="_Toc230578058"/>
      <w:bookmarkStart w:id="52" w:name="_Toc239839864"/>
      <w:bookmarkStart w:id="53" w:name="_Toc206525683"/>
      <w:bookmarkStart w:id="54" w:name="_Toc207770836"/>
      <w:r>
        <w:rPr>
          <w:rFonts w:hint="eastAsia" w:ascii="宋体" w:hAnsi="宋体"/>
          <w:color w:val="auto"/>
          <w:szCs w:val="21"/>
          <w:highlight w:val="none"/>
        </w:rPr>
        <w:t>1</w:t>
      </w:r>
      <w:r>
        <w:rPr>
          <w:rFonts w:ascii="宋体" w:hAnsi="宋体"/>
          <w:color w:val="auto"/>
          <w:szCs w:val="21"/>
          <w:highlight w:val="none"/>
        </w:rPr>
        <w:t>.1</w:t>
      </w:r>
      <w:r>
        <w:rPr>
          <w:rFonts w:hint="eastAsia" w:ascii="宋体" w:hAnsi="宋体"/>
          <w:color w:val="auto"/>
          <w:szCs w:val="21"/>
          <w:highlight w:val="none"/>
        </w:rPr>
        <w:t>适用范围：本竞争性磋商文件仅适用于本次招标中所述项目的服务内容。</w:t>
      </w:r>
    </w:p>
    <w:p>
      <w:pPr>
        <w:spacing w:line="360" w:lineRule="exact"/>
        <w:ind w:firstLine="420"/>
        <w:rPr>
          <w:rFonts w:ascii="宋体" w:hAnsi="宋体"/>
          <w:color w:val="auto"/>
          <w:szCs w:val="21"/>
          <w:highlight w:val="none"/>
        </w:rPr>
      </w:pPr>
      <w:r>
        <w:rPr>
          <w:rFonts w:hint="eastAsia" w:ascii="宋体" w:hAnsi="宋体"/>
          <w:color w:val="auto"/>
          <w:szCs w:val="21"/>
          <w:highlight w:val="none"/>
        </w:rPr>
        <w:t>1.2定义：</w:t>
      </w:r>
    </w:p>
    <w:p>
      <w:pPr>
        <w:spacing w:line="360" w:lineRule="exact"/>
        <w:ind w:firstLine="420"/>
        <w:rPr>
          <w:rFonts w:ascii="宋体" w:hAnsi="宋体"/>
          <w:color w:val="auto"/>
          <w:szCs w:val="21"/>
          <w:highlight w:val="none"/>
        </w:rPr>
      </w:pPr>
      <w:r>
        <w:rPr>
          <w:rFonts w:hint="eastAsia" w:ascii="宋体" w:hAnsi="宋体"/>
          <w:color w:val="auto"/>
          <w:szCs w:val="21"/>
          <w:highlight w:val="none"/>
        </w:rPr>
        <w:t>1.2.1“采购人”系指本次采购项目的业主方或买方。</w:t>
      </w:r>
    </w:p>
    <w:p>
      <w:pPr>
        <w:spacing w:line="360" w:lineRule="exact"/>
        <w:ind w:firstLine="420"/>
        <w:rPr>
          <w:rFonts w:ascii="宋体" w:hAnsi="宋体"/>
          <w:color w:val="auto"/>
          <w:szCs w:val="21"/>
          <w:highlight w:val="none"/>
        </w:rPr>
      </w:pPr>
      <w:r>
        <w:rPr>
          <w:rFonts w:hint="eastAsia" w:ascii="宋体" w:hAnsi="宋体"/>
          <w:color w:val="auto"/>
          <w:szCs w:val="21"/>
          <w:highlight w:val="none"/>
        </w:rPr>
        <w:t>1.2.2“采购代理机构” 系指本次采购项目活动组织方广西达华工程造价咨询有限责任公司。</w:t>
      </w:r>
    </w:p>
    <w:p>
      <w:pPr>
        <w:spacing w:line="360" w:lineRule="exact"/>
        <w:ind w:firstLine="420"/>
        <w:rPr>
          <w:rFonts w:ascii="宋体" w:hAnsi="宋体"/>
          <w:color w:val="auto"/>
          <w:szCs w:val="21"/>
          <w:highlight w:val="none"/>
        </w:rPr>
      </w:pPr>
      <w:r>
        <w:rPr>
          <w:rFonts w:hint="eastAsia" w:ascii="宋体" w:hAnsi="宋体"/>
          <w:color w:val="auto"/>
          <w:szCs w:val="21"/>
          <w:highlight w:val="none"/>
        </w:rPr>
        <w:t>1.2.3“服务商”系指按要求至采购代理机构进行报名登记并购买竞争性磋商文件且提交“响应文件”参加采购活动的服务商。在磋商阶段称为服务商；在签订和履行合同阶段称为成交人。</w:t>
      </w:r>
    </w:p>
    <w:p>
      <w:pPr>
        <w:spacing w:line="360" w:lineRule="exact"/>
        <w:ind w:firstLine="420"/>
        <w:rPr>
          <w:rFonts w:ascii="宋体" w:hAnsi="宋体"/>
          <w:color w:val="auto"/>
          <w:szCs w:val="21"/>
          <w:highlight w:val="none"/>
        </w:rPr>
      </w:pPr>
      <w:r>
        <w:rPr>
          <w:rFonts w:ascii="宋体" w:hAnsi="宋体"/>
          <w:color w:val="auto"/>
          <w:szCs w:val="21"/>
          <w:highlight w:val="none"/>
        </w:rPr>
        <w:t>1.2.4</w:t>
      </w:r>
      <w:r>
        <w:rPr>
          <w:rFonts w:hint="eastAsia" w:ascii="宋体" w:hAnsi="宋体"/>
          <w:color w:val="auto"/>
          <w:szCs w:val="21"/>
          <w:highlight w:val="none"/>
        </w:rPr>
        <w:t>“货物”系指卖方按竞争性磋商文件规定向买方提供的一切货物、设备、机械、仪器仪表、备品备件、工具、手册及其它有关技术资料和材料。</w:t>
      </w:r>
    </w:p>
    <w:p>
      <w:pPr>
        <w:spacing w:line="360" w:lineRule="exact"/>
        <w:ind w:firstLine="420"/>
        <w:rPr>
          <w:rFonts w:ascii="宋体" w:hAnsi="宋体"/>
          <w:color w:val="auto"/>
          <w:szCs w:val="21"/>
          <w:highlight w:val="none"/>
        </w:rPr>
      </w:pPr>
      <w:r>
        <w:rPr>
          <w:rFonts w:hint="eastAsia" w:ascii="宋体" w:hAnsi="宋体"/>
          <w:color w:val="auto"/>
          <w:szCs w:val="21"/>
          <w:highlight w:val="none"/>
        </w:rPr>
        <w:t>1.2.5“服务”系指竞争性磋商文件规定成交人须承担的设计、技术协助、校准、培训以及其他类似的义务。</w:t>
      </w:r>
    </w:p>
    <w:p>
      <w:pPr>
        <w:spacing w:line="360" w:lineRule="exact"/>
        <w:ind w:firstLine="420"/>
        <w:rPr>
          <w:rFonts w:ascii="宋体" w:hAnsi="宋体"/>
          <w:color w:val="auto"/>
          <w:szCs w:val="21"/>
          <w:highlight w:val="none"/>
        </w:rPr>
      </w:pPr>
      <w:r>
        <w:rPr>
          <w:rFonts w:hint="eastAsia" w:ascii="宋体" w:hAnsi="宋体"/>
          <w:color w:val="auto"/>
          <w:szCs w:val="21"/>
          <w:highlight w:val="none"/>
        </w:rPr>
        <w:t>1.2.6“响应文件”是指：服务商根据竞争性磋商文件要求，编制包含统计数据经济运行监测系统软件开发等所有内容的文件。</w:t>
      </w:r>
    </w:p>
    <w:p>
      <w:pPr>
        <w:pStyle w:val="4"/>
        <w:spacing w:before="0" w:after="0" w:line="360" w:lineRule="exact"/>
        <w:rPr>
          <w:rFonts w:ascii="宋体" w:hAnsi="宋体" w:eastAsia="宋体"/>
          <w:color w:val="auto"/>
          <w:sz w:val="21"/>
          <w:szCs w:val="21"/>
          <w:highlight w:val="none"/>
        </w:rPr>
      </w:pPr>
      <w:bookmarkStart w:id="55" w:name="_Toc398287292"/>
      <w:bookmarkStart w:id="56" w:name="_Toc528924906"/>
      <w:r>
        <w:rPr>
          <w:rFonts w:hint="eastAsia" w:ascii="宋体" w:hAnsi="宋体" w:eastAsia="宋体"/>
          <w:color w:val="auto"/>
          <w:sz w:val="21"/>
          <w:szCs w:val="21"/>
          <w:highlight w:val="none"/>
        </w:rPr>
        <w:t>2、</w:t>
      </w:r>
      <w:bookmarkEnd w:id="50"/>
      <w:bookmarkEnd w:id="51"/>
      <w:bookmarkEnd w:id="52"/>
      <w:bookmarkEnd w:id="53"/>
      <w:bookmarkEnd w:id="54"/>
      <w:r>
        <w:rPr>
          <w:rFonts w:hint="eastAsia" w:ascii="宋体" w:hAnsi="宋体" w:eastAsia="宋体"/>
          <w:color w:val="auto"/>
          <w:sz w:val="21"/>
          <w:szCs w:val="21"/>
          <w:highlight w:val="none"/>
        </w:rPr>
        <w:t>合格的服务商</w:t>
      </w:r>
      <w:bookmarkEnd w:id="55"/>
      <w:bookmarkEnd w:id="56"/>
    </w:p>
    <w:p>
      <w:pPr>
        <w:pStyle w:val="10"/>
        <w:spacing w:line="400" w:lineRule="exact"/>
        <w:ind w:firstLine="420"/>
        <w:rPr>
          <w:rFonts w:hAnsi="宋体"/>
          <w:color w:val="auto"/>
          <w:highlight w:val="none"/>
        </w:rPr>
      </w:pPr>
      <w:r>
        <w:rPr>
          <w:rFonts w:hint="eastAsia" w:hAnsi="宋体"/>
          <w:color w:val="auto"/>
          <w:highlight w:val="none"/>
        </w:rPr>
        <w:t>2.1服务商应符合服务商须知前附表第2项所规定的要求。</w:t>
      </w:r>
    </w:p>
    <w:p>
      <w:pPr>
        <w:pStyle w:val="10"/>
        <w:spacing w:line="400" w:lineRule="exact"/>
        <w:ind w:firstLine="420"/>
        <w:rPr>
          <w:rFonts w:hAnsi="宋体"/>
          <w:color w:val="auto"/>
          <w:highlight w:val="none"/>
        </w:rPr>
      </w:pPr>
      <w:r>
        <w:rPr>
          <w:rFonts w:hint="eastAsia" w:hAnsi="宋体"/>
          <w:color w:val="auto"/>
          <w:highlight w:val="none"/>
        </w:rPr>
        <w:t>2.2对2015年至今在“信用中国”网站(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hAnsi="宋体"/>
          <w:color w:val="auto"/>
          <w:highlight w:val="none"/>
        </w:rPr>
        <w:t>www.creditchina.gov.cn</w:t>
      </w:r>
      <w:r>
        <w:rPr>
          <w:rFonts w:hint="eastAsia" w:hAnsi="宋体"/>
          <w:color w:val="auto"/>
          <w:highlight w:val="none"/>
        </w:rPr>
        <w:fldChar w:fldCharType="end"/>
      </w:r>
      <w:r>
        <w:rPr>
          <w:rFonts w:hint="eastAsia" w:hAnsi="宋体"/>
          <w:color w:val="auto"/>
          <w:highlight w:val="none"/>
        </w:rPr>
        <w:t>)、中国政府采购网(www.ccgp.gov.cn)渠道列入失信被执行人、重大税收违法案件当事人名单、政府采购严重违法失信行为记录名单的服务商，不得参与本项目政府采购活动。</w:t>
      </w:r>
    </w:p>
    <w:p>
      <w:pPr>
        <w:pStyle w:val="10"/>
        <w:spacing w:line="400" w:lineRule="exact"/>
        <w:ind w:firstLine="420"/>
        <w:rPr>
          <w:rFonts w:hAnsi="宋体"/>
          <w:color w:val="auto"/>
          <w:highlight w:val="none"/>
        </w:rPr>
      </w:pPr>
      <w:r>
        <w:rPr>
          <w:rFonts w:hint="eastAsia" w:hAnsi="宋体"/>
          <w:color w:val="auto"/>
          <w:highlight w:val="none"/>
        </w:rPr>
        <w:t>2.3服务商不得直接或间接地与为本次采购的项目内容进行设计、编制规范和其他文件的咨询公司、采购代理机构或其附属机构有任何关联。</w:t>
      </w:r>
    </w:p>
    <w:p>
      <w:pPr>
        <w:pStyle w:val="10"/>
        <w:spacing w:line="400" w:lineRule="exact"/>
        <w:ind w:firstLine="420"/>
        <w:rPr>
          <w:rFonts w:hAnsi="宋体"/>
          <w:color w:val="auto"/>
          <w:highlight w:val="none"/>
        </w:rPr>
      </w:pPr>
      <w:r>
        <w:rPr>
          <w:rFonts w:hint="eastAsia" w:hAnsi="宋体"/>
          <w:color w:val="auto"/>
          <w:highlight w:val="none"/>
        </w:rPr>
        <w:t>2.4符合服务商资格的服务商应承担投标及履约中应承担的全部责任与义务。</w:t>
      </w:r>
    </w:p>
    <w:p>
      <w:pPr>
        <w:pStyle w:val="4"/>
        <w:spacing w:before="0" w:after="0" w:line="360" w:lineRule="exact"/>
        <w:rPr>
          <w:rFonts w:ascii="宋体" w:hAnsi="宋体" w:eastAsia="宋体"/>
          <w:color w:val="auto"/>
          <w:sz w:val="21"/>
          <w:szCs w:val="21"/>
          <w:highlight w:val="none"/>
        </w:rPr>
      </w:pPr>
      <w:bookmarkStart w:id="57" w:name="_Toc230578059"/>
      <w:bookmarkStart w:id="58" w:name="_Toc398287293"/>
      <w:bookmarkStart w:id="59" w:name="_Toc239839865"/>
      <w:bookmarkStart w:id="60" w:name="_Toc206525684"/>
      <w:bookmarkStart w:id="61" w:name="_Toc185702551"/>
      <w:bookmarkStart w:id="62" w:name="_Toc528924907"/>
      <w:bookmarkStart w:id="63" w:name="_Toc207770837"/>
      <w:r>
        <w:rPr>
          <w:rFonts w:hint="eastAsia" w:ascii="宋体" w:hAnsi="宋体" w:eastAsia="宋体"/>
          <w:color w:val="auto"/>
          <w:sz w:val="21"/>
          <w:szCs w:val="21"/>
          <w:highlight w:val="none"/>
        </w:rPr>
        <w:t>3、磋商费用</w:t>
      </w:r>
      <w:bookmarkEnd w:id="57"/>
      <w:bookmarkEnd w:id="58"/>
      <w:bookmarkEnd w:id="59"/>
      <w:bookmarkEnd w:id="60"/>
      <w:bookmarkEnd w:id="61"/>
      <w:bookmarkEnd w:id="62"/>
      <w:bookmarkEnd w:id="63"/>
    </w:p>
    <w:p>
      <w:pPr>
        <w:pStyle w:val="10"/>
        <w:spacing w:line="360" w:lineRule="exact"/>
        <w:ind w:firstLine="420"/>
        <w:rPr>
          <w:rFonts w:hAnsi="宋体"/>
          <w:color w:val="auto"/>
          <w:highlight w:val="none"/>
        </w:rPr>
      </w:pPr>
      <w:r>
        <w:rPr>
          <w:rFonts w:hint="eastAsia" w:hAnsi="宋体"/>
          <w:color w:val="auto"/>
          <w:highlight w:val="none"/>
        </w:rPr>
        <w:t>3.1服务商应自行承担所有与编写和提交响应文件有关的费用，不论磋商结果如何，采购人（采购代理机构）在任何情况下无义务和责任承担此类费用。</w:t>
      </w:r>
    </w:p>
    <w:p>
      <w:pPr>
        <w:pStyle w:val="4"/>
        <w:spacing w:before="0" w:after="0" w:line="400" w:lineRule="exact"/>
        <w:rPr>
          <w:rFonts w:ascii="宋体" w:hAnsi="宋体" w:eastAsia="宋体"/>
          <w:color w:val="auto"/>
          <w:sz w:val="21"/>
          <w:szCs w:val="21"/>
          <w:highlight w:val="none"/>
        </w:rPr>
      </w:pPr>
      <w:bookmarkStart w:id="64" w:name="_Toc493765480"/>
      <w:bookmarkStart w:id="65" w:name="_Toc528924908"/>
      <w:r>
        <w:rPr>
          <w:rFonts w:hint="eastAsia" w:ascii="宋体" w:hAnsi="宋体" w:eastAsia="宋体"/>
          <w:color w:val="auto"/>
          <w:sz w:val="21"/>
          <w:szCs w:val="21"/>
          <w:highlight w:val="none"/>
        </w:rPr>
        <w:t>4、特别说明</w:t>
      </w:r>
      <w:bookmarkEnd w:id="64"/>
      <w:bookmarkEnd w:id="65"/>
    </w:p>
    <w:p>
      <w:pPr>
        <w:pStyle w:val="10"/>
        <w:spacing w:line="400" w:lineRule="exact"/>
        <w:ind w:firstLine="420"/>
        <w:rPr>
          <w:rFonts w:hAnsi="宋体"/>
          <w:color w:val="auto"/>
          <w:highlight w:val="none"/>
        </w:rPr>
      </w:pPr>
      <w:r>
        <w:rPr>
          <w:rFonts w:hint="eastAsia" w:hAnsi="宋体"/>
          <w:color w:val="auto"/>
          <w:highlight w:val="none"/>
        </w:rPr>
        <w:t>4.1服务商投标所使用的资格、信誉、荣誉、业绩与企业认证必须为本法人所拥有。服务商投入所使用的采购项目实施人员必须为本法人员工（或必须为本法人或控股公司正式员工）。</w:t>
      </w:r>
    </w:p>
    <w:p>
      <w:pPr>
        <w:pStyle w:val="10"/>
        <w:spacing w:line="400" w:lineRule="exact"/>
        <w:ind w:firstLine="420"/>
        <w:rPr>
          <w:rFonts w:hAnsi="宋体"/>
          <w:color w:val="auto"/>
          <w:highlight w:val="none"/>
        </w:rPr>
      </w:pPr>
      <w:r>
        <w:rPr>
          <w:rFonts w:hint="eastAsia" w:hAnsi="宋体"/>
          <w:color w:val="auto"/>
          <w:highlight w:val="none"/>
        </w:rPr>
        <w:t>4.2服务商应仔细阅读磋商文件的所有内容，按照磋商文件的要求提交响应文件，并对所提供的全部资料的真实性承担法律责任。</w:t>
      </w:r>
    </w:p>
    <w:p>
      <w:pPr>
        <w:pStyle w:val="10"/>
        <w:spacing w:line="400" w:lineRule="exact"/>
        <w:ind w:firstLine="420"/>
        <w:rPr>
          <w:rFonts w:hAnsi="宋体"/>
          <w:color w:val="auto"/>
          <w:highlight w:val="none"/>
        </w:rPr>
      </w:pPr>
      <w:r>
        <w:rPr>
          <w:rFonts w:hint="eastAsia" w:hAnsi="宋体"/>
          <w:color w:val="auto"/>
          <w:highlight w:val="none"/>
        </w:rPr>
        <w:t>4.3服务商在政府采购活动中提供任何虚假材料，其磋商无效，并报政府采购监管部门查处；中标后发现的，服务商须依照《中华人民共和国消费者权益保护法》第49条之规定双倍赔偿采购人，且民事赔偿并不免除违法服务商的行政与刑事责任。</w:t>
      </w:r>
    </w:p>
    <w:p>
      <w:pPr>
        <w:pStyle w:val="10"/>
        <w:spacing w:line="380" w:lineRule="exact"/>
        <w:ind w:firstLine="420"/>
        <w:rPr>
          <w:rFonts w:hAnsi="宋体"/>
          <w:b/>
          <w:bCs/>
          <w:color w:val="auto"/>
          <w:highlight w:val="none"/>
        </w:rPr>
      </w:pPr>
      <w:r>
        <w:rPr>
          <w:rFonts w:hint="eastAsia" w:hAnsi="宋体"/>
          <w:b/>
          <w:bCs/>
          <w:color w:val="auto"/>
          <w:highlight w:val="none"/>
        </w:rPr>
        <w:t>5．询问、质疑和投诉</w:t>
      </w:r>
    </w:p>
    <w:p>
      <w:pPr>
        <w:pStyle w:val="10"/>
        <w:spacing w:line="380" w:lineRule="exact"/>
        <w:ind w:firstLine="420"/>
        <w:rPr>
          <w:rFonts w:hAnsi="宋体"/>
          <w:color w:val="auto"/>
          <w:highlight w:val="none"/>
        </w:rPr>
      </w:pPr>
      <w:r>
        <w:rPr>
          <w:rFonts w:hint="eastAsia" w:hAnsi="宋体"/>
          <w:color w:val="auto"/>
          <w:highlight w:val="none"/>
        </w:rPr>
        <w:t>5.1询问。服务商如发现磋商文件内容有误或对采购活动事项有疑问的，应在磋商截止日期5日前的正常工作时间以书面形式向采购人或采购代理机构提出询问、澄清。采购人或采购代理机构自收到之日起3个工作日内对服务商依法提出的询问作出答复，但答复的内容不得涉及商业秘密。</w:t>
      </w:r>
    </w:p>
    <w:p>
      <w:pPr>
        <w:pStyle w:val="10"/>
        <w:spacing w:line="380" w:lineRule="exact"/>
        <w:ind w:firstLine="420" w:firstLineChars="200"/>
        <w:rPr>
          <w:rFonts w:hAnsi="宋体"/>
          <w:color w:val="auto"/>
          <w:highlight w:val="none"/>
        </w:rPr>
      </w:pPr>
      <w:r>
        <w:rPr>
          <w:rFonts w:hint="eastAsia" w:hAnsi="宋体"/>
          <w:color w:val="auto"/>
          <w:highlight w:val="none"/>
        </w:rPr>
        <w:t>5.2质疑</w:t>
      </w:r>
    </w:p>
    <w:p>
      <w:pPr>
        <w:pStyle w:val="10"/>
        <w:spacing w:line="380" w:lineRule="exact"/>
        <w:ind w:firstLine="420"/>
        <w:rPr>
          <w:rFonts w:hAnsi="宋体"/>
          <w:color w:val="auto"/>
          <w:highlight w:val="none"/>
        </w:rPr>
      </w:pPr>
      <w:r>
        <w:rPr>
          <w:rFonts w:hint="eastAsia" w:hAnsi="宋体"/>
          <w:color w:val="auto"/>
          <w:highlight w:val="none"/>
        </w:rPr>
        <w:t>5.2.1服务商认为竞争性磋商文件、采购过程、中标或者成交结果使自己的权益受到损害的，可以在知道或者应知其权益受到损害之日起7个工作日内，以书面形式向采购人、采购代理机构提出质疑。服务商应在法定质疑期内一次性提出针对同一采购程序环节的质疑。</w:t>
      </w:r>
    </w:p>
    <w:p>
      <w:pPr>
        <w:pStyle w:val="10"/>
        <w:spacing w:line="380" w:lineRule="exact"/>
        <w:ind w:firstLine="420"/>
        <w:rPr>
          <w:rFonts w:hAnsi="宋体"/>
          <w:color w:val="auto"/>
          <w:highlight w:val="none"/>
        </w:rPr>
      </w:pPr>
      <w:r>
        <w:rPr>
          <w:rFonts w:hint="eastAsia" w:hAnsi="宋体"/>
          <w:color w:val="auto"/>
          <w:highlight w:val="none"/>
        </w:rPr>
        <w:t>5.2.2提出质疑的服务商（以下简称质疑服务商）应当是参与所质疑项目采购活动的服务商。潜在服务商已依法获取其可质疑的竞争性磋商文件的，可以对该文件提出质疑。对竞争性磋商文件提出质疑的，应当在获取竞争性磋商文件或者竞争性磋商文件公告期限届满之日起7个工作日内提出。</w:t>
      </w:r>
    </w:p>
    <w:p>
      <w:pPr>
        <w:pStyle w:val="10"/>
        <w:spacing w:line="380" w:lineRule="exact"/>
        <w:ind w:firstLine="420"/>
        <w:rPr>
          <w:rFonts w:hAnsi="宋体"/>
          <w:color w:val="auto"/>
          <w:highlight w:val="none"/>
        </w:rPr>
      </w:pPr>
      <w:r>
        <w:rPr>
          <w:rFonts w:hint="eastAsia" w:hAnsi="宋体"/>
          <w:color w:val="auto"/>
          <w:highlight w:val="none"/>
        </w:rPr>
        <w:t>5.2.3服务商提出质疑应当提交质疑函和必要的证明材料。质疑函应当包括下列内容：</w:t>
      </w:r>
    </w:p>
    <w:p>
      <w:pPr>
        <w:pStyle w:val="10"/>
        <w:spacing w:line="380" w:lineRule="exact"/>
        <w:ind w:firstLine="420"/>
        <w:rPr>
          <w:rFonts w:hAnsi="宋体"/>
          <w:color w:val="auto"/>
          <w:highlight w:val="none"/>
        </w:rPr>
      </w:pPr>
      <w:r>
        <w:rPr>
          <w:rFonts w:hint="eastAsia" w:hAnsi="宋体"/>
          <w:color w:val="auto"/>
          <w:highlight w:val="none"/>
        </w:rPr>
        <w:t>（1）服务商的姓名或者名称、地址、邮编、联系人及联系电话；</w:t>
      </w:r>
    </w:p>
    <w:p>
      <w:pPr>
        <w:pStyle w:val="10"/>
        <w:spacing w:line="380" w:lineRule="exact"/>
        <w:ind w:firstLine="420"/>
        <w:rPr>
          <w:rFonts w:hAnsi="宋体"/>
          <w:color w:val="auto"/>
          <w:highlight w:val="none"/>
        </w:rPr>
      </w:pPr>
      <w:r>
        <w:rPr>
          <w:rFonts w:hint="eastAsia" w:hAnsi="宋体"/>
          <w:color w:val="auto"/>
          <w:highlight w:val="none"/>
        </w:rPr>
        <w:t>（2）质疑项目的名称、编号；</w:t>
      </w:r>
    </w:p>
    <w:p>
      <w:pPr>
        <w:pStyle w:val="10"/>
        <w:spacing w:line="380" w:lineRule="exact"/>
        <w:ind w:firstLine="420"/>
        <w:rPr>
          <w:rFonts w:hAnsi="宋体"/>
          <w:color w:val="auto"/>
          <w:highlight w:val="none"/>
        </w:rPr>
      </w:pPr>
      <w:r>
        <w:rPr>
          <w:rFonts w:hint="eastAsia" w:hAnsi="宋体"/>
          <w:color w:val="auto"/>
          <w:highlight w:val="none"/>
        </w:rPr>
        <w:t>（3）具体、明确的质疑事项和与质疑事项相关的请求；</w:t>
      </w:r>
    </w:p>
    <w:p>
      <w:pPr>
        <w:pStyle w:val="10"/>
        <w:spacing w:line="380" w:lineRule="exact"/>
        <w:ind w:firstLine="420"/>
        <w:rPr>
          <w:rFonts w:hAnsi="宋体"/>
          <w:color w:val="auto"/>
          <w:highlight w:val="none"/>
        </w:rPr>
      </w:pPr>
      <w:r>
        <w:rPr>
          <w:rFonts w:hint="eastAsia" w:hAnsi="宋体"/>
          <w:color w:val="auto"/>
          <w:highlight w:val="none"/>
        </w:rPr>
        <w:t>（4）事实依据；</w:t>
      </w:r>
    </w:p>
    <w:p>
      <w:pPr>
        <w:pStyle w:val="10"/>
        <w:spacing w:line="380" w:lineRule="exact"/>
        <w:ind w:firstLine="420"/>
        <w:rPr>
          <w:rFonts w:hAnsi="宋体"/>
          <w:color w:val="auto"/>
          <w:highlight w:val="none"/>
        </w:rPr>
      </w:pPr>
      <w:r>
        <w:rPr>
          <w:rFonts w:hint="eastAsia" w:hAnsi="宋体"/>
          <w:color w:val="auto"/>
          <w:highlight w:val="none"/>
        </w:rPr>
        <w:t>（5）必要的法律依据；</w:t>
      </w:r>
    </w:p>
    <w:p>
      <w:pPr>
        <w:pStyle w:val="10"/>
        <w:spacing w:line="380" w:lineRule="exact"/>
        <w:ind w:firstLine="420"/>
        <w:rPr>
          <w:rFonts w:hAnsi="宋体"/>
          <w:color w:val="auto"/>
          <w:highlight w:val="none"/>
        </w:rPr>
      </w:pPr>
      <w:r>
        <w:rPr>
          <w:rFonts w:hint="eastAsia" w:hAnsi="宋体"/>
          <w:color w:val="auto"/>
          <w:highlight w:val="none"/>
        </w:rPr>
        <w:t>（6）提出质疑的日期。</w:t>
      </w:r>
    </w:p>
    <w:p>
      <w:pPr>
        <w:pStyle w:val="10"/>
        <w:spacing w:line="380" w:lineRule="exact"/>
        <w:ind w:firstLine="420"/>
        <w:rPr>
          <w:rFonts w:hAnsi="宋体"/>
          <w:color w:val="auto"/>
          <w:highlight w:val="none"/>
        </w:rPr>
      </w:pPr>
      <w:r>
        <w:rPr>
          <w:rFonts w:hint="eastAsia" w:hAnsi="宋体"/>
          <w:color w:val="auto"/>
          <w:highlight w:val="none"/>
        </w:rPr>
        <w:t>服务商为自然人的，应当由本人签字；服务商为法人或者其他组织的，应当由法定代表人、主要负责人，或者其授权代表签字和盖章，并加盖公章。</w:t>
      </w:r>
    </w:p>
    <w:p>
      <w:pPr>
        <w:pStyle w:val="10"/>
        <w:spacing w:line="380" w:lineRule="exact"/>
        <w:ind w:firstLine="420"/>
        <w:rPr>
          <w:rFonts w:hAnsi="宋体"/>
          <w:color w:val="auto"/>
          <w:highlight w:val="none"/>
        </w:rPr>
      </w:pPr>
      <w:r>
        <w:rPr>
          <w:rFonts w:hint="eastAsia" w:hAnsi="宋体"/>
          <w:color w:val="auto"/>
          <w:highlight w:val="none"/>
        </w:rPr>
        <w:t>5.2.4服务商可以委托代理人进行质疑。其授权委托书应当载明代理人的姓名或者名称、代理事项、具体权限、期限和相关事项。代理人提出质疑，应当提交服务商签署的授权委托书。</w:t>
      </w:r>
    </w:p>
    <w:p>
      <w:pPr>
        <w:pStyle w:val="10"/>
        <w:spacing w:line="380" w:lineRule="exact"/>
        <w:ind w:firstLine="420"/>
        <w:rPr>
          <w:rFonts w:hAnsi="宋体"/>
          <w:color w:val="auto"/>
          <w:highlight w:val="none"/>
        </w:rPr>
      </w:pPr>
      <w:r>
        <w:rPr>
          <w:rFonts w:hint="eastAsia" w:hAnsi="宋体"/>
          <w:color w:val="auto"/>
          <w:highlight w:val="none"/>
        </w:rPr>
        <w:t>5.2.5质疑函应明确阐述竞争性磋商文件、采购过程、中标或者成交结果中使自己合法权益受到损害的实质性内容，提供相关事实、依据和证据及其来源或线索，便于有关单位调查、答复和处理。</w:t>
      </w:r>
    </w:p>
    <w:p>
      <w:pPr>
        <w:pStyle w:val="10"/>
        <w:spacing w:line="380" w:lineRule="exact"/>
        <w:ind w:firstLine="420"/>
        <w:rPr>
          <w:rFonts w:hAnsi="宋体"/>
          <w:color w:val="auto"/>
          <w:highlight w:val="none"/>
        </w:rPr>
      </w:pPr>
      <w:r>
        <w:rPr>
          <w:rFonts w:hint="eastAsia" w:hAnsi="宋体"/>
          <w:color w:val="auto"/>
          <w:highlight w:val="none"/>
        </w:rPr>
        <w:t>5.2.6本项目只接受纸质材料形式的质疑，不接受电子送达的质疑材料，即不接受以传真、电子邮件、移动通信等即时收悉的特定系统作为送达媒介的质疑材料。服务商应在法定时间向采购人或采购代理机构提出质疑，接收质疑函的联系部门、联系电话和通讯地址见竞争性磋商公告。不满足要求的质疑将不予受理。</w:t>
      </w:r>
    </w:p>
    <w:p>
      <w:pPr>
        <w:pStyle w:val="10"/>
        <w:spacing w:line="380" w:lineRule="exact"/>
        <w:ind w:firstLine="420"/>
        <w:rPr>
          <w:rFonts w:hAnsi="宋体"/>
          <w:color w:val="auto"/>
          <w:highlight w:val="none"/>
        </w:rPr>
      </w:pPr>
      <w:r>
        <w:rPr>
          <w:rFonts w:hint="eastAsia" w:hAnsi="宋体"/>
          <w:color w:val="auto"/>
          <w:highlight w:val="none"/>
        </w:rPr>
        <w:t>5.2.7采购人、采购代理机构在收到服务商的质疑函后7个工作日内作出答复，并以书面形式通知质疑服务商和其他有关服务商。但答复的内容不得涉及商业秘密。</w:t>
      </w:r>
    </w:p>
    <w:p>
      <w:pPr>
        <w:pStyle w:val="10"/>
        <w:spacing w:line="360" w:lineRule="exact"/>
        <w:ind w:firstLine="420"/>
        <w:rPr>
          <w:rFonts w:hAnsi="宋体"/>
          <w:color w:val="auto"/>
          <w:highlight w:val="none"/>
        </w:rPr>
      </w:pPr>
      <w:r>
        <w:rPr>
          <w:rFonts w:hint="eastAsia" w:hAnsi="宋体"/>
          <w:color w:val="auto"/>
          <w:highlight w:val="none"/>
        </w:rPr>
        <w:t>5.3投诉。质疑服务商对采购人、采购代理机构的答复不满意，或者采购人、采购代理机构未在规定时间内作出答复的，可以在答复期满后15个工作日内向见证部门提起投诉。</w:t>
      </w:r>
    </w:p>
    <w:p>
      <w:pPr>
        <w:pStyle w:val="10"/>
        <w:spacing w:line="360" w:lineRule="exact"/>
        <w:ind w:firstLine="420"/>
        <w:rPr>
          <w:rFonts w:hAnsi="宋体"/>
          <w:color w:val="auto"/>
          <w:highlight w:val="none"/>
        </w:rPr>
      </w:pPr>
    </w:p>
    <w:p>
      <w:pPr>
        <w:pStyle w:val="3"/>
        <w:spacing w:line="360" w:lineRule="exact"/>
        <w:jc w:val="center"/>
        <w:rPr>
          <w:rFonts w:ascii="宋体" w:hAnsi="宋体"/>
          <w:color w:val="auto"/>
          <w:highlight w:val="none"/>
        </w:rPr>
      </w:pPr>
      <w:bookmarkStart w:id="66" w:name="_Toc528924909"/>
      <w:bookmarkStart w:id="67" w:name="_Toc239839866"/>
      <w:bookmarkStart w:id="68" w:name="_Toc230578060"/>
      <w:bookmarkStart w:id="69" w:name="_Toc398287294"/>
      <w:bookmarkStart w:id="70" w:name="_Toc206525685"/>
      <w:bookmarkStart w:id="71" w:name="_Toc207770838"/>
      <w:bookmarkStart w:id="72" w:name="_Toc185702552"/>
      <w:r>
        <w:rPr>
          <w:rFonts w:hint="eastAsia" w:ascii="宋体" w:hAnsi="宋体"/>
          <w:color w:val="auto"/>
          <w:highlight w:val="none"/>
        </w:rPr>
        <w:t>二   竞争性磋商文件（简称磋商文件）</w:t>
      </w:r>
      <w:bookmarkEnd w:id="66"/>
      <w:bookmarkEnd w:id="67"/>
      <w:bookmarkEnd w:id="68"/>
      <w:bookmarkEnd w:id="69"/>
      <w:bookmarkEnd w:id="70"/>
      <w:bookmarkEnd w:id="71"/>
      <w:bookmarkEnd w:id="72"/>
    </w:p>
    <w:p>
      <w:pPr>
        <w:pStyle w:val="4"/>
        <w:spacing w:before="0" w:after="0" w:line="360" w:lineRule="exact"/>
        <w:rPr>
          <w:rFonts w:ascii="宋体" w:hAnsi="宋体" w:eastAsia="宋体"/>
          <w:color w:val="auto"/>
          <w:sz w:val="21"/>
          <w:szCs w:val="21"/>
          <w:highlight w:val="none"/>
        </w:rPr>
      </w:pPr>
      <w:bookmarkStart w:id="73" w:name="_Toc239839867"/>
      <w:bookmarkStart w:id="74" w:name="_Toc185702553"/>
      <w:bookmarkStart w:id="75" w:name="_Toc206525686"/>
      <w:bookmarkStart w:id="76" w:name="_Toc230578061"/>
      <w:bookmarkStart w:id="77" w:name="_Toc207770839"/>
      <w:bookmarkStart w:id="78" w:name="_Toc528924910"/>
      <w:bookmarkStart w:id="79" w:name="_Toc398287295"/>
      <w:r>
        <w:rPr>
          <w:rFonts w:hint="eastAsia" w:ascii="宋体" w:hAnsi="宋体" w:eastAsia="宋体"/>
          <w:color w:val="auto"/>
          <w:sz w:val="21"/>
          <w:szCs w:val="21"/>
          <w:highlight w:val="none"/>
        </w:rPr>
        <w:t>6、磋商文件的构成</w:t>
      </w:r>
      <w:bookmarkEnd w:id="73"/>
      <w:bookmarkEnd w:id="74"/>
      <w:bookmarkEnd w:id="75"/>
      <w:bookmarkEnd w:id="76"/>
      <w:bookmarkEnd w:id="77"/>
      <w:bookmarkEnd w:id="78"/>
      <w:bookmarkEnd w:id="79"/>
    </w:p>
    <w:p>
      <w:pPr>
        <w:pStyle w:val="10"/>
        <w:spacing w:line="360" w:lineRule="exact"/>
        <w:ind w:firstLine="420"/>
        <w:rPr>
          <w:rFonts w:hAnsi="宋体"/>
          <w:color w:val="auto"/>
          <w:highlight w:val="none"/>
        </w:rPr>
      </w:pPr>
      <w:r>
        <w:rPr>
          <w:rFonts w:hint="eastAsia" w:hAnsi="宋体"/>
          <w:color w:val="auto"/>
          <w:highlight w:val="none"/>
        </w:rPr>
        <w:t>6.1磋商文件包括：</w:t>
      </w:r>
    </w:p>
    <w:p>
      <w:pPr>
        <w:pStyle w:val="10"/>
        <w:spacing w:line="360" w:lineRule="exact"/>
        <w:ind w:firstLine="426"/>
        <w:rPr>
          <w:rFonts w:hAnsi="宋体"/>
          <w:color w:val="auto"/>
          <w:highlight w:val="none"/>
        </w:rPr>
      </w:pPr>
      <w:r>
        <w:rPr>
          <w:rFonts w:hint="eastAsia" w:hAnsi="宋体"/>
          <w:color w:val="auto"/>
          <w:highlight w:val="none"/>
        </w:rPr>
        <w:t>磋商公告见</w:t>
      </w:r>
      <w:r>
        <w:rPr>
          <w:rFonts w:hint="eastAsia" w:hAnsi="宋体"/>
          <w:bCs/>
          <w:color w:val="auto"/>
          <w:highlight w:val="none"/>
        </w:rPr>
        <w:t>中国政府采购网、广西壮族自治区政府采购网、广西防城港政府采购网、防城港市公共资源交易中心网</w:t>
      </w:r>
      <w:r>
        <w:rPr>
          <w:rFonts w:hint="eastAsia" w:hAnsi="宋体"/>
          <w:color w:val="auto"/>
          <w:highlight w:val="none"/>
        </w:rPr>
        <w:t>；</w:t>
      </w:r>
    </w:p>
    <w:p>
      <w:pPr>
        <w:pStyle w:val="10"/>
        <w:spacing w:line="360" w:lineRule="exact"/>
        <w:ind w:firstLine="426"/>
        <w:rPr>
          <w:rFonts w:hAnsi="宋体"/>
          <w:color w:val="auto"/>
          <w:highlight w:val="none"/>
        </w:rPr>
      </w:pPr>
      <w:r>
        <w:rPr>
          <w:rFonts w:hint="eastAsia" w:hAnsi="宋体"/>
          <w:color w:val="auto"/>
          <w:highlight w:val="none"/>
        </w:rPr>
        <w:t>第一章  服务商须知及前附表</w:t>
      </w:r>
    </w:p>
    <w:p>
      <w:pPr>
        <w:pStyle w:val="10"/>
        <w:spacing w:line="360" w:lineRule="exact"/>
        <w:ind w:firstLine="420"/>
        <w:rPr>
          <w:rFonts w:hAnsi="宋体"/>
          <w:color w:val="auto"/>
          <w:highlight w:val="none"/>
        </w:rPr>
      </w:pPr>
      <w:r>
        <w:rPr>
          <w:rFonts w:hint="eastAsia" w:hAnsi="宋体"/>
          <w:color w:val="auto"/>
          <w:highlight w:val="none"/>
        </w:rPr>
        <w:t>第二章  项目服务内容及要求</w:t>
      </w:r>
    </w:p>
    <w:p>
      <w:pPr>
        <w:pStyle w:val="10"/>
        <w:spacing w:line="360" w:lineRule="exact"/>
        <w:ind w:firstLine="420"/>
        <w:rPr>
          <w:rFonts w:hAnsi="宋体"/>
          <w:color w:val="auto"/>
          <w:highlight w:val="none"/>
        </w:rPr>
      </w:pPr>
      <w:r>
        <w:rPr>
          <w:rFonts w:hint="eastAsia" w:hAnsi="宋体"/>
          <w:color w:val="auto"/>
          <w:highlight w:val="none"/>
        </w:rPr>
        <w:t>第三章  合同书及合同基本条款（格式）</w:t>
      </w:r>
    </w:p>
    <w:p>
      <w:pPr>
        <w:pStyle w:val="10"/>
        <w:spacing w:line="360" w:lineRule="exact"/>
        <w:ind w:firstLine="420"/>
        <w:rPr>
          <w:rFonts w:hAnsi="宋体"/>
          <w:color w:val="auto"/>
          <w:highlight w:val="none"/>
        </w:rPr>
      </w:pPr>
      <w:r>
        <w:rPr>
          <w:rFonts w:hint="eastAsia" w:hAnsi="宋体"/>
          <w:color w:val="auto"/>
          <w:highlight w:val="none"/>
        </w:rPr>
        <w:t>第四章  评标方法</w:t>
      </w:r>
    </w:p>
    <w:p>
      <w:pPr>
        <w:pStyle w:val="10"/>
        <w:spacing w:line="360" w:lineRule="exact"/>
        <w:ind w:firstLine="420"/>
        <w:rPr>
          <w:rFonts w:hAnsi="宋体"/>
          <w:color w:val="auto"/>
          <w:highlight w:val="none"/>
        </w:rPr>
      </w:pPr>
      <w:r>
        <w:rPr>
          <w:rFonts w:hint="eastAsia" w:hAnsi="宋体"/>
          <w:color w:val="auto"/>
          <w:highlight w:val="none"/>
        </w:rPr>
        <w:t>第五章  响应文件（格式）</w:t>
      </w:r>
    </w:p>
    <w:p>
      <w:pPr>
        <w:pStyle w:val="10"/>
        <w:spacing w:line="360" w:lineRule="exact"/>
        <w:ind w:firstLine="420"/>
        <w:rPr>
          <w:rFonts w:hAnsi="宋体"/>
          <w:color w:val="auto"/>
          <w:highlight w:val="none"/>
        </w:rPr>
      </w:pPr>
      <w:r>
        <w:rPr>
          <w:rFonts w:hint="eastAsia" w:hAnsi="宋体"/>
          <w:color w:val="auto"/>
          <w:highlight w:val="none"/>
        </w:rPr>
        <w:t>第六章  附件</w:t>
      </w:r>
    </w:p>
    <w:p>
      <w:pPr>
        <w:pStyle w:val="4"/>
        <w:spacing w:before="0" w:after="0" w:line="360" w:lineRule="exact"/>
        <w:rPr>
          <w:rFonts w:ascii="宋体" w:hAnsi="宋体" w:eastAsia="宋体"/>
          <w:color w:val="auto"/>
          <w:sz w:val="21"/>
          <w:szCs w:val="21"/>
          <w:highlight w:val="none"/>
        </w:rPr>
      </w:pPr>
      <w:bookmarkStart w:id="80" w:name="_Toc230578062"/>
      <w:bookmarkStart w:id="81" w:name="_Toc206525687"/>
      <w:bookmarkStart w:id="82" w:name="_Toc239839868"/>
      <w:bookmarkStart w:id="83" w:name="_Toc528924911"/>
      <w:bookmarkStart w:id="84" w:name="_Toc398287296"/>
      <w:bookmarkStart w:id="85" w:name="_Toc207770840"/>
      <w:bookmarkStart w:id="86" w:name="_Toc185702554"/>
      <w:r>
        <w:rPr>
          <w:rFonts w:hint="eastAsia" w:ascii="宋体" w:hAnsi="宋体" w:eastAsia="宋体"/>
          <w:color w:val="auto"/>
          <w:sz w:val="21"/>
          <w:szCs w:val="21"/>
          <w:highlight w:val="none"/>
        </w:rPr>
        <w:t>7、磋商文件的澄清和修改</w:t>
      </w:r>
      <w:bookmarkEnd w:id="80"/>
      <w:bookmarkEnd w:id="81"/>
      <w:bookmarkEnd w:id="82"/>
      <w:bookmarkEnd w:id="83"/>
      <w:bookmarkEnd w:id="84"/>
      <w:bookmarkEnd w:id="85"/>
      <w:bookmarkEnd w:id="86"/>
    </w:p>
    <w:p>
      <w:pPr>
        <w:pStyle w:val="10"/>
        <w:spacing w:line="360" w:lineRule="exact"/>
        <w:ind w:firstLine="420"/>
        <w:rPr>
          <w:rFonts w:hAnsi="宋体"/>
          <w:color w:val="auto"/>
          <w:highlight w:val="none"/>
        </w:rPr>
      </w:pPr>
      <w:bookmarkStart w:id="87" w:name="_Toc230578063"/>
      <w:bookmarkStart w:id="88" w:name="_Toc206525688"/>
      <w:bookmarkStart w:id="89" w:name="_Toc239839869"/>
      <w:bookmarkStart w:id="90" w:name="_Toc398287297"/>
      <w:bookmarkStart w:id="91" w:name="_Toc207770841"/>
      <w:bookmarkStart w:id="92" w:name="_Toc185702555"/>
      <w:r>
        <w:rPr>
          <w:rFonts w:hint="eastAsia" w:hAnsi="宋体"/>
          <w:color w:val="auto"/>
          <w:highlight w:val="none"/>
        </w:rPr>
        <w:t>7.1服务商应认真查阅磋商文件中的内容和服务要求，如发现内容有误的，服务商必须在磋商截止日期三个工作日前要求澄清。否则，由此产生的后果由服务商负责。</w:t>
      </w:r>
    </w:p>
    <w:p>
      <w:pPr>
        <w:pStyle w:val="10"/>
        <w:spacing w:line="360" w:lineRule="exact"/>
        <w:ind w:firstLine="420"/>
        <w:rPr>
          <w:rFonts w:hAnsi="宋体"/>
          <w:color w:val="auto"/>
          <w:highlight w:val="none"/>
        </w:rPr>
      </w:pPr>
      <w:r>
        <w:rPr>
          <w:rFonts w:hint="eastAsia" w:hAnsi="宋体"/>
          <w:color w:val="auto"/>
          <w:highlight w:val="none"/>
        </w:rPr>
        <w:t>7.2任何要求澄清文件的服务商，均应在磋商截止日期五日前的正常工作时间以书面形式（内容包括</w:t>
      </w:r>
      <w:r>
        <w:rPr>
          <w:rFonts w:hint="eastAsia" w:hAnsi="宋体"/>
          <w:color w:val="auto"/>
          <w:szCs w:val="21"/>
          <w:highlight w:val="none"/>
        </w:rPr>
        <w:t>项目名称及编号、澄清内容、要求澄清的单位名称或姓名、地址、联系电话等，</w:t>
      </w:r>
      <w:r>
        <w:rPr>
          <w:rFonts w:hint="eastAsia" w:hAnsi="宋体"/>
          <w:color w:val="auto"/>
          <w:highlight w:val="none"/>
        </w:rPr>
        <w:t>并加盖公章，法定代表人签字</w:t>
      </w:r>
      <w:r>
        <w:rPr>
          <w:rFonts w:hint="eastAsia" w:hAnsi="宋体"/>
          <w:color w:val="auto"/>
          <w:szCs w:val="21"/>
          <w:highlight w:val="none"/>
        </w:rPr>
        <w:t>）</w:t>
      </w:r>
      <w:r>
        <w:rPr>
          <w:rFonts w:hint="eastAsia" w:hAnsi="宋体"/>
          <w:color w:val="auto"/>
          <w:highlight w:val="none"/>
        </w:rPr>
        <w:t>通知采购代理机构，否则，采购代理机构将不予受理，同时认定其他要求澄清的方式为无效。采购代理机构将以书面形式予以答复。</w:t>
      </w:r>
    </w:p>
    <w:p>
      <w:pPr>
        <w:pStyle w:val="10"/>
        <w:spacing w:line="360" w:lineRule="exact"/>
        <w:ind w:firstLine="420"/>
        <w:rPr>
          <w:rFonts w:hAnsi="宋体"/>
          <w:color w:val="auto"/>
          <w:highlight w:val="none"/>
        </w:rPr>
      </w:pPr>
      <w:r>
        <w:rPr>
          <w:rFonts w:hint="eastAsia" w:hAnsi="宋体"/>
          <w:color w:val="auto"/>
          <w:highlight w:val="none"/>
        </w:rPr>
        <w:t>7.3采购代理机构对已发出的磋商文件进行必要澄清或修改的，在磋商文件要求提交响应文件截止时间五日前，在中国政府采购网、广西壮族自治区政府采购网、防城防城港市政府采购网、防城港市公共资源交易中心网上发布更正公告。该澄清或修改的内容为磋商文件的组成部分并对其具有约束力。</w:t>
      </w:r>
    </w:p>
    <w:p>
      <w:pPr>
        <w:pStyle w:val="10"/>
        <w:spacing w:line="360" w:lineRule="exact"/>
        <w:ind w:firstLine="420"/>
        <w:rPr>
          <w:rFonts w:hAnsi="宋体"/>
          <w:color w:val="auto"/>
          <w:highlight w:val="none"/>
        </w:rPr>
      </w:pPr>
      <w:r>
        <w:rPr>
          <w:rFonts w:hint="eastAsia" w:hAnsi="宋体"/>
          <w:color w:val="auto"/>
          <w:highlight w:val="none"/>
        </w:rPr>
        <w:t>7</w:t>
      </w:r>
      <w:r>
        <w:rPr>
          <w:rFonts w:hAnsi="宋体"/>
          <w:color w:val="auto"/>
          <w:highlight w:val="none"/>
        </w:rPr>
        <w:t>.</w:t>
      </w:r>
      <w:r>
        <w:rPr>
          <w:rFonts w:hint="eastAsia" w:hAnsi="宋体"/>
          <w:color w:val="auto"/>
          <w:highlight w:val="none"/>
        </w:rPr>
        <w:t>4采购代理机构可视具体情况，延长磋商截止时间和开标时间。采购代理机构至少在磋商文件要求提交响应文件的截止时间三日前，将变更时间书面通知所有磋商文件收受人，并在中国政府采购网、广西壮族自治区政府采购网、防城港市政府采购网、防城港市公共资源交易中心网上发布变更公告。</w:t>
      </w:r>
    </w:p>
    <w:p>
      <w:pPr>
        <w:pStyle w:val="10"/>
        <w:spacing w:line="360" w:lineRule="exact"/>
        <w:ind w:firstLine="420"/>
        <w:rPr>
          <w:rFonts w:hAnsi="宋体"/>
          <w:color w:val="auto"/>
          <w:highlight w:val="none"/>
        </w:rPr>
      </w:pPr>
      <w:r>
        <w:rPr>
          <w:rFonts w:hint="eastAsia" w:hAnsi="宋体"/>
          <w:color w:val="auto"/>
          <w:highlight w:val="none"/>
        </w:rPr>
        <w:t>7.5与本项目磋商文件相关的更改通知（或补遗通知等）书面文件，服务商自接到本采购代理机构通知自行网上查询（或前来领取）之日起，即视为服务商已收到。如有需要，可要求服务商书面确认收悉。</w:t>
      </w:r>
    </w:p>
    <w:p>
      <w:pPr>
        <w:pStyle w:val="3"/>
        <w:spacing w:line="360" w:lineRule="exact"/>
        <w:jc w:val="center"/>
        <w:rPr>
          <w:rFonts w:ascii="宋体" w:hAnsi="宋体"/>
          <w:color w:val="auto"/>
          <w:highlight w:val="none"/>
        </w:rPr>
      </w:pPr>
      <w:bookmarkStart w:id="93" w:name="_Toc528924912"/>
      <w:r>
        <w:rPr>
          <w:rFonts w:hint="eastAsia" w:ascii="宋体" w:hAnsi="宋体"/>
          <w:color w:val="auto"/>
          <w:highlight w:val="none"/>
        </w:rPr>
        <w:t>三   响应文件的编制</w:t>
      </w:r>
      <w:bookmarkEnd w:id="87"/>
      <w:bookmarkEnd w:id="88"/>
      <w:bookmarkEnd w:id="89"/>
      <w:bookmarkEnd w:id="90"/>
      <w:bookmarkEnd w:id="91"/>
      <w:bookmarkEnd w:id="92"/>
      <w:bookmarkEnd w:id="93"/>
    </w:p>
    <w:p>
      <w:pPr>
        <w:pStyle w:val="4"/>
        <w:spacing w:before="0" w:after="0" w:line="360" w:lineRule="auto"/>
        <w:rPr>
          <w:rFonts w:ascii="宋体" w:hAnsi="宋体" w:eastAsia="宋体"/>
          <w:color w:val="auto"/>
          <w:sz w:val="21"/>
          <w:szCs w:val="21"/>
          <w:highlight w:val="none"/>
        </w:rPr>
      </w:pPr>
      <w:bookmarkStart w:id="94" w:name="_Toc239839870"/>
      <w:bookmarkStart w:id="95" w:name="_Toc206525689"/>
      <w:bookmarkStart w:id="96" w:name="_Toc398287298"/>
      <w:bookmarkStart w:id="97" w:name="_Toc185702556"/>
      <w:bookmarkStart w:id="98" w:name="_Toc207770842"/>
      <w:bookmarkStart w:id="99" w:name="_Toc528924913"/>
      <w:bookmarkStart w:id="100" w:name="_Toc230578064"/>
      <w:r>
        <w:rPr>
          <w:rFonts w:hint="eastAsia" w:ascii="宋体" w:hAnsi="宋体" w:eastAsia="宋体"/>
          <w:color w:val="auto"/>
          <w:sz w:val="21"/>
          <w:szCs w:val="21"/>
          <w:highlight w:val="none"/>
        </w:rPr>
        <w:t>8、响应文件编写的注意事项</w:t>
      </w:r>
      <w:bookmarkEnd w:id="94"/>
      <w:bookmarkEnd w:id="95"/>
      <w:bookmarkEnd w:id="96"/>
      <w:bookmarkEnd w:id="97"/>
      <w:bookmarkEnd w:id="98"/>
      <w:bookmarkEnd w:id="99"/>
      <w:bookmarkEnd w:id="100"/>
    </w:p>
    <w:p>
      <w:pPr>
        <w:pStyle w:val="10"/>
        <w:spacing w:line="360" w:lineRule="auto"/>
        <w:ind w:firstLine="420"/>
        <w:rPr>
          <w:rFonts w:hAnsi="宋体"/>
          <w:color w:val="auto"/>
          <w:highlight w:val="none"/>
        </w:rPr>
      </w:pPr>
      <w:r>
        <w:rPr>
          <w:rFonts w:hint="eastAsia" w:hAnsi="宋体"/>
          <w:color w:val="auto"/>
          <w:highlight w:val="none"/>
        </w:rPr>
        <w:t>8.1服务商应仔细阅读磋商文件，按照按磋商文件的要求编制响应文件。如果没有按磋商文件要求提交响应文件，没有对磋商文件提出的实质性要求和条件作出响应，该磋商将被拒绝。</w:t>
      </w:r>
    </w:p>
    <w:p>
      <w:pPr>
        <w:pStyle w:val="10"/>
        <w:spacing w:line="360" w:lineRule="auto"/>
        <w:ind w:firstLine="420"/>
        <w:rPr>
          <w:rFonts w:hAnsi="宋体"/>
          <w:color w:val="auto"/>
          <w:spacing w:val="-2"/>
          <w:szCs w:val="21"/>
          <w:highlight w:val="none"/>
        </w:rPr>
      </w:pPr>
      <w:r>
        <w:rPr>
          <w:rFonts w:hint="eastAsia" w:hAnsi="宋体"/>
          <w:color w:val="auto"/>
          <w:spacing w:val="-2"/>
          <w:szCs w:val="21"/>
          <w:highlight w:val="none"/>
        </w:rPr>
        <w:t>8.2对磋商文件提出的实质性要求和条件作出响应是指服务商必须对磋商文件中涉及磋商项目的价格、技术要求、数量、售后服务及其它要求、合同主要条款等内容作出满足或者优于原要求和条件的承诺。</w:t>
      </w:r>
    </w:p>
    <w:p>
      <w:pPr>
        <w:pStyle w:val="4"/>
        <w:spacing w:before="0" w:after="0" w:line="360" w:lineRule="auto"/>
        <w:rPr>
          <w:rFonts w:ascii="宋体" w:hAnsi="宋体" w:eastAsia="宋体"/>
          <w:color w:val="auto"/>
          <w:sz w:val="21"/>
          <w:szCs w:val="21"/>
          <w:highlight w:val="none"/>
        </w:rPr>
      </w:pPr>
      <w:bookmarkStart w:id="101" w:name="_Toc185702557"/>
      <w:bookmarkStart w:id="102" w:name="_Toc230578065"/>
      <w:bookmarkStart w:id="103" w:name="_Toc207770843"/>
      <w:bookmarkStart w:id="104" w:name="_Toc398287299"/>
      <w:bookmarkStart w:id="105" w:name="_Toc206525690"/>
      <w:bookmarkStart w:id="106" w:name="_Toc528924914"/>
      <w:bookmarkStart w:id="107" w:name="_Toc239839871"/>
      <w:r>
        <w:rPr>
          <w:rFonts w:hint="eastAsia" w:ascii="宋体" w:hAnsi="宋体" w:eastAsia="宋体"/>
          <w:color w:val="auto"/>
          <w:sz w:val="21"/>
          <w:szCs w:val="21"/>
          <w:highlight w:val="none"/>
        </w:rPr>
        <w:t>9、响应文件的文字及计量单位</w:t>
      </w:r>
      <w:bookmarkEnd w:id="101"/>
      <w:bookmarkEnd w:id="102"/>
      <w:bookmarkEnd w:id="103"/>
      <w:bookmarkEnd w:id="104"/>
      <w:bookmarkEnd w:id="105"/>
      <w:bookmarkEnd w:id="106"/>
      <w:bookmarkEnd w:id="107"/>
    </w:p>
    <w:p>
      <w:pPr>
        <w:pStyle w:val="10"/>
        <w:spacing w:line="360" w:lineRule="auto"/>
        <w:ind w:firstLine="435"/>
        <w:rPr>
          <w:rFonts w:hAnsi="宋体"/>
          <w:color w:val="auto"/>
          <w:spacing w:val="-4"/>
          <w:szCs w:val="21"/>
          <w:highlight w:val="none"/>
        </w:rPr>
      </w:pPr>
      <w:r>
        <w:rPr>
          <w:rFonts w:hint="eastAsia" w:hAnsi="宋体"/>
          <w:color w:val="auto"/>
          <w:spacing w:val="-4"/>
          <w:szCs w:val="21"/>
          <w:highlight w:val="none"/>
        </w:rPr>
        <w:t>9.1服务商的响应文件以及服务商与采购代理机构的所有来往的函件统一使用中文（另有规定的除外）。</w:t>
      </w:r>
    </w:p>
    <w:p>
      <w:pPr>
        <w:pStyle w:val="10"/>
        <w:spacing w:line="360" w:lineRule="auto"/>
        <w:ind w:firstLine="435"/>
        <w:rPr>
          <w:rFonts w:hAnsi="宋体"/>
          <w:color w:val="auto"/>
          <w:highlight w:val="none"/>
        </w:rPr>
      </w:pPr>
      <w:r>
        <w:rPr>
          <w:rFonts w:hint="eastAsia" w:hAnsi="宋体"/>
          <w:color w:val="auto"/>
          <w:highlight w:val="none"/>
        </w:rPr>
        <w:t>9.2响应文件使用的计量单位除磋商文件中有特殊规定外，一律使用法定计量单位。</w:t>
      </w:r>
    </w:p>
    <w:p>
      <w:pPr>
        <w:pStyle w:val="4"/>
        <w:spacing w:before="0" w:after="0" w:line="360" w:lineRule="auto"/>
        <w:rPr>
          <w:rFonts w:ascii="宋体" w:hAnsi="宋体" w:eastAsia="宋体"/>
          <w:color w:val="auto"/>
          <w:sz w:val="21"/>
          <w:szCs w:val="21"/>
          <w:highlight w:val="none"/>
        </w:rPr>
      </w:pPr>
      <w:bookmarkStart w:id="108" w:name="_Toc230578066"/>
      <w:bookmarkStart w:id="109" w:name="_Toc206525691"/>
      <w:bookmarkStart w:id="110" w:name="_Toc185702558"/>
      <w:bookmarkStart w:id="111" w:name="_Toc207770844"/>
      <w:bookmarkStart w:id="112" w:name="_Toc528924915"/>
      <w:bookmarkStart w:id="113" w:name="_Toc398287300"/>
      <w:bookmarkStart w:id="114" w:name="_Toc239839872"/>
      <w:r>
        <w:rPr>
          <w:rFonts w:hint="eastAsia" w:ascii="宋体" w:hAnsi="宋体" w:eastAsia="宋体"/>
          <w:color w:val="auto"/>
          <w:sz w:val="21"/>
          <w:szCs w:val="21"/>
          <w:highlight w:val="none"/>
        </w:rPr>
        <w:t>10、响应文件的构成</w:t>
      </w:r>
      <w:bookmarkEnd w:id="108"/>
      <w:bookmarkEnd w:id="109"/>
      <w:bookmarkEnd w:id="110"/>
      <w:bookmarkEnd w:id="111"/>
      <w:r>
        <w:rPr>
          <w:rFonts w:hint="eastAsia" w:ascii="宋体" w:hAnsi="宋体" w:eastAsia="宋体"/>
          <w:color w:val="auto"/>
          <w:sz w:val="21"/>
          <w:szCs w:val="21"/>
          <w:highlight w:val="none"/>
        </w:rPr>
        <w:t>及装订要求</w:t>
      </w:r>
      <w:bookmarkEnd w:id="112"/>
      <w:bookmarkEnd w:id="113"/>
      <w:bookmarkEnd w:id="114"/>
    </w:p>
    <w:p>
      <w:pPr>
        <w:pStyle w:val="10"/>
        <w:spacing w:line="360" w:lineRule="auto"/>
        <w:ind w:firstLine="420"/>
        <w:rPr>
          <w:rFonts w:hAnsi="宋体"/>
          <w:color w:val="auto"/>
          <w:highlight w:val="none"/>
        </w:rPr>
      </w:pPr>
      <w:r>
        <w:rPr>
          <w:rFonts w:hint="eastAsia" w:hAnsi="宋体"/>
          <w:color w:val="auto"/>
          <w:highlight w:val="none"/>
        </w:rPr>
        <w:t>10.1服务商编写的且在响应文件递交截止时间前递交的响应文件应包括下列内容，</w:t>
      </w:r>
      <w:r>
        <w:rPr>
          <w:rFonts w:hint="eastAsia" w:hAnsi="宋体"/>
          <w:color w:val="auto"/>
          <w:szCs w:val="21"/>
          <w:highlight w:val="none"/>
        </w:rPr>
        <w:t>以下所有文件必须加盖服务商公章</w:t>
      </w:r>
      <w:r>
        <w:rPr>
          <w:rFonts w:hint="eastAsia" w:hAnsi="宋体"/>
          <w:color w:val="auto"/>
          <w:highlight w:val="none"/>
        </w:rPr>
        <w:t>：</w:t>
      </w:r>
    </w:p>
    <w:p>
      <w:pPr>
        <w:spacing w:line="360" w:lineRule="auto"/>
        <w:ind w:left="400"/>
        <w:rPr>
          <w:rFonts w:ascii="宋体" w:hAnsi="宋体"/>
          <w:b/>
          <w:color w:val="auto"/>
          <w:highlight w:val="none"/>
        </w:rPr>
      </w:pPr>
      <w:r>
        <w:rPr>
          <w:rFonts w:ascii="宋体" w:hAnsi="宋体"/>
          <w:b/>
          <w:color w:val="auto"/>
          <w:highlight w:val="none"/>
        </w:rPr>
        <w:t>1.资信及商务文件：</w:t>
      </w:r>
    </w:p>
    <w:p>
      <w:pPr>
        <w:pStyle w:val="10"/>
        <w:spacing w:line="360" w:lineRule="auto"/>
        <w:ind w:firstLine="420"/>
        <w:rPr>
          <w:rFonts w:hAnsi="宋体"/>
          <w:color w:val="auto"/>
          <w:spacing w:val="-2"/>
          <w:szCs w:val="21"/>
          <w:highlight w:val="none"/>
        </w:rPr>
      </w:pPr>
      <w:r>
        <w:rPr>
          <w:rFonts w:hAnsi="宋体"/>
          <w:color w:val="auto"/>
          <w:spacing w:val="-2"/>
          <w:szCs w:val="21"/>
          <w:highlight w:val="none"/>
        </w:rPr>
        <w:t>（</w:t>
      </w:r>
      <w:r>
        <w:rPr>
          <w:rFonts w:hint="eastAsia" w:hAnsi="宋体"/>
          <w:color w:val="auto"/>
          <w:spacing w:val="-2"/>
          <w:szCs w:val="21"/>
          <w:highlight w:val="none"/>
        </w:rPr>
        <w:t>1</w:t>
      </w:r>
      <w:r>
        <w:rPr>
          <w:rFonts w:hAnsi="宋体"/>
          <w:color w:val="auto"/>
          <w:spacing w:val="-2"/>
          <w:szCs w:val="21"/>
          <w:highlight w:val="none"/>
        </w:rPr>
        <w:t>）</w:t>
      </w:r>
      <w:r>
        <w:rPr>
          <w:rFonts w:hint="eastAsia" w:hAnsi="宋体"/>
          <w:color w:val="auto"/>
          <w:spacing w:val="-2"/>
          <w:szCs w:val="21"/>
          <w:highlight w:val="none"/>
        </w:rPr>
        <w:t>磋商</w:t>
      </w:r>
      <w:r>
        <w:rPr>
          <w:rFonts w:hAnsi="宋体"/>
          <w:color w:val="auto"/>
          <w:spacing w:val="-2"/>
          <w:szCs w:val="21"/>
          <w:highlight w:val="none"/>
        </w:rPr>
        <w:t>声明书 (格式见第</w:t>
      </w:r>
      <w:r>
        <w:rPr>
          <w:rFonts w:hint="eastAsia" w:hAnsi="宋体"/>
          <w:color w:val="auto"/>
          <w:spacing w:val="-2"/>
          <w:szCs w:val="21"/>
          <w:highlight w:val="none"/>
        </w:rPr>
        <w:t>六</w:t>
      </w:r>
      <w:r>
        <w:rPr>
          <w:rFonts w:hAnsi="宋体"/>
          <w:color w:val="auto"/>
          <w:spacing w:val="-2"/>
          <w:szCs w:val="21"/>
          <w:highlight w:val="none"/>
        </w:rPr>
        <w:t>章)</w:t>
      </w:r>
      <w:r>
        <w:rPr>
          <w:rFonts w:hint="eastAsia" w:hAnsi="宋体"/>
          <w:color w:val="auto"/>
          <w:highlight w:val="none"/>
        </w:rPr>
        <w:t xml:space="preserve"> （必须提供）</w:t>
      </w:r>
      <w:r>
        <w:rPr>
          <w:rFonts w:hAnsi="宋体"/>
          <w:color w:val="auto"/>
          <w:spacing w:val="-2"/>
          <w:szCs w:val="21"/>
          <w:highlight w:val="none"/>
        </w:rPr>
        <w:t>；</w:t>
      </w:r>
    </w:p>
    <w:p>
      <w:pPr>
        <w:pStyle w:val="10"/>
        <w:spacing w:line="360" w:lineRule="auto"/>
        <w:ind w:firstLine="420"/>
        <w:rPr>
          <w:rFonts w:hAnsi="宋体"/>
          <w:color w:val="auto"/>
          <w:spacing w:val="-2"/>
          <w:szCs w:val="21"/>
          <w:highlight w:val="none"/>
        </w:rPr>
      </w:pPr>
      <w:r>
        <w:rPr>
          <w:rFonts w:hint="eastAsia" w:hAnsi="宋体"/>
          <w:color w:val="auto"/>
          <w:spacing w:val="-2"/>
          <w:szCs w:val="21"/>
          <w:highlight w:val="none"/>
        </w:rPr>
        <w:t>（2）法定代表人(负责人)身份证明书</w:t>
      </w:r>
      <w:r>
        <w:rPr>
          <w:rFonts w:hAnsi="宋体"/>
          <w:color w:val="auto"/>
          <w:spacing w:val="-2"/>
          <w:szCs w:val="21"/>
          <w:highlight w:val="none"/>
        </w:rPr>
        <w:t>和</w:t>
      </w:r>
      <w:r>
        <w:rPr>
          <w:rFonts w:hint="eastAsia" w:hAnsi="宋体"/>
          <w:color w:val="auto"/>
          <w:spacing w:val="-2"/>
          <w:szCs w:val="21"/>
          <w:highlight w:val="none"/>
        </w:rPr>
        <w:t>完整的</w:t>
      </w:r>
      <w:r>
        <w:rPr>
          <w:rFonts w:hAnsi="宋体"/>
          <w:color w:val="auto"/>
          <w:spacing w:val="-2"/>
          <w:szCs w:val="21"/>
          <w:highlight w:val="none"/>
        </w:rPr>
        <w:t>身份证复印件（格式见第</w:t>
      </w:r>
      <w:r>
        <w:rPr>
          <w:rFonts w:hint="eastAsia" w:hAnsi="宋体"/>
          <w:color w:val="auto"/>
          <w:spacing w:val="-2"/>
          <w:szCs w:val="21"/>
          <w:highlight w:val="none"/>
        </w:rPr>
        <w:t>六</w:t>
      </w:r>
      <w:r>
        <w:rPr>
          <w:rFonts w:hAnsi="宋体"/>
          <w:color w:val="auto"/>
          <w:spacing w:val="-2"/>
          <w:szCs w:val="21"/>
          <w:highlight w:val="none"/>
        </w:rPr>
        <w:t>章)</w:t>
      </w:r>
      <w:r>
        <w:rPr>
          <w:rFonts w:hint="eastAsia" w:hAnsi="宋体"/>
          <w:color w:val="auto"/>
          <w:spacing w:val="-2"/>
          <w:szCs w:val="21"/>
          <w:highlight w:val="none"/>
        </w:rPr>
        <w:t>（必须提供）；</w:t>
      </w:r>
    </w:p>
    <w:p>
      <w:pPr>
        <w:pStyle w:val="10"/>
        <w:spacing w:line="360" w:lineRule="auto"/>
        <w:ind w:firstLine="420"/>
        <w:rPr>
          <w:rFonts w:hAnsi="宋体"/>
          <w:color w:val="auto"/>
          <w:spacing w:val="-2"/>
          <w:szCs w:val="21"/>
          <w:highlight w:val="none"/>
        </w:rPr>
      </w:pPr>
      <w:r>
        <w:rPr>
          <w:rFonts w:hAnsi="宋体"/>
          <w:color w:val="auto"/>
          <w:spacing w:val="-2"/>
          <w:szCs w:val="21"/>
          <w:highlight w:val="none"/>
        </w:rPr>
        <w:t>（</w:t>
      </w:r>
      <w:r>
        <w:rPr>
          <w:rFonts w:hint="eastAsia" w:hAnsi="宋体"/>
          <w:color w:val="auto"/>
          <w:spacing w:val="-2"/>
          <w:szCs w:val="21"/>
          <w:highlight w:val="none"/>
        </w:rPr>
        <w:t>3</w:t>
      </w:r>
      <w:r>
        <w:rPr>
          <w:rFonts w:hAnsi="宋体"/>
          <w:color w:val="auto"/>
          <w:spacing w:val="-2"/>
          <w:szCs w:val="21"/>
          <w:highlight w:val="none"/>
        </w:rPr>
        <w:t>）法定代表人（或机构负责人）</w:t>
      </w:r>
      <w:r>
        <w:rPr>
          <w:rFonts w:hint="eastAsia" w:hAnsi="宋体"/>
          <w:color w:val="auto"/>
          <w:spacing w:val="-2"/>
          <w:szCs w:val="21"/>
          <w:highlight w:val="none"/>
        </w:rPr>
        <w:t>有效的</w:t>
      </w:r>
      <w:r>
        <w:rPr>
          <w:rFonts w:hAnsi="宋体"/>
          <w:color w:val="auto"/>
          <w:spacing w:val="-2"/>
          <w:szCs w:val="21"/>
          <w:highlight w:val="none"/>
        </w:rPr>
        <w:t>授权委托书和委托代理人</w:t>
      </w:r>
      <w:r>
        <w:rPr>
          <w:rFonts w:hint="eastAsia" w:hAnsi="宋体"/>
          <w:color w:val="auto"/>
          <w:spacing w:val="-2"/>
          <w:szCs w:val="21"/>
          <w:highlight w:val="none"/>
        </w:rPr>
        <w:t>完整的</w:t>
      </w:r>
      <w:r>
        <w:rPr>
          <w:rFonts w:hAnsi="宋体"/>
          <w:color w:val="auto"/>
          <w:spacing w:val="-2"/>
          <w:szCs w:val="21"/>
          <w:highlight w:val="none"/>
        </w:rPr>
        <w:t>身份证复印件（格式见第</w:t>
      </w:r>
      <w:r>
        <w:rPr>
          <w:rFonts w:hint="eastAsia" w:hAnsi="宋体"/>
          <w:color w:val="auto"/>
          <w:spacing w:val="-2"/>
          <w:szCs w:val="21"/>
          <w:highlight w:val="none"/>
        </w:rPr>
        <w:t>六</w:t>
      </w:r>
      <w:r>
        <w:rPr>
          <w:rFonts w:hAnsi="宋体"/>
          <w:color w:val="auto"/>
          <w:spacing w:val="-2"/>
          <w:szCs w:val="21"/>
          <w:highlight w:val="none"/>
        </w:rPr>
        <w:t>章)</w:t>
      </w:r>
      <w:r>
        <w:rPr>
          <w:rFonts w:hint="eastAsia" w:hAnsi="宋体"/>
          <w:color w:val="auto"/>
          <w:spacing w:val="-2"/>
          <w:szCs w:val="21"/>
          <w:highlight w:val="none"/>
        </w:rPr>
        <w:t>。</w:t>
      </w:r>
      <w:r>
        <w:rPr>
          <w:rFonts w:hAnsi="宋体"/>
          <w:color w:val="auto"/>
          <w:spacing w:val="-2"/>
          <w:szCs w:val="21"/>
          <w:highlight w:val="none"/>
        </w:rPr>
        <w:t>（委托代理时必须提供）；</w:t>
      </w:r>
    </w:p>
    <w:p>
      <w:pPr>
        <w:pStyle w:val="10"/>
        <w:spacing w:line="360" w:lineRule="auto"/>
        <w:ind w:firstLine="420"/>
        <w:rPr>
          <w:color w:val="auto"/>
          <w:highlight w:val="none"/>
        </w:rPr>
      </w:pPr>
      <w:r>
        <w:rPr>
          <w:rFonts w:hint="eastAsia"/>
          <w:color w:val="auto"/>
          <w:highlight w:val="none"/>
        </w:rPr>
        <w:t>（4）采购代理机构出具的购买竞争性磋商文件证明复印件</w:t>
      </w:r>
      <w:r>
        <w:rPr>
          <w:rFonts w:hint="eastAsia" w:hAnsi="宋体"/>
          <w:color w:val="auto"/>
          <w:spacing w:val="-2"/>
          <w:szCs w:val="21"/>
          <w:highlight w:val="none"/>
        </w:rPr>
        <w:t>；（必须提供）</w:t>
      </w:r>
    </w:p>
    <w:p>
      <w:pPr>
        <w:pStyle w:val="10"/>
        <w:spacing w:line="360" w:lineRule="auto"/>
        <w:ind w:firstLine="420"/>
        <w:rPr>
          <w:rFonts w:hAnsi="宋体"/>
          <w:color w:val="auto"/>
          <w:spacing w:val="-2"/>
          <w:szCs w:val="21"/>
          <w:highlight w:val="none"/>
        </w:rPr>
      </w:pPr>
      <w:r>
        <w:rPr>
          <w:rFonts w:hint="eastAsia" w:hAnsi="宋体"/>
          <w:color w:val="auto"/>
          <w:spacing w:val="-2"/>
          <w:szCs w:val="21"/>
          <w:highlight w:val="none"/>
        </w:rPr>
        <w:t>（5）营业执照副本复印件（必须提供）；</w:t>
      </w:r>
    </w:p>
    <w:p>
      <w:pPr>
        <w:pStyle w:val="10"/>
        <w:spacing w:line="360" w:lineRule="auto"/>
        <w:ind w:firstLine="420"/>
        <w:rPr>
          <w:rFonts w:hAnsi="宋体"/>
          <w:color w:val="auto"/>
          <w:spacing w:val="-2"/>
          <w:szCs w:val="21"/>
          <w:highlight w:val="none"/>
        </w:rPr>
      </w:pPr>
      <w:r>
        <w:rPr>
          <w:rFonts w:hint="eastAsia" w:hAnsi="宋体"/>
          <w:color w:val="auto"/>
          <w:spacing w:val="-2"/>
          <w:szCs w:val="21"/>
          <w:highlight w:val="none"/>
        </w:rPr>
        <w:t>（6）拟投入本项目实施人员一览表、实施人员的身份证复印件；（必须提供）</w:t>
      </w:r>
    </w:p>
    <w:p>
      <w:pPr>
        <w:pStyle w:val="10"/>
        <w:spacing w:line="360" w:lineRule="auto"/>
        <w:ind w:firstLine="420"/>
        <w:rPr>
          <w:rFonts w:hAnsi="宋体"/>
          <w:color w:val="auto"/>
          <w:spacing w:val="-2"/>
          <w:szCs w:val="21"/>
          <w:highlight w:val="none"/>
        </w:rPr>
      </w:pPr>
      <w:r>
        <w:rPr>
          <w:rFonts w:hint="eastAsia" w:hAnsi="宋体"/>
          <w:color w:val="auto"/>
          <w:spacing w:val="-2"/>
          <w:szCs w:val="21"/>
          <w:highlight w:val="none"/>
        </w:rPr>
        <w:t>（7）服务商近三年无重大违法记录声明函（必须提供）</w:t>
      </w:r>
    </w:p>
    <w:p>
      <w:pPr>
        <w:pStyle w:val="10"/>
        <w:spacing w:line="360" w:lineRule="auto"/>
        <w:ind w:firstLine="420"/>
        <w:rPr>
          <w:rFonts w:hAnsi="宋体"/>
          <w:color w:val="auto"/>
          <w:spacing w:val="-2"/>
          <w:szCs w:val="21"/>
          <w:highlight w:val="none"/>
        </w:rPr>
      </w:pPr>
      <w:r>
        <w:rPr>
          <w:rFonts w:hint="eastAsia" w:hAnsi="宋体"/>
          <w:color w:val="auto"/>
          <w:spacing w:val="-2"/>
          <w:szCs w:val="21"/>
          <w:highlight w:val="none"/>
        </w:rPr>
        <w:t>（8）服务商近半年任意3个月的依法缴纳税收或者依法减免缴纳税费的证明复印件（以纳税证明或免税证明为准；若为新成立的，请根据实际情况提供。）（必须提供）</w:t>
      </w:r>
    </w:p>
    <w:p>
      <w:pPr>
        <w:pStyle w:val="10"/>
        <w:spacing w:line="360" w:lineRule="auto"/>
        <w:ind w:firstLine="420"/>
        <w:rPr>
          <w:rFonts w:hAnsi="宋体"/>
          <w:color w:val="auto"/>
          <w:spacing w:val="-2"/>
          <w:szCs w:val="21"/>
          <w:highlight w:val="none"/>
        </w:rPr>
      </w:pPr>
      <w:r>
        <w:rPr>
          <w:rFonts w:hint="eastAsia" w:hAnsi="宋体"/>
          <w:color w:val="auto"/>
          <w:spacing w:val="-2"/>
          <w:szCs w:val="21"/>
          <w:highlight w:val="none"/>
        </w:rPr>
        <w:t>（9）服务商近半年任意3个月的依法缴纳社会保障资金或者依法免缴社会保障资金证明复印件（以参保证明复印件或免参保证明复印件为准；若为新成立的，请根据实际情况提供。）（必须提供）</w:t>
      </w:r>
    </w:p>
    <w:p>
      <w:pPr>
        <w:pStyle w:val="10"/>
        <w:spacing w:line="360" w:lineRule="auto"/>
        <w:ind w:firstLine="420"/>
        <w:rPr>
          <w:rFonts w:hAnsi="宋体"/>
          <w:color w:val="auto"/>
          <w:highlight w:val="none"/>
        </w:rPr>
      </w:pPr>
      <w:r>
        <w:rPr>
          <w:rFonts w:hint="eastAsia" w:hAnsi="宋体"/>
          <w:color w:val="auto"/>
          <w:spacing w:val="-2"/>
          <w:szCs w:val="21"/>
          <w:highlight w:val="none"/>
        </w:rPr>
        <w:t>（10）企业信用书面声明（附信用中国网、中国政府采购网查询结果）（必须提供）。</w:t>
      </w:r>
    </w:p>
    <w:p>
      <w:pPr>
        <w:pStyle w:val="10"/>
        <w:spacing w:line="360" w:lineRule="auto"/>
        <w:ind w:firstLine="420" w:firstLineChars="200"/>
        <w:rPr>
          <w:rFonts w:hAnsi="宋体"/>
          <w:color w:val="auto"/>
          <w:highlight w:val="none"/>
        </w:rPr>
      </w:pPr>
      <w:r>
        <w:rPr>
          <w:rFonts w:hAnsi="宋体"/>
          <w:color w:val="auto"/>
          <w:highlight w:val="none"/>
        </w:rPr>
        <w:t>2.技术文件</w:t>
      </w:r>
    </w:p>
    <w:p>
      <w:pPr>
        <w:spacing w:line="360" w:lineRule="exact"/>
        <w:ind w:left="400"/>
        <w:rPr>
          <w:rFonts w:ascii="宋体" w:hAnsi="宋体"/>
          <w:color w:val="auto"/>
          <w:highlight w:val="none"/>
        </w:rPr>
      </w:pPr>
      <w:r>
        <w:rPr>
          <w:rFonts w:ascii="宋体" w:hAnsi="宋体"/>
          <w:color w:val="auto"/>
          <w:highlight w:val="none"/>
        </w:rPr>
        <w:t>（1）</w:t>
      </w:r>
      <w:r>
        <w:rPr>
          <w:rFonts w:hint="eastAsia" w:ascii="宋体" w:hAnsi="宋体"/>
          <w:color w:val="auto"/>
          <w:szCs w:val="21"/>
          <w:highlight w:val="none"/>
        </w:rPr>
        <w:t>相关服务方案及服务承诺。（必须提供）</w:t>
      </w:r>
      <w:r>
        <w:rPr>
          <w:rFonts w:hint="eastAsia" w:ascii="宋体" w:hAnsi="宋体"/>
          <w:color w:val="auto"/>
          <w:highlight w:val="none"/>
        </w:rPr>
        <w:t>；</w:t>
      </w:r>
    </w:p>
    <w:p>
      <w:pPr>
        <w:spacing w:line="360" w:lineRule="exact"/>
        <w:ind w:left="420" w:right="5180"/>
        <w:rPr>
          <w:rFonts w:ascii="宋体" w:hAnsi="宋体"/>
          <w:color w:val="auto"/>
          <w:highlight w:val="none"/>
        </w:rPr>
      </w:pP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）技术响应表（必须提供）</w:t>
      </w:r>
      <w:r>
        <w:rPr>
          <w:rFonts w:hint="eastAsia" w:ascii="宋体" w:hAnsi="宋体"/>
          <w:color w:val="auto"/>
          <w:highlight w:val="none"/>
        </w:rPr>
        <w:t>；</w:t>
      </w:r>
    </w:p>
    <w:p>
      <w:pPr>
        <w:spacing w:line="360" w:lineRule="exact"/>
        <w:ind w:left="420"/>
        <w:rPr>
          <w:rFonts w:ascii="宋体" w:hAnsi="宋体"/>
          <w:color w:val="auto"/>
          <w:highlight w:val="none"/>
        </w:rPr>
      </w:pP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）竞争性磋商文件要求的其他文件。</w:t>
      </w:r>
    </w:p>
    <w:p>
      <w:pPr>
        <w:spacing w:line="360" w:lineRule="exact"/>
        <w:ind w:left="400"/>
        <w:rPr>
          <w:rFonts w:ascii="宋体" w:hAnsi="宋体"/>
          <w:b/>
          <w:color w:val="auto"/>
          <w:highlight w:val="none"/>
        </w:rPr>
      </w:pPr>
      <w:r>
        <w:rPr>
          <w:rFonts w:ascii="宋体" w:hAnsi="宋体"/>
          <w:b/>
          <w:color w:val="auto"/>
          <w:highlight w:val="none"/>
        </w:rPr>
        <w:t>3.报价文件：</w:t>
      </w:r>
    </w:p>
    <w:p>
      <w:pPr>
        <w:spacing w:line="360" w:lineRule="exact"/>
        <w:ind w:left="400"/>
        <w:rPr>
          <w:rFonts w:ascii="宋体" w:hAnsi="宋体"/>
          <w:color w:val="auto"/>
          <w:szCs w:val="21"/>
          <w:highlight w:val="none"/>
        </w:rPr>
      </w:pPr>
      <w:r>
        <w:rPr>
          <w:rFonts w:ascii="宋体" w:hAnsi="宋体"/>
          <w:color w:val="auto"/>
          <w:szCs w:val="21"/>
          <w:highlight w:val="none"/>
        </w:rPr>
        <w:t>（1）磋商函（格式见第六章</w:t>
      </w:r>
      <w:r>
        <w:rPr>
          <w:rFonts w:hint="eastAsia" w:ascii="宋体" w:hAnsi="宋体"/>
          <w:color w:val="auto"/>
          <w:szCs w:val="21"/>
          <w:highlight w:val="none"/>
        </w:rPr>
        <w:t>）（必须提供）</w:t>
      </w:r>
      <w:r>
        <w:rPr>
          <w:rFonts w:ascii="宋体" w:hAnsi="宋体"/>
          <w:color w:val="auto"/>
          <w:szCs w:val="21"/>
          <w:highlight w:val="none"/>
        </w:rPr>
        <w:t>；</w:t>
      </w:r>
    </w:p>
    <w:p>
      <w:pPr>
        <w:spacing w:line="360" w:lineRule="exact"/>
        <w:ind w:left="400"/>
        <w:rPr>
          <w:rFonts w:ascii="宋体" w:hAnsi="宋体"/>
          <w:color w:val="auto"/>
          <w:highlight w:val="none"/>
        </w:rPr>
      </w:pPr>
      <w:r>
        <w:rPr>
          <w:rFonts w:ascii="宋体" w:hAnsi="宋体"/>
          <w:color w:val="auto"/>
          <w:highlight w:val="none"/>
        </w:rPr>
        <w:t>（2）磋商报价明细表（格式见第六章）</w:t>
      </w:r>
      <w:r>
        <w:rPr>
          <w:rFonts w:hint="eastAsia" w:ascii="宋体" w:hAnsi="宋体"/>
          <w:color w:val="auto"/>
          <w:szCs w:val="21"/>
          <w:highlight w:val="none"/>
        </w:rPr>
        <w:t>（必须提供）</w:t>
      </w:r>
      <w:r>
        <w:rPr>
          <w:rFonts w:ascii="宋体" w:hAnsi="宋体"/>
          <w:color w:val="auto"/>
          <w:highlight w:val="none"/>
        </w:rPr>
        <w:t>；</w:t>
      </w:r>
    </w:p>
    <w:p>
      <w:pPr>
        <w:pStyle w:val="10"/>
        <w:spacing w:line="360" w:lineRule="exact"/>
        <w:ind w:firstLine="420"/>
        <w:rPr>
          <w:rFonts w:hAnsi="宋体"/>
          <w:color w:val="auto"/>
          <w:highlight w:val="none"/>
        </w:rPr>
      </w:pPr>
      <w:r>
        <w:rPr>
          <w:rFonts w:hAnsi="宋体"/>
          <w:color w:val="auto"/>
          <w:highlight w:val="none"/>
        </w:rPr>
        <w:t>（3）服务商针对报价需要说明的其他文件和说明（格式自拟）。</w:t>
      </w:r>
    </w:p>
    <w:p>
      <w:pPr>
        <w:pStyle w:val="4"/>
        <w:spacing w:before="0" w:after="0" w:line="360" w:lineRule="exact"/>
        <w:rPr>
          <w:rFonts w:ascii="宋体" w:hAnsi="宋体" w:eastAsia="宋体"/>
          <w:color w:val="auto"/>
          <w:sz w:val="21"/>
          <w:szCs w:val="21"/>
          <w:highlight w:val="none"/>
        </w:rPr>
      </w:pPr>
      <w:bookmarkStart w:id="115" w:name="_Toc207770845"/>
      <w:bookmarkStart w:id="116" w:name="_Toc239839873"/>
      <w:bookmarkStart w:id="117" w:name="_Toc230578067"/>
      <w:bookmarkStart w:id="118" w:name="_Toc398287301"/>
      <w:bookmarkStart w:id="119" w:name="_Toc206525692"/>
      <w:bookmarkStart w:id="120" w:name="_Toc528924916"/>
      <w:bookmarkStart w:id="121" w:name="_Toc185702559"/>
      <w:r>
        <w:rPr>
          <w:rFonts w:hint="eastAsia" w:ascii="宋体" w:hAnsi="宋体" w:eastAsia="宋体"/>
          <w:color w:val="auto"/>
          <w:sz w:val="21"/>
          <w:szCs w:val="21"/>
          <w:highlight w:val="none"/>
        </w:rPr>
        <w:t>11、响应文件格式</w:t>
      </w:r>
      <w:bookmarkEnd w:id="115"/>
      <w:bookmarkEnd w:id="116"/>
      <w:bookmarkEnd w:id="117"/>
      <w:bookmarkEnd w:id="118"/>
      <w:bookmarkEnd w:id="119"/>
      <w:bookmarkEnd w:id="120"/>
      <w:bookmarkEnd w:id="121"/>
    </w:p>
    <w:p>
      <w:pPr>
        <w:pStyle w:val="10"/>
        <w:spacing w:line="360" w:lineRule="exact"/>
        <w:ind w:firstLine="420"/>
        <w:rPr>
          <w:rFonts w:hAnsi="宋体"/>
          <w:bCs/>
          <w:color w:val="auto"/>
          <w:highlight w:val="none"/>
        </w:rPr>
      </w:pPr>
      <w:r>
        <w:rPr>
          <w:rFonts w:hAnsi="宋体"/>
          <w:bCs/>
          <w:color w:val="auto"/>
          <w:highlight w:val="none"/>
        </w:rPr>
        <w:t>9</w:t>
      </w:r>
      <w:r>
        <w:rPr>
          <w:rFonts w:hint="eastAsia" w:hAnsi="宋体"/>
          <w:bCs/>
          <w:color w:val="auto"/>
          <w:highlight w:val="none"/>
        </w:rPr>
        <w:t>.1服务商应按竞争性磋商文件第六章提供的文件格式详细完整地填写各项内容。</w:t>
      </w:r>
    </w:p>
    <w:p>
      <w:pPr>
        <w:pStyle w:val="10"/>
        <w:spacing w:line="360" w:lineRule="exact"/>
        <w:ind w:firstLine="420"/>
        <w:rPr>
          <w:rFonts w:hAnsi="宋体"/>
          <w:b/>
          <w:color w:val="auto"/>
          <w:highlight w:val="none"/>
        </w:rPr>
      </w:pPr>
      <w:r>
        <w:rPr>
          <w:rFonts w:hAnsi="宋体"/>
          <w:color w:val="auto"/>
          <w:highlight w:val="none"/>
        </w:rPr>
        <w:t>9</w:t>
      </w:r>
      <w:r>
        <w:rPr>
          <w:rFonts w:hint="eastAsia" w:hAnsi="宋体"/>
          <w:color w:val="auto"/>
          <w:highlight w:val="none"/>
        </w:rPr>
        <w:t>.2在磋商报价表中，服务商必须按格式文件完整填写，不能自行修改格式内容。</w:t>
      </w:r>
    </w:p>
    <w:p>
      <w:pPr>
        <w:pStyle w:val="4"/>
        <w:spacing w:before="0" w:after="0" w:line="360" w:lineRule="exact"/>
        <w:rPr>
          <w:rFonts w:ascii="宋体" w:hAnsi="宋体" w:eastAsia="宋体"/>
          <w:color w:val="auto"/>
          <w:sz w:val="21"/>
          <w:szCs w:val="21"/>
          <w:highlight w:val="none"/>
        </w:rPr>
      </w:pPr>
      <w:bookmarkStart w:id="122" w:name="_Toc185702560"/>
      <w:bookmarkStart w:id="123" w:name="_Toc206525693"/>
      <w:bookmarkStart w:id="124" w:name="_Toc528924917"/>
      <w:bookmarkStart w:id="125" w:name="_Toc239839874"/>
      <w:bookmarkStart w:id="126" w:name="_Toc398287302"/>
      <w:bookmarkStart w:id="127" w:name="_Toc207770846"/>
      <w:bookmarkStart w:id="128" w:name="_Toc230578068"/>
      <w:r>
        <w:rPr>
          <w:rFonts w:hint="eastAsia" w:ascii="宋体" w:hAnsi="宋体" w:eastAsia="宋体"/>
          <w:color w:val="auto"/>
          <w:sz w:val="21"/>
          <w:szCs w:val="21"/>
          <w:highlight w:val="none"/>
        </w:rPr>
        <w:t>12、磋商报价</w:t>
      </w:r>
      <w:bookmarkEnd w:id="122"/>
      <w:bookmarkEnd w:id="123"/>
      <w:bookmarkEnd w:id="124"/>
      <w:bookmarkEnd w:id="125"/>
      <w:bookmarkEnd w:id="126"/>
      <w:bookmarkEnd w:id="127"/>
      <w:bookmarkEnd w:id="128"/>
    </w:p>
    <w:p>
      <w:pPr>
        <w:pStyle w:val="10"/>
        <w:spacing w:line="360" w:lineRule="exact"/>
        <w:ind w:firstLine="420" w:firstLineChars="200"/>
        <w:rPr>
          <w:rFonts w:hAnsi="宋体"/>
          <w:color w:val="auto"/>
          <w:szCs w:val="21"/>
          <w:highlight w:val="none"/>
        </w:rPr>
      </w:pPr>
      <w:bookmarkStart w:id="129" w:name="_Toc206525694"/>
      <w:bookmarkStart w:id="130" w:name="_Toc398287303"/>
      <w:bookmarkStart w:id="131" w:name="_Toc185702561"/>
      <w:bookmarkStart w:id="132" w:name="_Toc207770847"/>
      <w:bookmarkStart w:id="133" w:name="_Toc230578069"/>
      <w:bookmarkStart w:id="134" w:name="_Toc239839875"/>
      <w:r>
        <w:rPr>
          <w:rFonts w:hint="eastAsia" w:hAnsi="宋体"/>
          <w:color w:val="auto"/>
          <w:highlight w:val="none"/>
        </w:rPr>
        <w:t>12.1磋商报价：</w:t>
      </w:r>
      <w:r>
        <w:rPr>
          <w:rFonts w:hint="eastAsia" w:hAnsi="宋体"/>
          <w:b/>
          <w:bCs/>
          <w:color w:val="auto"/>
          <w:highlight w:val="none"/>
        </w:rPr>
        <w:t>服务商必须就《项目服务要求》中的所有服务内容有可能发生的所有费用作唯一完整报价，否则将视为无效报价。</w:t>
      </w:r>
      <w:r>
        <w:rPr>
          <w:rFonts w:hint="eastAsia" w:hAnsi="宋体"/>
          <w:bCs/>
          <w:color w:val="auto"/>
          <w:highlight w:val="none"/>
        </w:rPr>
        <w:t>（本项目只允许递交一个方案的报价，不接受任何有选择性的报价。）</w:t>
      </w:r>
    </w:p>
    <w:p>
      <w:pPr>
        <w:pStyle w:val="10"/>
        <w:spacing w:line="360" w:lineRule="exact"/>
        <w:ind w:firstLine="420" w:firstLineChars="200"/>
        <w:rPr>
          <w:rFonts w:hAnsi="宋体"/>
          <w:bCs/>
          <w:color w:val="auto"/>
          <w:szCs w:val="21"/>
          <w:highlight w:val="none"/>
        </w:rPr>
      </w:pPr>
      <w:r>
        <w:rPr>
          <w:rFonts w:hint="eastAsia" w:hAnsi="宋体"/>
          <w:color w:val="auto"/>
          <w:highlight w:val="none"/>
        </w:rPr>
        <w:t>12.2</w:t>
      </w:r>
      <w:r>
        <w:rPr>
          <w:rFonts w:hint="eastAsia" w:hAnsi="宋体"/>
          <w:bCs/>
          <w:color w:val="auto"/>
          <w:szCs w:val="21"/>
          <w:highlight w:val="none"/>
        </w:rPr>
        <w:t>磋商报价</w:t>
      </w:r>
      <w:r>
        <w:rPr>
          <w:rFonts w:hint="eastAsia" w:hAnsi="宋体"/>
          <w:color w:val="auto"/>
          <w:szCs w:val="21"/>
          <w:highlight w:val="none"/>
        </w:rPr>
        <w:t>应包含顺利实施和完成服务所发生的各项劳务费、技术服务费、前期调查及资料收集、审查、评审、公示、设备、交通、通讯、办公场地、管理费、税费和利润及通过审批等所有费用和政策性文件规定及合同包含的所有风险、责任等各项应有的费用，除非上述费用在合同中另有说明。合同期内，费用不再调整。</w:t>
      </w:r>
    </w:p>
    <w:p>
      <w:pPr>
        <w:pStyle w:val="10"/>
        <w:spacing w:line="360" w:lineRule="exact"/>
        <w:ind w:firstLine="420"/>
        <w:rPr>
          <w:rFonts w:hAnsi="宋体"/>
          <w:color w:val="auto"/>
          <w:highlight w:val="none"/>
        </w:rPr>
      </w:pPr>
      <w:r>
        <w:rPr>
          <w:rFonts w:hint="eastAsia" w:hAnsi="宋体"/>
          <w:color w:val="auto"/>
          <w:highlight w:val="none"/>
        </w:rPr>
        <w:t>12.3服务商</w:t>
      </w:r>
      <w:r>
        <w:rPr>
          <w:rFonts w:hAnsi="宋体"/>
          <w:color w:val="auto"/>
          <w:highlight w:val="none"/>
        </w:rPr>
        <w:t>应在</w:t>
      </w:r>
      <w:r>
        <w:rPr>
          <w:rFonts w:hint="eastAsia" w:hAnsi="宋体"/>
          <w:color w:val="auto"/>
          <w:highlight w:val="none"/>
        </w:rPr>
        <w:t>响应文件</w:t>
      </w:r>
      <w:r>
        <w:rPr>
          <w:rFonts w:hAnsi="宋体"/>
          <w:color w:val="auto"/>
          <w:highlight w:val="none"/>
        </w:rPr>
        <w:t>中的</w:t>
      </w:r>
      <w:r>
        <w:rPr>
          <w:rFonts w:hint="eastAsia" w:hAnsi="宋体"/>
          <w:color w:val="auto"/>
          <w:highlight w:val="none"/>
        </w:rPr>
        <w:t>磋商</w:t>
      </w:r>
      <w:r>
        <w:rPr>
          <w:rFonts w:hAnsi="宋体"/>
          <w:color w:val="auto"/>
          <w:highlight w:val="none"/>
        </w:rPr>
        <w:t>报价表上标明，</w:t>
      </w:r>
      <w:r>
        <w:rPr>
          <w:rFonts w:hint="eastAsia" w:hAnsi="宋体"/>
          <w:color w:val="auto"/>
          <w:highlight w:val="none"/>
        </w:rPr>
        <w:t>本次磋商拟提供服务的单价金额及磋商总价，经最终磋商后不得更改，服务商对本项目的报价必须是唯一的。</w:t>
      </w:r>
    </w:p>
    <w:p>
      <w:pPr>
        <w:pStyle w:val="10"/>
        <w:spacing w:line="360" w:lineRule="exact"/>
        <w:ind w:firstLine="420" w:firstLineChars="200"/>
        <w:rPr>
          <w:rFonts w:hAnsi="宋体"/>
          <w:color w:val="auto"/>
          <w:highlight w:val="none"/>
        </w:rPr>
      </w:pPr>
      <w:r>
        <w:rPr>
          <w:rFonts w:hint="eastAsia" w:hAnsi="宋体"/>
          <w:color w:val="auto"/>
          <w:highlight w:val="none"/>
        </w:rPr>
        <w:t>12.4服务商所填报的服务内容如存在有漏项的情况且在评标时被接受，则将被认定为该遗漏项已包含在磋商报价中，成交人在供货时应按响应文件及经澄清后的结果要求完整提供服务，采购人对其漏报的项目不追加任何货款。</w:t>
      </w:r>
    </w:p>
    <w:p>
      <w:pPr>
        <w:pStyle w:val="10"/>
        <w:spacing w:line="360" w:lineRule="exact"/>
        <w:ind w:firstLine="420"/>
        <w:rPr>
          <w:rFonts w:hAnsi="宋体"/>
          <w:color w:val="auto"/>
          <w:highlight w:val="none"/>
        </w:rPr>
      </w:pPr>
      <w:r>
        <w:rPr>
          <w:rFonts w:hint="eastAsia" w:hAnsi="宋体"/>
          <w:color w:val="auto"/>
          <w:highlight w:val="none"/>
        </w:rPr>
        <w:t>12.5本项目不接受有任何选择的报价，任何有选择的报价或包含价格调整要求的磋商，将被认为是非响应性磋商而作为无效响应文件处理。</w:t>
      </w:r>
    </w:p>
    <w:p>
      <w:pPr>
        <w:pStyle w:val="4"/>
        <w:spacing w:before="0" w:after="0" w:line="360" w:lineRule="exact"/>
        <w:rPr>
          <w:rFonts w:ascii="宋体" w:hAnsi="宋体" w:eastAsia="宋体"/>
          <w:color w:val="auto"/>
          <w:sz w:val="21"/>
          <w:szCs w:val="21"/>
          <w:highlight w:val="none"/>
        </w:rPr>
      </w:pPr>
      <w:bookmarkStart w:id="135" w:name="_Toc528924918"/>
      <w:r>
        <w:rPr>
          <w:rFonts w:hint="eastAsia" w:ascii="宋体" w:hAnsi="宋体" w:eastAsia="宋体"/>
          <w:color w:val="auto"/>
          <w:sz w:val="21"/>
          <w:szCs w:val="21"/>
          <w:highlight w:val="none"/>
        </w:rPr>
        <w:t>13、磋商货币</w:t>
      </w:r>
      <w:bookmarkEnd w:id="129"/>
      <w:bookmarkEnd w:id="130"/>
      <w:bookmarkEnd w:id="131"/>
      <w:bookmarkEnd w:id="132"/>
      <w:bookmarkEnd w:id="133"/>
      <w:bookmarkEnd w:id="134"/>
      <w:bookmarkEnd w:id="135"/>
    </w:p>
    <w:p>
      <w:pPr>
        <w:pStyle w:val="10"/>
        <w:spacing w:line="360" w:lineRule="exact"/>
        <w:ind w:firstLine="420"/>
        <w:rPr>
          <w:rFonts w:hAnsi="宋体"/>
          <w:color w:val="auto"/>
          <w:highlight w:val="none"/>
        </w:rPr>
      </w:pPr>
      <w:r>
        <w:rPr>
          <w:rFonts w:hint="eastAsia" w:hAnsi="宋体"/>
          <w:color w:val="auto"/>
          <w:highlight w:val="none"/>
        </w:rPr>
        <w:t>13.1磋商应以人民币报价。</w:t>
      </w:r>
    </w:p>
    <w:p>
      <w:pPr>
        <w:pStyle w:val="4"/>
        <w:spacing w:before="0" w:after="0" w:line="360" w:lineRule="exact"/>
        <w:rPr>
          <w:rFonts w:ascii="宋体" w:hAnsi="宋体" w:eastAsia="宋体"/>
          <w:color w:val="auto"/>
          <w:sz w:val="21"/>
          <w:szCs w:val="21"/>
          <w:highlight w:val="none"/>
        </w:rPr>
      </w:pPr>
      <w:bookmarkStart w:id="136" w:name="_Toc231493224"/>
      <w:bookmarkStart w:id="137" w:name="_Toc205094801"/>
      <w:bookmarkStart w:id="138" w:name="_Toc239839877"/>
      <w:bookmarkStart w:id="139" w:name="_Toc185702563"/>
      <w:bookmarkStart w:id="140" w:name="_Toc231492909"/>
      <w:bookmarkStart w:id="141" w:name="_Toc398287305"/>
      <w:bookmarkStart w:id="142" w:name="_Toc528924919"/>
      <w:r>
        <w:rPr>
          <w:rFonts w:hint="eastAsia" w:ascii="宋体" w:hAnsi="宋体" w:eastAsia="宋体"/>
          <w:color w:val="auto"/>
          <w:sz w:val="21"/>
          <w:szCs w:val="21"/>
          <w:highlight w:val="none"/>
        </w:rPr>
        <w:t>14、</w:t>
      </w:r>
      <w:bookmarkEnd w:id="136"/>
      <w:bookmarkEnd w:id="137"/>
      <w:bookmarkEnd w:id="138"/>
      <w:bookmarkEnd w:id="139"/>
      <w:bookmarkEnd w:id="140"/>
      <w:r>
        <w:rPr>
          <w:rFonts w:hint="eastAsia" w:ascii="宋体" w:hAnsi="宋体" w:eastAsia="宋体"/>
          <w:color w:val="auto"/>
          <w:sz w:val="21"/>
          <w:szCs w:val="21"/>
          <w:highlight w:val="none"/>
        </w:rPr>
        <w:t>服务商其它文件资料</w:t>
      </w:r>
      <w:bookmarkEnd w:id="141"/>
      <w:bookmarkEnd w:id="142"/>
    </w:p>
    <w:p>
      <w:pPr>
        <w:pStyle w:val="10"/>
        <w:spacing w:line="360" w:lineRule="exact"/>
        <w:ind w:firstLine="420"/>
        <w:rPr>
          <w:rFonts w:hAnsi="宋体"/>
          <w:color w:val="auto"/>
          <w:highlight w:val="none"/>
        </w:rPr>
      </w:pPr>
      <w:r>
        <w:rPr>
          <w:rFonts w:hint="eastAsia" w:hAnsi="宋体"/>
          <w:color w:val="auto"/>
          <w:highlight w:val="none"/>
        </w:rPr>
        <w:t>服务商在响应文件中自行提供的文件及资料。它们可以是：</w:t>
      </w:r>
    </w:p>
    <w:p>
      <w:pPr>
        <w:pStyle w:val="10"/>
        <w:spacing w:line="360" w:lineRule="exact"/>
        <w:ind w:firstLine="420"/>
        <w:rPr>
          <w:rFonts w:hAnsi="宋体"/>
          <w:color w:val="auto"/>
          <w:highlight w:val="none"/>
        </w:rPr>
      </w:pPr>
      <w:r>
        <w:rPr>
          <w:rFonts w:hint="eastAsia" w:hAnsi="宋体"/>
          <w:color w:val="auto"/>
          <w:highlight w:val="none"/>
        </w:rPr>
        <w:t>14.1业绩（以提供有合同证明或验收证明为准，若有，请提供复印件。）</w:t>
      </w:r>
    </w:p>
    <w:p>
      <w:pPr>
        <w:pStyle w:val="10"/>
        <w:spacing w:line="360" w:lineRule="exact"/>
        <w:ind w:firstLine="420"/>
        <w:rPr>
          <w:rFonts w:hAnsi="宋体"/>
          <w:color w:val="auto"/>
          <w:highlight w:val="none"/>
        </w:rPr>
      </w:pPr>
      <w:r>
        <w:rPr>
          <w:rFonts w:hint="eastAsia" w:hAnsi="宋体"/>
          <w:color w:val="auto"/>
          <w:highlight w:val="none"/>
        </w:rPr>
        <w:t>14.2信誉（获得的由地市级或以上相关行政主管部门颁发的与企业生产经营相关的各种荣誉奖项等，若有，请提供复印件。）</w:t>
      </w:r>
    </w:p>
    <w:p>
      <w:pPr>
        <w:pStyle w:val="10"/>
        <w:spacing w:line="360" w:lineRule="exact"/>
        <w:ind w:firstLine="420"/>
        <w:rPr>
          <w:rFonts w:hAnsi="宋体"/>
          <w:bCs/>
          <w:color w:val="auto"/>
          <w:spacing w:val="-4"/>
          <w:szCs w:val="21"/>
          <w:highlight w:val="none"/>
        </w:rPr>
      </w:pPr>
      <w:r>
        <w:rPr>
          <w:rFonts w:hint="eastAsia" w:hAnsi="宋体"/>
          <w:color w:val="auto"/>
          <w:highlight w:val="none"/>
        </w:rPr>
        <w:t>14.3其它资料（声明、证明文件资料，如公司简介，人员情况等，由服务商根据自己的实际情况自行提供。）</w:t>
      </w:r>
    </w:p>
    <w:p>
      <w:pPr>
        <w:pStyle w:val="4"/>
        <w:spacing w:before="0" w:after="0" w:line="360" w:lineRule="exact"/>
        <w:rPr>
          <w:rFonts w:ascii="宋体" w:hAnsi="宋体" w:eastAsia="宋体"/>
          <w:color w:val="auto"/>
          <w:sz w:val="21"/>
          <w:szCs w:val="21"/>
          <w:highlight w:val="none"/>
        </w:rPr>
      </w:pPr>
      <w:bookmarkStart w:id="143" w:name="_Toc528924920"/>
      <w:r>
        <w:rPr>
          <w:rFonts w:hint="eastAsia" w:ascii="宋体" w:hAnsi="宋体" w:eastAsia="宋体"/>
          <w:color w:val="auto"/>
          <w:sz w:val="21"/>
          <w:szCs w:val="21"/>
          <w:highlight w:val="none"/>
        </w:rPr>
        <w:t>15、磋商的有效期</w:t>
      </w:r>
      <w:bookmarkEnd w:id="143"/>
    </w:p>
    <w:p>
      <w:pPr>
        <w:pStyle w:val="10"/>
        <w:spacing w:line="360" w:lineRule="exact"/>
        <w:ind w:firstLine="420"/>
        <w:rPr>
          <w:rFonts w:hAnsi="宋体"/>
          <w:color w:val="auto"/>
          <w:highlight w:val="none"/>
        </w:rPr>
      </w:pPr>
      <w:r>
        <w:rPr>
          <w:rFonts w:hint="eastAsia" w:hAnsi="宋体"/>
          <w:color w:val="auto"/>
          <w:highlight w:val="none"/>
        </w:rPr>
        <w:t>15.1磋商有效期：</w:t>
      </w:r>
      <w:r>
        <w:rPr>
          <w:rFonts w:hint="eastAsia" w:hAnsi="宋体"/>
          <w:b/>
          <w:color w:val="auto"/>
          <w:highlight w:val="none"/>
        </w:rPr>
        <w:t>响应文件从磋商截止日期后60天内有效。</w:t>
      </w:r>
    </w:p>
    <w:p>
      <w:pPr>
        <w:pStyle w:val="10"/>
        <w:spacing w:line="360" w:lineRule="exact"/>
        <w:ind w:firstLine="420"/>
        <w:rPr>
          <w:rFonts w:hAnsi="宋体"/>
          <w:color w:val="auto"/>
          <w:highlight w:val="none"/>
        </w:rPr>
      </w:pPr>
      <w:r>
        <w:rPr>
          <w:rFonts w:hint="eastAsia" w:hAnsi="宋体"/>
          <w:color w:val="auto"/>
          <w:highlight w:val="none"/>
        </w:rPr>
        <w:t>15.2在特殊情况下，采购代理机构可与服务商协商延长响应文件的有效期。服务商可同意或不同意延长磋商有效期，不同意延长磋商有效期的服务商，其磋商保证金将在5个工作日内予以退还，不计利息；同意延长磋商有效期的服务商不能要求对原响应文件（经磋商小组确认有效且没有超出响应文件的范围或改变磋商的实质内容的澄清或说明作为响应文件的组成部分）作任何改变，并同意在延长的磋商有效期内遵循本响应文件，在延长的磋商有效期满之前继续具有约束力。</w:t>
      </w:r>
    </w:p>
    <w:p>
      <w:pPr>
        <w:pStyle w:val="4"/>
        <w:spacing w:before="0" w:after="0" w:line="360" w:lineRule="exact"/>
        <w:rPr>
          <w:rFonts w:ascii="宋体" w:hAnsi="宋体" w:eastAsia="宋体"/>
          <w:color w:val="auto"/>
          <w:sz w:val="21"/>
          <w:szCs w:val="21"/>
          <w:highlight w:val="none"/>
        </w:rPr>
      </w:pPr>
      <w:bookmarkStart w:id="144" w:name="_Toc185702565"/>
      <w:bookmarkStart w:id="145" w:name="_Toc207770851"/>
      <w:bookmarkStart w:id="146" w:name="_Toc230578073"/>
      <w:bookmarkStart w:id="147" w:name="_Toc239839879"/>
      <w:bookmarkStart w:id="148" w:name="_Toc206525698"/>
      <w:bookmarkStart w:id="149" w:name="_Toc528924921"/>
      <w:bookmarkStart w:id="150" w:name="_Toc398287307"/>
      <w:r>
        <w:rPr>
          <w:rFonts w:hint="eastAsia" w:ascii="宋体" w:hAnsi="宋体" w:eastAsia="宋体"/>
          <w:color w:val="auto"/>
          <w:sz w:val="21"/>
          <w:szCs w:val="21"/>
          <w:highlight w:val="none"/>
        </w:rPr>
        <w:t>16、响应文件书写及签名、盖章要求</w:t>
      </w:r>
      <w:bookmarkEnd w:id="144"/>
      <w:bookmarkEnd w:id="145"/>
      <w:bookmarkEnd w:id="146"/>
      <w:bookmarkEnd w:id="147"/>
      <w:bookmarkEnd w:id="148"/>
      <w:bookmarkEnd w:id="149"/>
      <w:bookmarkEnd w:id="150"/>
    </w:p>
    <w:p>
      <w:pPr>
        <w:pStyle w:val="10"/>
        <w:spacing w:line="360" w:lineRule="exact"/>
        <w:ind w:firstLine="420"/>
        <w:rPr>
          <w:rFonts w:hAnsi="宋体"/>
          <w:color w:val="auto"/>
          <w:highlight w:val="none"/>
        </w:rPr>
      </w:pPr>
      <w:r>
        <w:rPr>
          <w:rFonts w:hint="eastAsia" w:hAnsi="宋体"/>
          <w:color w:val="auto"/>
          <w:highlight w:val="none"/>
        </w:rPr>
        <w:t>16.1响应文件正本必须用不褪色的墨水工整书写或打印。</w:t>
      </w:r>
    </w:p>
    <w:p>
      <w:pPr>
        <w:pStyle w:val="10"/>
        <w:spacing w:line="360" w:lineRule="exact"/>
        <w:ind w:firstLine="420"/>
        <w:rPr>
          <w:rFonts w:hAnsi="宋体"/>
          <w:color w:val="auto"/>
          <w:highlight w:val="none"/>
        </w:rPr>
      </w:pPr>
      <w:r>
        <w:rPr>
          <w:rFonts w:hint="eastAsia" w:hAnsi="宋体"/>
          <w:color w:val="auto"/>
          <w:highlight w:val="none"/>
        </w:rPr>
        <w:t>16.2响应文件的书写应清楚工整，修改处应有由法定代表人或委托代理人签字和加盖单位公章，否则其磋商无效。</w:t>
      </w:r>
    </w:p>
    <w:p>
      <w:pPr>
        <w:pStyle w:val="10"/>
        <w:spacing w:line="360" w:lineRule="exact"/>
        <w:ind w:firstLine="420"/>
        <w:rPr>
          <w:rFonts w:hAnsi="宋体"/>
          <w:color w:val="auto"/>
          <w:highlight w:val="none"/>
        </w:rPr>
      </w:pPr>
      <w:r>
        <w:rPr>
          <w:rFonts w:hint="eastAsia" w:hAnsi="宋体"/>
          <w:color w:val="auto"/>
          <w:highlight w:val="none"/>
        </w:rPr>
        <w:t>16.3字迹潦草、表达不清或未按要求填写的响应文件可能将被认定为无效的磋商。</w:t>
      </w:r>
    </w:p>
    <w:p>
      <w:pPr>
        <w:pStyle w:val="10"/>
        <w:spacing w:line="360" w:lineRule="exact"/>
        <w:ind w:firstLine="420"/>
        <w:rPr>
          <w:rFonts w:hAnsi="宋体"/>
          <w:color w:val="auto"/>
          <w:spacing w:val="-4"/>
          <w:szCs w:val="21"/>
          <w:highlight w:val="none"/>
        </w:rPr>
      </w:pPr>
      <w:r>
        <w:rPr>
          <w:rFonts w:hint="eastAsia" w:hAnsi="宋体"/>
          <w:color w:val="auto"/>
          <w:spacing w:val="-4"/>
          <w:szCs w:val="21"/>
          <w:highlight w:val="none"/>
        </w:rPr>
        <w:t>16.4响应文件应由法定代表人或委托代理人在凡规定签名、签章处逐一签名和盖单位公章，否则其磋商无效。</w:t>
      </w:r>
    </w:p>
    <w:p>
      <w:pPr>
        <w:pStyle w:val="10"/>
        <w:spacing w:line="360" w:lineRule="exact"/>
        <w:ind w:firstLine="420"/>
        <w:rPr>
          <w:rFonts w:hAnsi="宋体"/>
          <w:color w:val="auto"/>
          <w:highlight w:val="none"/>
        </w:rPr>
      </w:pPr>
      <w:r>
        <w:rPr>
          <w:rFonts w:hint="eastAsia" w:hAnsi="宋体"/>
          <w:color w:val="auto"/>
          <w:highlight w:val="none"/>
        </w:rPr>
        <w:t>16.5响应文件的份数：</w:t>
      </w:r>
      <w:r>
        <w:rPr>
          <w:rFonts w:hint="eastAsia" w:hAnsi="宋体"/>
          <w:b/>
          <w:bCs/>
          <w:color w:val="auto"/>
          <w:highlight w:val="none"/>
          <w:u w:val="single"/>
        </w:rPr>
        <w:t>正本一份，副本三份，共四份及</w:t>
      </w:r>
      <w:r>
        <w:rPr>
          <w:rFonts w:hAnsi="宋体"/>
          <w:b/>
          <w:bCs/>
          <w:color w:val="auto"/>
          <w:highlight w:val="none"/>
          <w:u w:val="single"/>
        </w:rPr>
        <w:t>电子版（</w:t>
      </w:r>
      <w:r>
        <w:rPr>
          <w:rFonts w:hint="eastAsia" w:hAnsi="宋体"/>
          <w:b/>
          <w:bCs/>
          <w:color w:val="auto"/>
          <w:highlight w:val="none"/>
          <w:u w:val="single"/>
        </w:rPr>
        <w:t>U盘</w:t>
      </w:r>
      <w:r>
        <w:rPr>
          <w:rFonts w:hAnsi="宋体"/>
          <w:b/>
          <w:bCs/>
          <w:color w:val="auto"/>
          <w:highlight w:val="none"/>
          <w:u w:val="single"/>
        </w:rPr>
        <w:t>）</w:t>
      </w:r>
      <w:r>
        <w:rPr>
          <w:rFonts w:hint="eastAsia" w:hAnsi="宋体"/>
          <w:b/>
          <w:bCs/>
          <w:color w:val="auto"/>
          <w:highlight w:val="none"/>
          <w:u w:val="single"/>
        </w:rPr>
        <w:t>一份</w:t>
      </w:r>
      <w:r>
        <w:rPr>
          <w:rFonts w:hint="eastAsia" w:hAnsi="宋体"/>
          <w:color w:val="auto"/>
          <w:highlight w:val="none"/>
        </w:rPr>
        <w:t>。并在每份文件注明“正本”、“副本”字样，一旦正本和副本不符，以正本为准。</w:t>
      </w:r>
    </w:p>
    <w:p>
      <w:pPr>
        <w:pStyle w:val="4"/>
        <w:spacing w:before="0" w:after="0" w:line="360" w:lineRule="exact"/>
        <w:rPr>
          <w:rFonts w:ascii="宋体" w:hAnsi="宋体" w:eastAsia="宋体"/>
          <w:color w:val="auto"/>
          <w:sz w:val="21"/>
          <w:szCs w:val="21"/>
          <w:highlight w:val="none"/>
        </w:rPr>
      </w:pPr>
      <w:bookmarkStart w:id="151" w:name="_Toc185702566"/>
      <w:bookmarkStart w:id="152" w:name="_Toc230578074"/>
      <w:bookmarkStart w:id="153" w:name="_Toc398287308"/>
      <w:bookmarkStart w:id="154" w:name="_Toc528924922"/>
      <w:bookmarkStart w:id="155" w:name="_Toc206525699"/>
      <w:bookmarkStart w:id="156" w:name="_Toc239839880"/>
      <w:bookmarkStart w:id="157" w:name="_Toc207770852"/>
      <w:r>
        <w:rPr>
          <w:rFonts w:hint="eastAsia" w:ascii="宋体" w:hAnsi="宋体" w:eastAsia="宋体"/>
          <w:color w:val="auto"/>
          <w:sz w:val="21"/>
          <w:szCs w:val="21"/>
          <w:highlight w:val="none"/>
        </w:rPr>
        <w:t>17、磋商保证金</w:t>
      </w:r>
      <w:bookmarkEnd w:id="151"/>
      <w:bookmarkEnd w:id="152"/>
      <w:bookmarkEnd w:id="153"/>
      <w:bookmarkEnd w:id="154"/>
      <w:bookmarkEnd w:id="155"/>
      <w:bookmarkEnd w:id="156"/>
      <w:bookmarkEnd w:id="157"/>
    </w:p>
    <w:p>
      <w:pPr>
        <w:pStyle w:val="10"/>
        <w:spacing w:line="360" w:lineRule="exact"/>
        <w:ind w:firstLine="404" w:firstLineChars="200"/>
        <w:rPr>
          <w:rFonts w:hAnsi="宋体"/>
          <w:color w:val="auto"/>
          <w:spacing w:val="-4"/>
          <w:highlight w:val="none"/>
        </w:rPr>
      </w:pPr>
      <w:r>
        <w:rPr>
          <w:rFonts w:hint="eastAsia" w:hAnsi="宋体"/>
          <w:color w:val="auto"/>
          <w:spacing w:val="-4"/>
          <w:highlight w:val="none"/>
        </w:rPr>
        <w:t>按照防财采〔2020〕14号文件规定，本项目不收取投标保证金。</w:t>
      </w:r>
    </w:p>
    <w:p>
      <w:pPr>
        <w:pStyle w:val="4"/>
        <w:spacing w:before="0" w:after="0"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18.有下列情形之一的，磋商保证金不予退还：</w:t>
      </w:r>
    </w:p>
    <w:p>
      <w:pPr>
        <w:pStyle w:val="10"/>
        <w:spacing w:line="380" w:lineRule="exact"/>
        <w:ind w:firstLine="420"/>
        <w:rPr>
          <w:rFonts w:hAnsi="宋体"/>
          <w:color w:val="auto"/>
          <w:highlight w:val="none"/>
        </w:rPr>
      </w:pPr>
      <w:r>
        <w:rPr>
          <w:rFonts w:hint="eastAsia" w:hAnsi="宋体"/>
          <w:color w:val="auto"/>
          <w:highlight w:val="none"/>
        </w:rPr>
        <w:t>（1）在截标后或在磋商有效期内撤回其响应文件的；</w:t>
      </w:r>
    </w:p>
    <w:p>
      <w:pPr>
        <w:pStyle w:val="10"/>
        <w:spacing w:line="380" w:lineRule="exact"/>
        <w:ind w:firstLine="420"/>
        <w:rPr>
          <w:rFonts w:hAnsi="宋体"/>
          <w:color w:val="auto"/>
          <w:highlight w:val="none"/>
        </w:rPr>
      </w:pPr>
      <w:r>
        <w:rPr>
          <w:rFonts w:hint="eastAsia" w:hAnsi="宋体"/>
          <w:color w:val="auto"/>
          <w:highlight w:val="none"/>
        </w:rPr>
        <w:t>（2）中标后无正当理由不与采购人按本须知第29条签订合同的；</w:t>
      </w:r>
    </w:p>
    <w:p>
      <w:pPr>
        <w:pStyle w:val="10"/>
        <w:spacing w:line="380" w:lineRule="exact"/>
        <w:ind w:firstLine="420"/>
        <w:rPr>
          <w:rFonts w:hAnsi="宋体"/>
          <w:color w:val="auto"/>
          <w:highlight w:val="none"/>
        </w:rPr>
      </w:pPr>
      <w:r>
        <w:rPr>
          <w:rFonts w:hint="eastAsia" w:hAnsi="宋体"/>
          <w:color w:val="auto"/>
          <w:highlight w:val="none"/>
        </w:rPr>
        <w:t>（3）中标后与采购人签订对磋商文件和响应文件作了实质性修改的合同，或与采购人私下订立背离合同实质性内容的协议的；</w:t>
      </w:r>
    </w:p>
    <w:p>
      <w:pPr>
        <w:pStyle w:val="10"/>
        <w:spacing w:line="380" w:lineRule="exact"/>
        <w:ind w:firstLine="420"/>
        <w:rPr>
          <w:rFonts w:hAnsi="宋体"/>
          <w:color w:val="auto"/>
          <w:highlight w:val="none"/>
        </w:rPr>
      </w:pPr>
      <w:r>
        <w:rPr>
          <w:rFonts w:hint="eastAsia" w:hAnsi="宋体"/>
          <w:color w:val="auto"/>
          <w:highlight w:val="none"/>
        </w:rPr>
        <w:t>（4）将成交项目转让给他人；或者在响应文件中未说明，且未经采购人同意，将成交项目分包给他人的。</w:t>
      </w:r>
    </w:p>
    <w:p>
      <w:pPr>
        <w:pStyle w:val="10"/>
        <w:spacing w:line="360" w:lineRule="exact"/>
        <w:rPr>
          <w:rFonts w:hAnsi="宋体"/>
          <w:b/>
          <w:color w:val="auto"/>
          <w:highlight w:val="none"/>
        </w:rPr>
      </w:pPr>
    </w:p>
    <w:p>
      <w:pPr>
        <w:pStyle w:val="3"/>
        <w:spacing w:line="360" w:lineRule="exact"/>
        <w:jc w:val="center"/>
        <w:rPr>
          <w:rFonts w:ascii="宋体" w:hAnsi="宋体"/>
          <w:color w:val="auto"/>
          <w:highlight w:val="none"/>
        </w:rPr>
      </w:pPr>
      <w:bookmarkStart w:id="158" w:name="_Toc398287309"/>
      <w:bookmarkStart w:id="159" w:name="_Toc206525700"/>
      <w:bookmarkStart w:id="160" w:name="_Toc185702567"/>
      <w:bookmarkStart w:id="161" w:name="_Toc528924923"/>
      <w:bookmarkStart w:id="162" w:name="_Toc239839881"/>
      <w:bookmarkStart w:id="163" w:name="_Toc230578075"/>
      <w:bookmarkStart w:id="164" w:name="_Toc207770853"/>
      <w:r>
        <w:rPr>
          <w:rFonts w:hint="eastAsia" w:ascii="宋体" w:hAnsi="宋体"/>
          <w:color w:val="auto"/>
          <w:highlight w:val="none"/>
        </w:rPr>
        <w:t>四   响应文件的递交</w:t>
      </w:r>
      <w:bookmarkEnd w:id="158"/>
      <w:bookmarkEnd w:id="159"/>
      <w:bookmarkEnd w:id="160"/>
      <w:bookmarkEnd w:id="161"/>
      <w:bookmarkEnd w:id="162"/>
      <w:bookmarkEnd w:id="163"/>
      <w:bookmarkEnd w:id="164"/>
    </w:p>
    <w:p>
      <w:pPr>
        <w:pStyle w:val="4"/>
        <w:spacing w:before="0" w:after="0" w:line="360" w:lineRule="exact"/>
        <w:rPr>
          <w:rFonts w:ascii="宋体" w:hAnsi="宋体" w:eastAsia="宋体"/>
          <w:color w:val="auto"/>
          <w:sz w:val="21"/>
          <w:szCs w:val="21"/>
          <w:highlight w:val="none"/>
        </w:rPr>
      </w:pPr>
      <w:bookmarkStart w:id="165" w:name="_Toc528924924"/>
      <w:bookmarkStart w:id="166" w:name="_Toc239839882"/>
      <w:bookmarkStart w:id="167" w:name="_Toc230578076"/>
      <w:bookmarkStart w:id="168" w:name="_Toc185702568"/>
      <w:bookmarkStart w:id="169" w:name="_Toc206525701"/>
      <w:bookmarkStart w:id="170" w:name="_Toc398287310"/>
      <w:bookmarkStart w:id="171" w:name="_Toc207770854"/>
      <w:r>
        <w:rPr>
          <w:rFonts w:hint="eastAsia" w:ascii="宋体" w:hAnsi="宋体" w:eastAsia="宋体"/>
          <w:color w:val="auto"/>
          <w:sz w:val="21"/>
          <w:szCs w:val="21"/>
          <w:highlight w:val="none"/>
        </w:rPr>
        <w:t>19、响应文件的密封与标记</w:t>
      </w:r>
      <w:bookmarkEnd w:id="165"/>
      <w:bookmarkEnd w:id="166"/>
      <w:bookmarkEnd w:id="167"/>
      <w:bookmarkEnd w:id="168"/>
      <w:bookmarkEnd w:id="169"/>
      <w:bookmarkEnd w:id="170"/>
      <w:bookmarkEnd w:id="171"/>
    </w:p>
    <w:p>
      <w:pPr>
        <w:pStyle w:val="10"/>
        <w:spacing w:line="360" w:lineRule="exact"/>
        <w:ind w:firstLine="420"/>
        <w:rPr>
          <w:rFonts w:hAnsi="宋体"/>
          <w:color w:val="auto"/>
          <w:highlight w:val="none"/>
        </w:rPr>
      </w:pPr>
      <w:r>
        <w:rPr>
          <w:rFonts w:hint="eastAsia" w:hAnsi="宋体"/>
          <w:color w:val="auto"/>
          <w:highlight w:val="none"/>
        </w:rPr>
        <w:t>19.1服务商应将响应文件正、副本分别装订成册，在每个文本封面上标明“响应文件正本（副本）”，以及项目名称、项目编号、服务商名称等内容。</w:t>
      </w:r>
    </w:p>
    <w:p>
      <w:pPr>
        <w:pStyle w:val="10"/>
        <w:spacing w:line="360" w:lineRule="exact"/>
        <w:ind w:firstLine="412" w:firstLineChars="200"/>
        <w:rPr>
          <w:rFonts w:hAnsi="宋体"/>
          <w:color w:val="auto"/>
          <w:spacing w:val="-2"/>
          <w:szCs w:val="21"/>
          <w:highlight w:val="none"/>
        </w:rPr>
      </w:pPr>
      <w:r>
        <w:rPr>
          <w:rFonts w:hint="eastAsia" w:hAnsi="宋体"/>
          <w:color w:val="auto"/>
          <w:spacing w:val="-2"/>
          <w:szCs w:val="21"/>
          <w:highlight w:val="none"/>
        </w:rPr>
        <w:t>19.2服务商应将响应文件（正本一份，副本三份，共四份及电子版（U盘）一份）一并装入响应文件袋中加以密封；并在封口处密封签章（公章或密封章或法定代表人签字或其委托代理人签字均可）。</w:t>
      </w:r>
    </w:p>
    <w:p>
      <w:pPr>
        <w:pStyle w:val="10"/>
        <w:spacing w:line="360" w:lineRule="exact"/>
        <w:ind w:firstLine="420" w:firstLineChars="200"/>
        <w:rPr>
          <w:rFonts w:hAnsi="宋体"/>
          <w:color w:val="auto"/>
          <w:highlight w:val="none"/>
        </w:rPr>
      </w:pPr>
      <w:r>
        <w:rPr>
          <w:rFonts w:hint="eastAsia" w:hAnsi="宋体"/>
          <w:color w:val="auto"/>
          <w:highlight w:val="none"/>
        </w:rPr>
        <w:t xml:space="preserve">19.3响应文件袋上应写明： </w:t>
      </w:r>
    </w:p>
    <w:p>
      <w:pPr>
        <w:pStyle w:val="10"/>
        <w:spacing w:line="360" w:lineRule="exact"/>
        <w:ind w:firstLine="735" w:firstLineChars="350"/>
        <w:rPr>
          <w:rFonts w:hAnsi="宋体"/>
          <w:color w:val="auto"/>
          <w:highlight w:val="none"/>
          <w:u w:val="single"/>
        </w:rPr>
      </w:pPr>
      <w:r>
        <w:rPr>
          <w:rFonts w:hint="eastAsia" w:hAnsi="宋体"/>
          <w:color w:val="auto"/>
          <w:highlight w:val="none"/>
        </w:rPr>
        <w:t>⑴ 采购代理机构：</w:t>
      </w:r>
      <w:r>
        <w:rPr>
          <w:rFonts w:hint="eastAsia" w:hAnsi="宋体"/>
          <w:color w:val="auto"/>
          <w:highlight w:val="none"/>
          <w:u w:val="single"/>
        </w:rPr>
        <w:t>广西达华工程造价咨询有限责任公司</w:t>
      </w:r>
    </w:p>
    <w:p>
      <w:pPr>
        <w:pStyle w:val="10"/>
        <w:spacing w:line="360" w:lineRule="exact"/>
        <w:ind w:firstLine="735" w:firstLineChars="350"/>
        <w:rPr>
          <w:rFonts w:hAnsi="宋体"/>
          <w:color w:val="auto"/>
          <w:highlight w:val="none"/>
          <w:u w:val="single"/>
        </w:rPr>
      </w:pPr>
      <w:r>
        <w:rPr>
          <w:rFonts w:hint="eastAsia" w:hAnsi="宋体"/>
          <w:color w:val="auto"/>
          <w:highlight w:val="none"/>
        </w:rPr>
        <w:t xml:space="preserve">⑵ 项目名称： </w:t>
      </w:r>
    </w:p>
    <w:p>
      <w:pPr>
        <w:pStyle w:val="10"/>
        <w:spacing w:line="360" w:lineRule="exact"/>
        <w:ind w:firstLine="735" w:firstLineChars="350"/>
        <w:rPr>
          <w:rFonts w:hAnsi="宋体"/>
          <w:color w:val="auto"/>
          <w:highlight w:val="none"/>
        </w:rPr>
      </w:pPr>
      <w:r>
        <w:rPr>
          <w:rFonts w:hint="eastAsia" w:hAnsi="宋体"/>
          <w:color w:val="auto"/>
          <w:highlight w:val="none"/>
        </w:rPr>
        <w:t>⑶ 项目编号：</w:t>
      </w:r>
    </w:p>
    <w:p>
      <w:pPr>
        <w:pStyle w:val="10"/>
        <w:spacing w:line="360" w:lineRule="exact"/>
        <w:ind w:firstLine="735" w:firstLineChars="350"/>
        <w:rPr>
          <w:rFonts w:hAnsi="宋体"/>
          <w:color w:val="auto"/>
          <w:highlight w:val="none"/>
        </w:rPr>
      </w:pPr>
      <w:r>
        <w:rPr>
          <w:rFonts w:hint="eastAsia" w:hAnsi="宋体"/>
          <w:color w:val="auto"/>
          <w:highlight w:val="none"/>
        </w:rPr>
        <w:t>⑷ 磋商单位：</w:t>
      </w:r>
    </w:p>
    <w:p>
      <w:pPr>
        <w:pStyle w:val="10"/>
        <w:spacing w:line="360" w:lineRule="exact"/>
        <w:ind w:firstLine="735" w:firstLineChars="350"/>
        <w:rPr>
          <w:rFonts w:hAnsi="宋体"/>
          <w:color w:val="auto"/>
          <w:highlight w:val="none"/>
        </w:rPr>
      </w:pPr>
      <w:r>
        <w:rPr>
          <w:rFonts w:hint="eastAsia" w:hAnsi="宋体"/>
          <w:color w:val="auto"/>
          <w:highlight w:val="none"/>
        </w:rPr>
        <w:t>⑸ 注明“年月日时分前不得拆封”</w:t>
      </w:r>
    </w:p>
    <w:p>
      <w:pPr>
        <w:pStyle w:val="10"/>
        <w:spacing w:line="360" w:lineRule="exact"/>
        <w:ind w:firstLine="420"/>
        <w:rPr>
          <w:rFonts w:hAnsi="宋体"/>
          <w:b/>
          <w:color w:val="auto"/>
          <w:highlight w:val="none"/>
        </w:rPr>
      </w:pPr>
      <w:r>
        <w:rPr>
          <w:rFonts w:hint="eastAsia" w:hAnsi="宋体"/>
          <w:b/>
          <w:color w:val="auto"/>
          <w:highlight w:val="none"/>
        </w:rPr>
        <w:t>19.4响应文件的密封以响应文件袋无明显缝隙露出袋内文件且封口处有签字或盖章为合格。</w:t>
      </w:r>
    </w:p>
    <w:p>
      <w:pPr>
        <w:pStyle w:val="10"/>
        <w:spacing w:line="360" w:lineRule="exact"/>
        <w:ind w:firstLine="420"/>
        <w:rPr>
          <w:rFonts w:hAnsi="宋体"/>
          <w:color w:val="auto"/>
          <w:highlight w:val="none"/>
        </w:rPr>
      </w:pPr>
      <w:r>
        <w:rPr>
          <w:rFonts w:hint="eastAsia" w:hAnsi="宋体"/>
          <w:color w:val="auto"/>
          <w:highlight w:val="none"/>
        </w:rPr>
        <w:t>19.5服务商在递交响应文件时，未按本须知要求密封、标记的，采购代理机构有权拒收，拒收所产生的后果由服务商自负。</w:t>
      </w:r>
    </w:p>
    <w:p>
      <w:pPr>
        <w:pStyle w:val="10"/>
        <w:spacing w:line="360" w:lineRule="exact"/>
        <w:rPr>
          <w:rFonts w:hAnsi="宋体"/>
          <w:b/>
          <w:bCs/>
          <w:color w:val="auto"/>
          <w:szCs w:val="21"/>
          <w:highlight w:val="none"/>
        </w:rPr>
      </w:pPr>
      <w:bookmarkStart w:id="172" w:name="_Toc185702569"/>
      <w:bookmarkStart w:id="173" w:name="_Toc230578077"/>
      <w:bookmarkStart w:id="174" w:name="_Toc206525702"/>
      <w:bookmarkStart w:id="175" w:name="_Toc398287311"/>
      <w:bookmarkStart w:id="176" w:name="_Toc239839883"/>
      <w:bookmarkStart w:id="177" w:name="_Toc528924925"/>
      <w:bookmarkStart w:id="178" w:name="_Toc207770855"/>
      <w:r>
        <w:rPr>
          <w:rFonts w:hint="eastAsia" w:hAnsi="宋体"/>
          <w:b/>
          <w:bCs/>
          <w:color w:val="auto"/>
          <w:szCs w:val="21"/>
          <w:highlight w:val="none"/>
        </w:rPr>
        <w:t>20、磋商截止时间</w:t>
      </w:r>
      <w:bookmarkEnd w:id="172"/>
      <w:r>
        <w:rPr>
          <w:rFonts w:hint="eastAsia" w:hAnsi="宋体"/>
          <w:b/>
          <w:bCs/>
          <w:color w:val="auto"/>
          <w:szCs w:val="21"/>
          <w:highlight w:val="none"/>
        </w:rPr>
        <w:t>、地点</w:t>
      </w:r>
      <w:bookmarkEnd w:id="173"/>
      <w:bookmarkEnd w:id="174"/>
      <w:bookmarkEnd w:id="175"/>
      <w:bookmarkEnd w:id="176"/>
      <w:bookmarkEnd w:id="177"/>
      <w:bookmarkEnd w:id="178"/>
    </w:p>
    <w:p>
      <w:pPr>
        <w:pStyle w:val="10"/>
        <w:spacing w:line="360" w:lineRule="exact"/>
        <w:ind w:firstLine="420"/>
        <w:rPr>
          <w:rFonts w:hAnsi="宋体"/>
          <w:color w:val="auto"/>
          <w:highlight w:val="none"/>
        </w:rPr>
      </w:pPr>
      <w:r>
        <w:rPr>
          <w:rFonts w:hint="eastAsia" w:hAnsi="宋体"/>
          <w:color w:val="auto"/>
          <w:highlight w:val="none"/>
        </w:rPr>
        <w:t>20.1响应文件的提交不得迟于本须知前附表第7项指定的截止时间。在截止时间后送达的响应文件为无效文件，采购人、采购代理机构或者磋商小组应当拒收。</w:t>
      </w:r>
    </w:p>
    <w:p>
      <w:pPr>
        <w:pStyle w:val="10"/>
        <w:spacing w:line="360" w:lineRule="exact"/>
        <w:ind w:firstLine="420"/>
        <w:rPr>
          <w:rFonts w:hAnsi="宋体"/>
          <w:color w:val="auto"/>
          <w:highlight w:val="none"/>
        </w:rPr>
      </w:pPr>
      <w:r>
        <w:rPr>
          <w:rFonts w:hint="eastAsia" w:hAnsi="宋体"/>
          <w:color w:val="auto"/>
          <w:highlight w:val="none"/>
        </w:rPr>
        <w:t>20.2服务商必须在规定时间内将响应文件密封送达本须知前附表第7项指定地点。</w:t>
      </w:r>
    </w:p>
    <w:p>
      <w:pPr>
        <w:pStyle w:val="10"/>
        <w:spacing w:line="360" w:lineRule="exact"/>
        <w:ind w:firstLine="420"/>
        <w:rPr>
          <w:rFonts w:hAnsi="宋体"/>
          <w:color w:val="auto"/>
          <w:highlight w:val="none"/>
        </w:rPr>
      </w:pPr>
      <w:r>
        <w:rPr>
          <w:rFonts w:hint="eastAsia" w:hAnsi="宋体"/>
          <w:color w:val="auto"/>
          <w:highlight w:val="none"/>
        </w:rPr>
        <w:t>20.3服务商的法定代表人或其委托代理人必须签到出席截标会并按第7项要求提交相关证明文件接受核查，否则响应无效。</w:t>
      </w:r>
    </w:p>
    <w:p>
      <w:pPr>
        <w:pStyle w:val="4"/>
        <w:spacing w:before="0" w:after="0" w:line="360" w:lineRule="exact"/>
        <w:rPr>
          <w:rFonts w:ascii="宋体" w:hAnsi="宋体" w:eastAsia="宋体"/>
          <w:color w:val="auto"/>
          <w:sz w:val="21"/>
          <w:szCs w:val="21"/>
          <w:highlight w:val="none"/>
        </w:rPr>
      </w:pPr>
      <w:bookmarkStart w:id="179" w:name="_Toc239839884"/>
      <w:bookmarkStart w:id="180" w:name="_Toc528924926"/>
      <w:bookmarkStart w:id="181" w:name="_Toc206525703"/>
      <w:bookmarkStart w:id="182" w:name="_Toc147250534"/>
      <w:bookmarkStart w:id="183" w:name="_Toc207770856"/>
      <w:bookmarkStart w:id="184" w:name="_Toc398287312"/>
      <w:bookmarkStart w:id="185" w:name="_Toc230578078"/>
      <w:bookmarkStart w:id="186" w:name="_Toc185702570"/>
      <w:bookmarkStart w:id="187" w:name="_Toc147250378"/>
      <w:bookmarkStart w:id="188" w:name="_Toc147250332"/>
      <w:r>
        <w:rPr>
          <w:rFonts w:hint="eastAsia" w:ascii="宋体" w:hAnsi="宋体" w:eastAsia="宋体"/>
          <w:color w:val="auto"/>
          <w:sz w:val="21"/>
          <w:szCs w:val="21"/>
          <w:highlight w:val="none"/>
        </w:rPr>
        <w:t>21、响应文件的修改及撤回</w:t>
      </w:r>
      <w:bookmarkEnd w:id="179"/>
      <w:bookmarkEnd w:id="180"/>
      <w:bookmarkEnd w:id="181"/>
      <w:bookmarkEnd w:id="182"/>
      <w:bookmarkEnd w:id="183"/>
      <w:bookmarkEnd w:id="184"/>
      <w:bookmarkEnd w:id="185"/>
      <w:bookmarkEnd w:id="186"/>
      <w:bookmarkEnd w:id="187"/>
      <w:bookmarkEnd w:id="188"/>
    </w:p>
    <w:p>
      <w:pPr>
        <w:pStyle w:val="10"/>
        <w:spacing w:line="360" w:lineRule="exact"/>
        <w:ind w:firstLine="420"/>
        <w:rPr>
          <w:rFonts w:hAnsi="宋体"/>
          <w:color w:val="auto"/>
          <w:highlight w:val="none"/>
        </w:rPr>
      </w:pPr>
      <w:r>
        <w:rPr>
          <w:rFonts w:hint="eastAsia" w:hAnsi="宋体"/>
          <w:color w:val="auto"/>
          <w:highlight w:val="none"/>
        </w:rPr>
        <w:t>21</w:t>
      </w:r>
      <w:r>
        <w:rPr>
          <w:rFonts w:hAnsi="宋体"/>
          <w:color w:val="auto"/>
          <w:highlight w:val="none"/>
        </w:rPr>
        <w:t>.1</w:t>
      </w:r>
      <w:r>
        <w:rPr>
          <w:rFonts w:hint="eastAsia" w:hAnsi="宋体"/>
          <w:color w:val="auto"/>
          <w:highlight w:val="none"/>
        </w:rPr>
        <w:t>服务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0"/>
        <w:spacing w:line="360" w:lineRule="exact"/>
        <w:ind w:firstLine="420"/>
        <w:rPr>
          <w:rFonts w:hAnsi="宋体"/>
          <w:color w:val="auto"/>
          <w:highlight w:val="none"/>
        </w:rPr>
      </w:pPr>
      <w:r>
        <w:rPr>
          <w:rFonts w:hint="eastAsia" w:hAnsi="宋体"/>
          <w:color w:val="auto"/>
          <w:highlight w:val="none"/>
        </w:rPr>
        <w:t>21</w:t>
      </w:r>
      <w:r>
        <w:rPr>
          <w:rFonts w:hAnsi="宋体"/>
          <w:color w:val="auto"/>
          <w:highlight w:val="none"/>
        </w:rPr>
        <w:t>.2</w:t>
      </w:r>
      <w:r>
        <w:rPr>
          <w:rFonts w:hint="eastAsia" w:hAnsi="宋体"/>
          <w:color w:val="auto"/>
          <w:highlight w:val="none"/>
        </w:rPr>
        <w:t>响应文件的修改和撤回通知应按本须知第</w:t>
      </w:r>
      <w:r>
        <w:rPr>
          <w:rFonts w:hAnsi="宋体"/>
          <w:color w:val="auto"/>
          <w:highlight w:val="none"/>
        </w:rPr>
        <w:t>1</w:t>
      </w:r>
      <w:r>
        <w:rPr>
          <w:rFonts w:hint="eastAsia" w:hAnsi="宋体"/>
          <w:color w:val="auto"/>
          <w:highlight w:val="none"/>
        </w:rPr>
        <w:t>9条的规定密封、标记和提交，并在封面上标明“修改”或“撤回”字样。</w:t>
      </w:r>
    </w:p>
    <w:p>
      <w:pPr>
        <w:pStyle w:val="10"/>
        <w:spacing w:line="360" w:lineRule="exact"/>
        <w:ind w:firstLine="420"/>
        <w:rPr>
          <w:rFonts w:hAnsi="宋体"/>
          <w:color w:val="auto"/>
          <w:highlight w:val="none"/>
        </w:rPr>
      </w:pPr>
      <w:r>
        <w:rPr>
          <w:rFonts w:hint="eastAsia" w:hAnsi="宋体"/>
          <w:color w:val="auto"/>
          <w:highlight w:val="none"/>
        </w:rPr>
        <w:t>21.3在磋商结束后的磋商有效期内，服务商不得撤回其响应文件，否则其全部磋商保证金将不予退还。</w:t>
      </w:r>
      <w:bookmarkStart w:id="189" w:name="_Toc239839885"/>
      <w:bookmarkStart w:id="190" w:name="_Toc185702571"/>
      <w:bookmarkStart w:id="191" w:name="_Toc207770857"/>
      <w:bookmarkStart w:id="192" w:name="_Toc230578079"/>
      <w:bookmarkStart w:id="193" w:name="_Toc206525704"/>
      <w:bookmarkStart w:id="194" w:name="_Toc398287313"/>
      <w:bookmarkStart w:id="195" w:name="_Toc528924927"/>
    </w:p>
    <w:p>
      <w:pPr>
        <w:pStyle w:val="10"/>
        <w:spacing w:line="360" w:lineRule="exact"/>
        <w:ind w:firstLine="420"/>
        <w:jc w:val="center"/>
        <w:rPr>
          <w:rFonts w:hAnsi="宋体"/>
          <w:color w:val="auto"/>
          <w:highlight w:val="none"/>
        </w:rPr>
      </w:pPr>
      <w:r>
        <w:rPr>
          <w:rFonts w:hint="eastAsia" w:hAnsi="宋体"/>
          <w:b/>
          <w:bCs/>
          <w:color w:val="auto"/>
          <w:highlight w:val="none"/>
        </w:rPr>
        <w:t>五   响应文件评</w:t>
      </w:r>
      <w:bookmarkEnd w:id="189"/>
      <w:bookmarkEnd w:id="190"/>
      <w:bookmarkEnd w:id="191"/>
      <w:bookmarkEnd w:id="192"/>
      <w:bookmarkEnd w:id="193"/>
      <w:bookmarkEnd w:id="194"/>
      <w:r>
        <w:rPr>
          <w:rFonts w:hint="eastAsia" w:hAnsi="宋体"/>
          <w:b/>
          <w:bCs/>
          <w:color w:val="auto"/>
          <w:highlight w:val="none"/>
        </w:rPr>
        <w:t>审</w:t>
      </w:r>
      <w:bookmarkEnd w:id="195"/>
    </w:p>
    <w:p>
      <w:pPr>
        <w:rPr>
          <w:color w:val="auto"/>
          <w:highlight w:val="none"/>
        </w:rPr>
      </w:pPr>
      <w:bookmarkStart w:id="196" w:name="_Toc398287314"/>
      <w:bookmarkStart w:id="197" w:name="_Toc207770858"/>
      <w:bookmarkStart w:id="198" w:name="_Toc239839886"/>
      <w:bookmarkStart w:id="199" w:name="_Toc185702572"/>
      <w:bookmarkStart w:id="200" w:name="_Toc206525705"/>
      <w:bookmarkStart w:id="201" w:name="_Toc230578080"/>
      <w:bookmarkStart w:id="202" w:name="_Toc528924928"/>
      <w:r>
        <w:rPr>
          <w:rFonts w:hint="eastAsia"/>
          <w:b/>
          <w:bCs/>
          <w:color w:val="auto"/>
          <w:highlight w:val="none"/>
        </w:rPr>
        <w:t>22、</w:t>
      </w:r>
      <w:bookmarkEnd w:id="196"/>
      <w:bookmarkEnd w:id="197"/>
      <w:bookmarkEnd w:id="198"/>
      <w:bookmarkEnd w:id="199"/>
      <w:bookmarkEnd w:id="200"/>
      <w:bookmarkEnd w:id="201"/>
      <w:r>
        <w:rPr>
          <w:rFonts w:hint="eastAsia"/>
          <w:b/>
          <w:bCs/>
          <w:color w:val="auto"/>
          <w:highlight w:val="none"/>
        </w:rPr>
        <w:t>组建磋商小组</w:t>
      </w:r>
      <w:bookmarkEnd w:id="202"/>
    </w:p>
    <w:p>
      <w:pPr>
        <w:pStyle w:val="10"/>
        <w:spacing w:line="360" w:lineRule="exact"/>
        <w:ind w:firstLine="420"/>
        <w:rPr>
          <w:rFonts w:hAnsi="宋体"/>
          <w:color w:val="auto"/>
          <w:highlight w:val="none"/>
        </w:rPr>
      </w:pPr>
      <w:bookmarkStart w:id="203" w:name="_Toc510450561"/>
      <w:bookmarkStart w:id="204" w:name="_Toc528924929"/>
      <w:bookmarkStart w:id="205" w:name="_Toc398287315"/>
      <w:bookmarkStart w:id="206" w:name="_Toc185702573"/>
      <w:bookmarkStart w:id="207" w:name="_Toc206525706"/>
      <w:bookmarkStart w:id="208" w:name="_Toc239839887"/>
      <w:bookmarkStart w:id="209" w:name="_Toc230578081"/>
      <w:bookmarkStart w:id="210" w:name="_Toc207770859"/>
      <w:r>
        <w:rPr>
          <w:rFonts w:hint="eastAsia" w:hAnsi="宋体"/>
          <w:color w:val="auto"/>
          <w:highlight w:val="none"/>
        </w:rPr>
        <w:t>22.1根据要求组建竞争性磋商小组（以下简称磋商小组），磋商小组由采购人代表和评审专家共3人以上单数组成，其中评审专家人数不得少于磋商小组成员总数的2/3，评审专家在政府采购评审专家库内相关专业技术、经济等方面的专家名单中随机抽取。</w:t>
      </w:r>
      <w:bookmarkEnd w:id="203"/>
      <w:bookmarkEnd w:id="204"/>
    </w:p>
    <w:p>
      <w:pPr>
        <w:pStyle w:val="10"/>
        <w:spacing w:line="360" w:lineRule="exact"/>
        <w:ind w:firstLine="420"/>
        <w:rPr>
          <w:rFonts w:hAnsi="宋体"/>
          <w:color w:val="auto"/>
          <w:highlight w:val="none"/>
        </w:rPr>
      </w:pPr>
      <w:bookmarkStart w:id="211" w:name="_Toc528924930"/>
      <w:bookmarkStart w:id="212" w:name="_Toc510450562"/>
      <w:r>
        <w:rPr>
          <w:rFonts w:hAnsi="宋体"/>
          <w:b/>
          <w:bCs/>
          <w:color w:val="auto"/>
          <w:highlight w:val="none"/>
        </w:rPr>
        <w:t>2</w:t>
      </w:r>
      <w:r>
        <w:rPr>
          <w:rFonts w:hint="eastAsia" w:hAnsi="宋体"/>
          <w:b/>
          <w:bCs/>
          <w:color w:val="auto"/>
          <w:highlight w:val="none"/>
        </w:rPr>
        <w:t>2</w:t>
      </w:r>
      <w:r>
        <w:rPr>
          <w:rFonts w:hAnsi="宋体"/>
          <w:b/>
          <w:bCs/>
          <w:color w:val="auto"/>
          <w:highlight w:val="none"/>
        </w:rPr>
        <w:t>.2</w:t>
      </w:r>
      <w:r>
        <w:rPr>
          <w:rFonts w:hint="eastAsia" w:hAnsi="宋体"/>
          <w:b/>
          <w:bCs/>
          <w:color w:val="auto"/>
          <w:highlight w:val="none"/>
        </w:rPr>
        <w:t>评审专家应当遵守评审工作纪律，不得泄露评审情况和评审中获悉的商业秘密。</w:t>
      </w:r>
      <w:bookmarkEnd w:id="211"/>
      <w:bookmarkEnd w:id="212"/>
    </w:p>
    <w:p>
      <w:pPr>
        <w:pStyle w:val="10"/>
        <w:spacing w:line="360" w:lineRule="exact"/>
        <w:ind w:firstLine="420"/>
        <w:rPr>
          <w:rFonts w:hAnsi="宋体"/>
          <w:color w:val="auto"/>
          <w:highlight w:val="none"/>
        </w:rPr>
      </w:pPr>
      <w:bookmarkStart w:id="213" w:name="_Toc510450563"/>
      <w:bookmarkStart w:id="214" w:name="_Toc528924931"/>
      <w:r>
        <w:rPr>
          <w:rFonts w:hAnsi="宋体"/>
          <w:color w:val="auto"/>
          <w:highlight w:val="none"/>
        </w:rPr>
        <w:t>2</w:t>
      </w:r>
      <w:r>
        <w:rPr>
          <w:rFonts w:hint="eastAsia" w:hAnsi="宋体"/>
          <w:color w:val="auto"/>
          <w:highlight w:val="none"/>
        </w:rPr>
        <w:t>2</w:t>
      </w:r>
      <w:r>
        <w:rPr>
          <w:rFonts w:hAnsi="宋体"/>
          <w:color w:val="auto"/>
          <w:highlight w:val="none"/>
        </w:rPr>
        <w:t>.3</w:t>
      </w:r>
      <w:r>
        <w:rPr>
          <w:rFonts w:hint="eastAsia" w:hAnsi="宋体"/>
          <w:color w:val="auto"/>
          <w:highlight w:val="none"/>
        </w:rPr>
        <w:t>磋商小组成员应当按照客观、公正、审慎的原则，根据磋商文件规定的评审程序、评审方法和评审标准进行独立评审。</w:t>
      </w:r>
      <w:bookmarkEnd w:id="213"/>
      <w:bookmarkEnd w:id="214"/>
    </w:p>
    <w:p>
      <w:pPr>
        <w:pStyle w:val="4"/>
        <w:spacing w:before="0" w:after="0" w:line="360" w:lineRule="exact"/>
        <w:rPr>
          <w:rFonts w:ascii="宋体" w:hAnsi="宋体" w:eastAsia="宋体"/>
          <w:color w:val="auto"/>
          <w:sz w:val="21"/>
          <w:szCs w:val="21"/>
          <w:highlight w:val="none"/>
        </w:rPr>
      </w:pPr>
      <w:bookmarkStart w:id="215" w:name="_Toc528924932"/>
      <w:r>
        <w:rPr>
          <w:rFonts w:hint="eastAsia" w:ascii="宋体" w:hAnsi="宋体" w:eastAsia="宋体"/>
          <w:color w:val="auto"/>
          <w:sz w:val="21"/>
          <w:szCs w:val="21"/>
          <w:highlight w:val="none"/>
        </w:rPr>
        <w:t>23、评</w:t>
      </w:r>
      <w:bookmarkEnd w:id="205"/>
      <w:bookmarkEnd w:id="206"/>
      <w:bookmarkEnd w:id="207"/>
      <w:bookmarkEnd w:id="208"/>
      <w:bookmarkEnd w:id="209"/>
      <w:bookmarkEnd w:id="210"/>
      <w:r>
        <w:rPr>
          <w:rFonts w:hint="eastAsia" w:ascii="宋体" w:hAnsi="宋体" w:eastAsia="宋体"/>
          <w:color w:val="auto"/>
          <w:sz w:val="21"/>
          <w:szCs w:val="21"/>
          <w:highlight w:val="none"/>
        </w:rPr>
        <w:t>审程序</w:t>
      </w:r>
      <w:bookmarkEnd w:id="215"/>
    </w:p>
    <w:p>
      <w:pPr>
        <w:pStyle w:val="10"/>
        <w:spacing w:line="360" w:lineRule="exact"/>
        <w:ind w:firstLine="420"/>
        <w:rPr>
          <w:rFonts w:hAnsi="宋体"/>
          <w:color w:val="auto"/>
          <w:szCs w:val="21"/>
          <w:highlight w:val="none"/>
        </w:rPr>
      </w:pPr>
      <w:r>
        <w:rPr>
          <w:rFonts w:hint="eastAsia" w:hAnsi="宋体"/>
          <w:color w:val="auto"/>
          <w:highlight w:val="none"/>
        </w:rPr>
        <w:t>23.1</w:t>
      </w:r>
      <w:r>
        <w:rPr>
          <w:rFonts w:hint="eastAsia" w:hAnsi="宋体"/>
          <w:color w:val="auto"/>
          <w:szCs w:val="21"/>
          <w:highlight w:val="none"/>
        </w:rPr>
        <w:t>评标的方式。本采购项目采用不公开方式评标，评标的依据为磋商文件和响应文件及磋商应答文件等。</w:t>
      </w:r>
      <w:r>
        <w:rPr>
          <w:rFonts w:hint="eastAsia" w:hAnsi="宋体"/>
          <w:color w:val="auto"/>
          <w:highlight w:val="none"/>
        </w:rPr>
        <w:t>磋商小组决定磋商的响应性只根据响应文件本身的内容，而不寻找其他的外部证据。</w:t>
      </w:r>
    </w:p>
    <w:p>
      <w:pPr>
        <w:pStyle w:val="10"/>
        <w:spacing w:line="360" w:lineRule="exact"/>
        <w:rPr>
          <w:rFonts w:hAnsi="宋体"/>
          <w:b/>
          <w:color w:val="auto"/>
          <w:highlight w:val="none"/>
        </w:rPr>
      </w:pPr>
      <w:r>
        <w:rPr>
          <w:rFonts w:hint="eastAsia" w:hAnsi="宋体"/>
          <w:b/>
          <w:color w:val="auto"/>
          <w:highlight w:val="none"/>
        </w:rPr>
        <w:t>23.2评标程序</w:t>
      </w:r>
    </w:p>
    <w:p>
      <w:pPr>
        <w:pStyle w:val="10"/>
        <w:spacing w:line="360" w:lineRule="exact"/>
        <w:ind w:firstLine="420"/>
        <w:rPr>
          <w:rFonts w:hAnsi="宋体"/>
          <w:color w:val="auto"/>
          <w:szCs w:val="21"/>
          <w:highlight w:val="none"/>
        </w:rPr>
      </w:pPr>
      <w:r>
        <w:rPr>
          <w:rFonts w:hAnsi="宋体"/>
          <w:color w:val="auto"/>
          <w:szCs w:val="21"/>
          <w:highlight w:val="none"/>
        </w:rPr>
        <w:t>2</w:t>
      </w:r>
      <w:r>
        <w:rPr>
          <w:rFonts w:hint="eastAsia" w:hAnsi="宋体"/>
          <w:color w:val="auto"/>
          <w:szCs w:val="21"/>
          <w:highlight w:val="none"/>
        </w:rPr>
        <w:t>3</w:t>
      </w:r>
      <w:r>
        <w:rPr>
          <w:rFonts w:hAnsi="宋体"/>
          <w:color w:val="auto"/>
          <w:szCs w:val="21"/>
          <w:highlight w:val="none"/>
        </w:rPr>
        <w:t>.1</w:t>
      </w:r>
      <w:r>
        <w:rPr>
          <w:rFonts w:hint="eastAsia" w:hAnsi="宋体"/>
          <w:color w:val="auto"/>
          <w:szCs w:val="21"/>
          <w:highlight w:val="none"/>
        </w:rPr>
        <w:t>响应文件开启时间及地点：</w:t>
      </w:r>
      <w:r>
        <w:rPr>
          <w:rFonts w:hint="eastAsia" w:hAnsi="宋体"/>
          <w:color w:val="auto"/>
          <w:spacing w:val="-4"/>
          <w:szCs w:val="21"/>
          <w:highlight w:val="none"/>
        </w:rPr>
        <w:t>本须知前附表第</w:t>
      </w:r>
      <w:r>
        <w:rPr>
          <w:rFonts w:hAnsi="宋体"/>
          <w:color w:val="auto"/>
          <w:spacing w:val="-4"/>
          <w:szCs w:val="21"/>
          <w:highlight w:val="none"/>
        </w:rPr>
        <w:t>8</w:t>
      </w:r>
      <w:r>
        <w:rPr>
          <w:rFonts w:hint="eastAsia" w:hAnsi="宋体"/>
          <w:color w:val="auto"/>
          <w:spacing w:val="-4"/>
          <w:szCs w:val="21"/>
          <w:highlight w:val="none"/>
        </w:rPr>
        <w:t>项规定的时间和地点</w:t>
      </w:r>
    </w:p>
    <w:p>
      <w:pPr>
        <w:pStyle w:val="10"/>
        <w:spacing w:line="360" w:lineRule="exact"/>
        <w:ind w:firstLine="420"/>
        <w:rPr>
          <w:rFonts w:hAnsi="宋体"/>
          <w:color w:val="auto"/>
          <w:szCs w:val="21"/>
          <w:highlight w:val="none"/>
        </w:rPr>
      </w:pPr>
      <w:r>
        <w:rPr>
          <w:rFonts w:hAnsi="宋体"/>
          <w:color w:val="auto"/>
          <w:szCs w:val="21"/>
          <w:highlight w:val="none"/>
        </w:rPr>
        <w:t>2</w:t>
      </w:r>
      <w:r>
        <w:rPr>
          <w:rFonts w:hint="eastAsia" w:hAnsi="宋体"/>
          <w:color w:val="auto"/>
          <w:szCs w:val="21"/>
          <w:highlight w:val="none"/>
        </w:rPr>
        <w:t>3</w:t>
      </w:r>
      <w:r>
        <w:rPr>
          <w:rFonts w:hAnsi="宋体"/>
          <w:color w:val="auto"/>
          <w:szCs w:val="21"/>
          <w:highlight w:val="none"/>
        </w:rPr>
        <w:t>1.2</w:t>
      </w:r>
      <w:r>
        <w:rPr>
          <w:rFonts w:hint="eastAsia" w:hAnsi="宋体"/>
          <w:color w:val="auto"/>
          <w:szCs w:val="21"/>
          <w:highlight w:val="none"/>
        </w:rPr>
        <w:t>磋商小组成员按照客观、公正、审慎的原则，根据磋商文件规定的评审程序、评审方法和评审标准进行独立评审。</w:t>
      </w:r>
    </w:p>
    <w:p>
      <w:pPr>
        <w:pStyle w:val="10"/>
        <w:spacing w:line="360" w:lineRule="exact"/>
        <w:ind w:firstLine="420"/>
        <w:rPr>
          <w:rFonts w:hAnsi="宋体"/>
          <w:b/>
          <w:color w:val="auto"/>
          <w:szCs w:val="21"/>
          <w:highlight w:val="none"/>
        </w:rPr>
      </w:pPr>
      <w:r>
        <w:rPr>
          <w:rFonts w:hAnsi="宋体"/>
          <w:color w:val="auto"/>
          <w:szCs w:val="21"/>
          <w:highlight w:val="none"/>
        </w:rPr>
        <w:t>2</w:t>
      </w:r>
      <w:r>
        <w:rPr>
          <w:rFonts w:hint="eastAsia" w:hAnsi="宋体"/>
          <w:color w:val="auto"/>
          <w:szCs w:val="21"/>
          <w:highlight w:val="none"/>
        </w:rPr>
        <w:t>3</w:t>
      </w:r>
      <w:r>
        <w:rPr>
          <w:rFonts w:hAnsi="宋体"/>
          <w:color w:val="auto"/>
          <w:szCs w:val="21"/>
          <w:highlight w:val="none"/>
        </w:rPr>
        <w:t>.2.1</w:t>
      </w:r>
      <w:r>
        <w:rPr>
          <w:rFonts w:hint="eastAsia" w:hAnsi="宋体"/>
          <w:color w:val="auto"/>
          <w:szCs w:val="21"/>
          <w:highlight w:val="none"/>
        </w:rPr>
        <w:t>响应文件初审。初审分为资格性审查和符合性审查。</w:t>
      </w:r>
    </w:p>
    <w:p>
      <w:pPr>
        <w:pStyle w:val="10"/>
        <w:spacing w:line="360" w:lineRule="exact"/>
        <w:ind w:firstLine="420"/>
        <w:rPr>
          <w:rFonts w:hAnsi="宋体"/>
          <w:color w:val="auto"/>
          <w:szCs w:val="21"/>
          <w:highlight w:val="none"/>
        </w:rPr>
      </w:pPr>
      <w:r>
        <w:rPr>
          <w:rFonts w:hAnsi="宋体"/>
          <w:color w:val="auto"/>
          <w:szCs w:val="21"/>
          <w:highlight w:val="none"/>
        </w:rPr>
        <w:t>(1)</w:t>
      </w:r>
      <w:r>
        <w:rPr>
          <w:rFonts w:hint="eastAsia" w:hAnsi="宋体"/>
          <w:color w:val="auto"/>
          <w:szCs w:val="21"/>
          <w:highlight w:val="none"/>
        </w:rPr>
        <w:t>资格性检查。依据法律法规和竞争性磋商文件的规定对响应文件的资质证明、磋商保证金等进行审查，以确定服务商是否具备磋商资格。它所涉及到的主要文件和内容为磋商文件服务商须知第10条所述的资格证明文件内容和签章的合格性、合法性等。如果服务商不具备磋商资格，不满足磋商文件所规定的资格标准或提供资格证明文件不全的，其磋商将被拒绝。</w:t>
      </w:r>
    </w:p>
    <w:p>
      <w:pPr>
        <w:pStyle w:val="10"/>
        <w:spacing w:line="360" w:lineRule="exact"/>
        <w:ind w:firstLine="420"/>
        <w:rPr>
          <w:rFonts w:hAnsi="宋体"/>
          <w:color w:val="auto"/>
          <w:szCs w:val="21"/>
          <w:highlight w:val="none"/>
        </w:rPr>
      </w:pPr>
      <w:r>
        <w:rPr>
          <w:rFonts w:hAnsi="宋体"/>
          <w:color w:val="auto"/>
          <w:szCs w:val="21"/>
          <w:highlight w:val="none"/>
        </w:rPr>
        <w:t>(2)</w:t>
      </w:r>
      <w:r>
        <w:rPr>
          <w:rFonts w:hint="eastAsia" w:hAnsi="宋体"/>
          <w:color w:val="auto"/>
          <w:szCs w:val="21"/>
          <w:highlight w:val="none"/>
        </w:rPr>
        <w:t>符合性检查。依据磋商文件的规定，从响应文件的有效性、完整性和对磋商文件的响应程度进行审查，以确定是否符合对磋商文件的实质性要求作出响应（采购人可根据具体项目的情况对实质性要求作特别的规定）。实质性偏离是指：</w:t>
      </w:r>
      <w:r>
        <w:rPr>
          <w:rFonts w:hAnsi="宋体"/>
          <w:color w:val="auto"/>
          <w:szCs w:val="21"/>
          <w:highlight w:val="none"/>
        </w:rPr>
        <w:t>(1)</w:t>
      </w:r>
      <w:r>
        <w:rPr>
          <w:rFonts w:hint="eastAsia" w:hAnsi="宋体"/>
          <w:color w:val="auto"/>
          <w:szCs w:val="21"/>
          <w:highlight w:val="none"/>
        </w:rPr>
        <w:t>实质性影响合同的范围、质量和履行；</w:t>
      </w:r>
      <w:r>
        <w:rPr>
          <w:rFonts w:hAnsi="宋体"/>
          <w:color w:val="auto"/>
          <w:szCs w:val="21"/>
          <w:highlight w:val="none"/>
        </w:rPr>
        <w:t>(2)</w:t>
      </w:r>
      <w:r>
        <w:rPr>
          <w:rFonts w:hint="eastAsia" w:hAnsi="宋体"/>
          <w:color w:val="auto"/>
          <w:szCs w:val="21"/>
          <w:highlight w:val="none"/>
        </w:rPr>
        <w:t>实质性违背磋商文件，限制了采购人的权利和成交人合同项下的义务；</w:t>
      </w:r>
      <w:r>
        <w:rPr>
          <w:rFonts w:hAnsi="宋体"/>
          <w:color w:val="auto"/>
          <w:szCs w:val="21"/>
          <w:highlight w:val="none"/>
        </w:rPr>
        <w:t>(3)</w:t>
      </w:r>
      <w:r>
        <w:rPr>
          <w:rFonts w:hint="eastAsia" w:hAnsi="宋体"/>
          <w:color w:val="auto"/>
          <w:szCs w:val="21"/>
          <w:highlight w:val="none"/>
        </w:rPr>
        <w:t>不公正地影响了其它作出实质性响应的服务商的竞争地位。对没有实质性响应的响应文件将不进行评审，其磋商将被拒绝。</w:t>
      </w:r>
    </w:p>
    <w:p>
      <w:pPr>
        <w:pStyle w:val="10"/>
        <w:spacing w:line="360" w:lineRule="exact"/>
        <w:ind w:firstLine="420"/>
        <w:rPr>
          <w:rFonts w:hAnsi="宋体"/>
          <w:color w:val="auto"/>
          <w:szCs w:val="21"/>
          <w:highlight w:val="none"/>
        </w:rPr>
      </w:pPr>
      <w:r>
        <w:rPr>
          <w:rFonts w:hAnsi="宋体"/>
          <w:color w:val="auto"/>
          <w:szCs w:val="21"/>
          <w:highlight w:val="none"/>
        </w:rPr>
        <w:t xml:space="preserve">(3) </w:t>
      </w:r>
      <w:r>
        <w:rPr>
          <w:rFonts w:hint="eastAsia" w:hAnsi="宋体"/>
          <w:color w:val="auto"/>
          <w:szCs w:val="21"/>
          <w:highlight w:val="none"/>
        </w:rPr>
        <w:t>出现下列情况之一的，视为未实质性响应磋商文件的响应文件，按无效响应处理。</w:t>
      </w:r>
    </w:p>
    <w:p>
      <w:pPr>
        <w:pStyle w:val="10"/>
        <w:numPr>
          <w:ilvl w:val="0"/>
          <w:numId w:val="1"/>
        </w:numPr>
        <w:spacing w:line="360" w:lineRule="exact"/>
        <w:ind w:left="0" w:firstLine="567"/>
        <w:rPr>
          <w:rFonts w:hAnsi="宋体"/>
          <w:color w:val="auto"/>
          <w:szCs w:val="21"/>
          <w:highlight w:val="none"/>
        </w:rPr>
      </w:pPr>
      <w:r>
        <w:rPr>
          <w:rFonts w:hint="eastAsia" w:hAnsi="宋体"/>
          <w:color w:val="auto"/>
          <w:szCs w:val="21"/>
          <w:highlight w:val="none"/>
        </w:rPr>
        <w:t>响应文件未按本须知第10条、第</w:t>
      </w:r>
      <w:r>
        <w:rPr>
          <w:rFonts w:hAnsi="宋体"/>
          <w:color w:val="auto"/>
          <w:szCs w:val="21"/>
          <w:highlight w:val="none"/>
        </w:rPr>
        <w:t>1</w:t>
      </w:r>
      <w:r>
        <w:rPr>
          <w:rFonts w:hint="eastAsia" w:hAnsi="宋体"/>
          <w:color w:val="auto"/>
          <w:szCs w:val="21"/>
          <w:highlight w:val="none"/>
        </w:rPr>
        <w:t>9条规定进行编制、签署、盖章、装订、密封的；</w:t>
      </w:r>
    </w:p>
    <w:p>
      <w:pPr>
        <w:pStyle w:val="10"/>
        <w:numPr>
          <w:ilvl w:val="0"/>
          <w:numId w:val="1"/>
        </w:numPr>
        <w:spacing w:line="360" w:lineRule="exact"/>
        <w:ind w:left="0" w:firstLine="567"/>
        <w:rPr>
          <w:rFonts w:hAnsi="宋体"/>
          <w:color w:val="auto"/>
          <w:szCs w:val="21"/>
          <w:highlight w:val="none"/>
        </w:rPr>
      </w:pPr>
      <w:r>
        <w:rPr>
          <w:rFonts w:hint="eastAsia" w:hAnsi="宋体"/>
          <w:color w:val="auto"/>
          <w:szCs w:val="21"/>
          <w:highlight w:val="none"/>
        </w:rPr>
        <w:t>未按本须知第10条规定提交必须提供且有效的证明文件的；</w:t>
      </w:r>
    </w:p>
    <w:p>
      <w:pPr>
        <w:pStyle w:val="10"/>
        <w:numPr>
          <w:ilvl w:val="0"/>
          <w:numId w:val="1"/>
        </w:numPr>
        <w:spacing w:line="360" w:lineRule="exact"/>
        <w:ind w:left="0" w:firstLine="567"/>
        <w:rPr>
          <w:rFonts w:hAnsi="宋体"/>
          <w:color w:val="auto"/>
          <w:szCs w:val="21"/>
          <w:highlight w:val="none"/>
        </w:rPr>
      </w:pPr>
      <w:r>
        <w:rPr>
          <w:rFonts w:hint="eastAsia" w:hAnsi="宋体"/>
          <w:color w:val="auto"/>
          <w:szCs w:val="21"/>
          <w:highlight w:val="none"/>
        </w:rPr>
        <w:t>未按本须知第10</w:t>
      </w:r>
      <w:r>
        <w:rPr>
          <w:rFonts w:hAnsi="宋体"/>
          <w:color w:val="auto"/>
          <w:szCs w:val="21"/>
          <w:highlight w:val="none"/>
        </w:rPr>
        <w:t>.1</w:t>
      </w:r>
      <w:r>
        <w:rPr>
          <w:rFonts w:hint="eastAsia" w:hAnsi="宋体"/>
          <w:color w:val="auto"/>
          <w:szCs w:val="21"/>
          <w:highlight w:val="none"/>
        </w:rPr>
        <w:t>款、第16条规定应由法定代表人或委托代理人在凡规定签名、盖章处逐一签名和加盖公章的；或签字人未经法定代表人有效授权委托的；</w:t>
      </w:r>
    </w:p>
    <w:p>
      <w:pPr>
        <w:pStyle w:val="10"/>
        <w:numPr>
          <w:ilvl w:val="0"/>
          <w:numId w:val="1"/>
        </w:numPr>
        <w:spacing w:line="360" w:lineRule="exact"/>
        <w:ind w:left="0" w:firstLine="567"/>
        <w:rPr>
          <w:rFonts w:hAnsi="宋体"/>
          <w:color w:val="auto"/>
          <w:szCs w:val="21"/>
          <w:highlight w:val="none"/>
        </w:rPr>
      </w:pPr>
      <w:r>
        <w:rPr>
          <w:rFonts w:hint="eastAsia" w:hAnsi="宋体"/>
          <w:color w:val="auto"/>
          <w:szCs w:val="21"/>
          <w:highlight w:val="none"/>
        </w:rPr>
        <w:t>未按有关要求提交或足额提交磋商保证金的；</w:t>
      </w:r>
    </w:p>
    <w:p>
      <w:pPr>
        <w:pStyle w:val="10"/>
        <w:numPr>
          <w:ilvl w:val="0"/>
          <w:numId w:val="1"/>
        </w:numPr>
        <w:spacing w:line="360" w:lineRule="exact"/>
        <w:ind w:leftChars="200" w:firstLine="567"/>
        <w:rPr>
          <w:rFonts w:hAnsi="宋体"/>
          <w:color w:val="auto"/>
          <w:szCs w:val="21"/>
          <w:highlight w:val="none"/>
        </w:rPr>
      </w:pPr>
      <w:r>
        <w:rPr>
          <w:rFonts w:hint="eastAsia" w:hAnsi="宋体"/>
          <w:color w:val="auto"/>
          <w:szCs w:val="21"/>
          <w:highlight w:val="none"/>
        </w:rPr>
        <w:t>磋商有效期不满足磋商文件要求的</w:t>
      </w:r>
    </w:p>
    <w:p>
      <w:pPr>
        <w:pStyle w:val="10"/>
        <w:numPr>
          <w:ilvl w:val="0"/>
          <w:numId w:val="1"/>
        </w:numPr>
        <w:spacing w:line="360" w:lineRule="exact"/>
        <w:ind w:left="0" w:firstLine="567"/>
        <w:rPr>
          <w:rFonts w:hAnsi="宋体"/>
          <w:color w:val="auto"/>
          <w:szCs w:val="21"/>
          <w:highlight w:val="none"/>
        </w:rPr>
      </w:pPr>
      <w:r>
        <w:rPr>
          <w:rFonts w:hint="eastAsia" w:hAnsi="宋体"/>
          <w:color w:val="auto"/>
          <w:szCs w:val="21"/>
          <w:highlight w:val="none"/>
        </w:rPr>
        <w:t>响应文件的关键内容字迹模糊、无法辨认的；</w:t>
      </w:r>
    </w:p>
    <w:p>
      <w:pPr>
        <w:pStyle w:val="10"/>
        <w:numPr>
          <w:ilvl w:val="0"/>
          <w:numId w:val="1"/>
        </w:numPr>
        <w:spacing w:line="360" w:lineRule="exact"/>
        <w:ind w:left="0" w:firstLine="567"/>
        <w:rPr>
          <w:rFonts w:hAnsi="宋体"/>
          <w:color w:val="auto"/>
          <w:szCs w:val="21"/>
          <w:highlight w:val="none"/>
        </w:rPr>
      </w:pPr>
      <w:r>
        <w:rPr>
          <w:rFonts w:hint="eastAsia" w:hAnsi="宋体"/>
          <w:color w:val="auto"/>
          <w:szCs w:val="21"/>
          <w:highlight w:val="none"/>
        </w:rPr>
        <w:t>服务商提交的是可选择的报价的，或最后报价超过采购预算价的；</w:t>
      </w:r>
    </w:p>
    <w:p>
      <w:pPr>
        <w:pStyle w:val="10"/>
        <w:numPr>
          <w:ilvl w:val="0"/>
          <w:numId w:val="1"/>
        </w:numPr>
        <w:spacing w:line="360" w:lineRule="exact"/>
        <w:ind w:left="0" w:firstLine="567"/>
        <w:rPr>
          <w:rFonts w:hAnsi="宋体"/>
          <w:color w:val="auto"/>
          <w:spacing w:val="-6"/>
          <w:szCs w:val="21"/>
          <w:highlight w:val="none"/>
        </w:rPr>
      </w:pPr>
      <w:r>
        <w:rPr>
          <w:rFonts w:hint="eastAsia" w:hAnsi="宋体"/>
          <w:color w:val="auto"/>
          <w:spacing w:val="-6"/>
          <w:szCs w:val="21"/>
          <w:highlight w:val="none"/>
        </w:rPr>
        <w:t>磋商内容与采购内容及要求存在重大偏离或保留的（如严重背离采购需求、合同协议要求等）；</w:t>
      </w:r>
    </w:p>
    <w:p>
      <w:pPr>
        <w:pStyle w:val="10"/>
        <w:numPr>
          <w:ilvl w:val="0"/>
          <w:numId w:val="1"/>
        </w:numPr>
        <w:spacing w:line="360" w:lineRule="exact"/>
        <w:ind w:left="0" w:firstLine="567"/>
        <w:rPr>
          <w:rFonts w:hAnsi="宋体"/>
          <w:color w:val="auto"/>
          <w:szCs w:val="21"/>
          <w:highlight w:val="none"/>
        </w:rPr>
      </w:pPr>
      <w:r>
        <w:rPr>
          <w:rFonts w:hint="eastAsia" w:hAnsi="宋体"/>
          <w:color w:val="auto"/>
          <w:szCs w:val="21"/>
          <w:highlight w:val="none"/>
        </w:rPr>
        <w:t>通过对“服务内容及要求”内容的修改以达到满足技术要求的；响应文件商务条款偏离表没有按要求表述的或与项目要求表述不一致却没有提供相关依据说明的；</w:t>
      </w:r>
    </w:p>
    <w:p>
      <w:pPr>
        <w:pStyle w:val="10"/>
        <w:numPr>
          <w:ilvl w:val="0"/>
          <w:numId w:val="1"/>
        </w:numPr>
        <w:spacing w:line="360" w:lineRule="exact"/>
        <w:ind w:left="0" w:firstLine="567"/>
        <w:rPr>
          <w:rFonts w:hAnsi="宋体"/>
          <w:color w:val="auto"/>
          <w:szCs w:val="21"/>
          <w:highlight w:val="none"/>
        </w:rPr>
      </w:pPr>
      <w:r>
        <w:rPr>
          <w:rFonts w:hint="eastAsia" w:hAnsi="宋体"/>
          <w:color w:val="auto"/>
          <w:szCs w:val="21"/>
          <w:highlight w:val="none"/>
        </w:rPr>
        <w:t>响应文件中提供虚假或失实资料的；</w:t>
      </w:r>
    </w:p>
    <w:p>
      <w:pPr>
        <w:pStyle w:val="10"/>
        <w:numPr>
          <w:ilvl w:val="0"/>
          <w:numId w:val="1"/>
        </w:numPr>
        <w:spacing w:line="360" w:lineRule="exact"/>
        <w:ind w:left="0" w:firstLine="567"/>
        <w:rPr>
          <w:rFonts w:hAnsi="宋体"/>
          <w:color w:val="auto"/>
          <w:szCs w:val="21"/>
          <w:highlight w:val="none"/>
        </w:rPr>
      </w:pPr>
      <w:r>
        <w:rPr>
          <w:rFonts w:hint="eastAsia" w:hAnsi="宋体"/>
          <w:color w:val="auto"/>
          <w:szCs w:val="21"/>
          <w:highlight w:val="none"/>
        </w:rPr>
        <w:t>不符合有关法律、法规和磋商文件中规定的其他实质性条款。</w:t>
      </w:r>
    </w:p>
    <w:p>
      <w:pPr>
        <w:pStyle w:val="10"/>
        <w:spacing w:line="360" w:lineRule="exact"/>
        <w:ind w:firstLine="420"/>
        <w:rPr>
          <w:rFonts w:hAnsi="宋体"/>
          <w:color w:val="auto"/>
          <w:szCs w:val="21"/>
          <w:highlight w:val="none"/>
        </w:rPr>
      </w:pPr>
      <w:r>
        <w:rPr>
          <w:rFonts w:hAnsi="宋体"/>
          <w:color w:val="auto"/>
          <w:szCs w:val="21"/>
          <w:highlight w:val="none"/>
        </w:rPr>
        <w:t>2</w:t>
      </w:r>
      <w:r>
        <w:rPr>
          <w:rFonts w:hint="eastAsia" w:hAnsi="宋体"/>
          <w:color w:val="auto"/>
          <w:szCs w:val="21"/>
          <w:highlight w:val="none"/>
        </w:rPr>
        <w:t>3</w:t>
      </w:r>
      <w:r>
        <w:rPr>
          <w:rFonts w:hAnsi="宋体"/>
          <w:color w:val="auto"/>
          <w:szCs w:val="21"/>
          <w:highlight w:val="none"/>
        </w:rPr>
        <w:t>.2.2</w:t>
      </w:r>
      <w:r>
        <w:rPr>
          <w:rFonts w:hint="eastAsia" w:hAnsi="宋体"/>
          <w:color w:val="auto"/>
          <w:szCs w:val="21"/>
          <w:highlight w:val="none"/>
        </w:rPr>
        <w:t>澄清有关问题。</w:t>
      </w:r>
    </w:p>
    <w:p>
      <w:pPr>
        <w:pStyle w:val="10"/>
        <w:spacing w:line="360" w:lineRule="exact"/>
        <w:ind w:firstLine="420"/>
        <w:rPr>
          <w:rFonts w:hAnsi="宋体"/>
          <w:color w:val="auto"/>
          <w:szCs w:val="21"/>
          <w:highlight w:val="none"/>
        </w:rPr>
      </w:pPr>
      <w:r>
        <w:rPr>
          <w:rFonts w:hAnsi="宋体"/>
          <w:color w:val="auto"/>
          <w:szCs w:val="21"/>
          <w:highlight w:val="none"/>
        </w:rPr>
        <w:t xml:space="preserve">(1) </w:t>
      </w:r>
      <w:r>
        <w:rPr>
          <w:rFonts w:hint="eastAsia" w:hAnsi="宋体"/>
          <w:color w:val="auto"/>
          <w:szCs w:val="21"/>
          <w:highlight w:val="none"/>
        </w:rPr>
        <w:t>磋商小组在对响应文件的有效性、完整性和响应程度进行审查时，可以要求服务商对响应文件中含义不明确、同类问题表述不一致或者有明显文字和计算错误的内容等作出必要的澄清、说明或者更正。服务商的澄清、说明或者更正不得超出响应文件的范围或者改变响应文件的实质性内容。</w:t>
      </w:r>
    </w:p>
    <w:p>
      <w:pPr>
        <w:pStyle w:val="10"/>
        <w:spacing w:line="360" w:lineRule="exact"/>
        <w:ind w:firstLine="420"/>
        <w:rPr>
          <w:rFonts w:hAnsi="宋体"/>
          <w:color w:val="auto"/>
          <w:szCs w:val="21"/>
          <w:highlight w:val="none"/>
        </w:rPr>
      </w:pPr>
      <w:r>
        <w:rPr>
          <w:rFonts w:hAnsi="宋体"/>
          <w:color w:val="auto"/>
          <w:szCs w:val="21"/>
          <w:highlight w:val="none"/>
        </w:rPr>
        <w:t>(2)</w:t>
      </w:r>
      <w:r>
        <w:rPr>
          <w:rFonts w:hint="eastAsia" w:hAnsi="宋体"/>
          <w:color w:val="auto"/>
          <w:szCs w:val="21"/>
          <w:highlight w:val="none"/>
        </w:rPr>
        <w:t>磋商小组要求服务商澄清、说明或者更正响应文件应当以书面形式作出。服务商的澄清、说明或者更正应当由法定代表人或其授权代表签字或者加盖公章。由授权代表签字的，应当附法定代表人授权书。</w:t>
      </w:r>
    </w:p>
    <w:p>
      <w:pPr>
        <w:pStyle w:val="10"/>
        <w:spacing w:line="360" w:lineRule="exact"/>
        <w:ind w:firstLine="420"/>
        <w:rPr>
          <w:rFonts w:hAnsi="宋体"/>
          <w:color w:val="auto"/>
          <w:szCs w:val="21"/>
          <w:highlight w:val="none"/>
        </w:rPr>
      </w:pPr>
      <w:r>
        <w:rPr>
          <w:rFonts w:hAnsi="宋体"/>
          <w:color w:val="auto"/>
          <w:szCs w:val="21"/>
          <w:highlight w:val="none"/>
        </w:rPr>
        <w:t>(3)</w:t>
      </w:r>
      <w:r>
        <w:rPr>
          <w:rFonts w:hint="eastAsia" w:hAnsi="宋体"/>
          <w:color w:val="auto"/>
          <w:szCs w:val="21"/>
          <w:highlight w:val="none"/>
        </w:rPr>
        <w:t>响应文件如果出现计算或表达上的错误，修正错误的原则如下：</w:t>
      </w:r>
    </w:p>
    <w:p>
      <w:pPr>
        <w:pStyle w:val="10"/>
        <w:spacing w:line="360" w:lineRule="exact"/>
        <w:ind w:firstLine="420"/>
        <w:rPr>
          <w:rFonts w:hAnsi="宋体"/>
          <w:color w:val="auto"/>
          <w:szCs w:val="21"/>
          <w:highlight w:val="none"/>
        </w:rPr>
      </w:pPr>
      <w:r>
        <w:rPr>
          <w:rFonts w:hint="eastAsia" w:hAnsi="宋体"/>
          <w:color w:val="auto"/>
          <w:szCs w:val="21"/>
          <w:highlight w:val="none"/>
        </w:rPr>
        <w:t>①响应文件中《磋商报价表》与《响应函》内容不一致的，以《响应函》为准。</w:t>
      </w:r>
    </w:p>
    <w:p>
      <w:pPr>
        <w:pStyle w:val="10"/>
        <w:spacing w:line="360" w:lineRule="exact"/>
        <w:ind w:firstLine="420"/>
        <w:rPr>
          <w:rFonts w:hAnsi="宋体"/>
          <w:color w:val="auto"/>
          <w:szCs w:val="21"/>
          <w:highlight w:val="none"/>
        </w:rPr>
      </w:pPr>
      <w:r>
        <w:rPr>
          <w:rFonts w:hint="eastAsia" w:hAnsi="宋体"/>
          <w:color w:val="auto"/>
          <w:szCs w:val="21"/>
          <w:highlight w:val="none"/>
        </w:rPr>
        <w:t>②响应文件的大写金额和小写金额不一致的，以大写金额为准；</w:t>
      </w:r>
    </w:p>
    <w:p>
      <w:pPr>
        <w:pStyle w:val="10"/>
        <w:spacing w:line="360" w:lineRule="exact"/>
        <w:ind w:firstLine="420"/>
        <w:rPr>
          <w:rFonts w:hAnsi="宋体"/>
          <w:color w:val="auto"/>
          <w:szCs w:val="21"/>
          <w:highlight w:val="none"/>
        </w:rPr>
      </w:pPr>
      <w:r>
        <w:rPr>
          <w:rFonts w:hint="eastAsia" w:hAnsi="宋体"/>
          <w:color w:val="auto"/>
          <w:szCs w:val="21"/>
          <w:highlight w:val="none"/>
        </w:rPr>
        <w:t>③总价金额与按单价汇总金额不一致的，以单价金额计算结果为准；</w:t>
      </w:r>
    </w:p>
    <w:p>
      <w:pPr>
        <w:pStyle w:val="10"/>
        <w:spacing w:line="360" w:lineRule="exact"/>
        <w:ind w:firstLine="420"/>
        <w:rPr>
          <w:rFonts w:hAnsi="宋体"/>
          <w:color w:val="auto"/>
          <w:szCs w:val="21"/>
          <w:highlight w:val="none"/>
        </w:rPr>
      </w:pPr>
      <w:r>
        <w:rPr>
          <w:rFonts w:hint="eastAsia" w:hAnsi="宋体"/>
          <w:color w:val="auto"/>
          <w:szCs w:val="21"/>
          <w:highlight w:val="none"/>
        </w:rPr>
        <w:t>④单价金额小数点有明显错位的，应以总价为准，并修改单价；</w:t>
      </w:r>
    </w:p>
    <w:p>
      <w:pPr>
        <w:pStyle w:val="10"/>
        <w:spacing w:line="360" w:lineRule="exact"/>
        <w:ind w:firstLine="420"/>
        <w:rPr>
          <w:rFonts w:hAnsi="宋体"/>
          <w:color w:val="auto"/>
          <w:szCs w:val="21"/>
          <w:highlight w:val="none"/>
        </w:rPr>
      </w:pPr>
      <w:r>
        <w:rPr>
          <w:rFonts w:hint="eastAsia" w:hAnsi="宋体"/>
          <w:color w:val="auto"/>
          <w:szCs w:val="21"/>
          <w:highlight w:val="none"/>
        </w:rPr>
        <w:t>⑤对不同文字文本响应文件的解释发生异议的，以中文文本为准。</w:t>
      </w:r>
    </w:p>
    <w:p>
      <w:pPr>
        <w:pStyle w:val="10"/>
        <w:spacing w:line="360" w:lineRule="exact"/>
        <w:ind w:firstLine="420"/>
        <w:rPr>
          <w:rFonts w:hAnsi="宋体"/>
          <w:color w:val="auto"/>
          <w:szCs w:val="21"/>
          <w:highlight w:val="none"/>
        </w:rPr>
      </w:pPr>
      <w:r>
        <w:rPr>
          <w:rFonts w:hint="eastAsia" w:hAnsi="宋体"/>
          <w:color w:val="auto"/>
          <w:szCs w:val="21"/>
          <w:highlight w:val="none"/>
        </w:rPr>
        <w:t>⑥按上述修正错误的原则及方法调整或修正响应文件的磋商报价，在服务商确认后，调整后的磋商报价对服务商起约束作用。如果服务商拒绝确认，不接受修正后的价格或报价，则其响应文件将不予评审，其磋商将被拒绝，采购人有权没收其磋商保证金。</w:t>
      </w:r>
    </w:p>
    <w:p>
      <w:pPr>
        <w:pStyle w:val="10"/>
        <w:spacing w:line="360" w:lineRule="exact"/>
        <w:ind w:firstLine="420"/>
        <w:rPr>
          <w:rFonts w:hAnsi="宋体"/>
          <w:color w:val="auto"/>
          <w:szCs w:val="21"/>
          <w:highlight w:val="none"/>
        </w:rPr>
      </w:pPr>
      <w:r>
        <w:rPr>
          <w:rFonts w:hAnsi="宋体"/>
          <w:color w:val="auto"/>
          <w:szCs w:val="21"/>
          <w:highlight w:val="none"/>
        </w:rPr>
        <w:t>2</w:t>
      </w:r>
      <w:r>
        <w:rPr>
          <w:rFonts w:hint="eastAsia" w:hAnsi="宋体"/>
          <w:color w:val="auto"/>
          <w:szCs w:val="21"/>
          <w:highlight w:val="none"/>
        </w:rPr>
        <w:t>3</w:t>
      </w:r>
      <w:r>
        <w:rPr>
          <w:rFonts w:hAnsi="宋体"/>
          <w:color w:val="auto"/>
          <w:szCs w:val="21"/>
          <w:highlight w:val="none"/>
        </w:rPr>
        <w:t>.2.3</w:t>
      </w:r>
      <w:r>
        <w:rPr>
          <w:rFonts w:hint="eastAsia" w:hAnsi="宋体"/>
          <w:color w:val="auto"/>
          <w:szCs w:val="21"/>
          <w:highlight w:val="none"/>
        </w:rPr>
        <w:t>磋商。时间及地点：</w:t>
      </w:r>
      <w:r>
        <w:rPr>
          <w:rFonts w:hint="eastAsia" w:hAnsi="宋体"/>
          <w:color w:val="auto"/>
          <w:spacing w:val="-4"/>
          <w:szCs w:val="21"/>
          <w:highlight w:val="none"/>
        </w:rPr>
        <w:t>本须知前附表第</w:t>
      </w:r>
      <w:r>
        <w:rPr>
          <w:rFonts w:hAnsi="宋体"/>
          <w:color w:val="auto"/>
          <w:spacing w:val="-4"/>
          <w:szCs w:val="21"/>
          <w:highlight w:val="none"/>
        </w:rPr>
        <w:t>8</w:t>
      </w:r>
      <w:r>
        <w:rPr>
          <w:rFonts w:hint="eastAsia" w:hAnsi="宋体"/>
          <w:color w:val="auto"/>
          <w:spacing w:val="-4"/>
          <w:szCs w:val="21"/>
          <w:highlight w:val="none"/>
        </w:rPr>
        <w:t>项规定的时间和地点</w:t>
      </w:r>
    </w:p>
    <w:p>
      <w:pPr>
        <w:pStyle w:val="10"/>
        <w:spacing w:line="360" w:lineRule="exact"/>
        <w:ind w:firstLine="420"/>
        <w:rPr>
          <w:rFonts w:hAnsi="宋体"/>
          <w:color w:val="auto"/>
          <w:szCs w:val="21"/>
          <w:highlight w:val="none"/>
        </w:rPr>
      </w:pPr>
      <w:r>
        <w:rPr>
          <w:rFonts w:hAnsi="宋体"/>
          <w:color w:val="auto"/>
          <w:szCs w:val="21"/>
          <w:highlight w:val="none"/>
        </w:rPr>
        <w:t>(1)</w:t>
      </w:r>
      <w:r>
        <w:rPr>
          <w:rFonts w:hint="eastAsia" w:hAnsi="宋体"/>
          <w:color w:val="auto"/>
          <w:szCs w:val="21"/>
          <w:highlight w:val="none"/>
        </w:rPr>
        <w:t>磋商小组所有成员集中与单一服务商分别进行磋商（最多三轮），磋商的内容包括技术条件、商务性条件及磋商小组认为需要磋商的内容。</w:t>
      </w:r>
    </w:p>
    <w:p>
      <w:pPr>
        <w:pStyle w:val="10"/>
        <w:spacing w:line="360" w:lineRule="exact"/>
        <w:ind w:firstLine="420"/>
        <w:rPr>
          <w:rFonts w:hAnsi="宋体"/>
          <w:color w:val="auto"/>
          <w:szCs w:val="21"/>
          <w:highlight w:val="none"/>
        </w:rPr>
      </w:pPr>
      <w:r>
        <w:rPr>
          <w:rFonts w:hAnsi="宋体"/>
          <w:color w:val="auto"/>
          <w:szCs w:val="21"/>
          <w:highlight w:val="none"/>
        </w:rPr>
        <w:t>(2)</w:t>
      </w:r>
      <w:r>
        <w:rPr>
          <w:rFonts w:hint="eastAsia" w:hAnsi="宋体"/>
          <w:color w:val="auto"/>
          <w:szCs w:val="21"/>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pStyle w:val="10"/>
        <w:spacing w:line="360" w:lineRule="exact"/>
        <w:ind w:firstLine="420"/>
        <w:rPr>
          <w:rFonts w:hAnsi="宋体"/>
          <w:color w:val="auto"/>
          <w:szCs w:val="21"/>
          <w:highlight w:val="none"/>
        </w:rPr>
      </w:pPr>
      <w:r>
        <w:rPr>
          <w:rFonts w:hAnsi="宋体"/>
          <w:color w:val="auto"/>
          <w:szCs w:val="21"/>
          <w:highlight w:val="none"/>
        </w:rPr>
        <w:t>(3)</w:t>
      </w:r>
      <w:r>
        <w:rPr>
          <w:rFonts w:hint="eastAsia" w:hAnsi="宋体"/>
          <w:color w:val="auto"/>
          <w:szCs w:val="21"/>
          <w:highlight w:val="none"/>
        </w:rPr>
        <w:t>对磋商文件作出的实质性变动是磋商文件的有效组成部分，磋商小组应当及时以书面形式同时通知所有参加磋商的服务商。</w:t>
      </w:r>
    </w:p>
    <w:p>
      <w:pPr>
        <w:pStyle w:val="10"/>
        <w:spacing w:line="360" w:lineRule="exact"/>
        <w:ind w:firstLine="420"/>
        <w:rPr>
          <w:rFonts w:hAnsi="宋体"/>
          <w:color w:val="auto"/>
          <w:szCs w:val="21"/>
          <w:highlight w:val="none"/>
        </w:rPr>
      </w:pPr>
      <w:r>
        <w:rPr>
          <w:rFonts w:hAnsi="宋体"/>
          <w:color w:val="auto"/>
          <w:szCs w:val="21"/>
          <w:highlight w:val="none"/>
        </w:rPr>
        <w:t>(4)</w:t>
      </w:r>
      <w:r>
        <w:rPr>
          <w:rFonts w:hint="eastAsia" w:hAnsi="宋体"/>
          <w:color w:val="auto"/>
          <w:szCs w:val="21"/>
          <w:highlight w:val="none"/>
        </w:rPr>
        <w:t>服务商应当按照磋商文件的变动情况和磋商小组的要求重新提交响应文件，并由其法定代表人或授权代表签字或者加盖公章。由授权代表签字的，应当附法定代表人授权书。</w:t>
      </w:r>
    </w:p>
    <w:p>
      <w:pPr>
        <w:pStyle w:val="10"/>
        <w:spacing w:line="360" w:lineRule="exact"/>
        <w:ind w:firstLine="420"/>
        <w:rPr>
          <w:rFonts w:hAnsi="宋体"/>
          <w:color w:val="auto"/>
          <w:szCs w:val="21"/>
          <w:highlight w:val="none"/>
        </w:rPr>
      </w:pPr>
      <w:r>
        <w:rPr>
          <w:rFonts w:hAnsi="宋体"/>
          <w:color w:val="auto"/>
          <w:szCs w:val="21"/>
          <w:highlight w:val="none"/>
        </w:rPr>
        <w:t>(5)</w:t>
      </w:r>
      <w:r>
        <w:rPr>
          <w:rFonts w:hint="eastAsia" w:hAnsi="宋体"/>
          <w:color w:val="auto"/>
          <w:szCs w:val="21"/>
          <w:highlight w:val="none"/>
        </w:rPr>
        <w:t>磋商文件能够详细列明采购标的的技术、服务要求的，磋商结束后，磋商小组要求所有实质性响应的服务商在规定时间内提交最后报价。</w:t>
      </w:r>
    </w:p>
    <w:p>
      <w:pPr>
        <w:pStyle w:val="10"/>
        <w:spacing w:line="360" w:lineRule="exact"/>
        <w:ind w:firstLine="420"/>
        <w:rPr>
          <w:rFonts w:hAnsi="宋体"/>
          <w:color w:val="auto"/>
          <w:szCs w:val="21"/>
          <w:highlight w:val="none"/>
        </w:rPr>
      </w:pPr>
      <w:r>
        <w:rPr>
          <w:rFonts w:hAnsi="宋体"/>
          <w:color w:val="auto"/>
          <w:szCs w:val="21"/>
          <w:highlight w:val="none"/>
        </w:rPr>
        <w:t>(6)</w:t>
      </w:r>
      <w:r>
        <w:rPr>
          <w:rFonts w:hint="eastAsia" w:hAnsi="宋体"/>
          <w:color w:val="auto"/>
          <w:szCs w:val="21"/>
          <w:highlight w:val="none"/>
        </w:rPr>
        <w:t>磋商文件不能详细列明采购标的的技术、服务要求，经磋商由服务商提供最终设计方案或解决方案的，磋商结束后，磋商小组按照少数服从多数的原则投票推荐</w:t>
      </w:r>
      <w:r>
        <w:rPr>
          <w:rFonts w:hAnsi="宋体"/>
          <w:color w:val="auto"/>
          <w:szCs w:val="21"/>
          <w:highlight w:val="none"/>
        </w:rPr>
        <w:t>3</w:t>
      </w:r>
      <w:r>
        <w:rPr>
          <w:rFonts w:hint="eastAsia" w:hAnsi="宋体"/>
          <w:color w:val="auto"/>
          <w:szCs w:val="21"/>
          <w:highlight w:val="none"/>
        </w:rPr>
        <w:t>家以上服务商的设计方案或者解决方案，并要求其在规定时间内提交最后报价。最后报价是服务商响应文件的有效组成部分。</w:t>
      </w:r>
    </w:p>
    <w:p>
      <w:pPr>
        <w:pStyle w:val="10"/>
        <w:spacing w:line="360" w:lineRule="exact"/>
        <w:ind w:firstLine="420"/>
        <w:rPr>
          <w:rFonts w:hAnsi="宋体"/>
          <w:color w:val="auto"/>
          <w:szCs w:val="21"/>
          <w:highlight w:val="none"/>
        </w:rPr>
      </w:pPr>
      <w:r>
        <w:rPr>
          <w:rFonts w:hAnsi="宋体"/>
          <w:color w:val="auto"/>
          <w:szCs w:val="21"/>
          <w:highlight w:val="none"/>
        </w:rPr>
        <w:t>(7)</w:t>
      </w:r>
      <w:r>
        <w:rPr>
          <w:rFonts w:hint="eastAsia" w:hAnsi="宋体"/>
          <w:color w:val="auto"/>
          <w:szCs w:val="21"/>
          <w:highlight w:val="none"/>
        </w:rPr>
        <w:t>服务商未在通知的时间内到达现场参加磋商的，或未提交书面说明退出磋商的，或未在规定时间内提交书面应答文件和最后报价的，视为服务商自动放弃磋商。</w:t>
      </w:r>
    </w:p>
    <w:p>
      <w:pPr>
        <w:pStyle w:val="10"/>
        <w:spacing w:line="360" w:lineRule="exact"/>
        <w:ind w:firstLine="420"/>
        <w:rPr>
          <w:rFonts w:hAnsi="宋体"/>
          <w:color w:val="auto"/>
          <w:szCs w:val="21"/>
          <w:highlight w:val="none"/>
        </w:rPr>
      </w:pPr>
      <w:r>
        <w:rPr>
          <w:rFonts w:hAnsi="宋体"/>
          <w:color w:val="auto"/>
          <w:szCs w:val="21"/>
          <w:highlight w:val="none"/>
        </w:rPr>
        <w:t>(8)</w:t>
      </w:r>
      <w:r>
        <w:rPr>
          <w:rFonts w:hint="eastAsia" w:hAnsi="宋体"/>
          <w:color w:val="auto"/>
          <w:szCs w:val="21"/>
          <w:highlight w:val="none"/>
        </w:rPr>
        <w:t>最终磋商结束后，磋商小组不得再与服务商进行任何形式的商谈。磋商的任何一方不得透露与磋商有关的其他服务商的技术资料、价格和其他信息。</w:t>
      </w:r>
    </w:p>
    <w:p>
      <w:pPr>
        <w:pStyle w:val="10"/>
        <w:spacing w:line="360" w:lineRule="exact"/>
        <w:ind w:firstLine="420"/>
        <w:rPr>
          <w:rFonts w:hAnsi="宋体"/>
          <w:color w:val="auto"/>
          <w:szCs w:val="21"/>
          <w:highlight w:val="none"/>
        </w:rPr>
      </w:pPr>
      <w:r>
        <w:rPr>
          <w:rFonts w:hAnsi="宋体"/>
          <w:color w:val="auto"/>
          <w:szCs w:val="21"/>
          <w:highlight w:val="none"/>
        </w:rPr>
        <w:t>2</w:t>
      </w:r>
      <w:r>
        <w:rPr>
          <w:rFonts w:hint="eastAsia" w:hAnsi="宋体"/>
          <w:color w:val="auto"/>
          <w:szCs w:val="21"/>
          <w:highlight w:val="none"/>
        </w:rPr>
        <w:t>3</w:t>
      </w:r>
      <w:r>
        <w:rPr>
          <w:rFonts w:hAnsi="宋体"/>
          <w:color w:val="auto"/>
          <w:szCs w:val="21"/>
          <w:highlight w:val="none"/>
        </w:rPr>
        <w:t>.2.4</w:t>
      </w:r>
      <w:r>
        <w:rPr>
          <w:rFonts w:hint="eastAsia" w:hAnsi="宋体"/>
          <w:color w:val="auto"/>
          <w:szCs w:val="21"/>
          <w:highlight w:val="none"/>
        </w:rPr>
        <w:t>比较与评价。</w:t>
      </w:r>
      <w:r>
        <w:rPr>
          <w:rFonts w:hint="eastAsia" w:hAnsi="宋体" w:cs="Arial"/>
          <w:color w:val="auto"/>
          <w:szCs w:val="21"/>
          <w:highlight w:val="none"/>
        </w:rPr>
        <w:t>经磋商确定最终采购需求和提交最后报价的服务商后，由磋商小组采用</w:t>
      </w:r>
      <w:r>
        <w:rPr>
          <w:rFonts w:hint="eastAsia" w:hAnsi="宋体" w:cs="Arial"/>
          <w:b/>
          <w:color w:val="auto"/>
          <w:szCs w:val="21"/>
          <w:highlight w:val="none"/>
          <w:u w:val="single"/>
        </w:rPr>
        <w:t>综合评分法</w:t>
      </w:r>
      <w:r>
        <w:rPr>
          <w:rFonts w:hint="eastAsia" w:hAnsi="宋体"/>
          <w:color w:val="auto"/>
          <w:szCs w:val="21"/>
          <w:highlight w:val="none"/>
        </w:rPr>
        <w:t>（详见第五章）</w:t>
      </w:r>
      <w:r>
        <w:rPr>
          <w:rFonts w:hint="eastAsia" w:hAnsi="宋体" w:cs="Arial"/>
          <w:color w:val="auto"/>
          <w:szCs w:val="21"/>
          <w:highlight w:val="none"/>
        </w:rPr>
        <w:t>对提交最后报价的服务商的响应文件和最后报价进行综合评分。</w:t>
      </w:r>
    </w:p>
    <w:p>
      <w:pPr>
        <w:pStyle w:val="10"/>
        <w:spacing w:line="360" w:lineRule="exact"/>
        <w:ind w:firstLine="420"/>
        <w:rPr>
          <w:rFonts w:hAnsi="宋体"/>
          <w:color w:val="auto"/>
          <w:szCs w:val="21"/>
          <w:highlight w:val="none"/>
        </w:rPr>
      </w:pPr>
      <w:r>
        <w:rPr>
          <w:rFonts w:hAnsi="宋体"/>
          <w:color w:val="auto"/>
          <w:szCs w:val="21"/>
          <w:highlight w:val="none"/>
        </w:rPr>
        <w:t>2</w:t>
      </w:r>
      <w:r>
        <w:rPr>
          <w:rFonts w:hint="eastAsia" w:hAnsi="宋体"/>
          <w:color w:val="auto"/>
          <w:szCs w:val="21"/>
          <w:highlight w:val="none"/>
        </w:rPr>
        <w:t>3</w:t>
      </w:r>
      <w:r>
        <w:rPr>
          <w:rFonts w:hAnsi="宋体"/>
          <w:color w:val="auto"/>
          <w:szCs w:val="21"/>
          <w:highlight w:val="none"/>
        </w:rPr>
        <w:t>.2.5</w:t>
      </w:r>
      <w:r>
        <w:rPr>
          <w:rFonts w:hint="eastAsia" w:hAnsi="宋体"/>
          <w:color w:val="auto"/>
          <w:szCs w:val="21"/>
          <w:highlight w:val="none"/>
        </w:rPr>
        <w:t>推荐成交候选人名单及编写评审报告。</w:t>
      </w:r>
      <w:r>
        <w:rPr>
          <w:rFonts w:hint="eastAsia" w:hAnsi="宋体" w:cs="Arial"/>
          <w:color w:val="auto"/>
          <w:szCs w:val="21"/>
          <w:highlight w:val="none"/>
        </w:rPr>
        <w:t>磋商小组根据综合评分情况，按照</w:t>
      </w:r>
      <w:r>
        <w:rPr>
          <w:rFonts w:hint="eastAsia" w:hAnsi="宋体"/>
          <w:color w:val="auto"/>
          <w:spacing w:val="-2"/>
          <w:szCs w:val="21"/>
          <w:highlight w:val="none"/>
        </w:rPr>
        <w:t>评分办法的成交标准及成交候选人推荐原则依次推荐成交候选人名单</w:t>
      </w:r>
      <w:r>
        <w:rPr>
          <w:rFonts w:hint="eastAsia" w:hAnsi="宋体" w:cs="Arial"/>
          <w:color w:val="auto"/>
          <w:szCs w:val="21"/>
          <w:highlight w:val="none"/>
        </w:rPr>
        <w:t>，并根据磋商过程和结果编写评审报告。</w:t>
      </w:r>
    </w:p>
    <w:p>
      <w:pPr>
        <w:pStyle w:val="10"/>
        <w:spacing w:line="360" w:lineRule="exact"/>
        <w:ind w:right="-187" w:rightChars="-89" w:firstLine="420"/>
        <w:rPr>
          <w:rFonts w:hAnsi="宋体"/>
          <w:color w:val="auto"/>
          <w:spacing w:val="-2"/>
          <w:szCs w:val="21"/>
          <w:highlight w:val="none"/>
        </w:rPr>
      </w:pPr>
      <w:r>
        <w:rPr>
          <w:rFonts w:hAnsi="宋体"/>
          <w:color w:val="auto"/>
          <w:spacing w:val="-2"/>
          <w:szCs w:val="21"/>
          <w:highlight w:val="none"/>
        </w:rPr>
        <w:t>2</w:t>
      </w:r>
      <w:r>
        <w:rPr>
          <w:rFonts w:hint="eastAsia" w:hAnsi="宋体"/>
          <w:color w:val="auto"/>
          <w:spacing w:val="-2"/>
          <w:szCs w:val="21"/>
          <w:highlight w:val="none"/>
        </w:rPr>
        <w:t>3</w:t>
      </w:r>
      <w:r>
        <w:rPr>
          <w:rFonts w:hAnsi="宋体"/>
          <w:color w:val="auto"/>
          <w:spacing w:val="-2"/>
          <w:szCs w:val="21"/>
          <w:highlight w:val="none"/>
        </w:rPr>
        <w:t>.3</w:t>
      </w:r>
      <w:r>
        <w:rPr>
          <w:rFonts w:hint="eastAsia" w:hAnsi="宋体"/>
          <w:color w:val="auto"/>
          <w:spacing w:val="-2"/>
          <w:szCs w:val="21"/>
          <w:highlight w:val="none"/>
        </w:rPr>
        <w:t>评标会纪律</w:t>
      </w:r>
    </w:p>
    <w:p>
      <w:pPr>
        <w:pStyle w:val="10"/>
        <w:spacing w:line="360" w:lineRule="exact"/>
        <w:ind w:firstLine="420"/>
        <w:rPr>
          <w:rFonts w:hAnsi="宋体"/>
          <w:color w:val="auto"/>
          <w:szCs w:val="21"/>
          <w:highlight w:val="none"/>
        </w:rPr>
      </w:pPr>
      <w:r>
        <w:rPr>
          <w:rFonts w:hAnsi="宋体"/>
          <w:color w:val="auto"/>
          <w:szCs w:val="21"/>
          <w:highlight w:val="none"/>
        </w:rPr>
        <w:t>2</w:t>
      </w:r>
      <w:r>
        <w:rPr>
          <w:rFonts w:hint="eastAsia" w:hAnsi="宋体"/>
          <w:color w:val="auto"/>
          <w:szCs w:val="21"/>
          <w:highlight w:val="none"/>
        </w:rPr>
        <w:t>3</w:t>
      </w:r>
      <w:r>
        <w:rPr>
          <w:rFonts w:hAnsi="宋体"/>
          <w:color w:val="auto"/>
          <w:szCs w:val="21"/>
          <w:highlight w:val="none"/>
        </w:rPr>
        <w:t>.3.1</w:t>
      </w:r>
      <w:r>
        <w:rPr>
          <w:rFonts w:hint="eastAsia" w:hAnsi="宋体"/>
          <w:color w:val="auto"/>
          <w:szCs w:val="21"/>
          <w:highlight w:val="none"/>
        </w:rPr>
        <w:t>评标过程的保密性。磋商小组成员、有关工作人员及其他知情人不得透露对响应文件评审、比较、成交候选人的推荐情况以及与评标有关的其他情况。</w:t>
      </w:r>
    </w:p>
    <w:p>
      <w:pPr>
        <w:pStyle w:val="10"/>
        <w:spacing w:line="360" w:lineRule="exact"/>
        <w:ind w:right="-187" w:rightChars="-89" w:firstLine="420"/>
        <w:rPr>
          <w:rFonts w:hAnsi="宋体"/>
          <w:color w:val="auto"/>
          <w:szCs w:val="21"/>
          <w:highlight w:val="none"/>
        </w:rPr>
      </w:pPr>
      <w:r>
        <w:rPr>
          <w:rFonts w:hAnsi="宋体"/>
          <w:color w:val="auto"/>
          <w:szCs w:val="21"/>
          <w:highlight w:val="none"/>
        </w:rPr>
        <w:t>2</w:t>
      </w:r>
      <w:r>
        <w:rPr>
          <w:rFonts w:hint="eastAsia" w:hAnsi="宋体"/>
          <w:color w:val="auto"/>
          <w:szCs w:val="21"/>
          <w:highlight w:val="none"/>
        </w:rPr>
        <w:t>3</w:t>
      </w:r>
      <w:r>
        <w:rPr>
          <w:rFonts w:hAnsi="宋体"/>
          <w:color w:val="auto"/>
          <w:szCs w:val="21"/>
          <w:highlight w:val="none"/>
        </w:rPr>
        <w:t>.3.2</w:t>
      </w:r>
      <w:r>
        <w:rPr>
          <w:rFonts w:hint="eastAsia" w:hAnsi="宋体"/>
          <w:color w:val="auto"/>
          <w:szCs w:val="21"/>
          <w:highlight w:val="none"/>
        </w:rPr>
        <w:t>在磋商评审期间，服务商试图影响采购人和磋商小组的任何活动，将导致其报价被拒绝，并承担相应的法律责任。</w:t>
      </w:r>
    </w:p>
    <w:p>
      <w:pPr>
        <w:pStyle w:val="4"/>
        <w:spacing w:before="0" w:after="0" w:line="360" w:lineRule="exact"/>
        <w:rPr>
          <w:rFonts w:ascii="宋体" w:hAnsi="宋体" w:eastAsia="宋体"/>
          <w:color w:val="auto"/>
          <w:sz w:val="21"/>
          <w:szCs w:val="21"/>
          <w:highlight w:val="none"/>
        </w:rPr>
      </w:pPr>
      <w:bookmarkStart w:id="216" w:name="_Toc528924933"/>
      <w:r>
        <w:rPr>
          <w:rFonts w:hint="eastAsia" w:ascii="宋体" w:hAnsi="宋体" w:eastAsia="宋体"/>
          <w:color w:val="auto"/>
          <w:sz w:val="21"/>
          <w:szCs w:val="21"/>
          <w:highlight w:val="none"/>
        </w:rPr>
        <w:t>24、无效的响应文件</w:t>
      </w:r>
      <w:bookmarkEnd w:id="216"/>
    </w:p>
    <w:p>
      <w:pPr>
        <w:pStyle w:val="10"/>
        <w:spacing w:line="360" w:lineRule="exact"/>
        <w:ind w:firstLine="420"/>
        <w:rPr>
          <w:rFonts w:hAnsi="宋体"/>
          <w:color w:val="auto"/>
          <w:highlight w:val="none"/>
        </w:rPr>
      </w:pPr>
      <w:r>
        <w:rPr>
          <w:rFonts w:hAnsi="宋体"/>
          <w:color w:val="auto"/>
          <w:highlight w:val="none"/>
        </w:rPr>
        <w:t>2</w:t>
      </w:r>
      <w:r>
        <w:rPr>
          <w:rFonts w:hint="eastAsia" w:hAnsi="宋体"/>
          <w:color w:val="auto"/>
          <w:highlight w:val="none"/>
        </w:rPr>
        <w:t>4</w:t>
      </w:r>
      <w:r>
        <w:rPr>
          <w:rFonts w:hAnsi="宋体"/>
          <w:color w:val="auto"/>
          <w:highlight w:val="none"/>
        </w:rPr>
        <w:t>.1</w:t>
      </w:r>
      <w:r>
        <w:rPr>
          <w:rFonts w:hint="eastAsia" w:hAnsi="宋体"/>
          <w:color w:val="auto"/>
          <w:highlight w:val="none"/>
        </w:rPr>
        <w:t>服务商或响应文件出现下列情况之一的，视为未实质性响应磋商文件的响应文件，按无效响应处理：</w:t>
      </w:r>
    </w:p>
    <w:p>
      <w:pPr>
        <w:pStyle w:val="10"/>
        <w:spacing w:line="360" w:lineRule="exact"/>
        <w:ind w:firstLine="420"/>
        <w:rPr>
          <w:rFonts w:hAnsi="宋体"/>
          <w:color w:val="auto"/>
          <w:highlight w:val="none"/>
        </w:rPr>
      </w:pPr>
      <w:r>
        <w:rPr>
          <w:rFonts w:hAnsi="宋体"/>
          <w:color w:val="auto"/>
          <w:highlight w:val="none"/>
        </w:rPr>
        <w:t>(1)</w:t>
      </w:r>
      <w:r>
        <w:rPr>
          <w:rFonts w:hint="eastAsia" w:hAnsi="宋体"/>
          <w:color w:val="auto"/>
          <w:highlight w:val="none"/>
        </w:rPr>
        <w:t>未按照服务商须知前附表第</w:t>
      </w:r>
      <w:r>
        <w:rPr>
          <w:rFonts w:hAnsi="宋体"/>
          <w:color w:val="auto"/>
          <w:highlight w:val="none"/>
        </w:rPr>
        <w:t>7</w:t>
      </w:r>
      <w:r>
        <w:rPr>
          <w:rFonts w:hint="eastAsia" w:hAnsi="宋体"/>
          <w:color w:val="auto"/>
          <w:highlight w:val="none"/>
        </w:rPr>
        <w:t>项要求在截标会现场提交相关证明文件核查的或提交的文件与响应文件内容不相符的；</w:t>
      </w:r>
    </w:p>
    <w:p>
      <w:pPr>
        <w:pStyle w:val="10"/>
        <w:spacing w:line="360" w:lineRule="exact"/>
        <w:ind w:firstLine="420"/>
        <w:rPr>
          <w:rFonts w:hAnsi="宋体"/>
          <w:color w:val="auto"/>
          <w:highlight w:val="none"/>
        </w:rPr>
      </w:pPr>
      <w:r>
        <w:rPr>
          <w:rFonts w:hAnsi="宋体"/>
          <w:color w:val="auto"/>
          <w:highlight w:val="none"/>
        </w:rPr>
        <w:t>(2)</w:t>
      </w:r>
      <w:r>
        <w:rPr>
          <w:rFonts w:hint="eastAsia" w:hAnsi="宋体"/>
          <w:color w:val="auto"/>
          <w:highlight w:val="none"/>
        </w:rPr>
        <w:t>未按照竞争性磋商文件要求提供资格证明文件或其它必须提供的文件的；</w:t>
      </w:r>
    </w:p>
    <w:p>
      <w:pPr>
        <w:pStyle w:val="10"/>
        <w:spacing w:line="360" w:lineRule="exact"/>
        <w:ind w:firstLine="420"/>
        <w:rPr>
          <w:rFonts w:hAnsi="宋体"/>
          <w:color w:val="auto"/>
          <w:highlight w:val="none"/>
        </w:rPr>
      </w:pPr>
      <w:r>
        <w:rPr>
          <w:rFonts w:hAnsi="宋体"/>
          <w:bCs/>
          <w:color w:val="auto"/>
          <w:highlight w:val="none"/>
        </w:rPr>
        <w:t>(3)</w:t>
      </w:r>
      <w:r>
        <w:rPr>
          <w:rFonts w:hint="eastAsia" w:hAnsi="宋体"/>
          <w:color w:val="auto"/>
          <w:highlight w:val="none"/>
        </w:rPr>
        <w:t>应交未交磋商保证金的；</w:t>
      </w:r>
    </w:p>
    <w:p>
      <w:pPr>
        <w:pStyle w:val="10"/>
        <w:spacing w:line="360" w:lineRule="exact"/>
        <w:ind w:firstLine="420" w:firstLineChars="200"/>
        <w:rPr>
          <w:rFonts w:hAnsi="宋体"/>
          <w:color w:val="auto"/>
          <w:highlight w:val="none"/>
        </w:rPr>
      </w:pPr>
      <w:r>
        <w:rPr>
          <w:rFonts w:hAnsi="宋体"/>
          <w:bCs/>
          <w:color w:val="auto"/>
          <w:highlight w:val="none"/>
        </w:rPr>
        <w:t>(4)</w:t>
      </w:r>
      <w:r>
        <w:rPr>
          <w:rFonts w:hint="eastAsia" w:hAnsi="宋体"/>
          <w:color w:val="auto"/>
          <w:highlight w:val="none"/>
        </w:rPr>
        <w:t>未按照磋商文件规定要求密封、签署、盖章的；</w:t>
      </w:r>
    </w:p>
    <w:p>
      <w:pPr>
        <w:pStyle w:val="10"/>
        <w:spacing w:line="360" w:lineRule="exact"/>
        <w:ind w:firstLine="420"/>
        <w:rPr>
          <w:rFonts w:hAnsi="宋体"/>
          <w:color w:val="auto"/>
          <w:highlight w:val="none"/>
        </w:rPr>
      </w:pPr>
      <w:r>
        <w:rPr>
          <w:rFonts w:hAnsi="宋体"/>
          <w:bCs/>
          <w:color w:val="auto"/>
          <w:highlight w:val="none"/>
        </w:rPr>
        <w:t>(5)</w:t>
      </w:r>
      <w:r>
        <w:rPr>
          <w:rFonts w:hint="eastAsia" w:hAnsi="宋体"/>
          <w:color w:val="auto"/>
          <w:highlight w:val="none"/>
        </w:rPr>
        <w:t>不具备磋商文件中规定资格要求的；</w:t>
      </w:r>
    </w:p>
    <w:p>
      <w:pPr>
        <w:pStyle w:val="10"/>
        <w:spacing w:line="360" w:lineRule="exact"/>
        <w:ind w:firstLine="420"/>
        <w:rPr>
          <w:rFonts w:hAnsi="宋体"/>
          <w:color w:val="auto"/>
          <w:highlight w:val="none"/>
        </w:rPr>
      </w:pPr>
      <w:r>
        <w:rPr>
          <w:rFonts w:hAnsi="宋体"/>
          <w:color w:val="auto"/>
          <w:highlight w:val="none"/>
        </w:rPr>
        <w:t>(6)</w:t>
      </w:r>
      <w:r>
        <w:rPr>
          <w:rFonts w:hint="eastAsia" w:hAnsi="宋体"/>
          <w:color w:val="auto"/>
          <w:highlight w:val="none"/>
        </w:rPr>
        <w:t>不符合法律、法规和磋商文件中规定的其它实质性要求的。</w:t>
      </w:r>
    </w:p>
    <w:p>
      <w:pPr>
        <w:pStyle w:val="4"/>
        <w:spacing w:before="0" w:after="0" w:line="360" w:lineRule="exact"/>
        <w:rPr>
          <w:rFonts w:ascii="宋体" w:hAnsi="宋体" w:eastAsia="宋体"/>
          <w:color w:val="auto"/>
          <w:sz w:val="21"/>
          <w:szCs w:val="21"/>
          <w:highlight w:val="none"/>
        </w:rPr>
      </w:pPr>
      <w:bookmarkStart w:id="217" w:name="_Toc230578083"/>
      <w:bookmarkStart w:id="218" w:name="_Toc398287317"/>
      <w:bookmarkStart w:id="219" w:name="_Toc207770861"/>
      <w:bookmarkStart w:id="220" w:name="_Toc185702575"/>
      <w:bookmarkStart w:id="221" w:name="_Toc528924934"/>
      <w:bookmarkStart w:id="222" w:name="_Toc206525708"/>
      <w:bookmarkStart w:id="223" w:name="_Toc239839889"/>
      <w:r>
        <w:rPr>
          <w:rFonts w:hint="eastAsia" w:ascii="宋体" w:hAnsi="宋体" w:eastAsia="宋体"/>
          <w:color w:val="auto"/>
          <w:sz w:val="21"/>
          <w:szCs w:val="21"/>
          <w:highlight w:val="none"/>
        </w:rPr>
        <w:t>25、废标</w:t>
      </w:r>
      <w:bookmarkEnd w:id="217"/>
      <w:bookmarkEnd w:id="218"/>
      <w:bookmarkEnd w:id="219"/>
      <w:bookmarkEnd w:id="220"/>
      <w:bookmarkEnd w:id="221"/>
      <w:bookmarkEnd w:id="222"/>
      <w:bookmarkEnd w:id="223"/>
    </w:p>
    <w:p>
      <w:pPr>
        <w:pStyle w:val="10"/>
        <w:spacing w:line="360" w:lineRule="exact"/>
        <w:ind w:firstLine="420"/>
        <w:rPr>
          <w:rFonts w:hAnsi="宋体"/>
          <w:bCs/>
          <w:color w:val="auto"/>
          <w:highlight w:val="none"/>
        </w:rPr>
      </w:pPr>
      <w:r>
        <w:rPr>
          <w:rFonts w:hint="eastAsia" w:hAnsi="宋体"/>
          <w:bCs/>
          <w:color w:val="auto"/>
          <w:highlight w:val="none"/>
        </w:rPr>
        <w:t>25.1磋商采购项目出现下列情形之一的，将予以废标；</w:t>
      </w:r>
    </w:p>
    <w:p>
      <w:pPr>
        <w:pStyle w:val="10"/>
        <w:spacing w:line="360" w:lineRule="exact"/>
        <w:ind w:firstLine="420"/>
        <w:rPr>
          <w:rFonts w:hAnsi="宋体"/>
          <w:color w:val="auto"/>
          <w:szCs w:val="21"/>
          <w:highlight w:val="none"/>
        </w:rPr>
      </w:pPr>
      <w:r>
        <w:rPr>
          <w:rFonts w:hint="eastAsia" w:hAnsi="宋体"/>
          <w:color w:val="auto"/>
          <w:szCs w:val="21"/>
          <w:highlight w:val="none"/>
        </w:rPr>
        <w:t>(1) 因情况变化，不再符合规定的竞争性磋商采购方式适用情形的；</w:t>
      </w:r>
    </w:p>
    <w:p>
      <w:pPr>
        <w:pStyle w:val="10"/>
        <w:spacing w:line="360" w:lineRule="exact"/>
        <w:ind w:firstLine="420"/>
        <w:rPr>
          <w:rFonts w:hAnsi="宋体"/>
          <w:color w:val="auto"/>
          <w:szCs w:val="21"/>
          <w:highlight w:val="none"/>
        </w:rPr>
      </w:pPr>
      <w:r>
        <w:rPr>
          <w:rFonts w:hint="eastAsia" w:hAnsi="宋体"/>
          <w:color w:val="auto"/>
          <w:szCs w:val="21"/>
          <w:highlight w:val="none"/>
        </w:rPr>
        <w:t>(2) 出现影响采购公正的违法、违规行为的；</w:t>
      </w:r>
    </w:p>
    <w:p>
      <w:pPr>
        <w:pStyle w:val="10"/>
        <w:spacing w:line="360" w:lineRule="exact"/>
        <w:ind w:firstLine="420"/>
        <w:rPr>
          <w:rFonts w:hAnsi="宋体"/>
          <w:color w:val="auto"/>
          <w:szCs w:val="21"/>
          <w:highlight w:val="none"/>
        </w:rPr>
      </w:pPr>
      <w:r>
        <w:rPr>
          <w:rFonts w:hint="eastAsia" w:hAnsi="宋体"/>
          <w:color w:val="auto"/>
          <w:szCs w:val="21"/>
          <w:highlight w:val="none"/>
        </w:rPr>
        <w:t>(3) 除《政府采购竞争性磋商采购方式管理暂行办法》第二十一条第三款规定的情形外，在采购过程中符合要求的服务商或者报价未超过采购预算的服务商不足3家的；但财库[2015]124号文规定的除外。</w:t>
      </w:r>
    </w:p>
    <w:p>
      <w:pPr>
        <w:pStyle w:val="10"/>
        <w:spacing w:line="360" w:lineRule="exact"/>
        <w:ind w:firstLine="420"/>
        <w:rPr>
          <w:rFonts w:hAnsi="宋体"/>
          <w:bCs/>
          <w:color w:val="auto"/>
          <w:szCs w:val="21"/>
          <w:highlight w:val="none"/>
        </w:rPr>
      </w:pPr>
      <w:r>
        <w:rPr>
          <w:rFonts w:hint="eastAsia" w:hAnsi="宋体"/>
          <w:bCs/>
          <w:color w:val="auto"/>
          <w:szCs w:val="21"/>
          <w:highlight w:val="none"/>
        </w:rPr>
        <w:t>25.2废标后，</w:t>
      </w:r>
      <w:r>
        <w:rPr>
          <w:rFonts w:hint="eastAsia" w:hAnsi="宋体"/>
          <w:color w:val="auto"/>
          <w:szCs w:val="21"/>
          <w:highlight w:val="none"/>
        </w:rPr>
        <w:t>采购代理机构</w:t>
      </w:r>
      <w:r>
        <w:rPr>
          <w:rFonts w:hint="eastAsia" w:hAnsi="宋体"/>
          <w:bCs/>
          <w:color w:val="auto"/>
          <w:szCs w:val="21"/>
          <w:highlight w:val="none"/>
        </w:rPr>
        <w:t>将把废标理由通知所有服务商。</w:t>
      </w:r>
    </w:p>
    <w:p>
      <w:pPr>
        <w:pStyle w:val="10"/>
        <w:spacing w:line="360" w:lineRule="exact"/>
        <w:ind w:left="435"/>
        <w:rPr>
          <w:rFonts w:hAnsi="宋体"/>
          <w:b/>
          <w:bCs/>
          <w:color w:val="auto"/>
          <w:highlight w:val="none"/>
        </w:rPr>
      </w:pPr>
    </w:p>
    <w:p>
      <w:pPr>
        <w:pStyle w:val="3"/>
        <w:spacing w:line="360" w:lineRule="exact"/>
        <w:jc w:val="center"/>
        <w:rPr>
          <w:rFonts w:ascii="宋体" w:hAnsi="宋体"/>
          <w:color w:val="auto"/>
          <w:highlight w:val="none"/>
        </w:rPr>
      </w:pPr>
      <w:bookmarkStart w:id="224" w:name="_Toc398287318"/>
      <w:bookmarkStart w:id="225" w:name="_Toc528924935"/>
      <w:bookmarkStart w:id="226" w:name="_Toc230578084"/>
      <w:bookmarkStart w:id="227" w:name="_Toc239839890"/>
      <w:bookmarkStart w:id="228" w:name="_Toc206525709"/>
      <w:bookmarkStart w:id="229" w:name="_Toc207770862"/>
      <w:bookmarkStart w:id="230" w:name="_Toc185702576"/>
      <w:r>
        <w:rPr>
          <w:rFonts w:hint="eastAsia" w:ascii="宋体" w:hAnsi="宋体"/>
          <w:color w:val="auto"/>
          <w:highlight w:val="none"/>
        </w:rPr>
        <w:t>六   签订合同</w:t>
      </w:r>
      <w:bookmarkEnd w:id="224"/>
      <w:bookmarkEnd w:id="225"/>
      <w:bookmarkEnd w:id="226"/>
      <w:bookmarkEnd w:id="227"/>
      <w:bookmarkEnd w:id="228"/>
      <w:bookmarkEnd w:id="229"/>
      <w:bookmarkEnd w:id="230"/>
    </w:p>
    <w:p>
      <w:pPr>
        <w:pStyle w:val="4"/>
        <w:spacing w:before="0" w:after="0" w:line="360" w:lineRule="exact"/>
        <w:rPr>
          <w:rFonts w:ascii="宋体" w:hAnsi="宋体" w:eastAsia="宋体"/>
          <w:color w:val="auto"/>
          <w:sz w:val="21"/>
          <w:szCs w:val="21"/>
          <w:highlight w:val="none"/>
        </w:rPr>
      </w:pPr>
      <w:bookmarkStart w:id="231" w:name="_Toc206525710"/>
      <w:bookmarkStart w:id="232" w:name="_Toc230578085"/>
      <w:bookmarkStart w:id="233" w:name="_Toc207770863"/>
      <w:bookmarkStart w:id="234" w:name="_Toc185702577"/>
      <w:bookmarkStart w:id="235" w:name="_Toc239839891"/>
      <w:bookmarkStart w:id="236" w:name="_Toc398287319"/>
      <w:bookmarkStart w:id="237" w:name="_Toc528924936"/>
      <w:r>
        <w:rPr>
          <w:rFonts w:hint="eastAsia" w:ascii="宋体" w:hAnsi="宋体" w:eastAsia="宋体"/>
          <w:color w:val="auto"/>
          <w:sz w:val="21"/>
          <w:szCs w:val="21"/>
          <w:highlight w:val="none"/>
        </w:rPr>
        <w:t>26、成交</w:t>
      </w:r>
      <w:bookmarkEnd w:id="231"/>
      <w:bookmarkEnd w:id="232"/>
      <w:bookmarkEnd w:id="233"/>
      <w:bookmarkEnd w:id="234"/>
      <w:r>
        <w:rPr>
          <w:rFonts w:hint="eastAsia" w:ascii="宋体" w:hAnsi="宋体" w:eastAsia="宋体"/>
          <w:color w:val="auto"/>
          <w:sz w:val="21"/>
          <w:szCs w:val="21"/>
          <w:highlight w:val="none"/>
        </w:rPr>
        <w:t>结果公示</w:t>
      </w:r>
      <w:bookmarkEnd w:id="235"/>
      <w:bookmarkEnd w:id="236"/>
      <w:bookmarkEnd w:id="237"/>
    </w:p>
    <w:p>
      <w:pPr>
        <w:pStyle w:val="10"/>
        <w:spacing w:line="360" w:lineRule="exact"/>
        <w:ind w:firstLine="420"/>
        <w:rPr>
          <w:rFonts w:hAnsi="宋体"/>
          <w:color w:val="auto"/>
          <w:spacing w:val="-4"/>
          <w:szCs w:val="21"/>
          <w:highlight w:val="none"/>
        </w:rPr>
      </w:pPr>
      <w:r>
        <w:rPr>
          <w:rFonts w:hAnsi="宋体"/>
          <w:color w:val="auto"/>
          <w:spacing w:val="-4"/>
          <w:szCs w:val="21"/>
          <w:highlight w:val="none"/>
        </w:rPr>
        <w:t>2</w:t>
      </w:r>
      <w:r>
        <w:rPr>
          <w:rFonts w:hint="eastAsia" w:hAnsi="宋体"/>
          <w:color w:val="auto"/>
          <w:spacing w:val="-4"/>
          <w:szCs w:val="21"/>
          <w:highlight w:val="none"/>
        </w:rPr>
        <w:t>6</w:t>
      </w:r>
      <w:r>
        <w:rPr>
          <w:rFonts w:hAnsi="宋体"/>
          <w:color w:val="auto"/>
          <w:spacing w:val="-4"/>
          <w:szCs w:val="21"/>
          <w:highlight w:val="none"/>
        </w:rPr>
        <w:t>.1</w:t>
      </w:r>
      <w:r>
        <w:rPr>
          <w:rFonts w:hint="eastAsia" w:hAnsi="宋体"/>
          <w:color w:val="auto"/>
          <w:spacing w:val="-4"/>
          <w:szCs w:val="21"/>
          <w:highlight w:val="none"/>
        </w:rPr>
        <w:t>本项目评审工作结束后，采购代理机构将在中国政府采购网、广西壮族自治区政府采购网、广西防城港政府采购网、防城港市公共资源交易中心网上公布成交结果。</w:t>
      </w:r>
    </w:p>
    <w:p>
      <w:pPr>
        <w:pStyle w:val="10"/>
        <w:spacing w:line="360" w:lineRule="exact"/>
        <w:ind w:firstLine="420"/>
        <w:rPr>
          <w:rFonts w:hAnsi="宋体"/>
          <w:color w:val="auto"/>
          <w:spacing w:val="-4"/>
          <w:szCs w:val="21"/>
          <w:highlight w:val="none"/>
        </w:rPr>
      </w:pPr>
      <w:r>
        <w:rPr>
          <w:rFonts w:hAnsi="宋体"/>
          <w:color w:val="auto"/>
          <w:spacing w:val="-4"/>
          <w:szCs w:val="21"/>
          <w:highlight w:val="none"/>
        </w:rPr>
        <w:t>2</w:t>
      </w:r>
      <w:r>
        <w:rPr>
          <w:rFonts w:hint="eastAsia" w:hAnsi="宋体"/>
          <w:color w:val="auto"/>
          <w:spacing w:val="-4"/>
          <w:szCs w:val="21"/>
          <w:highlight w:val="none"/>
        </w:rPr>
        <w:t>6</w:t>
      </w:r>
      <w:r>
        <w:rPr>
          <w:rFonts w:hAnsi="宋体"/>
          <w:color w:val="auto"/>
          <w:spacing w:val="-4"/>
          <w:szCs w:val="21"/>
          <w:highlight w:val="none"/>
        </w:rPr>
        <w:t>.2</w:t>
      </w:r>
      <w:r>
        <w:rPr>
          <w:rFonts w:hint="eastAsia" w:hAnsi="宋体"/>
          <w:color w:val="auto"/>
          <w:spacing w:val="-4"/>
          <w:szCs w:val="21"/>
          <w:highlight w:val="none"/>
        </w:rPr>
        <w:t>服务商如对成交公告有异议，可以在成交公告发布后七个工作日内以书面形式向采购代理机构提出质疑。采购代理机构将在收到服务商的书面形式质疑后七个工作日内做出答复</w:t>
      </w:r>
      <w:r>
        <w:rPr>
          <w:rFonts w:hAnsi="宋体"/>
          <w:color w:val="auto"/>
          <w:spacing w:val="-4"/>
          <w:szCs w:val="21"/>
          <w:highlight w:val="none"/>
        </w:rPr>
        <w:t>,</w:t>
      </w:r>
      <w:r>
        <w:rPr>
          <w:rFonts w:hint="eastAsia" w:hAnsi="宋体"/>
          <w:color w:val="auto"/>
          <w:spacing w:val="-4"/>
          <w:szCs w:val="21"/>
          <w:highlight w:val="none"/>
        </w:rPr>
        <w:t>但答复的内容不得涉及商业秘密。</w:t>
      </w:r>
    </w:p>
    <w:p>
      <w:pPr>
        <w:pStyle w:val="10"/>
        <w:spacing w:line="360" w:lineRule="exact"/>
        <w:ind w:firstLine="420"/>
        <w:rPr>
          <w:rFonts w:hAnsi="宋体"/>
          <w:color w:val="auto"/>
          <w:highlight w:val="none"/>
        </w:rPr>
      </w:pPr>
      <w:r>
        <w:rPr>
          <w:rFonts w:hAnsi="宋体"/>
          <w:color w:val="auto"/>
          <w:spacing w:val="-4"/>
          <w:szCs w:val="21"/>
          <w:highlight w:val="none"/>
        </w:rPr>
        <w:t>2</w:t>
      </w:r>
      <w:r>
        <w:rPr>
          <w:rFonts w:hint="eastAsia" w:hAnsi="宋体"/>
          <w:color w:val="auto"/>
          <w:spacing w:val="-4"/>
          <w:szCs w:val="21"/>
          <w:highlight w:val="none"/>
        </w:rPr>
        <w:t>6</w:t>
      </w:r>
      <w:r>
        <w:rPr>
          <w:rFonts w:hAnsi="宋体"/>
          <w:color w:val="auto"/>
          <w:spacing w:val="-4"/>
          <w:szCs w:val="21"/>
          <w:highlight w:val="none"/>
        </w:rPr>
        <w:t>.3</w:t>
      </w:r>
      <w:r>
        <w:rPr>
          <w:rFonts w:hint="eastAsia" w:hAnsi="宋体"/>
          <w:color w:val="auto"/>
          <w:spacing w:val="-4"/>
          <w:szCs w:val="21"/>
          <w:highlight w:val="none"/>
        </w:rPr>
        <w:t>质疑服务商必须首先经过质疑程序，在对采购代理机构的答复不满意或者采购代理机构未在规定的时间内做出答复的</w:t>
      </w:r>
      <w:r>
        <w:rPr>
          <w:rFonts w:hint="eastAsia" w:hAnsi="宋体"/>
          <w:color w:val="auto"/>
          <w:highlight w:val="none"/>
        </w:rPr>
        <w:t>，可以在答复期满后十五个工作日内书面向同级政府采购监督管理部门投诉。</w:t>
      </w:r>
    </w:p>
    <w:p>
      <w:pPr>
        <w:pStyle w:val="4"/>
        <w:spacing w:before="0" w:after="0" w:line="360" w:lineRule="exact"/>
        <w:rPr>
          <w:rFonts w:ascii="宋体" w:hAnsi="宋体" w:eastAsia="宋体"/>
          <w:color w:val="auto"/>
          <w:sz w:val="21"/>
          <w:szCs w:val="21"/>
          <w:highlight w:val="none"/>
        </w:rPr>
      </w:pPr>
      <w:bookmarkStart w:id="238" w:name="_Toc206525711"/>
      <w:bookmarkStart w:id="239" w:name="_Toc239839892"/>
      <w:bookmarkStart w:id="240" w:name="_Toc230578086"/>
      <w:bookmarkStart w:id="241" w:name="_Toc528924937"/>
      <w:bookmarkStart w:id="242" w:name="_Toc207770864"/>
      <w:bookmarkStart w:id="243" w:name="_Toc185702578"/>
      <w:bookmarkStart w:id="244" w:name="_Toc398287320"/>
      <w:r>
        <w:rPr>
          <w:rFonts w:hint="eastAsia" w:ascii="宋体" w:hAnsi="宋体" w:eastAsia="宋体"/>
          <w:color w:val="auto"/>
          <w:sz w:val="21"/>
          <w:szCs w:val="21"/>
          <w:highlight w:val="none"/>
        </w:rPr>
        <w:t>27、成交通知</w:t>
      </w:r>
      <w:bookmarkEnd w:id="238"/>
      <w:bookmarkEnd w:id="239"/>
      <w:bookmarkEnd w:id="240"/>
      <w:bookmarkEnd w:id="241"/>
      <w:bookmarkEnd w:id="242"/>
      <w:bookmarkEnd w:id="243"/>
      <w:bookmarkEnd w:id="244"/>
    </w:p>
    <w:p>
      <w:pPr>
        <w:pStyle w:val="10"/>
        <w:spacing w:line="360" w:lineRule="exact"/>
        <w:ind w:firstLine="420"/>
        <w:rPr>
          <w:rFonts w:hAnsi="宋体"/>
          <w:color w:val="auto"/>
          <w:spacing w:val="-4"/>
          <w:szCs w:val="21"/>
          <w:highlight w:val="none"/>
        </w:rPr>
      </w:pPr>
      <w:r>
        <w:rPr>
          <w:rFonts w:hAnsi="宋体"/>
          <w:color w:val="auto"/>
          <w:spacing w:val="-4"/>
          <w:szCs w:val="21"/>
          <w:highlight w:val="none"/>
        </w:rPr>
        <w:t>2</w:t>
      </w:r>
      <w:r>
        <w:rPr>
          <w:rFonts w:hint="eastAsia" w:hAnsi="宋体"/>
          <w:color w:val="auto"/>
          <w:spacing w:val="-4"/>
          <w:szCs w:val="21"/>
          <w:highlight w:val="none"/>
        </w:rPr>
        <w:t>7</w:t>
      </w:r>
      <w:r>
        <w:rPr>
          <w:rFonts w:hAnsi="宋体"/>
          <w:color w:val="auto"/>
          <w:spacing w:val="-4"/>
          <w:szCs w:val="21"/>
          <w:highlight w:val="none"/>
        </w:rPr>
        <w:t>.1</w:t>
      </w:r>
      <w:r>
        <w:rPr>
          <w:rFonts w:hint="eastAsia" w:hAnsi="宋体"/>
          <w:color w:val="auto"/>
          <w:spacing w:val="-4"/>
          <w:szCs w:val="21"/>
          <w:highlight w:val="none"/>
        </w:rPr>
        <w:t>采购代理机构将在成交结果公告发出的同时向成交人发出成交通知书。</w:t>
      </w:r>
    </w:p>
    <w:p>
      <w:pPr>
        <w:pStyle w:val="10"/>
        <w:spacing w:line="360" w:lineRule="exact"/>
        <w:ind w:firstLine="420"/>
        <w:rPr>
          <w:rFonts w:hAnsi="宋体"/>
          <w:b/>
          <w:color w:val="auto"/>
          <w:spacing w:val="-4"/>
          <w:szCs w:val="21"/>
          <w:highlight w:val="none"/>
        </w:rPr>
      </w:pPr>
      <w:r>
        <w:rPr>
          <w:rFonts w:hAnsi="宋体"/>
          <w:color w:val="auto"/>
          <w:spacing w:val="-4"/>
          <w:szCs w:val="21"/>
          <w:highlight w:val="none"/>
        </w:rPr>
        <w:t>2</w:t>
      </w:r>
      <w:r>
        <w:rPr>
          <w:rFonts w:hint="eastAsia" w:hAnsi="宋体"/>
          <w:color w:val="auto"/>
          <w:spacing w:val="-4"/>
          <w:szCs w:val="21"/>
          <w:highlight w:val="none"/>
        </w:rPr>
        <w:t>7</w:t>
      </w:r>
      <w:r>
        <w:rPr>
          <w:rFonts w:hAnsi="宋体"/>
          <w:color w:val="auto"/>
          <w:spacing w:val="-4"/>
          <w:szCs w:val="21"/>
          <w:highlight w:val="none"/>
        </w:rPr>
        <w:t>.2</w:t>
      </w:r>
      <w:r>
        <w:rPr>
          <w:rFonts w:hint="eastAsia" w:hAnsi="宋体"/>
          <w:color w:val="auto"/>
          <w:spacing w:val="-4"/>
          <w:szCs w:val="21"/>
          <w:highlight w:val="none"/>
        </w:rPr>
        <w:t>成交通知书对采购人和成交人具有法律效力。成交通知书发出后，成交人放弃成交项目的，应当依法承担法律责任。在成交通知书发出到合同签署这段时间里，磋商文件和响应文件没有涉及的内容可以进行磋商，采购人和成交人均不得采取有碍合同生效或履行的行动。</w:t>
      </w:r>
    </w:p>
    <w:p>
      <w:pPr>
        <w:pStyle w:val="10"/>
        <w:spacing w:line="360" w:lineRule="exact"/>
        <w:ind w:firstLine="420"/>
        <w:rPr>
          <w:rFonts w:hAnsi="宋体"/>
          <w:color w:val="auto"/>
          <w:spacing w:val="-4"/>
          <w:szCs w:val="21"/>
          <w:highlight w:val="none"/>
        </w:rPr>
      </w:pPr>
      <w:r>
        <w:rPr>
          <w:rFonts w:hAnsi="宋体"/>
          <w:color w:val="auto"/>
          <w:spacing w:val="-4"/>
          <w:szCs w:val="21"/>
          <w:highlight w:val="none"/>
        </w:rPr>
        <w:t>2</w:t>
      </w:r>
      <w:r>
        <w:rPr>
          <w:rFonts w:hint="eastAsia" w:hAnsi="宋体"/>
          <w:color w:val="auto"/>
          <w:spacing w:val="-4"/>
          <w:szCs w:val="21"/>
          <w:highlight w:val="none"/>
        </w:rPr>
        <w:t>7</w:t>
      </w:r>
      <w:r>
        <w:rPr>
          <w:rFonts w:hAnsi="宋体"/>
          <w:color w:val="auto"/>
          <w:spacing w:val="-4"/>
          <w:szCs w:val="21"/>
          <w:highlight w:val="none"/>
        </w:rPr>
        <w:t>.3</w:t>
      </w:r>
      <w:r>
        <w:rPr>
          <w:rFonts w:hint="eastAsia" w:hAnsi="宋体"/>
          <w:color w:val="auto"/>
          <w:spacing w:val="-4"/>
          <w:szCs w:val="21"/>
          <w:highlight w:val="none"/>
        </w:rPr>
        <w:t>采购代理机构无义务退还响应文件。</w:t>
      </w:r>
    </w:p>
    <w:p>
      <w:pPr>
        <w:pStyle w:val="4"/>
        <w:spacing w:before="0" w:after="0" w:line="360" w:lineRule="exact"/>
        <w:rPr>
          <w:rFonts w:ascii="宋体" w:hAnsi="宋体" w:eastAsia="宋体"/>
          <w:color w:val="auto"/>
          <w:sz w:val="21"/>
          <w:szCs w:val="21"/>
          <w:highlight w:val="none"/>
        </w:rPr>
      </w:pPr>
      <w:bookmarkStart w:id="245" w:name="_Toc206525712"/>
      <w:bookmarkStart w:id="246" w:name="_Toc239839893"/>
      <w:bookmarkStart w:id="247" w:name="_Toc147250388"/>
      <w:bookmarkStart w:id="248" w:name="_Toc147250544"/>
      <w:bookmarkStart w:id="249" w:name="_Toc147250342"/>
      <w:bookmarkStart w:id="250" w:name="_Toc185702579"/>
      <w:bookmarkStart w:id="251" w:name="_Toc230578087"/>
      <w:bookmarkStart w:id="252" w:name="_Toc528924938"/>
      <w:bookmarkStart w:id="253" w:name="_Toc207770865"/>
      <w:bookmarkStart w:id="254" w:name="_Toc398287321"/>
      <w:r>
        <w:rPr>
          <w:rFonts w:hint="eastAsia" w:ascii="宋体" w:hAnsi="宋体" w:eastAsia="宋体"/>
          <w:color w:val="auto"/>
          <w:sz w:val="21"/>
          <w:szCs w:val="21"/>
          <w:highlight w:val="none"/>
        </w:rPr>
        <w:t>28、合同授予标准</w:t>
      </w:r>
      <w:bookmarkEnd w:id="245"/>
      <w:bookmarkEnd w:id="246"/>
      <w:bookmarkEnd w:id="247"/>
      <w:bookmarkEnd w:id="248"/>
      <w:bookmarkEnd w:id="249"/>
      <w:bookmarkEnd w:id="250"/>
      <w:bookmarkEnd w:id="251"/>
      <w:bookmarkEnd w:id="252"/>
      <w:bookmarkEnd w:id="253"/>
      <w:bookmarkEnd w:id="254"/>
    </w:p>
    <w:p>
      <w:pPr>
        <w:pStyle w:val="10"/>
        <w:spacing w:line="360" w:lineRule="exact"/>
        <w:ind w:firstLine="435"/>
        <w:rPr>
          <w:rFonts w:hAnsi="宋体"/>
          <w:bCs/>
          <w:color w:val="auto"/>
          <w:szCs w:val="21"/>
          <w:highlight w:val="none"/>
        </w:rPr>
      </w:pPr>
      <w:r>
        <w:rPr>
          <w:rFonts w:hAnsi="宋体"/>
          <w:bCs/>
          <w:color w:val="auto"/>
          <w:szCs w:val="21"/>
          <w:highlight w:val="none"/>
        </w:rPr>
        <w:t>2</w:t>
      </w:r>
      <w:r>
        <w:rPr>
          <w:rFonts w:hint="eastAsia" w:hAnsi="宋体"/>
          <w:bCs/>
          <w:color w:val="auto"/>
          <w:szCs w:val="21"/>
          <w:highlight w:val="none"/>
        </w:rPr>
        <w:t>8</w:t>
      </w:r>
      <w:r>
        <w:rPr>
          <w:rFonts w:hAnsi="宋体"/>
          <w:bCs/>
          <w:color w:val="auto"/>
          <w:szCs w:val="21"/>
          <w:highlight w:val="none"/>
        </w:rPr>
        <w:t>.1</w:t>
      </w:r>
      <w:r>
        <w:rPr>
          <w:rFonts w:hint="eastAsia" w:hAnsi="宋体"/>
          <w:bCs/>
          <w:color w:val="auto"/>
          <w:szCs w:val="21"/>
          <w:highlight w:val="none"/>
        </w:rPr>
        <w:t>合同授予被确定为实质上响应磋商文件要求，评标认为具备履行合同能力，</w:t>
      </w:r>
      <w:r>
        <w:rPr>
          <w:rFonts w:hint="eastAsia" w:hAnsi="宋体"/>
          <w:color w:val="auto"/>
          <w:szCs w:val="21"/>
          <w:highlight w:val="none"/>
        </w:rPr>
        <w:t>采购结果报告中推荐名次排名第一的成交候选人为成交人。</w:t>
      </w:r>
    </w:p>
    <w:p>
      <w:pPr>
        <w:pStyle w:val="10"/>
        <w:spacing w:line="360" w:lineRule="exact"/>
        <w:ind w:firstLine="420" w:firstLineChars="200"/>
        <w:rPr>
          <w:rFonts w:hAnsi="宋体"/>
          <w:bCs/>
          <w:color w:val="auto"/>
          <w:szCs w:val="21"/>
          <w:highlight w:val="none"/>
        </w:rPr>
      </w:pPr>
      <w:r>
        <w:rPr>
          <w:rFonts w:hAnsi="宋体"/>
          <w:bCs/>
          <w:color w:val="auto"/>
          <w:szCs w:val="21"/>
          <w:highlight w:val="none"/>
        </w:rPr>
        <w:t>2</w:t>
      </w:r>
      <w:r>
        <w:rPr>
          <w:rFonts w:hint="eastAsia" w:hAnsi="宋体"/>
          <w:bCs/>
          <w:color w:val="auto"/>
          <w:szCs w:val="21"/>
          <w:highlight w:val="none"/>
        </w:rPr>
        <w:t>8</w:t>
      </w:r>
      <w:r>
        <w:rPr>
          <w:rFonts w:hAnsi="宋体"/>
          <w:bCs/>
          <w:color w:val="auto"/>
          <w:szCs w:val="21"/>
          <w:highlight w:val="none"/>
        </w:rPr>
        <w:t>.2</w:t>
      </w:r>
      <w:r>
        <w:rPr>
          <w:rFonts w:hint="eastAsia" w:hAnsi="宋体"/>
          <w:bCs/>
          <w:color w:val="auto"/>
          <w:szCs w:val="21"/>
          <w:highlight w:val="none"/>
        </w:rPr>
        <w:t>采购人应按照评标报告中推荐的成交候选人顺序确定成交人。</w:t>
      </w:r>
    </w:p>
    <w:p>
      <w:pPr>
        <w:pStyle w:val="10"/>
        <w:spacing w:line="360" w:lineRule="exact"/>
        <w:ind w:firstLine="420" w:firstLineChars="200"/>
        <w:rPr>
          <w:rFonts w:hAnsi="宋体"/>
          <w:bCs/>
          <w:color w:val="auto"/>
          <w:highlight w:val="none"/>
        </w:rPr>
      </w:pPr>
      <w:r>
        <w:rPr>
          <w:rFonts w:hAnsi="宋体"/>
          <w:bCs/>
          <w:color w:val="auto"/>
          <w:szCs w:val="21"/>
          <w:highlight w:val="none"/>
        </w:rPr>
        <w:t>2</w:t>
      </w:r>
      <w:r>
        <w:rPr>
          <w:rFonts w:hint="eastAsia" w:hAnsi="宋体"/>
          <w:bCs/>
          <w:color w:val="auto"/>
          <w:szCs w:val="21"/>
          <w:highlight w:val="none"/>
        </w:rPr>
        <w:t>8</w:t>
      </w:r>
      <w:r>
        <w:rPr>
          <w:rFonts w:hAnsi="宋体"/>
          <w:bCs/>
          <w:color w:val="auto"/>
          <w:szCs w:val="21"/>
          <w:highlight w:val="none"/>
        </w:rPr>
        <w:t>.3</w:t>
      </w:r>
      <w:r>
        <w:rPr>
          <w:rFonts w:hint="eastAsia" w:hAnsi="宋体"/>
          <w:bCs/>
          <w:color w:val="auto"/>
          <w:szCs w:val="21"/>
          <w:highlight w:val="none"/>
        </w:rPr>
        <w:t>若排名第一的成交候选人自愿放弃成交人资格或不能履行合同，则排名第二的成交候选人为成交人，依次类推</w:t>
      </w:r>
      <w:r>
        <w:rPr>
          <w:rFonts w:hint="eastAsia" w:hAnsi="宋体"/>
          <w:bCs/>
          <w:color w:val="auto"/>
          <w:highlight w:val="none"/>
        </w:rPr>
        <w:t>。</w:t>
      </w:r>
    </w:p>
    <w:p>
      <w:pPr>
        <w:pStyle w:val="4"/>
        <w:spacing w:before="0" w:after="0" w:line="400" w:lineRule="exact"/>
        <w:rPr>
          <w:rFonts w:ascii="宋体" w:hAnsi="宋体" w:eastAsia="宋体"/>
          <w:color w:val="auto"/>
          <w:sz w:val="21"/>
          <w:szCs w:val="21"/>
          <w:highlight w:val="none"/>
        </w:rPr>
      </w:pPr>
      <w:bookmarkStart w:id="255" w:name="_Toc239839895"/>
      <w:bookmarkStart w:id="256" w:name="_Toc207770867"/>
      <w:bookmarkStart w:id="257" w:name="_Toc230578089"/>
      <w:bookmarkStart w:id="258" w:name="_Toc486196170"/>
      <w:bookmarkStart w:id="259" w:name="_Toc486922987"/>
      <w:bookmarkStart w:id="260" w:name="_Toc206525714"/>
      <w:r>
        <w:rPr>
          <w:rFonts w:hint="eastAsia" w:ascii="宋体" w:hAnsi="宋体" w:eastAsia="宋体"/>
          <w:color w:val="auto"/>
          <w:sz w:val="21"/>
          <w:szCs w:val="21"/>
          <w:highlight w:val="none"/>
        </w:rPr>
        <w:t>29．履约保证金</w:t>
      </w:r>
      <w:bookmarkEnd w:id="255"/>
      <w:bookmarkEnd w:id="256"/>
      <w:bookmarkEnd w:id="257"/>
      <w:bookmarkEnd w:id="258"/>
      <w:bookmarkEnd w:id="259"/>
      <w:bookmarkEnd w:id="260"/>
    </w:p>
    <w:p>
      <w:pPr>
        <w:pStyle w:val="10"/>
        <w:spacing w:line="360" w:lineRule="exact"/>
        <w:ind w:firstLine="420" w:firstLineChars="200"/>
        <w:rPr>
          <w:rFonts w:hAnsi="宋体"/>
          <w:color w:val="auto"/>
          <w:highlight w:val="none"/>
        </w:rPr>
      </w:pPr>
      <w:r>
        <w:rPr>
          <w:rFonts w:hAnsi="宋体"/>
          <w:color w:val="auto"/>
          <w:highlight w:val="none"/>
        </w:rPr>
        <w:t>2</w:t>
      </w:r>
      <w:r>
        <w:rPr>
          <w:rFonts w:hint="eastAsia" w:hAnsi="宋体"/>
          <w:color w:val="auto"/>
          <w:highlight w:val="none"/>
        </w:rPr>
        <w:t>9</w:t>
      </w:r>
      <w:r>
        <w:rPr>
          <w:rFonts w:hAnsi="宋体"/>
          <w:color w:val="auto"/>
          <w:highlight w:val="none"/>
        </w:rPr>
        <w:t xml:space="preserve">.1 </w:t>
      </w:r>
      <w:r>
        <w:rPr>
          <w:rFonts w:hAnsi="宋体"/>
          <w:color w:val="auto"/>
          <w:spacing w:val="-4"/>
          <w:highlight w:val="none"/>
        </w:rPr>
        <w:t>履约保证金的退还</w:t>
      </w:r>
      <w:r>
        <w:rPr>
          <w:rFonts w:hAnsi="宋体"/>
          <w:color w:val="auto"/>
          <w:highlight w:val="none"/>
        </w:rPr>
        <w:t>：成交人按合同履约后，按</w:t>
      </w:r>
      <w:r>
        <w:rPr>
          <w:rFonts w:hAnsi="宋体"/>
          <w:color w:val="auto"/>
          <w:spacing w:val="-4"/>
          <w:highlight w:val="none"/>
        </w:rPr>
        <w:t>服务商须知前附表第1</w:t>
      </w:r>
      <w:r>
        <w:rPr>
          <w:rFonts w:hint="eastAsia" w:hAnsi="宋体"/>
          <w:color w:val="auto"/>
          <w:spacing w:val="-4"/>
          <w:highlight w:val="none"/>
        </w:rPr>
        <w:t>8</w:t>
      </w:r>
      <w:r>
        <w:rPr>
          <w:rFonts w:hAnsi="宋体"/>
          <w:color w:val="auto"/>
          <w:spacing w:val="-4"/>
          <w:highlight w:val="none"/>
        </w:rPr>
        <w:t>项的要求</w:t>
      </w:r>
      <w:r>
        <w:rPr>
          <w:rFonts w:hAnsi="宋体"/>
          <w:color w:val="auto"/>
          <w:highlight w:val="none"/>
        </w:rPr>
        <w:t>办理退还履约保证金手续，采购</w:t>
      </w:r>
      <w:r>
        <w:rPr>
          <w:rFonts w:hint="eastAsia" w:hAnsi="宋体"/>
          <w:color w:val="auto"/>
          <w:highlight w:val="none"/>
        </w:rPr>
        <w:t>单位</w:t>
      </w:r>
      <w:r>
        <w:rPr>
          <w:rFonts w:hAnsi="宋体"/>
          <w:color w:val="auto"/>
          <w:highlight w:val="none"/>
        </w:rPr>
        <w:t>收到退还申请后，将在5个工作日内不计利息原额退还。</w:t>
      </w:r>
    </w:p>
    <w:p>
      <w:pPr>
        <w:pStyle w:val="10"/>
        <w:spacing w:line="360" w:lineRule="exact"/>
        <w:ind w:firstLine="420" w:firstLineChars="200"/>
        <w:rPr>
          <w:rFonts w:hAnsi="宋体"/>
          <w:color w:val="auto"/>
          <w:highlight w:val="none"/>
        </w:rPr>
      </w:pPr>
      <w:r>
        <w:rPr>
          <w:rFonts w:hAnsi="宋体"/>
          <w:color w:val="auto"/>
          <w:highlight w:val="none"/>
        </w:rPr>
        <w:t>2</w:t>
      </w:r>
      <w:r>
        <w:rPr>
          <w:rFonts w:hint="eastAsia" w:hAnsi="宋体"/>
          <w:color w:val="auto"/>
          <w:highlight w:val="none"/>
        </w:rPr>
        <w:t>9</w:t>
      </w:r>
      <w:r>
        <w:rPr>
          <w:rFonts w:hAnsi="宋体"/>
          <w:color w:val="auto"/>
          <w:highlight w:val="none"/>
        </w:rPr>
        <w:t>.2履约保证金作为违约金的一部分及用于补偿甲方因乙方不能完成其合同义务而蒙受的损失。如成交人不按双方签订的合同规定履约，则对其全部履约保证金不予退还，履约保证金不足以赔偿损失的，按实际损失赔偿。</w:t>
      </w:r>
    </w:p>
    <w:p>
      <w:pPr>
        <w:pStyle w:val="10"/>
        <w:spacing w:line="360" w:lineRule="exact"/>
        <w:ind w:firstLine="420" w:firstLineChars="200"/>
        <w:rPr>
          <w:rFonts w:hAnsi="宋体"/>
          <w:color w:val="auto"/>
          <w:highlight w:val="none"/>
        </w:rPr>
      </w:pPr>
      <w:r>
        <w:rPr>
          <w:rFonts w:hint="eastAsia" w:hAnsi="宋体"/>
          <w:color w:val="auto"/>
          <w:highlight w:val="none"/>
        </w:rPr>
        <w:t>29</w:t>
      </w:r>
      <w:r>
        <w:rPr>
          <w:rFonts w:hAnsi="宋体"/>
          <w:color w:val="auto"/>
          <w:highlight w:val="none"/>
        </w:rPr>
        <w:t>.3在履约保证金到期退还日期前，若成交人的开户名称、开户银行、帐号有变动的，请以书面形式通知</w:t>
      </w:r>
      <w:r>
        <w:rPr>
          <w:rFonts w:hint="eastAsia" w:hAnsi="宋体"/>
          <w:color w:val="auto"/>
          <w:highlight w:val="none"/>
        </w:rPr>
        <w:t>采购单位</w:t>
      </w:r>
      <w:r>
        <w:rPr>
          <w:rFonts w:hAnsi="宋体"/>
          <w:color w:val="auto"/>
          <w:highlight w:val="none"/>
        </w:rPr>
        <w:t>，否则由此产生的后果由成交人自负。</w:t>
      </w:r>
    </w:p>
    <w:p>
      <w:pPr>
        <w:rPr>
          <w:color w:val="auto"/>
          <w:highlight w:val="none"/>
        </w:rPr>
      </w:pPr>
    </w:p>
    <w:p>
      <w:pPr>
        <w:pStyle w:val="4"/>
        <w:spacing w:before="0" w:after="0" w:line="360" w:lineRule="exact"/>
        <w:rPr>
          <w:rFonts w:ascii="宋体" w:hAnsi="宋体" w:eastAsia="宋体"/>
          <w:color w:val="auto"/>
          <w:sz w:val="21"/>
          <w:szCs w:val="21"/>
          <w:highlight w:val="none"/>
        </w:rPr>
      </w:pPr>
      <w:bookmarkStart w:id="261" w:name="_Toc528924939"/>
      <w:bookmarkStart w:id="262" w:name="_Toc206525713"/>
      <w:bookmarkStart w:id="263" w:name="_Toc207770866"/>
      <w:bookmarkStart w:id="264" w:name="_Toc398287322"/>
      <w:bookmarkStart w:id="265" w:name="_Toc230578088"/>
      <w:bookmarkStart w:id="266" w:name="_Toc239839894"/>
      <w:bookmarkStart w:id="267" w:name="_Toc185702580"/>
      <w:r>
        <w:rPr>
          <w:rFonts w:hint="eastAsia" w:ascii="宋体" w:hAnsi="宋体" w:eastAsia="宋体"/>
          <w:color w:val="auto"/>
          <w:sz w:val="21"/>
          <w:szCs w:val="21"/>
          <w:highlight w:val="none"/>
        </w:rPr>
        <w:t>30、签订合同</w:t>
      </w:r>
      <w:bookmarkEnd w:id="261"/>
      <w:bookmarkEnd w:id="262"/>
      <w:bookmarkEnd w:id="263"/>
      <w:bookmarkEnd w:id="264"/>
      <w:bookmarkEnd w:id="265"/>
      <w:bookmarkEnd w:id="266"/>
      <w:bookmarkEnd w:id="267"/>
    </w:p>
    <w:p>
      <w:pPr>
        <w:pStyle w:val="10"/>
        <w:spacing w:line="360" w:lineRule="exact"/>
        <w:ind w:firstLine="420"/>
        <w:rPr>
          <w:rFonts w:hAnsi="宋体"/>
          <w:color w:val="auto"/>
          <w:szCs w:val="21"/>
          <w:highlight w:val="none"/>
        </w:rPr>
      </w:pPr>
      <w:bookmarkStart w:id="268" w:name="_Toc185702581"/>
      <w:r>
        <w:rPr>
          <w:rFonts w:hint="eastAsia" w:hAnsi="宋体"/>
          <w:color w:val="auto"/>
          <w:szCs w:val="21"/>
          <w:highlight w:val="none"/>
        </w:rPr>
        <w:t>30</w:t>
      </w:r>
      <w:r>
        <w:rPr>
          <w:rFonts w:hAnsi="宋体"/>
          <w:color w:val="auto"/>
          <w:szCs w:val="21"/>
          <w:highlight w:val="none"/>
        </w:rPr>
        <w:t>.1</w:t>
      </w:r>
      <w:r>
        <w:rPr>
          <w:rFonts w:hint="eastAsia" w:hAnsi="宋体"/>
          <w:color w:val="auto"/>
          <w:szCs w:val="21"/>
          <w:highlight w:val="none"/>
        </w:rPr>
        <w:t>合同将授予被确定为成交的服务商。</w:t>
      </w:r>
    </w:p>
    <w:p>
      <w:pPr>
        <w:pStyle w:val="10"/>
        <w:spacing w:line="360" w:lineRule="exact"/>
        <w:ind w:firstLine="420"/>
        <w:rPr>
          <w:rFonts w:hAnsi="宋体"/>
          <w:color w:val="auto"/>
          <w:szCs w:val="21"/>
          <w:highlight w:val="none"/>
        </w:rPr>
      </w:pPr>
      <w:r>
        <w:rPr>
          <w:rFonts w:hint="eastAsia" w:hAnsi="宋体"/>
          <w:color w:val="auto"/>
          <w:szCs w:val="21"/>
          <w:highlight w:val="none"/>
        </w:rPr>
        <w:t>30</w:t>
      </w:r>
      <w:r>
        <w:rPr>
          <w:rFonts w:hAnsi="宋体"/>
          <w:color w:val="auto"/>
          <w:szCs w:val="21"/>
          <w:highlight w:val="none"/>
        </w:rPr>
        <w:t>.2</w:t>
      </w:r>
      <w:r>
        <w:rPr>
          <w:rFonts w:hint="eastAsia" w:hAnsi="宋体"/>
          <w:color w:val="auto"/>
          <w:szCs w:val="21"/>
          <w:highlight w:val="none"/>
        </w:rPr>
        <w:t>成交服务商须凭成交通知书原件按告知函中规定的时间、地点与采购单位签订合同。成交服务商不得再与采购人签署订立背离合同实质性内容的其它协议或声明。</w:t>
      </w:r>
    </w:p>
    <w:p>
      <w:pPr>
        <w:pStyle w:val="10"/>
        <w:spacing w:line="360" w:lineRule="exact"/>
        <w:ind w:firstLine="420"/>
        <w:rPr>
          <w:rFonts w:hAnsi="宋体"/>
          <w:color w:val="auto"/>
          <w:szCs w:val="21"/>
          <w:highlight w:val="none"/>
        </w:rPr>
      </w:pPr>
      <w:r>
        <w:rPr>
          <w:rFonts w:hint="eastAsia" w:hAnsi="宋体"/>
          <w:color w:val="auto"/>
          <w:szCs w:val="21"/>
          <w:highlight w:val="none"/>
        </w:rPr>
        <w:t>30</w:t>
      </w:r>
      <w:r>
        <w:rPr>
          <w:rFonts w:hAnsi="宋体"/>
          <w:color w:val="auto"/>
          <w:szCs w:val="21"/>
          <w:highlight w:val="none"/>
        </w:rPr>
        <w:t>.3</w:t>
      </w:r>
      <w:r>
        <w:rPr>
          <w:rFonts w:hint="eastAsia" w:hAnsi="宋体"/>
          <w:color w:val="auto"/>
          <w:szCs w:val="21"/>
          <w:highlight w:val="none"/>
        </w:rPr>
        <w:t>如成交人不按成交通知书的规定签订合同，则按成交人违约处理，对成交人所</w:t>
      </w:r>
      <w:r>
        <w:rPr>
          <w:rFonts w:hint="eastAsia" w:hAnsi="宋体"/>
          <w:color w:val="auto"/>
          <w:spacing w:val="-4"/>
          <w:szCs w:val="21"/>
          <w:highlight w:val="none"/>
        </w:rPr>
        <w:t>提交</w:t>
      </w:r>
      <w:r>
        <w:rPr>
          <w:rFonts w:hint="eastAsia" w:hAnsi="宋体"/>
          <w:color w:val="auto"/>
          <w:szCs w:val="21"/>
          <w:highlight w:val="none"/>
        </w:rPr>
        <w:t>的全部磋商保证金将不予退还。</w:t>
      </w:r>
    </w:p>
    <w:p>
      <w:pPr>
        <w:pStyle w:val="10"/>
        <w:spacing w:line="360" w:lineRule="exact"/>
        <w:ind w:firstLine="420" w:firstLineChars="200"/>
        <w:rPr>
          <w:rFonts w:hAnsi="宋体"/>
          <w:bCs/>
          <w:color w:val="auto"/>
          <w:szCs w:val="21"/>
          <w:highlight w:val="none"/>
        </w:rPr>
      </w:pPr>
      <w:r>
        <w:rPr>
          <w:rFonts w:hint="eastAsia" w:hAnsi="宋体"/>
          <w:bCs/>
          <w:color w:val="auto"/>
          <w:szCs w:val="21"/>
          <w:highlight w:val="none"/>
        </w:rPr>
        <w:t>30</w:t>
      </w:r>
      <w:r>
        <w:rPr>
          <w:rFonts w:hAnsi="宋体"/>
          <w:bCs/>
          <w:color w:val="auto"/>
          <w:szCs w:val="21"/>
          <w:highlight w:val="none"/>
        </w:rPr>
        <w:t>.4</w:t>
      </w:r>
      <w:r>
        <w:rPr>
          <w:rFonts w:hint="eastAsia" w:hAnsi="宋体" w:cs="Arial"/>
          <w:color w:val="auto"/>
          <w:szCs w:val="21"/>
          <w:highlight w:val="none"/>
        </w:rPr>
        <w:t>成交服务商拒绝签订政府采购合同的，采购人可以按照评审报告中的推荐的候选人顺序确定其他服务商作为成交服务商并签订政府采购合同，也可以重新开展采购活动。拒绝签订政府采购合同的成交服务商不得参加对该项目重新开展的采购活动。</w:t>
      </w:r>
    </w:p>
    <w:p>
      <w:pPr>
        <w:pStyle w:val="10"/>
        <w:spacing w:line="360" w:lineRule="exact"/>
        <w:ind w:firstLine="420"/>
        <w:rPr>
          <w:rFonts w:hAnsi="宋体"/>
          <w:color w:val="auto"/>
          <w:szCs w:val="21"/>
          <w:highlight w:val="none"/>
        </w:rPr>
      </w:pPr>
      <w:r>
        <w:rPr>
          <w:rFonts w:hint="eastAsia" w:hAnsi="宋体"/>
          <w:color w:val="auto"/>
          <w:szCs w:val="21"/>
          <w:highlight w:val="none"/>
        </w:rPr>
        <w:t>30</w:t>
      </w:r>
      <w:r>
        <w:rPr>
          <w:rFonts w:hAnsi="宋体"/>
          <w:color w:val="auto"/>
          <w:szCs w:val="21"/>
          <w:highlight w:val="none"/>
        </w:rPr>
        <w:t>.5</w:t>
      </w:r>
      <w:r>
        <w:rPr>
          <w:rFonts w:hint="eastAsia" w:hAnsi="宋体"/>
          <w:color w:val="auto"/>
          <w:szCs w:val="21"/>
          <w:highlight w:val="none"/>
        </w:rPr>
        <w:t>由于成交人放弃成交或未按规定签订合同，造成本项目的合同成交价提高（指采购人选择第二成交候选人导致成交金额高于违约人的成交价），所超出违约人的成交价部分由违约人承担赔偿责任。</w:t>
      </w:r>
    </w:p>
    <w:p>
      <w:pPr>
        <w:pStyle w:val="10"/>
        <w:spacing w:line="360" w:lineRule="exact"/>
        <w:ind w:firstLine="420"/>
        <w:rPr>
          <w:rFonts w:hAnsi="宋体"/>
          <w:color w:val="auto"/>
          <w:szCs w:val="21"/>
          <w:highlight w:val="none"/>
        </w:rPr>
      </w:pPr>
      <w:r>
        <w:rPr>
          <w:rFonts w:hint="eastAsia" w:hAnsi="宋体"/>
          <w:color w:val="auto"/>
          <w:szCs w:val="21"/>
          <w:highlight w:val="none"/>
        </w:rPr>
        <w:t>30</w:t>
      </w:r>
      <w:r>
        <w:rPr>
          <w:rFonts w:hAnsi="宋体"/>
          <w:color w:val="auto"/>
          <w:szCs w:val="21"/>
          <w:highlight w:val="none"/>
        </w:rPr>
        <w:t>.6</w:t>
      </w:r>
      <w:r>
        <w:rPr>
          <w:rFonts w:hint="eastAsia" w:hAnsi="宋体"/>
          <w:color w:val="auto"/>
          <w:szCs w:val="21"/>
          <w:highlight w:val="none"/>
        </w:rPr>
        <w:t>采购合同必须与磋商文件第四章合同书格式</w:t>
      </w:r>
      <w:r>
        <w:rPr>
          <w:rFonts w:hAnsi="宋体"/>
          <w:color w:val="auto"/>
          <w:szCs w:val="21"/>
          <w:highlight w:val="none"/>
        </w:rPr>
        <w:t>(</w:t>
      </w:r>
      <w:r>
        <w:rPr>
          <w:rFonts w:hint="eastAsia" w:hAnsi="宋体"/>
          <w:color w:val="auto"/>
          <w:szCs w:val="21"/>
          <w:highlight w:val="none"/>
        </w:rPr>
        <w:t>包括内容和结构</w:t>
      </w:r>
      <w:r>
        <w:rPr>
          <w:rFonts w:hAnsi="宋体"/>
          <w:color w:val="auto"/>
          <w:szCs w:val="21"/>
          <w:highlight w:val="none"/>
        </w:rPr>
        <w:t>)</w:t>
      </w:r>
      <w:r>
        <w:rPr>
          <w:rFonts w:hint="eastAsia" w:hAnsi="宋体"/>
          <w:color w:val="auto"/>
          <w:szCs w:val="21"/>
          <w:highlight w:val="none"/>
        </w:rPr>
        <w:t>相一致，不能改变主要条款。</w:t>
      </w:r>
      <w:bookmarkEnd w:id="268"/>
    </w:p>
    <w:p>
      <w:pPr>
        <w:pStyle w:val="3"/>
        <w:spacing w:line="360" w:lineRule="exact"/>
        <w:jc w:val="center"/>
        <w:rPr>
          <w:rFonts w:ascii="宋体" w:hAnsi="宋体"/>
          <w:color w:val="auto"/>
          <w:highlight w:val="none"/>
        </w:rPr>
      </w:pPr>
      <w:bookmarkStart w:id="269" w:name="_Toc398287324"/>
      <w:bookmarkStart w:id="270" w:name="_Toc207770868"/>
      <w:bookmarkStart w:id="271" w:name="_Toc230578090"/>
      <w:bookmarkStart w:id="272" w:name="_Toc185702582"/>
      <w:bookmarkStart w:id="273" w:name="_Toc206525715"/>
      <w:bookmarkStart w:id="274" w:name="_Toc239839896"/>
      <w:bookmarkStart w:id="275" w:name="_Toc528924940"/>
      <w:r>
        <w:rPr>
          <w:rFonts w:hint="eastAsia" w:ascii="宋体" w:hAnsi="宋体"/>
          <w:color w:val="auto"/>
          <w:highlight w:val="none"/>
        </w:rPr>
        <w:t>七   其他事项</w:t>
      </w:r>
      <w:bookmarkEnd w:id="269"/>
      <w:bookmarkEnd w:id="270"/>
      <w:bookmarkEnd w:id="271"/>
      <w:bookmarkEnd w:id="272"/>
      <w:bookmarkEnd w:id="273"/>
      <w:bookmarkEnd w:id="274"/>
      <w:bookmarkEnd w:id="275"/>
    </w:p>
    <w:p>
      <w:pPr>
        <w:pStyle w:val="4"/>
        <w:spacing w:before="0" w:after="0" w:line="360" w:lineRule="exact"/>
        <w:rPr>
          <w:rFonts w:ascii="宋体" w:hAnsi="宋体" w:eastAsia="宋体"/>
          <w:color w:val="auto"/>
          <w:sz w:val="21"/>
          <w:szCs w:val="21"/>
          <w:highlight w:val="none"/>
        </w:rPr>
      </w:pPr>
      <w:bookmarkStart w:id="276" w:name="_Toc528924941"/>
      <w:bookmarkStart w:id="277" w:name="_Toc206525716"/>
      <w:bookmarkStart w:id="278" w:name="_Toc185702583"/>
      <w:bookmarkStart w:id="279" w:name="_Toc207770869"/>
      <w:bookmarkStart w:id="280" w:name="_Toc239839897"/>
      <w:bookmarkStart w:id="281" w:name="_Toc230578091"/>
      <w:bookmarkStart w:id="282" w:name="_Toc398287325"/>
      <w:r>
        <w:rPr>
          <w:rFonts w:hint="eastAsia" w:ascii="宋体" w:hAnsi="宋体" w:eastAsia="宋体"/>
          <w:color w:val="auto"/>
          <w:sz w:val="21"/>
          <w:szCs w:val="21"/>
          <w:highlight w:val="none"/>
        </w:rPr>
        <w:t>31、成交服务费</w:t>
      </w:r>
      <w:bookmarkEnd w:id="276"/>
      <w:bookmarkEnd w:id="277"/>
      <w:bookmarkEnd w:id="278"/>
      <w:bookmarkEnd w:id="279"/>
      <w:bookmarkEnd w:id="280"/>
      <w:bookmarkEnd w:id="281"/>
      <w:bookmarkEnd w:id="282"/>
    </w:p>
    <w:p>
      <w:pPr>
        <w:pStyle w:val="8"/>
        <w:ind w:firstLine="420" w:firstLineChars="200"/>
        <w:rPr>
          <w:rFonts w:hAnsi="宋体"/>
          <w:bCs/>
          <w:color w:val="auto"/>
          <w:highlight w:val="none"/>
        </w:rPr>
      </w:pPr>
      <w:r>
        <w:rPr>
          <w:rFonts w:hint="eastAsia" w:ascii="宋体" w:hAnsi="宋体"/>
          <w:color w:val="auto"/>
          <w:szCs w:val="21"/>
          <w:highlight w:val="none"/>
        </w:rPr>
        <w:t>31.1成交服务费：签订合同前，成交人须领取成交通知书，并由成交人向广西达华工程造价咨询有限责任公司一次性付清招标代理服务费及开标费，其金额</w:t>
      </w:r>
      <w:r>
        <w:rPr>
          <w:rFonts w:ascii="宋体" w:hAnsi="宋体"/>
          <w:color w:val="auto"/>
          <w:szCs w:val="21"/>
          <w:highlight w:val="none"/>
        </w:rPr>
        <w:t>按相关法律法规规定，本次招标代理服务费按有关规定</w:t>
      </w:r>
      <w:r>
        <w:rPr>
          <w:rFonts w:hAnsi="宋体"/>
          <w:color w:val="auto"/>
          <w:highlight w:val="none"/>
        </w:rPr>
        <w:t>执行</w:t>
      </w:r>
      <w:r>
        <w:rPr>
          <w:rFonts w:hint="eastAsia" w:hAnsi="宋体"/>
          <w:color w:val="auto"/>
          <w:highlight w:val="none"/>
        </w:rPr>
        <w:t>。否则，采购代理机构将视之为违约，</w:t>
      </w:r>
      <w:r>
        <w:rPr>
          <w:rFonts w:hint="eastAsia"/>
          <w:color w:val="auto"/>
          <w:highlight w:val="none"/>
        </w:rPr>
        <w:t>视为其放弃成交</w:t>
      </w:r>
      <w:r>
        <w:rPr>
          <w:rFonts w:hint="eastAsia" w:hAnsi="宋体"/>
          <w:color w:val="auto"/>
          <w:highlight w:val="none"/>
        </w:rPr>
        <w:t>。</w:t>
      </w:r>
    </w:p>
    <w:p>
      <w:pPr>
        <w:pStyle w:val="10"/>
        <w:spacing w:line="360" w:lineRule="exact"/>
        <w:ind w:firstLine="420"/>
        <w:rPr>
          <w:rFonts w:hAnsi="宋体"/>
          <w:color w:val="auto"/>
          <w:highlight w:val="none"/>
        </w:rPr>
      </w:pPr>
      <w:r>
        <w:rPr>
          <w:rFonts w:hint="eastAsia" w:hAnsi="宋体"/>
          <w:color w:val="auto"/>
          <w:highlight w:val="none"/>
        </w:rPr>
        <w:t>31.2代理服务收费标准：</w:t>
      </w:r>
    </w:p>
    <w:p>
      <w:pPr>
        <w:rPr>
          <w:rFonts w:hAnsi="宋体"/>
          <w:color w:val="auto"/>
          <w:highlight w:val="none"/>
        </w:rPr>
      </w:pPr>
    </w:p>
    <w:p>
      <w:pPr>
        <w:pStyle w:val="19"/>
        <w:ind w:firstLine="210"/>
        <w:rPr>
          <w:rFonts w:hAnsi="宋体"/>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INCLUDEPICTURE "http://news.xinhuanet.com/zhengfu/2002-12/27/xinsrc_0a6538811622437f98ef988296690e39.jpg" \* MERGEFORMATINET </w:instrText>
      </w:r>
      <w:r>
        <w:rPr>
          <w:rFonts w:hint="eastAsia" w:ascii="宋体" w:hAnsi="宋体" w:cs="宋体"/>
          <w:color w:val="auto"/>
          <w:highlight w:val="none"/>
        </w:rPr>
        <w:fldChar w:fldCharType="separate"/>
      </w:r>
      <w:r>
        <w:rPr>
          <w:rFonts w:hint="eastAsia" w:ascii="宋体" w:hAnsi="宋体" w:cs="宋体"/>
          <w:color w:val="auto"/>
          <w:highlight w:val="none"/>
        </w:rPr>
        <w:drawing>
          <wp:inline distT="0" distB="0" distL="114300" distR="114300">
            <wp:extent cx="5534025" cy="2838450"/>
            <wp:effectExtent l="0" t="0" r="9525" b="0"/>
            <wp:docPr id="1" name="图片 1" descr="xinsrc_0a6538811622437f98ef988296690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insrc_0a6538811622437f98ef988296690e39"/>
                    <pic:cNvPicPr>
                      <a:picLocks noChangeAspect="1"/>
                    </pic:cNvPicPr>
                  </pic:nvPicPr>
                  <pic:blipFill>
                    <a:blip r:embed="rId6"/>
                    <a:stretch>
                      <a:fillRect/>
                    </a:stretch>
                  </pic:blipFill>
                  <pic:spPr>
                    <a:xfrm>
                      <a:off x="0" y="0"/>
                      <a:ext cx="5534025" cy="2838450"/>
                    </a:xfrm>
                    <a:prstGeom prst="rect">
                      <a:avLst/>
                    </a:prstGeom>
                    <a:noFill/>
                    <a:ln>
                      <a:noFill/>
                    </a:ln>
                  </pic:spPr>
                </pic:pic>
              </a:graphicData>
            </a:graphic>
          </wp:inline>
        </w:drawing>
      </w:r>
      <w:r>
        <w:rPr>
          <w:rFonts w:hint="eastAsia" w:ascii="宋体" w:hAnsi="宋体" w:cs="宋体"/>
          <w:color w:val="auto"/>
          <w:highlight w:val="none"/>
        </w:rPr>
        <w:fldChar w:fldCharType="end"/>
      </w:r>
    </w:p>
    <w:p>
      <w:pPr>
        <w:pStyle w:val="10"/>
        <w:spacing w:line="360" w:lineRule="exact"/>
        <w:rPr>
          <w:rFonts w:hAnsi="宋体"/>
          <w:color w:val="auto"/>
          <w:highlight w:val="none"/>
        </w:rPr>
      </w:pPr>
      <w:r>
        <w:rPr>
          <w:rFonts w:hint="eastAsia" w:hAnsi="宋体"/>
          <w:color w:val="auto"/>
          <w:highlight w:val="none"/>
        </w:rPr>
        <w:t>注：招标代理服务收费按差额定率累进法计算。</w:t>
      </w:r>
      <w:bookmarkStart w:id="283" w:name="_Toc185702584"/>
      <w:bookmarkStart w:id="284" w:name="_Toc206525717"/>
      <w:bookmarkStart w:id="285" w:name="_Toc207770870"/>
      <w:bookmarkStart w:id="286" w:name="_Toc230578092"/>
      <w:bookmarkStart w:id="287" w:name="_Toc239839898"/>
    </w:p>
    <w:p>
      <w:pPr>
        <w:pStyle w:val="4"/>
        <w:spacing w:before="0" w:after="0" w:line="360" w:lineRule="exact"/>
        <w:rPr>
          <w:rFonts w:ascii="宋体" w:hAnsi="宋体" w:eastAsia="宋体"/>
          <w:color w:val="auto"/>
          <w:sz w:val="21"/>
          <w:szCs w:val="21"/>
          <w:highlight w:val="none"/>
        </w:rPr>
      </w:pPr>
      <w:bookmarkStart w:id="288" w:name="_Toc398287326"/>
      <w:bookmarkStart w:id="289" w:name="_Toc528924942"/>
      <w:r>
        <w:rPr>
          <w:rFonts w:hint="eastAsia" w:ascii="宋体" w:hAnsi="宋体" w:eastAsia="宋体"/>
          <w:color w:val="auto"/>
          <w:sz w:val="21"/>
          <w:szCs w:val="21"/>
          <w:highlight w:val="none"/>
        </w:rPr>
        <w:t>32、解释权</w:t>
      </w:r>
      <w:bookmarkEnd w:id="283"/>
      <w:bookmarkEnd w:id="284"/>
      <w:bookmarkEnd w:id="285"/>
      <w:bookmarkEnd w:id="286"/>
      <w:bookmarkEnd w:id="287"/>
      <w:bookmarkEnd w:id="288"/>
      <w:bookmarkEnd w:id="289"/>
    </w:p>
    <w:p>
      <w:pPr>
        <w:pStyle w:val="10"/>
        <w:spacing w:line="360" w:lineRule="exact"/>
        <w:ind w:firstLine="420"/>
        <w:rPr>
          <w:rFonts w:hAnsi="宋体"/>
          <w:color w:val="auto"/>
          <w:highlight w:val="none"/>
        </w:rPr>
      </w:pPr>
      <w:r>
        <w:rPr>
          <w:rFonts w:hint="eastAsia" w:hAnsi="宋体"/>
          <w:color w:val="auto"/>
          <w:highlight w:val="none"/>
        </w:rPr>
        <w:t>32.1本磋商文件是根据国家有关法律、法规以及政府采购管理有关规定和参照国际惯例编制，解释权属本采购代理机构。</w:t>
      </w:r>
    </w:p>
    <w:p>
      <w:pPr>
        <w:pStyle w:val="4"/>
        <w:spacing w:before="0" w:after="0" w:line="360" w:lineRule="exact"/>
        <w:rPr>
          <w:rFonts w:ascii="宋体" w:hAnsi="宋体" w:eastAsia="宋体"/>
          <w:color w:val="auto"/>
          <w:sz w:val="21"/>
          <w:szCs w:val="21"/>
          <w:highlight w:val="none"/>
        </w:rPr>
      </w:pPr>
      <w:bookmarkStart w:id="290" w:name="_Toc528924943"/>
      <w:bookmarkStart w:id="291" w:name="_Toc207770871"/>
      <w:bookmarkStart w:id="292" w:name="_Toc230578093"/>
      <w:bookmarkStart w:id="293" w:name="_Toc185702585"/>
      <w:bookmarkStart w:id="294" w:name="_Toc206525718"/>
      <w:bookmarkStart w:id="295" w:name="_Toc239839899"/>
      <w:bookmarkStart w:id="296" w:name="_Toc398287327"/>
      <w:r>
        <w:rPr>
          <w:rFonts w:hint="eastAsia" w:ascii="宋体" w:hAnsi="宋体" w:eastAsia="宋体"/>
          <w:color w:val="auto"/>
          <w:sz w:val="21"/>
          <w:szCs w:val="21"/>
          <w:highlight w:val="none"/>
        </w:rPr>
        <w:t>33、有关事宜</w:t>
      </w:r>
      <w:bookmarkEnd w:id="290"/>
      <w:bookmarkEnd w:id="291"/>
      <w:bookmarkEnd w:id="292"/>
      <w:bookmarkEnd w:id="293"/>
      <w:bookmarkEnd w:id="294"/>
      <w:bookmarkEnd w:id="295"/>
      <w:bookmarkEnd w:id="296"/>
    </w:p>
    <w:p>
      <w:pPr>
        <w:pStyle w:val="10"/>
        <w:spacing w:line="360" w:lineRule="exact"/>
        <w:ind w:firstLine="420"/>
        <w:rPr>
          <w:rFonts w:hAnsi="宋体"/>
          <w:color w:val="auto"/>
          <w:highlight w:val="none"/>
        </w:rPr>
      </w:pPr>
      <w:r>
        <w:rPr>
          <w:rFonts w:hint="eastAsia" w:hAnsi="宋体"/>
          <w:color w:val="auto"/>
          <w:highlight w:val="none"/>
        </w:rPr>
        <w:t>33.1所有与本磋商文件有关的函电请按下列通讯地址联系：</w:t>
      </w:r>
    </w:p>
    <w:p>
      <w:pPr>
        <w:pStyle w:val="10"/>
        <w:spacing w:line="360" w:lineRule="exact"/>
        <w:ind w:firstLine="420"/>
        <w:rPr>
          <w:rFonts w:hAnsi="宋体"/>
          <w:color w:val="auto"/>
          <w:highlight w:val="none"/>
        </w:rPr>
      </w:pPr>
      <w:r>
        <w:rPr>
          <w:rFonts w:hint="eastAsia" w:hAnsi="宋体"/>
          <w:color w:val="auto"/>
          <w:highlight w:val="none"/>
        </w:rPr>
        <w:t>采购代理机构：广西达华工程造价咨询有限责任公司</w:t>
      </w:r>
    </w:p>
    <w:p>
      <w:pPr>
        <w:pStyle w:val="10"/>
        <w:spacing w:line="360" w:lineRule="exact"/>
        <w:ind w:firstLine="420"/>
        <w:rPr>
          <w:rFonts w:hAnsi="宋体"/>
          <w:color w:val="auto"/>
          <w:highlight w:val="none"/>
        </w:rPr>
      </w:pPr>
      <w:r>
        <w:rPr>
          <w:rFonts w:hint="eastAsia" w:hAnsi="宋体"/>
          <w:color w:val="auto"/>
          <w:highlight w:val="none"/>
        </w:rPr>
        <w:t>通讯地址：防城港市港口区渔洲坪街道中段金石国际财富中心1310房</w:t>
      </w:r>
    </w:p>
    <w:p>
      <w:pPr>
        <w:pStyle w:val="10"/>
        <w:spacing w:line="360" w:lineRule="exact"/>
        <w:ind w:firstLine="420"/>
        <w:rPr>
          <w:rFonts w:hAnsi="宋体"/>
          <w:color w:val="auto"/>
          <w:highlight w:val="none"/>
        </w:rPr>
      </w:pPr>
      <w:r>
        <w:rPr>
          <w:rFonts w:hint="eastAsia" w:hAnsi="宋体"/>
          <w:color w:val="auto"/>
          <w:highlight w:val="none"/>
        </w:rPr>
        <w:t>办公电话：0770-2882618      传真：0770-2882618</w:t>
      </w:r>
    </w:p>
    <w:p>
      <w:pPr>
        <w:pStyle w:val="10"/>
        <w:spacing w:line="360" w:lineRule="exact"/>
        <w:ind w:firstLine="420"/>
        <w:rPr>
          <w:rFonts w:hAnsi="宋体"/>
          <w:color w:val="auto"/>
          <w:highlight w:val="none"/>
        </w:rPr>
      </w:pPr>
      <w:r>
        <w:rPr>
          <w:rFonts w:hint="eastAsia" w:hAnsi="宋体"/>
          <w:color w:val="auto"/>
          <w:highlight w:val="none"/>
        </w:rPr>
        <w:t>联 系 人：林桦</w:t>
      </w:r>
    </w:p>
    <w:p>
      <w:pPr>
        <w:pStyle w:val="10"/>
        <w:spacing w:line="360" w:lineRule="exact"/>
        <w:ind w:firstLine="420"/>
        <w:rPr>
          <w:rFonts w:hAnsi="宋体"/>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spacing w:line="500" w:lineRule="exact"/>
        <w:jc w:val="center"/>
        <w:rPr>
          <w:rFonts w:ascii="宋体" w:hAnsi="宋体"/>
          <w:bCs/>
          <w:color w:val="auto"/>
          <w:sz w:val="44"/>
          <w:highlight w:val="none"/>
        </w:rPr>
      </w:pPr>
      <w:bookmarkStart w:id="297" w:name="_Toc239839900"/>
      <w:bookmarkStart w:id="298" w:name="_Toc185703008"/>
      <w:bookmarkStart w:id="299" w:name="_Toc147248434"/>
      <w:bookmarkStart w:id="300" w:name="_Toc185702586"/>
      <w:bookmarkStart w:id="301" w:name="_Toc398287328"/>
      <w:bookmarkStart w:id="302" w:name="_Toc156106969"/>
      <w:bookmarkStart w:id="303" w:name="_Toc528924944"/>
      <w:r>
        <w:rPr>
          <w:rFonts w:hint="eastAsia" w:ascii="宋体" w:hAnsi="宋体"/>
          <w:bCs/>
          <w:color w:val="auto"/>
          <w:sz w:val="44"/>
          <w:highlight w:val="none"/>
        </w:rPr>
        <w:t xml:space="preserve">第三章   </w:t>
      </w:r>
      <w:bookmarkEnd w:id="297"/>
      <w:bookmarkEnd w:id="298"/>
      <w:bookmarkEnd w:id="299"/>
      <w:bookmarkEnd w:id="300"/>
      <w:bookmarkEnd w:id="301"/>
      <w:bookmarkEnd w:id="302"/>
      <w:r>
        <w:rPr>
          <w:rFonts w:hint="eastAsia" w:ascii="宋体" w:hAnsi="宋体"/>
          <w:bCs/>
          <w:color w:val="auto"/>
          <w:sz w:val="44"/>
          <w:highlight w:val="none"/>
        </w:rPr>
        <w:t>服务要求</w:t>
      </w:r>
      <w:bookmarkEnd w:id="303"/>
    </w:p>
    <w:p>
      <w:pPr>
        <w:pStyle w:val="3"/>
        <w:spacing w:line="560" w:lineRule="exact"/>
        <w:jc w:val="center"/>
        <w:rPr>
          <w:rFonts w:ascii="宋体" w:hAnsi="宋体"/>
          <w:bCs/>
          <w:color w:val="auto"/>
          <w:sz w:val="44"/>
          <w:highlight w:val="none"/>
        </w:rPr>
      </w:pPr>
      <w:bookmarkStart w:id="304" w:name="_Toc518982383"/>
      <w:bookmarkStart w:id="305" w:name="_Toc185702587"/>
      <w:bookmarkStart w:id="306" w:name="_Toc147248435"/>
      <w:bookmarkStart w:id="307" w:name="_Toc185703009"/>
      <w:bookmarkStart w:id="308" w:name="_Toc230578110"/>
      <w:bookmarkStart w:id="309" w:name="_Toc156106970"/>
      <w:bookmarkStart w:id="310" w:name="_Toc528924945"/>
      <w:bookmarkStart w:id="311" w:name="_Toc239839916"/>
    </w:p>
    <w:tbl>
      <w:tblPr>
        <w:tblStyle w:val="20"/>
        <w:tblW w:w="966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
        <w:gridCol w:w="1052"/>
        <w:gridCol w:w="729"/>
        <w:gridCol w:w="743"/>
        <w:gridCol w:w="6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jc w:val="center"/>
        </w:trPr>
        <w:tc>
          <w:tcPr>
            <w:tcW w:w="9667" w:type="dxa"/>
            <w:gridSpan w:val="5"/>
            <w:vAlign w:val="center"/>
          </w:tcPr>
          <w:p>
            <w:pPr>
              <w:pStyle w:val="39"/>
              <w:spacing w:line="360" w:lineRule="auto"/>
              <w:ind w:left="110"/>
              <w:rPr>
                <w:b/>
                <w:color w:val="auto"/>
                <w:highlight w:val="none"/>
              </w:rPr>
            </w:pPr>
            <w:r>
              <w:rPr>
                <w:rFonts w:hint="eastAsia"/>
                <w:color w:val="auto"/>
                <w:highlight w:val="none"/>
              </w:rPr>
              <w:t>▲</w:t>
            </w:r>
            <w:r>
              <w:rPr>
                <w:b/>
                <w:color w:val="auto"/>
                <w:highlight w:val="none"/>
              </w:rPr>
              <w:t>一、采购需求一览表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670" w:type="dxa"/>
            <w:vAlign w:val="center"/>
          </w:tcPr>
          <w:p>
            <w:pPr>
              <w:pStyle w:val="39"/>
              <w:spacing w:line="360" w:lineRule="auto"/>
              <w:jc w:val="center"/>
              <w:rPr>
                <w:b/>
                <w:color w:val="auto"/>
                <w:highlight w:val="none"/>
              </w:rPr>
            </w:pPr>
            <w:r>
              <w:rPr>
                <w:b/>
                <w:color w:val="auto"/>
                <w:highlight w:val="none"/>
              </w:rPr>
              <w:t>项号</w:t>
            </w:r>
          </w:p>
        </w:tc>
        <w:tc>
          <w:tcPr>
            <w:tcW w:w="1052" w:type="dxa"/>
            <w:vAlign w:val="center"/>
          </w:tcPr>
          <w:p>
            <w:pPr>
              <w:pStyle w:val="39"/>
              <w:spacing w:line="360" w:lineRule="auto"/>
              <w:ind w:left="149"/>
              <w:jc w:val="center"/>
              <w:rPr>
                <w:b/>
                <w:color w:val="auto"/>
                <w:highlight w:val="none"/>
              </w:rPr>
            </w:pPr>
            <w:r>
              <w:rPr>
                <w:b/>
                <w:color w:val="auto"/>
                <w:highlight w:val="none"/>
              </w:rPr>
              <w:t>采购内容</w:t>
            </w:r>
          </w:p>
        </w:tc>
        <w:tc>
          <w:tcPr>
            <w:tcW w:w="729" w:type="dxa"/>
            <w:vAlign w:val="center"/>
          </w:tcPr>
          <w:p>
            <w:pPr>
              <w:pStyle w:val="39"/>
              <w:spacing w:line="360" w:lineRule="auto"/>
              <w:ind w:left="149"/>
              <w:jc w:val="center"/>
              <w:rPr>
                <w:b/>
                <w:color w:val="auto"/>
                <w:highlight w:val="none"/>
              </w:rPr>
            </w:pPr>
            <w:r>
              <w:rPr>
                <w:b/>
                <w:color w:val="auto"/>
                <w:highlight w:val="none"/>
              </w:rPr>
              <w:t>数量</w:t>
            </w:r>
          </w:p>
        </w:tc>
        <w:tc>
          <w:tcPr>
            <w:tcW w:w="743" w:type="dxa"/>
            <w:vAlign w:val="center"/>
          </w:tcPr>
          <w:p>
            <w:pPr>
              <w:pStyle w:val="39"/>
              <w:spacing w:line="360" w:lineRule="auto"/>
              <w:ind w:left="149"/>
              <w:jc w:val="center"/>
              <w:rPr>
                <w:b/>
                <w:color w:val="auto"/>
                <w:highlight w:val="none"/>
              </w:rPr>
            </w:pPr>
            <w:r>
              <w:rPr>
                <w:b/>
                <w:color w:val="auto"/>
                <w:highlight w:val="none"/>
              </w:rPr>
              <w:t>单位</w:t>
            </w:r>
          </w:p>
        </w:tc>
        <w:tc>
          <w:tcPr>
            <w:tcW w:w="6473" w:type="dxa"/>
            <w:vAlign w:val="center"/>
          </w:tcPr>
          <w:p>
            <w:pPr>
              <w:pStyle w:val="39"/>
              <w:spacing w:line="360" w:lineRule="auto"/>
              <w:jc w:val="center"/>
              <w:rPr>
                <w:b/>
                <w:color w:val="auto"/>
                <w:highlight w:val="none"/>
              </w:rPr>
            </w:pPr>
            <w:r>
              <w:rPr>
                <w:rFonts w:hint="eastAsia" w:ascii="宋体" w:hAnsi="宋体" w:cs="宋体"/>
                <w:b/>
                <w:bCs/>
                <w:color w:val="auto"/>
                <w:kern w:val="0"/>
                <w:szCs w:val="21"/>
                <w:highlight w:val="none"/>
              </w:rPr>
              <w:t>服务内容及要求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670" w:type="dxa"/>
          </w:tcPr>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before="4" w:line="360" w:lineRule="auto"/>
              <w:rPr>
                <w:b/>
                <w:color w:val="auto"/>
                <w:szCs w:val="21"/>
                <w:highlight w:val="none"/>
              </w:rPr>
            </w:pPr>
          </w:p>
          <w:p>
            <w:pPr>
              <w:pStyle w:val="39"/>
              <w:spacing w:line="360" w:lineRule="auto"/>
              <w:ind w:left="156"/>
              <w:rPr>
                <w:color w:val="auto"/>
                <w:szCs w:val="21"/>
                <w:highlight w:val="none"/>
              </w:rPr>
            </w:pPr>
            <w:r>
              <w:rPr>
                <w:rFonts w:hint="eastAsia"/>
                <w:color w:val="auto"/>
                <w:szCs w:val="21"/>
                <w:highlight w:val="none"/>
              </w:rPr>
              <w:t>1</w:t>
            </w:r>
          </w:p>
        </w:tc>
        <w:tc>
          <w:tcPr>
            <w:tcW w:w="1052" w:type="dxa"/>
          </w:tcPr>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before="2" w:line="360" w:lineRule="auto"/>
              <w:ind w:left="148" w:right="131"/>
              <w:rPr>
                <w:color w:val="auto"/>
                <w:szCs w:val="21"/>
                <w:highlight w:val="none"/>
              </w:rPr>
            </w:pPr>
            <w:r>
              <w:rPr>
                <w:rFonts w:hint="eastAsia"/>
                <w:color w:val="auto"/>
                <w:szCs w:val="21"/>
                <w:highlight w:val="none"/>
              </w:rPr>
              <w:t>2020年防城港市优化营商环境指标第三方评估</w:t>
            </w:r>
          </w:p>
        </w:tc>
        <w:tc>
          <w:tcPr>
            <w:tcW w:w="729" w:type="dxa"/>
          </w:tcPr>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before="10" w:line="360" w:lineRule="auto"/>
              <w:rPr>
                <w:b/>
                <w:color w:val="auto"/>
                <w:szCs w:val="21"/>
                <w:highlight w:val="none"/>
              </w:rPr>
            </w:pPr>
          </w:p>
          <w:p>
            <w:pPr>
              <w:pStyle w:val="39"/>
              <w:spacing w:line="360" w:lineRule="auto"/>
              <w:ind w:left="144"/>
              <w:rPr>
                <w:color w:val="auto"/>
                <w:szCs w:val="21"/>
                <w:highlight w:val="none"/>
              </w:rPr>
            </w:pPr>
            <w:r>
              <w:rPr>
                <w:rFonts w:hint="eastAsia"/>
                <w:color w:val="auto"/>
                <w:szCs w:val="21"/>
                <w:highlight w:val="none"/>
              </w:rPr>
              <w:t>1</w:t>
            </w:r>
          </w:p>
        </w:tc>
        <w:tc>
          <w:tcPr>
            <w:tcW w:w="743" w:type="dxa"/>
          </w:tcPr>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line="360" w:lineRule="auto"/>
              <w:rPr>
                <w:b/>
                <w:color w:val="auto"/>
                <w:szCs w:val="21"/>
                <w:highlight w:val="none"/>
              </w:rPr>
            </w:pPr>
          </w:p>
          <w:p>
            <w:pPr>
              <w:pStyle w:val="39"/>
              <w:spacing w:before="4" w:line="360" w:lineRule="auto"/>
              <w:rPr>
                <w:b/>
                <w:color w:val="auto"/>
                <w:szCs w:val="21"/>
                <w:highlight w:val="none"/>
              </w:rPr>
            </w:pPr>
          </w:p>
          <w:p>
            <w:pPr>
              <w:pStyle w:val="39"/>
              <w:spacing w:line="360" w:lineRule="auto"/>
              <w:ind w:left="107"/>
              <w:rPr>
                <w:color w:val="auto"/>
                <w:szCs w:val="21"/>
                <w:highlight w:val="none"/>
              </w:rPr>
            </w:pPr>
            <w:r>
              <w:rPr>
                <w:rFonts w:hint="eastAsia"/>
                <w:color w:val="auto"/>
                <w:szCs w:val="21"/>
                <w:highlight w:val="none"/>
              </w:rPr>
              <w:t>项</w:t>
            </w:r>
          </w:p>
        </w:tc>
        <w:tc>
          <w:tcPr>
            <w:tcW w:w="6473" w:type="dxa"/>
          </w:tcPr>
          <w:p>
            <w:pPr>
              <w:pStyle w:val="39"/>
              <w:spacing w:before="5" w:line="360" w:lineRule="auto"/>
              <w:ind w:right="105" w:rightChars="50"/>
              <w:rPr>
                <w:b/>
                <w:bCs/>
                <w:color w:val="auto"/>
                <w:szCs w:val="21"/>
                <w:highlight w:val="none"/>
              </w:rPr>
            </w:pPr>
            <w:r>
              <w:rPr>
                <w:rFonts w:hint="eastAsia"/>
                <w:b/>
                <w:bCs/>
                <w:color w:val="auto"/>
                <w:szCs w:val="21"/>
                <w:highlight w:val="none"/>
              </w:rPr>
              <w:t>一、评估内容</w:t>
            </w:r>
          </w:p>
          <w:p>
            <w:pPr>
              <w:pStyle w:val="39"/>
              <w:tabs>
                <w:tab w:val="left" w:pos="951"/>
              </w:tabs>
              <w:spacing w:before="5" w:line="360" w:lineRule="auto"/>
              <w:ind w:right="105" w:rightChars="50" w:firstLine="420" w:firstLineChars="200"/>
              <w:rPr>
                <w:color w:val="auto"/>
                <w:szCs w:val="21"/>
                <w:highlight w:val="none"/>
              </w:rPr>
            </w:pPr>
            <w:r>
              <w:rPr>
                <w:rFonts w:hint="eastAsia"/>
                <w:color w:val="auto"/>
                <w:szCs w:val="21"/>
                <w:highlight w:val="none"/>
              </w:rPr>
              <w:t>借鉴世界银行营商环境评估体系，结合国家营商环境评价办法和防城港特点，对防城港市2020年营商环境指标完成情况进行评估，数据采集节点为</w:t>
            </w:r>
            <w:r>
              <w:rPr>
                <w:color w:val="auto"/>
                <w:szCs w:val="21"/>
                <w:highlight w:val="none"/>
              </w:rPr>
              <w:t>10</w:t>
            </w:r>
            <w:r>
              <w:rPr>
                <w:rFonts w:hint="eastAsia"/>
                <w:color w:val="auto"/>
                <w:szCs w:val="21"/>
                <w:highlight w:val="none"/>
              </w:rPr>
              <w:t>月30日。</w:t>
            </w:r>
          </w:p>
          <w:p>
            <w:pPr>
              <w:pStyle w:val="39"/>
              <w:tabs>
                <w:tab w:val="left" w:pos="951"/>
              </w:tabs>
              <w:spacing w:before="5" w:line="360" w:lineRule="auto"/>
              <w:ind w:right="105" w:rightChars="50" w:firstLine="420" w:firstLineChars="200"/>
              <w:rPr>
                <w:color w:val="auto"/>
                <w:szCs w:val="21"/>
                <w:highlight w:val="none"/>
              </w:rPr>
            </w:pPr>
            <w:r>
              <w:rPr>
                <w:rFonts w:hint="eastAsia"/>
                <w:color w:val="auto"/>
                <w:szCs w:val="21"/>
                <w:highlight w:val="none"/>
              </w:rPr>
              <w:t>两个层面：一是针对开办企业、办理建筑许可、登记财产、获得电力、获得信贷、纳税、跨境贸易、办理破产、保护少数投资者、执行合同10个世界银行营商环境评价指标按照世界银行营商环境评估办法进行评估；二是按照自治区人民政府印发的2020年广西优化营商环境百日攻坚行动方案开展评估工作。2020年广西优化营商环境百日攻坚行动任务包括开办企业、办理建筑许可、登记财产、获得电力、获得信贷、纳税、跨境贸易、办理破产、保护少数投资者、执行合同、获得用水、获得用气、政府采购、招投标服务、人力资源服务、政务环境、创新创业、市场监管能力、对外开放、基本公共配套、生态环境质量21个指标进行评估。</w:t>
            </w:r>
          </w:p>
          <w:p>
            <w:pPr>
              <w:pStyle w:val="39"/>
              <w:tabs>
                <w:tab w:val="left" w:pos="951"/>
              </w:tabs>
              <w:spacing w:before="5" w:line="360" w:lineRule="auto"/>
              <w:ind w:right="105" w:rightChars="50" w:firstLine="420" w:firstLineChars="200"/>
              <w:rPr>
                <w:color w:val="auto"/>
                <w:szCs w:val="21"/>
                <w:highlight w:val="none"/>
              </w:rPr>
            </w:pPr>
            <w:r>
              <w:rPr>
                <w:rFonts w:hint="eastAsia"/>
                <w:color w:val="auto"/>
                <w:szCs w:val="21"/>
                <w:highlight w:val="none"/>
              </w:rPr>
              <w:t>样本选取范围为防城港市本级为主，以及</w:t>
            </w:r>
            <w:r>
              <w:rPr>
                <w:color w:val="auto"/>
                <w:szCs w:val="21"/>
                <w:highlight w:val="none"/>
              </w:rPr>
              <w:t>4</w:t>
            </w:r>
            <w:r>
              <w:rPr>
                <w:rFonts w:hint="eastAsia"/>
                <w:color w:val="auto"/>
                <w:szCs w:val="21"/>
                <w:highlight w:val="none"/>
              </w:rPr>
              <w:t>个区、县（市）为评估对象，数据采用2020年1月至2</w:t>
            </w:r>
            <w:r>
              <w:rPr>
                <w:color w:val="auto"/>
                <w:szCs w:val="21"/>
                <w:highlight w:val="none"/>
              </w:rPr>
              <w:t>020</w:t>
            </w:r>
            <w:r>
              <w:rPr>
                <w:rFonts w:hint="eastAsia"/>
                <w:color w:val="auto"/>
                <w:szCs w:val="21"/>
                <w:highlight w:val="none"/>
              </w:rPr>
              <w:t>年</w:t>
            </w:r>
            <w:r>
              <w:rPr>
                <w:color w:val="auto"/>
                <w:szCs w:val="21"/>
                <w:highlight w:val="none"/>
              </w:rPr>
              <w:t>10</w:t>
            </w:r>
            <w:r>
              <w:rPr>
                <w:rFonts w:hint="eastAsia"/>
                <w:color w:val="auto"/>
                <w:szCs w:val="21"/>
                <w:highlight w:val="none"/>
              </w:rPr>
              <w:t>月底，并在202</w:t>
            </w:r>
            <w:r>
              <w:rPr>
                <w:color w:val="auto"/>
                <w:szCs w:val="21"/>
                <w:highlight w:val="none"/>
              </w:rPr>
              <w:t>0</w:t>
            </w:r>
            <w:r>
              <w:rPr>
                <w:rFonts w:hint="eastAsia"/>
                <w:color w:val="auto"/>
                <w:szCs w:val="21"/>
                <w:highlight w:val="none"/>
              </w:rPr>
              <w:t>年</w:t>
            </w:r>
            <w:r>
              <w:rPr>
                <w:color w:val="auto"/>
                <w:szCs w:val="21"/>
                <w:highlight w:val="none"/>
              </w:rPr>
              <w:t>11</w:t>
            </w:r>
            <w:r>
              <w:rPr>
                <w:rFonts w:hint="eastAsia"/>
                <w:color w:val="auto"/>
                <w:szCs w:val="21"/>
                <w:highlight w:val="none"/>
              </w:rPr>
              <w:t>月30日前提交2020年防城港市总报告（含简稿）、各指标分报告和</w:t>
            </w:r>
            <w:r>
              <w:rPr>
                <w:color w:val="auto"/>
                <w:szCs w:val="21"/>
                <w:highlight w:val="none"/>
              </w:rPr>
              <w:t>4</w:t>
            </w:r>
            <w:r>
              <w:rPr>
                <w:rFonts w:hint="eastAsia"/>
                <w:color w:val="auto"/>
                <w:szCs w:val="21"/>
                <w:highlight w:val="none"/>
              </w:rPr>
              <w:t>个县（市、区）分报告。分上述两个层次对防城港市营商环境指标完成情况进行评估及排名，报告应分析防城港市各指标的现状、存在的问题，逐项对比国内国际前沿水平为防城港市开展优化营商环境建设提出改进方案的具体措施。</w:t>
            </w:r>
          </w:p>
          <w:p>
            <w:pPr>
              <w:pStyle w:val="39"/>
              <w:tabs>
                <w:tab w:val="left" w:pos="882"/>
              </w:tabs>
              <w:spacing w:before="1" w:line="360" w:lineRule="auto"/>
              <w:ind w:right="105" w:rightChars="50"/>
              <w:rPr>
                <w:b/>
                <w:color w:val="auto"/>
                <w:highlight w:val="none"/>
              </w:rPr>
            </w:pPr>
            <w:r>
              <w:rPr>
                <w:rFonts w:hint="eastAsia"/>
                <w:b/>
                <w:color w:val="auto"/>
                <w:highlight w:val="none"/>
              </w:rPr>
              <w:t>二</w:t>
            </w:r>
            <w:r>
              <w:rPr>
                <w:b/>
                <w:color w:val="auto"/>
                <w:highlight w:val="none"/>
              </w:rPr>
              <w:t>、项目</w:t>
            </w:r>
            <w:r>
              <w:rPr>
                <w:rFonts w:hint="eastAsia"/>
                <w:b/>
                <w:color w:val="auto"/>
                <w:highlight w:val="none"/>
              </w:rPr>
              <w:t>实施</w:t>
            </w:r>
            <w:r>
              <w:rPr>
                <w:b/>
                <w:color w:val="auto"/>
                <w:highlight w:val="none"/>
              </w:rPr>
              <w:t>方案</w:t>
            </w:r>
          </w:p>
          <w:p>
            <w:pPr>
              <w:pStyle w:val="39"/>
              <w:spacing w:before="2" w:line="360" w:lineRule="auto"/>
              <w:ind w:right="105" w:rightChars="50" w:firstLine="420" w:firstLineChars="200"/>
              <w:rPr>
                <w:color w:val="auto"/>
                <w:highlight w:val="none"/>
              </w:rPr>
            </w:pPr>
            <w:r>
              <w:rPr>
                <w:color w:val="auto"/>
                <w:highlight w:val="none"/>
              </w:rPr>
              <w:t>投标人根据自身情况，合理安排项目实施进度，并在</w:t>
            </w:r>
            <w:r>
              <w:rPr>
                <w:rFonts w:hint="eastAsia"/>
                <w:color w:val="auto"/>
                <w:highlight w:val="none"/>
              </w:rPr>
              <w:t>投标</w:t>
            </w:r>
            <w:r>
              <w:rPr>
                <w:color w:val="auto"/>
                <w:highlight w:val="none"/>
              </w:rPr>
              <w:t>文件中编制详细的工作流程、</w:t>
            </w:r>
            <w:r>
              <w:rPr>
                <w:rFonts w:hint="eastAsia"/>
                <w:color w:val="auto"/>
                <w:highlight w:val="none"/>
              </w:rPr>
              <w:t>各项指标数据采样标准和详细获取渠道、</w:t>
            </w:r>
            <w:r>
              <w:rPr>
                <w:color w:val="auto"/>
                <w:highlight w:val="none"/>
              </w:rPr>
              <w:t>项目实施进度计划及保障措施，并承诺，若成为项目实施单位，严格按照项目实施进度执行。</w:t>
            </w:r>
          </w:p>
          <w:p>
            <w:pPr>
              <w:pStyle w:val="39"/>
              <w:spacing w:before="3" w:line="360" w:lineRule="auto"/>
              <w:ind w:right="105" w:rightChars="50"/>
              <w:rPr>
                <w:b/>
                <w:color w:val="auto"/>
                <w:highlight w:val="none"/>
              </w:rPr>
            </w:pPr>
            <w:r>
              <w:rPr>
                <w:rFonts w:hint="eastAsia"/>
                <w:b/>
                <w:color w:val="auto"/>
                <w:highlight w:val="none"/>
              </w:rPr>
              <w:t>三</w:t>
            </w:r>
            <w:r>
              <w:rPr>
                <w:b/>
                <w:color w:val="auto"/>
                <w:highlight w:val="none"/>
              </w:rPr>
              <w:t>、研究成果</w:t>
            </w:r>
          </w:p>
          <w:p>
            <w:pPr>
              <w:pStyle w:val="39"/>
              <w:tabs>
                <w:tab w:val="left" w:pos="951"/>
              </w:tabs>
              <w:spacing w:before="5" w:line="360" w:lineRule="auto"/>
              <w:ind w:right="105" w:rightChars="50"/>
              <w:rPr>
                <w:b/>
                <w:bCs/>
                <w:color w:val="auto"/>
                <w:szCs w:val="21"/>
                <w:highlight w:val="none"/>
              </w:rPr>
            </w:pPr>
            <w:r>
              <w:rPr>
                <w:rFonts w:hint="eastAsia"/>
                <w:b/>
                <w:bCs/>
                <w:color w:val="auto"/>
                <w:szCs w:val="21"/>
                <w:highlight w:val="none"/>
              </w:rPr>
              <w:t>（一）防城港市级营商环境报告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1、2020年防城港市世界银行营商环境指标整体评价总报告</w:t>
            </w:r>
          </w:p>
          <w:p>
            <w:pPr>
              <w:pStyle w:val="39"/>
              <w:tabs>
                <w:tab w:val="left" w:pos="951"/>
              </w:tabs>
              <w:spacing w:before="5" w:line="360" w:lineRule="auto"/>
              <w:ind w:right="105" w:rightChars="50"/>
              <w:rPr>
                <w:color w:val="auto"/>
                <w:szCs w:val="21"/>
                <w:highlight w:val="none"/>
              </w:rPr>
            </w:pPr>
            <w:r>
              <w:rPr>
                <w:color w:val="auto"/>
                <w:szCs w:val="21"/>
                <w:highlight w:val="none"/>
              </w:rPr>
              <w:t>2</w:t>
            </w:r>
            <w:r>
              <w:rPr>
                <w:rFonts w:hint="eastAsia"/>
                <w:color w:val="auto"/>
                <w:szCs w:val="21"/>
                <w:highlight w:val="none"/>
              </w:rPr>
              <w:t>、2020年防城港市世界银行营商环境指标整体评价报告（简本）</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3</w:t>
            </w:r>
            <w:r>
              <w:rPr>
                <w:color w:val="auto"/>
                <w:szCs w:val="21"/>
                <w:highlight w:val="none"/>
              </w:rPr>
              <w:t>、</w:t>
            </w:r>
            <w:r>
              <w:rPr>
                <w:rFonts w:hint="eastAsia"/>
                <w:color w:val="auto"/>
                <w:szCs w:val="21"/>
                <w:highlight w:val="none"/>
              </w:rPr>
              <w:t>分项指标评估报告：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（1）2020年防城港市营商环境“开办企业”指标评估报告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（2）2020年防城港市营商环境“登记财产”指标评估报告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（3）2020年防城港市营商环境“办理建筑许可”指标评估报告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（4）2020年防城港市营商环境“获得电力”指标评估报告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（5）2020年防城港市营商环境“获得信贷”指标评估报告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（6）2020年防城港市营商环境“纳税”指标评估报告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（7）2020年防城港市营商环境“跨境贸易”指标评估报告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（8）2020年防城港市营商环境“办理破产”指标评估报告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（9）2020年防城港市营商环境“保护少数投资者”指标评估报告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（10）2020年防城港市营商环境“执行合同”指标评估报告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（11）2020年防城港市营商环境“获得用水”指标评估报告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（12）2020年防城港市营商环境“获得用气”指标评估报告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（13）2020年防城港市营商环境“政府采购”指标评估报告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（14）2020年防城港市营商环境“招标投标”指标评估报告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（15）2020年防城港市营商环境“人力资源”指标评估报告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（16）2020年防城港市营商环境“政务环境”指标评估报告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（17）2020年防城港市营商环境“创新创业”指标评估报告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（18）2020年防城港市营商环境“市场监管”指标评估报告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（19）2020年防城港市营商环境“对外开放”指标评估报告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（20）2020年防城港市营商环境“基本公共配套”指标评估报告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（21）2020年防城港市营商环境“生态环境质量”指标评估报告</w:t>
            </w:r>
          </w:p>
          <w:p>
            <w:pPr>
              <w:pStyle w:val="39"/>
              <w:tabs>
                <w:tab w:val="left" w:pos="951"/>
              </w:tabs>
              <w:spacing w:before="5" w:line="360" w:lineRule="auto"/>
              <w:ind w:right="105" w:rightChars="50"/>
              <w:rPr>
                <w:b/>
                <w:bCs/>
                <w:color w:val="auto"/>
                <w:szCs w:val="21"/>
                <w:highlight w:val="none"/>
              </w:rPr>
            </w:pPr>
            <w:r>
              <w:rPr>
                <w:rFonts w:hint="eastAsia"/>
                <w:b/>
                <w:bCs/>
                <w:color w:val="auto"/>
                <w:szCs w:val="21"/>
                <w:highlight w:val="none"/>
              </w:rPr>
              <w:t>（二）县级营商环境报告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1、防城区 2020年营商环境整体评估报告总报告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2、</w:t>
            </w:r>
            <w:r>
              <w:rPr>
                <w:rFonts w:hint="eastAsia"/>
                <w:color w:val="auto"/>
                <w:highlight w:val="none"/>
              </w:rPr>
              <w:t>港口区</w:t>
            </w:r>
            <w:r>
              <w:rPr>
                <w:rFonts w:hint="eastAsia"/>
                <w:color w:val="auto"/>
                <w:szCs w:val="21"/>
                <w:highlight w:val="none"/>
              </w:rPr>
              <w:t xml:space="preserve"> 2020年营商环境整体评估报告总报告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3、</w:t>
            </w:r>
            <w:r>
              <w:rPr>
                <w:rFonts w:hint="eastAsia"/>
                <w:color w:val="auto"/>
                <w:highlight w:val="none"/>
              </w:rPr>
              <w:t>东兴市</w:t>
            </w:r>
            <w:r>
              <w:rPr>
                <w:rFonts w:hint="eastAsia"/>
                <w:color w:val="auto"/>
                <w:szCs w:val="21"/>
                <w:highlight w:val="none"/>
              </w:rPr>
              <w:t xml:space="preserve"> 2020年营商环境整体评估报告总报告</w:t>
            </w:r>
          </w:p>
          <w:p>
            <w:pPr>
              <w:pStyle w:val="39"/>
              <w:tabs>
                <w:tab w:val="left" w:pos="951"/>
              </w:tabs>
              <w:spacing w:before="5" w:line="360" w:lineRule="auto"/>
              <w:ind w:right="105" w:rightChars="50"/>
              <w:rPr>
                <w:color w:val="auto"/>
                <w:szCs w:val="21"/>
                <w:highlight w:val="none"/>
              </w:rPr>
            </w:pPr>
            <w:r>
              <w:rPr>
                <w:rFonts w:hint="eastAsia"/>
                <w:color w:val="auto"/>
                <w:szCs w:val="21"/>
                <w:highlight w:val="none"/>
              </w:rPr>
              <w:t>4、</w:t>
            </w:r>
            <w:r>
              <w:rPr>
                <w:rFonts w:hint="eastAsia" w:ascii="Arial" w:hAnsi="Arial" w:cs="Arial"/>
                <w:color w:val="auto"/>
                <w:szCs w:val="21"/>
                <w:highlight w:val="none"/>
                <w:shd w:val="clear" w:color="auto" w:fill="FFFFFF"/>
              </w:rPr>
              <w:t>上思县</w:t>
            </w:r>
            <w:r>
              <w:rPr>
                <w:rFonts w:hint="eastAsia"/>
                <w:color w:val="auto"/>
                <w:szCs w:val="21"/>
                <w:highlight w:val="none"/>
              </w:rPr>
              <w:t xml:space="preserve"> 2020年营商环境整体评估报告总报告</w:t>
            </w:r>
          </w:p>
        </w:tc>
      </w:tr>
    </w:tbl>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tbl>
      <w:tblPr>
        <w:tblStyle w:val="20"/>
        <w:tblpPr w:leftFromText="180" w:rightFromText="180" w:vertAnchor="text" w:horzAnchor="margin" w:tblpXSpec="center" w:tblpY="351"/>
        <w:tblW w:w="9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9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66" w:hRule="atLeast"/>
        </w:trPr>
        <w:tc>
          <w:tcPr>
            <w:tcW w:w="9673" w:type="dxa"/>
            <w:vAlign w:val="center"/>
          </w:tcPr>
          <w:p>
            <w:pPr>
              <w:spacing w:line="360" w:lineRule="auto"/>
              <w:rPr>
                <w:rFonts w:ascii="新宋体" w:hAnsi="新宋体" w:eastAsia="新宋体" w:cs="Arial"/>
                <w:bCs/>
                <w:color w:val="auto"/>
                <w:szCs w:val="21"/>
                <w:highlight w:val="none"/>
              </w:rPr>
            </w:pPr>
            <w:r>
              <w:rPr>
                <w:rFonts w:hint="eastAsia"/>
                <w:color w:val="auto"/>
                <w:highlight w:val="none"/>
              </w:rPr>
              <w:t>▲</w:t>
            </w:r>
            <w:r>
              <w:rPr>
                <w:rFonts w:hint="eastAsia" w:ascii="新宋体" w:hAnsi="新宋体" w:eastAsia="新宋体" w:cs="Arial"/>
                <w:b/>
                <w:color w:val="auto"/>
                <w:szCs w:val="21"/>
                <w:highlight w:val="none"/>
              </w:rPr>
              <w:t>二、商务最低要求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22" w:hRule="atLeast"/>
        </w:trPr>
        <w:tc>
          <w:tcPr>
            <w:tcW w:w="9673" w:type="dxa"/>
            <w:vAlign w:val="center"/>
          </w:tcPr>
          <w:p>
            <w:pPr>
              <w:spacing w:line="360" w:lineRule="auto"/>
              <w:rPr>
                <w:rFonts w:ascii="新宋体" w:hAnsi="新宋体" w:eastAsia="新宋体" w:cs="Arial"/>
                <w:b/>
                <w:color w:val="auto"/>
                <w:szCs w:val="21"/>
                <w:highlight w:val="none"/>
              </w:rPr>
            </w:pPr>
            <w:r>
              <w:rPr>
                <w:rFonts w:hint="eastAsia" w:ascii="新宋体" w:hAnsi="新宋体" w:eastAsia="新宋体" w:cs="Arial"/>
                <w:b/>
                <w:color w:val="auto"/>
                <w:szCs w:val="21"/>
                <w:highlight w:val="none"/>
              </w:rPr>
              <w:t>（一）成果提交要求</w:t>
            </w:r>
          </w:p>
          <w:p>
            <w:pPr>
              <w:spacing w:line="360" w:lineRule="auto"/>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1、合同履行期限：在2020年11月30日前提交2020年防城港市总报告（含简稿）、各指标分报告和4个县（市、区）分报告。</w:t>
            </w:r>
          </w:p>
          <w:p>
            <w:pPr>
              <w:spacing w:line="360" w:lineRule="auto"/>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2、服务地点：广西防城港市采购人指定地点。</w:t>
            </w:r>
          </w:p>
          <w:p>
            <w:pPr>
              <w:spacing w:line="360" w:lineRule="auto"/>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3、服务所提交的文字成果名称及要求</w:t>
            </w:r>
          </w:p>
          <w:p>
            <w:pPr>
              <w:spacing w:line="360" w:lineRule="auto"/>
              <w:ind w:firstLine="420" w:firstLineChars="200"/>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纸质成果要求：</w:t>
            </w:r>
          </w:p>
          <w:p>
            <w:pPr>
              <w:spacing w:line="360" w:lineRule="auto"/>
              <w:ind w:firstLine="420" w:firstLineChars="200"/>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（1）防城港市级营商环境报告</w:t>
            </w:r>
          </w:p>
          <w:p>
            <w:pPr>
              <w:spacing w:line="360" w:lineRule="auto"/>
              <w:ind w:firstLine="420" w:firstLineChars="200"/>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（a）2020年防城港市世界银行营商环境指标整体评价总报告</w:t>
            </w:r>
          </w:p>
          <w:p>
            <w:pPr>
              <w:spacing w:line="360" w:lineRule="auto"/>
              <w:ind w:firstLine="420" w:firstLineChars="200"/>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（b）2020年防城港市世界银行营商环境指标整体评价报告（简本）</w:t>
            </w:r>
          </w:p>
          <w:p>
            <w:pPr>
              <w:spacing w:line="360" w:lineRule="auto"/>
              <w:ind w:firstLine="420" w:firstLineChars="200"/>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（c）21项分项指标评估报告</w:t>
            </w:r>
          </w:p>
          <w:p>
            <w:pPr>
              <w:spacing w:line="360" w:lineRule="auto"/>
              <w:ind w:firstLine="420" w:firstLineChars="200"/>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（2）县级营商环境报告</w:t>
            </w:r>
          </w:p>
          <w:p>
            <w:pPr>
              <w:spacing w:line="360" w:lineRule="auto"/>
              <w:ind w:firstLine="420" w:firstLineChars="200"/>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具体研究成果名称详见《采购需求一览表》“</w:t>
            </w:r>
            <w:r>
              <w:rPr>
                <w:rFonts w:hint="eastAsia" w:ascii="宋体" w:hAnsi="宋体" w:cs="宋体"/>
                <w:color w:val="auto"/>
                <w:kern w:val="0"/>
                <w:szCs w:val="21"/>
                <w:highlight w:val="none"/>
              </w:rPr>
              <w:t>服务内容及要求</w:t>
            </w:r>
            <w:r>
              <w:rPr>
                <w:rFonts w:hint="eastAsia" w:ascii="新宋体" w:hAnsi="新宋体" w:eastAsia="新宋体" w:cs="Arial"/>
                <w:color w:val="auto"/>
                <w:szCs w:val="21"/>
                <w:highlight w:val="none"/>
              </w:rPr>
              <w:t>”中“</w:t>
            </w:r>
            <w:r>
              <w:rPr>
                <w:rFonts w:hint="eastAsia" w:ascii="新宋体" w:hAnsi="新宋体" w:eastAsia="新宋体" w:cs="Arial"/>
                <w:bCs/>
                <w:color w:val="auto"/>
                <w:szCs w:val="21"/>
                <w:highlight w:val="none"/>
              </w:rPr>
              <w:t>三、研究成果”要求，同时提供电子版一份。</w:t>
            </w:r>
          </w:p>
          <w:p>
            <w:pPr>
              <w:spacing w:line="360" w:lineRule="auto"/>
              <w:rPr>
                <w:rFonts w:ascii="新宋体" w:hAnsi="新宋体" w:eastAsia="新宋体" w:cs="Arial"/>
                <w:b/>
                <w:color w:val="auto"/>
                <w:szCs w:val="21"/>
                <w:highlight w:val="none"/>
              </w:rPr>
            </w:pPr>
            <w:r>
              <w:rPr>
                <w:rFonts w:hint="eastAsia" w:ascii="新宋体" w:hAnsi="新宋体" w:eastAsia="新宋体" w:cs="Arial"/>
                <w:b/>
                <w:color w:val="auto"/>
                <w:szCs w:val="21"/>
                <w:highlight w:val="none"/>
              </w:rPr>
              <w:t>（二）质量要求</w:t>
            </w:r>
          </w:p>
          <w:p>
            <w:pPr>
              <w:spacing w:line="360" w:lineRule="auto"/>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1、质量标准：符合国家规定的现行规程和强制性条文要求。</w:t>
            </w:r>
          </w:p>
          <w:p>
            <w:pPr>
              <w:spacing w:line="360" w:lineRule="auto"/>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2、成果质量要求：纸质成果必须符合</w:t>
            </w:r>
            <w:r>
              <w:rPr>
                <w:rFonts w:hint="eastAsia"/>
                <w:bCs/>
                <w:color w:val="auto"/>
                <w:szCs w:val="21"/>
                <w:highlight w:val="none"/>
              </w:rPr>
              <w:t>国家营商环境评价办法</w:t>
            </w:r>
            <w:r>
              <w:rPr>
                <w:rFonts w:hint="eastAsia" w:ascii="新宋体" w:hAnsi="新宋体" w:eastAsia="新宋体" w:cs="Arial"/>
                <w:bCs/>
                <w:color w:val="auto"/>
                <w:szCs w:val="21"/>
                <w:highlight w:val="none"/>
              </w:rPr>
              <w:t>相关要求，如需通过相关部门审核或征求意见，中标人协助配合完成达到验收合格标准。</w:t>
            </w:r>
          </w:p>
          <w:p>
            <w:pPr>
              <w:spacing w:line="360" w:lineRule="auto"/>
              <w:rPr>
                <w:rFonts w:ascii="新宋体" w:hAnsi="新宋体" w:eastAsia="新宋体" w:cs="Arial"/>
                <w:b/>
                <w:color w:val="auto"/>
                <w:szCs w:val="21"/>
                <w:highlight w:val="none"/>
              </w:rPr>
            </w:pPr>
            <w:r>
              <w:rPr>
                <w:rFonts w:hint="eastAsia" w:ascii="新宋体" w:hAnsi="新宋体" w:eastAsia="新宋体" w:cs="Arial"/>
                <w:b/>
                <w:color w:val="auto"/>
                <w:szCs w:val="21"/>
                <w:highlight w:val="none"/>
              </w:rPr>
              <w:t>（三）专业技术人员要求</w:t>
            </w:r>
          </w:p>
          <w:p>
            <w:pPr>
              <w:spacing w:line="360" w:lineRule="auto"/>
              <w:rPr>
                <w:rFonts w:ascii="新宋体" w:hAnsi="新宋体" w:eastAsia="新宋体" w:cs="Arial"/>
                <w:b/>
                <w:color w:val="auto"/>
                <w:szCs w:val="21"/>
                <w:highlight w:val="none"/>
                <w:u w:val="single"/>
              </w:rPr>
            </w:pPr>
            <w:r>
              <w:rPr>
                <w:rFonts w:hint="eastAsia" w:ascii="新宋体" w:hAnsi="新宋体" w:eastAsia="新宋体" w:cs="Arial"/>
                <w:b/>
                <w:color w:val="auto"/>
                <w:szCs w:val="21"/>
                <w:highlight w:val="none"/>
                <w:u w:val="single"/>
              </w:rPr>
              <w:t>1、投标人必须组建本项目服务团队，指定项目负责人一名，拟投入本项目的专业技术人员（除项目负责人外）至少5人。</w:t>
            </w:r>
          </w:p>
          <w:p>
            <w:pPr>
              <w:spacing w:line="360" w:lineRule="auto"/>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2、在项目服务期间，原则上中标人不得更换项目负责人，确有特殊原因需要变更人员的，必须经采购人审批同意后才能更换。</w:t>
            </w:r>
          </w:p>
          <w:p>
            <w:pPr>
              <w:spacing w:line="360" w:lineRule="auto"/>
              <w:rPr>
                <w:rFonts w:ascii="新宋体" w:hAnsi="新宋体" w:eastAsia="新宋体" w:cs="Arial"/>
                <w:b/>
                <w:color w:val="auto"/>
                <w:szCs w:val="21"/>
                <w:highlight w:val="none"/>
              </w:rPr>
            </w:pPr>
            <w:r>
              <w:rPr>
                <w:rFonts w:hint="eastAsia" w:ascii="新宋体" w:hAnsi="新宋体" w:eastAsia="新宋体" w:cs="Arial"/>
                <w:b/>
                <w:color w:val="auto"/>
                <w:szCs w:val="21"/>
                <w:highlight w:val="none"/>
              </w:rPr>
              <w:t>（四）商务服务要求</w:t>
            </w:r>
          </w:p>
          <w:p>
            <w:pPr>
              <w:snapToGrid w:val="0"/>
              <w:spacing w:line="360" w:lineRule="auto"/>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1、报价要求</w:t>
            </w:r>
          </w:p>
          <w:p>
            <w:pPr>
              <w:snapToGrid w:val="0"/>
              <w:spacing w:line="360" w:lineRule="auto"/>
              <w:rPr>
                <w:rFonts w:hAnsi="宋体"/>
                <w:color w:val="auto"/>
                <w:highlight w:val="none"/>
              </w:rPr>
            </w:pPr>
            <w:r>
              <w:rPr>
                <w:rFonts w:hint="eastAsia" w:hAnsi="宋体"/>
                <w:color w:val="auto"/>
                <w:highlight w:val="none"/>
              </w:rPr>
              <w:t>投标报价是履行合同的最终价格，应包括（但不限于）</w:t>
            </w:r>
            <w:r>
              <w:rPr>
                <w:rFonts w:hint="eastAsia" w:ascii="宋体" w:hAnsi="宋体"/>
                <w:color w:val="auto"/>
                <w:szCs w:val="21"/>
                <w:highlight w:val="none"/>
              </w:rPr>
              <w:t>评估费用、纸质及电子版研究成果费用</w:t>
            </w:r>
            <w:r>
              <w:rPr>
                <w:rFonts w:hint="eastAsia" w:hAnsi="宋体"/>
                <w:color w:val="auto"/>
                <w:highlight w:val="none"/>
              </w:rPr>
              <w:t>等一切税金和费用。</w:t>
            </w:r>
          </w:p>
          <w:p>
            <w:pPr>
              <w:snapToGrid w:val="0"/>
              <w:spacing w:line="360" w:lineRule="auto"/>
              <w:rPr>
                <w:rFonts w:hAnsi="宋体"/>
                <w:color w:val="auto"/>
                <w:highlight w:val="none"/>
              </w:rPr>
            </w:pPr>
            <w:r>
              <w:rPr>
                <w:rFonts w:hint="eastAsia" w:ascii="新宋体" w:hAnsi="新宋体" w:eastAsia="新宋体" w:cs="Arial"/>
                <w:bCs/>
                <w:color w:val="auto"/>
                <w:szCs w:val="21"/>
                <w:highlight w:val="none"/>
              </w:rPr>
              <w:t>2、合同签订要求</w:t>
            </w:r>
          </w:p>
          <w:p>
            <w:pPr>
              <w:spacing w:line="360" w:lineRule="auto"/>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自成交通知书发出之日起10个工作日内签订合同。</w:t>
            </w:r>
          </w:p>
          <w:p>
            <w:pPr>
              <w:spacing w:line="360" w:lineRule="auto"/>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3、付款方式要求</w:t>
            </w:r>
          </w:p>
          <w:p>
            <w:pPr>
              <w:spacing w:line="360" w:lineRule="auto"/>
              <w:rPr>
                <w:rFonts w:hint="eastAsia" w:ascii="新宋体" w:hAnsi="新宋体" w:eastAsia="新宋体" w:cs="Arial"/>
                <w:bCs/>
                <w:color w:val="auto"/>
                <w:szCs w:val="21"/>
                <w:highlight w:val="none"/>
              </w:rPr>
            </w:pPr>
            <w:r>
              <w:rPr>
                <w:rFonts w:hint="eastAsia" w:ascii="新宋体" w:hAnsi="新宋体" w:eastAsia="新宋体" w:cs="Arial"/>
                <w:bCs/>
                <w:color w:val="auto"/>
                <w:szCs w:val="21"/>
                <w:highlight w:val="none"/>
              </w:rPr>
              <w:t>（1）本合同价款采用费用包干合同方式确定。</w:t>
            </w:r>
          </w:p>
          <w:p>
            <w:pPr>
              <w:spacing w:line="360" w:lineRule="auto"/>
              <w:rPr>
                <w:rFonts w:ascii="新宋体" w:hAnsi="新宋体" w:eastAsia="新宋体" w:cs="Arial"/>
                <w:bCs/>
                <w:color w:val="auto"/>
                <w:szCs w:val="21"/>
                <w:highlight w:val="none"/>
              </w:rPr>
            </w:pPr>
            <w:r>
              <w:rPr>
                <w:rFonts w:hint="eastAsia" w:ascii="新宋体" w:hAnsi="新宋体" w:eastAsia="新宋体" w:cs="Arial"/>
                <w:bCs/>
                <w:color w:val="auto"/>
                <w:szCs w:val="21"/>
                <w:highlight w:val="none"/>
              </w:rPr>
              <w:t>（2）签订合同生效之日起 10个工作日内，采购人向中标人支付合同总价的 70%， 作为预付款；至2020年11月30日前采购人再支付合同总价的25%进度款；中标人按要求完成项目成果，并提交采购人验收通过后，7个工作日内，采购人支付合同总价的5%。</w:t>
            </w:r>
          </w:p>
        </w:tc>
      </w:tr>
    </w:tbl>
    <w:p>
      <w:pPr>
        <w:pStyle w:val="28"/>
        <w:rPr>
          <w:color w:val="auto"/>
          <w:highlight w:val="none"/>
        </w:rPr>
      </w:pPr>
    </w:p>
    <w:p>
      <w:pPr>
        <w:pStyle w:val="28"/>
        <w:rPr>
          <w:color w:val="auto"/>
          <w:highlight w:val="none"/>
        </w:rPr>
      </w:pPr>
    </w:p>
    <w:p>
      <w:pPr>
        <w:pStyle w:val="3"/>
        <w:spacing w:line="560" w:lineRule="exact"/>
        <w:rPr>
          <w:rFonts w:ascii="宋体" w:hAnsi="宋体"/>
          <w:bCs/>
          <w:color w:val="auto"/>
          <w:sz w:val="44"/>
          <w:highlight w:val="none"/>
        </w:rPr>
      </w:pPr>
    </w:p>
    <w:p>
      <w:pPr>
        <w:pStyle w:val="3"/>
        <w:spacing w:line="560" w:lineRule="exact"/>
        <w:ind w:firstLine="1325" w:firstLineChars="300"/>
        <w:rPr>
          <w:rFonts w:ascii="宋体" w:hAnsi="宋体"/>
          <w:bCs/>
          <w:color w:val="auto"/>
          <w:sz w:val="44"/>
          <w:highlight w:val="none"/>
        </w:rPr>
      </w:pPr>
      <w:r>
        <w:rPr>
          <w:rFonts w:hint="eastAsia" w:ascii="宋体" w:hAnsi="宋体"/>
          <w:bCs/>
          <w:color w:val="auto"/>
          <w:sz w:val="44"/>
          <w:highlight w:val="none"/>
        </w:rPr>
        <w:t>第四章   政府采购合同（格式）</w:t>
      </w:r>
      <w:bookmarkEnd w:id="304"/>
      <w:bookmarkEnd w:id="305"/>
      <w:bookmarkEnd w:id="306"/>
      <w:bookmarkEnd w:id="307"/>
      <w:bookmarkEnd w:id="308"/>
      <w:bookmarkEnd w:id="309"/>
      <w:bookmarkEnd w:id="310"/>
      <w:bookmarkEnd w:id="311"/>
    </w:p>
    <w:p>
      <w:pPr>
        <w:snapToGrid w:val="0"/>
        <w:spacing w:line="400" w:lineRule="exact"/>
        <w:jc w:val="center"/>
        <w:rPr>
          <w:rFonts w:ascii="宋体" w:hAnsi="宋体"/>
          <w:b/>
          <w:bCs/>
          <w:color w:val="auto"/>
          <w:sz w:val="36"/>
          <w:szCs w:val="36"/>
          <w:highlight w:val="none"/>
        </w:rPr>
      </w:pPr>
    </w:p>
    <w:p>
      <w:pPr>
        <w:pStyle w:val="3"/>
        <w:spacing w:line="360" w:lineRule="auto"/>
        <w:ind w:firstLine="1596" w:firstLineChars="300"/>
        <w:rPr>
          <w:color w:val="auto"/>
          <w:highlight w:val="none"/>
        </w:rPr>
      </w:pPr>
      <w:r>
        <w:rPr>
          <w:rFonts w:ascii="宋体" w:hAnsi="宋体" w:cs="宋体"/>
          <w:color w:val="auto"/>
          <w:sz w:val="53"/>
          <w:highlight w:val="none"/>
        </w:rPr>
        <w:t>建设工程咨询</w:t>
      </w:r>
      <w:r>
        <w:rPr>
          <w:rFonts w:hint="eastAsia" w:cs="宋体"/>
          <w:color w:val="auto"/>
          <w:sz w:val="53"/>
          <w:highlight w:val="none"/>
        </w:rPr>
        <w:t>服务</w:t>
      </w:r>
      <w:r>
        <w:rPr>
          <w:rFonts w:ascii="宋体" w:hAnsi="宋体" w:cs="宋体"/>
          <w:color w:val="auto"/>
          <w:sz w:val="53"/>
          <w:highlight w:val="none"/>
        </w:rPr>
        <w:t>合同</w:t>
      </w:r>
    </w:p>
    <w:p>
      <w:pPr>
        <w:pStyle w:val="3"/>
        <w:spacing w:line="360" w:lineRule="auto"/>
        <w:jc w:val="center"/>
        <w:rPr>
          <w:color w:val="auto"/>
          <w:highlight w:val="none"/>
        </w:rPr>
      </w:pPr>
    </w:p>
    <w:p>
      <w:pPr>
        <w:spacing w:line="200" w:lineRule="exact"/>
        <w:rPr>
          <w:rFonts w:eastAsia="Times New Roman"/>
          <w:color w:val="auto"/>
          <w:highlight w:val="none"/>
        </w:rPr>
      </w:pPr>
    </w:p>
    <w:p>
      <w:pPr>
        <w:pStyle w:val="12"/>
        <w:rPr>
          <w:rFonts w:ascii="Times New Roman" w:hAnsi="Times New Roman" w:eastAsia="Times New Roman"/>
          <w:color w:val="auto"/>
          <w:highlight w:val="none"/>
        </w:rPr>
      </w:pPr>
    </w:p>
    <w:p>
      <w:pPr>
        <w:pStyle w:val="12"/>
        <w:rPr>
          <w:rFonts w:ascii="Times New Roman" w:hAnsi="Times New Roman" w:eastAsia="Times New Roman"/>
          <w:color w:val="auto"/>
          <w:highlight w:val="none"/>
        </w:rPr>
      </w:pPr>
    </w:p>
    <w:p>
      <w:pPr>
        <w:pStyle w:val="12"/>
        <w:rPr>
          <w:rFonts w:ascii="Times New Roman" w:hAnsi="Times New Roman" w:eastAsia="Times New Roman"/>
          <w:color w:val="auto"/>
          <w:highlight w:val="none"/>
        </w:rPr>
      </w:pPr>
    </w:p>
    <w:p>
      <w:pPr>
        <w:pStyle w:val="12"/>
        <w:rPr>
          <w:rFonts w:ascii="Times New Roman" w:hAnsi="Times New Roman" w:eastAsia="Times New Roman"/>
          <w:color w:val="auto"/>
          <w:highlight w:val="none"/>
        </w:rPr>
      </w:pPr>
    </w:p>
    <w:p>
      <w:pPr>
        <w:pStyle w:val="12"/>
        <w:rPr>
          <w:rFonts w:ascii="Times New Roman" w:hAnsi="Times New Roman" w:eastAsia="Times New Roman"/>
          <w:color w:val="auto"/>
          <w:highlight w:val="none"/>
        </w:rPr>
      </w:pPr>
    </w:p>
    <w:p>
      <w:pPr>
        <w:pStyle w:val="12"/>
        <w:rPr>
          <w:rFonts w:ascii="Times New Roman" w:hAnsi="Times New Roman" w:eastAsia="Times New Roman"/>
          <w:color w:val="auto"/>
          <w:highlight w:val="none"/>
        </w:rPr>
      </w:pPr>
    </w:p>
    <w:p>
      <w:pPr>
        <w:pStyle w:val="12"/>
        <w:rPr>
          <w:rFonts w:ascii="Times New Roman" w:hAnsi="Times New Roman" w:eastAsia="Times New Roman"/>
          <w:color w:val="auto"/>
          <w:highlight w:val="none"/>
        </w:rPr>
      </w:pPr>
    </w:p>
    <w:p>
      <w:pPr>
        <w:pStyle w:val="12"/>
        <w:rPr>
          <w:rFonts w:ascii="Times New Roman" w:hAnsi="Times New Roman" w:eastAsia="Times New Roman"/>
          <w:color w:val="auto"/>
          <w:highlight w:val="none"/>
        </w:rPr>
      </w:pPr>
    </w:p>
    <w:p>
      <w:pPr>
        <w:pStyle w:val="12"/>
        <w:rPr>
          <w:rFonts w:ascii="Times New Roman" w:hAnsi="Times New Roman" w:eastAsia="Times New Roman"/>
          <w:color w:val="auto"/>
          <w:highlight w:val="none"/>
        </w:rPr>
      </w:pPr>
    </w:p>
    <w:p>
      <w:pPr>
        <w:pStyle w:val="12"/>
        <w:rPr>
          <w:rFonts w:ascii="Times New Roman" w:hAnsi="Times New Roman" w:eastAsia="Times New Roman"/>
          <w:color w:val="auto"/>
          <w:highlight w:val="none"/>
        </w:rPr>
      </w:pPr>
    </w:p>
    <w:p>
      <w:pPr>
        <w:pStyle w:val="12"/>
        <w:rPr>
          <w:rFonts w:ascii="Times New Roman" w:hAnsi="Times New Roman" w:eastAsia="Times New Roman"/>
          <w:color w:val="auto"/>
          <w:highlight w:val="none"/>
        </w:rPr>
      </w:pPr>
    </w:p>
    <w:p>
      <w:pPr>
        <w:spacing w:line="200" w:lineRule="exact"/>
        <w:rPr>
          <w:rFonts w:eastAsia="Times New Roman"/>
          <w:color w:val="auto"/>
          <w:highlight w:val="none"/>
        </w:rPr>
      </w:pPr>
    </w:p>
    <w:p>
      <w:pPr>
        <w:spacing w:line="362" w:lineRule="exact"/>
        <w:rPr>
          <w:rFonts w:eastAsia="Times New Roman"/>
          <w:color w:val="auto"/>
          <w:highlight w:val="none"/>
        </w:rPr>
      </w:pPr>
    </w:p>
    <w:p>
      <w:pPr>
        <w:tabs>
          <w:tab w:val="left" w:pos="1160"/>
          <w:tab w:val="left" w:pos="1720"/>
          <w:tab w:val="left" w:pos="2280"/>
        </w:tabs>
        <w:spacing w:line="237" w:lineRule="auto"/>
        <w:ind w:left="620"/>
        <w:rPr>
          <w:color w:val="auto"/>
          <w:highlight w:val="none"/>
        </w:rPr>
      </w:pPr>
      <w:r>
        <w:rPr>
          <w:rFonts w:ascii="宋体" w:hAnsi="宋体" w:cs="宋体"/>
          <w:b/>
          <w:color w:val="auto"/>
          <w:sz w:val="29"/>
          <w:highlight w:val="none"/>
        </w:rPr>
        <w:t>工</w:t>
      </w:r>
      <w:r>
        <w:rPr>
          <w:rFonts w:eastAsia="Times New Roman"/>
          <w:color w:val="auto"/>
          <w:highlight w:val="none"/>
        </w:rPr>
        <w:tab/>
      </w:r>
      <w:r>
        <w:rPr>
          <w:rFonts w:ascii="宋体" w:hAnsi="宋体" w:cs="宋体"/>
          <w:b/>
          <w:color w:val="auto"/>
          <w:sz w:val="29"/>
          <w:highlight w:val="none"/>
        </w:rPr>
        <w:t>程</w:t>
      </w:r>
      <w:r>
        <w:rPr>
          <w:rFonts w:eastAsia="Times New Roman"/>
          <w:color w:val="auto"/>
          <w:highlight w:val="none"/>
        </w:rPr>
        <w:tab/>
      </w:r>
      <w:r>
        <w:rPr>
          <w:rFonts w:ascii="宋体" w:hAnsi="宋体" w:cs="宋体"/>
          <w:b/>
          <w:color w:val="auto"/>
          <w:sz w:val="29"/>
          <w:highlight w:val="none"/>
        </w:rPr>
        <w:t>名</w:t>
      </w:r>
      <w:r>
        <w:rPr>
          <w:rFonts w:eastAsia="Times New Roman"/>
          <w:color w:val="auto"/>
          <w:highlight w:val="none"/>
        </w:rPr>
        <w:tab/>
      </w:r>
      <w:r>
        <w:rPr>
          <w:rFonts w:ascii="宋体" w:hAnsi="宋体" w:cs="宋体"/>
          <w:b/>
          <w:color w:val="auto"/>
          <w:sz w:val="29"/>
          <w:highlight w:val="none"/>
        </w:rPr>
        <w:t>称：</w:t>
      </w:r>
    </w:p>
    <w:p>
      <w:pPr>
        <w:spacing w:line="200" w:lineRule="exact"/>
        <w:rPr>
          <w:rFonts w:eastAsia="Times New Roman"/>
          <w:b/>
          <w:color w:val="auto"/>
          <w:sz w:val="29"/>
          <w:highlight w:val="none"/>
        </w:rPr>
      </w:pPr>
      <w:r>
        <w:rPr>
          <w:color w:val="auto"/>
          <w:highlight w:val="none"/>
        </w:rPr>
        <w:drawing>
          <wp:anchor distT="0" distB="0" distL="114300" distR="114300" simplePos="0" relativeHeight="251660288" behindDoc="1" locked="0" layoutInCell="1" allowOverlap="1">
            <wp:simplePos x="0" y="0"/>
            <wp:positionH relativeFrom="column">
              <wp:posOffset>1654810</wp:posOffset>
            </wp:positionH>
            <wp:positionV relativeFrom="paragraph">
              <wp:posOffset>3810</wp:posOffset>
            </wp:positionV>
            <wp:extent cx="3623310" cy="15240"/>
            <wp:effectExtent l="0" t="0" r="0" b="0"/>
            <wp:wrapNone/>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7" cstate="print"/>
                    <a:srcRect l="-17" t="-7692" r="-17" b="-7692"/>
                    <a:stretch>
                      <a:fillRect/>
                    </a:stretch>
                  </pic:blipFill>
                  <pic:spPr>
                    <a:xfrm>
                      <a:off x="0" y="0"/>
                      <a:ext cx="3623310" cy="15240"/>
                    </a:xfrm>
                    <a:prstGeom prst="rect">
                      <a:avLst/>
                    </a:prstGeom>
                    <a:solidFill>
                      <a:srgbClr val="FFFFFF"/>
                    </a:solidFill>
                    <a:ln w="9525">
                      <a:noFill/>
                    </a:ln>
                    <a:effectLst/>
                  </pic:spPr>
                </pic:pic>
              </a:graphicData>
            </a:graphic>
          </wp:anchor>
        </w:drawing>
      </w:r>
    </w:p>
    <w:p>
      <w:pPr>
        <w:spacing w:line="200" w:lineRule="exact"/>
        <w:rPr>
          <w:rFonts w:eastAsia="Times New Roman"/>
          <w:color w:val="auto"/>
          <w:highlight w:val="none"/>
        </w:rPr>
      </w:pPr>
    </w:p>
    <w:p>
      <w:pPr>
        <w:spacing w:line="232" w:lineRule="exact"/>
        <w:rPr>
          <w:rFonts w:eastAsia="Times New Roman"/>
          <w:color w:val="auto"/>
          <w:highlight w:val="none"/>
        </w:rPr>
      </w:pPr>
    </w:p>
    <w:p>
      <w:pPr>
        <w:tabs>
          <w:tab w:val="left" w:pos="1160"/>
          <w:tab w:val="left" w:pos="1720"/>
          <w:tab w:val="left" w:pos="2280"/>
        </w:tabs>
        <w:spacing w:line="237" w:lineRule="auto"/>
        <w:ind w:left="620"/>
        <w:rPr>
          <w:color w:val="auto"/>
          <w:highlight w:val="none"/>
        </w:rPr>
      </w:pPr>
      <w:r>
        <w:rPr>
          <w:rFonts w:ascii="宋体" w:hAnsi="宋体" w:cs="宋体"/>
          <w:b/>
          <w:color w:val="auto"/>
          <w:sz w:val="29"/>
          <w:highlight w:val="none"/>
        </w:rPr>
        <w:t>工</w:t>
      </w:r>
      <w:r>
        <w:rPr>
          <w:rFonts w:eastAsia="Times New Roman"/>
          <w:color w:val="auto"/>
          <w:highlight w:val="none"/>
        </w:rPr>
        <w:tab/>
      </w:r>
      <w:r>
        <w:rPr>
          <w:rFonts w:ascii="宋体" w:hAnsi="宋体" w:cs="宋体"/>
          <w:b/>
          <w:color w:val="auto"/>
          <w:sz w:val="29"/>
          <w:highlight w:val="none"/>
        </w:rPr>
        <w:t>程</w:t>
      </w:r>
      <w:r>
        <w:rPr>
          <w:rFonts w:eastAsia="Times New Roman"/>
          <w:color w:val="auto"/>
          <w:highlight w:val="none"/>
        </w:rPr>
        <w:tab/>
      </w:r>
      <w:r>
        <w:rPr>
          <w:rFonts w:ascii="宋体" w:hAnsi="宋体" w:cs="宋体"/>
          <w:b/>
          <w:color w:val="auto"/>
          <w:sz w:val="29"/>
          <w:highlight w:val="none"/>
        </w:rPr>
        <w:t>地</w:t>
      </w:r>
      <w:r>
        <w:rPr>
          <w:rFonts w:eastAsia="Times New Roman"/>
          <w:color w:val="auto"/>
          <w:highlight w:val="none"/>
        </w:rPr>
        <w:tab/>
      </w:r>
      <w:r>
        <w:rPr>
          <w:rFonts w:ascii="宋体" w:hAnsi="宋体" w:cs="宋体"/>
          <w:b/>
          <w:color w:val="auto"/>
          <w:sz w:val="29"/>
          <w:highlight w:val="none"/>
        </w:rPr>
        <w:t>点：</w:t>
      </w:r>
    </w:p>
    <w:p>
      <w:pPr>
        <w:spacing w:line="200" w:lineRule="exact"/>
        <w:rPr>
          <w:rFonts w:eastAsia="Times New Roman"/>
          <w:b/>
          <w:color w:val="auto"/>
          <w:sz w:val="29"/>
          <w:highlight w:val="none"/>
        </w:rPr>
      </w:pPr>
      <w:r>
        <w:rPr>
          <w:color w:val="auto"/>
          <w:highlight w:val="none"/>
        </w:rPr>
        <w:drawing>
          <wp:anchor distT="0" distB="0" distL="114300" distR="114300" simplePos="0" relativeHeight="251661312" behindDoc="1" locked="0" layoutInCell="1" allowOverlap="1">
            <wp:simplePos x="0" y="0"/>
            <wp:positionH relativeFrom="column">
              <wp:posOffset>1654810</wp:posOffset>
            </wp:positionH>
            <wp:positionV relativeFrom="paragraph">
              <wp:posOffset>3810</wp:posOffset>
            </wp:positionV>
            <wp:extent cx="3632835" cy="15240"/>
            <wp:effectExtent l="0" t="0" r="0" b="0"/>
            <wp:wrapNone/>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8" cstate="print"/>
                    <a:srcRect l="-17" t="-7692" r="-17" b="-7692"/>
                    <a:stretch>
                      <a:fillRect/>
                    </a:stretch>
                  </pic:blipFill>
                  <pic:spPr>
                    <a:xfrm>
                      <a:off x="0" y="0"/>
                      <a:ext cx="3632835" cy="15240"/>
                    </a:xfrm>
                    <a:prstGeom prst="rect">
                      <a:avLst/>
                    </a:prstGeom>
                    <a:solidFill>
                      <a:srgbClr val="FFFFFF"/>
                    </a:solidFill>
                    <a:ln w="9525">
                      <a:noFill/>
                    </a:ln>
                    <a:effectLst/>
                  </pic:spPr>
                </pic:pic>
              </a:graphicData>
            </a:graphic>
          </wp:anchor>
        </w:drawing>
      </w:r>
    </w:p>
    <w:p>
      <w:pPr>
        <w:spacing w:line="200" w:lineRule="exact"/>
        <w:rPr>
          <w:rFonts w:eastAsia="Times New Roman"/>
          <w:color w:val="auto"/>
          <w:highlight w:val="none"/>
        </w:rPr>
      </w:pPr>
    </w:p>
    <w:p>
      <w:pPr>
        <w:spacing w:line="231" w:lineRule="exact"/>
        <w:rPr>
          <w:rFonts w:eastAsia="Times New Roman"/>
          <w:color w:val="auto"/>
          <w:highlight w:val="none"/>
        </w:rPr>
      </w:pPr>
    </w:p>
    <w:p>
      <w:pPr>
        <w:tabs>
          <w:tab w:val="left" w:pos="1160"/>
          <w:tab w:val="left" w:pos="1720"/>
          <w:tab w:val="left" w:pos="2280"/>
        </w:tabs>
        <w:spacing w:line="237" w:lineRule="auto"/>
        <w:ind w:left="620"/>
        <w:rPr>
          <w:color w:val="auto"/>
          <w:highlight w:val="none"/>
        </w:rPr>
      </w:pPr>
      <w:r>
        <w:rPr>
          <w:rFonts w:ascii="宋体" w:hAnsi="宋体" w:cs="宋体"/>
          <w:b/>
          <w:color w:val="auto"/>
          <w:sz w:val="29"/>
          <w:highlight w:val="none"/>
        </w:rPr>
        <w:t>合</w:t>
      </w:r>
      <w:r>
        <w:rPr>
          <w:rFonts w:eastAsia="Times New Roman"/>
          <w:color w:val="auto"/>
          <w:highlight w:val="none"/>
        </w:rPr>
        <w:tab/>
      </w:r>
      <w:r>
        <w:rPr>
          <w:rFonts w:ascii="宋体" w:hAnsi="宋体" w:cs="宋体"/>
          <w:b/>
          <w:color w:val="auto"/>
          <w:sz w:val="29"/>
          <w:highlight w:val="none"/>
        </w:rPr>
        <w:t>同</w:t>
      </w:r>
      <w:r>
        <w:rPr>
          <w:rFonts w:eastAsia="Times New Roman"/>
          <w:color w:val="auto"/>
          <w:highlight w:val="none"/>
        </w:rPr>
        <w:tab/>
      </w:r>
      <w:r>
        <w:rPr>
          <w:rFonts w:ascii="宋体" w:hAnsi="宋体" w:cs="宋体"/>
          <w:b/>
          <w:color w:val="auto"/>
          <w:sz w:val="29"/>
          <w:highlight w:val="none"/>
        </w:rPr>
        <w:t>编</w:t>
      </w:r>
      <w:r>
        <w:rPr>
          <w:rFonts w:eastAsia="Times New Roman"/>
          <w:color w:val="auto"/>
          <w:highlight w:val="none"/>
        </w:rPr>
        <w:tab/>
      </w:r>
      <w:r>
        <w:rPr>
          <w:rFonts w:ascii="宋体" w:hAnsi="宋体" w:cs="宋体"/>
          <w:b/>
          <w:color w:val="auto"/>
          <w:sz w:val="29"/>
          <w:highlight w:val="none"/>
        </w:rPr>
        <w:t>号：</w:t>
      </w:r>
    </w:p>
    <w:p>
      <w:pPr>
        <w:spacing w:line="200" w:lineRule="exact"/>
        <w:rPr>
          <w:rFonts w:eastAsia="Times New Roman"/>
          <w:b/>
          <w:color w:val="auto"/>
          <w:sz w:val="29"/>
          <w:highlight w:val="none"/>
        </w:rPr>
      </w:pPr>
      <w:r>
        <w:rPr>
          <w:color w:val="auto"/>
          <w:highlight w:val="none"/>
        </w:rPr>
        <w:drawing>
          <wp:anchor distT="0" distB="0" distL="114300" distR="114300" simplePos="0" relativeHeight="251662336" behindDoc="1" locked="0" layoutInCell="1" allowOverlap="1">
            <wp:simplePos x="0" y="0"/>
            <wp:positionH relativeFrom="column">
              <wp:posOffset>1654810</wp:posOffset>
            </wp:positionH>
            <wp:positionV relativeFrom="paragraph">
              <wp:posOffset>3810</wp:posOffset>
            </wp:positionV>
            <wp:extent cx="3604260" cy="15240"/>
            <wp:effectExtent l="0" t="0" r="0" b="0"/>
            <wp:wrapNone/>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9" cstate="print"/>
                    <a:srcRect l="-17" t="-7692" r="-17" b="-7692"/>
                    <a:stretch>
                      <a:fillRect/>
                    </a:stretch>
                  </pic:blipFill>
                  <pic:spPr>
                    <a:xfrm>
                      <a:off x="0" y="0"/>
                      <a:ext cx="3604260" cy="15240"/>
                    </a:xfrm>
                    <a:prstGeom prst="rect">
                      <a:avLst/>
                    </a:prstGeom>
                    <a:solidFill>
                      <a:srgbClr val="FFFFFF"/>
                    </a:solidFill>
                    <a:ln w="9525">
                      <a:noFill/>
                    </a:ln>
                    <a:effectLst/>
                  </pic:spPr>
                </pic:pic>
              </a:graphicData>
            </a:graphic>
          </wp:anchor>
        </w:drawing>
      </w:r>
    </w:p>
    <w:p>
      <w:pPr>
        <w:spacing w:line="200" w:lineRule="exact"/>
        <w:rPr>
          <w:rFonts w:eastAsia="Times New Roman"/>
          <w:color w:val="auto"/>
          <w:highlight w:val="none"/>
        </w:rPr>
      </w:pPr>
    </w:p>
    <w:p>
      <w:pPr>
        <w:spacing w:line="232" w:lineRule="exact"/>
        <w:rPr>
          <w:rFonts w:eastAsia="Times New Roman"/>
          <w:color w:val="auto"/>
          <w:highlight w:val="none"/>
        </w:rPr>
      </w:pPr>
    </w:p>
    <w:p>
      <w:pPr>
        <w:spacing w:line="0" w:lineRule="atLeast"/>
        <w:ind w:left="620"/>
        <w:rPr>
          <w:color w:val="auto"/>
          <w:highlight w:val="none"/>
        </w:rPr>
      </w:pPr>
      <w:r>
        <w:rPr>
          <w:rFonts w:ascii="宋体" w:hAnsi="宋体" w:cs="宋体"/>
          <w:b/>
          <w:color w:val="auto"/>
          <w:sz w:val="29"/>
          <w:highlight w:val="none"/>
        </w:rPr>
        <w:t>咨询证书等级：</w:t>
      </w:r>
    </w:p>
    <w:p>
      <w:pPr>
        <w:spacing w:line="200" w:lineRule="exact"/>
        <w:rPr>
          <w:rFonts w:eastAsia="Times New Roman"/>
          <w:b/>
          <w:color w:val="auto"/>
          <w:sz w:val="29"/>
          <w:highlight w:val="none"/>
        </w:rPr>
      </w:pPr>
      <w:r>
        <w:rPr>
          <w:color w:val="auto"/>
          <w:highlight w:val="none"/>
        </w:rPr>
        <w:drawing>
          <wp:anchor distT="0" distB="0" distL="114300" distR="114300" simplePos="0" relativeHeight="251663360" behindDoc="1" locked="0" layoutInCell="1" allowOverlap="1">
            <wp:simplePos x="0" y="0"/>
            <wp:positionH relativeFrom="column">
              <wp:posOffset>1654810</wp:posOffset>
            </wp:positionH>
            <wp:positionV relativeFrom="paragraph">
              <wp:posOffset>12700</wp:posOffset>
            </wp:positionV>
            <wp:extent cx="3528060" cy="15240"/>
            <wp:effectExtent l="0" t="0" r="0" b="0"/>
            <wp:wrapNone/>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0" cstate="print"/>
                    <a:srcRect l="-17" t="-7692" r="-17" b="-7692"/>
                    <a:stretch>
                      <a:fillRect/>
                    </a:stretch>
                  </pic:blipFill>
                  <pic:spPr>
                    <a:xfrm>
                      <a:off x="0" y="0"/>
                      <a:ext cx="3528060" cy="15240"/>
                    </a:xfrm>
                    <a:prstGeom prst="rect">
                      <a:avLst/>
                    </a:prstGeom>
                    <a:solidFill>
                      <a:srgbClr val="FFFFFF"/>
                    </a:solidFill>
                    <a:ln w="9525">
                      <a:noFill/>
                    </a:ln>
                    <a:effectLst/>
                  </pic:spPr>
                </pic:pic>
              </a:graphicData>
            </a:graphic>
          </wp:anchor>
        </w:drawing>
      </w:r>
    </w:p>
    <w:p>
      <w:pPr>
        <w:spacing w:line="200" w:lineRule="exact"/>
        <w:rPr>
          <w:rFonts w:eastAsia="Times New Roman"/>
          <w:color w:val="auto"/>
          <w:highlight w:val="none"/>
        </w:rPr>
      </w:pPr>
    </w:p>
    <w:p>
      <w:pPr>
        <w:spacing w:line="230" w:lineRule="exact"/>
        <w:rPr>
          <w:rFonts w:eastAsia="Times New Roman"/>
          <w:color w:val="auto"/>
          <w:highlight w:val="none"/>
        </w:rPr>
      </w:pPr>
    </w:p>
    <w:tbl>
      <w:tblPr>
        <w:tblStyle w:val="20"/>
        <w:tblW w:w="7720" w:type="dxa"/>
        <w:tblInd w:w="620" w:type="dxa"/>
        <w:tblLayout w:type="fixed"/>
        <w:tblCellMar>
          <w:top w:w="0" w:type="dxa"/>
          <w:left w:w="0" w:type="dxa"/>
          <w:bottom w:w="0" w:type="dxa"/>
          <w:right w:w="0" w:type="dxa"/>
        </w:tblCellMar>
      </w:tblPr>
      <w:tblGrid>
        <w:gridCol w:w="860"/>
        <w:gridCol w:w="700"/>
        <w:gridCol w:w="460"/>
        <w:gridCol w:w="5620"/>
        <w:gridCol w:w="80"/>
      </w:tblGrid>
      <w:tr>
        <w:tblPrEx>
          <w:tblLayout w:type="fixed"/>
          <w:tblCellMar>
            <w:top w:w="0" w:type="dxa"/>
            <w:left w:w="0" w:type="dxa"/>
            <w:bottom w:w="0" w:type="dxa"/>
            <w:right w:w="0" w:type="dxa"/>
          </w:tblCellMar>
        </w:tblPrEx>
        <w:trPr>
          <w:trHeight w:val="333" w:hRule="atLeast"/>
        </w:trPr>
        <w:tc>
          <w:tcPr>
            <w:tcW w:w="860" w:type="dxa"/>
            <w:vAlign w:val="bottom"/>
          </w:tcPr>
          <w:p>
            <w:pPr>
              <w:spacing w:line="0" w:lineRule="atLeast"/>
              <w:rPr>
                <w:color w:val="auto"/>
                <w:highlight w:val="none"/>
              </w:rPr>
            </w:pPr>
            <w:r>
              <w:rPr>
                <w:rFonts w:ascii="宋体" w:hAnsi="宋体" w:cs="宋体"/>
                <w:b/>
                <w:color w:val="auto"/>
                <w:sz w:val="29"/>
                <w:highlight w:val="none"/>
              </w:rPr>
              <w:t>发</w:t>
            </w:r>
          </w:p>
        </w:tc>
        <w:tc>
          <w:tcPr>
            <w:tcW w:w="700" w:type="dxa"/>
            <w:vAlign w:val="bottom"/>
          </w:tcPr>
          <w:p>
            <w:pPr>
              <w:spacing w:line="0" w:lineRule="atLeast"/>
              <w:rPr>
                <w:color w:val="auto"/>
                <w:highlight w:val="none"/>
              </w:rPr>
            </w:pPr>
            <w:r>
              <w:rPr>
                <w:rFonts w:ascii="宋体" w:hAnsi="宋体" w:cs="宋体"/>
                <w:b/>
                <w:color w:val="auto"/>
                <w:sz w:val="29"/>
                <w:highlight w:val="none"/>
              </w:rPr>
              <w:t>包</w:t>
            </w:r>
          </w:p>
        </w:tc>
        <w:tc>
          <w:tcPr>
            <w:tcW w:w="6080" w:type="dxa"/>
            <w:gridSpan w:val="2"/>
            <w:vAlign w:val="bottom"/>
          </w:tcPr>
          <w:p>
            <w:pPr>
              <w:spacing w:line="0" w:lineRule="atLeast"/>
              <w:ind w:left="160"/>
              <w:rPr>
                <w:color w:val="auto"/>
                <w:highlight w:val="none"/>
              </w:rPr>
            </w:pPr>
            <w:r>
              <w:rPr>
                <w:rFonts w:ascii="宋体" w:hAnsi="宋体" w:cs="宋体"/>
                <w:b/>
                <w:color w:val="auto"/>
                <w:sz w:val="29"/>
                <w:highlight w:val="none"/>
              </w:rPr>
              <w:t>人：</w:t>
            </w:r>
          </w:p>
        </w:tc>
        <w:tc>
          <w:tcPr>
            <w:tcW w:w="80" w:type="dxa"/>
            <w:vAlign w:val="bottom"/>
          </w:tcPr>
          <w:p>
            <w:pPr>
              <w:snapToGrid w:val="0"/>
              <w:spacing w:line="0" w:lineRule="atLeast"/>
              <w:rPr>
                <w:rFonts w:eastAsia="Times New Roman"/>
                <w:b/>
                <w:color w:val="auto"/>
                <w:sz w:val="24"/>
                <w:highlight w:val="none"/>
              </w:rPr>
            </w:pPr>
          </w:p>
        </w:tc>
      </w:tr>
      <w:tr>
        <w:tblPrEx>
          <w:tblLayout w:type="fixed"/>
          <w:tblCellMar>
            <w:top w:w="0" w:type="dxa"/>
            <w:left w:w="0" w:type="dxa"/>
            <w:bottom w:w="0" w:type="dxa"/>
            <w:right w:w="0" w:type="dxa"/>
          </w:tblCellMar>
        </w:tblPrEx>
        <w:trPr>
          <w:trHeight w:val="23" w:hRule="atLeast"/>
        </w:trPr>
        <w:tc>
          <w:tcPr>
            <w:tcW w:w="860" w:type="dxa"/>
            <w:shd w:val="clear" w:color="auto" w:fill="auto"/>
            <w:vAlign w:val="bottom"/>
          </w:tcPr>
          <w:p>
            <w:pPr>
              <w:snapToGrid w:val="0"/>
              <w:spacing w:line="20" w:lineRule="exact"/>
              <w:rPr>
                <w:rFonts w:eastAsia="Times New Roman"/>
                <w:color w:val="auto"/>
                <w:sz w:val="1"/>
                <w:highlight w:val="none"/>
              </w:rPr>
            </w:pPr>
          </w:p>
        </w:tc>
        <w:tc>
          <w:tcPr>
            <w:tcW w:w="700" w:type="dxa"/>
            <w:shd w:val="clear" w:color="auto" w:fill="auto"/>
            <w:vAlign w:val="bottom"/>
          </w:tcPr>
          <w:p>
            <w:pPr>
              <w:snapToGrid w:val="0"/>
              <w:spacing w:line="20" w:lineRule="exact"/>
              <w:rPr>
                <w:rFonts w:eastAsia="Times New Roman"/>
                <w:color w:val="auto"/>
                <w:sz w:val="1"/>
                <w:highlight w:val="none"/>
              </w:rPr>
            </w:pPr>
          </w:p>
        </w:tc>
        <w:tc>
          <w:tcPr>
            <w:tcW w:w="460" w:type="dxa"/>
            <w:shd w:val="clear" w:color="auto" w:fill="auto"/>
            <w:vAlign w:val="bottom"/>
          </w:tcPr>
          <w:p>
            <w:pPr>
              <w:snapToGrid w:val="0"/>
              <w:spacing w:line="20" w:lineRule="exact"/>
              <w:rPr>
                <w:rFonts w:eastAsia="Times New Roman"/>
                <w:color w:val="auto"/>
                <w:sz w:val="1"/>
                <w:highlight w:val="none"/>
              </w:rPr>
            </w:pPr>
          </w:p>
        </w:tc>
        <w:tc>
          <w:tcPr>
            <w:tcW w:w="5620" w:type="dxa"/>
            <w:shd w:val="clear" w:color="auto" w:fill="000000"/>
            <w:vAlign w:val="bottom"/>
          </w:tcPr>
          <w:p>
            <w:pPr>
              <w:snapToGrid w:val="0"/>
              <w:spacing w:line="20" w:lineRule="exact"/>
              <w:rPr>
                <w:rFonts w:eastAsia="Times New Roman"/>
                <w:color w:val="auto"/>
                <w:sz w:val="1"/>
                <w:highlight w:val="none"/>
              </w:rPr>
            </w:pPr>
          </w:p>
        </w:tc>
        <w:tc>
          <w:tcPr>
            <w:tcW w:w="80" w:type="dxa"/>
            <w:tcBorders>
              <w:left w:val="single" w:color="000000" w:sz="8" w:space="0"/>
            </w:tcBorders>
            <w:vAlign w:val="bottom"/>
          </w:tcPr>
          <w:p>
            <w:pPr>
              <w:snapToGrid w:val="0"/>
              <w:spacing w:line="20" w:lineRule="exact"/>
              <w:rPr>
                <w:rFonts w:eastAsia="Times New Roman"/>
                <w:color w:val="auto"/>
                <w:sz w:val="1"/>
                <w:highlight w:val="none"/>
              </w:rPr>
            </w:pPr>
          </w:p>
        </w:tc>
      </w:tr>
      <w:tr>
        <w:tblPrEx>
          <w:tblLayout w:type="fixed"/>
          <w:tblCellMar>
            <w:top w:w="0" w:type="dxa"/>
            <w:left w:w="0" w:type="dxa"/>
            <w:bottom w:w="0" w:type="dxa"/>
            <w:right w:w="0" w:type="dxa"/>
          </w:tblCellMar>
        </w:tblPrEx>
        <w:trPr>
          <w:trHeight w:val="940" w:hRule="atLeast"/>
        </w:trPr>
        <w:tc>
          <w:tcPr>
            <w:tcW w:w="860" w:type="dxa"/>
            <w:vAlign w:val="bottom"/>
          </w:tcPr>
          <w:p>
            <w:pPr>
              <w:spacing w:line="0" w:lineRule="atLeast"/>
              <w:rPr>
                <w:color w:val="auto"/>
                <w:highlight w:val="none"/>
              </w:rPr>
            </w:pPr>
            <w:r>
              <w:rPr>
                <w:rFonts w:ascii="宋体" w:hAnsi="宋体" w:cs="宋体"/>
                <w:b/>
                <w:color w:val="auto"/>
                <w:sz w:val="29"/>
                <w:highlight w:val="none"/>
              </w:rPr>
              <w:t>咨</w:t>
            </w:r>
          </w:p>
        </w:tc>
        <w:tc>
          <w:tcPr>
            <w:tcW w:w="700" w:type="dxa"/>
            <w:vAlign w:val="bottom"/>
          </w:tcPr>
          <w:p>
            <w:pPr>
              <w:spacing w:line="0" w:lineRule="atLeast"/>
              <w:rPr>
                <w:color w:val="auto"/>
                <w:highlight w:val="none"/>
              </w:rPr>
            </w:pPr>
            <w:r>
              <w:rPr>
                <w:rFonts w:ascii="宋体" w:hAnsi="宋体" w:cs="宋体"/>
                <w:b/>
                <w:color w:val="auto"/>
                <w:sz w:val="29"/>
                <w:highlight w:val="none"/>
              </w:rPr>
              <w:t>询</w:t>
            </w:r>
          </w:p>
        </w:tc>
        <w:tc>
          <w:tcPr>
            <w:tcW w:w="6080" w:type="dxa"/>
            <w:gridSpan w:val="2"/>
            <w:vAlign w:val="bottom"/>
          </w:tcPr>
          <w:p>
            <w:pPr>
              <w:spacing w:line="0" w:lineRule="atLeast"/>
              <w:ind w:left="160"/>
              <w:rPr>
                <w:color w:val="auto"/>
                <w:highlight w:val="none"/>
              </w:rPr>
            </w:pPr>
            <w:r>
              <w:rPr>
                <w:rFonts w:ascii="宋体" w:hAnsi="宋体" w:cs="宋体"/>
                <w:b/>
                <w:color w:val="auto"/>
                <w:sz w:val="29"/>
                <w:highlight w:val="none"/>
              </w:rPr>
              <w:t>人：</w:t>
            </w:r>
          </w:p>
        </w:tc>
        <w:tc>
          <w:tcPr>
            <w:tcW w:w="80" w:type="dxa"/>
            <w:vAlign w:val="bottom"/>
          </w:tcPr>
          <w:p>
            <w:pPr>
              <w:snapToGrid w:val="0"/>
              <w:spacing w:line="0" w:lineRule="atLeast"/>
              <w:rPr>
                <w:rFonts w:eastAsia="Times New Roman"/>
                <w:b/>
                <w:color w:val="auto"/>
                <w:sz w:val="24"/>
                <w:highlight w:val="none"/>
              </w:rPr>
            </w:pPr>
          </w:p>
        </w:tc>
      </w:tr>
      <w:tr>
        <w:tblPrEx>
          <w:tblLayout w:type="fixed"/>
          <w:tblCellMar>
            <w:top w:w="0" w:type="dxa"/>
            <w:left w:w="0" w:type="dxa"/>
            <w:bottom w:w="0" w:type="dxa"/>
            <w:right w:w="0" w:type="dxa"/>
          </w:tblCellMar>
        </w:tblPrEx>
        <w:trPr>
          <w:trHeight w:val="23" w:hRule="atLeast"/>
        </w:trPr>
        <w:tc>
          <w:tcPr>
            <w:tcW w:w="860" w:type="dxa"/>
            <w:shd w:val="clear" w:color="auto" w:fill="auto"/>
            <w:vAlign w:val="bottom"/>
          </w:tcPr>
          <w:p>
            <w:pPr>
              <w:snapToGrid w:val="0"/>
              <w:spacing w:line="20" w:lineRule="exact"/>
              <w:rPr>
                <w:rFonts w:eastAsia="Times New Roman"/>
                <w:color w:val="auto"/>
                <w:sz w:val="1"/>
                <w:highlight w:val="none"/>
              </w:rPr>
            </w:pPr>
          </w:p>
        </w:tc>
        <w:tc>
          <w:tcPr>
            <w:tcW w:w="700" w:type="dxa"/>
            <w:shd w:val="clear" w:color="auto" w:fill="auto"/>
            <w:vAlign w:val="bottom"/>
          </w:tcPr>
          <w:p>
            <w:pPr>
              <w:snapToGrid w:val="0"/>
              <w:spacing w:line="20" w:lineRule="exact"/>
              <w:rPr>
                <w:rFonts w:eastAsia="Times New Roman"/>
                <w:color w:val="auto"/>
                <w:sz w:val="1"/>
                <w:highlight w:val="none"/>
              </w:rPr>
            </w:pPr>
          </w:p>
        </w:tc>
        <w:tc>
          <w:tcPr>
            <w:tcW w:w="460" w:type="dxa"/>
            <w:shd w:val="clear" w:color="auto" w:fill="auto"/>
            <w:vAlign w:val="bottom"/>
          </w:tcPr>
          <w:p>
            <w:pPr>
              <w:snapToGrid w:val="0"/>
              <w:spacing w:line="20" w:lineRule="exact"/>
              <w:rPr>
                <w:rFonts w:eastAsia="Times New Roman"/>
                <w:color w:val="auto"/>
                <w:sz w:val="1"/>
                <w:highlight w:val="none"/>
              </w:rPr>
            </w:pPr>
          </w:p>
        </w:tc>
        <w:tc>
          <w:tcPr>
            <w:tcW w:w="5620" w:type="dxa"/>
            <w:shd w:val="clear" w:color="auto" w:fill="000000"/>
            <w:vAlign w:val="bottom"/>
          </w:tcPr>
          <w:p>
            <w:pPr>
              <w:snapToGrid w:val="0"/>
              <w:spacing w:line="20" w:lineRule="exact"/>
              <w:rPr>
                <w:rFonts w:eastAsia="Times New Roman"/>
                <w:color w:val="auto"/>
                <w:sz w:val="1"/>
                <w:highlight w:val="none"/>
              </w:rPr>
            </w:pPr>
          </w:p>
        </w:tc>
        <w:tc>
          <w:tcPr>
            <w:tcW w:w="80" w:type="dxa"/>
            <w:vAlign w:val="bottom"/>
          </w:tcPr>
          <w:p>
            <w:pPr>
              <w:snapToGrid w:val="0"/>
              <w:spacing w:line="20" w:lineRule="exact"/>
              <w:rPr>
                <w:rFonts w:eastAsia="Times New Roman"/>
                <w:color w:val="auto"/>
                <w:sz w:val="1"/>
                <w:highlight w:val="none"/>
              </w:rPr>
            </w:pPr>
          </w:p>
        </w:tc>
      </w:tr>
      <w:tr>
        <w:tblPrEx>
          <w:tblLayout w:type="fixed"/>
          <w:tblCellMar>
            <w:top w:w="0" w:type="dxa"/>
            <w:left w:w="0" w:type="dxa"/>
            <w:bottom w:w="0" w:type="dxa"/>
            <w:right w:w="0" w:type="dxa"/>
          </w:tblCellMar>
        </w:tblPrEx>
        <w:trPr>
          <w:trHeight w:val="941" w:hRule="atLeast"/>
        </w:trPr>
        <w:tc>
          <w:tcPr>
            <w:tcW w:w="860" w:type="dxa"/>
            <w:vAlign w:val="bottom"/>
          </w:tcPr>
          <w:p>
            <w:pPr>
              <w:spacing w:line="0" w:lineRule="atLeast"/>
              <w:rPr>
                <w:color w:val="auto"/>
                <w:highlight w:val="none"/>
              </w:rPr>
            </w:pPr>
            <w:r>
              <w:rPr>
                <w:rFonts w:ascii="宋体" w:hAnsi="宋体" w:cs="宋体"/>
                <w:b/>
                <w:color w:val="auto"/>
                <w:w w:val="96"/>
                <w:sz w:val="29"/>
                <w:highlight w:val="none"/>
              </w:rPr>
              <w:t>签  订</w:t>
            </w:r>
          </w:p>
        </w:tc>
        <w:tc>
          <w:tcPr>
            <w:tcW w:w="700" w:type="dxa"/>
            <w:vAlign w:val="bottom"/>
          </w:tcPr>
          <w:p>
            <w:pPr>
              <w:spacing w:line="0" w:lineRule="atLeast"/>
              <w:ind w:left="260"/>
              <w:rPr>
                <w:color w:val="auto"/>
                <w:highlight w:val="none"/>
              </w:rPr>
            </w:pPr>
            <w:r>
              <w:rPr>
                <w:rFonts w:ascii="宋体" w:hAnsi="宋体" w:cs="宋体"/>
                <w:b/>
                <w:color w:val="auto"/>
                <w:sz w:val="29"/>
                <w:highlight w:val="none"/>
              </w:rPr>
              <w:t>日</w:t>
            </w:r>
          </w:p>
        </w:tc>
        <w:tc>
          <w:tcPr>
            <w:tcW w:w="6080" w:type="dxa"/>
            <w:gridSpan w:val="2"/>
            <w:vAlign w:val="bottom"/>
          </w:tcPr>
          <w:p>
            <w:pPr>
              <w:spacing w:line="0" w:lineRule="atLeast"/>
              <w:ind w:left="120"/>
              <w:rPr>
                <w:color w:val="auto"/>
                <w:highlight w:val="none"/>
              </w:rPr>
            </w:pPr>
            <w:r>
              <w:rPr>
                <w:rFonts w:ascii="宋体" w:hAnsi="宋体" w:cs="宋体"/>
                <w:b/>
                <w:color w:val="auto"/>
                <w:sz w:val="29"/>
                <w:highlight w:val="none"/>
              </w:rPr>
              <w:t>期：</w:t>
            </w:r>
          </w:p>
        </w:tc>
        <w:tc>
          <w:tcPr>
            <w:tcW w:w="80" w:type="dxa"/>
            <w:vAlign w:val="bottom"/>
          </w:tcPr>
          <w:p>
            <w:pPr>
              <w:snapToGrid w:val="0"/>
              <w:spacing w:line="0" w:lineRule="atLeast"/>
              <w:rPr>
                <w:rFonts w:eastAsia="Times New Roman"/>
                <w:b/>
                <w:color w:val="auto"/>
                <w:sz w:val="24"/>
                <w:highlight w:val="none"/>
              </w:rPr>
            </w:pPr>
          </w:p>
        </w:tc>
      </w:tr>
      <w:tr>
        <w:tblPrEx>
          <w:tblLayout w:type="fixed"/>
          <w:tblCellMar>
            <w:top w:w="0" w:type="dxa"/>
            <w:left w:w="0" w:type="dxa"/>
            <w:bottom w:w="0" w:type="dxa"/>
            <w:right w:w="0" w:type="dxa"/>
          </w:tblCellMar>
        </w:tblPrEx>
        <w:trPr>
          <w:trHeight w:val="23" w:hRule="atLeast"/>
        </w:trPr>
        <w:tc>
          <w:tcPr>
            <w:tcW w:w="860" w:type="dxa"/>
            <w:shd w:val="clear" w:color="auto" w:fill="auto"/>
            <w:vAlign w:val="bottom"/>
          </w:tcPr>
          <w:p>
            <w:pPr>
              <w:snapToGrid w:val="0"/>
              <w:spacing w:line="20" w:lineRule="exact"/>
              <w:rPr>
                <w:rFonts w:eastAsia="Times New Roman"/>
                <w:color w:val="auto"/>
                <w:sz w:val="1"/>
                <w:highlight w:val="none"/>
              </w:rPr>
            </w:pPr>
          </w:p>
        </w:tc>
        <w:tc>
          <w:tcPr>
            <w:tcW w:w="700" w:type="dxa"/>
            <w:shd w:val="clear" w:color="auto" w:fill="auto"/>
            <w:vAlign w:val="bottom"/>
          </w:tcPr>
          <w:p>
            <w:pPr>
              <w:snapToGrid w:val="0"/>
              <w:spacing w:line="20" w:lineRule="exact"/>
              <w:rPr>
                <w:rFonts w:eastAsia="Times New Roman"/>
                <w:color w:val="auto"/>
                <w:sz w:val="1"/>
                <w:highlight w:val="none"/>
              </w:rPr>
            </w:pPr>
          </w:p>
        </w:tc>
        <w:tc>
          <w:tcPr>
            <w:tcW w:w="460" w:type="dxa"/>
            <w:shd w:val="clear" w:color="auto" w:fill="auto"/>
            <w:vAlign w:val="bottom"/>
          </w:tcPr>
          <w:p>
            <w:pPr>
              <w:snapToGrid w:val="0"/>
              <w:spacing w:line="20" w:lineRule="exact"/>
              <w:rPr>
                <w:rFonts w:eastAsia="Times New Roman"/>
                <w:color w:val="auto"/>
                <w:sz w:val="1"/>
                <w:highlight w:val="none"/>
              </w:rPr>
            </w:pPr>
          </w:p>
        </w:tc>
        <w:tc>
          <w:tcPr>
            <w:tcW w:w="5620" w:type="dxa"/>
            <w:tcBorders>
              <w:left w:val="single" w:color="000000" w:sz="8" w:space="0"/>
            </w:tcBorders>
            <w:shd w:val="clear" w:color="auto" w:fill="000000"/>
            <w:vAlign w:val="bottom"/>
          </w:tcPr>
          <w:p>
            <w:pPr>
              <w:snapToGrid w:val="0"/>
              <w:spacing w:line="20" w:lineRule="exact"/>
              <w:rPr>
                <w:rFonts w:eastAsia="Times New Roman"/>
                <w:color w:val="auto"/>
                <w:sz w:val="1"/>
                <w:highlight w:val="none"/>
              </w:rPr>
            </w:pPr>
          </w:p>
        </w:tc>
        <w:tc>
          <w:tcPr>
            <w:tcW w:w="80" w:type="dxa"/>
            <w:tcBorders>
              <w:left w:val="single" w:color="000000" w:sz="8" w:space="0"/>
            </w:tcBorders>
            <w:shd w:val="clear" w:color="auto" w:fill="000000"/>
            <w:vAlign w:val="bottom"/>
          </w:tcPr>
          <w:p>
            <w:pPr>
              <w:snapToGrid w:val="0"/>
              <w:spacing w:line="20" w:lineRule="exact"/>
              <w:rPr>
                <w:rFonts w:eastAsia="Times New Roman"/>
                <w:color w:val="auto"/>
                <w:sz w:val="1"/>
                <w:highlight w:val="none"/>
              </w:rPr>
            </w:pPr>
          </w:p>
        </w:tc>
      </w:tr>
    </w:tbl>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173" w:lineRule="exact"/>
        <w:rPr>
          <w:rFonts w:eastAsia="Times New Roman"/>
          <w:color w:val="auto"/>
          <w:sz w:val="24"/>
          <w:highlight w:val="none"/>
        </w:rPr>
      </w:pPr>
    </w:p>
    <w:p>
      <w:pPr>
        <w:pStyle w:val="12"/>
        <w:rPr>
          <w:rFonts w:ascii="Times New Roman" w:hAnsi="Times New Roman" w:eastAsia="Times New Roman"/>
          <w:color w:val="auto"/>
          <w:sz w:val="24"/>
          <w:highlight w:val="none"/>
        </w:rPr>
      </w:pPr>
    </w:p>
    <w:p>
      <w:pPr>
        <w:pStyle w:val="12"/>
        <w:rPr>
          <w:rFonts w:ascii="Times New Roman" w:hAnsi="Times New Roman" w:eastAsia="Times New Roman"/>
          <w:color w:val="auto"/>
          <w:sz w:val="24"/>
          <w:highlight w:val="none"/>
        </w:rPr>
      </w:pPr>
    </w:p>
    <w:p>
      <w:pPr>
        <w:pStyle w:val="12"/>
        <w:rPr>
          <w:rFonts w:ascii="Times New Roman" w:hAnsi="Times New Roman" w:eastAsia="Times New Roman"/>
          <w:color w:val="auto"/>
          <w:sz w:val="24"/>
          <w:highlight w:val="none"/>
        </w:rPr>
      </w:pPr>
    </w:p>
    <w:p>
      <w:pPr>
        <w:spacing w:line="360" w:lineRule="auto"/>
        <w:ind w:left="500"/>
        <w:rPr>
          <w:color w:val="auto"/>
          <w:highlight w:val="none"/>
          <w:u w:val="single"/>
        </w:rPr>
      </w:pPr>
      <w:r>
        <w:rPr>
          <w:rFonts w:ascii="宋体" w:hAnsi="宋体" w:cs="宋体"/>
          <w:color w:val="auto"/>
          <w:sz w:val="24"/>
          <w:highlight w:val="none"/>
        </w:rPr>
        <w:t>发包人：</w:t>
      </w:r>
      <w:r>
        <w:rPr>
          <w:rFonts w:hint="eastAsia" w:ascii="宋体" w:hAnsi="宋体" w:cs="宋体"/>
          <w:color w:val="auto"/>
          <w:sz w:val="24"/>
          <w:highlight w:val="none"/>
          <w:u w:val="single"/>
        </w:rPr>
        <w:t xml:space="preserve">                                    </w:t>
      </w:r>
    </w:p>
    <w:p>
      <w:pPr>
        <w:spacing w:line="360" w:lineRule="auto"/>
        <w:ind w:left="500"/>
        <w:rPr>
          <w:color w:val="auto"/>
          <w:highlight w:val="none"/>
          <w:u w:val="single"/>
        </w:rPr>
      </w:pPr>
      <w:r>
        <w:rPr>
          <w:rFonts w:hint="eastAsia" w:ascii="宋体" w:hAnsi="宋体" w:cs="宋体"/>
          <w:color w:val="auto"/>
          <w:sz w:val="24"/>
          <w:highlight w:val="none"/>
        </w:rPr>
        <w:t>承包人</w:t>
      </w:r>
      <w:r>
        <w:rPr>
          <w:rFonts w:ascii="宋体" w:hAnsi="宋体" w:cs="宋体"/>
          <w:color w:val="auto"/>
          <w:sz w:val="24"/>
          <w:highlight w:val="none"/>
        </w:rPr>
        <w:t>：</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p>
    <w:p>
      <w:pPr>
        <w:spacing w:line="360" w:lineRule="auto"/>
        <w:ind w:firstLine="480" w:firstLineChars="200"/>
        <w:rPr>
          <w:color w:val="auto"/>
          <w:highlight w:val="none"/>
        </w:rPr>
      </w:pPr>
      <w:r>
        <w:rPr>
          <w:rFonts w:ascii="宋体" w:hAnsi="宋体" w:cs="宋体"/>
          <w:color w:val="auto"/>
          <w:sz w:val="24"/>
          <w:highlight w:val="none"/>
        </w:rPr>
        <w:t>发包人委托</w:t>
      </w:r>
      <w:r>
        <w:rPr>
          <w:rFonts w:hint="eastAsia" w:ascii="宋体" w:hAnsi="宋体" w:cs="宋体"/>
          <w:color w:val="auto"/>
          <w:sz w:val="24"/>
          <w:highlight w:val="none"/>
        </w:rPr>
        <w:t>承包人</w:t>
      </w:r>
      <w:r>
        <w:rPr>
          <w:rFonts w:ascii="宋体" w:hAnsi="宋体" w:cs="宋体"/>
          <w:color w:val="auto"/>
          <w:sz w:val="24"/>
          <w:highlight w:val="none"/>
        </w:rPr>
        <w:t>承担</w:t>
      </w:r>
      <w:r>
        <w:rPr>
          <w:rFonts w:hint="eastAsia" w:ascii="宋体" w:hAnsi="宋体" w:cs="宋体"/>
          <w:color w:val="auto"/>
          <w:sz w:val="24"/>
          <w:highlight w:val="none"/>
        </w:rPr>
        <w:t>，具体内容为：</w:t>
      </w:r>
      <w:r>
        <w:rPr>
          <w:rFonts w:hint="eastAsia" w:ascii="宋体" w:hAnsi="宋体" w:cs="宋体"/>
          <w:color w:val="auto"/>
          <w:sz w:val="24"/>
          <w:highlight w:val="none"/>
          <w:u w:val="single"/>
        </w:rPr>
        <w:t xml:space="preserve">              </w:t>
      </w:r>
      <w:r>
        <w:rPr>
          <w:rFonts w:hint="eastAsia" w:cs="宋体"/>
          <w:color w:val="auto"/>
          <w:sz w:val="24"/>
          <w:highlight w:val="none"/>
        </w:rPr>
        <w:t>；</w:t>
      </w:r>
      <w:r>
        <w:rPr>
          <w:rFonts w:ascii="宋体" w:hAnsi="宋体" w:cs="宋体"/>
          <w:color w:val="auto"/>
          <w:sz w:val="24"/>
          <w:highlight w:val="none"/>
        </w:rPr>
        <w:t>经双方协商一致，签订本合同。</w:t>
      </w:r>
    </w:p>
    <w:p>
      <w:pPr>
        <w:tabs>
          <w:tab w:val="left" w:pos="1320"/>
        </w:tabs>
        <w:spacing w:line="360" w:lineRule="auto"/>
        <w:ind w:left="500"/>
        <w:rPr>
          <w:b/>
          <w:color w:val="auto"/>
          <w:highlight w:val="none"/>
        </w:rPr>
      </w:pPr>
      <w:r>
        <w:rPr>
          <w:rFonts w:ascii="宋体" w:hAnsi="宋体" w:cs="宋体"/>
          <w:b/>
          <w:color w:val="auto"/>
          <w:sz w:val="24"/>
          <w:highlight w:val="none"/>
        </w:rPr>
        <w:t>第一条</w:t>
      </w:r>
      <w:r>
        <w:rPr>
          <w:rFonts w:eastAsia="Times New Roman"/>
          <w:b/>
          <w:color w:val="auto"/>
          <w:sz w:val="24"/>
          <w:highlight w:val="none"/>
        </w:rPr>
        <w:tab/>
      </w:r>
      <w:r>
        <w:rPr>
          <w:rFonts w:ascii="宋体" w:hAnsi="宋体" w:cs="宋体"/>
          <w:b/>
          <w:color w:val="auto"/>
          <w:sz w:val="24"/>
          <w:highlight w:val="none"/>
        </w:rPr>
        <w:t>本合同依据下列文件签订：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.《中华人民共和国合同法》、《中华人民共和国建筑法》和《建设工程勘察设计市场管理规定》。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.国家及地方有关建设工程咨询管理法规和规章。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.建设工程批准文件。</w:t>
      </w:r>
    </w:p>
    <w:p>
      <w:pPr>
        <w:tabs>
          <w:tab w:val="left" w:pos="1320"/>
        </w:tabs>
        <w:spacing w:line="360" w:lineRule="auto"/>
        <w:ind w:left="500"/>
        <w:rPr>
          <w:b/>
          <w:color w:val="auto"/>
          <w:highlight w:val="none"/>
        </w:rPr>
      </w:pPr>
      <w:r>
        <w:rPr>
          <w:rFonts w:ascii="宋体" w:hAnsi="宋体" w:cs="宋体"/>
          <w:b/>
          <w:color w:val="auto"/>
          <w:sz w:val="24"/>
          <w:highlight w:val="none"/>
        </w:rPr>
        <w:t>第二条</w:t>
      </w:r>
      <w:r>
        <w:rPr>
          <w:rFonts w:eastAsia="Times New Roman"/>
          <w:b/>
          <w:color w:val="auto"/>
          <w:sz w:val="24"/>
          <w:highlight w:val="none"/>
        </w:rPr>
        <w:tab/>
      </w:r>
      <w:r>
        <w:rPr>
          <w:rFonts w:ascii="宋体" w:hAnsi="宋体" w:cs="宋体"/>
          <w:b/>
          <w:color w:val="auto"/>
          <w:sz w:val="24"/>
          <w:highlight w:val="none"/>
        </w:rPr>
        <w:t>本合同咨询项目的内容：名称、规模、阶段、投资等见下表。</w:t>
      </w:r>
    </w:p>
    <w:p>
      <w:pPr>
        <w:spacing w:line="360" w:lineRule="auto"/>
        <w:ind w:left="500"/>
        <w:rPr>
          <w:rFonts w:ascii="宋体" w:hAnsi="宋体" w:cs="宋体"/>
          <w:color w:val="auto"/>
          <w:sz w:val="24"/>
          <w:highlight w:val="none"/>
          <w:u w:val="single"/>
        </w:rPr>
      </w:pPr>
      <w:r>
        <w:rPr>
          <w:rFonts w:ascii="宋体" w:hAnsi="宋体" w:cs="宋体"/>
          <w:color w:val="auto"/>
          <w:sz w:val="24"/>
          <w:highlight w:val="none"/>
        </w:rPr>
        <w:t>名称：</w:t>
      </w:r>
    </w:p>
    <w:p>
      <w:pPr>
        <w:spacing w:line="360" w:lineRule="auto"/>
        <w:ind w:firstLine="480" w:firstLineChars="200"/>
        <w:rPr>
          <w:color w:val="auto"/>
          <w:highlight w:val="none"/>
        </w:rPr>
      </w:pPr>
      <w:r>
        <w:rPr>
          <w:rFonts w:ascii="宋体" w:hAnsi="宋体" w:cs="宋体"/>
          <w:color w:val="auto"/>
          <w:sz w:val="24"/>
          <w:highlight w:val="none"/>
        </w:rPr>
        <w:t>规模：</w:t>
      </w:r>
    </w:p>
    <w:p>
      <w:pPr>
        <w:spacing w:line="360" w:lineRule="auto"/>
        <w:ind w:left="500"/>
        <w:rPr>
          <w:color w:val="auto"/>
          <w:highlight w:val="none"/>
          <w:u w:val="single"/>
        </w:rPr>
      </w:pPr>
      <w:r>
        <w:rPr>
          <w:rFonts w:ascii="宋体" w:hAnsi="宋体" w:cs="宋体"/>
          <w:color w:val="auto"/>
          <w:sz w:val="24"/>
          <w:highlight w:val="none"/>
        </w:rPr>
        <w:t>阶段：</w:t>
      </w:r>
      <w:r>
        <w:rPr>
          <w:rFonts w:hint="eastAsia" w:cs="宋体"/>
          <w:color w:val="auto"/>
          <w:sz w:val="24"/>
          <w:highlight w:val="none"/>
          <w:u w:val="single"/>
        </w:rPr>
        <w:t>立项阶段</w:t>
      </w:r>
    </w:p>
    <w:p>
      <w:pPr>
        <w:tabs>
          <w:tab w:val="left" w:pos="1320"/>
        </w:tabs>
        <w:spacing w:line="360" w:lineRule="auto"/>
        <w:ind w:left="500"/>
        <w:rPr>
          <w:rFonts w:ascii="宋体" w:hAnsi="宋体" w:cs="宋体"/>
          <w:b/>
          <w:color w:val="auto"/>
          <w:sz w:val="24"/>
          <w:highlight w:val="none"/>
        </w:rPr>
      </w:pPr>
      <w:r>
        <w:rPr>
          <w:rFonts w:ascii="宋体" w:hAnsi="宋体" w:cs="宋体"/>
          <w:b/>
          <w:color w:val="auto"/>
          <w:sz w:val="24"/>
          <w:highlight w:val="none"/>
        </w:rPr>
        <w:t>第三条</w:t>
      </w:r>
      <w:r>
        <w:rPr>
          <w:rFonts w:eastAsia="Times New Roman"/>
          <w:b/>
          <w:color w:val="auto"/>
          <w:sz w:val="24"/>
          <w:highlight w:val="none"/>
        </w:rPr>
        <w:tab/>
      </w:r>
      <w:r>
        <w:rPr>
          <w:rFonts w:ascii="宋体" w:hAnsi="宋体" w:cs="宋体"/>
          <w:b/>
          <w:color w:val="auto"/>
          <w:sz w:val="24"/>
          <w:highlight w:val="none"/>
        </w:rPr>
        <w:t>发包人协助</w:t>
      </w:r>
      <w:r>
        <w:rPr>
          <w:rFonts w:hint="eastAsia" w:ascii="宋体" w:hAnsi="宋体" w:cs="宋体"/>
          <w:b/>
          <w:color w:val="auto"/>
          <w:sz w:val="24"/>
          <w:highlight w:val="none"/>
        </w:rPr>
        <w:t>承包人</w:t>
      </w:r>
      <w:r>
        <w:rPr>
          <w:rFonts w:ascii="宋体" w:hAnsi="宋体" w:cs="宋体"/>
          <w:b/>
          <w:color w:val="auto"/>
          <w:sz w:val="24"/>
          <w:highlight w:val="none"/>
        </w:rPr>
        <w:t>收集有关资料及文件。</w:t>
      </w:r>
    </w:p>
    <w:p>
      <w:pPr>
        <w:spacing w:line="360" w:lineRule="auto"/>
        <w:ind w:firstLine="480" w:firstLineChars="200"/>
        <w:rPr>
          <w:rFonts w:ascii="宋体" w:hAnsi="宋体" w:cs="宋体"/>
          <w:color w:val="auto"/>
          <w:sz w:val="24"/>
          <w:highlight w:val="none"/>
        </w:rPr>
      </w:pPr>
      <w:bookmarkStart w:id="312" w:name="_Hlk21530392"/>
      <w:r>
        <w:rPr>
          <w:rFonts w:ascii="宋体" w:hAnsi="宋体" w:cs="宋体"/>
          <w:color w:val="auto"/>
          <w:sz w:val="24"/>
          <w:highlight w:val="none"/>
        </w:rPr>
        <w:t>1</w:t>
      </w:r>
      <w:r>
        <w:rPr>
          <w:rFonts w:hint="eastAsia" w:ascii="宋体" w:hAnsi="宋体" w:cs="宋体"/>
          <w:color w:val="auto"/>
          <w:sz w:val="24"/>
          <w:highlight w:val="none"/>
        </w:rPr>
        <w:t>．发包人需提供相关有效规划及批复等。</w:t>
      </w:r>
    </w:p>
    <w:bookmarkEnd w:id="312"/>
    <w:p>
      <w:pPr>
        <w:pStyle w:val="28"/>
        <w:rPr>
          <w:color w:val="auto"/>
          <w:highlight w:val="none"/>
        </w:rPr>
      </w:pPr>
    </w:p>
    <w:p>
      <w:pPr>
        <w:tabs>
          <w:tab w:val="left" w:pos="1320"/>
        </w:tabs>
        <w:spacing w:line="360" w:lineRule="auto"/>
        <w:ind w:left="500"/>
        <w:rPr>
          <w:b/>
          <w:color w:val="auto"/>
          <w:highlight w:val="none"/>
        </w:rPr>
      </w:pPr>
      <w:r>
        <w:rPr>
          <w:rFonts w:ascii="宋体" w:hAnsi="宋体" w:cs="宋体"/>
          <w:b/>
          <w:color w:val="auto"/>
          <w:sz w:val="24"/>
          <w:highlight w:val="none"/>
        </w:rPr>
        <w:t>第四条</w:t>
      </w:r>
      <w:r>
        <w:rPr>
          <w:rFonts w:eastAsia="Times New Roman"/>
          <w:b/>
          <w:color w:val="auto"/>
          <w:sz w:val="24"/>
          <w:highlight w:val="none"/>
        </w:rPr>
        <w:tab/>
      </w:r>
      <w:r>
        <w:rPr>
          <w:rFonts w:hint="eastAsia" w:ascii="宋体" w:hAnsi="宋体" w:cs="宋体"/>
          <w:b/>
          <w:color w:val="auto"/>
          <w:sz w:val="24"/>
          <w:highlight w:val="none"/>
        </w:rPr>
        <w:t>承包人</w:t>
      </w:r>
      <w:r>
        <w:rPr>
          <w:rFonts w:ascii="宋体" w:hAnsi="宋体" w:cs="宋体"/>
          <w:b/>
          <w:color w:val="auto"/>
          <w:sz w:val="24"/>
          <w:highlight w:val="none"/>
        </w:rPr>
        <w:t>向发包人交付的咨询成果文件。</w:t>
      </w:r>
    </w:p>
    <w:tbl>
      <w:tblPr>
        <w:tblStyle w:val="20"/>
        <w:tblW w:w="9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8"/>
        <w:gridCol w:w="3533"/>
        <w:gridCol w:w="1049"/>
        <w:gridCol w:w="208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5" w:hRule="atLeast"/>
        </w:trPr>
        <w:tc>
          <w:tcPr>
            <w:tcW w:w="1048" w:type="dxa"/>
            <w:shd w:val="clear" w:color="auto" w:fill="auto"/>
            <w:vAlign w:val="center"/>
          </w:tcPr>
          <w:p>
            <w:pPr>
              <w:snapToGrid w:val="0"/>
              <w:spacing w:line="360" w:lineRule="auto"/>
              <w:jc w:val="center"/>
              <w:rPr>
                <w:color w:val="auto"/>
                <w:highlight w:val="none"/>
              </w:rPr>
            </w:pPr>
            <w:r>
              <w:rPr>
                <w:color w:val="auto"/>
                <w:highlight w:val="none"/>
              </w:rPr>
              <w:t>序号</w:t>
            </w:r>
          </w:p>
        </w:tc>
        <w:tc>
          <w:tcPr>
            <w:tcW w:w="3533" w:type="dxa"/>
            <w:vAlign w:val="center"/>
          </w:tcPr>
          <w:p>
            <w:pPr>
              <w:spacing w:line="360" w:lineRule="auto"/>
              <w:ind w:left="960"/>
              <w:jc w:val="center"/>
              <w:rPr>
                <w:color w:val="auto"/>
                <w:highlight w:val="none"/>
              </w:rPr>
            </w:pPr>
            <w:r>
              <w:rPr>
                <w:color w:val="auto"/>
                <w:highlight w:val="none"/>
              </w:rPr>
              <w:t>资料及文件名称</w:t>
            </w:r>
          </w:p>
        </w:tc>
        <w:tc>
          <w:tcPr>
            <w:tcW w:w="1049" w:type="dxa"/>
            <w:vAlign w:val="center"/>
          </w:tcPr>
          <w:p>
            <w:pPr>
              <w:spacing w:line="360" w:lineRule="auto"/>
              <w:jc w:val="center"/>
              <w:rPr>
                <w:color w:val="auto"/>
                <w:highlight w:val="none"/>
              </w:rPr>
            </w:pPr>
            <w:r>
              <w:rPr>
                <w:color w:val="auto"/>
                <w:highlight w:val="none"/>
              </w:rPr>
              <w:t>份数</w:t>
            </w:r>
          </w:p>
        </w:tc>
        <w:tc>
          <w:tcPr>
            <w:tcW w:w="2081" w:type="dxa"/>
            <w:vAlign w:val="center"/>
          </w:tcPr>
          <w:p>
            <w:pPr>
              <w:spacing w:line="360" w:lineRule="auto"/>
              <w:ind w:left="160"/>
              <w:jc w:val="center"/>
              <w:rPr>
                <w:color w:val="auto"/>
                <w:highlight w:val="none"/>
              </w:rPr>
            </w:pPr>
            <w:r>
              <w:rPr>
                <w:color w:val="auto"/>
                <w:highlight w:val="none"/>
              </w:rPr>
              <w:t>提交日期</w:t>
            </w:r>
          </w:p>
        </w:tc>
        <w:tc>
          <w:tcPr>
            <w:tcW w:w="1792" w:type="dxa"/>
            <w:vAlign w:val="center"/>
          </w:tcPr>
          <w:p>
            <w:pPr>
              <w:spacing w:line="360" w:lineRule="auto"/>
              <w:ind w:left="240"/>
              <w:jc w:val="center"/>
              <w:rPr>
                <w:color w:val="auto"/>
                <w:highlight w:val="none"/>
              </w:rPr>
            </w:pPr>
            <w:r>
              <w:rPr>
                <w:color w:val="auto"/>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6" w:hRule="atLeast"/>
        </w:trPr>
        <w:tc>
          <w:tcPr>
            <w:tcW w:w="1048" w:type="dxa"/>
            <w:shd w:val="clear" w:color="auto" w:fill="auto"/>
            <w:vAlign w:val="center"/>
          </w:tcPr>
          <w:p>
            <w:pPr>
              <w:snapToGrid w:val="0"/>
              <w:spacing w:line="360" w:lineRule="auto"/>
              <w:jc w:val="center"/>
              <w:rPr>
                <w:color w:val="auto"/>
                <w:highlight w:val="none"/>
              </w:rPr>
            </w:pPr>
            <w:r>
              <w:rPr>
                <w:color w:val="auto"/>
                <w:highlight w:val="none"/>
              </w:rPr>
              <w:t>1</w:t>
            </w:r>
          </w:p>
        </w:tc>
        <w:tc>
          <w:tcPr>
            <w:tcW w:w="3533" w:type="dxa"/>
            <w:vAlign w:val="center"/>
          </w:tcPr>
          <w:p>
            <w:pPr>
              <w:spacing w:line="360" w:lineRule="auto"/>
              <w:ind w:left="40"/>
              <w:jc w:val="center"/>
              <w:rPr>
                <w:color w:val="auto"/>
                <w:highlight w:val="none"/>
              </w:rPr>
            </w:pPr>
          </w:p>
        </w:tc>
        <w:tc>
          <w:tcPr>
            <w:tcW w:w="1049" w:type="dxa"/>
            <w:vAlign w:val="center"/>
          </w:tcPr>
          <w:p>
            <w:pPr>
              <w:spacing w:line="360" w:lineRule="auto"/>
              <w:jc w:val="center"/>
              <w:rPr>
                <w:color w:val="auto"/>
                <w:highlight w:val="none"/>
              </w:rPr>
            </w:pPr>
            <w:r>
              <w:rPr>
                <w:rFonts w:hint="eastAsia"/>
                <w:color w:val="auto"/>
                <w:highlight w:val="none"/>
              </w:rPr>
              <w:t>4</w:t>
            </w:r>
          </w:p>
        </w:tc>
        <w:tc>
          <w:tcPr>
            <w:tcW w:w="2081" w:type="dxa"/>
            <w:vAlign w:val="center"/>
          </w:tcPr>
          <w:p>
            <w:pPr>
              <w:spacing w:line="360" w:lineRule="auto"/>
              <w:ind w:left="40"/>
              <w:jc w:val="center"/>
              <w:rPr>
                <w:color w:val="auto"/>
                <w:highlight w:val="none"/>
              </w:rPr>
            </w:pPr>
            <w:r>
              <w:rPr>
                <w:color w:val="auto"/>
                <w:highlight w:val="none"/>
              </w:rPr>
              <w:t>签订合同后</w:t>
            </w:r>
            <w:r>
              <w:rPr>
                <w:rFonts w:hint="eastAsia"/>
                <w:color w:val="auto"/>
                <w:highlight w:val="none"/>
              </w:rPr>
              <w:t xml:space="preserve">  </w:t>
            </w:r>
            <w:r>
              <w:rPr>
                <w:color w:val="auto"/>
                <w:highlight w:val="none"/>
              </w:rPr>
              <w:t>天内</w:t>
            </w:r>
          </w:p>
        </w:tc>
        <w:tc>
          <w:tcPr>
            <w:tcW w:w="1792" w:type="dxa"/>
            <w:vAlign w:val="center"/>
          </w:tcPr>
          <w:p>
            <w:pPr>
              <w:snapToGrid w:val="0"/>
              <w:spacing w:line="360" w:lineRule="auto"/>
              <w:jc w:val="center"/>
              <w:rPr>
                <w:color w:val="auto"/>
                <w:highlight w:val="none"/>
              </w:rPr>
            </w:pPr>
            <w:r>
              <w:rPr>
                <w:color w:val="auto"/>
                <w:highlight w:val="none"/>
              </w:rPr>
              <w:t>同时提交电子版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1" w:hRule="atLeast"/>
        </w:trPr>
        <w:tc>
          <w:tcPr>
            <w:tcW w:w="1048" w:type="dxa"/>
            <w:shd w:val="clear" w:color="auto" w:fill="auto"/>
            <w:vAlign w:val="center"/>
          </w:tcPr>
          <w:p>
            <w:pPr>
              <w:snapToGrid w:val="0"/>
              <w:spacing w:line="360" w:lineRule="auto"/>
              <w:jc w:val="center"/>
              <w:rPr>
                <w:color w:val="auto"/>
                <w:highlight w:val="none"/>
              </w:rPr>
            </w:pPr>
          </w:p>
        </w:tc>
        <w:tc>
          <w:tcPr>
            <w:tcW w:w="3533" w:type="dxa"/>
            <w:vAlign w:val="center"/>
          </w:tcPr>
          <w:p>
            <w:pPr>
              <w:spacing w:line="360" w:lineRule="auto"/>
              <w:ind w:left="40"/>
              <w:jc w:val="center"/>
              <w:rPr>
                <w:color w:val="auto"/>
                <w:highlight w:val="none"/>
              </w:rPr>
            </w:pPr>
          </w:p>
        </w:tc>
        <w:tc>
          <w:tcPr>
            <w:tcW w:w="1049" w:type="dxa"/>
            <w:vAlign w:val="center"/>
          </w:tcPr>
          <w:p>
            <w:pPr>
              <w:spacing w:line="360" w:lineRule="auto"/>
              <w:jc w:val="center"/>
              <w:rPr>
                <w:color w:val="auto"/>
                <w:highlight w:val="none"/>
              </w:rPr>
            </w:pPr>
          </w:p>
        </w:tc>
        <w:tc>
          <w:tcPr>
            <w:tcW w:w="2081" w:type="dxa"/>
            <w:vAlign w:val="center"/>
          </w:tcPr>
          <w:p>
            <w:pPr>
              <w:spacing w:line="360" w:lineRule="auto"/>
              <w:ind w:left="40"/>
              <w:jc w:val="center"/>
              <w:rPr>
                <w:color w:val="auto"/>
                <w:highlight w:val="none"/>
              </w:rPr>
            </w:pPr>
          </w:p>
        </w:tc>
        <w:tc>
          <w:tcPr>
            <w:tcW w:w="1792" w:type="dxa"/>
            <w:vAlign w:val="center"/>
          </w:tcPr>
          <w:p>
            <w:pPr>
              <w:spacing w:line="360" w:lineRule="auto"/>
              <w:ind w:left="2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2" w:hRule="atLeast"/>
        </w:trPr>
        <w:tc>
          <w:tcPr>
            <w:tcW w:w="1048" w:type="dxa"/>
            <w:shd w:val="clear" w:color="auto" w:fill="auto"/>
            <w:vAlign w:val="center"/>
          </w:tcPr>
          <w:p>
            <w:pPr>
              <w:snapToGrid w:val="0"/>
              <w:spacing w:line="360" w:lineRule="auto"/>
              <w:jc w:val="center"/>
              <w:rPr>
                <w:color w:val="auto"/>
                <w:highlight w:val="none"/>
              </w:rPr>
            </w:pPr>
          </w:p>
        </w:tc>
        <w:tc>
          <w:tcPr>
            <w:tcW w:w="3533" w:type="dxa"/>
            <w:vAlign w:val="center"/>
          </w:tcPr>
          <w:p>
            <w:pPr>
              <w:snapToGrid w:val="0"/>
              <w:spacing w:line="360" w:lineRule="auto"/>
              <w:jc w:val="center"/>
              <w:rPr>
                <w:color w:val="auto"/>
                <w:highlight w:val="none"/>
              </w:rPr>
            </w:pPr>
          </w:p>
        </w:tc>
        <w:tc>
          <w:tcPr>
            <w:tcW w:w="1049" w:type="dxa"/>
            <w:vAlign w:val="center"/>
          </w:tcPr>
          <w:p>
            <w:pPr>
              <w:spacing w:line="360" w:lineRule="auto"/>
              <w:jc w:val="center"/>
              <w:rPr>
                <w:color w:val="auto"/>
                <w:highlight w:val="none"/>
              </w:rPr>
            </w:pPr>
          </w:p>
        </w:tc>
        <w:tc>
          <w:tcPr>
            <w:tcW w:w="2081" w:type="dxa"/>
            <w:vAlign w:val="center"/>
          </w:tcPr>
          <w:p>
            <w:pPr>
              <w:snapToGrid w:val="0"/>
              <w:spacing w:line="360" w:lineRule="auto"/>
              <w:jc w:val="center"/>
              <w:rPr>
                <w:color w:val="auto"/>
                <w:w w:val="94"/>
                <w:highlight w:val="none"/>
              </w:rPr>
            </w:pPr>
          </w:p>
        </w:tc>
        <w:tc>
          <w:tcPr>
            <w:tcW w:w="1792" w:type="dxa"/>
            <w:vAlign w:val="center"/>
          </w:tcPr>
          <w:p>
            <w:pPr>
              <w:snapToGrid w:val="0"/>
              <w:spacing w:line="360" w:lineRule="auto"/>
              <w:jc w:val="center"/>
              <w:rPr>
                <w:color w:val="auto"/>
                <w:highlight w:val="none"/>
              </w:rPr>
            </w:pPr>
          </w:p>
        </w:tc>
      </w:tr>
    </w:tbl>
    <w:p>
      <w:pPr>
        <w:tabs>
          <w:tab w:val="left" w:pos="1980"/>
        </w:tabs>
        <w:autoSpaceDE w:val="0"/>
        <w:autoSpaceDN w:val="0"/>
        <w:spacing w:line="360" w:lineRule="auto"/>
        <w:ind w:left="542"/>
        <w:jc w:val="left"/>
        <w:rPr>
          <w:rFonts w:ascii="宋体" w:hAnsi="宋体" w:cs="宋体"/>
          <w:b/>
          <w:bCs/>
          <w:color w:val="auto"/>
          <w:kern w:val="0"/>
          <w:sz w:val="24"/>
          <w:highlight w:val="none"/>
          <w:lang w:val="zh-CN" w:bidi="zh-CN"/>
        </w:rPr>
      </w:pPr>
      <w:r>
        <w:rPr>
          <w:rFonts w:hint="eastAsia" w:ascii="宋体" w:hAnsi="宋体" w:cs="宋体"/>
          <w:b/>
          <w:color w:val="auto"/>
          <w:kern w:val="0"/>
          <w:sz w:val="24"/>
          <w:highlight w:val="none"/>
          <w:lang w:val="zh-CN" w:bidi="zh-CN"/>
        </w:rPr>
        <w:t>第</w:t>
      </w:r>
      <w:r>
        <w:rPr>
          <w:rFonts w:hint="eastAsia" w:cs="宋体"/>
          <w:b/>
          <w:color w:val="auto"/>
          <w:kern w:val="0"/>
          <w:sz w:val="24"/>
          <w:highlight w:val="none"/>
          <w:lang w:bidi="zh-CN"/>
        </w:rPr>
        <w:t>五</w:t>
      </w:r>
      <w:r>
        <w:rPr>
          <w:rFonts w:hint="eastAsia" w:ascii="宋体" w:hAnsi="宋体" w:cs="宋体"/>
          <w:b/>
          <w:color w:val="auto"/>
          <w:kern w:val="0"/>
          <w:sz w:val="24"/>
          <w:highlight w:val="none"/>
          <w:lang w:val="zh-CN" w:bidi="zh-CN"/>
        </w:rPr>
        <w:t>条  项目咨询费用</w:t>
      </w:r>
    </w:p>
    <w:p>
      <w:pPr>
        <w:tabs>
          <w:tab w:val="left" w:pos="1980"/>
        </w:tabs>
        <w:autoSpaceDE w:val="0"/>
        <w:autoSpaceDN w:val="0"/>
        <w:spacing w:line="360" w:lineRule="auto"/>
        <w:ind w:firstLine="566" w:firstLineChars="236"/>
        <w:jc w:val="left"/>
        <w:rPr>
          <w:rFonts w:ascii="宋体" w:hAnsi="宋体" w:cs="宋体"/>
          <w:color w:val="auto"/>
          <w:kern w:val="0"/>
          <w:sz w:val="24"/>
          <w:highlight w:val="none"/>
          <w:lang w:val="zh-CN" w:bidi="zh-CN"/>
        </w:rPr>
      </w:pPr>
      <w:r>
        <w:rPr>
          <w:rFonts w:hint="eastAsia" w:ascii="宋体" w:hAnsi="宋体" w:cs="宋体"/>
          <w:color w:val="auto"/>
          <w:kern w:val="0"/>
          <w:sz w:val="24"/>
          <w:highlight w:val="none"/>
          <w:lang w:val="zh-CN" w:bidi="zh-CN"/>
        </w:rPr>
        <w:t>合同咨询费总额（</w:t>
      </w:r>
      <w:r>
        <w:rPr>
          <w:rFonts w:hint="eastAsia" w:cs="宋体"/>
          <w:color w:val="auto"/>
          <w:kern w:val="0"/>
          <w:sz w:val="24"/>
          <w:highlight w:val="none"/>
          <w:lang w:bidi="zh-CN"/>
        </w:rPr>
        <w:t>包干价</w:t>
      </w:r>
      <w:r>
        <w:rPr>
          <w:rFonts w:hint="eastAsia" w:ascii="宋体" w:hAnsi="宋体" w:cs="宋体"/>
          <w:color w:val="auto"/>
          <w:kern w:val="0"/>
          <w:sz w:val="24"/>
          <w:highlight w:val="none"/>
          <w:lang w:val="zh-CN" w:bidi="zh-CN"/>
        </w:rPr>
        <w:t>）为人民币</w:t>
      </w:r>
      <w:r>
        <w:rPr>
          <w:rFonts w:hint="eastAsia" w:ascii="宋体" w:hAnsi="宋体" w:cs="宋体"/>
          <w:color w:val="auto"/>
          <w:kern w:val="0"/>
          <w:sz w:val="24"/>
          <w:highlight w:val="none"/>
          <w:u w:val="single"/>
          <w:lang w:bidi="zh-CN"/>
        </w:rPr>
        <w:t xml:space="preserve">      </w:t>
      </w:r>
      <w:r>
        <w:rPr>
          <w:rFonts w:hint="eastAsia" w:ascii="宋体" w:hAnsi="宋体" w:cs="宋体"/>
          <w:color w:val="auto"/>
          <w:kern w:val="0"/>
          <w:sz w:val="24"/>
          <w:highlight w:val="none"/>
          <w:lang w:val="zh-CN" w:bidi="zh-CN"/>
        </w:rPr>
        <w:t>万元（大写</w:t>
      </w:r>
      <w:r>
        <w:rPr>
          <w:rFonts w:hint="eastAsia" w:ascii="宋体" w:hAnsi="宋体" w:cs="宋体"/>
          <w:color w:val="auto"/>
          <w:kern w:val="0"/>
          <w:sz w:val="24"/>
          <w:highlight w:val="none"/>
          <w:u w:val="single"/>
          <w:lang w:bidi="zh-CN"/>
        </w:rPr>
        <w:t xml:space="preserve">      </w:t>
      </w:r>
      <w:r>
        <w:rPr>
          <w:rFonts w:hint="eastAsia" w:ascii="宋体" w:hAnsi="宋体" w:cs="宋体"/>
          <w:color w:val="auto"/>
          <w:kern w:val="0"/>
          <w:sz w:val="24"/>
          <w:highlight w:val="none"/>
          <w:lang w:val="zh-CN" w:bidi="zh-CN"/>
        </w:rPr>
        <w:t>万圆整）。乙方确认，除本合同明确约定需由甲方承担的费用外，甲方无需就乙方完成本项目再向乙方支付或承担任何其他费用。</w:t>
      </w:r>
    </w:p>
    <w:p>
      <w:pPr>
        <w:tabs>
          <w:tab w:val="left" w:pos="1980"/>
        </w:tabs>
        <w:autoSpaceDE w:val="0"/>
        <w:autoSpaceDN w:val="0"/>
        <w:spacing w:line="360" w:lineRule="auto"/>
        <w:ind w:left="542"/>
        <w:jc w:val="left"/>
        <w:rPr>
          <w:rFonts w:ascii="宋体" w:hAnsi="宋体" w:cs="宋体"/>
          <w:b/>
          <w:color w:val="auto"/>
          <w:kern w:val="0"/>
          <w:sz w:val="24"/>
          <w:highlight w:val="none"/>
          <w:lang w:val="zh-CN" w:bidi="zh-CN"/>
        </w:rPr>
      </w:pPr>
      <w:r>
        <w:rPr>
          <w:rFonts w:hint="eastAsia" w:ascii="宋体" w:hAnsi="宋体" w:cs="宋体"/>
          <w:b/>
          <w:color w:val="auto"/>
          <w:kern w:val="0"/>
          <w:sz w:val="24"/>
          <w:highlight w:val="none"/>
          <w:lang w:val="zh-CN" w:bidi="zh-CN"/>
        </w:rPr>
        <w:t>第</w:t>
      </w:r>
      <w:r>
        <w:rPr>
          <w:rFonts w:hint="eastAsia" w:cs="宋体"/>
          <w:b/>
          <w:color w:val="auto"/>
          <w:kern w:val="0"/>
          <w:sz w:val="24"/>
          <w:highlight w:val="none"/>
          <w:lang w:bidi="zh-CN"/>
        </w:rPr>
        <w:t>六</w:t>
      </w:r>
      <w:r>
        <w:rPr>
          <w:rFonts w:hint="eastAsia" w:ascii="宋体" w:hAnsi="宋体" w:cs="宋体"/>
          <w:b/>
          <w:color w:val="auto"/>
          <w:kern w:val="0"/>
          <w:sz w:val="24"/>
          <w:highlight w:val="none"/>
          <w:lang w:val="zh-CN" w:bidi="zh-CN"/>
        </w:rPr>
        <w:t>条  付款</w:t>
      </w:r>
      <w:r>
        <w:rPr>
          <w:rFonts w:hint="eastAsia" w:cs="宋体"/>
          <w:b/>
          <w:color w:val="auto"/>
          <w:kern w:val="0"/>
          <w:sz w:val="24"/>
          <w:highlight w:val="none"/>
          <w:lang w:bidi="zh-CN"/>
        </w:rPr>
        <w:t>方式</w:t>
      </w:r>
    </w:p>
    <w:p>
      <w:pPr>
        <w:tabs>
          <w:tab w:val="left" w:pos="1134"/>
        </w:tabs>
        <w:autoSpaceDE w:val="0"/>
        <w:autoSpaceDN w:val="0"/>
        <w:spacing w:line="360" w:lineRule="auto"/>
        <w:ind w:firstLine="480" w:firstLineChars="200"/>
        <w:jc w:val="left"/>
        <w:rPr>
          <w:rFonts w:ascii="宋体" w:hAnsi="宋体" w:cs="宋体"/>
          <w:color w:val="auto"/>
          <w:kern w:val="0"/>
          <w:sz w:val="24"/>
          <w:highlight w:val="none"/>
          <w:lang w:val="zh-CN" w:bidi="zh-CN"/>
        </w:rPr>
      </w:pPr>
      <w:bookmarkStart w:id="313" w:name="_Hlk21530595"/>
      <w:r>
        <w:rPr>
          <w:rFonts w:hint="eastAsia" w:ascii="宋体" w:hAnsi="宋体" w:cs="宋体"/>
          <w:color w:val="auto"/>
          <w:kern w:val="0"/>
          <w:sz w:val="24"/>
          <w:highlight w:val="none"/>
          <w:lang w:val="zh-CN" w:bidi="zh-CN"/>
        </w:rPr>
        <w:t>（1）本合同价款采用费用包干合同方式确定。</w:t>
      </w:r>
    </w:p>
    <w:p>
      <w:pPr>
        <w:tabs>
          <w:tab w:val="left" w:pos="1134"/>
        </w:tabs>
        <w:autoSpaceDE w:val="0"/>
        <w:autoSpaceDN w:val="0"/>
        <w:spacing w:line="360" w:lineRule="auto"/>
        <w:ind w:firstLine="480" w:firstLineChars="200"/>
        <w:jc w:val="left"/>
        <w:rPr>
          <w:rFonts w:ascii="宋体" w:hAnsi="宋体" w:cs="宋体"/>
          <w:color w:val="auto"/>
          <w:kern w:val="0"/>
          <w:sz w:val="24"/>
          <w:highlight w:val="none"/>
          <w:lang w:val="zh-CN" w:bidi="zh-CN"/>
        </w:rPr>
      </w:pPr>
      <w:r>
        <w:rPr>
          <w:rFonts w:hint="eastAsia" w:ascii="宋体" w:hAnsi="宋体" w:cs="宋体"/>
          <w:color w:val="auto"/>
          <w:kern w:val="0"/>
          <w:sz w:val="24"/>
          <w:highlight w:val="none"/>
          <w:lang w:val="zh-CN" w:bidi="zh-CN"/>
        </w:rPr>
        <w:t>（2）签订合同生效之日起 10个工作日内，采购人向中标人支付合同总价的 70%， 作为预付款；至2020年11月30日前采购人再支付合同总价的25%进度款；中标人按要求完成项目成果，并提交采购人验收通过后，7个工作日内，采购人支付合同总价的5%。</w:t>
      </w:r>
    </w:p>
    <w:bookmarkEnd w:id="313"/>
    <w:p>
      <w:pPr>
        <w:tabs>
          <w:tab w:val="left" w:pos="1980"/>
        </w:tabs>
        <w:autoSpaceDE w:val="0"/>
        <w:autoSpaceDN w:val="0"/>
        <w:spacing w:line="360" w:lineRule="auto"/>
        <w:ind w:left="542"/>
        <w:jc w:val="left"/>
        <w:rPr>
          <w:rFonts w:ascii="宋体" w:hAnsi="宋体" w:cs="宋体"/>
          <w:b/>
          <w:color w:val="auto"/>
          <w:kern w:val="0"/>
          <w:sz w:val="24"/>
          <w:highlight w:val="none"/>
          <w:lang w:bidi="zh-CN"/>
        </w:rPr>
      </w:pPr>
      <w:r>
        <w:rPr>
          <w:rFonts w:hint="eastAsia" w:ascii="宋体" w:hAnsi="宋体" w:cs="宋体"/>
          <w:b/>
          <w:color w:val="auto"/>
          <w:kern w:val="0"/>
          <w:sz w:val="24"/>
          <w:highlight w:val="none"/>
          <w:lang w:bidi="zh-CN"/>
        </w:rPr>
        <w:t>第七条  双方责任</w:t>
      </w:r>
    </w:p>
    <w:p>
      <w:pPr>
        <w:tabs>
          <w:tab w:val="left" w:pos="1000"/>
        </w:tabs>
        <w:spacing w:line="360" w:lineRule="auto"/>
        <w:ind w:firstLine="499" w:firstLineChars="207"/>
        <w:rPr>
          <w:color w:val="auto"/>
          <w:highlight w:val="none"/>
        </w:rPr>
      </w:pPr>
      <w:bookmarkStart w:id="314" w:name="_Hlk21529115"/>
      <w:r>
        <w:rPr>
          <w:rFonts w:hint="eastAsia" w:cs="宋体"/>
          <w:b/>
          <w:color w:val="auto"/>
          <w:sz w:val="24"/>
          <w:highlight w:val="none"/>
        </w:rPr>
        <w:t>7</w:t>
      </w:r>
      <w:r>
        <w:rPr>
          <w:rFonts w:cs="宋体"/>
          <w:b/>
          <w:color w:val="auto"/>
          <w:sz w:val="24"/>
          <w:highlight w:val="none"/>
        </w:rPr>
        <w:t>.1</w:t>
      </w:r>
      <w:r>
        <w:rPr>
          <w:rFonts w:eastAsia="Times New Roman"/>
          <w:color w:val="auto"/>
          <w:sz w:val="24"/>
          <w:highlight w:val="none"/>
        </w:rPr>
        <w:tab/>
      </w:r>
      <w:r>
        <w:rPr>
          <w:rFonts w:ascii="宋体" w:hAnsi="宋体" w:cs="宋体"/>
          <w:color w:val="auto"/>
          <w:sz w:val="24"/>
          <w:highlight w:val="none"/>
        </w:rPr>
        <w:t>发包人责任</w:t>
      </w:r>
    </w:p>
    <w:p>
      <w:pPr>
        <w:tabs>
          <w:tab w:val="left" w:pos="1220"/>
        </w:tabs>
        <w:spacing w:line="360" w:lineRule="auto"/>
        <w:ind w:firstLine="499" w:firstLineChars="207"/>
        <w:rPr>
          <w:color w:val="auto"/>
          <w:highlight w:val="none"/>
        </w:rPr>
      </w:pPr>
      <w:r>
        <w:rPr>
          <w:rFonts w:hint="eastAsia" w:cs="宋体"/>
          <w:b/>
          <w:color w:val="auto"/>
          <w:sz w:val="24"/>
          <w:highlight w:val="none"/>
        </w:rPr>
        <w:t>7</w:t>
      </w:r>
      <w:r>
        <w:rPr>
          <w:rFonts w:cs="宋体"/>
          <w:b/>
          <w:color w:val="auto"/>
          <w:sz w:val="24"/>
          <w:highlight w:val="none"/>
        </w:rPr>
        <w:t>.1.1</w:t>
      </w:r>
      <w:r>
        <w:rPr>
          <w:rFonts w:eastAsia="Times New Roman"/>
          <w:color w:val="auto"/>
          <w:sz w:val="24"/>
          <w:highlight w:val="none"/>
        </w:rPr>
        <w:tab/>
      </w:r>
      <w:r>
        <w:rPr>
          <w:rFonts w:ascii="宋体" w:hAnsi="宋体" w:cs="宋体"/>
          <w:color w:val="auto"/>
          <w:sz w:val="24"/>
          <w:highlight w:val="none"/>
        </w:rPr>
        <w:t>发包人按本合同第三条规定的内容，在规定的时间内向</w:t>
      </w:r>
      <w:r>
        <w:rPr>
          <w:rFonts w:hint="eastAsia" w:ascii="宋体" w:hAnsi="宋体" w:cs="宋体"/>
          <w:color w:val="auto"/>
          <w:sz w:val="24"/>
          <w:highlight w:val="none"/>
        </w:rPr>
        <w:t>承包人</w:t>
      </w:r>
      <w:r>
        <w:rPr>
          <w:rFonts w:ascii="宋体" w:hAnsi="宋体" w:cs="宋体"/>
          <w:color w:val="auto"/>
          <w:sz w:val="24"/>
          <w:highlight w:val="none"/>
        </w:rPr>
        <w:t>提交资料及文件，并对其完整性、正确性及时限负责，不得要求</w:t>
      </w:r>
      <w:r>
        <w:rPr>
          <w:rFonts w:hint="eastAsia" w:ascii="宋体" w:hAnsi="宋体" w:cs="宋体"/>
          <w:color w:val="auto"/>
          <w:sz w:val="24"/>
          <w:highlight w:val="none"/>
        </w:rPr>
        <w:t>承包人</w:t>
      </w:r>
      <w:r>
        <w:rPr>
          <w:rFonts w:ascii="宋体" w:hAnsi="宋体" w:cs="宋体"/>
          <w:color w:val="auto"/>
          <w:sz w:val="24"/>
          <w:highlight w:val="none"/>
        </w:rPr>
        <w:t>违反国家有关标准进行咨询。发包人提交上述资料及文件超过规定期限</w:t>
      </w:r>
      <w:r>
        <w:rPr>
          <w:rFonts w:cs="宋体"/>
          <w:color w:val="auto"/>
          <w:sz w:val="24"/>
          <w:highlight w:val="none"/>
        </w:rPr>
        <w:t>15</w:t>
      </w:r>
      <w:r>
        <w:rPr>
          <w:rFonts w:ascii="宋体" w:hAnsi="宋体" w:cs="宋体"/>
          <w:color w:val="auto"/>
          <w:sz w:val="24"/>
          <w:highlight w:val="none"/>
        </w:rPr>
        <w:t>天以内，</w:t>
      </w:r>
      <w:r>
        <w:rPr>
          <w:rFonts w:hint="eastAsia" w:ascii="宋体" w:hAnsi="宋体" w:cs="宋体"/>
          <w:color w:val="auto"/>
          <w:sz w:val="24"/>
          <w:highlight w:val="none"/>
        </w:rPr>
        <w:t>承包人</w:t>
      </w:r>
      <w:r>
        <w:rPr>
          <w:rFonts w:ascii="宋体" w:hAnsi="宋体" w:cs="宋体"/>
          <w:color w:val="auto"/>
          <w:sz w:val="24"/>
          <w:highlight w:val="none"/>
        </w:rPr>
        <w:t>按合同第四条规定交付咨询文件时间顺延；超过规定期限</w:t>
      </w:r>
      <w:r>
        <w:rPr>
          <w:rFonts w:cs="宋体"/>
          <w:color w:val="auto"/>
          <w:sz w:val="24"/>
          <w:highlight w:val="none"/>
        </w:rPr>
        <w:t>15</w:t>
      </w:r>
      <w:r>
        <w:rPr>
          <w:rFonts w:ascii="宋体" w:hAnsi="宋体" w:cs="宋体"/>
          <w:color w:val="auto"/>
          <w:sz w:val="24"/>
          <w:highlight w:val="none"/>
        </w:rPr>
        <w:t>天以上时，</w:t>
      </w:r>
      <w:r>
        <w:rPr>
          <w:rFonts w:hint="eastAsia" w:ascii="宋体" w:hAnsi="宋体" w:cs="宋体"/>
          <w:color w:val="auto"/>
          <w:sz w:val="24"/>
          <w:highlight w:val="none"/>
        </w:rPr>
        <w:t>承包人</w:t>
      </w:r>
      <w:r>
        <w:rPr>
          <w:rFonts w:ascii="宋体" w:hAnsi="宋体" w:cs="宋体"/>
          <w:color w:val="auto"/>
          <w:sz w:val="24"/>
          <w:highlight w:val="none"/>
        </w:rPr>
        <w:t>员有权重新确定提交咨询文件的时间。</w:t>
      </w:r>
    </w:p>
    <w:bookmarkEnd w:id="314"/>
    <w:p>
      <w:pPr>
        <w:tabs>
          <w:tab w:val="left" w:pos="1212"/>
        </w:tabs>
        <w:spacing w:line="360" w:lineRule="auto"/>
        <w:ind w:firstLine="456" w:firstLineChars="190"/>
        <w:rPr>
          <w:color w:val="auto"/>
          <w:sz w:val="24"/>
          <w:highlight w:val="none"/>
        </w:rPr>
      </w:pPr>
      <w:r>
        <w:rPr>
          <w:rFonts w:hint="eastAsia" w:cs="宋体"/>
          <w:color w:val="auto"/>
          <w:sz w:val="24"/>
          <w:highlight w:val="none"/>
        </w:rPr>
        <w:t>7.1.2</w:t>
      </w:r>
      <w:r>
        <w:rPr>
          <w:rFonts w:ascii="宋体" w:hAnsi="宋体" w:cs="宋体"/>
          <w:color w:val="auto"/>
          <w:sz w:val="24"/>
          <w:highlight w:val="none"/>
        </w:rPr>
        <w:t>发包人变更委托咨询项目、规模、条件或因提交的资料错误，或所提交资料作较大修改，以致造成</w:t>
      </w:r>
      <w:r>
        <w:rPr>
          <w:rFonts w:hint="eastAsia" w:ascii="宋体" w:hAnsi="宋体" w:cs="宋体"/>
          <w:color w:val="auto"/>
          <w:sz w:val="24"/>
          <w:highlight w:val="none"/>
        </w:rPr>
        <w:t>承包人</w:t>
      </w:r>
      <w:r>
        <w:rPr>
          <w:rFonts w:ascii="宋体" w:hAnsi="宋体" w:cs="宋体"/>
          <w:color w:val="auto"/>
          <w:sz w:val="24"/>
          <w:highlight w:val="none"/>
        </w:rPr>
        <w:t>咨询需返工时，双方除需另行协商签订补充协议（或另订合同）、重新明确有关条款外，发包人应按</w:t>
      </w:r>
      <w:r>
        <w:rPr>
          <w:rFonts w:hint="eastAsia" w:ascii="宋体" w:hAnsi="宋体" w:cs="宋体"/>
          <w:color w:val="auto"/>
          <w:sz w:val="24"/>
          <w:highlight w:val="none"/>
        </w:rPr>
        <w:t>承包人</w:t>
      </w:r>
      <w:r>
        <w:rPr>
          <w:rFonts w:ascii="宋体" w:hAnsi="宋体" w:cs="宋体"/>
          <w:color w:val="auto"/>
          <w:sz w:val="24"/>
          <w:highlight w:val="none"/>
        </w:rPr>
        <w:t>所耗工作量向</w:t>
      </w:r>
      <w:r>
        <w:rPr>
          <w:rFonts w:hint="eastAsia" w:ascii="宋体" w:hAnsi="宋体" w:cs="宋体"/>
          <w:color w:val="auto"/>
          <w:sz w:val="24"/>
          <w:highlight w:val="none"/>
        </w:rPr>
        <w:t>承包人</w:t>
      </w:r>
      <w:r>
        <w:rPr>
          <w:rFonts w:ascii="宋体" w:hAnsi="宋体" w:cs="宋体"/>
          <w:color w:val="auto"/>
          <w:sz w:val="24"/>
          <w:highlight w:val="none"/>
        </w:rPr>
        <w:t>增付咨询费。</w:t>
      </w:r>
    </w:p>
    <w:p>
      <w:pPr>
        <w:spacing w:line="360" w:lineRule="auto"/>
        <w:ind w:right="160" w:firstLine="456" w:firstLineChars="190"/>
        <w:rPr>
          <w:color w:val="auto"/>
          <w:sz w:val="24"/>
          <w:highlight w:val="none"/>
        </w:rPr>
      </w:pPr>
      <w:r>
        <w:rPr>
          <w:rFonts w:ascii="宋体" w:hAnsi="宋体" w:cs="宋体"/>
          <w:color w:val="auto"/>
          <w:sz w:val="24"/>
          <w:highlight w:val="none"/>
        </w:rPr>
        <w:t>在未签合同前发包人已同意，</w:t>
      </w:r>
      <w:r>
        <w:rPr>
          <w:rFonts w:hint="eastAsia" w:ascii="宋体" w:hAnsi="宋体" w:cs="宋体"/>
          <w:color w:val="auto"/>
          <w:sz w:val="24"/>
          <w:highlight w:val="none"/>
        </w:rPr>
        <w:t>承包人</w:t>
      </w:r>
      <w:r>
        <w:rPr>
          <w:rFonts w:ascii="宋体" w:hAnsi="宋体" w:cs="宋体"/>
          <w:color w:val="auto"/>
          <w:sz w:val="24"/>
          <w:highlight w:val="none"/>
        </w:rPr>
        <w:t>为发包人所做的各项咨询工作，应按收费标准，相应支付咨询费。</w:t>
      </w:r>
    </w:p>
    <w:p>
      <w:pPr>
        <w:tabs>
          <w:tab w:val="left" w:pos="1212"/>
        </w:tabs>
        <w:spacing w:line="360" w:lineRule="auto"/>
        <w:ind w:right="40" w:firstLine="456" w:firstLineChars="190"/>
        <w:rPr>
          <w:color w:val="auto"/>
          <w:sz w:val="24"/>
          <w:highlight w:val="none"/>
        </w:rPr>
      </w:pPr>
      <w:r>
        <w:rPr>
          <w:rFonts w:hint="eastAsia" w:cs="宋体"/>
          <w:color w:val="auto"/>
          <w:sz w:val="24"/>
          <w:highlight w:val="none"/>
        </w:rPr>
        <w:t>7.1.3</w:t>
      </w:r>
      <w:r>
        <w:rPr>
          <w:rFonts w:ascii="宋体" w:hAnsi="宋体" w:cs="宋体"/>
          <w:color w:val="auto"/>
          <w:sz w:val="24"/>
          <w:highlight w:val="none"/>
        </w:rPr>
        <w:t>发包人要求</w:t>
      </w:r>
      <w:r>
        <w:rPr>
          <w:rFonts w:hint="eastAsia" w:ascii="宋体" w:hAnsi="宋体" w:cs="宋体"/>
          <w:color w:val="auto"/>
          <w:sz w:val="24"/>
          <w:highlight w:val="none"/>
        </w:rPr>
        <w:t>承包人</w:t>
      </w:r>
      <w:r>
        <w:rPr>
          <w:rFonts w:ascii="宋体" w:hAnsi="宋体" w:cs="宋体"/>
          <w:color w:val="auto"/>
          <w:sz w:val="24"/>
          <w:highlight w:val="none"/>
        </w:rPr>
        <w:t>比合同规定时间提前交付咨询资料及文件时，如果</w:t>
      </w:r>
      <w:r>
        <w:rPr>
          <w:rFonts w:hint="eastAsia" w:ascii="宋体" w:hAnsi="宋体" w:cs="宋体"/>
          <w:color w:val="auto"/>
          <w:sz w:val="24"/>
          <w:highlight w:val="none"/>
        </w:rPr>
        <w:t>承包人</w:t>
      </w:r>
      <w:r>
        <w:rPr>
          <w:rFonts w:ascii="宋体" w:hAnsi="宋体" w:cs="宋体"/>
          <w:color w:val="auto"/>
          <w:sz w:val="24"/>
          <w:highlight w:val="none"/>
        </w:rPr>
        <w:t>能够做到，发包人应根据</w:t>
      </w:r>
      <w:r>
        <w:rPr>
          <w:rFonts w:hint="eastAsia" w:ascii="宋体" w:hAnsi="宋体" w:cs="宋体"/>
          <w:color w:val="auto"/>
          <w:sz w:val="24"/>
          <w:highlight w:val="none"/>
        </w:rPr>
        <w:t>承包人</w:t>
      </w:r>
      <w:r>
        <w:rPr>
          <w:rFonts w:ascii="宋体" w:hAnsi="宋体" w:cs="宋体"/>
          <w:color w:val="auto"/>
          <w:sz w:val="24"/>
          <w:highlight w:val="none"/>
        </w:rPr>
        <w:t>提前投入的工作量，向</w:t>
      </w:r>
      <w:r>
        <w:rPr>
          <w:rFonts w:hint="eastAsia" w:ascii="宋体" w:hAnsi="宋体" w:cs="宋体"/>
          <w:color w:val="auto"/>
          <w:sz w:val="24"/>
          <w:highlight w:val="none"/>
        </w:rPr>
        <w:t>承包人</w:t>
      </w:r>
      <w:r>
        <w:rPr>
          <w:rFonts w:ascii="宋体" w:hAnsi="宋体" w:cs="宋体"/>
          <w:color w:val="auto"/>
          <w:sz w:val="24"/>
          <w:highlight w:val="none"/>
        </w:rPr>
        <w:t>支付赶工费。</w:t>
      </w:r>
    </w:p>
    <w:p>
      <w:pPr>
        <w:tabs>
          <w:tab w:val="left" w:pos="1212"/>
        </w:tabs>
        <w:spacing w:line="360" w:lineRule="auto"/>
        <w:ind w:right="120" w:firstLine="456" w:firstLineChars="190"/>
        <w:rPr>
          <w:color w:val="auto"/>
          <w:highlight w:val="none"/>
        </w:rPr>
      </w:pPr>
      <w:r>
        <w:rPr>
          <w:rFonts w:hint="eastAsia" w:cs="宋体"/>
          <w:color w:val="auto"/>
          <w:sz w:val="24"/>
          <w:highlight w:val="none"/>
        </w:rPr>
        <w:t>7.1.4</w:t>
      </w:r>
      <w:r>
        <w:rPr>
          <w:rFonts w:ascii="宋体" w:hAnsi="宋体" w:cs="宋体"/>
          <w:color w:val="auto"/>
          <w:sz w:val="24"/>
          <w:highlight w:val="none"/>
        </w:rPr>
        <w:t>发包人应保护</w:t>
      </w:r>
      <w:r>
        <w:rPr>
          <w:rFonts w:hint="eastAsia" w:ascii="宋体" w:hAnsi="宋体" w:cs="宋体"/>
          <w:color w:val="auto"/>
          <w:sz w:val="24"/>
          <w:highlight w:val="none"/>
        </w:rPr>
        <w:t>承包人</w:t>
      </w:r>
      <w:r>
        <w:rPr>
          <w:rFonts w:ascii="宋体" w:hAnsi="宋体" w:cs="宋体"/>
          <w:color w:val="auto"/>
          <w:sz w:val="24"/>
          <w:highlight w:val="none"/>
        </w:rPr>
        <w:t>的投标书、咨询方案、文件、资料图纸、数据、计算软件和专利技术。未经</w:t>
      </w:r>
      <w:r>
        <w:rPr>
          <w:rFonts w:hint="eastAsia" w:ascii="宋体" w:hAnsi="宋体" w:cs="宋体"/>
          <w:color w:val="auto"/>
          <w:sz w:val="24"/>
          <w:highlight w:val="none"/>
        </w:rPr>
        <w:t>承包人</w:t>
      </w:r>
      <w:r>
        <w:rPr>
          <w:rFonts w:ascii="宋体" w:hAnsi="宋体" w:cs="宋体"/>
          <w:color w:val="auto"/>
          <w:sz w:val="24"/>
          <w:highlight w:val="none"/>
        </w:rPr>
        <w:t>同意，发包人对</w:t>
      </w:r>
      <w:r>
        <w:rPr>
          <w:rFonts w:hint="eastAsia" w:ascii="宋体" w:hAnsi="宋体" w:cs="宋体"/>
          <w:color w:val="auto"/>
          <w:sz w:val="24"/>
          <w:highlight w:val="none"/>
        </w:rPr>
        <w:t>承包人</w:t>
      </w:r>
      <w:r>
        <w:rPr>
          <w:rFonts w:ascii="宋体" w:hAnsi="宋体" w:cs="宋体"/>
          <w:color w:val="auto"/>
          <w:sz w:val="24"/>
          <w:highlight w:val="none"/>
        </w:rPr>
        <w:t>交付的咨询资料及文件不得擅自修改、复制或向第三人转让或用于本合同外的项目，如发生以上情况，发包人应负法律责任，</w:t>
      </w:r>
      <w:r>
        <w:rPr>
          <w:rFonts w:hint="eastAsia" w:ascii="宋体" w:hAnsi="宋体" w:cs="宋体"/>
          <w:color w:val="auto"/>
          <w:sz w:val="24"/>
          <w:highlight w:val="none"/>
        </w:rPr>
        <w:t>承包人</w:t>
      </w:r>
      <w:r>
        <w:rPr>
          <w:rFonts w:ascii="宋体" w:hAnsi="宋体" w:cs="宋体"/>
          <w:color w:val="auto"/>
          <w:sz w:val="24"/>
          <w:highlight w:val="none"/>
        </w:rPr>
        <w:t>有权向发包人提出索赔。</w:t>
      </w:r>
    </w:p>
    <w:p>
      <w:pPr>
        <w:tabs>
          <w:tab w:val="left" w:pos="960"/>
        </w:tabs>
        <w:spacing w:line="360" w:lineRule="auto"/>
        <w:ind w:left="460"/>
        <w:rPr>
          <w:color w:val="auto"/>
          <w:highlight w:val="none"/>
        </w:rPr>
      </w:pPr>
      <w:r>
        <w:rPr>
          <w:rFonts w:hint="eastAsia" w:cs="宋体"/>
          <w:b/>
          <w:color w:val="auto"/>
          <w:sz w:val="24"/>
          <w:highlight w:val="none"/>
        </w:rPr>
        <w:t>7</w:t>
      </w:r>
      <w:r>
        <w:rPr>
          <w:rFonts w:cs="宋体"/>
          <w:b/>
          <w:color w:val="auto"/>
          <w:sz w:val="24"/>
          <w:highlight w:val="none"/>
        </w:rPr>
        <w:t>.2</w:t>
      </w:r>
      <w:r>
        <w:rPr>
          <w:rFonts w:eastAsia="Times New Roman"/>
          <w:color w:val="auto"/>
          <w:sz w:val="24"/>
          <w:highlight w:val="none"/>
        </w:rPr>
        <w:tab/>
      </w:r>
      <w:r>
        <w:rPr>
          <w:rFonts w:hint="eastAsia" w:ascii="宋体" w:hAnsi="宋体" w:cs="宋体"/>
          <w:color w:val="auto"/>
          <w:sz w:val="24"/>
          <w:highlight w:val="none"/>
        </w:rPr>
        <w:t>承包人</w:t>
      </w:r>
      <w:r>
        <w:rPr>
          <w:rFonts w:ascii="宋体" w:hAnsi="宋体" w:cs="宋体"/>
          <w:color w:val="auto"/>
          <w:sz w:val="24"/>
          <w:highlight w:val="none"/>
        </w:rPr>
        <w:t>责任</w:t>
      </w:r>
    </w:p>
    <w:p>
      <w:pPr>
        <w:tabs>
          <w:tab w:val="left" w:pos="1212"/>
        </w:tabs>
        <w:spacing w:line="360" w:lineRule="auto"/>
        <w:ind w:right="100" w:firstLine="456" w:firstLineChars="190"/>
        <w:rPr>
          <w:color w:val="auto"/>
          <w:sz w:val="24"/>
          <w:highlight w:val="none"/>
        </w:rPr>
      </w:pPr>
      <w:r>
        <w:rPr>
          <w:rFonts w:hint="eastAsia" w:cs="宋体"/>
          <w:color w:val="auto"/>
          <w:sz w:val="24"/>
          <w:highlight w:val="none"/>
        </w:rPr>
        <w:t>7.2.1</w:t>
      </w:r>
      <w:r>
        <w:rPr>
          <w:rFonts w:hint="eastAsia" w:ascii="宋体" w:hAnsi="宋体" w:cs="宋体"/>
          <w:color w:val="auto"/>
          <w:sz w:val="24"/>
          <w:highlight w:val="none"/>
        </w:rPr>
        <w:t>承包人</w:t>
      </w:r>
      <w:r>
        <w:rPr>
          <w:rFonts w:ascii="宋体" w:hAnsi="宋体" w:cs="宋体"/>
          <w:color w:val="auto"/>
          <w:sz w:val="24"/>
          <w:highlight w:val="none"/>
        </w:rPr>
        <w:t>应按国家技术规范、标准、规程及发包人提出的咨询要求，进行工程咨询，按合同规定的进度要求提交质量合格的咨询资料，并对其负责。</w:t>
      </w:r>
    </w:p>
    <w:p>
      <w:pPr>
        <w:tabs>
          <w:tab w:val="left" w:pos="1200"/>
        </w:tabs>
        <w:spacing w:line="360" w:lineRule="auto"/>
        <w:ind w:firstLine="456" w:firstLineChars="190"/>
        <w:rPr>
          <w:color w:val="auto"/>
          <w:sz w:val="24"/>
          <w:highlight w:val="none"/>
        </w:rPr>
      </w:pPr>
      <w:r>
        <w:rPr>
          <w:rFonts w:hint="eastAsia" w:cs="宋体"/>
          <w:color w:val="auto"/>
          <w:sz w:val="24"/>
          <w:highlight w:val="none"/>
        </w:rPr>
        <w:t>7.2.2</w:t>
      </w:r>
      <w:r>
        <w:rPr>
          <w:rFonts w:hint="eastAsia" w:ascii="宋体" w:hAnsi="宋体" w:cs="宋体"/>
          <w:color w:val="auto"/>
          <w:sz w:val="24"/>
          <w:highlight w:val="none"/>
        </w:rPr>
        <w:t>承包人</w:t>
      </w:r>
      <w:r>
        <w:rPr>
          <w:rFonts w:ascii="宋体" w:hAnsi="宋体" w:cs="宋体"/>
          <w:color w:val="auto"/>
          <w:sz w:val="24"/>
          <w:highlight w:val="none"/>
        </w:rPr>
        <w:t>按本合同第二条和第四条规定的内容、进度及份数向发包人人交付资料及文件。</w:t>
      </w:r>
    </w:p>
    <w:p>
      <w:pPr>
        <w:tabs>
          <w:tab w:val="left" w:pos="1212"/>
        </w:tabs>
        <w:spacing w:line="360" w:lineRule="auto"/>
        <w:ind w:right="100" w:firstLine="456" w:firstLineChars="190"/>
        <w:rPr>
          <w:color w:val="auto"/>
          <w:sz w:val="24"/>
          <w:highlight w:val="none"/>
        </w:rPr>
      </w:pPr>
      <w:r>
        <w:rPr>
          <w:rFonts w:hint="eastAsia" w:cs="宋体"/>
          <w:color w:val="auto"/>
          <w:sz w:val="24"/>
          <w:highlight w:val="none"/>
        </w:rPr>
        <w:t>7.2.3</w:t>
      </w:r>
      <w:r>
        <w:rPr>
          <w:rFonts w:hint="eastAsia" w:ascii="宋体" w:hAnsi="宋体" w:cs="宋体"/>
          <w:color w:val="auto"/>
          <w:sz w:val="24"/>
          <w:highlight w:val="none"/>
        </w:rPr>
        <w:t>承包人</w:t>
      </w:r>
      <w:r>
        <w:rPr>
          <w:rFonts w:ascii="宋体" w:hAnsi="宋体" w:cs="宋体"/>
          <w:color w:val="auto"/>
          <w:sz w:val="24"/>
          <w:highlight w:val="none"/>
        </w:rPr>
        <w:t>按要求完成提交项目建议书及可行性研究报告，依时参加评审会，会后根据会议纪要和专家意见免费修改完成正式可行性研究报告一式拾份，确保通过有关部门的评审并取得相关批文。</w:t>
      </w:r>
    </w:p>
    <w:p>
      <w:pPr>
        <w:tabs>
          <w:tab w:val="left" w:pos="1212"/>
        </w:tabs>
        <w:spacing w:line="360" w:lineRule="auto"/>
        <w:ind w:right="100" w:firstLine="456" w:firstLineChars="190"/>
        <w:rPr>
          <w:color w:val="auto"/>
          <w:sz w:val="24"/>
          <w:highlight w:val="none"/>
        </w:rPr>
      </w:pPr>
      <w:r>
        <w:rPr>
          <w:rFonts w:hint="eastAsia" w:cs="宋体"/>
          <w:color w:val="auto"/>
          <w:sz w:val="24"/>
          <w:highlight w:val="none"/>
        </w:rPr>
        <w:t>7.2.4</w:t>
      </w:r>
      <w:r>
        <w:rPr>
          <w:rFonts w:hint="eastAsia" w:ascii="宋体" w:hAnsi="宋体" w:cs="宋体"/>
          <w:color w:val="auto"/>
          <w:sz w:val="24"/>
          <w:highlight w:val="none"/>
        </w:rPr>
        <w:t>承包人</w:t>
      </w:r>
      <w:r>
        <w:rPr>
          <w:rFonts w:ascii="宋体" w:hAnsi="宋体" w:cs="宋体"/>
          <w:color w:val="auto"/>
          <w:sz w:val="24"/>
          <w:highlight w:val="none"/>
        </w:rPr>
        <w:t>应保护发包人的知识产权，不得向第三人泄露、转让发包人提交的产品图纸等技术经济资料。如发生以上情况并给发包人造成经济损失，发包人有权向</w:t>
      </w:r>
      <w:r>
        <w:rPr>
          <w:rFonts w:hint="eastAsia" w:ascii="宋体" w:hAnsi="宋体" w:cs="宋体"/>
          <w:color w:val="auto"/>
          <w:sz w:val="24"/>
          <w:highlight w:val="none"/>
        </w:rPr>
        <w:t>承包人</w:t>
      </w:r>
      <w:r>
        <w:rPr>
          <w:rFonts w:ascii="宋体" w:hAnsi="宋体" w:cs="宋体"/>
          <w:color w:val="auto"/>
          <w:sz w:val="24"/>
          <w:highlight w:val="none"/>
        </w:rPr>
        <w:t>索赔。</w:t>
      </w:r>
    </w:p>
    <w:p>
      <w:pPr>
        <w:tabs>
          <w:tab w:val="left" w:pos="1220"/>
        </w:tabs>
        <w:spacing w:line="360" w:lineRule="auto"/>
        <w:ind w:firstLine="456" w:firstLineChars="190"/>
        <w:rPr>
          <w:strike/>
          <w:color w:val="auto"/>
          <w:sz w:val="24"/>
          <w:highlight w:val="none"/>
        </w:rPr>
      </w:pPr>
    </w:p>
    <w:p>
      <w:pPr>
        <w:tabs>
          <w:tab w:val="left" w:pos="1280"/>
        </w:tabs>
        <w:spacing w:line="360" w:lineRule="auto"/>
        <w:ind w:firstLine="458" w:firstLineChars="190"/>
        <w:rPr>
          <w:b/>
          <w:color w:val="auto"/>
          <w:highlight w:val="none"/>
        </w:rPr>
      </w:pPr>
      <w:r>
        <w:rPr>
          <w:rFonts w:ascii="宋体" w:hAnsi="宋体" w:cs="宋体"/>
          <w:b/>
          <w:color w:val="auto"/>
          <w:sz w:val="24"/>
          <w:highlight w:val="none"/>
        </w:rPr>
        <w:t>第</w:t>
      </w:r>
      <w:r>
        <w:rPr>
          <w:rFonts w:hint="eastAsia" w:cs="宋体"/>
          <w:b/>
          <w:color w:val="auto"/>
          <w:sz w:val="24"/>
          <w:highlight w:val="none"/>
        </w:rPr>
        <w:t>8</w:t>
      </w:r>
      <w:r>
        <w:rPr>
          <w:rFonts w:ascii="宋体" w:hAnsi="宋体" w:cs="宋体"/>
          <w:b/>
          <w:color w:val="auto"/>
          <w:sz w:val="24"/>
          <w:highlight w:val="none"/>
        </w:rPr>
        <w:t>条</w:t>
      </w:r>
      <w:r>
        <w:rPr>
          <w:rFonts w:eastAsia="Times New Roman"/>
          <w:b/>
          <w:color w:val="auto"/>
          <w:sz w:val="24"/>
          <w:highlight w:val="none"/>
        </w:rPr>
        <w:tab/>
      </w:r>
      <w:r>
        <w:rPr>
          <w:rFonts w:ascii="宋体" w:hAnsi="宋体" w:cs="宋体"/>
          <w:b/>
          <w:color w:val="auto"/>
          <w:sz w:val="24"/>
          <w:highlight w:val="none"/>
        </w:rPr>
        <w:t>违约责任</w:t>
      </w:r>
    </w:p>
    <w:p>
      <w:pPr>
        <w:tabs>
          <w:tab w:val="left" w:pos="1002"/>
        </w:tabs>
        <w:spacing w:line="360" w:lineRule="auto"/>
        <w:ind w:right="100" w:firstLine="456" w:firstLineChars="190"/>
        <w:rPr>
          <w:color w:val="auto"/>
          <w:sz w:val="24"/>
          <w:highlight w:val="none"/>
        </w:rPr>
      </w:pPr>
      <w:r>
        <w:rPr>
          <w:rFonts w:hint="eastAsia" w:cs="宋体"/>
          <w:color w:val="auto"/>
          <w:sz w:val="24"/>
          <w:highlight w:val="none"/>
        </w:rPr>
        <w:t>8.1</w:t>
      </w:r>
      <w:r>
        <w:rPr>
          <w:rFonts w:ascii="宋体" w:hAnsi="宋体" w:cs="宋体"/>
          <w:color w:val="auto"/>
          <w:sz w:val="24"/>
          <w:highlight w:val="none"/>
        </w:rPr>
        <w:t>在合同履行期间，发包人要求终止或解除合同，</w:t>
      </w:r>
      <w:r>
        <w:rPr>
          <w:rFonts w:hint="eastAsia" w:ascii="宋体" w:hAnsi="宋体" w:cs="宋体"/>
          <w:color w:val="auto"/>
          <w:sz w:val="24"/>
          <w:highlight w:val="none"/>
        </w:rPr>
        <w:t>承包人</w:t>
      </w:r>
      <w:r>
        <w:rPr>
          <w:rFonts w:ascii="宋体" w:hAnsi="宋体" w:cs="宋体"/>
          <w:color w:val="auto"/>
          <w:sz w:val="24"/>
          <w:highlight w:val="none"/>
        </w:rPr>
        <w:t>未开始咨询工作的，不退还发包人已付的定金；已开始咨询工作的，发包人应根据</w:t>
      </w:r>
      <w:r>
        <w:rPr>
          <w:rFonts w:hint="eastAsia" w:ascii="宋体" w:hAnsi="宋体" w:cs="宋体"/>
          <w:color w:val="auto"/>
          <w:sz w:val="24"/>
          <w:highlight w:val="none"/>
        </w:rPr>
        <w:t>承包人</w:t>
      </w:r>
      <w:r>
        <w:rPr>
          <w:rFonts w:ascii="宋体" w:hAnsi="宋体" w:cs="宋体"/>
          <w:color w:val="auto"/>
          <w:sz w:val="24"/>
          <w:highlight w:val="none"/>
        </w:rPr>
        <w:t>已进行的实际工作量，不足一半时，按该阶段咨询费的一半支付；超过一半时，按该阶段咨询费的全部支付。</w:t>
      </w:r>
    </w:p>
    <w:p>
      <w:pPr>
        <w:spacing w:line="360" w:lineRule="auto"/>
        <w:ind w:firstLine="458" w:firstLineChars="190"/>
        <w:rPr>
          <w:rFonts w:cs="宋体"/>
          <w:b/>
          <w:color w:val="auto"/>
          <w:sz w:val="24"/>
          <w:highlight w:val="none"/>
        </w:rPr>
      </w:pPr>
    </w:p>
    <w:p>
      <w:pPr>
        <w:tabs>
          <w:tab w:val="left" w:pos="980"/>
        </w:tabs>
        <w:spacing w:line="360" w:lineRule="auto"/>
        <w:ind w:firstLine="456" w:firstLineChars="190"/>
        <w:rPr>
          <w:color w:val="auto"/>
          <w:sz w:val="24"/>
          <w:highlight w:val="none"/>
        </w:rPr>
      </w:pPr>
      <w:r>
        <w:rPr>
          <w:rFonts w:hint="eastAsia" w:cs="宋体"/>
          <w:color w:val="auto"/>
          <w:sz w:val="24"/>
          <w:highlight w:val="none"/>
        </w:rPr>
        <w:t>8.2</w:t>
      </w:r>
      <w:r>
        <w:rPr>
          <w:rFonts w:ascii="宋体" w:hAnsi="宋体" w:cs="宋体"/>
          <w:color w:val="auto"/>
          <w:sz w:val="24"/>
          <w:highlight w:val="none"/>
        </w:rPr>
        <w:t>合同生效后，</w:t>
      </w:r>
      <w:r>
        <w:rPr>
          <w:rFonts w:hint="eastAsia" w:ascii="宋体" w:hAnsi="宋体" w:cs="宋体"/>
          <w:color w:val="auto"/>
          <w:sz w:val="24"/>
          <w:highlight w:val="none"/>
        </w:rPr>
        <w:t>承包人</w:t>
      </w:r>
      <w:r>
        <w:rPr>
          <w:rFonts w:ascii="宋体" w:hAnsi="宋体" w:cs="宋体"/>
          <w:color w:val="auto"/>
          <w:sz w:val="24"/>
          <w:highlight w:val="none"/>
        </w:rPr>
        <w:t>要求终止或解除合同，</w:t>
      </w:r>
      <w:r>
        <w:rPr>
          <w:rFonts w:hint="eastAsia" w:ascii="宋体" w:hAnsi="宋体" w:cs="宋体"/>
          <w:color w:val="auto"/>
          <w:sz w:val="24"/>
          <w:highlight w:val="none"/>
        </w:rPr>
        <w:t>承包人</w:t>
      </w:r>
      <w:r>
        <w:rPr>
          <w:rFonts w:ascii="宋体" w:hAnsi="宋体" w:cs="宋体"/>
          <w:color w:val="auto"/>
          <w:sz w:val="24"/>
          <w:highlight w:val="none"/>
        </w:rPr>
        <w:t>返还已交付的咨询费。</w:t>
      </w:r>
    </w:p>
    <w:p>
      <w:pPr>
        <w:spacing w:line="360" w:lineRule="auto"/>
        <w:ind w:firstLine="456" w:firstLineChars="190"/>
        <w:rPr>
          <w:rFonts w:ascii="宋体" w:hAnsi="宋体" w:cs="宋体"/>
          <w:color w:val="auto"/>
          <w:sz w:val="24"/>
          <w:highlight w:val="none"/>
        </w:rPr>
      </w:pPr>
      <w:bookmarkStart w:id="315" w:name="_Hlk21530644"/>
      <w:r>
        <w:rPr>
          <w:rFonts w:hint="eastAsia" w:cs="宋体"/>
          <w:color w:val="auto"/>
          <w:sz w:val="24"/>
          <w:highlight w:val="none"/>
        </w:rPr>
        <w:t>8.3在发包人已按项目要求提供相关资料后，</w:t>
      </w:r>
      <w:r>
        <w:rPr>
          <w:rFonts w:hint="eastAsia" w:ascii="宋体" w:hAnsi="宋体" w:cs="宋体"/>
          <w:color w:val="auto"/>
          <w:sz w:val="24"/>
          <w:highlight w:val="none"/>
        </w:rPr>
        <w:t>承包人</w:t>
      </w:r>
      <w:r>
        <w:rPr>
          <w:rFonts w:ascii="宋体" w:hAnsi="宋体" w:cs="宋体"/>
          <w:color w:val="auto"/>
          <w:sz w:val="24"/>
          <w:highlight w:val="none"/>
        </w:rPr>
        <w:t>必须按时递交成果文件，每拖延一天，发包人对</w:t>
      </w:r>
      <w:r>
        <w:rPr>
          <w:rFonts w:hint="eastAsia" w:ascii="宋体" w:hAnsi="宋体" w:cs="宋体"/>
          <w:color w:val="auto"/>
          <w:sz w:val="24"/>
          <w:highlight w:val="none"/>
        </w:rPr>
        <w:t>承包人</w:t>
      </w:r>
      <w:r>
        <w:rPr>
          <w:rFonts w:ascii="宋体" w:hAnsi="宋体" w:cs="宋体"/>
          <w:color w:val="auto"/>
          <w:sz w:val="24"/>
          <w:highlight w:val="none"/>
        </w:rPr>
        <w:t>处以</w:t>
      </w:r>
      <w:r>
        <w:rPr>
          <w:rFonts w:hint="eastAsia" w:cs="宋体"/>
          <w:color w:val="auto"/>
          <w:sz w:val="24"/>
          <w:highlight w:val="none"/>
        </w:rPr>
        <w:t>1</w:t>
      </w:r>
      <w:r>
        <w:rPr>
          <w:rFonts w:cs="宋体"/>
          <w:color w:val="auto"/>
          <w:sz w:val="24"/>
          <w:highlight w:val="none"/>
        </w:rPr>
        <w:t>000</w:t>
      </w:r>
      <w:r>
        <w:rPr>
          <w:rFonts w:ascii="宋体" w:hAnsi="宋体" w:cs="宋体"/>
          <w:color w:val="auto"/>
          <w:sz w:val="24"/>
          <w:highlight w:val="none"/>
        </w:rPr>
        <w:t>元</w:t>
      </w:r>
      <w:r>
        <w:rPr>
          <w:rFonts w:cs="宋体"/>
          <w:color w:val="auto"/>
          <w:sz w:val="24"/>
          <w:highlight w:val="none"/>
        </w:rPr>
        <w:t>/</w:t>
      </w:r>
      <w:r>
        <w:rPr>
          <w:rFonts w:ascii="宋体" w:hAnsi="宋体" w:cs="宋体"/>
          <w:color w:val="auto"/>
          <w:sz w:val="24"/>
          <w:highlight w:val="none"/>
        </w:rPr>
        <w:t>天的处罚金，违约罚金最高上限控制在该专项价的</w:t>
      </w:r>
      <w:r>
        <w:rPr>
          <w:rFonts w:hint="eastAsia" w:cs="宋体"/>
          <w:color w:val="auto"/>
          <w:sz w:val="24"/>
          <w:highlight w:val="none"/>
        </w:rPr>
        <w:t>1</w:t>
      </w:r>
      <w:r>
        <w:rPr>
          <w:rFonts w:cs="宋体"/>
          <w:color w:val="auto"/>
          <w:sz w:val="24"/>
          <w:highlight w:val="none"/>
        </w:rPr>
        <w:t>0%</w:t>
      </w:r>
      <w:r>
        <w:rPr>
          <w:rFonts w:ascii="宋体" w:hAnsi="宋体" w:cs="宋体"/>
          <w:color w:val="auto"/>
          <w:sz w:val="24"/>
          <w:highlight w:val="none"/>
        </w:rPr>
        <w:t>。</w:t>
      </w:r>
    </w:p>
    <w:p>
      <w:pPr>
        <w:spacing w:line="360" w:lineRule="auto"/>
        <w:ind w:firstLine="456" w:firstLineChars="190"/>
        <w:rPr>
          <w:rFonts w:cs="宋体"/>
          <w:color w:val="auto"/>
          <w:sz w:val="24"/>
          <w:highlight w:val="none"/>
        </w:rPr>
      </w:pPr>
      <w:r>
        <w:rPr>
          <w:rFonts w:hint="eastAsia" w:cs="宋体"/>
          <w:color w:val="auto"/>
          <w:sz w:val="24"/>
          <w:highlight w:val="none"/>
        </w:rPr>
        <w:t>8.4如承包人自身原因未能按照约定时间完成发包人要求的服务内容，发包人有权单方面解除合同，且不给予赔偿。</w:t>
      </w:r>
    </w:p>
    <w:bookmarkEnd w:id="315"/>
    <w:p>
      <w:pPr>
        <w:tabs>
          <w:tab w:val="left" w:pos="1280"/>
        </w:tabs>
        <w:spacing w:line="360" w:lineRule="auto"/>
        <w:ind w:firstLine="458" w:firstLineChars="190"/>
        <w:rPr>
          <w:b/>
          <w:color w:val="auto"/>
          <w:highlight w:val="none"/>
        </w:rPr>
      </w:pPr>
      <w:r>
        <w:rPr>
          <w:rFonts w:ascii="宋体" w:hAnsi="宋体" w:cs="宋体"/>
          <w:b/>
          <w:color w:val="auto"/>
          <w:sz w:val="24"/>
          <w:highlight w:val="none"/>
        </w:rPr>
        <w:t>第</w:t>
      </w:r>
      <w:r>
        <w:rPr>
          <w:rFonts w:hint="eastAsia" w:cs="宋体"/>
          <w:b/>
          <w:color w:val="auto"/>
          <w:sz w:val="24"/>
          <w:highlight w:val="none"/>
        </w:rPr>
        <w:t>九</w:t>
      </w:r>
      <w:r>
        <w:rPr>
          <w:rFonts w:ascii="宋体" w:hAnsi="宋体" w:cs="宋体"/>
          <w:b/>
          <w:color w:val="auto"/>
          <w:sz w:val="24"/>
          <w:highlight w:val="none"/>
        </w:rPr>
        <w:t>条</w:t>
      </w:r>
      <w:r>
        <w:rPr>
          <w:rFonts w:eastAsia="Times New Roman"/>
          <w:b/>
          <w:color w:val="auto"/>
          <w:sz w:val="24"/>
          <w:highlight w:val="none"/>
        </w:rPr>
        <w:tab/>
      </w:r>
      <w:r>
        <w:rPr>
          <w:rFonts w:ascii="宋体" w:hAnsi="宋体" w:cs="宋体"/>
          <w:b/>
          <w:color w:val="auto"/>
          <w:sz w:val="24"/>
          <w:highlight w:val="none"/>
        </w:rPr>
        <w:t>其他</w:t>
      </w:r>
    </w:p>
    <w:p>
      <w:pPr>
        <w:tabs>
          <w:tab w:val="left" w:pos="1002"/>
        </w:tabs>
        <w:spacing w:line="360" w:lineRule="auto"/>
        <w:ind w:right="100" w:firstLine="456" w:firstLineChars="190"/>
        <w:rPr>
          <w:color w:val="auto"/>
          <w:sz w:val="24"/>
          <w:highlight w:val="none"/>
        </w:rPr>
      </w:pPr>
      <w:r>
        <w:rPr>
          <w:rFonts w:hint="eastAsia" w:cs="宋体"/>
          <w:color w:val="auto"/>
          <w:sz w:val="24"/>
          <w:highlight w:val="none"/>
        </w:rPr>
        <w:t>9.1</w:t>
      </w:r>
      <w:r>
        <w:rPr>
          <w:rFonts w:ascii="宋体" w:hAnsi="宋体" w:cs="宋体"/>
          <w:color w:val="auto"/>
          <w:sz w:val="24"/>
          <w:highlight w:val="none"/>
        </w:rPr>
        <w:t>发包人要求</w:t>
      </w:r>
      <w:r>
        <w:rPr>
          <w:rFonts w:hint="eastAsia" w:ascii="宋体" w:hAnsi="宋体" w:cs="宋体"/>
          <w:color w:val="auto"/>
          <w:sz w:val="24"/>
          <w:highlight w:val="none"/>
        </w:rPr>
        <w:t>承包人</w:t>
      </w:r>
      <w:r>
        <w:rPr>
          <w:rFonts w:ascii="宋体" w:hAnsi="宋体" w:cs="宋体"/>
          <w:color w:val="auto"/>
          <w:sz w:val="24"/>
          <w:highlight w:val="none"/>
        </w:rPr>
        <w:t>派专人留驻现场进行配合与解决有关问题时，双方应另行签订补充协议或技术咨询服务合同。</w:t>
      </w:r>
    </w:p>
    <w:p>
      <w:pPr>
        <w:tabs>
          <w:tab w:val="left" w:pos="980"/>
        </w:tabs>
        <w:spacing w:line="360" w:lineRule="auto"/>
        <w:ind w:firstLine="456" w:firstLineChars="190"/>
        <w:rPr>
          <w:color w:val="auto"/>
          <w:sz w:val="24"/>
          <w:highlight w:val="none"/>
        </w:rPr>
      </w:pPr>
      <w:r>
        <w:rPr>
          <w:rFonts w:hint="eastAsia" w:cs="宋体"/>
          <w:color w:val="auto"/>
          <w:sz w:val="24"/>
          <w:highlight w:val="none"/>
        </w:rPr>
        <w:t>9.2</w:t>
      </w:r>
      <w:r>
        <w:rPr>
          <w:rFonts w:ascii="宋体" w:hAnsi="宋体" w:cs="宋体"/>
          <w:color w:val="auto"/>
          <w:sz w:val="24"/>
          <w:highlight w:val="none"/>
        </w:rPr>
        <w:t>本合同第四条规定</w:t>
      </w:r>
      <w:r>
        <w:rPr>
          <w:rFonts w:hint="eastAsia" w:ascii="宋体" w:hAnsi="宋体" w:cs="宋体"/>
          <w:color w:val="auto"/>
          <w:sz w:val="24"/>
          <w:highlight w:val="none"/>
        </w:rPr>
        <w:t>承包人</w:t>
      </w:r>
      <w:r>
        <w:rPr>
          <w:rFonts w:ascii="宋体" w:hAnsi="宋体" w:cs="宋体"/>
          <w:color w:val="auto"/>
          <w:sz w:val="24"/>
          <w:highlight w:val="none"/>
        </w:rPr>
        <w:t>交付的咨询资料及文件份数超过规定的份数，</w:t>
      </w:r>
      <w:r>
        <w:rPr>
          <w:rFonts w:hint="eastAsia" w:ascii="宋体" w:hAnsi="宋体" w:cs="宋体"/>
          <w:color w:val="auto"/>
          <w:sz w:val="24"/>
          <w:highlight w:val="none"/>
        </w:rPr>
        <w:t>承包人</w:t>
      </w:r>
      <w:r>
        <w:rPr>
          <w:rFonts w:ascii="宋体" w:hAnsi="宋体" w:cs="宋体"/>
          <w:color w:val="auto"/>
          <w:sz w:val="24"/>
          <w:highlight w:val="none"/>
        </w:rPr>
        <w:t>另收工本费。</w:t>
      </w:r>
    </w:p>
    <w:p>
      <w:pPr>
        <w:tabs>
          <w:tab w:val="left" w:pos="980"/>
        </w:tabs>
        <w:spacing w:line="360" w:lineRule="auto"/>
        <w:ind w:firstLine="456" w:firstLineChars="190"/>
        <w:rPr>
          <w:color w:val="auto"/>
          <w:sz w:val="24"/>
          <w:highlight w:val="none"/>
        </w:rPr>
      </w:pPr>
      <w:r>
        <w:rPr>
          <w:rFonts w:hint="eastAsia" w:cs="宋体"/>
          <w:color w:val="auto"/>
          <w:sz w:val="24"/>
          <w:highlight w:val="none"/>
        </w:rPr>
        <w:t>9.3</w:t>
      </w:r>
      <w:r>
        <w:rPr>
          <w:rFonts w:ascii="宋体" w:hAnsi="宋体" w:cs="宋体"/>
          <w:color w:val="auto"/>
          <w:sz w:val="24"/>
          <w:highlight w:val="none"/>
        </w:rPr>
        <w:t>发包人委托</w:t>
      </w:r>
      <w:r>
        <w:rPr>
          <w:rFonts w:hint="eastAsia" w:ascii="宋体" w:hAnsi="宋体" w:cs="宋体"/>
          <w:color w:val="auto"/>
          <w:sz w:val="24"/>
          <w:highlight w:val="none"/>
        </w:rPr>
        <w:t>承包人</w:t>
      </w:r>
      <w:r>
        <w:rPr>
          <w:rFonts w:ascii="宋体" w:hAnsi="宋体" w:cs="宋体"/>
          <w:color w:val="auto"/>
          <w:sz w:val="24"/>
          <w:highlight w:val="none"/>
        </w:rPr>
        <w:t>承担本合同内容之外的工作服务，另行支付费用。</w:t>
      </w:r>
    </w:p>
    <w:p>
      <w:pPr>
        <w:tabs>
          <w:tab w:val="left" w:pos="980"/>
        </w:tabs>
        <w:spacing w:line="360" w:lineRule="auto"/>
        <w:ind w:firstLine="456" w:firstLineChars="190"/>
        <w:rPr>
          <w:color w:val="auto"/>
          <w:sz w:val="24"/>
          <w:highlight w:val="none"/>
        </w:rPr>
      </w:pPr>
      <w:r>
        <w:rPr>
          <w:rFonts w:hint="eastAsia" w:cs="宋体"/>
          <w:color w:val="auto"/>
          <w:sz w:val="24"/>
          <w:highlight w:val="none"/>
        </w:rPr>
        <w:t>9.4</w:t>
      </w:r>
      <w:r>
        <w:rPr>
          <w:rFonts w:ascii="宋体" w:hAnsi="宋体" w:cs="宋体"/>
          <w:color w:val="auto"/>
          <w:sz w:val="24"/>
          <w:highlight w:val="none"/>
        </w:rPr>
        <w:t>由于不可抗力因素致使合同无法履行时，双方应及时协商解决。</w:t>
      </w:r>
    </w:p>
    <w:p>
      <w:pPr>
        <w:spacing w:line="360" w:lineRule="auto"/>
        <w:ind w:firstLine="456" w:firstLineChars="190"/>
        <w:rPr>
          <w:color w:val="auto"/>
          <w:highlight w:val="none"/>
        </w:rPr>
      </w:pPr>
      <w:r>
        <w:rPr>
          <w:rFonts w:hint="eastAsia" w:cs="宋体"/>
          <w:color w:val="auto"/>
          <w:sz w:val="24"/>
          <w:highlight w:val="none"/>
        </w:rPr>
        <w:t>9.5</w:t>
      </w:r>
      <w:r>
        <w:rPr>
          <w:rFonts w:ascii="宋体" w:hAnsi="宋体" w:cs="宋体"/>
          <w:color w:val="auto"/>
          <w:sz w:val="24"/>
          <w:highlight w:val="none"/>
        </w:rPr>
        <w:t>本合同发生争议，双方当事人应及时协商解决。也可由当地建设行政主管部门调解，调解不成时，可向项目所在地人民法院起诉。</w:t>
      </w:r>
    </w:p>
    <w:p>
      <w:pPr>
        <w:tabs>
          <w:tab w:val="left" w:pos="940"/>
          <w:tab w:val="left" w:pos="2200"/>
          <w:tab w:val="left" w:pos="2620"/>
          <w:tab w:val="left" w:pos="3860"/>
          <w:tab w:val="left" w:pos="4280"/>
          <w:tab w:val="left" w:pos="5540"/>
          <w:tab w:val="left" w:pos="5960"/>
        </w:tabs>
        <w:spacing w:line="360" w:lineRule="auto"/>
        <w:ind w:firstLine="456" w:firstLineChars="190"/>
        <w:rPr>
          <w:rFonts w:ascii="宋体" w:hAnsi="宋体" w:cs="宋体"/>
          <w:color w:val="auto"/>
          <w:sz w:val="24"/>
          <w:highlight w:val="none"/>
        </w:rPr>
      </w:pPr>
      <w:r>
        <w:rPr>
          <w:rFonts w:hint="eastAsia"/>
          <w:color w:val="auto"/>
          <w:sz w:val="24"/>
          <w:highlight w:val="none"/>
        </w:rPr>
        <w:t>9.6</w:t>
      </w:r>
      <w:r>
        <w:rPr>
          <w:rFonts w:eastAsia="Times New Roman"/>
          <w:color w:val="auto"/>
          <w:sz w:val="24"/>
          <w:highlight w:val="none"/>
        </w:rPr>
        <w:tab/>
      </w:r>
      <w:r>
        <w:rPr>
          <w:rFonts w:ascii="宋体" w:hAnsi="宋体" w:cs="宋体"/>
          <w:color w:val="auto"/>
          <w:sz w:val="24"/>
          <w:highlight w:val="none"/>
        </w:rPr>
        <w:t>本合同一式</w:t>
      </w:r>
      <w:r>
        <w:rPr>
          <w:rFonts w:eastAsia="Times New Roman"/>
          <w:color w:val="auto"/>
          <w:sz w:val="24"/>
          <w:highlight w:val="none"/>
        </w:rPr>
        <w:tab/>
      </w:r>
      <w:r>
        <w:rPr>
          <w:rFonts w:ascii="宋体" w:hAnsi="宋体" w:cs="宋体"/>
          <w:color w:val="auto"/>
          <w:sz w:val="24"/>
          <w:highlight w:val="none"/>
        </w:rPr>
        <w:t>捌</w:t>
      </w:r>
      <w:r>
        <w:rPr>
          <w:rFonts w:eastAsia="Times New Roman"/>
          <w:color w:val="auto"/>
          <w:sz w:val="24"/>
          <w:highlight w:val="none"/>
        </w:rPr>
        <w:tab/>
      </w:r>
      <w:r>
        <w:rPr>
          <w:rFonts w:ascii="宋体" w:hAnsi="宋体" w:cs="宋体"/>
          <w:color w:val="auto"/>
          <w:sz w:val="24"/>
          <w:highlight w:val="none"/>
        </w:rPr>
        <w:t>份，发包人</w:t>
      </w:r>
      <w:r>
        <w:rPr>
          <w:rFonts w:eastAsia="Times New Roman"/>
          <w:color w:val="auto"/>
          <w:sz w:val="24"/>
          <w:highlight w:val="none"/>
        </w:rPr>
        <w:tab/>
      </w:r>
      <w:r>
        <w:rPr>
          <w:rFonts w:ascii="宋体" w:hAnsi="宋体" w:cs="宋体"/>
          <w:color w:val="auto"/>
          <w:sz w:val="24"/>
          <w:highlight w:val="none"/>
          <w:u w:val="single"/>
        </w:rPr>
        <w:t>叁</w:t>
      </w:r>
      <w:r>
        <w:rPr>
          <w:rFonts w:eastAsia="Times New Roman"/>
          <w:color w:val="auto"/>
          <w:sz w:val="24"/>
          <w:highlight w:val="none"/>
          <w:u w:val="single"/>
        </w:rPr>
        <w:tab/>
      </w:r>
      <w:r>
        <w:rPr>
          <w:rFonts w:ascii="宋体" w:hAnsi="宋体" w:cs="宋体"/>
          <w:color w:val="auto"/>
          <w:sz w:val="24"/>
          <w:highlight w:val="none"/>
        </w:rPr>
        <w:t>份，</w:t>
      </w:r>
      <w:r>
        <w:rPr>
          <w:rFonts w:hint="eastAsia" w:ascii="宋体" w:hAnsi="宋体" w:cs="宋体"/>
          <w:color w:val="auto"/>
          <w:sz w:val="24"/>
          <w:highlight w:val="none"/>
        </w:rPr>
        <w:t>承包人</w:t>
      </w:r>
      <w:r>
        <w:rPr>
          <w:rFonts w:eastAsia="Times New Roman"/>
          <w:color w:val="auto"/>
          <w:sz w:val="24"/>
          <w:highlight w:val="none"/>
        </w:rPr>
        <w:tab/>
      </w:r>
      <w:r>
        <w:rPr>
          <w:rFonts w:ascii="宋体" w:hAnsi="宋体" w:cs="宋体"/>
          <w:color w:val="auto"/>
          <w:sz w:val="24"/>
          <w:highlight w:val="none"/>
          <w:u w:val="single"/>
        </w:rPr>
        <w:t>叁</w:t>
      </w:r>
      <w:r>
        <w:rPr>
          <w:rFonts w:eastAsia="Times New Roman"/>
          <w:color w:val="auto"/>
          <w:sz w:val="24"/>
          <w:highlight w:val="none"/>
          <w:u w:val="single"/>
        </w:rPr>
        <w:tab/>
      </w:r>
      <w:r>
        <w:rPr>
          <w:rFonts w:ascii="宋体" w:hAnsi="宋体" w:cs="宋体"/>
          <w:color w:val="auto"/>
          <w:sz w:val="24"/>
          <w:highlight w:val="none"/>
        </w:rPr>
        <w:t>份，招标代理机构</w:t>
      </w:r>
      <w:r>
        <w:rPr>
          <w:rFonts w:ascii="宋体" w:hAnsi="宋体" w:cs="宋体"/>
          <w:color w:val="auto"/>
          <w:sz w:val="24"/>
          <w:highlight w:val="none"/>
          <w:u w:val="single"/>
        </w:rPr>
        <w:t xml:space="preserve"> 壹 </w:t>
      </w:r>
      <w:r>
        <w:rPr>
          <w:rFonts w:ascii="宋体" w:hAnsi="宋体" w:cs="宋体"/>
          <w:color w:val="auto"/>
          <w:sz w:val="24"/>
          <w:highlight w:val="none"/>
        </w:rPr>
        <w:t>份，监督部门</w:t>
      </w:r>
      <w:r>
        <w:rPr>
          <w:rFonts w:ascii="宋体" w:hAnsi="宋体" w:cs="宋体"/>
          <w:color w:val="auto"/>
          <w:sz w:val="24"/>
          <w:highlight w:val="none"/>
          <w:u w:val="single"/>
        </w:rPr>
        <w:t>壹</w:t>
      </w:r>
      <w:r>
        <w:rPr>
          <w:rFonts w:ascii="宋体" w:hAnsi="宋体" w:cs="宋体"/>
          <w:color w:val="auto"/>
          <w:sz w:val="24"/>
          <w:highlight w:val="none"/>
        </w:rPr>
        <w:t>份。</w:t>
      </w:r>
    </w:p>
    <w:p>
      <w:pPr>
        <w:tabs>
          <w:tab w:val="left" w:pos="940"/>
        </w:tabs>
        <w:spacing w:line="360" w:lineRule="auto"/>
        <w:ind w:firstLine="456" w:firstLineChars="190"/>
        <w:rPr>
          <w:color w:val="auto"/>
          <w:sz w:val="24"/>
          <w:highlight w:val="none"/>
        </w:rPr>
      </w:pPr>
      <w:r>
        <w:rPr>
          <w:rFonts w:hint="eastAsia" w:cs="宋体"/>
          <w:color w:val="auto"/>
          <w:sz w:val="24"/>
          <w:highlight w:val="none"/>
        </w:rPr>
        <w:t>9.7</w:t>
      </w:r>
      <w:r>
        <w:rPr>
          <w:rFonts w:ascii="宋体" w:hAnsi="宋体" w:cs="宋体"/>
          <w:color w:val="auto"/>
          <w:sz w:val="24"/>
          <w:highlight w:val="none"/>
        </w:rPr>
        <w:t>本合同经双方签章后生效。</w:t>
      </w:r>
    </w:p>
    <w:p>
      <w:pPr>
        <w:tabs>
          <w:tab w:val="left" w:pos="940"/>
        </w:tabs>
        <w:spacing w:line="360" w:lineRule="auto"/>
        <w:ind w:firstLine="456" w:firstLineChars="190"/>
        <w:rPr>
          <w:color w:val="auto"/>
          <w:sz w:val="24"/>
          <w:highlight w:val="none"/>
        </w:rPr>
      </w:pPr>
      <w:r>
        <w:rPr>
          <w:rFonts w:hint="eastAsia" w:cs="宋体"/>
          <w:color w:val="auto"/>
          <w:sz w:val="24"/>
          <w:highlight w:val="none"/>
        </w:rPr>
        <w:t>9.8</w:t>
      </w:r>
      <w:r>
        <w:rPr>
          <w:rFonts w:ascii="宋体" w:hAnsi="宋体" w:cs="宋体"/>
          <w:color w:val="auto"/>
          <w:sz w:val="24"/>
          <w:highlight w:val="none"/>
        </w:rPr>
        <w:t>本合同未尽事宜，双方可签订补充协议，与本合同具有同等法律效力。</w:t>
      </w:r>
    </w:p>
    <w:p>
      <w:pPr>
        <w:tabs>
          <w:tab w:val="left" w:pos="940"/>
        </w:tabs>
        <w:spacing w:line="360" w:lineRule="auto"/>
        <w:ind w:firstLine="456" w:firstLineChars="190"/>
        <w:rPr>
          <w:color w:val="auto"/>
          <w:sz w:val="24"/>
          <w:highlight w:val="none"/>
        </w:rPr>
      </w:pPr>
      <w:r>
        <w:rPr>
          <w:rFonts w:hint="eastAsia" w:cs="宋体"/>
          <w:color w:val="auto"/>
          <w:sz w:val="24"/>
          <w:highlight w:val="none"/>
        </w:rPr>
        <w:t>9.9</w:t>
      </w:r>
      <w:r>
        <w:rPr>
          <w:rFonts w:ascii="宋体" w:hAnsi="宋体" w:cs="宋体"/>
          <w:color w:val="auto"/>
          <w:sz w:val="24"/>
          <w:highlight w:val="none"/>
        </w:rPr>
        <w:t>其它约定事项：无</w:t>
      </w:r>
      <w:r>
        <w:rPr>
          <w:rFonts w:ascii="宋体" w:hAnsi="宋体" w:cs="宋体"/>
          <w:bCs/>
          <w:color w:val="auto"/>
          <w:sz w:val="24"/>
          <w:highlight w:val="none"/>
        </w:rPr>
        <w:t>。</w:t>
      </w:r>
    </w:p>
    <w:p>
      <w:pPr>
        <w:spacing w:line="360" w:lineRule="auto"/>
        <w:ind w:firstLine="399" w:firstLineChars="190"/>
        <w:rPr>
          <w:color w:val="auto"/>
          <w:highlight w:val="none"/>
        </w:rPr>
      </w:pPr>
      <w:bookmarkStart w:id="316" w:name="page27"/>
      <w:bookmarkEnd w:id="316"/>
    </w:p>
    <w:p>
      <w:pPr>
        <w:spacing w:line="360" w:lineRule="auto"/>
        <w:ind w:firstLine="399" w:firstLineChars="190"/>
        <w:rPr>
          <w:color w:val="auto"/>
          <w:highlight w:val="none"/>
        </w:rPr>
      </w:pPr>
    </w:p>
    <w:p>
      <w:pPr>
        <w:spacing w:line="360" w:lineRule="auto"/>
        <w:ind w:firstLine="399" w:firstLineChars="190"/>
        <w:rPr>
          <w:color w:val="auto"/>
          <w:highlight w:val="none"/>
        </w:rPr>
      </w:pPr>
    </w:p>
    <w:p>
      <w:pPr>
        <w:spacing w:line="360" w:lineRule="auto"/>
        <w:ind w:firstLine="399" w:firstLineChars="190"/>
        <w:rPr>
          <w:color w:val="auto"/>
          <w:highlight w:val="none"/>
        </w:rPr>
      </w:pPr>
    </w:p>
    <w:p>
      <w:pPr>
        <w:pStyle w:val="2"/>
        <w:rPr>
          <w:color w:val="auto"/>
          <w:highlight w:val="none"/>
        </w:rPr>
      </w:pPr>
    </w:p>
    <w:p>
      <w:pPr>
        <w:spacing w:line="360" w:lineRule="auto"/>
        <w:ind w:firstLine="399" w:firstLineChars="190"/>
        <w:rPr>
          <w:color w:val="auto"/>
          <w:highlight w:val="none"/>
        </w:rPr>
      </w:pPr>
    </w:p>
    <w:p>
      <w:pPr>
        <w:spacing w:line="350" w:lineRule="exact"/>
        <w:ind w:firstLine="456" w:firstLineChars="190"/>
        <w:rPr>
          <w:rFonts w:eastAsia="Times New Roman"/>
          <w:color w:val="auto"/>
          <w:sz w:val="24"/>
          <w:highlight w:val="none"/>
        </w:rPr>
      </w:pPr>
    </w:p>
    <w:p>
      <w:pPr>
        <w:spacing w:line="350" w:lineRule="exact"/>
        <w:ind w:firstLine="456" w:firstLineChars="190"/>
        <w:rPr>
          <w:rFonts w:eastAsia="Times New Roman"/>
          <w:color w:val="auto"/>
          <w:sz w:val="24"/>
          <w:highlight w:val="none"/>
        </w:rPr>
      </w:pPr>
    </w:p>
    <w:p>
      <w:pPr>
        <w:tabs>
          <w:tab w:val="left" w:pos="4640"/>
        </w:tabs>
        <w:spacing w:line="237" w:lineRule="auto"/>
        <w:ind w:firstLine="456" w:firstLineChars="190"/>
        <w:rPr>
          <w:color w:val="auto"/>
          <w:highlight w:val="none"/>
        </w:rPr>
      </w:pPr>
      <w:r>
        <w:rPr>
          <w:rFonts w:ascii="宋体" w:hAnsi="宋体" w:cs="宋体"/>
          <w:color w:val="auto"/>
          <w:sz w:val="24"/>
          <w:highlight w:val="none"/>
        </w:rPr>
        <w:t>发包人名称：（盖章）</w:t>
      </w:r>
      <w:r>
        <w:rPr>
          <w:rFonts w:hint="eastAsia" w:ascii="宋体" w:hAnsi="宋体" w:cs="宋体"/>
          <w:color w:val="auto"/>
          <w:sz w:val="24"/>
          <w:highlight w:val="none"/>
        </w:rPr>
        <w:t>承包人</w:t>
      </w:r>
      <w:r>
        <w:rPr>
          <w:rFonts w:ascii="宋体" w:hAnsi="宋体" w:cs="宋体"/>
          <w:color w:val="auto"/>
          <w:sz w:val="24"/>
          <w:highlight w:val="none"/>
        </w:rPr>
        <w:t>名称：（盖章）</w:t>
      </w:r>
    </w:p>
    <w:p>
      <w:pPr>
        <w:spacing w:line="200" w:lineRule="exact"/>
        <w:rPr>
          <w:rFonts w:eastAsia="Times New Roman"/>
          <w:color w:val="auto"/>
          <w:sz w:val="24"/>
          <w:highlight w:val="none"/>
        </w:rPr>
      </w:pPr>
    </w:p>
    <w:p>
      <w:pPr>
        <w:spacing w:line="200" w:lineRule="exact"/>
        <w:rPr>
          <w:rFonts w:eastAsia="Times New Roman"/>
          <w:color w:val="auto"/>
          <w:sz w:val="24"/>
          <w:highlight w:val="none"/>
        </w:rPr>
      </w:pPr>
    </w:p>
    <w:p>
      <w:pPr>
        <w:spacing w:line="200" w:lineRule="exact"/>
        <w:rPr>
          <w:rFonts w:eastAsia="Times New Roman"/>
          <w:color w:val="auto"/>
          <w:sz w:val="24"/>
          <w:highlight w:val="none"/>
        </w:rPr>
      </w:pPr>
    </w:p>
    <w:p>
      <w:pPr>
        <w:spacing w:line="363" w:lineRule="exact"/>
        <w:rPr>
          <w:rFonts w:eastAsia="Times New Roman"/>
          <w:color w:val="auto"/>
          <w:sz w:val="24"/>
          <w:highlight w:val="none"/>
        </w:rPr>
      </w:pPr>
    </w:p>
    <w:tbl>
      <w:tblPr>
        <w:tblStyle w:val="20"/>
        <w:tblW w:w="98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5"/>
        <w:gridCol w:w="2960"/>
        <w:gridCol w:w="2042"/>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jc w:val="center"/>
        </w:trPr>
        <w:tc>
          <w:tcPr>
            <w:tcW w:w="4375" w:type="dxa"/>
            <w:gridSpan w:val="2"/>
            <w:vAlign w:val="center"/>
          </w:tcPr>
          <w:p>
            <w:pPr>
              <w:spacing w:line="239" w:lineRule="exact"/>
              <w:jc w:val="center"/>
              <w:rPr>
                <w:color w:val="auto"/>
                <w:highlight w:val="none"/>
              </w:rPr>
            </w:pPr>
            <w:r>
              <w:rPr>
                <w:rFonts w:ascii="宋体" w:hAnsi="宋体" w:cs="宋体"/>
                <w:color w:val="auto"/>
                <w:sz w:val="24"/>
                <w:highlight w:val="none"/>
              </w:rPr>
              <w:t>法定代表人：（签字）</w:t>
            </w:r>
          </w:p>
        </w:tc>
        <w:tc>
          <w:tcPr>
            <w:tcW w:w="5501" w:type="dxa"/>
            <w:gridSpan w:val="2"/>
            <w:vAlign w:val="center"/>
          </w:tcPr>
          <w:p>
            <w:pPr>
              <w:spacing w:line="239" w:lineRule="exact"/>
              <w:ind w:left="1280"/>
              <w:jc w:val="center"/>
              <w:rPr>
                <w:color w:val="auto"/>
                <w:highlight w:val="none"/>
              </w:rPr>
            </w:pPr>
            <w:r>
              <w:rPr>
                <w:rFonts w:ascii="宋体" w:hAnsi="宋体" w:cs="宋体"/>
                <w:color w:val="auto"/>
                <w:w w:val="99"/>
                <w:sz w:val="24"/>
                <w:highlight w:val="none"/>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jc w:val="center"/>
        </w:trPr>
        <w:tc>
          <w:tcPr>
            <w:tcW w:w="4375" w:type="dxa"/>
            <w:gridSpan w:val="2"/>
            <w:vAlign w:val="center"/>
          </w:tcPr>
          <w:p>
            <w:pPr>
              <w:spacing w:line="239" w:lineRule="exact"/>
              <w:jc w:val="center"/>
              <w:rPr>
                <w:color w:val="auto"/>
                <w:highlight w:val="none"/>
              </w:rPr>
            </w:pPr>
            <w:r>
              <w:rPr>
                <w:rFonts w:ascii="宋体" w:hAnsi="宋体" w:cs="宋体"/>
                <w:color w:val="auto"/>
                <w:sz w:val="24"/>
                <w:highlight w:val="none"/>
              </w:rPr>
              <w:t>委托代理人：（签字）</w:t>
            </w:r>
          </w:p>
        </w:tc>
        <w:tc>
          <w:tcPr>
            <w:tcW w:w="5501" w:type="dxa"/>
            <w:gridSpan w:val="2"/>
            <w:vAlign w:val="center"/>
          </w:tcPr>
          <w:p>
            <w:pPr>
              <w:spacing w:line="239" w:lineRule="exact"/>
              <w:ind w:left="1280"/>
              <w:jc w:val="center"/>
              <w:rPr>
                <w:color w:val="auto"/>
                <w:highlight w:val="none"/>
              </w:rPr>
            </w:pPr>
            <w:r>
              <w:rPr>
                <w:rFonts w:ascii="宋体" w:hAnsi="宋体" w:cs="宋体"/>
                <w:color w:val="auto"/>
                <w:w w:val="99"/>
                <w:sz w:val="24"/>
                <w:highlight w:val="none"/>
              </w:rPr>
              <w:t>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jc w:val="center"/>
        </w:trPr>
        <w:tc>
          <w:tcPr>
            <w:tcW w:w="1415" w:type="dxa"/>
            <w:vAlign w:val="bottom"/>
          </w:tcPr>
          <w:p>
            <w:pPr>
              <w:spacing w:line="239" w:lineRule="exact"/>
              <w:rPr>
                <w:color w:val="auto"/>
                <w:highlight w:val="none"/>
              </w:rPr>
            </w:pPr>
            <w:r>
              <w:rPr>
                <w:rFonts w:ascii="宋体" w:hAnsi="宋体" w:cs="宋体"/>
                <w:color w:val="auto"/>
                <w:sz w:val="24"/>
                <w:highlight w:val="none"/>
              </w:rPr>
              <w:t>住所：</w:t>
            </w:r>
          </w:p>
        </w:tc>
        <w:tc>
          <w:tcPr>
            <w:tcW w:w="2960" w:type="dxa"/>
            <w:vAlign w:val="bottom"/>
          </w:tcPr>
          <w:p>
            <w:pPr>
              <w:spacing w:line="239" w:lineRule="exact"/>
              <w:ind w:left="200"/>
              <w:rPr>
                <w:color w:val="auto"/>
                <w:highlight w:val="none"/>
              </w:rPr>
            </w:pPr>
          </w:p>
        </w:tc>
        <w:tc>
          <w:tcPr>
            <w:tcW w:w="2042" w:type="dxa"/>
            <w:vAlign w:val="center"/>
          </w:tcPr>
          <w:p>
            <w:pPr>
              <w:spacing w:line="239" w:lineRule="exact"/>
              <w:jc w:val="center"/>
              <w:rPr>
                <w:color w:val="auto"/>
                <w:highlight w:val="none"/>
              </w:rPr>
            </w:pPr>
            <w:r>
              <w:rPr>
                <w:rFonts w:ascii="宋体" w:hAnsi="宋体" w:cs="宋体"/>
                <w:color w:val="auto"/>
                <w:sz w:val="24"/>
                <w:highlight w:val="none"/>
              </w:rPr>
              <w:t>住所：</w:t>
            </w:r>
          </w:p>
        </w:tc>
        <w:tc>
          <w:tcPr>
            <w:tcW w:w="3459" w:type="dxa"/>
            <w:vAlign w:val="bottom"/>
          </w:tcPr>
          <w:p>
            <w:pPr>
              <w:spacing w:line="239" w:lineRule="exact"/>
              <w:ind w:left="2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375" w:type="dxa"/>
            <w:gridSpan w:val="2"/>
            <w:vAlign w:val="bottom"/>
          </w:tcPr>
          <w:p>
            <w:pPr>
              <w:spacing w:line="239" w:lineRule="exact"/>
              <w:rPr>
                <w:color w:val="auto"/>
                <w:highlight w:val="none"/>
              </w:rPr>
            </w:pPr>
            <w:r>
              <w:rPr>
                <w:rFonts w:ascii="宋体" w:hAnsi="宋体" w:cs="宋体"/>
                <w:color w:val="auto"/>
                <w:sz w:val="24"/>
                <w:highlight w:val="none"/>
              </w:rPr>
              <w:t>邮政编码：</w:t>
            </w:r>
          </w:p>
        </w:tc>
        <w:tc>
          <w:tcPr>
            <w:tcW w:w="2042" w:type="dxa"/>
            <w:vAlign w:val="center"/>
          </w:tcPr>
          <w:p>
            <w:pPr>
              <w:spacing w:line="239" w:lineRule="exact"/>
              <w:jc w:val="center"/>
              <w:rPr>
                <w:color w:val="auto"/>
                <w:highlight w:val="none"/>
              </w:rPr>
            </w:pPr>
            <w:r>
              <w:rPr>
                <w:rFonts w:ascii="宋体" w:hAnsi="宋体" w:cs="宋体"/>
                <w:color w:val="auto"/>
                <w:sz w:val="24"/>
                <w:highlight w:val="none"/>
              </w:rPr>
              <w:t>邮编：</w:t>
            </w:r>
          </w:p>
        </w:tc>
        <w:tc>
          <w:tcPr>
            <w:tcW w:w="3459" w:type="dxa"/>
            <w:vAlign w:val="bottom"/>
          </w:tcPr>
          <w:p>
            <w:pPr>
              <w:spacing w:line="239" w:lineRule="exact"/>
              <w:ind w:left="2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1415" w:type="dxa"/>
            <w:vAlign w:val="bottom"/>
          </w:tcPr>
          <w:p>
            <w:pPr>
              <w:spacing w:line="239" w:lineRule="exact"/>
              <w:rPr>
                <w:color w:val="auto"/>
                <w:highlight w:val="none"/>
              </w:rPr>
            </w:pPr>
            <w:r>
              <w:rPr>
                <w:rFonts w:ascii="宋体" w:hAnsi="宋体" w:cs="宋体"/>
                <w:color w:val="auto"/>
                <w:sz w:val="24"/>
                <w:highlight w:val="none"/>
              </w:rPr>
              <w:t>电话：</w:t>
            </w:r>
          </w:p>
        </w:tc>
        <w:tc>
          <w:tcPr>
            <w:tcW w:w="2960" w:type="dxa"/>
            <w:vAlign w:val="bottom"/>
          </w:tcPr>
          <w:p>
            <w:pPr>
              <w:spacing w:line="239" w:lineRule="exact"/>
              <w:ind w:left="200"/>
              <w:rPr>
                <w:color w:val="auto"/>
                <w:highlight w:val="none"/>
              </w:rPr>
            </w:pPr>
          </w:p>
        </w:tc>
        <w:tc>
          <w:tcPr>
            <w:tcW w:w="2042" w:type="dxa"/>
            <w:vAlign w:val="center"/>
          </w:tcPr>
          <w:p>
            <w:pPr>
              <w:spacing w:line="239" w:lineRule="exact"/>
              <w:jc w:val="center"/>
              <w:rPr>
                <w:color w:val="auto"/>
                <w:highlight w:val="none"/>
              </w:rPr>
            </w:pPr>
            <w:r>
              <w:rPr>
                <w:rFonts w:ascii="宋体" w:hAnsi="宋体" w:cs="宋体"/>
                <w:color w:val="auto"/>
                <w:sz w:val="24"/>
                <w:highlight w:val="none"/>
              </w:rPr>
              <w:t>电话：</w:t>
            </w:r>
          </w:p>
        </w:tc>
        <w:tc>
          <w:tcPr>
            <w:tcW w:w="3459" w:type="dxa"/>
            <w:vAlign w:val="bottom"/>
          </w:tcPr>
          <w:p>
            <w:pPr>
              <w:spacing w:line="239" w:lineRule="exact"/>
              <w:ind w:left="2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jc w:val="center"/>
        </w:trPr>
        <w:tc>
          <w:tcPr>
            <w:tcW w:w="1415" w:type="dxa"/>
            <w:vAlign w:val="bottom"/>
          </w:tcPr>
          <w:p>
            <w:pPr>
              <w:spacing w:line="239" w:lineRule="exact"/>
              <w:rPr>
                <w:color w:val="auto"/>
                <w:highlight w:val="none"/>
              </w:rPr>
            </w:pPr>
            <w:r>
              <w:rPr>
                <w:rFonts w:ascii="宋体" w:hAnsi="宋体" w:cs="宋体"/>
                <w:color w:val="auto"/>
                <w:sz w:val="24"/>
                <w:highlight w:val="none"/>
              </w:rPr>
              <w:t>传真：</w:t>
            </w:r>
          </w:p>
        </w:tc>
        <w:tc>
          <w:tcPr>
            <w:tcW w:w="2960" w:type="dxa"/>
            <w:vAlign w:val="bottom"/>
          </w:tcPr>
          <w:p>
            <w:pPr>
              <w:spacing w:line="239" w:lineRule="exact"/>
              <w:ind w:left="200"/>
              <w:rPr>
                <w:color w:val="auto"/>
                <w:highlight w:val="none"/>
              </w:rPr>
            </w:pPr>
          </w:p>
        </w:tc>
        <w:tc>
          <w:tcPr>
            <w:tcW w:w="2042" w:type="dxa"/>
            <w:vAlign w:val="center"/>
          </w:tcPr>
          <w:p>
            <w:pPr>
              <w:spacing w:line="239" w:lineRule="exact"/>
              <w:jc w:val="center"/>
              <w:rPr>
                <w:color w:val="auto"/>
                <w:highlight w:val="none"/>
              </w:rPr>
            </w:pPr>
            <w:r>
              <w:rPr>
                <w:rFonts w:ascii="宋体" w:hAnsi="宋体" w:cs="宋体"/>
                <w:color w:val="auto"/>
                <w:sz w:val="24"/>
                <w:highlight w:val="none"/>
              </w:rPr>
              <w:t>传真：</w:t>
            </w:r>
          </w:p>
        </w:tc>
        <w:tc>
          <w:tcPr>
            <w:tcW w:w="3459" w:type="dxa"/>
            <w:vAlign w:val="bottom"/>
          </w:tcPr>
          <w:p>
            <w:pPr>
              <w:spacing w:line="239" w:lineRule="exact"/>
              <w:ind w:left="2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375" w:type="dxa"/>
            <w:gridSpan w:val="2"/>
            <w:vAlign w:val="bottom"/>
          </w:tcPr>
          <w:p>
            <w:pPr>
              <w:spacing w:line="239" w:lineRule="exact"/>
              <w:rPr>
                <w:color w:val="auto"/>
                <w:highlight w:val="none"/>
              </w:rPr>
            </w:pPr>
            <w:r>
              <w:rPr>
                <w:rFonts w:ascii="宋体" w:hAnsi="宋体" w:cs="宋体"/>
                <w:color w:val="auto"/>
                <w:sz w:val="24"/>
                <w:highlight w:val="none"/>
              </w:rPr>
              <w:t>开户银行：</w:t>
            </w:r>
          </w:p>
        </w:tc>
        <w:tc>
          <w:tcPr>
            <w:tcW w:w="5501" w:type="dxa"/>
            <w:gridSpan w:val="2"/>
            <w:vAlign w:val="bottom"/>
          </w:tcPr>
          <w:p>
            <w:pPr>
              <w:spacing w:line="239" w:lineRule="exact"/>
              <w:rPr>
                <w:color w:val="auto"/>
                <w:highlight w:val="none"/>
              </w:rPr>
            </w:pPr>
            <w:r>
              <w:rPr>
                <w:rFonts w:ascii="宋体" w:hAnsi="宋体" w:cs="宋体"/>
                <w:color w:val="auto"/>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jc w:val="center"/>
        </w:trPr>
        <w:tc>
          <w:tcPr>
            <w:tcW w:w="4375" w:type="dxa"/>
            <w:gridSpan w:val="2"/>
            <w:vAlign w:val="bottom"/>
          </w:tcPr>
          <w:p>
            <w:pPr>
              <w:spacing w:line="239" w:lineRule="exact"/>
              <w:rPr>
                <w:color w:val="auto"/>
                <w:highlight w:val="none"/>
              </w:rPr>
            </w:pPr>
            <w:r>
              <w:rPr>
                <w:rFonts w:ascii="宋体" w:hAnsi="宋体" w:cs="宋体"/>
                <w:color w:val="auto"/>
                <w:sz w:val="24"/>
                <w:highlight w:val="none"/>
              </w:rPr>
              <w:t>银行帐号：</w:t>
            </w:r>
          </w:p>
        </w:tc>
        <w:tc>
          <w:tcPr>
            <w:tcW w:w="5501" w:type="dxa"/>
            <w:gridSpan w:val="2"/>
            <w:vAlign w:val="bottom"/>
          </w:tcPr>
          <w:p>
            <w:pPr>
              <w:spacing w:line="239" w:lineRule="exact"/>
              <w:rPr>
                <w:color w:val="auto"/>
                <w:highlight w:val="none"/>
              </w:rPr>
            </w:pPr>
            <w:r>
              <w:rPr>
                <w:rFonts w:ascii="宋体" w:hAnsi="宋体" w:cs="宋体"/>
                <w:color w:val="auto"/>
                <w:sz w:val="24"/>
                <w:highlight w:val="none"/>
              </w:rPr>
              <w:t>银行帐号：</w:t>
            </w:r>
          </w:p>
        </w:tc>
      </w:tr>
    </w:tbl>
    <w:p>
      <w:pPr>
        <w:tabs>
          <w:tab w:val="left" w:pos="3570"/>
        </w:tabs>
        <w:spacing w:line="500" w:lineRule="exact"/>
        <w:rPr>
          <w:rFonts w:ascii="仿宋_GB2312" w:hAnsi="宋体" w:eastAsia="仿宋_GB2312" w:cs="宋体"/>
          <w:color w:val="auto"/>
          <w:sz w:val="24"/>
          <w:highlight w:val="none"/>
        </w:rPr>
      </w:pPr>
    </w:p>
    <w:p>
      <w:pPr>
        <w:pStyle w:val="10"/>
        <w:rPr>
          <w:b/>
          <w:bCs/>
          <w:color w:val="auto"/>
          <w:sz w:val="44"/>
          <w:highlight w:val="none"/>
        </w:rPr>
      </w:pPr>
    </w:p>
    <w:p>
      <w:pPr>
        <w:snapToGrid w:val="0"/>
        <w:spacing w:before="120" w:after="120" w:line="360" w:lineRule="auto"/>
        <w:jc w:val="center"/>
        <w:outlineLvl w:val="0"/>
        <w:rPr>
          <w:rFonts w:ascii="Arial" w:hAnsi="Arial" w:eastAsia="仿宋_GB2312" w:cs="Arial"/>
          <w:color w:val="auto"/>
          <w:sz w:val="32"/>
          <w:szCs w:val="32"/>
          <w:highlight w:val="none"/>
        </w:rPr>
      </w:pPr>
    </w:p>
    <w:p>
      <w:pPr>
        <w:snapToGrid w:val="0"/>
        <w:spacing w:before="120" w:after="120" w:line="360" w:lineRule="auto"/>
        <w:jc w:val="center"/>
        <w:outlineLvl w:val="0"/>
        <w:rPr>
          <w:rFonts w:ascii="Arial" w:hAnsi="Arial" w:eastAsia="仿宋_GB2312" w:cs="Arial"/>
          <w:color w:val="auto"/>
          <w:sz w:val="32"/>
          <w:szCs w:val="32"/>
          <w:highlight w:val="none"/>
        </w:rPr>
      </w:pPr>
    </w:p>
    <w:p>
      <w:pPr>
        <w:snapToGrid w:val="0"/>
        <w:spacing w:before="120" w:after="120" w:line="360" w:lineRule="auto"/>
        <w:jc w:val="center"/>
        <w:outlineLvl w:val="0"/>
        <w:rPr>
          <w:rFonts w:ascii="Arial" w:hAnsi="Arial" w:eastAsia="仿宋_GB2312" w:cs="Arial"/>
          <w:color w:val="auto"/>
          <w:sz w:val="32"/>
          <w:szCs w:val="32"/>
          <w:highlight w:val="none"/>
        </w:rPr>
      </w:pPr>
    </w:p>
    <w:p>
      <w:pPr>
        <w:snapToGrid w:val="0"/>
        <w:spacing w:before="120" w:after="120" w:line="360" w:lineRule="auto"/>
        <w:jc w:val="center"/>
        <w:outlineLvl w:val="0"/>
        <w:rPr>
          <w:rFonts w:ascii="Arial" w:hAnsi="Arial" w:eastAsia="仿宋_GB2312" w:cs="Arial"/>
          <w:color w:val="auto"/>
          <w:sz w:val="32"/>
          <w:szCs w:val="32"/>
          <w:highlight w:val="none"/>
        </w:rPr>
      </w:pPr>
    </w:p>
    <w:p>
      <w:pPr>
        <w:pStyle w:val="4"/>
        <w:rPr>
          <w:rFonts w:eastAsia="仿宋_GB2312" w:cs="Arial"/>
          <w:color w:val="auto"/>
          <w:highlight w:val="none"/>
        </w:rPr>
      </w:pPr>
    </w:p>
    <w:p>
      <w:pPr>
        <w:rPr>
          <w:rFonts w:ascii="Arial" w:hAnsi="Arial" w:eastAsia="仿宋_GB2312" w:cs="Arial"/>
          <w:color w:val="auto"/>
          <w:sz w:val="32"/>
          <w:szCs w:val="32"/>
          <w:highlight w:val="none"/>
        </w:rPr>
      </w:pPr>
    </w:p>
    <w:p>
      <w:pPr>
        <w:pStyle w:val="4"/>
        <w:rPr>
          <w:color w:val="auto"/>
          <w:highlight w:val="none"/>
        </w:rPr>
      </w:pPr>
    </w:p>
    <w:p>
      <w:pPr>
        <w:snapToGrid w:val="0"/>
        <w:spacing w:before="120" w:after="120" w:line="320" w:lineRule="exact"/>
        <w:jc w:val="center"/>
        <w:outlineLvl w:val="0"/>
        <w:rPr>
          <w:rFonts w:ascii="Arial" w:hAnsi="Arial" w:eastAsia="仿宋_GB2312" w:cs="Arial"/>
          <w:color w:val="auto"/>
          <w:sz w:val="32"/>
          <w:szCs w:val="32"/>
          <w:highlight w:val="none"/>
        </w:rPr>
      </w:pPr>
    </w:p>
    <w:p>
      <w:pPr>
        <w:snapToGrid w:val="0"/>
        <w:spacing w:before="120" w:after="120" w:line="320" w:lineRule="exact"/>
        <w:jc w:val="center"/>
        <w:outlineLvl w:val="0"/>
        <w:rPr>
          <w:rFonts w:ascii="Arial" w:hAnsi="Arial" w:eastAsia="仿宋_GB2312" w:cs="Arial"/>
          <w:color w:val="auto"/>
          <w:sz w:val="32"/>
          <w:szCs w:val="32"/>
          <w:highlight w:val="none"/>
        </w:rPr>
      </w:pPr>
    </w:p>
    <w:p>
      <w:pPr>
        <w:snapToGrid w:val="0"/>
        <w:spacing w:before="120" w:after="120" w:line="320" w:lineRule="exact"/>
        <w:jc w:val="center"/>
        <w:outlineLvl w:val="0"/>
        <w:rPr>
          <w:rFonts w:ascii="Arial" w:hAnsi="Arial" w:eastAsia="仿宋_GB2312" w:cs="Arial"/>
          <w:color w:val="auto"/>
          <w:sz w:val="32"/>
          <w:szCs w:val="32"/>
          <w:highlight w:val="none"/>
        </w:rPr>
      </w:pPr>
    </w:p>
    <w:p>
      <w:pPr>
        <w:snapToGrid w:val="0"/>
        <w:spacing w:before="120" w:after="120" w:line="320" w:lineRule="exact"/>
        <w:jc w:val="center"/>
        <w:outlineLvl w:val="0"/>
        <w:rPr>
          <w:rFonts w:ascii="Arial" w:hAnsi="Arial" w:eastAsia="仿宋_GB2312" w:cs="Arial"/>
          <w:color w:val="auto"/>
          <w:sz w:val="32"/>
          <w:szCs w:val="32"/>
          <w:highlight w:val="none"/>
        </w:rPr>
      </w:pPr>
    </w:p>
    <w:p>
      <w:pPr>
        <w:snapToGrid w:val="0"/>
        <w:spacing w:before="120" w:after="120" w:line="320" w:lineRule="exact"/>
        <w:jc w:val="center"/>
        <w:outlineLvl w:val="0"/>
        <w:rPr>
          <w:rFonts w:ascii="Arial" w:hAnsi="Arial" w:eastAsia="仿宋_GB2312" w:cs="Arial"/>
          <w:color w:val="auto"/>
          <w:sz w:val="32"/>
          <w:szCs w:val="32"/>
          <w:highlight w:val="none"/>
        </w:rPr>
      </w:pPr>
    </w:p>
    <w:p>
      <w:pPr>
        <w:pStyle w:val="3"/>
        <w:spacing w:line="560" w:lineRule="exact"/>
        <w:jc w:val="center"/>
        <w:rPr>
          <w:rFonts w:ascii="宋体" w:hAnsi="宋体"/>
          <w:bCs/>
          <w:color w:val="auto"/>
          <w:sz w:val="44"/>
          <w:highlight w:val="none"/>
        </w:rPr>
      </w:pPr>
      <w:bookmarkStart w:id="317" w:name="_Toc147248436"/>
      <w:bookmarkStart w:id="318" w:name="_Toc156106971"/>
      <w:bookmarkStart w:id="319" w:name="_Toc185702588"/>
      <w:bookmarkStart w:id="320" w:name="_Toc185703010"/>
      <w:bookmarkStart w:id="321" w:name="_Toc528924950"/>
      <w:bookmarkStart w:id="322" w:name="_Toc239839917"/>
      <w:bookmarkStart w:id="323" w:name="_Toc398287330"/>
    </w:p>
    <w:p>
      <w:pPr>
        <w:pStyle w:val="3"/>
        <w:spacing w:line="560" w:lineRule="exact"/>
        <w:jc w:val="center"/>
        <w:rPr>
          <w:rFonts w:ascii="宋体" w:hAnsi="宋体"/>
          <w:bCs/>
          <w:color w:val="auto"/>
          <w:sz w:val="44"/>
          <w:highlight w:val="none"/>
        </w:rPr>
      </w:pPr>
      <w:r>
        <w:rPr>
          <w:rFonts w:hint="eastAsia" w:ascii="宋体" w:hAnsi="宋体"/>
          <w:bCs/>
          <w:color w:val="auto"/>
          <w:sz w:val="44"/>
          <w:highlight w:val="none"/>
        </w:rPr>
        <w:t>第五章   评标</w:t>
      </w:r>
      <w:bookmarkEnd w:id="317"/>
      <w:bookmarkEnd w:id="318"/>
      <w:r>
        <w:rPr>
          <w:rFonts w:hint="eastAsia" w:ascii="宋体" w:hAnsi="宋体"/>
          <w:bCs/>
          <w:color w:val="auto"/>
          <w:sz w:val="44"/>
          <w:highlight w:val="none"/>
        </w:rPr>
        <w:t>方法</w:t>
      </w:r>
      <w:bookmarkEnd w:id="319"/>
      <w:bookmarkEnd w:id="320"/>
      <w:bookmarkEnd w:id="321"/>
      <w:bookmarkEnd w:id="322"/>
      <w:bookmarkEnd w:id="323"/>
    </w:p>
    <w:p>
      <w:pPr>
        <w:pStyle w:val="10"/>
        <w:spacing w:line="200" w:lineRule="exact"/>
        <w:ind w:firstLine="431"/>
        <w:rPr>
          <w:rFonts w:hAnsi="宋体"/>
          <w:color w:val="auto"/>
          <w:sz w:val="44"/>
          <w:highlight w:val="none"/>
        </w:rPr>
      </w:pPr>
    </w:p>
    <w:p>
      <w:pPr>
        <w:ind w:firstLine="3200" w:firstLineChars="1000"/>
        <w:jc w:val="left"/>
        <w:rPr>
          <w:rFonts w:ascii="宋体" w:hAnsi="宋体"/>
          <w:color w:val="auto"/>
          <w:sz w:val="32"/>
          <w:szCs w:val="32"/>
          <w:highlight w:val="none"/>
        </w:rPr>
      </w:pPr>
      <w:r>
        <w:rPr>
          <w:rFonts w:hint="eastAsia" w:ascii="宋体" w:hAnsi="宋体"/>
          <w:color w:val="auto"/>
          <w:sz w:val="32"/>
          <w:szCs w:val="32"/>
          <w:highlight w:val="none"/>
        </w:rPr>
        <w:t>评</w:t>
      </w:r>
      <w:r>
        <w:rPr>
          <w:rFonts w:ascii="宋体" w:hAnsi="宋体"/>
          <w:color w:val="auto"/>
          <w:sz w:val="32"/>
          <w:szCs w:val="32"/>
          <w:highlight w:val="none"/>
        </w:rPr>
        <w:t>标</w:t>
      </w:r>
      <w:r>
        <w:rPr>
          <w:rFonts w:ascii="宋体" w:hAnsi="宋体"/>
          <w:color w:val="auto"/>
          <w:spacing w:val="2"/>
          <w:sz w:val="32"/>
          <w:szCs w:val="32"/>
          <w:highlight w:val="none"/>
        </w:rPr>
        <w:t>办</w:t>
      </w:r>
      <w:r>
        <w:rPr>
          <w:rFonts w:ascii="宋体" w:hAnsi="宋体"/>
          <w:color w:val="auto"/>
          <w:sz w:val="32"/>
          <w:szCs w:val="32"/>
          <w:highlight w:val="none"/>
        </w:rPr>
        <w:t>法及</w:t>
      </w:r>
      <w:r>
        <w:rPr>
          <w:rFonts w:ascii="宋体" w:hAnsi="宋体"/>
          <w:color w:val="auto"/>
          <w:spacing w:val="2"/>
          <w:sz w:val="32"/>
          <w:szCs w:val="32"/>
          <w:highlight w:val="none"/>
        </w:rPr>
        <w:t>评</w:t>
      </w:r>
      <w:r>
        <w:rPr>
          <w:rFonts w:ascii="宋体" w:hAnsi="宋体"/>
          <w:color w:val="auto"/>
          <w:sz w:val="32"/>
          <w:szCs w:val="32"/>
          <w:highlight w:val="none"/>
        </w:rPr>
        <w:t>分</w:t>
      </w:r>
      <w:r>
        <w:rPr>
          <w:rFonts w:ascii="宋体" w:hAnsi="宋体"/>
          <w:color w:val="auto"/>
          <w:spacing w:val="2"/>
          <w:sz w:val="32"/>
          <w:szCs w:val="32"/>
          <w:highlight w:val="none"/>
        </w:rPr>
        <w:t>标</w:t>
      </w:r>
      <w:r>
        <w:rPr>
          <w:rFonts w:ascii="宋体" w:hAnsi="宋体"/>
          <w:color w:val="auto"/>
          <w:sz w:val="32"/>
          <w:szCs w:val="32"/>
          <w:highlight w:val="none"/>
        </w:rPr>
        <w:t>准</w:t>
      </w:r>
    </w:p>
    <w:p>
      <w:pPr>
        <w:pStyle w:val="10"/>
        <w:spacing w:line="400" w:lineRule="exact"/>
        <w:rPr>
          <w:b/>
          <w:bCs/>
          <w:color w:val="auto"/>
          <w:sz w:val="24"/>
          <w:szCs w:val="24"/>
          <w:highlight w:val="none"/>
        </w:rPr>
      </w:pPr>
      <w:r>
        <w:rPr>
          <w:rFonts w:hint="eastAsia"/>
          <w:b/>
          <w:bCs/>
          <w:color w:val="auto"/>
          <w:sz w:val="24"/>
          <w:szCs w:val="24"/>
          <w:highlight w:val="none"/>
        </w:rPr>
        <w:t>一、评审程序</w:t>
      </w:r>
    </w:p>
    <w:p>
      <w:pPr>
        <w:pStyle w:val="10"/>
        <w:spacing w:line="400" w:lineRule="exact"/>
        <w:ind w:firstLine="430"/>
        <w:rPr>
          <w:bCs/>
          <w:color w:val="auto"/>
          <w:szCs w:val="21"/>
          <w:highlight w:val="none"/>
        </w:rPr>
      </w:pPr>
      <w:r>
        <w:rPr>
          <w:bCs/>
          <w:color w:val="auto"/>
          <w:szCs w:val="21"/>
          <w:highlight w:val="none"/>
        </w:rPr>
        <w:t>1</w:t>
      </w:r>
      <w:r>
        <w:rPr>
          <w:rFonts w:hint="eastAsia"/>
          <w:bCs/>
          <w:color w:val="auto"/>
          <w:szCs w:val="21"/>
          <w:highlight w:val="none"/>
        </w:rPr>
        <w:t>、对响应文件的资格审查、商务性和技术性文件进行审查评议和澄清。</w:t>
      </w:r>
    </w:p>
    <w:p>
      <w:pPr>
        <w:pStyle w:val="10"/>
        <w:spacing w:line="400" w:lineRule="exact"/>
        <w:ind w:firstLine="420"/>
        <w:rPr>
          <w:color w:val="auto"/>
          <w:szCs w:val="21"/>
          <w:highlight w:val="none"/>
        </w:rPr>
      </w:pPr>
      <w:r>
        <w:rPr>
          <w:bCs/>
          <w:color w:val="auto"/>
          <w:szCs w:val="21"/>
          <w:highlight w:val="none"/>
        </w:rPr>
        <w:t>2</w:t>
      </w:r>
      <w:r>
        <w:rPr>
          <w:rFonts w:hint="eastAsia"/>
          <w:bCs/>
          <w:color w:val="auto"/>
          <w:szCs w:val="21"/>
          <w:highlight w:val="none"/>
        </w:rPr>
        <w:t>、对通过初步评</w:t>
      </w:r>
      <w:r>
        <w:rPr>
          <w:rFonts w:hint="eastAsia"/>
          <w:color w:val="auto"/>
          <w:szCs w:val="21"/>
          <w:highlight w:val="none"/>
        </w:rPr>
        <w:t>审且完成算术性修正之后的服务商进行商务和技术评估，综合比较与评价。对服务商的评分以其价格与服务、实力相结合，以综合评价为主，服务质量优先、价格合理。</w:t>
      </w:r>
    </w:p>
    <w:p>
      <w:pPr>
        <w:pStyle w:val="10"/>
        <w:spacing w:line="400" w:lineRule="exact"/>
        <w:ind w:firstLine="430"/>
        <w:rPr>
          <w:bCs/>
          <w:color w:val="auto"/>
          <w:szCs w:val="21"/>
          <w:highlight w:val="none"/>
        </w:rPr>
      </w:pPr>
      <w:r>
        <w:rPr>
          <w:bCs/>
          <w:color w:val="auto"/>
          <w:szCs w:val="21"/>
          <w:highlight w:val="none"/>
        </w:rPr>
        <w:t>3</w:t>
      </w:r>
      <w:r>
        <w:rPr>
          <w:rFonts w:hint="eastAsia"/>
          <w:bCs/>
          <w:color w:val="auto"/>
          <w:szCs w:val="21"/>
          <w:highlight w:val="none"/>
        </w:rPr>
        <w:t>、对评审过程进行复核，计算并汇总得分（各服务商的评审总得分以各评委评分的平均值为准）。</w:t>
      </w:r>
    </w:p>
    <w:p>
      <w:pPr>
        <w:pStyle w:val="10"/>
        <w:spacing w:line="400" w:lineRule="exact"/>
        <w:ind w:firstLine="430"/>
        <w:rPr>
          <w:bCs/>
          <w:color w:val="auto"/>
          <w:szCs w:val="21"/>
          <w:highlight w:val="none"/>
        </w:rPr>
      </w:pPr>
      <w:r>
        <w:rPr>
          <w:bCs/>
          <w:color w:val="auto"/>
          <w:szCs w:val="21"/>
          <w:highlight w:val="none"/>
        </w:rPr>
        <w:t>4</w:t>
      </w:r>
      <w:r>
        <w:rPr>
          <w:rFonts w:hint="eastAsia"/>
          <w:bCs/>
          <w:color w:val="auto"/>
          <w:szCs w:val="21"/>
          <w:highlight w:val="none"/>
        </w:rPr>
        <w:t>、推荐成交候选人和编写评审报告</w:t>
      </w:r>
    </w:p>
    <w:p>
      <w:pPr>
        <w:pStyle w:val="10"/>
        <w:spacing w:line="400" w:lineRule="exact"/>
        <w:ind w:firstLine="430"/>
        <w:rPr>
          <w:bCs/>
          <w:color w:val="auto"/>
          <w:szCs w:val="21"/>
          <w:highlight w:val="none"/>
        </w:rPr>
      </w:pPr>
      <w:r>
        <w:rPr>
          <w:rFonts w:hint="eastAsia"/>
          <w:bCs/>
          <w:color w:val="auto"/>
          <w:szCs w:val="21"/>
          <w:highlight w:val="none"/>
        </w:rPr>
        <w:t>二、评审方法和标准</w:t>
      </w:r>
    </w:p>
    <w:p>
      <w:pPr>
        <w:pStyle w:val="10"/>
        <w:spacing w:line="400" w:lineRule="exact"/>
        <w:ind w:firstLine="430"/>
        <w:rPr>
          <w:bCs/>
          <w:color w:val="auto"/>
          <w:szCs w:val="21"/>
          <w:highlight w:val="none"/>
        </w:rPr>
      </w:pPr>
      <w:r>
        <w:rPr>
          <w:rFonts w:hint="eastAsia"/>
          <w:bCs/>
          <w:color w:val="auto"/>
          <w:szCs w:val="21"/>
          <w:highlight w:val="none"/>
        </w:rPr>
        <w:t>在通过资格性审查和符合性审查、质量和服务均能满足磋商文件全部实质性响应要求的最终报价基础上，服务商符合以下情形之一的，对其最终报价将给予相应比例的扣除，用扣除后的价格参与评审。未按要求填写和提供有效证明或相关内容表述不清的，不得享受价格扣除。</w:t>
      </w:r>
    </w:p>
    <w:p>
      <w:pPr>
        <w:pStyle w:val="10"/>
        <w:spacing w:line="400" w:lineRule="exact"/>
        <w:ind w:firstLine="430"/>
        <w:rPr>
          <w:bCs/>
          <w:color w:val="auto"/>
          <w:szCs w:val="21"/>
          <w:highlight w:val="none"/>
        </w:rPr>
      </w:pPr>
      <w:r>
        <w:rPr>
          <w:rFonts w:hint="eastAsia"/>
          <w:bCs/>
          <w:color w:val="auto"/>
          <w:szCs w:val="21"/>
          <w:highlight w:val="none"/>
        </w:rPr>
        <w:t>①服务商符合《政府采购促进中小企业发展暂行办法》的规定，提供《中小企业声明函》（原件）（格式见第六章）备注：必须附带一份“企业所在地县级以上中小企业主管部门出具的证明材料”原件，否则不会被认可；</w:t>
      </w:r>
    </w:p>
    <w:p>
      <w:pPr>
        <w:pStyle w:val="10"/>
        <w:spacing w:line="400" w:lineRule="exact"/>
        <w:ind w:firstLine="430"/>
        <w:rPr>
          <w:bCs/>
          <w:color w:val="auto"/>
          <w:szCs w:val="21"/>
          <w:highlight w:val="none"/>
        </w:rPr>
      </w:pPr>
      <w:r>
        <w:rPr>
          <w:rFonts w:hint="eastAsia"/>
          <w:bCs/>
          <w:color w:val="auto"/>
          <w:szCs w:val="21"/>
          <w:highlight w:val="none"/>
        </w:rPr>
        <w:t>②服务商符合《关于政府采购支持监狱企业发展有关问题的通知》(财库[2014]68号)规定被认定为监狱企业的，提供由省级以上监狱管理局、戒毒管理局(含新疆生产建设兵团)出具的属于监狱企业的证明文件（复印件应加盖服务商公章）；</w:t>
      </w:r>
    </w:p>
    <w:p>
      <w:pPr>
        <w:pStyle w:val="10"/>
        <w:spacing w:line="400" w:lineRule="exact"/>
        <w:ind w:firstLine="430"/>
        <w:rPr>
          <w:bCs/>
          <w:color w:val="auto"/>
          <w:szCs w:val="21"/>
          <w:highlight w:val="none"/>
        </w:rPr>
      </w:pPr>
      <w:r>
        <w:rPr>
          <w:rFonts w:hint="eastAsia"/>
          <w:bCs/>
          <w:color w:val="auto"/>
          <w:szCs w:val="21"/>
          <w:highlight w:val="none"/>
        </w:rPr>
        <w:t>③服务商符合《关于促进残疾人就业政府采购政策的通知》（财库〔2017〕141号）规定，享受小型、微型企业政策，残疾人福利性单位属于小型、微型企业的，不重复享受政策。提供《残疾人福利性单位声明函》（原件）（格式见第六章）；</w:t>
      </w:r>
    </w:p>
    <w:p>
      <w:pPr>
        <w:pStyle w:val="10"/>
        <w:spacing w:line="400" w:lineRule="exact"/>
        <w:ind w:firstLine="430"/>
        <w:rPr>
          <w:bCs/>
          <w:color w:val="auto"/>
          <w:szCs w:val="21"/>
          <w:highlight w:val="none"/>
        </w:rPr>
      </w:pPr>
      <w:r>
        <w:rPr>
          <w:rFonts w:hint="eastAsia"/>
          <w:bCs/>
          <w:color w:val="auto"/>
          <w:szCs w:val="21"/>
          <w:highlight w:val="none"/>
        </w:rPr>
        <w:t>服务商属两种情形以上的，其只能享受磋商价格一次性</w:t>
      </w:r>
      <w:r>
        <w:rPr>
          <w:rFonts w:hint="eastAsia"/>
          <w:bCs/>
          <w:color w:val="auto"/>
          <w:szCs w:val="21"/>
          <w:highlight w:val="none"/>
          <w:lang w:val="en-US" w:eastAsia="zh-CN"/>
        </w:rPr>
        <w:t>10</w:t>
      </w:r>
      <w:r>
        <w:rPr>
          <w:rFonts w:hint="eastAsia"/>
          <w:bCs/>
          <w:color w:val="auto"/>
          <w:szCs w:val="21"/>
          <w:highlight w:val="none"/>
        </w:rPr>
        <w:t>％的扣除，不重复享受政策。</w:t>
      </w:r>
    </w:p>
    <w:p>
      <w:pPr>
        <w:pStyle w:val="10"/>
        <w:spacing w:line="400" w:lineRule="exact"/>
        <w:ind w:firstLine="430"/>
        <w:rPr>
          <w:bCs/>
          <w:color w:val="auto"/>
          <w:szCs w:val="21"/>
          <w:highlight w:val="none"/>
        </w:rPr>
      </w:pPr>
      <w:r>
        <w:rPr>
          <w:rFonts w:hint="eastAsia"/>
          <w:bCs/>
          <w:color w:val="auto"/>
          <w:szCs w:val="21"/>
          <w:highlight w:val="none"/>
        </w:rPr>
        <w:t>除上述情况外，服务商评审价格 = 最终报价。扣除后的最终报价将仅作为评审价排序，最终成交价为服务商的最终报价。</w:t>
      </w:r>
    </w:p>
    <w:p>
      <w:pPr>
        <w:pStyle w:val="10"/>
        <w:spacing w:line="400" w:lineRule="exact"/>
        <w:ind w:firstLine="430"/>
        <w:rPr>
          <w:bCs/>
          <w:color w:val="auto"/>
          <w:szCs w:val="21"/>
          <w:highlight w:val="none"/>
        </w:rPr>
      </w:pPr>
      <w:r>
        <w:rPr>
          <w:rFonts w:hint="eastAsia"/>
          <w:bCs/>
          <w:color w:val="auto"/>
          <w:szCs w:val="21"/>
          <w:highlight w:val="none"/>
        </w:rPr>
        <w:t>注：小型、微型企业提供中型企业制造的货物的，视同为中型企业。</w:t>
      </w:r>
    </w:p>
    <w:p>
      <w:pPr>
        <w:pStyle w:val="10"/>
        <w:spacing w:line="400" w:lineRule="exact"/>
        <w:ind w:firstLine="430"/>
        <w:rPr>
          <w:bCs/>
          <w:color w:val="auto"/>
          <w:szCs w:val="21"/>
          <w:highlight w:val="none"/>
        </w:rPr>
      </w:pPr>
      <w:r>
        <w:rPr>
          <w:rFonts w:hint="eastAsia"/>
          <w:bCs/>
          <w:color w:val="auto"/>
          <w:szCs w:val="21"/>
          <w:highlight w:val="none"/>
        </w:rPr>
        <w:t>（二）评审方法：本项目采用综合评分法，响应文件满足磋商文件全部实质性要求且按评审因素的量化指标评审得分最高的服务商为成交候选人。</w:t>
      </w:r>
    </w:p>
    <w:p>
      <w:pPr>
        <w:pStyle w:val="10"/>
        <w:spacing w:line="400" w:lineRule="exact"/>
        <w:ind w:firstLine="430"/>
        <w:rPr>
          <w:bCs/>
          <w:color w:val="auto"/>
          <w:sz w:val="24"/>
          <w:szCs w:val="24"/>
          <w:highlight w:val="none"/>
        </w:rPr>
      </w:pPr>
      <w:bookmarkStart w:id="324" w:name="_Toc528924952"/>
      <w:r>
        <w:rPr>
          <w:rFonts w:hint="eastAsia"/>
          <w:bCs/>
          <w:color w:val="auto"/>
          <w:szCs w:val="21"/>
          <w:highlight w:val="none"/>
        </w:rPr>
        <w:t>（三）评审标准（按四舍五入取至百分位两位小数）</w:t>
      </w:r>
    </w:p>
    <w:p>
      <w:pPr>
        <w:pStyle w:val="10"/>
        <w:spacing w:line="400" w:lineRule="exact"/>
        <w:ind w:firstLine="430"/>
        <w:rPr>
          <w:bCs/>
          <w:color w:val="auto"/>
          <w:sz w:val="24"/>
          <w:szCs w:val="24"/>
          <w:highlight w:val="none"/>
        </w:rPr>
      </w:pPr>
    </w:p>
    <w:p>
      <w:pPr>
        <w:pStyle w:val="10"/>
        <w:spacing w:line="400" w:lineRule="exact"/>
        <w:ind w:firstLine="430"/>
        <w:rPr>
          <w:bCs/>
          <w:color w:val="auto"/>
          <w:sz w:val="24"/>
          <w:szCs w:val="24"/>
          <w:highlight w:val="none"/>
        </w:rPr>
      </w:pPr>
    </w:p>
    <w:p>
      <w:pPr>
        <w:pStyle w:val="10"/>
        <w:spacing w:line="400" w:lineRule="exact"/>
        <w:ind w:firstLine="430"/>
        <w:rPr>
          <w:bCs/>
          <w:color w:val="auto"/>
          <w:sz w:val="24"/>
          <w:szCs w:val="24"/>
          <w:highlight w:val="none"/>
        </w:rPr>
      </w:pPr>
    </w:p>
    <w:p>
      <w:pPr>
        <w:pStyle w:val="10"/>
        <w:spacing w:line="400" w:lineRule="exact"/>
        <w:ind w:firstLine="430"/>
        <w:rPr>
          <w:bCs/>
          <w:color w:val="auto"/>
          <w:sz w:val="24"/>
          <w:szCs w:val="24"/>
          <w:highlight w:val="none"/>
        </w:rPr>
      </w:pPr>
      <w:r>
        <w:rPr>
          <w:rFonts w:hint="eastAsia"/>
          <w:bCs/>
          <w:color w:val="auto"/>
          <w:sz w:val="24"/>
          <w:szCs w:val="24"/>
          <w:highlight w:val="none"/>
        </w:rPr>
        <w:br w:type="page"/>
      </w:r>
    </w:p>
    <w:p>
      <w:pPr>
        <w:numPr>
          <w:ilvl w:val="0"/>
          <w:numId w:val="2"/>
        </w:numPr>
        <w:rPr>
          <w:rFonts w:ascii="宋体" w:hAnsi="宋体"/>
          <w:b/>
          <w:color w:val="auto"/>
          <w:szCs w:val="21"/>
          <w:highlight w:val="none"/>
        </w:rPr>
      </w:pPr>
      <w:r>
        <w:rPr>
          <w:rFonts w:hint="eastAsia" w:ascii="宋体" w:hAnsi="宋体"/>
          <w:b/>
          <w:color w:val="auto"/>
          <w:szCs w:val="21"/>
          <w:highlight w:val="none"/>
        </w:rPr>
        <w:t>价格分（满分10分）</w:t>
      </w:r>
    </w:p>
    <w:p>
      <w:pPr>
        <w:pStyle w:val="10"/>
        <w:spacing w:line="400" w:lineRule="exact"/>
        <w:ind w:firstLine="430"/>
        <w:rPr>
          <w:bCs/>
          <w:color w:val="auto"/>
          <w:szCs w:val="21"/>
          <w:highlight w:val="none"/>
        </w:rPr>
      </w:pPr>
      <w:r>
        <w:rPr>
          <w:rFonts w:hint="eastAsia"/>
          <w:bCs/>
          <w:color w:val="auto"/>
          <w:szCs w:val="21"/>
          <w:highlight w:val="none"/>
        </w:rPr>
        <w:t>（1）评标报价为投标人的投标报价进行政策性扣除后的价格，评标报价只是作为评标时使用。最终中标人的中标金额等于投标报价。</w:t>
      </w:r>
    </w:p>
    <w:p>
      <w:pPr>
        <w:pStyle w:val="10"/>
        <w:spacing w:line="400" w:lineRule="exact"/>
        <w:ind w:firstLine="430"/>
        <w:rPr>
          <w:bCs/>
          <w:color w:val="auto"/>
          <w:szCs w:val="21"/>
          <w:highlight w:val="none"/>
        </w:rPr>
      </w:pPr>
      <w:r>
        <w:rPr>
          <w:rFonts w:hint="eastAsia"/>
          <w:bCs/>
          <w:color w:val="auto"/>
          <w:szCs w:val="21"/>
          <w:highlight w:val="none"/>
        </w:rPr>
        <w:t>（2）按照《政府采购促进中小企业发展暂行办法》（财库[2011]181号）的规定，投标人为小型和微型企业，并在其投标文件中提供《中小企业声明函》，且其所投标产品全部为小型和微型企业产品的，对其投标价格给予</w:t>
      </w:r>
      <w:r>
        <w:rPr>
          <w:rFonts w:hint="eastAsia"/>
          <w:bCs/>
          <w:color w:val="auto"/>
          <w:szCs w:val="21"/>
          <w:highlight w:val="none"/>
          <w:lang w:val="en-US" w:eastAsia="zh-CN"/>
        </w:rPr>
        <w:t>10</w:t>
      </w:r>
      <w:r>
        <w:rPr>
          <w:rFonts w:hint="eastAsia"/>
          <w:bCs/>
          <w:color w:val="auto"/>
          <w:szCs w:val="21"/>
          <w:highlight w:val="none"/>
        </w:rPr>
        <w:t>%的扣除。</w:t>
      </w:r>
    </w:p>
    <w:p>
      <w:pPr>
        <w:pStyle w:val="10"/>
        <w:spacing w:line="400" w:lineRule="exact"/>
        <w:ind w:firstLine="430"/>
        <w:rPr>
          <w:bCs/>
          <w:color w:val="auto"/>
          <w:szCs w:val="21"/>
          <w:highlight w:val="none"/>
        </w:rPr>
      </w:pPr>
      <w:r>
        <w:rPr>
          <w:rFonts w:hint="eastAsia"/>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pStyle w:val="10"/>
        <w:spacing w:line="400" w:lineRule="exact"/>
        <w:ind w:firstLine="430"/>
        <w:rPr>
          <w:bCs/>
          <w:color w:val="auto"/>
          <w:szCs w:val="21"/>
          <w:highlight w:val="none"/>
        </w:rPr>
      </w:pPr>
      <w:r>
        <w:rPr>
          <w:rFonts w:hint="eastAsia"/>
          <w:bCs/>
          <w:color w:val="auto"/>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0"/>
        <w:spacing w:line="400" w:lineRule="exact"/>
        <w:ind w:firstLine="430"/>
        <w:rPr>
          <w:bCs/>
          <w:color w:val="auto"/>
          <w:szCs w:val="21"/>
          <w:highlight w:val="none"/>
        </w:rPr>
      </w:pPr>
      <w:r>
        <w:rPr>
          <w:rFonts w:hint="eastAsia"/>
          <w:bCs/>
          <w:color w:val="auto"/>
          <w:szCs w:val="21"/>
          <w:highlight w:val="none"/>
        </w:rPr>
        <w:t>（5）政策性扣除计算方法。</w:t>
      </w:r>
    </w:p>
    <w:p>
      <w:pPr>
        <w:pStyle w:val="10"/>
        <w:spacing w:line="400" w:lineRule="exact"/>
        <w:ind w:firstLine="430"/>
        <w:rPr>
          <w:bCs/>
          <w:color w:val="auto"/>
          <w:szCs w:val="21"/>
          <w:highlight w:val="none"/>
        </w:rPr>
      </w:pPr>
      <w:r>
        <w:rPr>
          <w:rFonts w:hint="eastAsia"/>
          <w:bCs/>
          <w:color w:val="auto"/>
          <w:szCs w:val="21"/>
          <w:highlight w:val="none"/>
        </w:rPr>
        <w:t>投标人被评定为监狱企业或残疾人福利性单位或小型和微型企业且其所投标全部产品为小型和微型企业产品的，该投标人的投标报价给予</w:t>
      </w:r>
      <w:r>
        <w:rPr>
          <w:rFonts w:hint="eastAsia"/>
          <w:bCs/>
          <w:color w:val="auto"/>
          <w:szCs w:val="21"/>
          <w:highlight w:val="none"/>
          <w:lang w:eastAsia="zh-CN"/>
        </w:rPr>
        <w:t>10%</w:t>
      </w:r>
      <w:r>
        <w:rPr>
          <w:rFonts w:hint="eastAsia"/>
          <w:bCs/>
          <w:color w:val="auto"/>
          <w:szCs w:val="21"/>
          <w:highlight w:val="none"/>
        </w:rPr>
        <w:t>的扣除，扣除后的价格为评标报价，即评标报价=投标报价×（1-</w:t>
      </w:r>
      <w:r>
        <w:rPr>
          <w:rFonts w:hint="eastAsia"/>
          <w:bCs/>
          <w:color w:val="auto"/>
          <w:szCs w:val="21"/>
          <w:highlight w:val="none"/>
          <w:lang w:eastAsia="zh-CN"/>
        </w:rPr>
        <w:t>10%</w:t>
      </w:r>
      <w:r>
        <w:rPr>
          <w:rFonts w:hint="eastAsia"/>
          <w:bCs/>
          <w:color w:val="auto"/>
          <w:szCs w:val="21"/>
          <w:highlight w:val="none"/>
        </w:rPr>
        <w:t>）；大中型企业和其他自然人、法人或者其他组织与小型、微型企业组成联合体投标，且联合体协议中约定小型、微型企业的协议合同金额占到联合体协议合同总金额30%以上的，联合体投标价给予</w:t>
      </w:r>
      <w:r>
        <w:rPr>
          <w:rFonts w:hint="eastAsia"/>
          <w:bCs/>
          <w:color w:val="auto"/>
          <w:szCs w:val="21"/>
          <w:highlight w:val="none"/>
          <w:lang w:val="en-US" w:eastAsia="zh-CN"/>
        </w:rPr>
        <w:t>3</w:t>
      </w:r>
      <w:r>
        <w:rPr>
          <w:rFonts w:hint="eastAsia"/>
          <w:bCs/>
          <w:color w:val="auto"/>
          <w:szCs w:val="21"/>
          <w:highlight w:val="none"/>
        </w:rPr>
        <w:t>%的扣除，扣除后的价格为评标价，即评标报价=投标报价×（1-</w:t>
      </w:r>
      <w:r>
        <w:rPr>
          <w:rFonts w:hint="eastAsia"/>
          <w:bCs/>
          <w:color w:val="auto"/>
          <w:szCs w:val="21"/>
          <w:highlight w:val="none"/>
          <w:lang w:val="en-US" w:eastAsia="zh-CN"/>
        </w:rPr>
        <w:t>3</w:t>
      </w:r>
      <w:r>
        <w:rPr>
          <w:rFonts w:hint="eastAsia"/>
          <w:bCs/>
          <w:color w:val="auto"/>
          <w:szCs w:val="21"/>
          <w:highlight w:val="none"/>
        </w:rPr>
        <w:t>%）；除上述情况外，评标报价=投标报价。</w:t>
      </w:r>
    </w:p>
    <w:p>
      <w:pPr>
        <w:pStyle w:val="10"/>
        <w:spacing w:line="400" w:lineRule="exact"/>
        <w:ind w:firstLine="430"/>
        <w:rPr>
          <w:bCs/>
          <w:color w:val="auto"/>
          <w:szCs w:val="21"/>
          <w:highlight w:val="none"/>
        </w:rPr>
      </w:pPr>
      <w:r>
        <w:rPr>
          <w:rFonts w:hint="eastAsia"/>
          <w:bCs/>
          <w:color w:val="auto"/>
          <w:szCs w:val="21"/>
          <w:highlight w:val="none"/>
        </w:rPr>
        <w:t>（6）满足招标文件要求且评标报价最低的评标报价为评标基准价，基准价报价得分为10分。</w:t>
      </w:r>
    </w:p>
    <w:p>
      <w:pPr>
        <w:pStyle w:val="10"/>
        <w:spacing w:line="400" w:lineRule="exact"/>
        <w:ind w:firstLine="430"/>
        <w:rPr>
          <w:bCs/>
          <w:color w:val="auto"/>
          <w:szCs w:val="21"/>
          <w:highlight w:val="none"/>
        </w:rPr>
      </w:pPr>
      <w:r>
        <w:rPr>
          <w:rFonts w:hint="eastAsia"/>
          <w:bCs/>
          <w:color w:val="auto"/>
          <w:szCs w:val="21"/>
          <w:highlight w:val="none"/>
        </w:rPr>
        <w:t xml:space="preserve">（7）价格分计算公式：        </w:t>
      </w:r>
    </w:p>
    <w:p>
      <w:pPr>
        <w:pStyle w:val="10"/>
        <w:spacing w:line="400" w:lineRule="exact"/>
        <w:ind w:firstLine="430"/>
        <w:rPr>
          <w:bCs/>
          <w:color w:val="auto"/>
          <w:szCs w:val="21"/>
          <w:highlight w:val="none"/>
        </w:rPr>
      </w:pPr>
      <w:r>
        <w:rPr>
          <w:rFonts w:hint="eastAsia"/>
          <w:bCs/>
          <w:color w:val="auto"/>
          <w:szCs w:val="21"/>
          <w:highlight w:val="none"/>
        </w:rPr>
        <w:t>价格分=(评标基准价／评标报价)×10分</w:t>
      </w:r>
    </w:p>
    <w:p>
      <w:pPr>
        <w:pStyle w:val="2"/>
        <w:numPr>
          <w:ilvl w:val="0"/>
          <w:numId w:val="2"/>
        </w:numPr>
        <w:rPr>
          <w:rFonts w:ascii="宋体" w:hAnsi="宋体"/>
          <w:b/>
          <w:bCs/>
          <w:color w:val="auto"/>
          <w:szCs w:val="21"/>
          <w:highlight w:val="none"/>
        </w:rPr>
      </w:pPr>
      <w:r>
        <w:rPr>
          <w:rFonts w:hint="eastAsia"/>
          <w:b/>
          <w:bCs/>
          <w:color w:val="auto"/>
          <w:highlight w:val="none"/>
        </w:rPr>
        <w:t>技术分</w:t>
      </w:r>
      <w:r>
        <w:rPr>
          <w:rFonts w:hint="eastAsia" w:ascii="宋体" w:hAnsi="宋体"/>
          <w:b/>
          <w:bCs/>
          <w:color w:val="auto"/>
          <w:szCs w:val="21"/>
          <w:highlight w:val="none"/>
        </w:rPr>
        <w:t>（满分</w:t>
      </w:r>
      <w:r>
        <w:rPr>
          <w:rFonts w:ascii="宋体" w:hAnsi="宋体"/>
          <w:b/>
          <w:bCs/>
          <w:color w:val="auto"/>
          <w:szCs w:val="21"/>
          <w:highlight w:val="none"/>
        </w:rPr>
        <w:t>5</w:t>
      </w:r>
      <w:r>
        <w:rPr>
          <w:rFonts w:hint="eastAsia" w:ascii="宋体" w:hAnsi="宋体"/>
          <w:b/>
          <w:bCs/>
          <w:color w:val="auto"/>
          <w:szCs w:val="21"/>
          <w:highlight w:val="none"/>
        </w:rPr>
        <w:t>9分）</w:t>
      </w:r>
    </w:p>
    <w:p>
      <w:pPr>
        <w:pStyle w:val="10"/>
        <w:spacing w:line="400" w:lineRule="exact"/>
        <w:ind w:firstLine="430"/>
        <w:rPr>
          <w:rFonts w:hAnsi="宋体"/>
          <w:b/>
          <w:bCs/>
          <w:color w:val="auto"/>
          <w:szCs w:val="21"/>
          <w:highlight w:val="none"/>
        </w:rPr>
      </w:pPr>
      <w:r>
        <w:rPr>
          <w:rFonts w:hint="eastAsia" w:hAnsi="宋体"/>
          <w:b/>
          <w:bCs/>
          <w:color w:val="auto"/>
          <w:szCs w:val="21"/>
          <w:highlight w:val="none"/>
        </w:rPr>
        <w:t>（1）质量保证措施分（满分9分）</w:t>
      </w:r>
    </w:p>
    <w:p>
      <w:pPr>
        <w:pStyle w:val="10"/>
        <w:spacing w:line="400" w:lineRule="exact"/>
        <w:ind w:firstLine="430"/>
        <w:rPr>
          <w:bCs/>
          <w:color w:val="auto"/>
          <w:szCs w:val="21"/>
          <w:highlight w:val="none"/>
        </w:rPr>
      </w:pPr>
      <w:r>
        <w:rPr>
          <w:bCs/>
          <w:color w:val="auto"/>
          <w:szCs w:val="21"/>
          <w:highlight w:val="none"/>
        </w:rPr>
        <w:t>一档（3</w:t>
      </w:r>
      <w:r>
        <w:rPr>
          <w:rFonts w:hint="eastAsia"/>
          <w:bCs/>
          <w:color w:val="auto"/>
          <w:szCs w:val="21"/>
          <w:highlight w:val="none"/>
        </w:rPr>
        <w:t>分</w:t>
      </w:r>
      <w:r>
        <w:rPr>
          <w:bCs/>
          <w:color w:val="auto"/>
          <w:szCs w:val="21"/>
          <w:highlight w:val="none"/>
        </w:rPr>
        <w:t>）：投标人提供的具体质量保证措施基本合理的（包括但不限于项目进度计划及应急保证措施）；</w:t>
      </w:r>
    </w:p>
    <w:p>
      <w:pPr>
        <w:pStyle w:val="10"/>
        <w:spacing w:line="400" w:lineRule="exact"/>
        <w:ind w:firstLine="430"/>
        <w:rPr>
          <w:bCs/>
          <w:color w:val="auto"/>
          <w:szCs w:val="21"/>
          <w:highlight w:val="none"/>
        </w:rPr>
      </w:pPr>
      <w:r>
        <w:rPr>
          <w:bCs/>
          <w:color w:val="auto"/>
          <w:szCs w:val="21"/>
          <w:highlight w:val="none"/>
        </w:rPr>
        <w:t>二档（6</w:t>
      </w:r>
      <w:r>
        <w:rPr>
          <w:rFonts w:hint="eastAsia"/>
          <w:bCs/>
          <w:color w:val="auto"/>
          <w:szCs w:val="21"/>
          <w:highlight w:val="none"/>
        </w:rPr>
        <w:t>分</w:t>
      </w:r>
      <w:r>
        <w:rPr>
          <w:bCs/>
          <w:color w:val="auto"/>
          <w:szCs w:val="21"/>
          <w:highlight w:val="none"/>
        </w:rPr>
        <w:t>）：在一档基础上，投标人提供的具体质量保证措施合理的（包括但不限于项目进度计划及应急保证措施）；对工作目标、服务内容的认识，对项目评估工作要点、难点的描述切实可行，项目技术要求的工作思路清晰；质量保证措施完善。</w:t>
      </w:r>
    </w:p>
    <w:p>
      <w:pPr>
        <w:pStyle w:val="10"/>
        <w:spacing w:line="400" w:lineRule="exact"/>
        <w:ind w:firstLine="430"/>
        <w:rPr>
          <w:bCs/>
          <w:color w:val="auto"/>
          <w:szCs w:val="21"/>
          <w:highlight w:val="none"/>
        </w:rPr>
      </w:pPr>
      <w:r>
        <w:rPr>
          <w:bCs/>
          <w:color w:val="auto"/>
          <w:szCs w:val="21"/>
          <w:highlight w:val="none"/>
        </w:rPr>
        <w:t>三档（9</w:t>
      </w:r>
      <w:r>
        <w:rPr>
          <w:rFonts w:hint="eastAsia"/>
          <w:bCs/>
          <w:color w:val="auto"/>
          <w:szCs w:val="21"/>
          <w:highlight w:val="none"/>
        </w:rPr>
        <w:t>分</w:t>
      </w:r>
      <w:r>
        <w:rPr>
          <w:bCs/>
          <w:color w:val="auto"/>
          <w:szCs w:val="21"/>
          <w:highlight w:val="none"/>
        </w:rPr>
        <w:t>）：在二档基础上，投标人提供的具体质量保证措施合理、完善，且针对性、操作性强的（包括但不限于项目进度计划及应急保证措施）。对工作目标、服务内容的认识深刻，根据防城港市营商环境特点，制定详细完整的评估工作要点、难点的描述详尽，项目技术要求的工作思路清晰；质量保证措施完全满足服务需求。</w:t>
      </w:r>
    </w:p>
    <w:p>
      <w:pPr>
        <w:pStyle w:val="10"/>
        <w:spacing w:line="400" w:lineRule="exact"/>
        <w:ind w:firstLine="430"/>
        <w:rPr>
          <w:rFonts w:hAnsi="宋体"/>
          <w:b/>
          <w:bCs/>
          <w:color w:val="auto"/>
          <w:szCs w:val="21"/>
          <w:highlight w:val="none"/>
        </w:rPr>
      </w:pPr>
      <w:r>
        <w:rPr>
          <w:rFonts w:hAnsi="宋体"/>
          <w:b/>
          <w:bCs/>
          <w:color w:val="auto"/>
          <w:szCs w:val="21"/>
          <w:highlight w:val="none"/>
        </w:rPr>
        <w:t>注：投标人若没提供本项目内容，得0分。</w:t>
      </w:r>
    </w:p>
    <w:p>
      <w:pPr>
        <w:pStyle w:val="10"/>
        <w:spacing w:line="400" w:lineRule="exact"/>
        <w:ind w:firstLine="430"/>
        <w:rPr>
          <w:rFonts w:hAnsi="宋体"/>
          <w:b/>
          <w:bCs/>
          <w:color w:val="auto"/>
          <w:szCs w:val="21"/>
          <w:highlight w:val="none"/>
        </w:rPr>
      </w:pPr>
      <w:r>
        <w:rPr>
          <w:rFonts w:hint="eastAsia" w:hAnsi="宋体"/>
          <w:b/>
          <w:bCs/>
          <w:color w:val="auto"/>
          <w:szCs w:val="21"/>
          <w:highlight w:val="none"/>
        </w:rPr>
        <w:t>（2）评估方案分（满分24分）</w:t>
      </w:r>
    </w:p>
    <w:p>
      <w:pPr>
        <w:pStyle w:val="10"/>
        <w:spacing w:line="400" w:lineRule="exact"/>
        <w:ind w:firstLine="430"/>
        <w:rPr>
          <w:bCs/>
          <w:color w:val="auto"/>
          <w:szCs w:val="21"/>
          <w:highlight w:val="none"/>
        </w:rPr>
      </w:pPr>
      <w:r>
        <w:rPr>
          <w:bCs/>
          <w:color w:val="auto"/>
          <w:szCs w:val="21"/>
          <w:highlight w:val="none"/>
        </w:rPr>
        <w:t>根据防城港市营商环境特点，制定详细完整的评估工作方案，包括项目执行阶段、评估工作流程、人员分工分组计划，按照国家营商环境评价办法，明确各项指标相关项目的评分细则，制定详细的原始数据提供计划，明确各项指标数据采集对象、数量和样本要求：</w:t>
      </w:r>
    </w:p>
    <w:p>
      <w:pPr>
        <w:pStyle w:val="10"/>
        <w:spacing w:line="400" w:lineRule="exact"/>
        <w:ind w:firstLine="430"/>
        <w:rPr>
          <w:bCs/>
          <w:color w:val="auto"/>
          <w:szCs w:val="21"/>
          <w:highlight w:val="none"/>
        </w:rPr>
      </w:pPr>
      <w:r>
        <w:rPr>
          <w:bCs/>
          <w:color w:val="auto"/>
          <w:szCs w:val="21"/>
          <w:highlight w:val="none"/>
        </w:rPr>
        <w:t>一档（4</w:t>
      </w:r>
      <w:r>
        <w:rPr>
          <w:rFonts w:hint="eastAsia"/>
          <w:bCs/>
          <w:color w:val="auto"/>
          <w:szCs w:val="21"/>
          <w:highlight w:val="none"/>
        </w:rPr>
        <w:t>分</w:t>
      </w:r>
      <w:r>
        <w:rPr>
          <w:bCs/>
          <w:color w:val="auto"/>
          <w:szCs w:val="21"/>
          <w:highlight w:val="none"/>
        </w:rPr>
        <w:t>）：评估方案内容简单，不完整，无依据的评估指标体系（世界银行评估指标和国家营商环境评价办法）开展评估。</w:t>
      </w:r>
    </w:p>
    <w:p>
      <w:pPr>
        <w:pStyle w:val="10"/>
        <w:spacing w:line="400" w:lineRule="exact"/>
        <w:ind w:firstLine="430"/>
        <w:rPr>
          <w:bCs/>
          <w:color w:val="auto"/>
          <w:szCs w:val="21"/>
          <w:highlight w:val="none"/>
        </w:rPr>
      </w:pPr>
      <w:r>
        <w:rPr>
          <w:bCs/>
          <w:color w:val="auto"/>
          <w:szCs w:val="21"/>
          <w:highlight w:val="none"/>
        </w:rPr>
        <w:t>二档（8</w:t>
      </w:r>
      <w:r>
        <w:rPr>
          <w:rFonts w:hint="eastAsia"/>
          <w:bCs/>
          <w:color w:val="auto"/>
          <w:szCs w:val="21"/>
          <w:highlight w:val="none"/>
        </w:rPr>
        <w:t>分</w:t>
      </w:r>
      <w:r>
        <w:rPr>
          <w:bCs/>
          <w:color w:val="auto"/>
          <w:szCs w:val="21"/>
          <w:highlight w:val="none"/>
        </w:rPr>
        <w:t>）：评估方案一般，不完整，评估工作方案、项目评分细则、原始数据提供计划缺少其中一项的。</w:t>
      </w:r>
    </w:p>
    <w:p>
      <w:pPr>
        <w:pStyle w:val="10"/>
        <w:spacing w:line="400" w:lineRule="exact"/>
        <w:ind w:firstLine="430"/>
        <w:rPr>
          <w:bCs/>
          <w:color w:val="auto"/>
          <w:szCs w:val="21"/>
          <w:highlight w:val="none"/>
        </w:rPr>
      </w:pPr>
      <w:r>
        <w:rPr>
          <w:bCs/>
          <w:color w:val="auto"/>
          <w:szCs w:val="21"/>
          <w:highlight w:val="none"/>
        </w:rPr>
        <w:t>三档（16</w:t>
      </w:r>
      <w:r>
        <w:rPr>
          <w:rFonts w:hint="eastAsia"/>
          <w:bCs/>
          <w:color w:val="auto"/>
          <w:szCs w:val="21"/>
          <w:highlight w:val="none"/>
        </w:rPr>
        <w:t>分</w:t>
      </w:r>
      <w:r>
        <w:rPr>
          <w:bCs/>
          <w:color w:val="auto"/>
          <w:szCs w:val="21"/>
          <w:highlight w:val="none"/>
        </w:rPr>
        <w:t>）：评估方案不够完整，详实，依据或未完全依据国际上认可和采纳的评估指标体系（采用世行评估指标和国家营商环境评价办法）开展评估的。</w:t>
      </w:r>
    </w:p>
    <w:p>
      <w:pPr>
        <w:pStyle w:val="10"/>
        <w:spacing w:line="400" w:lineRule="exact"/>
        <w:ind w:firstLine="430"/>
        <w:rPr>
          <w:bCs/>
          <w:color w:val="auto"/>
          <w:szCs w:val="21"/>
          <w:highlight w:val="none"/>
        </w:rPr>
      </w:pPr>
      <w:r>
        <w:rPr>
          <w:bCs/>
          <w:color w:val="auto"/>
          <w:szCs w:val="21"/>
          <w:highlight w:val="none"/>
        </w:rPr>
        <w:t>四档（24</w:t>
      </w:r>
      <w:r>
        <w:rPr>
          <w:rFonts w:hint="eastAsia"/>
          <w:bCs/>
          <w:color w:val="auto"/>
          <w:szCs w:val="21"/>
          <w:highlight w:val="none"/>
        </w:rPr>
        <w:t>分</w:t>
      </w:r>
      <w:r>
        <w:rPr>
          <w:bCs/>
          <w:color w:val="auto"/>
          <w:szCs w:val="21"/>
          <w:highlight w:val="none"/>
        </w:rPr>
        <w:t>）：评估方案内容完整，陈述详尽，依据国际上被广泛认可和采纳的评估指标体系（世界银行评估指标和国家营商环境评价办法）开展评估。</w:t>
      </w:r>
    </w:p>
    <w:p>
      <w:pPr>
        <w:pStyle w:val="10"/>
        <w:spacing w:line="400" w:lineRule="exact"/>
        <w:ind w:firstLine="430"/>
        <w:rPr>
          <w:b/>
          <w:color w:val="auto"/>
          <w:szCs w:val="21"/>
          <w:highlight w:val="none"/>
        </w:rPr>
      </w:pPr>
      <w:r>
        <w:rPr>
          <w:b/>
          <w:color w:val="auto"/>
          <w:szCs w:val="21"/>
          <w:highlight w:val="none"/>
        </w:rPr>
        <w:t>注：投标人若没提供本项目内容，得0分</w:t>
      </w:r>
    </w:p>
    <w:p>
      <w:pPr>
        <w:pStyle w:val="10"/>
        <w:spacing w:line="400" w:lineRule="exact"/>
        <w:ind w:firstLine="430"/>
        <w:rPr>
          <w:bCs/>
          <w:color w:val="auto"/>
          <w:szCs w:val="21"/>
          <w:highlight w:val="none"/>
        </w:rPr>
      </w:pPr>
      <w:r>
        <w:rPr>
          <w:rFonts w:hint="eastAsia"/>
          <w:b/>
          <w:color w:val="auto"/>
          <w:szCs w:val="21"/>
          <w:highlight w:val="none"/>
        </w:rPr>
        <w:t>（3）数据采集分（满分10分）</w:t>
      </w:r>
    </w:p>
    <w:p>
      <w:pPr>
        <w:pStyle w:val="10"/>
        <w:spacing w:line="400" w:lineRule="exact"/>
        <w:ind w:firstLine="430"/>
        <w:rPr>
          <w:bCs/>
          <w:color w:val="auto"/>
          <w:szCs w:val="21"/>
          <w:highlight w:val="none"/>
        </w:rPr>
      </w:pPr>
      <w:r>
        <w:rPr>
          <w:rFonts w:hint="eastAsia"/>
          <w:bCs/>
          <w:color w:val="auto"/>
          <w:szCs w:val="21"/>
          <w:highlight w:val="none"/>
        </w:rPr>
        <w:t>评估方案中明确各指标数据的采集时间、采集标准、合规样本要求、数据采集渠道、无样本情况下评估办法，以上项目每明确1个的得2分，满分10分。</w:t>
      </w:r>
    </w:p>
    <w:p>
      <w:pPr>
        <w:pStyle w:val="10"/>
        <w:spacing w:line="400" w:lineRule="exact"/>
        <w:ind w:firstLine="422" w:firstLineChars="200"/>
        <w:rPr>
          <w:rFonts w:hAnsi="宋体"/>
          <w:b/>
          <w:bCs/>
          <w:color w:val="auto"/>
          <w:szCs w:val="21"/>
          <w:highlight w:val="none"/>
        </w:rPr>
      </w:pPr>
      <w:r>
        <w:rPr>
          <w:rFonts w:hint="eastAsia" w:hAnsi="宋体"/>
          <w:b/>
          <w:bCs/>
          <w:color w:val="auto"/>
          <w:szCs w:val="21"/>
          <w:highlight w:val="none"/>
        </w:rPr>
        <w:t>（4）对评估方案的具体阐述（满分</w:t>
      </w:r>
      <w:r>
        <w:rPr>
          <w:rFonts w:hint="eastAsia"/>
          <w:b/>
          <w:bCs/>
          <w:color w:val="auto"/>
          <w:szCs w:val="21"/>
          <w:highlight w:val="none"/>
        </w:rPr>
        <w:t>6</w:t>
      </w:r>
      <w:r>
        <w:rPr>
          <w:rFonts w:hint="eastAsia" w:hAnsi="宋体"/>
          <w:b/>
          <w:bCs/>
          <w:color w:val="auto"/>
          <w:szCs w:val="21"/>
          <w:highlight w:val="none"/>
        </w:rPr>
        <w:t>分）</w:t>
      </w:r>
    </w:p>
    <w:p>
      <w:pPr>
        <w:pStyle w:val="10"/>
        <w:spacing w:line="400" w:lineRule="exact"/>
        <w:ind w:firstLine="430"/>
        <w:rPr>
          <w:bCs/>
          <w:color w:val="auto"/>
          <w:szCs w:val="21"/>
          <w:highlight w:val="none"/>
        </w:rPr>
      </w:pPr>
      <w:r>
        <w:rPr>
          <w:bCs/>
          <w:color w:val="auto"/>
          <w:szCs w:val="21"/>
          <w:highlight w:val="none"/>
        </w:rPr>
        <w:t>一档（2</w:t>
      </w:r>
      <w:r>
        <w:rPr>
          <w:rFonts w:hint="eastAsia"/>
          <w:bCs/>
          <w:color w:val="auto"/>
          <w:szCs w:val="21"/>
          <w:highlight w:val="none"/>
        </w:rPr>
        <w:t>分</w:t>
      </w:r>
      <w:r>
        <w:rPr>
          <w:bCs/>
          <w:color w:val="auto"/>
          <w:szCs w:val="21"/>
          <w:highlight w:val="none"/>
        </w:rPr>
        <w:t>）：对评估方案的具体阐述，对项目的各项评价指标理解不充分，阐述不清晰，论述不充分，可行性一般的；</w:t>
      </w:r>
    </w:p>
    <w:p>
      <w:pPr>
        <w:pStyle w:val="10"/>
        <w:spacing w:line="400" w:lineRule="exact"/>
        <w:ind w:firstLine="430"/>
        <w:rPr>
          <w:bCs/>
          <w:color w:val="auto"/>
          <w:szCs w:val="21"/>
          <w:highlight w:val="none"/>
        </w:rPr>
      </w:pPr>
      <w:r>
        <w:rPr>
          <w:bCs/>
          <w:color w:val="auto"/>
          <w:szCs w:val="21"/>
          <w:highlight w:val="none"/>
        </w:rPr>
        <w:t>二档（4</w:t>
      </w:r>
      <w:r>
        <w:rPr>
          <w:rFonts w:hint="eastAsia"/>
          <w:bCs/>
          <w:color w:val="auto"/>
          <w:szCs w:val="21"/>
          <w:highlight w:val="none"/>
        </w:rPr>
        <w:t>分</w:t>
      </w:r>
      <w:r>
        <w:rPr>
          <w:bCs/>
          <w:color w:val="auto"/>
          <w:szCs w:val="21"/>
          <w:highlight w:val="none"/>
        </w:rPr>
        <w:t>）：对评估方案的具体阐述，对项目的各项评价指标理解一般，阐述不够清晰，论述不够充分，满足服务采购需求的要求；</w:t>
      </w:r>
    </w:p>
    <w:p>
      <w:pPr>
        <w:pStyle w:val="10"/>
        <w:spacing w:line="400" w:lineRule="exact"/>
        <w:ind w:firstLine="430"/>
        <w:rPr>
          <w:bCs/>
          <w:color w:val="auto"/>
          <w:szCs w:val="21"/>
          <w:highlight w:val="none"/>
        </w:rPr>
      </w:pPr>
      <w:r>
        <w:rPr>
          <w:bCs/>
          <w:color w:val="auto"/>
          <w:szCs w:val="21"/>
          <w:highlight w:val="none"/>
        </w:rPr>
        <w:t>三档（6</w:t>
      </w:r>
      <w:r>
        <w:rPr>
          <w:rFonts w:hint="eastAsia"/>
          <w:bCs/>
          <w:color w:val="auto"/>
          <w:szCs w:val="21"/>
          <w:highlight w:val="none"/>
        </w:rPr>
        <w:t>分</w:t>
      </w:r>
      <w:r>
        <w:rPr>
          <w:bCs/>
          <w:color w:val="auto"/>
          <w:szCs w:val="21"/>
          <w:highlight w:val="none"/>
        </w:rPr>
        <w:t>）：对评估方案的具体阐述，对项目的各项评价指标理解，阐述清晰，论述充分，完全满足服务采购需求的。</w:t>
      </w:r>
    </w:p>
    <w:p>
      <w:pPr>
        <w:pStyle w:val="10"/>
        <w:spacing w:line="400" w:lineRule="exact"/>
        <w:ind w:firstLine="422" w:firstLineChars="200"/>
        <w:rPr>
          <w:rFonts w:hAnsi="宋体"/>
          <w:b/>
          <w:bCs/>
          <w:color w:val="auto"/>
          <w:szCs w:val="21"/>
          <w:highlight w:val="none"/>
        </w:rPr>
      </w:pPr>
      <w:r>
        <w:rPr>
          <w:rFonts w:hint="eastAsia" w:hAnsi="宋体"/>
          <w:b/>
          <w:bCs/>
          <w:color w:val="auto"/>
          <w:szCs w:val="21"/>
          <w:highlight w:val="none"/>
        </w:rPr>
        <w:t>（5）咨询服务分（满分10分）</w:t>
      </w:r>
    </w:p>
    <w:p>
      <w:pPr>
        <w:pStyle w:val="10"/>
        <w:spacing w:line="400" w:lineRule="exact"/>
        <w:ind w:firstLine="430"/>
        <w:rPr>
          <w:bCs/>
          <w:color w:val="auto"/>
          <w:szCs w:val="21"/>
          <w:highlight w:val="none"/>
        </w:rPr>
      </w:pPr>
      <w:r>
        <w:rPr>
          <w:bCs/>
          <w:color w:val="auto"/>
          <w:szCs w:val="21"/>
          <w:highlight w:val="none"/>
        </w:rPr>
        <w:t>评估过程需提供完整的售后服务，包括但不限于按照采购人要求给各单位进行数据采集培训、指标解读和评估反馈等内容，服务期内投标人需结合实际情况制定咨询服务方案，从以下方面进行评估：</w:t>
      </w:r>
    </w:p>
    <w:p>
      <w:pPr>
        <w:pStyle w:val="10"/>
        <w:spacing w:line="400" w:lineRule="exact"/>
        <w:ind w:firstLine="430"/>
        <w:rPr>
          <w:bCs/>
          <w:color w:val="auto"/>
          <w:szCs w:val="21"/>
          <w:highlight w:val="none"/>
        </w:rPr>
      </w:pPr>
      <w:r>
        <w:rPr>
          <w:bCs/>
          <w:color w:val="auto"/>
          <w:szCs w:val="21"/>
          <w:highlight w:val="none"/>
        </w:rPr>
        <w:t>一档（3分）咨询服务方案内容不够完整不够周全，不具有操作性和保障性的主要内容的。</w:t>
      </w:r>
    </w:p>
    <w:p>
      <w:pPr>
        <w:pStyle w:val="10"/>
        <w:spacing w:line="400" w:lineRule="exact"/>
        <w:ind w:firstLine="430"/>
        <w:rPr>
          <w:bCs/>
          <w:color w:val="auto"/>
          <w:szCs w:val="21"/>
          <w:highlight w:val="none"/>
        </w:rPr>
      </w:pPr>
      <w:r>
        <w:rPr>
          <w:bCs/>
          <w:color w:val="auto"/>
          <w:szCs w:val="21"/>
          <w:highlight w:val="none"/>
        </w:rPr>
        <w:t>二档（6分）有重点、难点且作出分析，较完整较周全，主要内容的编制思路合理，管理措施符合项目实际，咨询服务方案内容操作性和保障性一般的。</w:t>
      </w:r>
    </w:p>
    <w:p>
      <w:pPr>
        <w:pStyle w:val="10"/>
        <w:spacing w:line="400" w:lineRule="exact"/>
        <w:ind w:firstLine="430"/>
        <w:rPr>
          <w:bCs/>
          <w:color w:val="auto"/>
          <w:szCs w:val="21"/>
          <w:highlight w:val="none"/>
        </w:rPr>
      </w:pPr>
      <w:r>
        <w:rPr>
          <w:bCs/>
          <w:color w:val="auto"/>
          <w:szCs w:val="21"/>
          <w:highlight w:val="none"/>
        </w:rPr>
        <w:t>三档（10分）有突出重点、难点且作出深入分析，完整周全，主要内容的编制思路明晰，管理措施利于项目实际，承诺按照采购人要求给各单位进行数据采集培训、指标解读和评估反馈等内容。</w:t>
      </w:r>
    </w:p>
    <w:p>
      <w:pPr>
        <w:pStyle w:val="10"/>
        <w:spacing w:line="400" w:lineRule="exact"/>
        <w:ind w:firstLine="430"/>
        <w:rPr>
          <w:b/>
          <w:color w:val="auto"/>
          <w:szCs w:val="21"/>
          <w:highlight w:val="none"/>
        </w:rPr>
      </w:pPr>
      <w:r>
        <w:rPr>
          <w:b/>
          <w:color w:val="auto"/>
          <w:szCs w:val="21"/>
          <w:highlight w:val="none"/>
        </w:rPr>
        <w:t>注：投标人若没提供本项目内容，得0分</w:t>
      </w:r>
    </w:p>
    <w:p>
      <w:pPr>
        <w:pStyle w:val="10"/>
        <w:numPr>
          <w:ilvl w:val="0"/>
          <w:numId w:val="2"/>
        </w:numPr>
        <w:spacing w:line="400" w:lineRule="exact"/>
        <w:rPr>
          <w:rFonts w:hAnsi="宋体"/>
          <w:b/>
          <w:bCs/>
          <w:color w:val="auto"/>
          <w:szCs w:val="21"/>
          <w:highlight w:val="none"/>
        </w:rPr>
      </w:pPr>
      <w:r>
        <w:rPr>
          <w:rFonts w:hint="eastAsia" w:hAnsi="宋体"/>
          <w:b/>
          <w:bCs/>
          <w:color w:val="auto"/>
          <w:szCs w:val="21"/>
          <w:highlight w:val="none"/>
        </w:rPr>
        <w:t>商务分（满分31分）</w:t>
      </w:r>
    </w:p>
    <w:p>
      <w:pPr>
        <w:pStyle w:val="10"/>
        <w:spacing w:line="400" w:lineRule="exact"/>
        <w:ind w:firstLine="422" w:firstLineChars="200"/>
        <w:rPr>
          <w:rFonts w:hAnsi="宋体"/>
          <w:b/>
          <w:bCs/>
          <w:color w:val="auto"/>
          <w:szCs w:val="21"/>
          <w:highlight w:val="none"/>
        </w:rPr>
      </w:pPr>
      <w:r>
        <w:rPr>
          <w:rFonts w:hint="eastAsia" w:hAnsi="宋体"/>
          <w:b/>
          <w:bCs/>
          <w:color w:val="auto"/>
          <w:szCs w:val="21"/>
          <w:highlight w:val="none"/>
        </w:rPr>
        <w:t>（1）业绩分（满分14分）</w:t>
      </w:r>
    </w:p>
    <w:p>
      <w:pPr>
        <w:pStyle w:val="10"/>
        <w:spacing w:line="400" w:lineRule="exact"/>
        <w:ind w:firstLine="430"/>
        <w:rPr>
          <w:bCs/>
          <w:color w:val="auto"/>
          <w:szCs w:val="21"/>
          <w:highlight w:val="none"/>
        </w:rPr>
      </w:pPr>
      <w:r>
        <w:rPr>
          <w:rFonts w:hint="eastAsia"/>
          <w:bCs/>
          <w:color w:val="auto"/>
          <w:szCs w:val="21"/>
          <w:highlight w:val="none"/>
        </w:rPr>
        <w:t>投标人及其子公司2017年以来同类服务的业绩分（以中标通知书或合同复印件为准，如提供的业绩为投标人子公司业绩的，同时提供公司关系说明或能证明其为投标人子公司的相关证明文件）。</w:t>
      </w:r>
    </w:p>
    <w:p>
      <w:pPr>
        <w:pStyle w:val="10"/>
        <w:spacing w:line="400" w:lineRule="exact"/>
        <w:ind w:firstLine="430"/>
        <w:rPr>
          <w:bCs/>
          <w:color w:val="auto"/>
          <w:szCs w:val="21"/>
          <w:highlight w:val="none"/>
        </w:rPr>
      </w:pPr>
      <w:r>
        <w:rPr>
          <w:rFonts w:hint="eastAsia"/>
          <w:bCs/>
          <w:color w:val="auto"/>
          <w:szCs w:val="21"/>
          <w:highlight w:val="none"/>
        </w:rPr>
        <w:t>投标人自2017年1月1日起，承接过市州级的营商环境评估或类似第三方评估案例，每提供1个得1分；承接过副省级及以上（含计划单列市）的营商环境评估或类似第三方评估案例，每提供1个得2分。</w:t>
      </w:r>
    </w:p>
    <w:p>
      <w:pPr>
        <w:pStyle w:val="10"/>
        <w:spacing w:line="400" w:lineRule="exact"/>
        <w:ind w:firstLine="422" w:firstLineChars="200"/>
        <w:rPr>
          <w:rFonts w:hAnsi="宋体"/>
          <w:b/>
          <w:bCs/>
          <w:color w:val="auto"/>
          <w:szCs w:val="21"/>
          <w:highlight w:val="none"/>
        </w:rPr>
      </w:pPr>
      <w:r>
        <w:rPr>
          <w:rFonts w:hint="eastAsia" w:hAnsi="宋体"/>
          <w:b/>
          <w:bCs/>
          <w:color w:val="auto"/>
          <w:szCs w:val="21"/>
          <w:highlight w:val="none"/>
        </w:rPr>
        <w:t>（2）人员配备情况（满分14分）</w:t>
      </w:r>
    </w:p>
    <w:p>
      <w:pPr>
        <w:pStyle w:val="10"/>
        <w:spacing w:line="400" w:lineRule="exact"/>
        <w:ind w:firstLine="430"/>
        <w:rPr>
          <w:bCs/>
          <w:color w:val="auto"/>
          <w:szCs w:val="21"/>
          <w:highlight w:val="none"/>
        </w:rPr>
      </w:pPr>
      <w:r>
        <w:rPr>
          <w:rFonts w:ascii="Calibri" w:hAnsi="Calibri" w:cs="Calibri"/>
          <w:bCs/>
          <w:color w:val="auto"/>
          <w:szCs w:val="21"/>
          <w:highlight w:val="none"/>
        </w:rPr>
        <w:t>①</w:t>
      </w:r>
      <w:r>
        <w:rPr>
          <w:rFonts w:hint="eastAsia"/>
          <w:bCs/>
          <w:color w:val="auto"/>
          <w:szCs w:val="21"/>
          <w:highlight w:val="none"/>
        </w:rPr>
        <w:t>投标人拟投入本项目的相关专业技术人员有中级职称技术人员的每人得1分，满分4分；有高级职称技术人员的每人得2分，满分4分。本项满分8分。需提供专业人员花名册包括姓名、性别、出生日期、学历，提供职称证复印件；同时提供：上述人员提供2020年任意三个月缴纳社保证明复印件，属事业单位编制人员的提供在编人员证明复印件。</w:t>
      </w:r>
    </w:p>
    <w:p>
      <w:pPr>
        <w:pStyle w:val="10"/>
        <w:spacing w:line="400" w:lineRule="exact"/>
        <w:ind w:firstLine="430"/>
        <w:rPr>
          <w:bCs/>
          <w:color w:val="auto"/>
          <w:szCs w:val="21"/>
          <w:highlight w:val="none"/>
        </w:rPr>
      </w:pPr>
      <w:r>
        <w:rPr>
          <w:rFonts w:hint="eastAsia"/>
          <w:bCs/>
          <w:color w:val="auto"/>
          <w:szCs w:val="21"/>
          <w:highlight w:val="none"/>
        </w:rPr>
        <w:t>（注：如投标人与第三方劳务派遣单位有劳务派遣合同的，需提供投标人与劳务派遣单位签订的合同复印件和劳务派遣单位为其缴纳的社保证明材料复印件）</w:t>
      </w:r>
    </w:p>
    <w:p>
      <w:pPr>
        <w:pStyle w:val="10"/>
        <w:spacing w:line="400" w:lineRule="exact"/>
        <w:ind w:firstLine="430"/>
        <w:rPr>
          <w:bCs/>
          <w:color w:val="auto"/>
          <w:szCs w:val="21"/>
          <w:highlight w:val="none"/>
        </w:rPr>
      </w:pPr>
      <w:r>
        <w:rPr>
          <w:rFonts w:ascii="Calibri" w:hAnsi="Calibri" w:cs="Calibri"/>
          <w:bCs/>
          <w:color w:val="auto"/>
          <w:szCs w:val="21"/>
          <w:highlight w:val="none"/>
        </w:rPr>
        <w:t>②</w:t>
      </w:r>
      <w:r>
        <w:rPr>
          <w:rFonts w:hint="eastAsia"/>
          <w:bCs/>
          <w:color w:val="auto"/>
          <w:szCs w:val="21"/>
          <w:highlight w:val="none"/>
        </w:rPr>
        <w:t>投标人拟投入本项目的专业技术人员中有参加过营商环境指标评估或营商环境试评价履历，有相关履历的1个人员得3分，2个人员得6分，满分6分。如专业技术人员是投标人本单位员工，必须同时提供2020年任意三个月，投标人为其缴纳社保证明材料复印件；如专业技术人员为投标人外聘专家，必须同时提供投标人与该专业技术人员有效的聘用合同复印件。不按上述要求提供证明材料的不得分。</w:t>
      </w:r>
    </w:p>
    <w:p>
      <w:pPr>
        <w:pStyle w:val="10"/>
        <w:spacing w:line="400" w:lineRule="exact"/>
        <w:ind w:firstLine="430"/>
        <w:rPr>
          <w:bCs/>
          <w:color w:val="auto"/>
          <w:szCs w:val="21"/>
          <w:highlight w:val="none"/>
        </w:rPr>
      </w:pPr>
      <w:r>
        <w:rPr>
          <w:rFonts w:ascii="Calibri" w:hAnsi="Calibri" w:cs="Calibri"/>
          <w:bCs/>
          <w:color w:val="auto"/>
          <w:szCs w:val="21"/>
          <w:highlight w:val="none"/>
        </w:rPr>
        <w:t>③</w:t>
      </w:r>
      <w:r>
        <w:rPr>
          <w:rFonts w:hint="eastAsia"/>
          <w:bCs/>
          <w:color w:val="auto"/>
          <w:szCs w:val="21"/>
          <w:highlight w:val="none"/>
        </w:rPr>
        <w:t>无相关履历的得0分。</w:t>
      </w:r>
    </w:p>
    <w:p>
      <w:pPr>
        <w:pStyle w:val="10"/>
        <w:spacing w:line="400" w:lineRule="exact"/>
        <w:ind w:firstLine="422" w:firstLineChars="200"/>
        <w:rPr>
          <w:rFonts w:hAnsi="宋体"/>
          <w:b/>
          <w:bCs/>
          <w:color w:val="auto"/>
          <w:szCs w:val="21"/>
          <w:highlight w:val="none"/>
        </w:rPr>
      </w:pPr>
      <w:r>
        <w:rPr>
          <w:rFonts w:hint="eastAsia" w:hAnsi="宋体"/>
          <w:b/>
          <w:bCs/>
          <w:color w:val="auto"/>
          <w:szCs w:val="21"/>
          <w:highlight w:val="none"/>
        </w:rPr>
        <w:t>（3）本地化服务分（满分3分）</w:t>
      </w:r>
    </w:p>
    <w:p>
      <w:pPr>
        <w:pStyle w:val="10"/>
        <w:spacing w:line="400" w:lineRule="exact"/>
        <w:ind w:firstLine="430"/>
        <w:rPr>
          <w:bCs/>
          <w:color w:val="auto"/>
          <w:szCs w:val="21"/>
          <w:highlight w:val="none"/>
        </w:rPr>
      </w:pPr>
      <w:r>
        <w:rPr>
          <w:bCs/>
          <w:color w:val="auto"/>
          <w:szCs w:val="21"/>
          <w:highlight w:val="none"/>
        </w:rPr>
        <w:t>一档（1分）：投标人承诺中标后在广西成立分支机构或办事处的得1分；（需在投标文件中提供承诺函）</w:t>
      </w:r>
    </w:p>
    <w:p>
      <w:pPr>
        <w:pStyle w:val="10"/>
        <w:spacing w:line="400" w:lineRule="exact"/>
        <w:ind w:firstLine="430"/>
        <w:rPr>
          <w:bCs/>
          <w:color w:val="auto"/>
          <w:szCs w:val="21"/>
          <w:highlight w:val="none"/>
        </w:rPr>
      </w:pPr>
      <w:r>
        <w:rPr>
          <w:bCs/>
          <w:color w:val="auto"/>
          <w:szCs w:val="21"/>
          <w:highlight w:val="none"/>
        </w:rPr>
        <w:t>二档（3分）：投标人已在广西本地设有分支机构的得3分。（需在投标文件中提供办公场所租赁合同复印件或分支机构注册证明）。</w:t>
      </w:r>
    </w:p>
    <w:p>
      <w:pPr>
        <w:pStyle w:val="10"/>
        <w:tabs>
          <w:tab w:val="left" w:leader="dot" w:pos="8640"/>
        </w:tabs>
        <w:spacing w:before="120" w:line="400" w:lineRule="exact"/>
        <w:ind w:left="479" w:leftChars="228" w:firstLine="10" w:firstLineChars="4"/>
        <w:outlineLvl w:val="0"/>
        <w:rPr>
          <w:rFonts w:hAnsi="宋体"/>
          <w:b/>
          <w:color w:val="auto"/>
          <w:sz w:val="24"/>
          <w:szCs w:val="24"/>
          <w:highlight w:val="none"/>
        </w:rPr>
      </w:pPr>
      <w:r>
        <w:rPr>
          <w:rFonts w:hint="eastAsia" w:hAnsi="宋体"/>
          <w:b/>
          <w:color w:val="auto"/>
          <w:sz w:val="24"/>
          <w:szCs w:val="24"/>
          <w:highlight w:val="none"/>
        </w:rPr>
        <w:t>总得分=1+2+3。</w:t>
      </w:r>
    </w:p>
    <w:p>
      <w:pPr>
        <w:pStyle w:val="10"/>
        <w:tabs>
          <w:tab w:val="left" w:leader="dot" w:pos="8640"/>
        </w:tabs>
        <w:spacing w:before="120" w:line="400" w:lineRule="exact"/>
        <w:ind w:left="472" w:hanging="472" w:hangingChars="196"/>
        <w:outlineLvl w:val="0"/>
        <w:rPr>
          <w:rFonts w:hAnsi="宋体"/>
          <w:color w:val="auto"/>
          <w:sz w:val="24"/>
          <w:szCs w:val="24"/>
          <w:highlight w:val="none"/>
        </w:rPr>
      </w:pPr>
      <w:bookmarkStart w:id="325" w:name="_Toc395066558"/>
      <w:bookmarkStart w:id="326" w:name="_Toc405943016"/>
      <w:bookmarkStart w:id="327" w:name="_Toc510450587"/>
      <w:bookmarkStart w:id="328" w:name="_Toc444006021"/>
      <w:bookmarkStart w:id="329" w:name="_Toc528924951"/>
      <w:r>
        <w:rPr>
          <w:rFonts w:hint="eastAsia" w:hAnsi="宋体"/>
          <w:b/>
          <w:color w:val="auto"/>
          <w:sz w:val="24"/>
          <w:szCs w:val="24"/>
          <w:highlight w:val="none"/>
        </w:rPr>
        <w:t>三、推荐成交候选人</w:t>
      </w:r>
      <w:bookmarkEnd w:id="325"/>
      <w:bookmarkEnd w:id="326"/>
      <w:bookmarkEnd w:id="327"/>
      <w:bookmarkEnd w:id="328"/>
      <w:bookmarkEnd w:id="329"/>
    </w:p>
    <w:bookmarkEnd w:id="324"/>
    <w:p>
      <w:pPr>
        <w:pStyle w:val="10"/>
        <w:spacing w:line="400" w:lineRule="exact"/>
        <w:ind w:firstLine="430"/>
        <w:rPr>
          <w:bCs/>
          <w:color w:val="auto"/>
          <w:szCs w:val="21"/>
          <w:highlight w:val="none"/>
        </w:rPr>
      </w:pPr>
      <w:r>
        <w:rPr>
          <w:rFonts w:hint="eastAsia"/>
          <w:bCs/>
          <w:color w:val="auto"/>
          <w:szCs w:val="21"/>
          <w:highlight w:val="none"/>
        </w:rPr>
        <w:t>（1）磋商小组根据综合总得分由高到低排列次序，磋商服务商总得分相同时，以最后报价由高到低的顺序进行排序；最后报价相同时，以提供的针对本项目的施工图设计优劣进行排序；若项目施工图设计仍相同时，则以服务优劣进行排序；若仍相同时，则由磋商小组集体讨论确定。</w:t>
      </w:r>
    </w:p>
    <w:p>
      <w:pPr>
        <w:pStyle w:val="10"/>
        <w:spacing w:line="400" w:lineRule="exact"/>
        <w:ind w:firstLine="430"/>
        <w:rPr>
          <w:bCs/>
          <w:color w:val="auto"/>
          <w:szCs w:val="21"/>
          <w:highlight w:val="none"/>
        </w:rPr>
      </w:pPr>
      <w:r>
        <w:rPr>
          <w:rFonts w:hint="eastAsia"/>
          <w:bCs/>
          <w:color w:val="auto"/>
          <w:szCs w:val="21"/>
          <w:highlight w:val="none"/>
        </w:rPr>
        <w:t>（2）进入详评的磋商服务商可推荐前三名为成交候选服务商，若不足三名的，则全部推荐为成交候选服务商，采购单位应当确定评审委员会推荐排名第一的成交候选服务商为成交服务商。</w:t>
      </w:r>
    </w:p>
    <w:p>
      <w:pPr>
        <w:pStyle w:val="10"/>
        <w:spacing w:line="400" w:lineRule="exact"/>
        <w:ind w:firstLine="430"/>
        <w:rPr>
          <w:bCs/>
          <w:color w:val="auto"/>
          <w:szCs w:val="21"/>
          <w:highlight w:val="none"/>
        </w:rPr>
      </w:pPr>
      <w:r>
        <w:rPr>
          <w:rFonts w:hint="eastAsia"/>
          <w:bCs/>
          <w:color w:val="auto"/>
          <w:szCs w:val="21"/>
          <w:highlight w:val="none"/>
        </w:rPr>
        <w:t>（3）排名第一的成交候选服务商放弃成交、因不可抗力提出不能履行合同，或者磋商文件规定应当提交履约保证金而在规定的期限内未能提交的，招标采购单位可以确定排名第二的成交候选服务商为成交服务商。</w:t>
      </w:r>
    </w:p>
    <w:p>
      <w:pPr>
        <w:pStyle w:val="10"/>
        <w:spacing w:line="400" w:lineRule="exact"/>
        <w:ind w:firstLine="430"/>
        <w:rPr>
          <w:bCs/>
          <w:color w:val="auto"/>
          <w:szCs w:val="21"/>
          <w:highlight w:val="none"/>
        </w:rPr>
      </w:pPr>
      <w:r>
        <w:rPr>
          <w:rFonts w:hint="eastAsia"/>
          <w:bCs/>
          <w:color w:val="auto"/>
          <w:szCs w:val="21"/>
          <w:highlight w:val="none"/>
        </w:rPr>
        <w:t>（4）第二成交候选服务商因前款规定的同样原因不能签订合同的，招标采购单位可以确定排名第三的成交候选服务商为成交服务商。</w:t>
      </w:r>
    </w:p>
    <w:p>
      <w:pPr>
        <w:pStyle w:val="10"/>
        <w:spacing w:line="400" w:lineRule="exact"/>
        <w:ind w:firstLine="430"/>
        <w:rPr>
          <w:bCs/>
          <w:color w:val="auto"/>
          <w:szCs w:val="21"/>
          <w:highlight w:val="none"/>
        </w:rPr>
        <w:sectPr>
          <w:footerReference r:id="rId3" w:type="default"/>
          <w:pgSz w:w="11906" w:h="16840"/>
          <w:pgMar w:top="1180" w:right="1416" w:bottom="900" w:left="1276" w:header="680" w:footer="0" w:gutter="0"/>
          <w:cols w:space="720" w:num="1"/>
        </w:sectPr>
      </w:pPr>
      <w:r>
        <w:rPr>
          <w:rFonts w:hint="eastAsia"/>
          <w:bCs/>
          <w:color w:val="auto"/>
          <w:szCs w:val="21"/>
          <w:highlight w:val="none"/>
        </w:rPr>
        <w:t>（5) 磋商小组认为，某磋商服务商的磋商报价或者某些分项报价明显不合理或者低于成本，有可能影响服务质量和不能诚信履约的，应当要求其在规定的期限内提供书面文件予以解释说明，并提交相关证明材料，否则，磋商小组可以取消该磋商服务商的成交候选服务商资格，按顺序由排在后面的成交候选服务商递补，以此类推。</w:t>
      </w:r>
    </w:p>
    <w:p>
      <w:pPr>
        <w:pStyle w:val="3"/>
        <w:spacing w:line="560" w:lineRule="exact"/>
        <w:jc w:val="center"/>
        <w:rPr>
          <w:rFonts w:ascii="宋体" w:hAnsi="宋体"/>
          <w:bCs/>
          <w:color w:val="auto"/>
          <w:sz w:val="44"/>
          <w:highlight w:val="none"/>
        </w:rPr>
      </w:pPr>
      <w:bookmarkStart w:id="330" w:name="_Toc467661572"/>
      <w:bookmarkStart w:id="331" w:name="_Toc528924953"/>
      <w:bookmarkStart w:id="332" w:name="_Toc444006024"/>
      <w:r>
        <w:rPr>
          <w:rFonts w:hint="eastAsia" w:ascii="宋体" w:hAnsi="宋体"/>
          <w:bCs/>
          <w:color w:val="auto"/>
          <w:sz w:val="44"/>
          <w:highlight w:val="none"/>
        </w:rPr>
        <w:t>第六章   响应文件（格式）</w:t>
      </w:r>
      <w:bookmarkEnd w:id="330"/>
      <w:bookmarkEnd w:id="331"/>
      <w:bookmarkEnd w:id="332"/>
    </w:p>
    <w:p>
      <w:pPr>
        <w:spacing w:line="400" w:lineRule="exact"/>
        <w:rPr>
          <w:rFonts w:ascii="宋体" w:hAnsi="宋体"/>
          <w:color w:val="auto"/>
          <w:highlight w:val="none"/>
        </w:rPr>
      </w:pPr>
    </w:p>
    <w:p>
      <w:pPr>
        <w:spacing w:line="400" w:lineRule="exact"/>
        <w:rPr>
          <w:rFonts w:ascii="宋体" w:hAnsi="宋体"/>
          <w:color w:val="auto"/>
          <w:highlight w:val="none"/>
        </w:rPr>
      </w:pPr>
    </w:p>
    <w:p>
      <w:pPr>
        <w:autoSpaceDE w:val="0"/>
        <w:autoSpaceDN w:val="0"/>
        <w:adjustRightInd w:val="0"/>
        <w:spacing w:line="360" w:lineRule="auto"/>
        <w:rPr>
          <w:rFonts w:ascii="宋体" w:hAnsi="宋体"/>
          <w:color w:val="auto"/>
          <w:szCs w:val="21"/>
          <w:highlight w:val="none"/>
        </w:rPr>
      </w:pPr>
      <w:r>
        <w:rPr>
          <w:rFonts w:hint="eastAsia" w:ascii="宋体" w:hAnsi="宋体" w:cs="宋体"/>
          <w:color w:val="auto"/>
          <w:szCs w:val="21"/>
          <w:highlight w:val="none"/>
          <w:lang w:val="zh-CN"/>
        </w:rPr>
        <w:t>说明：</w:t>
      </w:r>
    </w:p>
    <w:p>
      <w:pPr>
        <w:pStyle w:val="10"/>
        <w:spacing w:line="400" w:lineRule="exact"/>
        <w:ind w:left="315" w:hanging="315" w:hangingChars="150"/>
        <w:rPr>
          <w:rFonts w:hAnsi="宋体"/>
          <w:color w:val="auto"/>
          <w:szCs w:val="21"/>
          <w:highlight w:val="none"/>
        </w:rPr>
      </w:pPr>
      <w:r>
        <w:rPr>
          <w:rFonts w:hint="eastAsia" w:hAnsi="宋体" w:cs="宋体"/>
          <w:color w:val="auto"/>
          <w:szCs w:val="21"/>
          <w:highlight w:val="none"/>
          <w:lang w:val="zh-CN"/>
        </w:rPr>
        <w:t>1、</w:t>
      </w:r>
      <w:r>
        <w:rPr>
          <w:rFonts w:hint="eastAsia" w:hAnsi="宋体"/>
          <w:color w:val="auto"/>
          <w:szCs w:val="21"/>
          <w:highlight w:val="none"/>
        </w:rPr>
        <w:t>本章所列的响应文件格式</w:t>
      </w:r>
      <w:r>
        <w:rPr>
          <w:rFonts w:hint="eastAsia" w:hAnsi="宋体" w:cs="宋体"/>
          <w:color w:val="auto"/>
          <w:szCs w:val="21"/>
          <w:highlight w:val="none"/>
          <w:lang w:val="zh-CN"/>
        </w:rPr>
        <w:t>，服务商可根据自身情况进行补充和修改、扩展，但补充和修改不得造成与本章格式内容有实质性的违背。</w:t>
      </w:r>
    </w:p>
    <w:p>
      <w:pPr>
        <w:pStyle w:val="10"/>
        <w:spacing w:line="400" w:lineRule="exact"/>
        <w:ind w:left="315" w:hanging="315" w:hangingChars="150"/>
        <w:rPr>
          <w:rFonts w:hAnsi="宋体" w:cs="宋体"/>
          <w:color w:val="auto"/>
          <w:szCs w:val="21"/>
          <w:highlight w:val="none"/>
          <w:lang w:val="zh-CN"/>
        </w:rPr>
      </w:pPr>
      <w:r>
        <w:rPr>
          <w:rFonts w:hint="eastAsia" w:hAnsi="宋体" w:cs="宋体"/>
          <w:color w:val="auto"/>
          <w:szCs w:val="21"/>
          <w:highlight w:val="none"/>
          <w:lang w:val="zh-CN"/>
        </w:rPr>
        <w:t>2、</w:t>
      </w:r>
      <w:r>
        <w:rPr>
          <w:rFonts w:hint="eastAsia" w:hAnsi="宋体"/>
          <w:color w:val="auto"/>
          <w:szCs w:val="21"/>
          <w:highlight w:val="none"/>
        </w:rPr>
        <w:t>目录由服务商自拟</w:t>
      </w:r>
      <w:r>
        <w:rPr>
          <w:rFonts w:hint="eastAsia" w:hAnsi="宋体" w:cs="宋体"/>
          <w:color w:val="auto"/>
          <w:szCs w:val="21"/>
          <w:highlight w:val="none"/>
          <w:lang w:val="zh-CN"/>
        </w:rPr>
        <w:t>。</w:t>
      </w:r>
    </w:p>
    <w:p>
      <w:pPr>
        <w:pStyle w:val="10"/>
        <w:spacing w:line="400" w:lineRule="exact"/>
        <w:ind w:left="315" w:hanging="315" w:hangingChars="150"/>
        <w:rPr>
          <w:rFonts w:hAnsi="宋体" w:cs="宋体"/>
          <w:color w:val="auto"/>
          <w:szCs w:val="21"/>
          <w:highlight w:val="none"/>
          <w:lang w:val="zh-CN"/>
        </w:rPr>
      </w:pPr>
      <w:r>
        <w:rPr>
          <w:rFonts w:hint="eastAsia" w:hAnsi="宋体" w:cs="宋体"/>
          <w:color w:val="auto"/>
          <w:szCs w:val="21"/>
          <w:highlight w:val="none"/>
          <w:lang w:val="zh-CN"/>
        </w:rPr>
        <w:t>3、</w:t>
      </w:r>
      <w:r>
        <w:rPr>
          <w:rFonts w:hint="eastAsia" w:hAnsi="宋体"/>
          <w:color w:val="auto"/>
          <w:szCs w:val="21"/>
          <w:highlight w:val="none"/>
        </w:rPr>
        <w:t>服务商</w:t>
      </w:r>
      <w:r>
        <w:rPr>
          <w:rFonts w:hint="eastAsia" w:hAnsi="宋体" w:cs="宋体"/>
          <w:color w:val="auto"/>
          <w:szCs w:val="21"/>
          <w:highlight w:val="none"/>
          <w:lang w:val="zh-CN"/>
        </w:rPr>
        <w:t>资格证明文件按</w:t>
      </w:r>
      <w:r>
        <w:rPr>
          <w:rFonts w:hint="eastAsia" w:hAnsi="宋体"/>
          <w:color w:val="auto"/>
          <w:szCs w:val="21"/>
          <w:highlight w:val="none"/>
        </w:rPr>
        <w:t>服务商</w:t>
      </w:r>
      <w:r>
        <w:rPr>
          <w:rFonts w:hint="eastAsia" w:hAnsi="宋体" w:cs="宋体"/>
          <w:color w:val="auto"/>
          <w:szCs w:val="21"/>
          <w:highlight w:val="none"/>
          <w:lang w:val="zh-CN"/>
        </w:rPr>
        <w:t>须知要求提供。</w:t>
      </w:r>
    </w:p>
    <w:p>
      <w:pPr>
        <w:pStyle w:val="10"/>
        <w:spacing w:line="400" w:lineRule="exact"/>
        <w:ind w:left="315" w:hanging="315" w:hangingChars="150"/>
        <w:rPr>
          <w:rFonts w:hAnsi="宋体" w:cs="宋体"/>
          <w:color w:val="auto"/>
          <w:szCs w:val="21"/>
          <w:highlight w:val="none"/>
          <w:lang w:val="zh-CN"/>
        </w:rPr>
      </w:pPr>
      <w:r>
        <w:rPr>
          <w:rFonts w:hint="eastAsia" w:hAnsi="宋体" w:cs="宋体"/>
          <w:color w:val="auto"/>
          <w:szCs w:val="21"/>
          <w:highlight w:val="none"/>
          <w:lang w:val="zh-CN"/>
        </w:rPr>
        <w:t>4、《法人授权委托书》填写说明：</w:t>
      </w:r>
    </w:p>
    <w:p>
      <w:pPr>
        <w:pStyle w:val="10"/>
        <w:spacing w:line="400" w:lineRule="exact"/>
        <w:ind w:left="540" w:leftChars="107" w:hanging="315" w:hangingChars="150"/>
        <w:rPr>
          <w:rFonts w:hAnsi="宋体"/>
          <w:bCs/>
          <w:color w:val="auto"/>
          <w:szCs w:val="21"/>
          <w:highlight w:val="none"/>
        </w:rPr>
      </w:pPr>
      <w:r>
        <w:rPr>
          <w:rFonts w:hint="eastAsia" w:hAnsi="宋体"/>
          <w:bCs/>
          <w:color w:val="auto"/>
          <w:szCs w:val="21"/>
          <w:highlight w:val="none"/>
        </w:rPr>
        <w:t>1）委托书所签发的代理期限必须涵盖代理人所有签字为有效时间。</w:t>
      </w:r>
    </w:p>
    <w:p>
      <w:pPr>
        <w:pStyle w:val="10"/>
        <w:spacing w:line="400" w:lineRule="exact"/>
        <w:ind w:left="540" w:leftChars="107" w:hanging="315" w:hangingChars="150"/>
        <w:rPr>
          <w:rFonts w:hAnsi="宋体"/>
          <w:bCs/>
          <w:color w:val="auto"/>
          <w:szCs w:val="21"/>
          <w:highlight w:val="none"/>
        </w:rPr>
      </w:pPr>
      <w:r>
        <w:rPr>
          <w:rFonts w:hint="eastAsia" w:hAnsi="宋体"/>
          <w:bCs/>
          <w:color w:val="auto"/>
          <w:szCs w:val="21"/>
          <w:highlight w:val="none"/>
        </w:rPr>
        <w:t>2）委托书内容填写要明确，文字要工整清楚，涂改无效。</w:t>
      </w:r>
    </w:p>
    <w:p>
      <w:pPr>
        <w:pStyle w:val="10"/>
        <w:spacing w:line="400" w:lineRule="exact"/>
        <w:ind w:left="540" w:leftChars="107" w:hanging="315" w:hangingChars="150"/>
        <w:rPr>
          <w:rFonts w:hAnsi="宋体"/>
          <w:bCs/>
          <w:color w:val="auto"/>
          <w:szCs w:val="21"/>
          <w:highlight w:val="none"/>
        </w:rPr>
      </w:pPr>
      <w:r>
        <w:rPr>
          <w:rFonts w:hint="eastAsia" w:hAnsi="宋体"/>
          <w:bCs/>
          <w:color w:val="auto"/>
          <w:szCs w:val="21"/>
          <w:highlight w:val="none"/>
        </w:rPr>
        <w:t>3）委托书不得转借、转让，不得买卖。</w:t>
      </w:r>
    </w:p>
    <w:p>
      <w:pPr>
        <w:pStyle w:val="10"/>
        <w:spacing w:line="400" w:lineRule="exact"/>
        <w:ind w:left="540" w:leftChars="107" w:hanging="315" w:hangingChars="150"/>
        <w:rPr>
          <w:rFonts w:hAnsi="宋体"/>
          <w:bCs/>
          <w:color w:val="auto"/>
          <w:szCs w:val="21"/>
          <w:highlight w:val="none"/>
        </w:rPr>
      </w:pPr>
      <w:r>
        <w:rPr>
          <w:rFonts w:hint="eastAsia" w:hAnsi="宋体"/>
          <w:bCs/>
          <w:color w:val="auto"/>
          <w:szCs w:val="21"/>
          <w:highlight w:val="none"/>
        </w:rPr>
        <w:t>4）代理人根据授权范围，以委托单位的名义签订合同，并将此委托书提交给对方作为合同附件。</w:t>
      </w:r>
    </w:p>
    <w:p>
      <w:pPr>
        <w:pStyle w:val="10"/>
        <w:jc w:val="left"/>
        <w:rPr>
          <w:rFonts w:hAnsi="宋体"/>
          <w:color w:val="auto"/>
          <w:sz w:val="36"/>
          <w:szCs w:val="36"/>
          <w:highlight w:val="none"/>
        </w:rPr>
      </w:pPr>
      <w:r>
        <w:rPr>
          <w:rFonts w:hAnsi="宋体"/>
          <w:color w:val="auto"/>
          <w:sz w:val="44"/>
          <w:highlight w:val="none"/>
        </w:rPr>
        <w:br w:type="page"/>
      </w:r>
      <w:r>
        <w:rPr>
          <w:rFonts w:hint="eastAsia" w:hAnsi="宋体"/>
          <w:color w:val="auto"/>
          <w:sz w:val="36"/>
          <w:szCs w:val="36"/>
          <w:highlight w:val="none"/>
        </w:rPr>
        <w:t>（封面格式）</w:t>
      </w:r>
    </w:p>
    <w:p>
      <w:pPr>
        <w:pStyle w:val="10"/>
        <w:jc w:val="right"/>
        <w:rPr>
          <w:rFonts w:hAnsi="宋体"/>
          <w:b/>
          <w:color w:val="auto"/>
          <w:sz w:val="36"/>
          <w:szCs w:val="36"/>
          <w:highlight w:val="none"/>
        </w:rPr>
      </w:pPr>
      <w:r>
        <w:rPr>
          <w:rFonts w:hint="eastAsia" w:hAnsi="宋体"/>
          <w:b/>
          <w:color w:val="auto"/>
          <w:sz w:val="36"/>
          <w:szCs w:val="36"/>
          <w:highlight w:val="none"/>
        </w:rPr>
        <w:t>正本</w:t>
      </w:r>
      <w:r>
        <w:rPr>
          <w:rFonts w:hint="eastAsia" w:hAnsi="宋体"/>
          <w:b/>
          <w:color w:val="auto"/>
          <w:sz w:val="40"/>
          <w:szCs w:val="40"/>
          <w:highlight w:val="none"/>
        </w:rPr>
        <w:t>□</w:t>
      </w:r>
      <w:r>
        <w:rPr>
          <w:rFonts w:hint="eastAsia" w:hAnsi="宋体"/>
          <w:b/>
          <w:color w:val="auto"/>
          <w:sz w:val="36"/>
          <w:szCs w:val="36"/>
          <w:highlight w:val="none"/>
        </w:rPr>
        <w:t>／副本</w:t>
      </w:r>
      <w:r>
        <w:rPr>
          <w:rFonts w:hint="eastAsia" w:hAnsi="宋体"/>
          <w:b/>
          <w:color w:val="auto"/>
          <w:sz w:val="40"/>
          <w:szCs w:val="40"/>
          <w:highlight w:val="none"/>
        </w:rPr>
        <w:t>□</w:t>
      </w:r>
    </w:p>
    <w:p>
      <w:pPr>
        <w:pStyle w:val="10"/>
        <w:spacing w:line="400" w:lineRule="exact"/>
        <w:jc w:val="center"/>
        <w:rPr>
          <w:rFonts w:hAnsi="宋体"/>
          <w:b/>
          <w:color w:val="auto"/>
          <w:sz w:val="36"/>
          <w:szCs w:val="36"/>
          <w:highlight w:val="none"/>
        </w:rPr>
      </w:pPr>
    </w:p>
    <w:p>
      <w:pPr>
        <w:pStyle w:val="10"/>
        <w:spacing w:line="1000" w:lineRule="exact"/>
        <w:jc w:val="center"/>
        <w:rPr>
          <w:rFonts w:hAnsi="宋体"/>
          <w:b/>
          <w:color w:val="auto"/>
          <w:spacing w:val="-10"/>
          <w:w w:val="95"/>
          <w:sz w:val="48"/>
          <w:szCs w:val="48"/>
          <w:highlight w:val="none"/>
        </w:rPr>
      </w:pPr>
      <w:r>
        <w:rPr>
          <w:rFonts w:hint="eastAsia" w:hAnsi="宋体"/>
          <w:b/>
          <w:color w:val="auto"/>
          <w:spacing w:val="-10"/>
          <w:w w:val="95"/>
          <w:sz w:val="48"/>
          <w:szCs w:val="48"/>
          <w:highlight w:val="none"/>
        </w:rPr>
        <w:t>2020年防城港市优化营商环境指标第三方评估项目</w:t>
      </w:r>
    </w:p>
    <w:p>
      <w:pPr>
        <w:pStyle w:val="10"/>
        <w:spacing w:line="1000" w:lineRule="exact"/>
        <w:jc w:val="center"/>
        <w:rPr>
          <w:rFonts w:hAnsi="宋体"/>
          <w:b/>
          <w:color w:val="auto"/>
          <w:spacing w:val="-10"/>
          <w:w w:val="95"/>
          <w:sz w:val="48"/>
          <w:szCs w:val="48"/>
          <w:highlight w:val="none"/>
        </w:rPr>
      </w:pPr>
      <w:r>
        <w:rPr>
          <w:rFonts w:hint="eastAsia" w:hAnsi="宋体"/>
          <w:b/>
          <w:color w:val="auto"/>
          <w:spacing w:val="-10"/>
          <w:w w:val="95"/>
          <w:sz w:val="48"/>
          <w:szCs w:val="48"/>
          <w:highlight w:val="none"/>
        </w:rPr>
        <w:t>（FCZC2020-C3-10010-GXDH）</w:t>
      </w:r>
    </w:p>
    <w:p>
      <w:pPr>
        <w:pStyle w:val="10"/>
        <w:jc w:val="center"/>
        <w:rPr>
          <w:rFonts w:hAnsi="宋体"/>
          <w:b/>
          <w:color w:val="auto"/>
          <w:sz w:val="36"/>
          <w:szCs w:val="36"/>
          <w:highlight w:val="none"/>
        </w:rPr>
      </w:pPr>
    </w:p>
    <w:p>
      <w:pPr>
        <w:pStyle w:val="10"/>
        <w:jc w:val="center"/>
        <w:rPr>
          <w:rFonts w:hAnsi="宋体"/>
          <w:b/>
          <w:color w:val="auto"/>
          <w:sz w:val="36"/>
          <w:szCs w:val="36"/>
          <w:highlight w:val="none"/>
        </w:rPr>
      </w:pPr>
    </w:p>
    <w:p>
      <w:pPr>
        <w:pStyle w:val="10"/>
        <w:jc w:val="center"/>
        <w:rPr>
          <w:rFonts w:hAnsi="宋体"/>
          <w:b/>
          <w:color w:val="auto"/>
          <w:spacing w:val="200"/>
          <w:sz w:val="72"/>
          <w:szCs w:val="72"/>
          <w:highlight w:val="none"/>
        </w:rPr>
      </w:pPr>
      <w:r>
        <w:rPr>
          <w:rFonts w:hint="eastAsia" w:hAnsi="宋体"/>
          <w:b/>
          <w:color w:val="auto"/>
          <w:spacing w:val="200"/>
          <w:sz w:val="72"/>
          <w:szCs w:val="72"/>
          <w:highlight w:val="none"/>
        </w:rPr>
        <w:t>响应文件</w:t>
      </w:r>
    </w:p>
    <w:p>
      <w:pPr>
        <w:pStyle w:val="10"/>
        <w:jc w:val="center"/>
        <w:rPr>
          <w:rFonts w:hAnsi="宋体"/>
          <w:b/>
          <w:color w:val="auto"/>
          <w:sz w:val="36"/>
          <w:szCs w:val="36"/>
          <w:highlight w:val="none"/>
        </w:rPr>
      </w:pPr>
    </w:p>
    <w:p>
      <w:pPr>
        <w:pStyle w:val="10"/>
        <w:jc w:val="center"/>
        <w:rPr>
          <w:rFonts w:hAnsi="宋体"/>
          <w:b/>
          <w:color w:val="auto"/>
          <w:sz w:val="36"/>
          <w:szCs w:val="36"/>
          <w:highlight w:val="none"/>
        </w:rPr>
      </w:pPr>
    </w:p>
    <w:p>
      <w:pPr>
        <w:pStyle w:val="10"/>
        <w:ind w:firstLine="2570" w:firstLineChars="800"/>
        <w:rPr>
          <w:rFonts w:hAnsi="宋体"/>
          <w:b/>
          <w:color w:val="auto"/>
          <w:sz w:val="32"/>
          <w:szCs w:val="32"/>
          <w:highlight w:val="none"/>
          <w:u w:val="single"/>
        </w:rPr>
      </w:pPr>
    </w:p>
    <w:p>
      <w:pPr>
        <w:pStyle w:val="10"/>
        <w:rPr>
          <w:rFonts w:hAnsi="宋体"/>
          <w:b/>
          <w:color w:val="auto"/>
          <w:sz w:val="32"/>
          <w:szCs w:val="32"/>
          <w:highlight w:val="none"/>
          <w:u w:val="single"/>
        </w:rPr>
      </w:pPr>
    </w:p>
    <w:p>
      <w:pPr>
        <w:pStyle w:val="10"/>
        <w:spacing w:line="1000" w:lineRule="exact"/>
        <w:ind w:firstLine="540" w:firstLineChars="168"/>
        <w:rPr>
          <w:rFonts w:hAnsi="宋体"/>
          <w:b/>
          <w:color w:val="auto"/>
          <w:sz w:val="32"/>
          <w:szCs w:val="32"/>
          <w:highlight w:val="none"/>
          <w:u w:val="single"/>
        </w:rPr>
      </w:pPr>
      <w:r>
        <w:rPr>
          <w:rFonts w:hint="eastAsia" w:hAnsi="宋体"/>
          <w:b/>
          <w:color w:val="auto"/>
          <w:sz w:val="32"/>
          <w:szCs w:val="32"/>
          <w:highlight w:val="none"/>
        </w:rPr>
        <w:t>响应人：</w:t>
      </w:r>
      <w:r>
        <w:rPr>
          <w:rFonts w:hint="eastAsia" w:hAnsi="宋体"/>
          <w:b/>
          <w:color w:val="auto"/>
          <w:sz w:val="32"/>
          <w:szCs w:val="32"/>
          <w:highlight w:val="none"/>
          <w:u w:val="single"/>
        </w:rPr>
        <w:t xml:space="preserve">                         （名称加盖单位公章）</w:t>
      </w:r>
    </w:p>
    <w:p>
      <w:pPr>
        <w:pStyle w:val="10"/>
        <w:spacing w:line="1000" w:lineRule="exact"/>
        <w:ind w:firstLine="540" w:firstLineChars="168"/>
        <w:rPr>
          <w:rFonts w:hAnsi="宋体"/>
          <w:b/>
          <w:color w:val="auto"/>
          <w:sz w:val="32"/>
          <w:szCs w:val="32"/>
          <w:highlight w:val="none"/>
        </w:rPr>
      </w:pPr>
      <w:r>
        <w:rPr>
          <w:rFonts w:hint="eastAsia" w:hAnsi="宋体"/>
          <w:b/>
          <w:color w:val="auto"/>
          <w:sz w:val="32"/>
          <w:szCs w:val="32"/>
          <w:highlight w:val="none"/>
        </w:rPr>
        <w:t>法定代表人(负责人)或其委托代理人：</w:t>
      </w:r>
      <w:r>
        <w:rPr>
          <w:rFonts w:hint="eastAsia" w:hAnsi="宋体"/>
          <w:b/>
          <w:color w:val="auto"/>
          <w:sz w:val="32"/>
          <w:szCs w:val="32"/>
          <w:highlight w:val="none"/>
          <w:u w:val="single"/>
        </w:rPr>
        <w:t xml:space="preserve">           （签名）</w:t>
      </w:r>
    </w:p>
    <w:p>
      <w:pPr>
        <w:pStyle w:val="10"/>
        <w:ind w:firstLine="482" w:firstLineChars="150"/>
        <w:rPr>
          <w:rFonts w:hAnsi="宋体"/>
          <w:b/>
          <w:color w:val="auto"/>
          <w:sz w:val="32"/>
          <w:szCs w:val="32"/>
          <w:highlight w:val="none"/>
        </w:rPr>
      </w:pPr>
    </w:p>
    <w:p>
      <w:pPr>
        <w:pStyle w:val="10"/>
        <w:jc w:val="center"/>
        <w:rPr>
          <w:rFonts w:hAnsi="宋体"/>
          <w:b/>
          <w:color w:val="auto"/>
          <w:sz w:val="32"/>
          <w:szCs w:val="32"/>
          <w:highlight w:val="none"/>
        </w:rPr>
      </w:pPr>
      <w:r>
        <w:rPr>
          <w:rFonts w:hint="eastAsia" w:hAnsi="宋体"/>
          <w:b/>
          <w:color w:val="auto"/>
          <w:sz w:val="32"/>
          <w:szCs w:val="32"/>
          <w:highlight w:val="none"/>
        </w:rPr>
        <w:t>响应日期：年 月 日</w:t>
      </w:r>
    </w:p>
    <w:p>
      <w:pPr>
        <w:pStyle w:val="10"/>
        <w:spacing w:line="400" w:lineRule="exact"/>
        <w:rPr>
          <w:rFonts w:hAnsi="宋体"/>
          <w:color w:val="auto"/>
          <w:highlight w:val="none"/>
        </w:rPr>
      </w:pPr>
    </w:p>
    <w:p>
      <w:pPr>
        <w:spacing w:line="360" w:lineRule="exact"/>
        <w:rPr>
          <w:rFonts w:ascii="宋体" w:hAnsi="宋体"/>
          <w:b/>
          <w:color w:val="auto"/>
          <w:highlight w:val="none"/>
        </w:rPr>
      </w:pPr>
    </w:p>
    <w:p>
      <w:pPr>
        <w:spacing w:line="360" w:lineRule="exact"/>
        <w:rPr>
          <w:rFonts w:ascii="宋体" w:hAnsi="宋体"/>
          <w:b/>
          <w:color w:val="auto"/>
          <w:highlight w:val="none"/>
        </w:rPr>
      </w:pPr>
    </w:p>
    <w:p>
      <w:pPr>
        <w:spacing w:line="360" w:lineRule="exact"/>
        <w:rPr>
          <w:rFonts w:ascii="宋体" w:hAnsi="宋体"/>
          <w:b/>
          <w:color w:val="auto"/>
          <w:highlight w:val="none"/>
        </w:rPr>
      </w:pPr>
    </w:p>
    <w:p>
      <w:pPr>
        <w:spacing w:line="360" w:lineRule="exact"/>
        <w:rPr>
          <w:rFonts w:ascii="宋体" w:hAnsi="宋体"/>
          <w:b/>
          <w:color w:val="auto"/>
          <w:highlight w:val="none"/>
        </w:rPr>
      </w:pPr>
    </w:p>
    <w:p>
      <w:pPr>
        <w:spacing w:line="360" w:lineRule="exact"/>
        <w:rPr>
          <w:rFonts w:ascii="宋体" w:hAnsi="宋体"/>
          <w:b/>
          <w:color w:val="auto"/>
          <w:highlight w:val="none"/>
        </w:rPr>
      </w:pPr>
    </w:p>
    <w:p>
      <w:pPr>
        <w:spacing w:line="360" w:lineRule="exact"/>
        <w:rPr>
          <w:rFonts w:ascii="宋体" w:hAnsi="宋体"/>
          <w:b/>
          <w:color w:val="auto"/>
          <w:highlight w:val="none"/>
        </w:rPr>
      </w:pPr>
    </w:p>
    <w:p>
      <w:pPr>
        <w:spacing w:line="360" w:lineRule="exact"/>
        <w:rPr>
          <w:rFonts w:ascii="宋体" w:hAnsi="宋体"/>
          <w:b/>
          <w:color w:val="auto"/>
          <w:highlight w:val="none"/>
        </w:rPr>
      </w:pPr>
    </w:p>
    <w:p>
      <w:pPr>
        <w:spacing w:line="360" w:lineRule="exact"/>
        <w:rPr>
          <w:rFonts w:ascii="宋体" w:hAnsi="宋体"/>
          <w:b/>
          <w:color w:val="auto"/>
          <w:highlight w:val="none"/>
        </w:rPr>
      </w:pPr>
    </w:p>
    <w:p>
      <w:pPr>
        <w:spacing w:line="360" w:lineRule="exact"/>
        <w:rPr>
          <w:rFonts w:ascii="宋体" w:hAnsi="宋体"/>
          <w:b/>
          <w:color w:val="auto"/>
          <w:highlight w:val="none"/>
        </w:rPr>
      </w:pPr>
    </w:p>
    <w:p>
      <w:pPr>
        <w:spacing w:line="360" w:lineRule="exact"/>
        <w:rPr>
          <w:rFonts w:ascii="宋体" w:hAnsi="宋体"/>
          <w:b/>
          <w:color w:val="auto"/>
          <w:highlight w:val="none"/>
        </w:rPr>
      </w:pPr>
    </w:p>
    <w:p>
      <w:pPr>
        <w:spacing w:line="360" w:lineRule="exact"/>
        <w:rPr>
          <w:rFonts w:ascii="宋体" w:hAnsi="宋体"/>
          <w:b/>
          <w:color w:val="auto"/>
          <w:highlight w:val="none"/>
        </w:rPr>
      </w:pPr>
      <w:r>
        <w:rPr>
          <w:rFonts w:hint="eastAsia" w:ascii="宋体" w:hAnsi="宋体"/>
          <w:b/>
          <w:color w:val="auto"/>
          <w:highlight w:val="none"/>
        </w:rPr>
        <w:t>一）、资信/商务文件部分（格式）</w:t>
      </w:r>
    </w:p>
    <w:p>
      <w:pPr>
        <w:spacing w:line="360" w:lineRule="exact"/>
        <w:rPr>
          <w:rFonts w:ascii="宋体" w:hAnsi="宋体"/>
          <w:color w:val="auto"/>
          <w:highlight w:val="none"/>
        </w:rPr>
      </w:pPr>
    </w:p>
    <w:p>
      <w:pPr>
        <w:spacing w:line="360" w:lineRule="exact"/>
        <w:rPr>
          <w:rFonts w:ascii="宋体" w:hAnsi="宋体"/>
          <w:color w:val="auto"/>
          <w:highlight w:val="none"/>
        </w:rPr>
      </w:pPr>
      <w:r>
        <w:rPr>
          <w:rFonts w:hint="eastAsia" w:ascii="宋体" w:hAnsi="宋体"/>
          <w:color w:val="auto"/>
          <w:highlight w:val="none"/>
        </w:rPr>
        <w:t>（1）磋商声明书格式：（必须提供）</w:t>
      </w:r>
    </w:p>
    <w:p>
      <w:pPr>
        <w:spacing w:line="360" w:lineRule="exact"/>
        <w:rPr>
          <w:rFonts w:ascii="宋体" w:hAnsi="宋体"/>
          <w:color w:val="auto"/>
          <w:highlight w:val="none"/>
        </w:rPr>
      </w:pPr>
    </w:p>
    <w:p>
      <w:pPr>
        <w:spacing w:line="360" w:lineRule="exact"/>
        <w:jc w:val="center"/>
        <w:rPr>
          <w:rFonts w:ascii="宋体" w:hAnsi="宋体"/>
          <w:color w:val="auto"/>
          <w:highlight w:val="none"/>
        </w:rPr>
      </w:pPr>
      <w:r>
        <w:rPr>
          <w:rFonts w:hint="eastAsia" w:ascii="宋体" w:hAnsi="宋体"/>
          <w:color w:val="auto"/>
          <w:highlight w:val="none"/>
        </w:rPr>
        <w:t>磋商声明书</w:t>
      </w:r>
    </w:p>
    <w:p>
      <w:pPr>
        <w:spacing w:line="360" w:lineRule="exact"/>
        <w:rPr>
          <w:rFonts w:ascii="宋体" w:hAnsi="宋体"/>
          <w:color w:val="auto"/>
          <w:highlight w:val="none"/>
        </w:rPr>
      </w:pPr>
    </w:p>
    <w:p>
      <w:pPr>
        <w:spacing w:line="360" w:lineRule="exact"/>
        <w:rPr>
          <w:rFonts w:ascii="宋体" w:hAnsi="宋体"/>
          <w:color w:val="auto"/>
          <w:highlight w:val="none"/>
        </w:rPr>
      </w:pPr>
      <w:r>
        <w:rPr>
          <w:rFonts w:hint="eastAsia" w:ascii="宋体" w:hAnsi="宋体"/>
          <w:color w:val="auto"/>
          <w:highlight w:val="none"/>
        </w:rPr>
        <w:t>致：广西达华工程造价咨询有限责任公司 ：</w:t>
      </w:r>
      <w:r>
        <w:rPr>
          <w:rFonts w:hint="eastAsia" w:ascii="宋体" w:hAnsi="宋体"/>
          <w:color w:val="auto"/>
          <w:highlight w:val="none"/>
        </w:rPr>
        <w:tab/>
      </w:r>
      <w:r>
        <w:rPr>
          <w:rFonts w:hint="eastAsia" w:ascii="宋体" w:hAnsi="宋体"/>
          <w:color w:val="auto"/>
          <w:highlight w:val="none"/>
        </w:rPr>
        <w:tab/>
      </w:r>
      <w:r>
        <w:rPr>
          <w:rFonts w:hint="eastAsia" w:ascii="宋体" w:hAnsi="宋体"/>
          <w:color w:val="auto"/>
          <w:highlight w:val="none"/>
        </w:rPr>
        <w:tab/>
      </w:r>
      <w:r>
        <w:rPr>
          <w:rFonts w:hint="eastAsia" w:ascii="宋体" w:hAnsi="宋体"/>
          <w:color w:val="auto"/>
          <w:highlight w:val="none"/>
        </w:rPr>
        <w:tab/>
      </w:r>
    </w:p>
    <w:p>
      <w:pPr>
        <w:spacing w:line="360" w:lineRule="exact"/>
        <w:rPr>
          <w:rFonts w:ascii="宋体" w:hAnsi="宋体"/>
          <w:color w:val="auto"/>
          <w:highlight w:val="none"/>
        </w:rPr>
      </w:pP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p>
    <w:p>
      <w:pPr>
        <w:rPr>
          <w:color w:val="auto"/>
          <w:highlight w:val="none"/>
        </w:rPr>
      </w:pPr>
      <w:r>
        <w:rPr>
          <w:rFonts w:hint="eastAsia" w:ascii="宋体" w:hAnsi="宋体"/>
          <w:color w:val="auto"/>
          <w:highlight w:val="none"/>
        </w:rPr>
        <w:tab/>
      </w:r>
      <w:r>
        <w:rPr>
          <w:rFonts w:hint="eastAsia"/>
          <w:color w:val="auto"/>
          <w:highlight w:val="none"/>
        </w:rPr>
        <w:t>_______</w:t>
      </w:r>
      <w:r>
        <w:rPr>
          <w:rFonts w:hint="eastAsia"/>
          <w:color w:val="auto"/>
          <w:highlight w:val="none"/>
        </w:rPr>
        <w:tab/>
      </w:r>
      <w:r>
        <w:rPr>
          <w:rFonts w:hint="eastAsia"/>
          <w:color w:val="auto"/>
          <w:highlight w:val="none"/>
        </w:rPr>
        <w:t>（服务商名称）系中华人民共和国合法企业，经营地址</w:t>
      </w:r>
      <w:r>
        <w:rPr>
          <w:rFonts w:hint="eastAsia"/>
          <w:color w:val="auto"/>
          <w:highlight w:val="none"/>
          <w:u w:val="single"/>
        </w:rPr>
        <w:tab/>
      </w:r>
      <w:r>
        <w:rPr>
          <w:rFonts w:hint="eastAsia"/>
          <w:color w:val="auto"/>
          <w:highlight w:val="none"/>
          <w:u w:val="single"/>
        </w:rPr>
        <w:tab/>
      </w:r>
      <w:r>
        <w:rPr>
          <w:rFonts w:hint="eastAsia"/>
          <w:color w:val="auto"/>
          <w:highlight w:val="none"/>
        </w:rPr>
        <w:t>。</w:t>
      </w:r>
    </w:p>
    <w:p>
      <w:pPr>
        <w:rPr>
          <w:color w:val="auto"/>
          <w:highlight w:val="none"/>
        </w:rPr>
      </w:pPr>
      <w:r>
        <w:rPr>
          <w:rFonts w:hint="eastAsia"/>
          <w:color w:val="auto"/>
          <w:highlight w:val="none"/>
        </w:rPr>
        <w:tab/>
      </w:r>
      <w:r>
        <w:rPr>
          <w:rFonts w:hint="eastAsia"/>
          <w:color w:val="auto"/>
          <w:highlight w:val="none"/>
        </w:rPr>
        <w:t>我___</w:t>
      </w:r>
      <w:r>
        <w:rPr>
          <w:rFonts w:hint="eastAsia"/>
          <w:color w:val="auto"/>
          <w:highlight w:val="none"/>
          <w:u w:val="single"/>
        </w:rPr>
        <w:tab/>
      </w:r>
      <w:r>
        <w:rPr>
          <w:rFonts w:hint="eastAsia"/>
          <w:color w:val="auto"/>
          <w:highlight w:val="none"/>
        </w:rPr>
        <w:t>（姓名）系________（服务商名称）的法定代表人（或机构负责人），我方愿意参加贵方组织的______</w:t>
      </w:r>
      <w:r>
        <w:rPr>
          <w:rFonts w:hint="eastAsia"/>
          <w:color w:val="auto"/>
          <w:highlight w:val="none"/>
          <w:u w:val="single"/>
        </w:rPr>
        <w:tab/>
      </w:r>
      <w:r>
        <w:rPr>
          <w:rFonts w:hint="eastAsia"/>
          <w:color w:val="auto"/>
          <w:highlight w:val="none"/>
        </w:rPr>
        <w:t>___项目的磋商，为便于贵方公正、择优地确定成交人及其磋商服务成果和服务，我方就本次磋商有关事项郑重声明如下：</w:t>
      </w:r>
      <w:r>
        <w:rPr>
          <w:rFonts w:hint="eastAsia"/>
          <w:color w:val="auto"/>
          <w:highlight w:val="none"/>
        </w:rPr>
        <w:tab/>
      </w:r>
      <w:r>
        <w:rPr>
          <w:rFonts w:hint="eastAsia"/>
          <w:color w:val="auto"/>
          <w:highlight w:val="none"/>
        </w:rPr>
        <w:tab/>
      </w:r>
    </w:p>
    <w:p>
      <w:pPr>
        <w:rPr>
          <w:color w:val="auto"/>
          <w:highlight w:val="none"/>
        </w:rPr>
      </w:pPr>
      <w:r>
        <w:rPr>
          <w:rFonts w:hint="eastAsia"/>
          <w:color w:val="auto"/>
          <w:highlight w:val="none"/>
        </w:rPr>
        <w:t>1.我方向贵方提交的所有响应文件、资料都是准确的和真实的。</w:t>
      </w:r>
      <w:r>
        <w:rPr>
          <w:rFonts w:hint="eastAsia"/>
          <w:color w:val="auto"/>
          <w:highlight w:val="none"/>
        </w:rPr>
        <w:tab/>
      </w:r>
      <w:r>
        <w:rPr>
          <w:rFonts w:hint="eastAsia"/>
          <w:color w:val="auto"/>
          <w:highlight w:val="none"/>
        </w:rPr>
        <w:tab/>
      </w:r>
    </w:p>
    <w:p>
      <w:pPr>
        <w:rPr>
          <w:color w:val="auto"/>
          <w:highlight w:val="none"/>
        </w:rPr>
      </w:pPr>
      <w:r>
        <w:rPr>
          <w:rFonts w:hint="eastAsia"/>
          <w:color w:val="auto"/>
          <w:highlight w:val="none"/>
        </w:rPr>
        <w:t>2.我方不是采购人的附属机构；在获知本项目采购信息后，与采购人聘请的为此项目提供咨询服务的公司及其附属机构没有任何联系。</w:t>
      </w:r>
    </w:p>
    <w:p>
      <w:pPr>
        <w:rPr>
          <w:color w:val="auto"/>
          <w:highlight w:val="none"/>
        </w:rPr>
      </w:pPr>
      <w:r>
        <w:rPr>
          <w:rFonts w:hint="eastAsia"/>
          <w:color w:val="auto"/>
          <w:highlight w:val="none"/>
        </w:rPr>
        <w:t>3.我方此次向贵方提供的服务为：；</w:t>
      </w:r>
    </w:p>
    <w:p>
      <w:pPr>
        <w:rPr>
          <w:color w:val="auto"/>
          <w:highlight w:val="none"/>
        </w:rPr>
      </w:pPr>
      <w:r>
        <w:rPr>
          <w:rFonts w:hint="eastAsia"/>
          <w:color w:val="auto"/>
          <w:highlight w:val="none"/>
        </w:rPr>
        <w:t xml:space="preserve">4.我方及由本人担任法定代表人的其他机构最近三年内被通报或者被处罚的违法行为有：  </w:t>
      </w:r>
    </w:p>
    <w:p>
      <w:pPr>
        <w:rPr>
          <w:color w:val="auto"/>
          <w:highlight w:val="none"/>
          <w:u w:val="single"/>
        </w:rPr>
      </w:pPr>
    </w:p>
    <w:p>
      <w:pPr>
        <w:spacing w:line="360" w:lineRule="exact"/>
        <w:rPr>
          <w:rFonts w:ascii="宋体" w:hAnsi="宋体"/>
          <w:color w:val="auto"/>
          <w:highlight w:val="none"/>
        </w:rPr>
      </w:pPr>
      <w:r>
        <w:rPr>
          <w:rFonts w:hint="eastAsia"/>
          <w:color w:val="auto"/>
          <w:highlight w:val="none"/>
        </w:rPr>
        <w:t>5.以上事项如有虚假或隐瞒，我方愿意承担一切后果，并不再寻求任何旨在减轻或免除法律责任的辩解。</w:t>
      </w:r>
    </w:p>
    <w:p>
      <w:pPr>
        <w:spacing w:line="360" w:lineRule="exact"/>
        <w:rPr>
          <w:rFonts w:ascii="宋体" w:hAnsi="宋体"/>
          <w:color w:val="auto"/>
          <w:highlight w:val="none"/>
        </w:rPr>
      </w:pPr>
      <w:r>
        <w:rPr>
          <w:rFonts w:hint="eastAsia" w:ascii="宋体" w:hAnsi="宋体"/>
          <w:color w:val="auto"/>
          <w:highlight w:val="none"/>
        </w:rPr>
        <w:t>法定代表人（或机构负责人）或委托代理人签字：</w:t>
      </w:r>
    </w:p>
    <w:p>
      <w:pPr>
        <w:spacing w:line="360" w:lineRule="exact"/>
        <w:rPr>
          <w:rFonts w:ascii="宋体" w:hAnsi="宋体"/>
          <w:color w:val="auto"/>
          <w:highlight w:val="none"/>
        </w:rPr>
      </w:pPr>
    </w:p>
    <w:p>
      <w:pPr>
        <w:spacing w:line="360" w:lineRule="exact"/>
        <w:rPr>
          <w:rFonts w:ascii="宋体" w:hAnsi="宋体"/>
          <w:color w:val="auto"/>
          <w:highlight w:val="none"/>
        </w:rPr>
      </w:pPr>
      <w:r>
        <w:rPr>
          <w:rFonts w:hint="eastAsia" w:ascii="宋体" w:hAnsi="宋体"/>
          <w:color w:val="auto"/>
          <w:highlight w:val="none"/>
        </w:rPr>
        <w:t>服务商公章：</w:t>
      </w:r>
    </w:p>
    <w:p>
      <w:pPr>
        <w:spacing w:line="360" w:lineRule="exact"/>
        <w:rPr>
          <w:rFonts w:ascii="宋体" w:hAnsi="宋体"/>
          <w:color w:val="auto"/>
          <w:highlight w:val="none"/>
        </w:rPr>
      </w:pPr>
    </w:p>
    <w:p>
      <w:pPr>
        <w:spacing w:line="360" w:lineRule="exact"/>
        <w:rPr>
          <w:rFonts w:ascii="宋体" w:hAnsi="宋体"/>
          <w:color w:val="auto"/>
          <w:highlight w:val="none"/>
        </w:rPr>
      </w:pPr>
      <w:r>
        <w:rPr>
          <w:rFonts w:hint="eastAsia" w:ascii="宋体" w:hAnsi="宋体"/>
          <w:color w:val="auto"/>
          <w:highlight w:val="none"/>
        </w:rPr>
        <w:t>年</w:t>
      </w:r>
      <w:r>
        <w:rPr>
          <w:rFonts w:hint="eastAsia" w:ascii="宋体" w:hAnsi="宋体"/>
          <w:color w:val="auto"/>
          <w:highlight w:val="none"/>
        </w:rPr>
        <w:tab/>
      </w:r>
      <w:r>
        <w:rPr>
          <w:rFonts w:hint="eastAsia" w:ascii="宋体" w:hAnsi="宋体"/>
          <w:color w:val="auto"/>
          <w:highlight w:val="none"/>
        </w:rPr>
        <w:t>月</w:t>
      </w:r>
      <w:r>
        <w:rPr>
          <w:rFonts w:hint="eastAsia" w:ascii="宋体" w:hAnsi="宋体"/>
          <w:color w:val="auto"/>
          <w:highlight w:val="none"/>
        </w:rPr>
        <w:tab/>
      </w:r>
      <w:r>
        <w:rPr>
          <w:rFonts w:hint="eastAsia" w:ascii="宋体" w:hAnsi="宋体"/>
          <w:color w:val="auto"/>
          <w:highlight w:val="none"/>
        </w:rPr>
        <w:t>日</w:t>
      </w:r>
    </w:p>
    <w:p>
      <w:pPr>
        <w:pStyle w:val="10"/>
        <w:spacing w:line="360" w:lineRule="auto"/>
        <w:ind w:firstLine="420" w:firstLineChars="200"/>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pStyle w:val="2"/>
        <w:rPr>
          <w:rFonts w:hAnsi="宋体"/>
          <w:color w:val="auto"/>
          <w:highlight w:val="none"/>
        </w:rPr>
      </w:pPr>
    </w:p>
    <w:p>
      <w:pPr>
        <w:pStyle w:val="2"/>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rFonts w:hAnsi="宋体"/>
          <w:color w:val="auto"/>
          <w:highlight w:val="none"/>
        </w:rPr>
      </w:pPr>
    </w:p>
    <w:p>
      <w:pPr>
        <w:rPr>
          <w:color w:val="auto"/>
          <w:highlight w:val="none"/>
        </w:rPr>
      </w:pPr>
    </w:p>
    <w:p>
      <w:pPr>
        <w:rPr>
          <w:color w:val="auto"/>
          <w:highlight w:val="none"/>
        </w:rPr>
      </w:pPr>
    </w:p>
    <w:p>
      <w:pPr>
        <w:spacing w:line="0" w:lineRule="atLeast"/>
        <w:rPr>
          <w:rFonts w:ascii="宋体" w:hAnsi="宋体"/>
          <w:b/>
          <w:color w:val="auto"/>
          <w:highlight w:val="none"/>
        </w:rPr>
      </w:pPr>
      <w:r>
        <w:rPr>
          <w:rFonts w:hint="eastAsia" w:ascii="宋体" w:hAnsi="宋体"/>
          <w:b/>
          <w:color w:val="auto"/>
          <w:highlight w:val="none"/>
        </w:rPr>
        <w:t>（2）法定代表人(负责人)身份证明书和完整的身份证复印件（必须提供）；（格式自拟）</w:t>
      </w:r>
    </w:p>
    <w:p>
      <w:pPr>
        <w:spacing w:line="0" w:lineRule="atLeast"/>
        <w:rPr>
          <w:rFonts w:ascii="宋体" w:hAnsi="宋体"/>
          <w:b/>
          <w:color w:val="auto"/>
          <w:highlight w:val="none"/>
        </w:rPr>
      </w:pPr>
    </w:p>
    <w:p>
      <w:pPr>
        <w:spacing w:line="0" w:lineRule="atLeast"/>
        <w:rPr>
          <w:rFonts w:ascii="宋体" w:hAnsi="宋体"/>
          <w:b/>
          <w:color w:val="auto"/>
          <w:highlight w:val="none"/>
        </w:rPr>
      </w:pPr>
    </w:p>
    <w:p>
      <w:pPr>
        <w:spacing w:line="0" w:lineRule="atLeast"/>
        <w:rPr>
          <w:rFonts w:ascii="宋体" w:hAnsi="宋体"/>
          <w:b/>
          <w:color w:val="auto"/>
          <w:highlight w:val="none"/>
        </w:rPr>
      </w:pPr>
      <w:r>
        <w:rPr>
          <w:rFonts w:hint="eastAsia" w:ascii="宋体" w:hAnsi="宋体"/>
          <w:b/>
          <w:color w:val="auto"/>
          <w:highlight w:val="none"/>
        </w:rPr>
        <w:t>（3）法定代表人（或机构负责人）有效的授权委托书和委托代理人完整的身份证复印件。（委托代理时必须提供）</w:t>
      </w:r>
    </w:p>
    <w:p>
      <w:pPr>
        <w:spacing w:line="181" w:lineRule="exact"/>
        <w:rPr>
          <w:rFonts w:ascii="宋体" w:hAnsi="宋体"/>
          <w:color w:val="auto"/>
          <w:highlight w:val="none"/>
        </w:rPr>
      </w:pPr>
    </w:p>
    <w:p>
      <w:pPr>
        <w:spacing w:line="0" w:lineRule="atLeast"/>
        <w:ind w:left="1880"/>
        <w:rPr>
          <w:rFonts w:ascii="宋体" w:hAnsi="宋体"/>
          <w:b/>
          <w:color w:val="auto"/>
          <w:sz w:val="30"/>
          <w:highlight w:val="none"/>
        </w:rPr>
      </w:pPr>
      <w:r>
        <w:rPr>
          <w:rFonts w:ascii="宋体" w:hAnsi="宋体"/>
          <w:b/>
          <w:color w:val="auto"/>
          <w:sz w:val="30"/>
          <w:highlight w:val="none"/>
        </w:rPr>
        <w:t>法定代表人（或机构负责人）授权委托书</w:t>
      </w:r>
    </w:p>
    <w:p>
      <w:pPr>
        <w:rPr>
          <w:color w:val="auto"/>
          <w:highlight w:val="none"/>
        </w:rPr>
      </w:pPr>
      <w:r>
        <w:rPr>
          <w:rFonts w:hint="eastAsia"/>
          <w:color w:val="auto"/>
          <w:highlight w:val="none"/>
        </w:rPr>
        <w:t>致：广西达华工程造价咨询有限责任公司 ：</w:t>
      </w:r>
    </w:p>
    <w:p>
      <w:pPr>
        <w:rPr>
          <w:color w:val="auto"/>
          <w:highlight w:val="none"/>
        </w:rPr>
      </w:pPr>
    </w:p>
    <w:p>
      <w:pPr>
        <w:rPr>
          <w:color w:val="auto"/>
          <w:highlight w:val="none"/>
        </w:rPr>
      </w:pPr>
      <w:r>
        <w:rPr>
          <w:rFonts w:hint="eastAsia"/>
          <w:color w:val="auto"/>
          <w:highlight w:val="none"/>
        </w:rPr>
        <w:t>我_________（姓名）系_________（服务商名称）的法定代表人（或机构负责人），</w:t>
      </w:r>
    </w:p>
    <w:p>
      <w:pPr>
        <w:rPr>
          <w:color w:val="auto"/>
          <w:highlight w:val="none"/>
        </w:rPr>
      </w:pPr>
      <w:r>
        <w:rPr>
          <w:rFonts w:hint="eastAsia"/>
          <w:color w:val="auto"/>
          <w:highlight w:val="none"/>
        </w:rPr>
        <w:t>现授权委托本单位在职职工</w:t>
      </w:r>
      <w:r>
        <w:rPr>
          <w:rFonts w:hint="eastAsia"/>
          <w:color w:val="auto"/>
          <w:highlight w:val="none"/>
          <w:u w:val="single"/>
        </w:rPr>
        <w:tab/>
      </w:r>
      <w:r>
        <w:rPr>
          <w:rFonts w:hint="eastAsia"/>
          <w:color w:val="auto"/>
          <w:highlight w:val="none"/>
          <w:u w:val="single"/>
        </w:rPr>
        <w:tab/>
      </w:r>
      <w:r>
        <w:rPr>
          <w:rFonts w:hint="eastAsia"/>
          <w:color w:val="auto"/>
          <w:highlight w:val="none"/>
        </w:rPr>
        <w:t>（姓名）以我方的名义参加</w:t>
      </w:r>
      <w:r>
        <w:rPr>
          <w:rFonts w:hint="eastAsia"/>
          <w:color w:val="auto"/>
          <w:highlight w:val="none"/>
          <w:u w:val="single"/>
        </w:rPr>
        <w:tab/>
      </w:r>
      <w:r>
        <w:rPr>
          <w:rFonts w:hint="eastAsia"/>
          <w:color w:val="auto"/>
          <w:highlight w:val="none"/>
          <w:u w:val="single"/>
        </w:rPr>
        <w:tab/>
      </w:r>
      <w:r>
        <w:rPr>
          <w:rFonts w:hint="eastAsia"/>
          <w:color w:val="auto"/>
          <w:highlight w:val="none"/>
        </w:rPr>
        <w:t>项目的磋商活动，并代表我方全权办理针对上述项目的磋商、开标、评标、签约等具体事务和签署相关文件。</w:t>
      </w:r>
    </w:p>
    <w:p>
      <w:pPr>
        <w:rPr>
          <w:color w:val="auto"/>
          <w:highlight w:val="none"/>
        </w:rPr>
      </w:pPr>
    </w:p>
    <w:p>
      <w:pPr>
        <w:rPr>
          <w:color w:val="auto"/>
          <w:highlight w:val="none"/>
        </w:rPr>
      </w:pPr>
      <w:r>
        <w:rPr>
          <w:rFonts w:hint="eastAsia"/>
          <w:color w:val="auto"/>
          <w:highlight w:val="none"/>
        </w:rPr>
        <w:t>我方对被授权人的签名事项负全部责任。</w:t>
      </w:r>
    </w:p>
    <w:p>
      <w:pPr>
        <w:rPr>
          <w:color w:val="auto"/>
          <w:highlight w:val="none"/>
        </w:rPr>
      </w:pPr>
    </w:p>
    <w:p>
      <w:pPr>
        <w:rPr>
          <w:color w:val="auto"/>
          <w:highlight w:val="none"/>
        </w:rPr>
      </w:pPr>
      <w:r>
        <w:rPr>
          <w:rFonts w:hint="eastAsia"/>
          <w:color w:val="auto"/>
          <w:highlight w:val="none"/>
        </w:rPr>
        <w:t>在撤销授权的书面通知以前，本授权书一直有效。被授权人在授权书有效期内签署的所有文件不因授权的撤销而失效。</w:t>
      </w:r>
    </w:p>
    <w:p>
      <w:pPr>
        <w:rPr>
          <w:color w:val="auto"/>
          <w:highlight w:val="none"/>
        </w:rPr>
      </w:pPr>
    </w:p>
    <w:p>
      <w:pPr>
        <w:spacing w:line="235" w:lineRule="exact"/>
        <w:rPr>
          <w:rFonts w:ascii="宋体" w:hAnsi="宋体"/>
          <w:color w:val="auto"/>
          <w:highlight w:val="none"/>
        </w:rPr>
      </w:pPr>
      <w:r>
        <w:rPr>
          <w:rFonts w:hint="eastAsia"/>
          <w:color w:val="auto"/>
          <w:highlight w:val="none"/>
        </w:rPr>
        <w:t>被授权人无转委托权，特此委托。</w:t>
      </w:r>
    </w:p>
    <w:tbl>
      <w:tblPr>
        <w:tblStyle w:val="20"/>
        <w:tblW w:w="9200" w:type="dxa"/>
        <w:tblInd w:w="0" w:type="dxa"/>
        <w:tblLayout w:type="fixed"/>
        <w:tblCellMar>
          <w:top w:w="0" w:type="dxa"/>
          <w:left w:w="0" w:type="dxa"/>
          <w:bottom w:w="0" w:type="dxa"/>
          <w:right w:w="0" w:type="dxa"/>
        </w:tblCellMar>
      </w:tblPr>
      <w:tblGrid>
        <w:gridCol w:w="1480"/>
        <w:gridCol w:w="620"/>
        <w:gridCol w:w="420"/>
        <w:gridCol w:w="120"/>
        <w:gridCol w:w="1340"/>
        <w:gridCol w:w="1180"/>
        <w:gridCol w:w="840"/>
        <w:gridCol w:w="1160"/>
        <w:gridCol w:w="1160"/>
        <w:gridCol w:w="880"/>
      </w:tblGrid>
      <w:tr>
        <w:tblPrEx>
          <w:tblLayout w:type="fixed"/>
          <w:tblCellMar>
            <w:top w:w="0" w:type="dxa"/>
            <w:left w:w="0" w:type="dxa"/>
            <w:bottom w:w="0" w:type="dxa"/>
            <w:right w:w="0" w:type="dxa"/>
          </w:tblCellMar>
        </w:tblPrEx>
        <w:trPr>
          <w:trHeight w:val="504" w:hRule="atLeast"/>
        </w:trPr>
        <w:tc>
          <w:tcPr>
            <w:tcW w:w="1480" w:type="dxa"/>
            <w:vAlign w:val="bottom"/>
          </w:tcPr>
          <w:p>
            <w:pPr>
              <w:spacing w:line="239" w:lineRule="exact"/>
              <w:rPr>
                <w:rFonts w:ascii="宋体" w:hAnsi="宋体"/>
                <w:b/>
                <w:color w:val="auto"/>
                <w:w w:val="99"/>
                <w:szCs w:val="21"/>
                <w:highlight w:val="none"/>
              </w:rPr>
            </w:pPr>
            <w:r>
              <w:rPr>
                <w:rFonts w:ascii="宋体" w:hAnsi="宋体"/>
                <w:b/>
                <w:color w:val="auto"/>
                <w:szCs w:val="21"/>
                <w:highlight w:val="none"/>
              </w:rPr>
              <w:t>被授权人签名：</w:t>
            </w:r>
          </w:p>
        </w:tc>
        <w:tc>
          <w:tcPr>
            <w:tcW w:w="1040" w:type="dxa"/>
            <w:gridSpan w:val="2"/>
            <w:vAlign w:val="bottom"/>
          </w:tcPr>
          <w:p>
            <w:pPr>
              <w:spacing w:line="0" w:lineRule="atLeast"/>
              <w:rPr>
                <w:rFonts w:ascii="宋体" w:hAnsi="宋体"/>
                <w:color w:val="auto"/>
                <w:szCs w:val="21"/>
                <w:highlight w:val="none"/>
              </w:rPr>
            </w:pPr>
          </w:p>
        </w:tc>
        <w:tc>
          <w:tcPr>
            <w:tcW w:w="1460" w:type="dxa"/>
            <w:gridSpan w:val="2"/>
            <w:vAlign w:val="bottom"/>
          </w:tcPr>
          <w:p>
            <w:pPr>
              <w:spacing w:line="0" w:lineRule="atLeast"/>
              <w:rPr>
                <w:rFonts w:ascii="宋体" w:hAnsi="宋体"/>
                <w:color w:val="auto"/>
                <w:szCs w:val="21"/>
                <w:highlight w:val="none"/>
              </w:rPr>
            </w:pPr>
          </w:p>
        </w:tc>
        <w:tc>
          <w:tcPr>
            <w:tcW w:w="5220" w:type="dxa"/>
            <w:gridSpan w:val="5"/>
            <w:vAlign w:val="bottom"/>
          </w:tcPr>
          <w:p>
            <w:pPr>
              <w:spacing w:line="239" w:lineRule="exact"/>
              <w:ind w:left="340"/>
              <w:rPr>
                <w:rFonts w:ascii="宋体" w:hAnsi="宋体"/>
                <w:b/>
                <w:color w:val="auto"/>
                <w:szCs w:val="21"/>
                <w:highlight w:val="none"/>
              </w:rPr>
            </w:pPr>
            <w:r>
              <w:rPr>
                <w:rFonts w:ascii="宋体" w:hAnsi="宋体"/>
                <w:b/>
                <w:color w:val="auto"/>
                <w:szCs w:val="21"/>
                <w:highlight w:val="none"/>
              </w:rPr>
              <w:t>法定代表人（或机构负责人）签名或签章：</w:t>
            </w:r>
          </w:p>
        </w:tc>
      </w:tr>
      <w:tr>
        <w:tblPrEx>
          <w:tblLayout w:type="fixed"/>
          <w:tblCellMar>
            <w:top w:w="0" w:type="dxa"/>
            <w:left w:w="0" w:type="dxa"/>
            <w:bottom w:w="0" w:type="dxa"/>
            <w:right w:w="0" w:type="dxa"/>
          </w:tblCellMar>
        </w:tblPrEx>
        <w:trPr>
          <w:trHeight w:val="489" w:hRule="atLeast"/>
        </w:trPr>
        <w:tc>
          <w:tcPr>
            <w:tcW w:w="1480" w:type="dxa"/>
            <w:vAlign w:val="bottom"/>
          </w:tcPr>
          <w:p>
            <w:pPr>
              <w:spacing w:line="239" w:lineRule="exact"/>
              <w:rPr>
                <w:rFonts w:ascii="宋体" w:hAnsi="宋体"/>
                <w:b/>
                <w:color w:val="auto"/>
                <w:w w:val="99"/>
                <w:szCs w:val="21"/>
                <w:highlight w:val="none"/>
              </w:rPr>
            </w:pPr>
            <w:r>
              <w:rPr>
                <w:rFonts w:ascii="宋体" w:hAnsi="宋体"/>
                <w:b/>
                <w:color w:val="auto"/>
                <w:szCs w:val="21"/>
                <w:highlight w:val="none"/>
              </w:rPr>
              <w:t>所在部门职务：</w:t>
            </w:r>
          </w:p>
        </w:tc>
        <w:tc>
          <w:tcPr>
            <w:tcW w:w="1040" w:type="dxa"/>
            <w:gridSpan w:val="2"/>
            <w:tcBorders>
              <w:top w:val="single" w:color="auto" w:sz="8" w:space="0"/>
            </w:tcBorders>
            <w:vAlign w:val="bottom"/>
          </w:tcPr>
          <w:p>
            <w:pPr>
              <w:spacing w:line="0" w:lineRule="atLeast"/>
              <w:rPr>
                <w:rFonts w:ascii="宋体" w:hAnsi="宋体"/>
                <w:color w:val="auto"/>
                <w:szCs w:val="21"/>
                <w:highlight w:val="none"/>
              </w:rPr>
            </w:pPr>
          </w:p>
        </w:tc>
        <w:tc>
          <w:tcPr>
            <w:tcW w:w="120" w:type="dxa"/>
            <w:vAlign w:val="bottom"/>
          </w:tcPr>
          <w:p>
            <w:pPr>
              <w:spacing w:line="0" w:lineRule="atLeast"/>
              <w:rPr>
                <w:rFonts w:ascii="宋体" w:hAnsi="宋体"/>
                <w:color w:val="auto"/>
                <w:szCs w:val="21"/>
                <w:highlight w:val="none"/>
              </w:rPr>
            </w:pPr>
          </w:p>
        </w:tc>
        <w:tc>
          <w:tcPr>
            <w:tcW w:w="1340" w:type="dxa"/>
            <w:vAlign w:val="bottom"/>
          </w:tcPr>
          <w:p>
            <w:pPr>
              <w:spacing w:line="0" w:lineRule="atLeast"/>
              <w:rPr>
                <w:rFonts w:ascii="宋体" w:hAnsi="宋体"/>
                <w:color w:val="auto"/>
                <w:szCs w:val="21"/>
                <w:highlight w:val="none"/>
              </w:rPr>
            </w:pPr>
          </w:p>
        </w:tc>
        <w:tc>
          <w:tcPr>
            <w:tcW w:w="1180" w:type="dxa"/>
            <w:vAlign w:val="bottom"/>
          </w:tcPr>
          <w:p>
            <w:pPr>
              <w:spacing w:line="0" w:lineRule="atLeast"/>
              <w:rPr>
                <w:rFonts w:ascii="宋体" w:hAnsi="宋体"/>
                <w:color w:val="auto"/>
                <w:szCs w:val="21"/>
                <w:highlight w:val="none"/>
              </w:rPr>
            </w:pPr>
          </w:p>
        </w:tc>
        <w:tc>
          <w:tcPr>
            <w:tcW w:w="3160" w:type="dxa"/>
            <w:gridSpan w:val="3"/>
            <w:vAlign w:val="bottom"/>
          </w:tcPr>
          <w:p>
            <w:pPr>
              <w:spacing w:line="239" w:lineRule="exact"/>
              <w:ind w:left="200"/>
              <w:rPr>
                <w:rFonts w:ascii="宋体" w:hAnsi="宋体"/>
                <w:b/>
                <w:color w:val="auto"/>
                <w:szCs w:val="21"/>
                <w:highlight w:val="none"/>
              </w:rPr>
            </w:pPr>
            <w:r>
              <w:rPr>
                <w:rFonts w:ascii="宋体" w:hAnsi="宋体"/>
                <w:b/>
                <w:color w:val="auto"/>
                <w:szCs w:val="21"/>
                <w:highlight w:val="none"/>
              </w:rPr>
              <w:t>职务：</w:t>
            </w:r>
          </w:p>
        </w:tc>
        <w:tc>
          <w:tcPr>
            <w:tcW w:w="880" w:type="dxa"/>
            <w:tcBorders>
              <w:top w:val="single" w:color="auto" w:sz="8" w:space="0"/>
            </w:tcBorders>
            <w:vAlign w:val="bottom"/>
          </w:tcPr>
          <w:p>
            <w:pPr>
              <w:spacing w:line="0" w:lineRule="atLeast"/>
              <w:rPr>
                <w:rFonts w:ascii="宋体" w:hAnsi="宋体"/>
                <w:color w:val="auto"/>
                <w:szCs w:val="21"/>
                <w:highlight w:val="none"/>
              </w:rPr>
            </w:pPr>
          </w:p>
        </w:tc>
      </w:tr>
      <w:tr>
        <w:tblPrEx>
          <w:tblLayout w:type="fixed"/>
          <w:tblCellMar>
            <w:top w:w="0" w:type="dxa"/>
            <w:left w:w="0" w:type="dxa"/>
            <w:bottom w:w="0" w:type="dxa"/>
            <w:right w:w="0" w:type="dxa"/>
          </w:tblCellMar>
        </w:tblPrEx>
        <w:trPr>
          <w:trHeight w:val="20" w:hRule="atLeast"/>
        </w:trPr>
        <w:tc>
          <w:tcPr>
            <w:tcW w:w="1480" w:type="dxa"/>
            <w:shd w:val="clear" w:color="auto" w:fill="auto"/>
            <w:vAlign w:val="bottom"/>
          </w:tcPr>
          <w:p>
            <w:pPr>
              <w:spacing w:line="20" w:lineRule="exact"/>
              <w:rPr>
                <w:rFonts w:ascii="宋体" w:hAnsi="宋体"/>
                <w:color w:val="auto"/>
                <w:szCs w:val="21"/>
                <w:highlight w:val="none"/>
              </w:rPr>
            </w:pPr>
          </w:p>
        </w:tc>
        <w:tc>
          <w:tcPr>
            <w:tcW w:w="620" w:type="dxa"/>
            <w:shd w:val="clear" w:color="auto" w:fill="000000"/>
            <w:vAlign w:val="bottom"/>
          </w:tcPr>
          <w:p>
            <w:pPr>
              <w:spacing w:line="20" w:lineRule="exact"/>
              <w:rPr>
                <w:rFonts w:ascii="宋体" w:hAnsi="宋体"/>
                <w:color w:val="auto"/>
                <w:szCs w:val="21"/>
                <w:highlight w:val="none"/>
              </w:rPr>
            </w:pPr>
          </w:p>
        </w:tc>
        <w:tc>
          <w:tcPr>
            <w:tcW w:w="540" w:type="dxa"/>
            <w:gridSpan w:val="2"/>
            <w:shd w:val="clear" w:color="auto" w:fill="000000"/>
            <w:vAlign w:val="bottom"/>
          </w:tcPr>
          <w:p>
            <w:pPr>
              <w:spacing w:line="20" w:lineRule="exact"/>
              <w:rPr>
                <w:rFonts w:ascii="宋体" w:hAnsi="宋体"/>
                <w:color w:val="auto"/>
                <w:szCs w:val="21"/>
                <w:highlight w:val="none"/>
              </w:rPr>
            </w:pPr>
          </w:p>
        </w:tc>
        <w:tc>
          <w:tcPr>
            <w:tcW w:w="1340" w:type="dxa"/>
            <w:shd w:val="clear" w:color="auto" w:fill="auto"/>
            <w:vAlign w:val="bottom"/>
          </w:tcPr>
          <w:p>
            <w:pPr>
              <w:spacing w:line="20" w:lineRule="exact"/>
              <w:rPr>
                <w:rFonts w:ascii="宋体" w:hAnsi="宋体"/>
                <w:color w:val="auto"/>
                <w:szCs w:val="21"/>
                <w:highlight w:val="none"/>
              </w:rPr>
            </w:pPr>
          </w:p>
        </w:tc>
        <w:tc>
          <w:tcPr>
            <w:tcW w:w="1180" w:type="dxa"/>
            <w:shd w:val="clear" w:color="auto" w:fill="auto"/>
            <w:vAlign w:val="bottom"/>
          </w:tcPr>
          <w:p>
            <w:pPr>
              <w:spacing w:line="20" w:lineRule="exact"/>
              <w:rPr>
                <w:rFonts w:ascii="宋体" w:hAnsi="宋体"/>
                <w:color w:val="auto"/>
                <w:szCs w:val="21"/>
                <w:highlight w:val="none"/>
              </w:rPr>
            </w:pPr>
          </w:p>
        </w:tc>
        <w:tc>
          <w:tcPr>
            <w:tcW w:w="840" w:type="dxa"/>
            <w:shd w:val="clear" w:color="auto" w:fill="auto"/>
            <w:vAlign w:val="bottom"/>
          </w:tcPr>
          <w:p>
            <w:pPr>
              <w:spacing w:line="20" w:lineRule="exact"/>
              <w:rPr>
                <w:rFonts w:ascii="宋体" w:hAnsi="宋体"/>
                <w:color w:val="auto"/>
                <w:szCs w:val="21"/>
                <w:highlight w:val="none"/>
              </w:rPr>
            </w:pPr>
          </w:p>
        </w:tc>
        <w:tc>
          <w:tcPr>
            <w:tcW w:w="1160" w:type="dxa"/>
            <w:shd w:val="clear" w:color="auto" w:fill="000000"/>
            <w:vAlign w:val="bottom"/>
          </w:tcPr>
          <w:p>
            <w:pPr>
              <w:spacing w:line="20" w:lineRule="exact"/>
              <w:rPr>
                <w:rFonts w:ascii="宋体" w:hAnsi="宋体"/>
                <w:color w:val="auto"/>
                <w:szCs w:val="21"/>
                <w:highlight w:val="none"/>
              </w:rPr>
            </w:pPr>
          </w:p>
        </w:tc>
        <w:tc>
          <w:tcPr>
            <w:tcW w:w="1160" w:type="dxa"/>
            <w:vAlign w:val="bottom"/>
          </w:tcPr>
          <w:p>
            <w:pPr>
              <w:spacing w:line="20" w:lineRule="exact"/>
              <w:rPr>
                <w:rFonts w:ascii="宋体" w:hAnsi="宋体"/>
                <w:color w:val="auto"/>
                <w:szCs w:val="21"/>
                <w:highlight w:val="none"/>
              </w:rPr>
            </w:pPr>
          </w:p>
        </w:tc>
        <w:tc>
          <w:tcPr>
            <w:tcW w:w="880" w:type="dxa"/>
            <w:vAlign w:val="bottom"/>
          </w:tcPr>
          <w:p>
            <w:pPr>
              <w:spacing w:line="20" w:lineRule="exact"/>
              <w:rPr>
                <w:rFonts w:ascii="宋体" w:hAnsi="宋体"/>
                <w:color w:val="auto"/>
                <w:szCs w:val="21"/>
                <w:highlight w:val="none"/>
              </w:rPr>
            </w:pPr>
          </w:p>
        </w:tc>
      </w:tr>
      <w:tr>
        <w:tblPrEx>
          <w:tblLayout w:type="fixed"/>
          <w:tblCellMar>
            <w:top w:w="0" w:type="dxa"/>
            <w:left w:w="0" w:type="dxa"/>
            <w:bottom w:w="0" w:type="dxa"/>
            <w:right w:w="0" w:type="dxa"/>
          </w:tblCellMar>
        </w:tblPrEx>
        <w:trPr>
          <w:trHeight w:val="484" w:hRule="atLeast"/>
        </w:trPr>
        <w:tc>
          <w:tcPr>
            <w:tcW w:w="3980" w:type="dxa"/>
            <w:gridSpan w:val="5"/>
            <w:vAlign w:val="bottom"/>
          </w:tcPr>
          <w:p>
            <w:pPr>
              <w:spacing w:line="239" w:lineRule="exact"/>
              <w:rPr>
                <w:rFonts w:ascii="宋体" w:hAnsi="宋体"/>
                <w:b/>
                <w:color w:val="auto"/>
                <w:szCs w:val="21"/>
                <w:highlight w:val="none"/>
              </w:rPr>
            </w:pPr>
            <w:r>
              <w:rPr>
                <w:rFonts w:ascii="宋体" w:hAnsi="宋体"/>
                <w:b/>
                <w:color w:val="auto"/>
                <w:szCs w:val="21"/>
                <w:highlight w:val="none"/>
              </w:rPr>
              <w:t>被授权人身份证号码：</w:t>
            </w:r>
          </w:p>
        </w:tc>
        <w:tc>
          <w:tcPr>
            <w:tcW w:w="1180" w:type="dxa"/>
            <w:vAlign w:val="bottom"/>
          </w:tcPr>
          <w:p>
            <w:pPr>
              <w:spacing w:line="0" w:lineRule="atLeast"/>
              <w:rPr>
                <w:rFonts w:ascii="宋体" w:hAnsi="宋体"/>
                <w:color w:val="auto"/>
                <w:szCs w:val="21"/>
                <w:highlight w:val="none"/>
              </w:rPr>
            </w:pPr>
          </w:p>
        </w:tc>
        <w:tc>
          <w:tcPr>
            <w:tcW w:w="840" w:type="dxa"/>
            <w:vAlign w:val="bottom"/>
          </w:tcPr>
          <w:p>
            <w:pPr>
              <w:spacing w:line="0" w:lineRule="atLeast"/>
              <w:rPr>
                <w:rFonts w:ascii="宋体" w:hAnsi="宋体"/>
                <w:color w:val="auto"/>
                <w:szCs w:val="21"/>
                <w:highlight w:val="none"/>
              </w:rPr>
            </w:pPr>
          </w:p>
        </w:tc>
        <w:tc>
          <w:tcPr>
            <w:tcW w:w="1160" w:type="dxa"/>
            <w:vAlign w:val="bottom"/>
          </w:tcPr>
          <w:p>
            <w:pPr>
              <w:spacing w:line="0" w:lineRule="atLeast"/>
              <w:rPr>
                <w:rFonts w:ascii="宋体" w:hAnsi="宋体"/>
                <w:color w:val="auto"/>
                <w:szCs w:val="21"/>
                <w:highlight w:val="none"/>
              </w:rPr>
            </w:pPr>
          </w:p>
        </w:tc>
        <w:tc>
          <w:tcPr>
            <w:tcW w:w="1160" w:type="dxa"/>
            <w:vAlign w:val="bottom"/>
          </w:tcPr>
          <w:p>
            <w:pPr>
              <w:spacing w:line="0" w:lineRule="atLeast"/>
              <w:rPr>
                <w:rFonts w:ascii="宋体" w:hAnsi="宋体"/>
                <w:color w:val="auto"/>
                <w:szCs w:val="21"/>
                <w:highlight w:val="none"/>
              </w:rPr>
            </w:pPr>
          </w:p>
        </w:tc>
        <w:tc>
          <w:tcPr>
            <w:tcW w:w="880" w:type="dxa"/>
            <w:vAlign w:val="bottom"/>
          </w:tcPr>
          <w:p>
            <w:pPr>
              <w:spacing w:line="0" w:lineRule="atLeast"/>
              <w:rPr>
                <w:rFonts w:ascii="宋体" w:hAnsi="宋体"/>
                <w:color w:val="auto"/>
                <w:szCs w:val="21"/>
                <w:highlight w:val="none"/>
              </w:rPr>
            </w:pPr>
          </w:p>
        </w:tc>
      </w:tr>
      <w:tr>
        <w:tblPrEx>
          <w:tblLayout w:type="fixed"/>
          <w:tblCellMar>
            <w:top w:w="0" w:type="dxa"/>
            <w:left w:w="0" w:type="dxa"/>
            <w:bottom w:w="0" w:type="dxa"/>
            <w:right w:w="0" w:type="dxa"/>
          </w:tblCellMar>
        </w:tblPrEx>
        <w:trPr>
          <w:trHeight w:val="20" w:hRule="atLeast"/>
        </w:trPr>
        <w:tc>
          <w:tcPr>
            <w:tcW w:w="1480" w:type="dxa"/>
            <w:shd w:val="clear" w:color="auto" w:fill="auto"/>
            <w:vAlign w:val="bottom"/>
          </w:tcPr>
          <w:p>
            <w:pPr>
              <w:spacing w:line="20" w:lineRule="exact"/>
              <w:rPr>
                <w:rFonts w:ascii="宋体" w:hAnsi="宋体"/>
                <w:color w:val="auto"/>
                <w:szCs w:val="21"/>
                <w:highlight w:val="none"/>
              </w:rPr>
            </w:pPr>
          </w:p>
        </w:tc>
        <w:tc>
          <w:tcPr>
            <w:tcW w:w="620" w:type="dxa"/>
            <w:shd w:val="clear" w:color="auto" w:fill="auto"/>
            <w:vAlign w:val="bottom"/>
          </w:tcPr>
          <w:p>
            <w:pPr>
              <w:spacing w:line="20" w:lineRule="exact"/>
              <w:rPr>
                <w:rFonts w:ascii="宋体" w:hAnsi="宋体"/>
                <w:color w:val="auto"/>
                <w:szCs w:val="21"/>
                <w:highlight w:val="none"/>
              </w:rPr>
            </w:pPr>
          </w:p>
        </w:tc>
        <w:tc>
          <w:tcPr>
            <w:tcW w:w="420" w:type="dxa"/>
            <w:shd w:val="clear" w:color="auto" w:fill="000000"/>
            <w:vAlign w:val="bottom"/>
          </w:tcPr>
          <w:p>
            <w:pPr>
              <w:spacing w:line="20" w:lineRule="exact"/>
              <w:rPr>
                <w:rFonts w:ascii="宋体" w:hAnsi="宋体"/>
                <w:color w:val="auto"/>
                <w:szCs w:val="21"/>
                <w:highlight w:val="none"/>
              </w:rPr>
            </w:pPr>
          </w:p>
        </w:tc>
        <w:tc>
          <w:tcPr>
            <w:tcW w:w="120" w:type="dxa"/>
            <w:shd w:val="clear" w:color="auto" w:fill="000000"/>
            <w:vAlign w:val="bottom"/>
          </w:tcPr>
          <w:p>
            <w:pPr>
              <w:spacing w:line="20" w:lineRule="exact"/>
              <w:rPr>
                <w:rFonts w:ascii="宋体" w:hAnsi="宋体"/>
                <w:color w:val="auto"/>
                <w:szCs w:val="21"/>
                <w:highlight w:val="none"/>
              </w:rPr>
            </w:pPr>
          </w:p>
        </w:tc>
        <w:tc>
          <w:tcPr>
            <w:tcW w:w="1340" w:type="dxa"/>
            <w:shd w:val="clear" w:color="auto" w:fill="000000"/>
            <w:vAlign w:val="bottom"/>
          </w:tcPr>
          <w:p>
            <w:pPr>
              <w:spacing w:line="20" w:lineRule="exact"/>
              <w:rPr>
                <w:rFonts w:ascii="宋体" w:hAnsi="宋体"/>
                <w:color w:val="auto"/>
                <w:szCs w:val="21"/>
                <w:highlight w:val="none"/>
              </w:rPr>
            </w:pPr>
          </w:p>
        </w:tc>
        <w:tc>
          <w:tcPr>
            <w:tcW w:w="1180" w:type="dxa"/>
            <w:shd w:val="clear" w:color="auto" w:fill="000000"/>
            <w:vAlign w:val="bottom"/>
          </w:tcPr>
          <w:p>
            <w:pPr>
              <w:spacing w:line="20" w:lineRule="exact"/>
              <w:rPr>
                <w:rFonts w:ascii="宋体" w:hAnsi="宋体"/>
                <w:color w:val="auto"/>
                <w:szCs w:val="21"/>
                <w:highlight w:val="none"/>
              </w:rPr>
            </w:pPr>
          </w:p>
        </w:tc>
        <w:tc>
          <w:tcPr>
            <w:tcW w:w="840" w:type="dxa"/>
            <w:vAlign w:val="bottom"/>
          </w:tcPr>
          <w:p>
            <w:pPr>
              <w:spacing w:line="20" w:lineRule="exact"/>
              <w:rPr>
                <w:rFonts w:ascii="宋体" w:hAnsi="宋体"/>
                <w:color w:val="auto"/>
                <w:szCs w:val="21"/>
                <w:highlight w:val="none"/>
              </w:rPr>
            </w:pPr>
          </w:p>
        </w:tc>
        <w:tc>
          <w:tcPr>
            <w:tcW w:w="1160" w:type="dxa"/>
            <w:vAlign w:val="bottom"/>
          </w:tcPr>
          <w:p>
            <w:pPr>
              <w:spacing w:line="20" w:lineRule="exact"/>
              <w:rPr>
                <w:rFonts w:ascii="宋体" w:hAnsi="宋体"/>
                <w:color w:val="auto"/>
                <w:szCs w:val="21"/>
                <w:highlight w:val="none"/>
              </w:rPr>
            </w:pPr>
          </w:p>
        </w:tc>
        <w:tc>
          <w:tcPr>
            <w:tcW w:w="1160" w:type="dxa"/>
            <w:vAlign w:val="bottom"/>
          </w:tcPr>
          <w:p>
            <w:pPr>
              <w:spacing w:line="20" w:lineRule="exact"/>
              <w:rPr>
                <w:rFonts w:ascii="宋体" w:hAnsi="宋体"/>
                <w:color w:val="auto"/>
                <w:szCs w:val="21"/>
                <w:highlight w:val="none"/>
              </w:rPr>
            </w:pPr>
          </w:p>
        </w:tc>
        <w:tc>
          <w:tcPr>
            <w:tcW w:w="880" w:type="dxa"/>
            <w:vAlign w:val="bottom"/>
          </w:tcPr>
          <w:p>
            <w:pPr>
              <w:spacing w:line="20" w:lineRule="exact"/>
              <w:rPr>
                <w:rFonts w:ascii="宋体" w:hAnsi="宋体"/>
                <w:color w:val="auto"/>
                <w:szCs w:val="21"/>
                <w:highlight w:val="none"/>
              </w:rPr>
            </w:pPr>
          </w:p>
        </w:tc>
      </w:tr>
    </w:tbl>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391" w:lineRule="exact"/>
        <w:rPr>
          <w:rFonts w:ascii="宋体" w:hAnsi="宋体"/>
          <w:color w:val="auto"/>
          <w:highlight w:val="none"/>
        </w:rPr>
      </w:pPr>
    </w:p>
    <w:p>
      <w:pPr>
        <w:spacing w:line="0" w:lineRule="atLeast"/>
        <w:rPr>
          <w:rFonts w:ascii="宋体" w:hAnsi="宋体"/>
          <w:b/>
          <w:color w:val="auto"/>
          <w:highlight w:val="none"/>
          <w:u w:val="single"/>
        </w:rPr>
      </w:pPr>
      <w:r>
        <w:rPr>
          <w:rFonts w:ascii="宋体" w:hAnsi="宋体"/>
          <w:b/>
          <w:color w:val="auto"/>
          <w:highlight w:val="none"/>
          <w:u w:val="single"/>
        </w:rPr>
        <w:t>贴附“委托代理人身份证复印件”</w:t>
      </w:r>
    </w:p>
    <w:p>
      <w:pPr>
        <w:spacing w:line="317" w:lineRule="exact"/>
        <w:rPr>
          <w:rFonts w:ascii="宋体" w:hAnsi="宋体"/>
          <w:color w:val="auto"/>
          <w:highlight w:val="none"/>
        </w:rPr>
      </w:pPr>
    </w:p>
    <w:p>
      <w:pPr>
        <w:spacing w:line="239" w:lineRule="auto"/>
        <w:ind w:left="4820"/>
        <w:rPr>
          <w:rFonts w:ascii="宋体" w:hAnsi="宋体"/>
          <w:color w:val="auto"/>
          <w:highlight w:val="none"/>
        </w:rPr>
      </w:pPr>
      <w:r>
        <w:rPr>
          <w:rFonts w:ascii="宋体" w:hAnsi="宋体"/>
          <w:color w:val="auto"/>
          <w:highlight w:val="none"/>
        </w:rPr>
        <w:t>服务商公章：</w:t>
      </w:r>
    </w:p>
    <w:p>
      <w:pPr>
        <w:spacing w:line="270" w:lineRule="exact"/>
        <w:rPr>
          <w:rFonts w:ascii="宋体" w:hAnsi="宋体"/>
          <w:color w:val="auto"/>
          <w:highlight w:val="none"/>
        </w:rPr>
      </w:pPr>
    </w:p>
    <w:p>
      <w:pPr>
        <w:tabs>
          <w:tab w:val="left" w:pos="6580"/>
          <w:tab w:val="left" w:pos="7200"/>
        </w:tabs>
        <w:spacing w:line="239" w:lineRule="auto"/>
        <w:ind w:left="5960"/>
        <w:rPr>
          <w:rFonts w:ascii="宋体" w:hAnsi="宋体"/>
          <w:color w:val="auto"/>
          <w:highlight w:val="none"/>
        </w:rPr>
      </w:pPr>
      <w:r>
        <w:rPr>
          <w:rFonts w:ascii="宋体" w:hAnsi="宋体"/>
          <w:color w:val="auto"/>
          <w:highlight w:val="none"/>
        </w:rPr>
        <w:t>年</w:t>
      </w:r>
      <w:r>
        <w:rPr>
          <w:rFonts w:ascii="宋体" w:hAnsi="宋体"/>
          <w:color w:val="auto"/>
          <w:highlight w:val="none"/>
        </w:rPr>
        <w:tab/>
      </w:r>
      <w:r>
        <w:rPr>
          <w:rFonts w:ascii="宋体" w:hAnsi="宋体"/>
          <w:color w:val="auto"/>
          <w:highlight w:val="none"/>
        </w:rPr>
        <w:t>月</w:t>
      </w:r>
      <w:r>
        <w:rPr>
          <w:rFonts w:ascii="宋体" w:hAnsi="宋体"/>
          <w:color w:val="auto"/>
          <w:highlight w:val="none"/>
        </w:rPr>
        <w:tab/>
      </w:r>
      <w:r>
        <w:rPr>
          <w:rFonts w:ascii="宋体" w:hAnsi="宋体"/>
          <w:color w:val="auto"/>
          <w:highlight w:val="none"/>
        </w:rPr>
        <w:t>日</w:t>
      </w:r>
    </w:p>
    <w:p>
      <w:pPr>
        <w:rPr>
          <w:color w:val="auto"/>
          <w:highlight w:val="none"/>
        </w:rPr>
      </w:pPr>
    </w:p>
    <w:p>
      <w:pPr>
        <w:rPr>
          <w:color w:val="auto"/>
          <w:highlight w:val="none"/>
        </w:rPr>
      </w:pPr>
    </w:p>
    <w:p>
      <w:pPr>
        <w:rPr>
          <w:color w:val="auto"/>
          <w:highlight w:val="none"/>
        </w:rPr>
      </w:pPr>
    </w:p>
    <w:p>
      <w:pPr>
        <w:rPr>
          <w:color w:val="auto"/>
          <w:highlight w:val="none"/>
        </w:rPr>
      </w:pPr>
      <w:r>
        <w:rPr>
          <w:rFonts w:hint="eastAsia" w:ascii="宋体" w:hAnsi="宋体"/>
          <w:b/>
          <w:color w:val="auto"/>
          <w:highlight w:val="none"/>
        </w:rPr>
        <w:t>（4）采购代理机构出具的购买竞争性磋商文件证明复印件；（必须提供）</w:t>
      </w:r>
    </w:p>
    <w:p>
      <w:pPr>
        <w:rPr>
          <w:color w:val="auto"/>
          <w:highlight w:val="none"/>
        </w:rPr>
      </w:pPr>
    </w:p>
    <w:p>
      <w:pPr>
        <w:rPr>
          <w:color w:val="auto"/>
          <w:highlight w:val="none"/>
        </w:rPr>
      </w:pPr>
    </w:p>
    <w:p>
      <w:pPr>
        <w:spacing w:line="352" w:lineRule="auto"/>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r>
        <w:rPr>
          <w:rFonts w:hint="eastAsia" w:ascii="宋体" w:hAnsi="宋体"/>
          <w:b/>
          <w:color w:val="auto"/>
          <w:highlight w:val="none"/>
        </w:rPr>
        <w:t>（5）营业执照副本复印件（必须提供）；</w:t>
      </w:r>
    </w:p>
    <w:p>
      <w:pPr>
        <w:pStyle w:val="2"/>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spacing w:line="352" w:lineRule="auto"/>
        <w:rPr>
          <w:rFonts w:ascii="宋体" w:hAnsi="宋体"/>
          <w:b/>
          <w:color w:val="auto"/>
          <w:highlight w:val="none"/>
        </w:rPr>
      </w:pPr>
      <w:r>
        <w:rPr>
          <w:rFonts w:hint="eastAsia" w:ascii="宋体" w:hAnsi="宋体"/>
          <w:b/>
          <w:color w:val="auto"/>
          <w:highlight w:val="none"/>
        </w:rPr>
        <w:t>（6）拟投入本项目实施人员一览表、实施人员的身份证复印件；（必须提供）</w:t>
      </w:r>
    </w:p>
    <w:p>
      <w:pPr>
        <w:spacing w:line="300" w:lineRule="auto"/>
        <w:ind w:right="-210"/>
        <w:rPr>
          <w:rFonts w:ascii="宋体" w:hAnsi="宋体"/>
          <w:color w:val="auto"/>
          <w:szCs w:val="21"/>
          <w:highlight w:val="none"/>
        </w:rPr>
      </w:pPr>
    </w:p>
    <w:tbl>
      <w:tblPr>
        <w:tblStyle w:val="20"/>
        <w:tblW w:w="945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959"/>
        <w:gridCol w:w="992"/>
        <w:gridCol w:w="1701"/>
        <w:gridCol w:w="198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720" w:type="dxa"/>
            <w:vAlign w:val="center"/>
          </w:tcPr>
          <w:p>
            <w:pPr>
              <w:spacing w:line="300" w:lineRule="auto"/>
              <w:ind w:right="-210"/>
              <w:rPr>
                <w:rFonts w:ascii="宋体" w:hAnsi="宋体"/>
                <w:color w:val="auto"/>
                <w:szCs w:val="21"/>
                <w:highlight w:val="none"/>
              </w:rPr>
            </w:pPr>
            <w:r>
              <w:rPr>
                <w:rFonts w:hint="eastAsia" w:ascii="宋体" w:hAnsi="宋体"/>
                <w:color w:val="auto"/>
                <w:szCs w:val="21"/>
                <w:highlight w:val="none"/>
              </w:rPr>
              <w:t>序号</w:t>
            </w:r>
          </w:p>
        </w:tc>
        <w:tc>
          <w:tcPr>
            <w:tcW w:w="1260" w:type="dxa"/>
            <w:vAlign w:val="center"/>
          </w:tcPr>
          <w:p>
            <w:pPr>
              <w:spacing w:line="300" w:lineRule="auto"/>
              <w:ind w:right="-210"/>
              <w:rPr>
                <w:rFonts w:ascii="宋体" w:hAnsi="宋体"/>
                <w:color w:val="auto"/>
                <w:szCs w:val="21"/>
                <w:highlight w:val="none"/>
              </w:rPr>
            </w:pPr>
            <w:r>
              <w:rPr>
                <w:rFonts w:hint="eastAsia" w:ascii="宋体" w:hAnsi="宋体"/>
                <w:color w:val="auto"/>
                <w:szCs w:val="21"/>
                <w:highlight w:val="none"/>
              </w:rPr>
              <w:t>姓名</w:t>
            </w:r>
          </w:p>
        </w:tc>
        <w:tc>
          <w:tcPr>
            <w:tcW w:w="959" w:type="dxa"/>
            <w:vAlign w:val="center"/>
          </w:tcPr>
          <w:p>
            <w:pPr>
              <w:spacing w:line="300" w:lineRule="auto"/>
              <w:ind w:right="-210"/>
              <w:rPr>
                <w:rFonts w:ascii="宋体" w:hAnsi="宋体"/>
                <w:color w:val="auto"/>
                <w:szCs w:val="21"/>
                <w:highlight w:val="none"/>
              </w:rPr>
            </w:pPr>
            <w:r>
              <w:rPr>
                <w:rFonts w:hint="eastAsia" w:ascii="宋体" w:hAnsi="宋体"/>
                <w:color w:val="auto"/>
                <w:szCs w:val="21"/>
                <w:highlight w:val="none"/>
              </w:rPr>
              <w:t>年龄</w:t>
            </w:r>
          </w:p>
        </w:tc>
        <w:tc>
          <w:tcPr>
            <w:tcW w:w="992" w:type="dxa"/>
            <w:vAlign w:val="center"/>
          </w:tcPr>
          <w:p>
            <w:pPr>
              <w:spacing w:line="300" w:lineRule="auto"/>
              <w:ind w:right="-210"/>
              <w:rPr>
                <w:rFonts w:ascii="宋体" w:hAnsi="宋体"/>
                <w:color w:val="auto"/>
                <w:szCs w:val="21"/>
                <w:highlight w:val="none"/>
              </w:rPr>
            </w:pPr>
            <w:r>
              <w:rPr>
                <w:rFonts w:hint="eastAsia" w:ascii="宋体" w:hAnsi="宋体"/>
                <w:color w:val="auto"/>
                <w:szCs w:val="21"/>
                <w:highlight w:val="none"/>
              </w:rPr>
              <w:t>性别</w:t>
            </w:r>
          </w:p>
        </w:tc>
        <w:tc>
          <w:tcPr>
            <w:tcW w:w="1701" w:type="dxa"/>
            <w:vAlign w:val="center"/>
          </w:tcPr>
          <w:p>
            <w:pPr>
              <w:spacing w:line="300" w:lineRule="auto"/>
              <w:ind w:right="-210"/>
              <w:rPr>
                <w:rFonts w:ascii="宋体" w:hAnsi="宋体"/>
                <w:color w:val="auto"/>
                <w:szCs w:val="21"/>
                <w:highlight w:val="none"/>
              </w:rPr>
            </w:pPr>
            <w:r>
              <w:rPr>
                <w:rFonts w:hint="eastAsia" w:ascii="宋体" w:hAnsi="宋体"/>
                <w:color w:val="auto"/>
                <w:szCs w:val="21"/>
                <w:highlight w:val="none"/>
              </w:rPr>
              <w:t>专业及职称</w:t>
            </w:r>
          </w:p>
        </w:tc>
        <w:tc>
          <w:tcPr>
            <w:tcW w:w="1985" w:type="dxa"/>
            <w:vAlign w:val="center"/>
          </w:tcPr>
          <w:p>
            <w:pPr>
              <w:spacing w:line="300" w:lineRule="auto"/>
              <w:ind w:right="-210"/>
              <w:rPr>
                <w:rFonts w:ascii="宋体" w:hAnsi="宋体"/>
                <w:color w:val="auto"/>
                <w:szCs w:val="21"/>
                <w:highlight w:val="none"/>
              </w:rPr>
            </w:pPr>
            <w:r>
              <w:rPr>
                <w:rFonts w:hint="eastAsia" w:ascii="宋体" w:hAnsi="宋体"/>
                <w:color w:val="auto"/>
                <w:szCs w:val="21"/>
                <w:highlight w:val="none"/>
              </w:rPr>
              <w:t>从事本工作时间</w:t>
            </w:r>
          </w:p>
        </w:tc>
        <w:tc>
          <w:tcPr>
            <w:tcW w:w="1842" w:type="dxa"/>
            <w:vAlign w:val="center"/>
          </w:tcPr>
          <w:p>
            <w:pPr>
              <w:spacing w:line="300" w:lineRule="auto"/>
              <w:ind w:right="-210"/>
              <w:rPr>
                <w:rFonts w:ascii="宋体" w:hAnsi="宋体"/>
                <w:color w:val="auto"/>
                <w:szCs w:val="21"/>
                <w:highlight w:val="none"/>
              </w:rPr>
            </w:pPr>
            <w:r>
              <w:rPr>
                <w:rFonts w:hint="eastAsia" w:ascii="宋体" w:hAnsi="宋体"/>
                <w:color w:val="auto"/>
                <w:szCs w:val="21"/>
                <w:highlight w:val="none"/>
              </w:rPr>
              <w:t>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720" w:type="dxa"/>
            <w:vAlign w:val="center"/>
          </w:tcPr>
          <w:p>
            <w:pPr>
              <w:spacing w:line="300" w:lineRule="auto"/>
              <w:ind w:right="-210"/>
              <w:rPr>
                <w:rFonts w:ascii="宋体" w:hAnsi="宋体"/>
                <w:color w:val="auto"/>
                <w:szCs w:val="21"/>
                <w:highlight w:val="none"/>
              </w:rPr>
            </w:pPr>
          </w:p>
        </w:tc>
        <w:tc>
          <w:tcPr>
            <w:tcW w:w="1260" w:type="dxa"/>
            <w:vAlign w:val="center"/>
          </w:tcPr>
          <w:p>
            <w:pPr>
              <w:spacing w:line="300" w:lineRule="auto"/>
              <w:ind w:right="-210"/>
              <w:rPr>
                <w:rFonts w:ascii="宋体" w:hAnsi="宋体"/>
                <w:color w:val="auto"/>
                <w:szCs w:val="21"/>
                <w:highlight w:val="none"/>
              </w:rPr>
            </w:pPr>
          </w:p>
        </w:tc>
        <w:tc>
          <w:tcPr>
            <w:tcW w:w="959" w:type="dxa"/>
            <w:vAlign w:val="center"/>
          </w:tcPr>
          <w:p>
            <w:pPr>
              <w:spacing w:line="300" w:lineRule="auto"/>
              <w:ind w:right="-210"/>
              <w:rPr>
                <w:rFonts w:ascii="宋体" w:hAnsi="宋体"/>
                <w:color w:val="auto"/>
                <w:szCs w:val="21"/>
                <w:highlight w:val="none"/>
              </w:rPr>
            </w:pPr>
          </w:p>
        </w:tc>
        <w:tc>
          <w:tcPr>
            <w:tcW w:w="992" w:type="dxa"/>
            <w:vAlign w:val="center"/>
          </w:tcPr>
          <w:p>
            <w:pPr>
              <w:spacing w:line="300" w:lineRule="auto"/>
              <w:ind w:right="-210"/>
              <w:rPr>
                <w:rFonts w:ascii="宋体" w:hAnsi="宋体"/>
                <w:color w:val="auto"/>
                <w:szCs w:val="21"/>
                <w:highlight w:val="none"/>
              </w:rPr>
            </w:pPr>
          </w:p>
        </w:tc>
        <w:tc>
          <w:tcPr>
            <w:tcW w:w="1701" w:type="dxa"/>
            <w:vAlign w:val="center"/>
          </w:tcPr>
          <w:p>
            <w:pPr>
              <w:spacing w:line="300" w:lineRule="auto"/>
              <w:ind w:right="-210"/>
              <w:rPr>
                <w:rFonts w:ascii="宋体" w:hAnsi="宋体"/>
                <w:color w:val="auto"/>
                <w:szCs w:val="21"/>
                <w:highlight w:val="none"/>
              </w:rPr>
            </w:pPr>
          </w:p>
        </w:tc>
        <w:tc>
          <w:tcPr>
            <w:tcW w:w="1985" w:type="dxa"/>
            <w:vAlign w:val="center"/>
          </w:tcPr>
          <w:p>
            <w:pPr>
              <w:spacing w:line="300" w:lineRule="auto"/>
              <w:ind w:right="-210"/>
              <w:rPr>
                <w:rFonts w:ascii="宋体" w:hAnsi="宋体"/>
                <w:color w:val="auto"/>
                <w:szCs w:val="21"/>
                <w:highlight w:val="none"/>
              </w:rPr>
            </w:pPr>
          </w:p>
        </w:tc>
        <w:tc>
          <w:tcPr>
            <w:tcW w:w="1842" w:type="dxa"/>
            <w:vAlign w:val="center"/>
          </w:tcPr>
          <w:p>
            <w:pPr>
              <w:spacing w:line="300" w:lineRule="auto"/>
              <w:ind w:right="-21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720" w:type="dxa"/>
            <w:vAlign w:val="center"/>
          </w:tcPr>
          <w:p>
            <w:pPr>
              <w:spacing w:line="300" w:lineRule="auto"/>
              <w:ind w:right="-210"/>
              <w:rPr>
                <w:rFonts w:ascii="宋体" w:hAnsi="宋体"/>
                <w:color w:val="auto"/>
                <w:szCs w:val="21"/>
                <w:highlight w:val="none"/>
              </w:rPr>
            </w:pPr>
          </w:p>
        </w:tc>
        <w:tc>
          <w:tcPr>
            <w:tcW w:w="1260" w:type="dxa"/>
            <w:vAlign w:val="center"/>
          </w:tcPr>
          <w:p>
            <w:pPr>
              <w:spacing w:line="300" w:lineRule="auto"/>
              <w:ind w:right="-210"/>
              <w:rPr>
                <w:rFonts w:ascii="宋体" w:hAnsi="宋体"/>
                <w:color w:val="auto"/>
                <w:szCs w:val="21"/>
                <w:highlight w:val="none"/>
              </w:rPr>
            </w:pPr>
          </w:p>
        </w:tc>
        <w:tc>
          <w:tcPr>
            <w:tcW w:w="959" w:type="dxa"/>
            <w:vAlign w:val="center"/>
          </w:tcPr>
          <w:p>
            <w:pPr>
              <w:spacing w:line="300" w:lineRule="auto"/>
              <w:ind w:right="-210"/>
              <w:rPr>
                <w:rFonts w:ascii="宋体" w:hAnsi="宋体"/>
                <w:color w:val="auto"/>
                <w:szCs w:val="21"/>
                <w:highlight w:val="none"/>
              </w:rPr>
            </w:pPr>
          </w:p>
        </w:tc>
        <w:tc>
          <w:tcPr>
            <w:tcW w:w="992" w:type="dxa"/>
            <w:vAlign w:val="center"/>
          </w:tcPr>
          <w:p>
            <w:pPr>
              <w:spacing w:line="300" w:lineRule="auto"/>
              <w:ind w:right="-210"/>
              <w:rPr>
                <w:rFonts w:ascii="宋体" w:hAnsi="宋体"/>
                <w:color w:val="auto"/>
                <w:szCs w:val="21"/>
                <w:highlight w:val="none"/>
              </w:rPr>
            </w:pPr>
          </w:p>
        </w:tc>
        <w:tc>
          <w:tcPr>
            <w:tcW w:w="1701" w:type="dxa"/>
            <w:vAlign w:val="center"/>
          </w:tcPr>
          <w:p>
            <w:pPr>
              <w:spacing w:line="300" w:lineRule="auto"/>
              <w:ind w:right="-210"/>
              <w:rPr>
                <w:rFonts w:ascii="宋体" w:hAnsi="宋体"/>
                <w:color w:val="auto"/>
                <w:szCs w:val="21"/>
                <w:highlight w:val="none"/>
              </w:rPr>
            </w:pPr>
          </w:p>
        </w:tc>
        <w:tc>
          <w:tcPr>
            <w:tcW w:w="1985" w:type="dxa"/>
            <w:vAlign w:val="center"/>
          </w:tcPr>
          <w:p>
            <w:pPr>
              <w:spacing w:line="300" w:lineRule="auto"/>
              <w:ind w:right="-210"/>
              <w:rPr>
                <w:rFonts w:ascii="宋体" w:hAnsi="宋体"/>
                <w:color w:val="auto"/>
                <w:szCs w:val="21"/>
                <w:highlight w:val="none"/>
              </w:rPr>
            </w:pPr>
          </w:p>
        </w:tc>
        <w:tc>
          <w:tcPr>
            <w:tcW w:w="1842" w:type="dxa"/>
            <w:vAlign w:val="center"/>
          </w:tcPr>
          <w:p>
            <w:pPr>
              <w:spacing w:line="300" w:lineRule="auto"/>
              <w:ind w:right="-21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20" w:type="dxa"/>
            <w:vAlign w:val="center"/>
          </w:tcPr>
          <w:p>
            <w:pPr>
              <w:spacing w:line="300" w:lineRule="auto"/>
              <w:ind w:right="-210"/>
              <w:rPr>
                <w:rFonts w:ascii="宋体" w:hAnsi="宋体"/>
                <w:color w:val="auto"/>
                <w:szCs w:val="21"/>
                <w:highlight w:val="none"/>
              </w:rPr>
            </w:pPr>
          </w:p>
        </w:tc>
        <w:tc>
          <w:tcPr>
            <w:tcW w:w="1260" w:type="dxa"/>
            <w:vAlign w:val="center"/>
          </w:tcPr>
          <w:p>
            <w:pPr>
              <w:spacing w:line="300" w:lineRule="auto"/>
              <w:ind w:right="-210"/>
              <w:rPr>
                <w:rFonts w:ascii="宋体" w:hAnsi="宋体"/>
                <w:color w:val="auto"/>
                <w:szCs w:val="21"/>
                <w:highlight w:val="none"/>
              </w:rPr>
            </w:pPr>
          </w:p>
        </w:tc>
        <w:tc>
          <w:tcPr>
            <w:tcW w:w="959" w:type="dxa"/>
            <w:vAlign w:val="center"/>
          </w:tcPr>
          <w:p>
            <w:pPr>
              <w:spacing w:line="300" w:lineRule="auto"/>
              <w:ind w:right="-210"/>
              <w:rPr>
                <w:rFonts w:ascii="宋体" w:hAnsi="宋体"/>
                <w:color w:val="auto"/>
                <w:szCs w:val="21"/>
                <w:highlight w:val="none"/>
              </w:rPr>
            </w:pPr>
          </w:p>
        </w:tc>
        <w:tc>
          <w:tcPr>
            <w:tcW w:w="992" w:type="dxa"/>
            <w:vAlign w:val="center"/>
          </w:tcPr>
          <w:p>
            <w:pPr>
              <w:spacing w:line="300" w:lineRule="auto"/>
              <w:ind w:right="-210"/>
              <w:rPr>
                <w:rFonts w:ascii="宋体" w:hAnsi="宋体"/>
                <w:color w:val="auto"/>
                <w:szCs w:val="21"/>
                <w:highlight w:val="none"/>
              </w:rPr>
            </w:pPr>
          </w:p>
        </w:tc>
        <w:tc>
          <w:tcPr>
            <w:tcW w:w="1701" w:type="dxa"/>
            <w:vAlign w:val="center"/>
          </w:tcPr>
          <w:p>
            <w:pPr>
              <w:spacing w:line="300" w:lineRule="auto"/>
              <w:ind w:right="-210"/>
              <w:rPr>
                <w:rFonts w:ascii="宋体" w:hAnsi="宋体"/>
                <w:color w:val="auto"/>
                <w:szCs w:val="21"/>
                <w:highlight w:val="none"/>
              </w:rPr>
            </w:pPr>
          </w:p>
        </w:tc>
        <w:tc>
          <w:tcPr>
            <w:tcW w:w="1985" w:type="dxa"/>
            <w:vAlign w:val="center"/>
          </w:tcPr>
          <w:p>
            <w:pPr>
              <w:spacing w:line="300" w:lineRule="auto"/>
              <w:ind w:right="-210"/>
              <w:rPr>
                <w:rFonts w:ascii="宋体" w:hAnsi="宋体"/>
                <w:color w:val="auto"/>
                <w:szCs w:val="21"/>
                <w:highlight w:val="none"/>
              </w:rPr>
            </w:pPr>
          </w:p>
        </w:tc>
        <w:tc>
          <w:tcPr>
            <w:tcW w:w="1842" w:type="dxa"/>
            <w:vAlign w:val="center"/>
          </w:tcPr>
          <w:p>
            <w:pPr>
              <w:spacing w:line="300" w:lineRule="auto"/>
              <w:ind w:right="-210"/>
              <w:rPr>
                <w:rFonts w:ascii="宋体" w:hAnsi="宋体"/>
                <w:color w:val="auto"/>
                <w:szCs w:val="21"/>
                <w:highlight w:val="none"/>
              </w:rPr>
            </w:pPr>
          </w:p>
        </w:tc>
      </w:tr>
    </w:tbl>
    <w:p>
      <w:pPr>
        <w:spacing w:line="300" w:lineRule="auto"/>
        <w:ind w:right="-210"/>
        <w:rPr>
          <w:rFonts w:ascii="宋体" w:hAnsi="宋体"/>
          <w:color w:val="auto"/>
          <w:szCs w:val="21"/>
          <w:highlight w:val="none"/>
        </w:rPr>
      </w:pPr>
    </w:p>
    <w:p>
      <w:pPr>
        <w:spacing w:line="300" w:lineRule="auto"/>
        <w:ind w:right="-210"/>
        <w:rPr>
          <w:rFonts w:ascii="宋体" w:hAnsi="宋体"/>
          <w:color w:val="auto"/>
          <w:szCs w:val="21"/>
          <w:highlight w:val="none"/>
        </w:rPr>
      </w:pPr>
    </w:p>
    <w:p>
      <w:pPr>
        <w:spacing w:line="300" w:lineRule="auto"/>
        <w:ind w:right="-210"/>
        <w:rPr>
          <w:rFonts w:ascii="宋体" w:hAnsi="宋体"/>
          <w:color w:val="auto"/>
          <w:szCs w:val="21"/>
          <w:highlight w:val="none"/>
        </w:rPr>
      </w:pPr>
      <w:r>
        <w:rPr>
          <w:rFonts w:hint="eastAsia" w:ascii="宋体" w:hAnsi="宋体"/>
          <w:color w:val="auto"/>
          <w:szCs w:val="21"/>
          <w:highlight w:val="none"/>
        </w:rPr>
        <w:t>法定代表人或授权代理人签字：　　</w:t>
      </w:r>
    </w:p>
    <w:p>
      <w:pPr>
        <w:spacing w:line="300" w:lineRule="auto"/>
        <w:ind w:right="-210"/>
        <w:rPr>
          <w:rFonts w:ascii="宋体" w:hAnsi="宋体"/>
          <w:color w:val="auto"/>
          <w:szCs w:val="21"/>
          <w:highlight w:val="none"/>
        </w:rPr>
      </w:pPr>
      <w:r>
        <w:rPr>
          <w:rFonts w:hint="eastAsia" w:ascii="宋体" w:hAnsi="宋体"/>
          <w:color w:val="auto"/>
          <w:szCs w:val="21"/>
          <w:highlight w:val="none"/>
        </w:rPr>
        <w:t>　   　　</w:t>
      </w:r>
    </w:p>
    <w:p>
      <w:pPr>
        <w:rPr>
          <w:rFonts w:ascii="宋体" w:hAnsi="宋体"/>
          <w:color w:val="auto"/>
          <w:szCs w:val="21"/>
          <w:highlight w:val="none"/>
        </w:rPr>
      </w:pPr>
      <w:r>
        <w:rPr>
          <w:rFonts w:hint="eastAsia" w:ascii="宋体" w:hAnsi="宋体"/>
          <w:color w:val="auto"/>
          <w:szCs w:val="21"/>
          <w:highlight w:val="none"/>
        </w:rPr>
        <w:t xml:space="preserve">服务商盖章：                         日  期：  </w:t>
      </w:r>
    </w:p>
    <w:p>
      <w:pPr>
        <w:spacing w:line="352" w:lineRule="auto"/>
        <w:rPr>
          <w:rFonts w:ascii="宋体" w:hAnsi="宋体"/>
          <w:b/>
          <w:color w:val="auto"/>
          <w:highlight w:val="none"/>
        </w:rPr>
      </w:pPr>
    </w:p>
    <w:p>
      <w:pPr>
        <w:spacing w:line="273" w:lineRule="exact"/>
        <w:rPr>
          <w:rFonts w:ascii="宋体" w:hAnsi="宋体"/>
          <w:color w:val="auto"/>
          <w:highlight w:val="none"/>
        </w:rPr>
      </w:pPr>
    </w:p>
    <w:p>
      <w:pPr>
        <w:spacing w:line="0" w:lineRule="atLeast"/>
        <w:rPr>
          <w:rFonts w:ascii="宋体" w:hAnsi="宋体"/>
          <w:b/>
          <w:color w:val="auto"/>
          <w:highlight w:val="none"/>
        </w:rPr>
      </w:pPr>
    </w:p>
    <w:p>
      <w:pPr>
        <w:pStyle w:val="2"/>
        <w:rPr>
          <w:color w:val="auto"/>
          <w:highlight w:val="none"/>
        </w:rPr>
      </w:pPr>
    </w:p>
    <w:p>
      <w:pPr>
        <w:spacing w:line="0" w:lineRule="atLeast"/>
        <w:rPr>
          <w:rFonts w:ascii="宋体" w:hAnsi="宋体"/>
          <w:b/>
          <w:color w:val="auto"/>
          <w:highlight w:val="none"/>
        </w:rPr>
      </w:pPr>
    </w:p>
    <w:p>
      <w:pPr>
        <w:spacing w:line="0" w:lineRule="atLeast"/>
        <w:rPr>
          <w:rFonts w:ascii="宋体" w:hAnsi="宋体"/>
          <w:b/>
          <w:color w:val="auto"/>
          <w:highlight w:val="none"/>
        </w:rPr>
      </w:pPr>
    </w:p>
    <w:p>
      <w:pPr>
        <w:spacing w:line="0" w:lineRule="atLeast"/>
        <w:rPr>
          <w:rFonts w:ascii="宋体" w:hAnsi="宋体"/>
          <w:b/>
          <w:color w:val="auto"/>
          <w:highlight w:val="none"/>
        </w:rPr>
      </w:pPr>
    </w:p>
    <w:p>
      <w:pPr>
        <w:spacing w:line="0" w:lineRule="atLeast"/>
        <w:rPr>
          <w:rFonts w:ascii="宋体" w:hAnsi="宋体"/>
          <w:b/>
          <w:color w:val="auto"/>
          <w:highlight w:val="none"/>
        </w:rPr>
      </w:pPr>
      <w:r>
        <w:rPr>
          <w:rFonts w:hint="eastAsia" w:ascii="宋体" w:hAnsi="宋体"/>
          <w:b/>
          <w:color w:val="auto"/>
          <w:highlight w:val="none"/>
        </w:rPr>
        <w:t>（7）服务商近三年无重大违法记录声明函（必须提供）</w:t>
      </w:r>
    </w:p>
    <w:p>
      <w:pPr>
        <w:adjustRightInd w:val="0"/>
        <w:snapToGrid w:val="0"/>
        <w:jc w:val="center"/>
        <w:rPr>
          <w:b/>
          <w:bCs/>
          <w:color w:val="auto"/>
          <w:sz w:val="28"/>
          <w:szCs w:val="28"/>
          <w:highlight w:val="none"/>
        </w:rPr>
      </w:pPr>
      <w:r>
        <w:rPr>
          <w:rFonts w:hint="eastAsia"/>
          <w:b/>
          <w:bCs/>
          <w:color w:val="auto"/>
          <w:sz w:val="28"/>
          <w:szCs w:val="28"/>
          <w:highlight w:val="none"/>
        </w:rPr>
        <w:t>无重大违法记录声明函（格式）</w:t>
      </w:r>
    </w:p>
    <w:p>
      <w:pPr>
        <w:adjustRightInd w:val="0"/>
        <w:snapToGrid w:val="0"/>
        <w:jc w:val="center"/>
        <w:rPr>
          <w:bCs/>
          <w:color w:val="auto"/>
          <w:sz w:val="40"/>
          <w:szCs w:val="40"/>
          <w:highlight w:val="none"/>
        </w:rPr>
      </w:pPr>
    </w:p>
    <w:p>
      <w:pPr>
        <w:adjustRightInd w:val="0"/>
        <w:snapToGrid w:val="0"/>
        <w:jc w:val="center"/>
        <w:rPr>
          <w:bCs/>
          <w:color w:val="auto"/>
          <w:highlight w:val="none"/>
        </w:rPr>
      </w:pPr>
      <w:r>
        <w:rPr>
          <w:bCs/>
          <w:color w:val="auto"/>
          <w:highlight w:val="none"/>
        </w:rPr>
        <w:t> </w:t>
      </w:r>
    </w:p>
    <w:p>
      <w:pPr>
        <w:adjustRightInd w:val="0"/>
        <w:snapToGrid w:val="0"/>
        <w:rPr>
          <w:color w:val="auto"/>
          <w:szCs w:val="21"/>
          <w:highlight w:val="none"/>
        </w:rPr>
      </w:pPr>
      <w:r>
        <w:rPr>
          <w:rFonts w:hint="eastAsia"/>
          <w:color w:val="auto"/>
          <w:szCs w:val="21"/>
          <w:highlight w:val="none"/>
        </w:rPr>
        <w:t>郑重声明：</w:t>
      </w:r>
    </w:p>
    <w:p>
      <w:pPr>
        <w:adjustRightInd w:val="0"/>
        <w:snapToGrid w:val="0"/>
        <w:jc w:val="center"/>
        <w:rPr>
          <w:color w:val="auto"/>
          <w:szCs w:val="21"/>
          <w:highlight w:val="none"/>
        </w:rPr>
      </w:pPr>
      <w:r>
        <w:rPr>
          <w:color w:val="auto"/>
          <w:szCs w:val="21"/>
          <w:highlight w:val="none"/>
        </w:rPr>
        <w:t> </w:t>
      </w:r>
    </w:p>
    <w:p>
      <w:pPr>
        <w:adjustRightInd w:val="0"/>
        <w:snapToGrid w:val="0"/>
        <w:ind w:firstLine="420" w:firstLineChars="200"/>
        <w:rPr>
          <w:color w:val="auto"/>
          <w:szCs w:val="21"/>
          <w:highlight w:val="none"/>
        </w:rPr>
      </w:pPr>
    </w:p>
    <w:p>
      <w:pPr>
        <w:adjustRightInd w:val="0"/>
        <w:snapToGrid w:val="0"/>
        <w:ind w:firstLine="420" w:firstLineChars="200"/>
        <w:rPr>
          <w:color w:val="auto"/>
          <w:szCs w:val="21"/>
          <w:highlight w:val="none"/>
        </w:rPr>
      </w:pPr>
      <w:r>
        <w:rPr>
          <w:rFonts w:hint="eastAsia"/>
          <w:color w:val="auto"/>
          <w:szCs w:val="21"/>
          <w:highlight w:val="none"/>
        </w:rPr>
        <w:t>（单位名称）在参加（项目名称+项目编号）采购活动前3年内的经营活动中没有重大违法记录。</w:t>
      </w:r>
    </w:p>
    <w:p>
      <w:pPr>
        <w:adjustRightInd w:val="0"/>
        <w:snapToGrid w:val="0"/>
        <w:ind w:firstLine="420" w:firstLineChars="200"/>
        <w:rPr>
          <w:color w:val="auto"/>
          <w:szCs w:val="21"/>
          <w:highlight w:val="none"/>
        </w:rPr>
      </w:pPr>
    </w:p>
    <w:p>
      <w:pPr>
        <w:adjustRightInd w:val="0"/>
        <w:snapToGrid w:val="0"/>
        <w:ind w:firstLine="420" w:firstLineChars="200"/>
        <w:rPr>
          <w:color w:val="auto"/>
          <w:szCs w:val="21"/>
          <w:highlight w:val="none"/>
        </w:rPr>
      </w:pPr>
      <w:r>
        <w:rPr>
          <w:rFonts w:hint="eastAsia"/>
          <w:color w:val="auto"/>
          <w:szCs w:val="21"/>
          <w:highlight w:val="none"/>
        </w:rPr>
        <w:t>本公司对上述声明的真实性负责。如有虚假，将依法承担相应责任。</w:t>
      </w:r>
    </w:p>
    <w:p>
      <w:pPr>
        <w:adjustRightInd w:val="0"/>
        <w:snapToGrid w:val="0"/>
        <w:ind w:firstLine="420" w:firstLineChars="200"/>
        <w:jc w:val="center"/>
        <w:rPr>
          <w:color w:val="auto"/>
          <w:szCs w:val="21"/>
          <w:highlight w:val="none"/>
        </w:rPr>
      </w:pPr>
      <w:r>
        <w:rPr>
          <w:color w:val="auto"/>
          <w:szCs w:val="21"/>
          <w:highlight w:val="none"/>
        </w:rPr>
        <w:t> </w:t>
      </w:r>
    </w:p>
    <w:p>
      <w:pPr>
        <w:adjustRightInd w:val="0"/>
        <w:snapToGrid w:val="0"/>
        <w:ind w:firstLine="420" w:firstLineChars="200"/>
        <w:jc w:val="center"/>
        <w:rPr>
          <w:color w:val="auto"/>
          <w:szCs w:val="21"/>
          <w:highlight w:val="none"/>
        </w:rPr>
      </w:pPr>
      <w:r>
        <w:rPr>
          <w:color w:val="auto"/>
          <w:szCs w:val="21"/>
          <w:highlight w:val="none"/>
        </w:rPr>
        <w:t> </w:t>
      </w:r>
    </w:p>
    <w:p>
      <w:pPr>
        <w:adjustRightInd w:val="0"/>
        <w:snapToGrid w:val="0"/>
        <w:ind w:firstLine="420" w:firstLineChars="200"/>
        <w:rPr>
          <w:color w:val="auto"/>
          <w:szCs w:val="21"/>
          <w:highlight w:val="none"/>
        </w:rPr>
      </w:pPr>
    </w:p>
    <w:p>
      <w:pPr>
        <w:adjustRightInd w:val="0"/>
        <w:snapToGrid w:val="0"/>
        <w:ind w:firstLine="420" w:firstLineChars="200"/>
        <w:rPr>
          <w:color w:val="auto"/>
          <w:szCs w:val="21"/>
          <w:highlight w:val="none"/>
        </w:rPr>
      </w:pPr>
      <w:r>
        <w:rPr>
          <w:rFonts w:hint="eastAsia"/>
          <w:color w:val="auto"/>
          <w:szCs w:val="21"/>
          <w:highlight w:val="none"/>
        </w:rPr>
        <w:t>特此声明！</w:t>
      </w:r>
    </w:p>
    <w:p>
      <w:pPr>
        <w:adjustRightInd w:val="0"/>
        <w:snapToGrid w:val="0"/>
        <w:ind w:firstLine="420" w:firstLineChars="200"/>
        <w:jc w:val="center"/>
        <w:rPr>
          <w:color w:val="auto"/>
          <w:szCs w:val="21"/>
          <w:highlight w:val="none"/>
        </w:rPr>
      </w:pPr>
      <w:r>
        <w:rPr>
          <w:color w:val="auto"/>
          <w:szCs w:val="21"/>
          <w:highlight w:val="none"/>
        </w:rPr>
        <w:t> </w:t>
      </w:r>
    </w:p>
    <w:p>
      <w:pPr>
        <w:adjustRightInd w:val="0"/>
        <w:snapToGrid w:val="0"/>
        <w:ind w:firstLine="420" w:firstLineChars="200"/>
        <w:jc w:val="center"/>
        <w:rPr>
          <w:color w:val="auto"/>
          <w:szCs w:val="21"/>
          <w:highlight w:val="none"/>
        </w:rPr>
      </w:pPr>
      <w:r>
        <w:rPr>
          <w:color w:val="auto"/>
          <w:szCs w:val="21"/>
          <w:highlight w:val="none"/>
        </w:rPr>
        <w:t> </w:t>
      </w:r>
    </w:p>
    <w:p>
      <w:pPr>
        <w:adjustRightInd w:val="0"/>
        <w:snapToGrid w:val="0"/>
        <w:ind w:firstLine="420" w:firstLineChars="200"/>
        <w:jc w:val="center"/>
        <w:rPr>
          <w:color w:val="auto"/>
          <w:szCs w:val="21"/>
          <w:highlight w:val="none"/>
        </w:rPr>
      </w:pPr>
      <w:r>
        <w:rPr>
          <w:color w:val="auto"/>
          <w:szCs w:val="21"/>
          <w:highlight w:val="none"/>
        </w:rPr>
        <w:t> </w:t>
      </w:r>
    </w:p>
    <w:p>
      <w:pPr>
        <w:adjustRightInd w:val="0"/>
        <w:snapToGrid w:val="0"/>
        <w:ind w:firstLine="420" w:firstLineChars="200"/>
        <w:jc w:val="center"/>
        <w:rPr>
          <w:color w:val="auto"/>
          <w:szCs w:val="21"/>
          <w:highlight w:val="none"/>
        </w:rPr>
      </w:pPr>
      <w:r>
        <w:rPr>
          <w:color w:val="auto"/>
          <w:szCs w:val="21"/>
          <w:highlight w:val="none"/>
        </w:rPr>
        <w:t> </w:t>
      </w:r>
    </w:p>
    <w:p>
      <w:pPr>
        <w:adjustRightInd w:val="0"/>
        <w:snapToGrid w:val="0"/>
        <w:ind w:firstLine="420" w:firstLineChars="200"/>
        <w:jc w:val="center"/>
        <w:rPr>
          <w:color w:val="auto"/>
          <w:szCs w:val="21"/>
          <w:highlight w:val="none"/>
        </w:rPr>
      </w:pPr>
      <w:r>
        <w:rPr>
          <w:rFonts w:hint="eastAsia"/>
          <w:color w:val="auto"/>
          <w:szCs w:val="21"/>
          <w:highlight w:val="none"/>
        </w:rPr>
        <w:t>                            </w:t>
      </w:r>
    </w:p>
    <w:p>
      <w:pPr>
        <w:pStyle w:val="10"/>
        <w:spacing w:line="600" w:lineRule="exact"/>
        <w:ind w:firstLine="420" w:firstLineChars="200"/>
        <w:rPr>
          <w:color w:val="auto"/>
          <w:highlight w:val="none"/>
        </w:rPr>
      </w:pPr>
    </w:p>
    <w:p>
      <w:pPr>
        <w:pStyle w:val="10"/>
        <w:spacing w:line="600" w:lineRule="exact"/>
        <w:ind w:firstLine="420" w:firstLineChars="200"/>
        <w:rPr>
          <w:color w:val="auto"/>
          <w:highlight w:val="none"/>
          <w:u w:val="single"/>
        </w:rPr>
      </w:pPr>
      <w:r>
        <w:rPr>
          <w:rFonts w:hint="eastAsia"/>
          <w:color w:val="auto"/>
          <w:highlight w:val="none"/>
        </w:rPr>
        <w:t>服务商名称（加盖单位公章）：</w:t>
      </w:r>
    </w:p>
    <w:p>
      <w:pPr>
        <w:pStyle w:val="10"/>
        <w:spacing w:line="600" w:lineRule="exact"/>
        <w:ind w:firstLine="420" w:firstLineChars="200"/>
        <w:rPr>
          <w:rFonts w:hAnsi="宋体"/>
          <w:b/>
          <w:color w:val="auto"/>
          <w:highlight w:val="none"/>
        </w:rPr>
      </w:pPr>
      <w:r>
        <w:rPr>
          <w:rFonts w:hint="eastAsia"/>
          <w:color w:val="auto"/>
          <w:szCs w:val="21"/>
          <w:highlight w:val="none"/>
        </w:rPr>
        <w:t>日期：</w:t>
      </w:r>
    </w:p>
    <w:p>
      <w:pPr>
        <w:spacing w:line="0" w:lineRule="atLeast"/>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spacing w:line="0" w:lineRule="atLeast"/>
        <w:rPr>
          <w:rFonts w:ascii="宋体" w:hAnsi="宋体"/>
          <w:b/>
          <w:color w:val="auto"/>
          <w:highlight w:val="none"/>
        </w:rPr>
      </w:pPr>
      <w:r>
        <w:rPr>
          <w:rFonts w:hint="eastAsia" w:ascii="宋体" w:hAnsi="宋体"/>
          <w:b/>
          <w:color w:val="auto"/>
          <w:highlight w:val="none"/>
        </w:rPr>
        <w:t>（8）服务商近半年任意3个月的依法缴纳税收或者依法减免缴纳税费的证明复印件（以纳税证明或免税证明为准；若为新成立的，请根据实际情况提供。）（必须提供）</w:t>
      </w:r>
    </w:p>
    <w:p>
      <w:pPr>
        <w:pStyle w:val="28"/>
        <w:ind w:firstLine="0"/>
        <w:rPr>
          <w:color w:val="auto"/>
          <w:highlight w:val="none"/>
        </w:rPr>
      </w:pPr>
    </w:p>
    <w:p>
      <w:pPr>
        <w:pStyle w:val="28"/>
        <w:ind w:firstLine="0"/>
        <w:rPr>
          <w:color w:val="auto"/>
          <w:highlight w:val="none"/>
        </w:rPr>
      </w:pPr>
    </w:p>
    <w:p>
      <w:pPr>
        <w:pStyle w:val="28"/>
        <w:ind w:firstLine="0"/>
        <w:rPr>
          <w:color w:val="auto"/>
          <w:highlight w:val="none"/>
        </w:rPr>
      </w:pPr>
    </w:p>
    <w:p>
      <w:pPr>
        <w:pStyle w:val="28"/>
        <w:ind w:firstLine="0"/>
        <w:rPr>
          <w:color w:val="auto"/>
          <w:highlight w:val="none"/>
        </w:rPr>
      </w:pPr>
    </w:p>
    <w:p>
      <w:pPr>
        <w:spacing w:line="0" w:lineRule="atLeast"/>
        <w:rPr>
          <w:rFonts w:ascii="宋体" w:hAnsi="宋体"/>
          <w:b/>
          <w:color w:val="auto"/>
          <w:highlight w:val="none"/>
        </w:rPr>
      </w:pPr>
      <w:r>
        <w:rPr>
          <w:rFonts w:hint="eastAsia" w:ascii="宋体" w:hAnsi="宋体"/>
          <w:b/>
          <w:color w:val="auto"/>
          <w:highlight w:val="none"/>
        </w:rPr>
        <w:t>（9）服务商近半年任意3个月的依法缴纳社会保障资金或者依法免缴社会保障资金证明复印件（以参保证明复印件或免参保证明复印件为准；若为新成立的，请根据实际情况提供。）（必须提供）</w:t>
      </w:r>
    </w:p>
    <w:p>
      <w:pPr>
        <w:spacing w:line="0" w:lineRule="atLeast"/>
        <w:rPr>
          <w:rFonts w:ascii="宋体" w:hAnsi="宋体"/>
          <w:b/>
          <w:color w:val="auto"/>
          <w:highlight w:val="none"/>
        </w:rPr>
      </w:pPr>
    </w:p>
    <w:p>
      <w:pPr>
        <w:spacing w:line="0" w:lineRule="atLeast"/>
        <w:rPr>
          <w:rFonts w:ascii="宋体" w:hAnsi="宋体"/>
          <w:b/>
          <w:color w:val="auto"/>
          <w:highlight w:val="none"/>
        </w:rPr>
      </w:pPr>
    </w:p>
    <w:p>
      <w:pPr>
        <w:spacing w:line="0" w:lineRule="atLeast"/>
        <w:rPr>
          <w:rFonts w:ascii="宋体" w:hAnsi="宋体"/>
          <w:b/>
          <w:color w:val="auto"/>
          <w:highlight w:val="none"/>
        </w:rPr>
      </w:pPr>
    </w:p>
    <w:p>
      <w:pPr>
        <w:spacing w:line="0" w:lineRule="atLeast"/>
        <w:rPr>
          <w:rFonts w:ascii="宋体" w:hAnsi="宋体"/>
          <w:b/>
          <w:color w:val="auto"/>
          <w:highlight w:val="none"/>
        </w:rPr>
      </w:pPr>
    </w:p>
    <w:p>
      <w:pPr>
        <w:spacing w:line="0" w:lineRule="atLeast"/>
        <w:rPr>
          <w:rFonts w:ascii="宋体" w:hAnsi="宋体"/>
          <w:b/>
          <w:color w:val="auto"/>
          <w:highlight w:val="none"/>
        </w:rPr>
      </w:pPr>
    </w:p>
    <w:p>
      <w:pPr>
        <w:spacing w:line="0" w:lineRule="atLeast"/>
        <w:rPr>
          <w:rFonts w:ascii="宋体" w:hAnsi="宋体"/>
          <w:b/>
          <w:color w:val="auto"/>
          <w:highlight w:val="none"/>
        </w:rPr>
      </w:pPr>
      <w:r>
        <w:rPr>
          <w:rFonts w:hint="eastAsia" w:ascii="宋体" w:hAnsi="宋体"/>
          <w:b/>
          <w:color w:val="auto"/>
          <w:highlight w:val="none"/>
        </w:rPr>
        <w:t>（10）企业信用书面声明（附信用中国网、中国政府采购网查询结果）（必须提供）。</w:t>
      </w:r>
    </w:p>
    <w:p>
      <w:pPr>
        <w:spacing w:line="0" w:lineRule="atLeast"/>
        <w:rPr>
          <w:rFonts w:ascii="宋体" w:hAnsi="宋体"/>
          <w:b/>
          <w:color w:val="auto"/>
          <w:highlight w:val="none"/>
        </w:rPr>
      </w:pPr>
    </w:p>
    <w:p>
      <w:pPr>
        <w:pStyle w:val="10"/>
        <w:jc w:val="center"/>
        <w:rPr>
          <w:b/>
          <w:bCs/>
          <w:color w:val="auto"/>
          <w:sz w:val="30"/>
          <w:szCs w:val="30"/>
          <w:highlight w:val="none"/>
        </w:rPr>
      </w:pPr>
      <w:r>
        <w:rPr>
          <w:rFonts w:hint="eastAsia"/>
          <w:b/>
          <w:bCs/>
          <w:color w:val="auto"/>
          <w:sz w:val="30"/>
          <w:szCs w:val="30"/>
          <w:highlight w:val="none"/>
        </w:rPr>
        <w:t>企业信用书面声明（格式）</w:t>
      </w:r>
    </w:p>
    <w:p>
      <w:pPr>
        <w:pStyle w:val="10"/>
        <w:spacing w:line="520" w:lineRule="exact"/>
        <w:rPr>
          <w:color w:val="auto"/>
          <w:highlight w:val="none"/>
        </w:rPr>
      </w:pPr>
      <w:r>
        <w:rPr>
          <w:rFonts w:hint="eastAsia" w:hAnsi="宋体"/>
          <w:color w:val="auto"/>
          <w:highlight w:val="none"/>
        </w:rPr>
        <w:t>致</w:t>
      </w:r>
      <w:r>
        <w:rPr>
          <w:rFonts w:hint="eastAsia"/>
          <w:color w:val="auto"/>
          <w:highlight w:val="none"/>
        </w:rPr>
        <w:t>：</w:t>
      </w:r>
      <w:r>
        <w:rPr>
          <w:rFonts w:ascii="Arial" w:hAnsi="Arial" w:cs="Arial"/>
          <w:color w:val="auto"/>
          <w:highlight w:val="none"/>
          <w:u w:val="single"/>
        </w:rPr>
        <w:t>（采购代理机构名称）</w:t>
      </w:r>
    </w:p>
    <w:p>
      <w:pPr>
        <w:pStyle w:val="10"/>
        <w:spacing w:line="520" w:lineRule="exact"/>
        <w:ind w:firstLine="420" w:firstLineChars="200"/>
        <w:rPr>
          <w:rFonts w:hAnsi="宋体"/>
          <w:color w:val="auto"/>
          <w:highlight w:val="none"/>
        </w:rPr>
      </w:pPr>
      <w:r>
        <w:rPr>
          <w:rFonts w:hint="eastAsia" w:hAnsi="宋体"/>
          <w:color w:val="auto"/>
          <w:highlight w:val="none"/>
        </w:rPr>
        <w:t>我单位承诺，如未如实提供中国政府采购网（http://www.ccgp.gov.cn）“政府采购严重违法失信行为记录名单”栏目查询结果和信用中国网“失信被执行人”、“重大税收违法案件当事人名单”、 “政府采购严重违法失信名单”查询结果，接受本次磋商作为否决磋商处理，并根据财库〔2016〕125号《财政部关于在政府采购活动中查询及使用信用记录有关问题的通知》规定接受失信联合惩戒。</w:t>
      </w:r>
    </w:p>
    <w:p>
      <w:pPr>
        <w:pStyle w:val="10"/>
        <w:spacing w:line="520" w:lineRule="exact"/>
        <w:ind w:firstLine="420" w:firstLineChars="200"/>
        <w:rPr>
          <w:rFonts w:hAnsi="宋体"/>
          <w:color w:val="auto"/>
          <w:highlight w:val="none"/>
        </w:rPr>
      </w:pPr>
    </w:p>
    <w:p>
      <w:pPr>
        <w:pStyle w:val="10"/>
        <w:spacing w:line="520" w:lineRule="exact"/>
        <w:ind w:firstLine="420" w:firstLineChars="200"/>
        <w:rPr>
          <w:rFonts w:hAnsi="宋体"/>
          <w:color w:val="auto"/>
          <w:highlight w:val="none"/>
        </w:rPr>
      </w:pPr>
    </w:p>
    <w:p>
      <w:pPr>
        <w:pStyle w:val="10"/>
        <w:spacing w:line="520" w:lineRule="exact"/>
        <w:rPr>
          <w:color w:val="auto"/>
          <w:highlight w:val="none"/>
          <w:u w:val="single"/>
        </w:rPr>
      </w:pPr>
      <w:r>
        <w:rPr>
          <w:rFonts w:hint="eastAsia"/>
          <w:color w:val="auto"/>
          <w:highlight w:val="none"/>
        </w:rPr>
        <w:t>服务商（加盖公章）：</w:t>
      </w:r>
    </w:p>
    <w:p>
      <w:pPr>
        <w:pStyle w:val="10"/>
        <w:spacing w:line="520" w:lineRule="exact"/>
        <w:rPr>
          <w:color w:val="auto"/>
          <w:highlight w:val="none"/>
        </w:rPr>
      </w:pPr>
      <w:r>
        <w:rPr>
          <w:rFonts w:hint="eastAsia"/>
          <w:color w:val="auto"/>
          <w:highlight w:val="none"/>
        </w:rPr>
        <w:t>法定代表人或委托代理人签名：</w:t>
      </w:r>
    </w:p>
    <w:p>
      <w:pPr>
        <w:pStyle w:val="10"/>
        <w:spacing w:line="520" w:lineRule="exact"/>
        <w:rPr>
          <w:color w:val="auto"/>
          <w:highlight w:val="none"/>
          <w:u w:val="single"/>
        </w:rPr>
      </w:pPr>
      <w:r>
        <w:rPr>
          <w:rFonts w:hint="eastAsia"/>
          <w:color w:val="auto"/>
          <w:highlight w:val="none"/>
        </w:rPr>
        <w:t>日期：</w:t>
      </w:r>
    </w:p>
    <w:p>
      <w:pPr>
        <w:spacing w:line="320" w:lineRule="exact"/>
        <w:ind w:left="941" w:hanging="940" w:hangingChars="448"/>
        <w:rPr>
          <w:bCs/>
          <w:color w:val="auto"/>
          <w:szCs w:val="21"/>
          <w:highlight w:val="none"/>
        </w:rPr>
      </w:pPr>
    </w:p>
    <w:p>
      <w:pPr>
        <w:spacing w:line="320" w:lineRule="exact"/>
        <w:ind w:left="941" w:hanging="940" w:hangingChars="448"/>
        <w:rPr>
          <w:bCs/>
          <w:color w:val="auto"/>
          <w:szCs w:val="21"/>
          <w:highlight w:val="none"/>
        </w:rPr>
      </w:pPr>
    </w:p>
    <w:p>
      <w:pPr>
        <w:spacing w:line="320" w:lineRule="exact"/>
        <w:ind w:left="941" w:hanging="940" w:hangingChars="448"/>
        <w:rPr>
          <w:bCs/>
          <w:color w:val="auto"/>
          <w:szCs w:val="21"/>
          <w:highlight w:val="none"/>
        </w:rPr>
      </w:pPr>
    </w:p>
    <w:p>
      <w:pPr>
        <w:spacing w:line="320" w:lineRule="exact"/>
        <w:ind w:left="941" w:hanging="940" w:hangingChars="448"/>
        <w:rPr>
          <w:bCs/>
          <w:color w:val="auto"/>
          <w:szCs w:val="21"/>
          <w:highlight w:val="none"/>
        </w:rPr>
      </w:pPr>
    </w:p>
    <w:p>
      <w:pPr>
        <w:spacing w:line="320" w:lineRule="exact"/>
        <w:ind w:left="941" w:hanging="940" w:hangingChars="448"/>
        <w:rPr>
          <w:bCs/>
          <w:color w:val="auto"/>
          <w:szCs w:val="21"/>
          <w:highlight w:val="none"/>
        </w:rPr>
      </w:pPr>
    </w:p>
    <w:p>
      <w:pPr>
        <w:spacing w:line="320" w:lineRule="exact"/>
        <w:ind w:left="941" w:hanging="940" w:hangingChars="448"/>
        <w:rPr>
          <w:bCs/>
          <w:color w:val="auto"/>
          <w:szCs w:val="21"/>
          <w:highlight w:val="none"/>
        </w:rPr>
      </w:pPr>
    </w:p>
    <w:p>
      <w:pPr>
        <w:spacing w:line="320" w:lineRule="exact"/>
        <w:ind w:left="941" w:hanging="940" w:hangingChars="448"/>
        <w:rPr>
          <w:bCs/>
          <w:color w:val="auto"/>
          <w:szCs w:val="21"/>
          <w:highlight w:val="none"/>
        </w:rPr>
      </w:pPr>
    </w:p>
    <w:p>
      <w:pPr>
        <w:spacing w:line="320" w:lineRule="exact"/>
        <w:ind w:left="944" w:hanging="944" w:hangingChars="448"/>
        <w:rPr>
          <w:b/>
          <w:bCs/>
          <w:color w:val="auto"/>
          <w:szCs w:val="21"/>
          <w:highlight w:val="none"/>
        </w:rPr>
      </w:pPr>
      <w:r>
        <w:rPr>
          <w:rFonts w:hint="eastAsia"/>
          <w:b/>
          <w:bCs/>
          <w:color w:val="auto"/>
          <w:szCs w:val="21"/>
          <w:highlight w:val="none"/>
        </w:rPr>
        <w:t>说明：</w:t>
      </w:r>
    </w:p>
    <w:p>
      <w:pPr>
        <w:spacing w:line="320" w:lineRule="exact"/>
        <w:ind w:left="315" w:hanging="315" w:hangingChars="150"/>
        <w:rPr>
          <w:rFonts w:ascii="宋体" w:hAnsi="宋体" w:cs="宋体"/>
          <w:color w:val="auto"/>
          <w:szCs w:val="21"/>
          <w:highlight w:val="none"/>
        </w:rPr>
      </w:pPr>
      <w:r>
        <w:rPr>
          <w:rFonts w:hint="eastAsia" w:ascii="宋体" w:hAnsi="宋体" w:cs="宋体"/>
          <w:color w:val="auto"/>
          <w:szCs w:val="21"/>
          <w:highlight w:val="none"/>
        </w:rPr>
        <w:t>1、附中国政府采购网（http://www.ccgp.gov.cn）“政府采购严重违法失信行为记录名单”栏目查询结果和信用中国网“失信被执行人”、“重大税收违法案件当事人名单”、 “政府采购严重违法失信名单”查询结果，网页截图须显示服务商名称以及查询结果、打印时间或查询时间，否则将视为无效响应；</w:t>
      </w:r>
    </w:p>
    <w:p>
      <w:pPr>
        <w:spacing w:line="320" w:lineRule="exact"/>
        <w:ind w:left="315" w:hanging="315" w:hangingChars="150"/>
        <w:rPr>
          <w:rFonts w:ascii="宋体" w:hAnsi="宋体" w:cs="宋体"/>
          <w:color w:val="auto"/>
          <w:szCs w:val="21"/>
          <w:highlight w:val="none"/>
        </w:rPr>
      </w:pPr>
      <w:r>
        <w:rPr>
          <w:rFonts w:hint="eastAsia" w:ascii="宋体" w:hAnsi="宋体" w:cs="宋体"/>
          <w:color w:val="auto"/>
          <w:szCs w:val="21"/>
          <w:highlight w:val="none"/>
        </w:rPr>
        <w:t>2、网页截图打印件显示的打印时间或查询时间须为竞争性磋商公告发布后任1日，并加盖公章。</w:t>
      </w:r>
    </w:p>
    <w:p>
      <w:pPr>
        <w:spacing w:line="0" w:lineRule="atLeast"/>
        <w:rPr>
          <w:rFonts w:ascii="宋体" w:hAnsi="宋体"/>
          <w:b/>
          <w:color w:val="auto"/>
          <w:highlight w:val="none"/>
        </w:rPr>
      </w:pPr>
      <w:r>
        <w:rPr>
          <w:rFonts w:hint="eastAsia" w:ascii="宋体" w:hAnsi="宋体" w:cs="宋体"/>
          <w:color w:val="auto"/>
          <w:szCs w:val="21"/>
          <w:highlight w:val="none"/>
        </w:rPr>
        <w:t>3、如服务商2015年起被列入政府采购严重违法失信行为记录名单的，则资格审查不予通过，磋商将被否决。</w:t>
      </w:r>
    </w:p>
    <w:p>
      <w:pPr>
        <w:spacing w:line="0" w:lineRule="atLeast"/>
        <w:rPr>
          <w:rFonts w:ascii="宋体" w:hAnsi="宋体"/>
          <w:b/>
          <w:color w:val="auto"/>
          <w:highlight w:val="none"/>
        </w:rPr>
      </w:pPr>
    </w:p>
    <w:p>
      <w:pPr>
        <w:spacing w:line="0" w:lineRule="atLeast"/>
        <w:rPr>
          <w:rFonts w:ascii="宋体" w:hAnsi="宋体"/>
          <w:b/>
          <w:color w:val="auto"/>
          <w:highlight w:val="none"/>
        </w:rPr>
      </w:pPr>
    </w:p>
    <w:p>
      <w:pPr>
        <w:spacing w:line="0" w:lineRule="atLeast"/>
        <w:rPr>
          <w:rFonts w:ascii="宋体" w:hAnsi="宋体"/>
          <w:b/>
          <w:color w:val="auto"/>
          <w:highlight w:val="none"/>
        </w:rPr>
      </w:pPr>
    </w:p>
    <w:p>
      <w:pPr>
        <w:spacing w:line="239" w:lineRule="auto"/>
        <w:rPr>
          <w:rFonts w:ascii="宋体" w:hAnsi="宋体"/>
          <w:b/>
          <w:color w:val="auto"/>
          <w:highlight w:val="none"/>
        </w:rPr>
      </w:pPr>
      <w:bookmarkStart w:id="333" w:name="page60"/>
      <w:bookmarkEnd w:id="333"/>
      <w:r>
        <w:rPr>
          <w:rFonts w:ascii="宋体" w:hAnsi="宋体"/>
          <w:b/>
          <w:color w:val="auto"/>
          <w:highlight w:val="none"/>
        </w:rPr>
        <w:t>二）、技术文件部分（格式）</w:t>
      </w:r>
    </w:p>
    <w:p>
      <w:pPr>
        <w:spacing w:line="200" w:lineRule="exact"/>
        <w:rPr>
          <w:rFonts w:ascii="宋体" w:hAnsi="宋体"/>
          <w:color w:val="auto"/>
          <w:highlight w:val="none"/>
        </w:rPr>
      </w:pPr>
    </w:p>
    <w:p>
      <w:pPr>
        <w:spacing w:line="0" w:lineRule="atLeast"/>
        <w:ind w:left="420"/>
        <w:rPr>
          <w:rFonts w:ascii="宋体" w:hAnsi="宋体"/>
          <w:color w:val="auto"/>
          <w:highlight w:val="none"/>
        </w:rPr>
      </w:pPr>
      <w:r>
        <w:rPr>
          <w:rFonts w:hint="eastAsia" w:ascii="宋体" w:hAnsi="宋体"/>
          <w:color w:val="auto"/>
          <w:highlight w:val="none"/>
        </w:rPr>
        <w:t>（1）</w:t>
      </w:r>
      <w:r>
        <w:rPr>
          <w:rFonts w:hint="eastAsia" w:ascii="宋体" w:hAnsi="宋体"/>
          <w:color w:val="auto"/>
          <w:szCs w:val="21"/>
          <w:highlight w:val="none"/>
        </w:rPr>
        <w:t>相关服务方案及服务承诺</w:t>
      </w:r>
      <w:r>
        <w:rPr>
          <w:rFonts w:hint="eastAsia" w:ascii="宋体" w:hAnsi="宋体"/>
          <w:color w:val="auto"/>
          <w:highlight w:val="none"/>
        </w:rPr>
        <w:t>（必须提供）；</w:t>
      </w:r>
    </w:p>
    <w:p>
      <w:pPr>
        <w:spacing w:line="0" w:lineRule="atLeast"/>
        <w:ind w:left="420"/>
        <w:rPr>
          <w:rFonts w:ascii="宋体" w:hAnsi="宋体"/>
          <w:color w:val="auto"/>
          <w:highlight w:val="none"/>
        </w:rPr>
      </w:pPr>
      <w:r>
        <w:rPr>
          <w:rFonts w:hint="eastAsia" w:ascii="宋体" w:hAnsi="宋体"/>
          <w:color w:val="auto"/>
          <w:highlight w:val="none"/>
        </w:rPr>
        <w:t>（2）技术响应表（必须提供）</w:t>
      </w:r>
    </w:p>
    <w:p>
      <w:pPr>
        <w:spacing w:line="0" w:lineRule="atLeast"/>
        <w:ind w:left="420"/>
        <w:rPr>
          <w:rFonts w:ascii="宋体" w:hAnsi="宋体"/>
          <w:color w:val="auto"/>
          <w:highlight w:val="none"/>
        </w:rPr>
      </w:pPr>
      <w:r>
        <w:rPr>
          <w:rFonts w:hint="eastAsia" w:ascii="宋体" w:hAnsi="宋体"/>
          <w:color w:val="auto"/>
          <w:highlight w:val="none"/>
        </w:rPr>
        <w:t>（3）竞争性磋商文件要求的其他文件</w:t>
      </w:r>
      <w:r>
        <w:rPr>
          <w:rFonts w:ascii="宋体" w:hAnsi="宋体"/>
          <w:color w:val="auto"/>
          <w:highlight w:val="none"/>
        </w:rPr>
        <w:t>。</w:t>
      </w: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39" w:lineRule="auto"/>
        <w:rPr>
          <w:rFonts w:ascii="宋体" w:hAnsi="宋体"/>
          <w:b/>
          <w:color w:val="auto"/>
          <w:highlight w:val="none"/>
        </w:rPr>
      </w:pPr>
      <w:r>
        <w:rPr>
          <w:rFonts w:hint="eastAsia" w:ascii="宋体" w:hAnsi="宋体"/>
          <w:b/>
          <w:color w:val="auto"/>
          <w:highlight w:val="none"/>
        </w:rPr>
        <w:t>（1）相关服务方案及服务承诺。（必须提供）（格式自拟，必须提供）；</w:t>
      </w:r>
    </w:p>
    <w:p>
      <w:pPr>
        <w:spacing w:line="200" w:lineRule="exact"/>
        <w:rPr>
          <w:rFonts w:ascii="宋体" w:hAnsi="宋体"/>
          <w:color w:val="auto"/>
          <w:highlight w:val="none"/>
        </w:rPr>
      </w:pPr>
    </w:p>
    <w:p>
      <w:pPr>
        <w:spacing w:line="352" w:lineRule="exact"/>
        <w:rPr>
          <w:rFonts w:ascii="宋体" w:hAnsi="宋体"/>
          <w:color w:val="auto"/>
          <w:highlight w:val="none"/>
        </w:rPr>
      </w:pPr>
    </w:p>
    <w:p>
      <w:pPr>
        <w:spacing w:line="239" w:lineRule="auto"/>
        <w:rPr>
          <w:rFonts w:ascii="宋体" w:hAnsi="宋体"/>
          <w:b/>
          <w:color w:val="auto"/>
          <w:highlight w:val="none"/>
        </w:rPr>
      </w:pPr>
      <w:r>
        <w:rPr>
          <w:rFonts w:hint="eastAsia" w:ascii="宋体" w:hAnsi="宋体"/>
          <w:b/>
          <w:color w:val="auto"/>
          <w:highlight w:val="none"/>
        </w:rPr>
        <w:t>（2）</w:t>
      </w:r>
      <w:r>
        <w:rPr>
          <w:rFonts w:ascii="宋体" w:hAnsi="宋体"/>
          <w:b/>
          <w:color w:val="auto"/>
          <w:highlight w:val="none"/>
        </w:rPr>
        <w:t>技术响应表格式：</w:t>
      </w:r>
      <w:r>
        <w:rPr>
          <w:rFonts w:hint="eastAsia" w:ascii="宋体" w:hAnsi="宋体"/>
          <w:b/>
          <w:color w:val="auto"/>
          <w:highlight w:val="none"/>
        </w:rPr>
        <w:t>（必须提供）</w:t>
      </w:r>
    </w:p>
    <w:tbl>
      <w:tblPr>
        <w:tblStyle w:val="20"/>
        <w:tblW w:w="9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3138"/>
        <w:gridCol w:w="3034"/>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965" w:type="dxa"/>
            <w:vAlign w:val="center"/>
          </w:tcPr>
          <w:p>
            <w:pPr>
              <w:spacing w:line="239" w:lineRule="auto"/>
              <w:jc w:val="center"/>
              <w:rPr>
                <w:rFonts w:ascii="宋体" w:hAnsi="宋体"/>
                <w:color w:val="auto"/>
                <w:highlight w:val="none"/>
              </w:rPr>
            </w:pPr>
            <w:r>
              <w:rPr>
                <w:rFonts w:hint="eastAsia" w:ascii="宋体" w:hAnsi="宋体"/>
                <w:color w:val="auto"/>
                <w:highlight w:val="none"/>
              </w:rPr>
              <w:t>序号</w:t>
            </w:r>
          </w:p>
        </w:tc>
        <w:tc>
          <w:tcPr>
            <w:tcW w:w="3138" w:type="dxa"/>
            <w:vAlign w:val="center"/>
          </w:tcPr>
          <w:p>
            <w:pPr>
              <w:spacing w:line="239" w:lineRule="auto"/>
              <w:jc w:val="center"/>
              <w:rPr>
                <w:rFonts w:ascii="宋体" w:hAnsi="宋体"/>
                <w:color w:val="auto"/>
                <w:highlight w:val="none"/>
              </w:rPr>
            </w:pPr>
            <w:r>
              <w:rPr>
                <w:rFonts w:ascii="宋体" w:hAnsi="宋体"/>
                <w:color w:val="auto"/>
                <w:highlight w:val="none"/>
              </w:rPr>
              <w:t>竞争性磋商文件条款及相关要求</w:t>
            </w:r>
          </w:p>
        </w:tc>
        <w:tc>
          <w:tcPr>
            <w:tcW w:w="3034" w:type="dxa"/>
            <w:vAlign w:val="center"/>
          </w:tcPr>
          <w:p>
            <w:pPr>
              <w:spacing w:line="239" w:lineRule="auto"/>
              <w:jc w:val="center"/>
              <w:rPr>
                <w:rFonts w:ascii="宋体" w:hAnsi="宋体"/>
                <w:color w:val="auto"/>
                <w:highlight w:val="none"/>
              </w:rPr>
            </w:pPr>
            <w:r>
              <w:rPr>
                <w:rFonts w:hint="eastAsia" w:ascii="宋体" w:hAnsi="宋体"/>
                <w:color w:val="auto"/>
                <w:highlight w:val="none"/>
              </w:rPr>
              <w:t>响应文件</w:t>
            </w:r>
            <w:r>
              <w:rPr>
                <w:rFonts w:ascii="宋体" w:hAnsi="宋体"/>
                <w:color w:val="auto"/>
                <w:highlight w:val="none"/>
              </w:rPr>
              <w:t>条款及相关要求响应情况</w:t>
            </w:r>
          </w:p>
        </w:tc>
        <w:tc>
          <w:tcPr>
            <w:tcW w:w="2379" w:type="dxa"/>
            <w:vAlign w:val="center"/>
          </w:tcPr>
          <w:p>
            <w:pPr>
              <w:spacing w:line="239" w:lineRule="auto"/>
              <w:jc w:val="center"/>
              <w:rPr>
                <w:rFonts w:ascii="宋体" w:hAnsi="宋体"/>
                <w:color w:val="auto"/>
                <w:highlight w:val="none"/>
              </w:rPr>
            </w:pPr>
            <w:r>
              <w:rPr>
                <w:rFonts w:hint="eastAsia" w:ascii="宋体" w:hAnsi="宋体"/>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65" w:type="dxa"/>
            <w:vAlign w:val="center"/>
          </w:tcPr>
          <w:p>
            <w:pPr>
              <w:spacing w:line="239" w:lineRule="auto"/>
              <w:jc w:val="center"/>
              <w:rPr>
                <w:rFonts w:ascii="宋体" w:hAnsi="宋体"/>
                <w:color w:val="auto"/>
                <w:highlight w:val="none"/>
              </w:rPr>
            </w:pPr>
            <w:r>
              <w:rPr>
                <w:rFonts w:hint="eastAsia" w:ascii="宋体" w:hAnsi="宋体"/>
                <w:color w:val="auto"/>
                <w:highlight w:val="none"/>
              </w:rPr>
              <w:t>1</w:t>
            </w:r>
          </w:p>
        </w:tc>
        <w:tc>
          <w:tcPr>
            <w:tcW w:w="3138" w:type="dxa"/>
            <w:vAlign w:val="center"/>
          </w:tcPr>
          <w:p>
            <w:pPr>
              <w:spacing w:line="239" w:lineRule="auto"/>
              <w:jc w:val="center"/>
              <w:rPr>
                <w:rFonts w:ascii="宋体" w:hAnsi="宋体"/>
                <w:color w:val="auto"/>
                <w:highlight w:val="none"/>
              </w:rPr>
            </w:pPr>
          </w:p>
        </w:tc>
        <w:tc>
          <w:tcPr>
            <w:tcW w:w="3034" w:type="dxa"/>
            <w:vAlign w:val="center"/>
          </w:tcPr>
          <w:p>
            <w:pPr>
              <w:spacing w:line="239" w:lineRule="auto"/>
              <w:jc w:val="center"/>
              <w:rPr>
                <w:rFonts w:ascii="宋体" w:hAnsi="宋体"/>
                <w:color w:val="auto"/>
                <w:highlight w:val="none"/>
              </w:rPr>
            </w:pPr>
          </w:p>
        </w:tc>
        <w:tc>
          <w:tcPr>
            <w:tcW w:w="2379" w:type="dxa"/>
            <w:vAlign w:val="center"/>
          </w:tcPr>
          <w:p>
            <w:pPr>
              <w:spacing w:line="239"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65" w:type="dxa"/>
            <w:vAlign w:val="center"/>
          </w:tcPr>
          <w:p>
            <w:pPr>
              <w:spacing w:line="239" w:lineRule="auto"/>
              <w:jc w:val="center"/>
              <w:rPr>
                <w:rFonts w:ascii="宋体" w:hAnsi="宋体"/>
                <w:color w:val="auto"/>
                <w:highlight w:val="none"/>
              </w:rPr>
            </w:pPr>
            <w:r>
              <w:rPr>
                <w:rFonts w:hint="eastAsia" w:ascii="宋体" w:hAnsi="宋体"/>
                <w:color w:val="auto"/>
                <w:highlight w:val="none"/>
              </w:rPr>
              <w:t>2</w:t>
            </w:r>
          </w:p>
        </w:tc>
        <w:tc>
          <w:tcPr>
            <w:tcW w:w="3138" w:type="dxa"/>
            <w:vAlign w:val="center"/>
          </w:tcPr>
          <w:p>
            <w:pPr>
              <w:spacing w:line="239" w:lineRule="auto"/>
              <w:jc w:val="center"/>
              <w:rPr>
                <w:rFonts w:ascii="宋体" w:hAnsi="宋体"/>
                <w:color w:val="auto"/>
                <w:highlight w:val="none"/>
              </w:rPr>
            </w:pPr>
          </w:p>
        </w:tc>
        <w:tc>
          <w:tcPr>
            <w:tcW w:w="3034" w:type="dxa"/>
            <w:vAlign w:val="center"/>
          </w:tcPr>
          <w:p>
            <w:pPr>
              <w:spacing w:line="239" w:lineRule="auto"/>
              <w:jc w:val="center"/>
              <w:rPr>
                <w:rFonts w:ascii="宋体" w:hAnsi="宋体"/>
                <w:color w:val="auto"/>
                <w:highlight w:val="none"/>
              </w:rPr>
            </w:pPr>
          </w:p>
        </w:tc>
        <w:tc>
          <w:tcPr>
            <w:tcW w:w="2379" w:type="dxa"/>
            <w:vAlign w:val="center"/>
          </w:tcPr>
          <w:p>
            <w:pPr>
              <w:spacing w:line="239"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65" w:type="dxa"/>
            <w:vAlign w:val="center"/>
          </w:tcPr>
          <w:p>
            <w:pPr>
              <w:spacing w:line="239" w:lineRule="auto"/>
              <w:jc w:val="center"/>
              <w:rPr>
                <w:rFonts w:ascii="宋体" w:hAnsi="宋体"/>
                <w:color w:val="auto"/>
                <w:highlight w:val="none"/>
              </w:rPr>
            </w:pPr>
            <w:r>
              <w:rPr>
                <w:rFonts w:ascii="宋体" w:hAnsi="宋体"/>
                <w:color w:val="auto"/>
                <w:highlight w:val="none"/>
              </w:rPr>
              <w:t>…</w:t>
            </w:r>
          </w:p>
        </w:tc>
        <w:tc>
          <w:tcPr>
            <w:tcW w:w="3138" w:type="dxa"/>
            <w:vAlign w:val="center"/>
          </w:tcPr>
          <w:p>
            <w:pPr>
              <w:spacing w:line="239" w:lineRule="auto"/>
              <w:jc w:val="center"/>
              <w:rPr>
                <w:rFonts w:ascii="宋体" w:hAnsi="宋体"/>
                <w:color w:val="auto"/>
                <w:highlight w:val="none"/>
              </w:rPr>
            </w:pPr>
          </w:p>
        </w:tc>
        <w:tc>
          <w:tcPr>
            <w:tcW w:w="3034" w:type="dxa"/>
            <w:vAlign w:val="center"/>
          </w:tcPr>
          <w:p>
            <w:pPr>
              <w:spacing w:line="239" w:lineRule="auto"/>
              <w:jc w:val="center"/>
              <w:rPr>
                <w:rFonts w:ascii="宋体" w:hAnsi="宋体"/>
                <w:color w:val="auto"/>
                <w:highlight w:val="none"/>
              </w:rPr>
            </w:pPr>
          </w:p>
        </w:tc>
        <w:tc>
          <w:tcPr>
            <w:tcW w:w="2379" w:type="dxa"/>
            <w:vAlign w:val="center"/>
          </w:tcPr>
          <w:p>
            <w:pPr>
              <w:spacing w:line="239" w:lineRule="auto"/>
              <w:jc w:val="center"/>
              <w:rPr>
                <w:rFonts w:ascii="宋体" w:hAnsi="宋体"/>
                <w:color w:val="auto"/>
                <w:highlight w:val="none"/>
              </w:rPr>
            </w:pPr>
          </w:p>
        </w:tc>
      </w:tr>
    </w:tbl>
    <w:p>
      <w:pPr>
        <w:spacing w:line="239" w:lineRule="auto"/>
        <w:rPr>
          <w:rFonts w:ascii="宋体" w:hAnsi="宋体"/>
          <w:b/>
          <w:color w:val="auto"/>
          <w:highlight w:val="none"/>
        </w:rPr>
      </w:pPr>
    </w:p>
    <w:p>
      <w:pPr>
        <w:spacing w:line="327" w:lineRule="auto"/>
        <w:ind w:right="40"/>
        <w:rPr>
          <w:rFonts w:ascii="宋体" w:hAnsi="宋体"/>
          <w:color w:val="auto"/>
          <w:highlight w:val="none"/>
        </w:rPr>
      </w:pPr>
      <w:r>
        <w:rPr>
          <w:rFonts w:ascii="宋体" w:hAnsi="宋体"/>
          <w:color w:val="auto"/>
          <w:highlight w:val="none"/>
        </w:rPr>
        <w:t>注：服务商应根据竞争性磋商文件要求在“偏离情况”栏注明“正偏离”、“负偏离”或“无偏离”。响应技术规格与磋商要求相同的为无偏离，响应技术规格高于磋商要求的为正偏离，低于磋商要求的为负偏离。</w:t>
      </w:r>
    </w:p>
    <w:p>
      <w:pPr>
        <w:spacing w:line="200" w:lineRule="exact"/>
        <w:rPr>
          <w:rFonts w:ascii="宋体" w:hAnsi="宋体"/>
          <w:color w:val="auto"/>
          <w:highlight w:val="none"/>
        </w:rPr>
      </w:pPr>
    </w:p>
    <w:p>
      <w:pPr>
        <w:spacing w:line="214" w:lineRule="exact"/>
        <w:rPr>
          <w:rFonts w:ascii="宋体" w:hAnsi="宋体"/>
          <w:color w:val="auto"/>
          <w:highlight w:val="none"/>
        </w:rPr>
      </w:pPr>
    </w:p>
    <w:p>
      <w:pPr>
        <w:spacing w:line="0" w:lineRule="atLeast"/>
        <w:rPr>
          <w:rFonts w:ascii="宋体" w:hAnsi="宋体"/>
          <w:color w:val="auto"/>
          <w:highlight w:val="none"/>
        </w:rPr>
      </w:pPr>
      <w:r>
        <w:rPr>
          <w:rFonts w:ascii="宋体" w:hAnsi="宋体"/>
          <w:b/>
          <w:color w:val="auto"/>
          <w:highlight w:val="none"/>
          <w:u w:val="single"/>
        </w:rPr>
        <w:t>法定代表人（或机构负责人）或委托代理人签名</w:t>
      </w:r>
      <w:r>
        <w:rPr>
          <w:rFonts w:ascii="宋体" w:hAnsi="宋体"/>
          <w:color w:val="auto"/>
          <w:highlight w:val="none"/>
        </w:rPr>
        <w:t>：</w:t>
      </w:r>
    </w:p>
    <w:p>
      <w:pPr>
        <w:spacing w:line="274" w:lineRule="exact"/>
        <w:rPr>
          <w:rFonts w:ascii="宋体" w:hAnsi="宋体"/>
          <w:color w:val="auto"/>
          <w:highlight w:val="none"/>
        </w:rPr>
      </w:pPr>
    </w:p>
    <w:p>
      <w:pPr>
        <w:spacing w:line="239" w:lineRule="auto"/>
        <w:rPr>
          <w:rFonts w:ascii="宋体" w:hAnsi="宋体"/>
          <w:b/>
          <w:color w:val="auto"/>
          <w:highlight w:val="none"/>
        </w:rPr>
      </w:pPr>
      <w:r>
        <w:rPr>
          <w:rFonts w:ascii="宋体" w:hAnsi="宋体"/>
          <w:b/>
          <w:color w:val="auto"/>
          <w:highlight w:val="none"/>
          <w:u w:val="single"/>
        </w:rPr>
        <w:t>服务商盖章</w:t>
      </w:r>
      <w:r>
        <w:rPr>
          <w:rFonts w:ascii="宋体" w:hAnsi="宋体"/>
          <w:color w:val="auto"/>
          <w:highlight w:val="none"/>
        </w:rPr>
        <w:t>：</w:t>
      </w:r>
      <w:r>
        <w:rPr>
          <w:rFonts w:ascii="宋体" w:hAnsi="宋体"/>
          <w:color w:val="auto"/>
          <w:highlight w:val="none"/>
        </w:rPr>
        <w:tab/>
      </w:r>
      <w:r>
        <w:rPr>
          <w:rFonts w:ascii="宋体" w:hAnsi="宋体"/>
          <w:b/>
          <w:color w:val="auto"/>
          <w:highlight w:val="none"/>
        </w:rPr>
        <w:t>日 期</w:t>
      </w:r>
      <w:r>
        <w:rPr>
          <w:rFonts w:ascii="宋体" w:hAnsi="宋体"/>
          <w:color w:val="auto"/>
          <w:highlight w:val="none"/>
        </w:rPr>
        <w:t>：</w:t>
      </w:r>
    </w:p>
    <w:p>
      <w:pPr>
        <w:spacing w:line="239" w:lineRule="auto"/>
        <w:rPr>
          <w:rFonts w:ascii="宋体" w:hAnsi="宋体"/>
          <w:b/>
          <w:color w:val="auto"/>
          <w:highlight w:val="none"/>
        </w:rPr>
      </w:pPr>
    </w:p>
    <w:p>
      <w:pPr>
        <w:spacing w:line="239" w:lineRule="auto"/>
        <w:rPr>
          <w:rFonts w:ascii="宋体" w:hAnsi="宋体"/>
          <w:b/>
          <w:color w:val="auto"/>
          <w:highlight w:val="none"/>
        </w:rPr>
      </w:pPr>
    </w:p>
    <w:p>
      <w:pPr>
        <w:spacing w:line="239" w:lineRule="auto"/>
        <w:rPr>
          <w:rFonts w:ascii="宋体" w:hAnsi="宋体"/>
          <w:b/>
          <w:color w:val="auto"/>
          <w:highlight w:val="none"/>
        </w:rPr>
      </w:pPr>
    </w:p>
    <w:p>
      <w:pPr>
        <w:spacing w:line="239" w:lineRule="auto"/>
        <w:rPr>
          <w:rFonts w:ascii="宋体" w:hAnsi="宋体"/>
          <w:b/>
          <w:color w:val="auto"/>
          <w:highlight w:val="none"/>
        </w:rPr>
      </w:pPr>
    </w:p>
    <w:p>
      <w:pPr>
        <w:spacing w:line="239" w:lineRule="auto"/>
        <w:rPr>
          <w:rFonts w:ascii="宋体" w:hAnsi="宋体"/>
          <w:b/>
          <w:color w:val="auto"/>
          <w:highlight w:val="none"/>
        </w:rPr>
      </w:pPr>
    </w:p>
    <w:p>
      <w:pPr>
        <w:spacing w:line="239" w:lineRule="auto"/>
        <w:rPr>
          <w:rFonts w:ascii="宋体" w:hAnsi="宋体"/>
          <w:b/>
          <w:color w:val="auto"/>
          <w:highlight w:val="none"/>
        </w:rPr>
      </w:pPr>
    </w:p>
    <w:p>
      <w:pPr>
        <w:spacing w:line="239" w:lineRule="auto"/>
        <w:rPr>
          <w:rFonts w:ascii="宋体" w:hAnsi="宋体"/>
          <w:b/>
          <w:color w:val="auto"/>
          <w:highlight w:val="none"/>
        </w:rPr>
      </w:pPr>
    </w:p>
    <w:p>
      <w:pPr>
        <w:spacing w:line="239" w:lineRule="auto"/>
        <w:rPr>
          <w:rFonts w:ascii="宋体" w:hAnsi="宋体"/>
          <w:b/>
          <w:color w:val="auto"/>
          <w:highlight w:val="none"/>
        </w:rPr>
      </w:pPr>
      <w:r>
        <w:rPr>
          <w:rFonts w:hint="eastAsia" w:ascii="宋体" w:hAnsi="宋体"/>
          <w:b/>
          <w:color w:val="auto"/>
          <w:highlight w:val="none"/>
        </w:rPr>
        <w:t>（3）竞争性磋商文件要求的其他文件。</w:t>
      </w: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0" w:lineRule="atLeast"/>
        <w:ind w:left="4500"/>
        <w:rPr>
          <w:rFonts w:ascii="宋体" w:hAnsi="宋体"/>
          <w:color w:val="auto"/>
          <w:sz w:val="18"/>
          <w:highlight w:val="none"/>
        </w:rPr>
      </w:pPr>
    </w:p>
    <w:p>
      <w:pPr>
        <w:rPr>
          <w:rFonts w:ascii="宋体" w:hAnsi="宋体"/>
          <w:color w:val="auto"/>
          <w:sz w:val="18"/>
          <w:highlight w:val="none"/>
        </w:rPr>
      </w:pPr>
    </w:p>
    <w:p>
      <w:pPr>
        <w:rPr>
          <w:rFonts w:ascii="宋体" w:hAnsi="宋体"/>
          <w:color w:val="auto"/>
          <w:sz w:val="18"/>
          <w:highlight w:val="none"/>
        </w:rPr>
      </w:pPr>
    </w:p>
    <w:p>
      <w:pPr>
        <w:rPr>
          <w:rFonts w:ascii="宋体" w:hAnsi="宋体"/>
          <w:color w:val="auto"/>
          <w:sz w:val="18"/>
          <w:highlight w:val="none"/>
        </w:rPr>
      </w:pPr>
    </w:p>
    <w:p>
      <w:pPr>
        <w:rPr>
          <w:rFonts w:ascii="宋体" w:hAnsi="宋体"/>
          <w:color w:val="auto"/>
          <w:sz w:val="18"/>
          <w:highlight w:val="none"/>
        </w:rPr>
      </w:pPr>
    </w:p>
    <w:p>
      <w:pPr>
        <w:rPr>
          <w:rFonts w:ascii="宋体" w:hAnsi="宋体"/>
          <w:color w:val="auto"/>
          <w:sz w:val="18"/>
          <w:highlight w:val="none"/>
        </w:rPr>
      </w:pPr>
    </w:p>
    <w:p>
      <w:pPr>
        <w:rPr>
          <w:rFonts w:ascii="宋体" w:hAnsi="宋体"/>
          <w:color w:val="auto"/>
          <w:sz w:val="18"/>
          <w:highlight w:val="none"/>
        </w:rPr>
      </w:pPr>
    </w:p>
    <w:p>
      <w:pPr>
        <w:rPr>
          <w:rFonts w:ascii="宋体" w:hAnsi="宋体"/>
          <w:color w:val="auto"/>
          <w:sz w:val="18"/>
          <w:highlight w:val="none"/>
        </w:rPr>
      </w:pPr>
    </w:p>
    <w:p>
      <w:pPr>
        <w:rPr>
          <w:rFonts w:ascii="宋体" w:hAnsi="宋体"/>
          <w:color w:val="auto"/>
          <w:sz w:val="18"/>
          <w:highlight w:val="none"/>
        </w:rPr>
      </w:pPr>
    </w:p>
    <w:p>
      <w:pPr>
        <w:tabs>
          <w:tab w:val="center" w:pos="4620"/>
        </w:tabs>
        <w:rPr>
          <w:rFonts w:ascii="宋体" w:hAnsi="宋体"/>
          <w:color w:val="auto"/>
          <w:sz w:val="18"/>
          <w:highlight w:val="none"/>
        </w:rPr>
      </w:pPr>
    </w:p>
    <w:p>
      <w:pPr>
        <w:tabs>
          <w:tab w:val="center" w:pos="4620"/>
        </w:tabs>
        <w:rPr>
          <w:rFonts w:ascii="宋体" w:hAnsi="宋体"/>
          <w:color w:val="auto"/>
          <w:sz w:val="18"/>
          <w:highlight w:val="none"/>
        </w:rPr>
      </w:pPr>
      <w:r>
        <w:rPr>
          <w:rFonts w:ascii="宋体" w:hAnsi="宋体"/>
          <w:color w:val="auto"/>
          <w:sz w:val="18"/>
          <w:highlight w:val="none"/>
        </w:rPr>
        <w:tab/>
      </w:r>
    </w:p>
    <w:p>
      <w:pPr>
        <w:rPr>
          <w:rFonts w:ascii="宋体" w:hAnsi="宋体"/>
          <w:color w:val="auto"/>
          <w:sz w:val="18"/>
          <w:highlight w:val="none"/>
        </w:rPr>
      </w:pPr>
    </w:p>
    <w:p>
      <w:pPr>
        <w:rPr>
          <w:rFonts w:ascii="宋体" w:hAnsi="宋体"/>
          <w:color w:val="auto"/>
          <w:sz w:val="18"/>
          <w:highlight w:val="none"/>
        </w:rPr>
      </w:pPr>
    </w:p>
    <w:p>
      <w:pPr>
        <w:rPr>
          <w:rFonts w:ascii="宋体" w:hAnsi="宋体"/>
          <w:color w:val="auto"/>
          <w:sz w:val="18"/>
          <w:highlight w:val="none"/>
        </w:rPr>
      </w:pPr>
    </w:p>
    <w:p>
      <w:pPr>
        <w:spacing w:line="239" w:lineRule="auto"/>
        <w:rPr>
          <w:rFonts w:ascii="宋体" w:hAnsi="宋体"/>
          <w:b/>
          <w:color w:val="auto"/>
          <w:highlight w:val="none"/>
        </w:rPr>
      </w:pPr>
      <w:r>
        <w:rPr>
          <w:rFonts w:ascii="宋体" w:hAnsi="宋体"/>
          <w:b/>
          <w:color w:val="auto"/>
          <w:highlight w:val="none"/>
        </w:rPr>
        <w:t>三）、报价文件部分 （格式）</w:t>
      </w:r>
    </w:p>
    <w:p>
      <w:pPr>
        <w:spacing w:line="274" w:lineRule="exact"/>
        <w:rPr>
          <w:rFonts w:ascii="宋体" w:hAnsi="宋体"/>
          <w:color w:val="auto"/>
          <w:highlight w:val="none"/>
        </w:rPr>
      </w:pPr>
    </w:p>
    <w:p>
      <w:pPr>
        <w:rPr>
          <w:rFonts w:ascii="宋体" w:hAnsi="宋体"/>
          <w:b/>
          <w:color w:val="auto"/>
          <w:highlight w:val="none"/>
        </w:rPr>
      </w:pPr>
      <w:r>
        <w:rPr>
          <w:rFonts w:hint="eastAsia" w:ascii="宋体" w:hAnsi="宋体"/>
          <w:b/>
          <w:color w:val="auto"/>
          <w:highlight w:val="none"/>
        </w:rPr>
        <w:t>（1）磋商函格式：（必须提供）</w:t>
      </w:r>
      <w:r>
        <w:rPr>
          <w:rFonts w:hint="eastAsia" w:ascii="宋体" w:hAnsi="宋体"/>
          <w:b/>
          <w:color w:val="auto"/>
          <w:highlight w:val="none"/>
        </w:rPr>
        <w:tab/>
      </w:r>
      <w:r>
        <w:rPr>
          <w:rFonts w:hint="eastAsia" w:ascii="宋体" w:hAnsi="宋体"/>
          <w:b/>
          <w:color w:val="auto"/>
          <w:highlight w:val="none"/>
        </w:rPr>
        <w:tab/>
      </w:r>
      <w:r>
        <w:rPr>
          <w:rFonts w:hint="eastAsia" w:ascii="宋体" w:hAnsi="宋体"/>
          <w:b/>
          <w:color w:val="auto"/>
          <w:highlight w:val="none"/>
        </w:rPr>
        <w:tab/>
      </w:r>
      <w:r>
        <w:rPr>
          <w:rFonts w:hint="eastAsia" w:ascii="宋体" w:hAnsi="宋体"/>
          <w:b/>
          <w:color w:val="auto"/>
          <w:highlight w:val="none"/>
        </w:rPr>
        <w:tab/>
      </w:r>
      <w:r>
        <w:rPr>
          <w:rFonts w:hint="eastAsia" w:ascii="宋体" w:hAnsi="宋体"/>
          <w:b/>
          <w:color w:val="auto"/>
          <w:highlight w:val="none"/>
        </w:rPr>
        <w:tab/>
      </w:r>
    </w:p>
    <w:p>
      <w:pPr>
        <w:jc w:val="center"/>
        <w:rPr>
          <w:rFonts w:ascii="宋体" w:hAnsi="宋体"/>
          <w:color w:val="auto"/>
          <w:highlight w:val="none"/>
        </w:rPr>
      </w:pPr>
      <w:r>
        <w:rPr>
          <w:rFonts w:hint="eastAsia" w:ascii="宋体" w:hAnsi="宋体"/>
          <w:color w:val="auto"/>
          <w:highlight w:val="none"/>
        </w:rPr>
        <w:t>磋商函</w:t>
      </w:r>
    </w:p>
    <w:p>
      <w:pPr>
        <w:rPr>
          <w:rFonts w:ascii="宋体" w:hAnsi="宋体"/>
          <w:color w:val="auto"/>
          <w:highlight w:val="none"/>
        </w:rPr>
      </w:pPr>
      <w:r>
        <w:rPr>
          <w:rFonts w:hint="eastAsia" w:ascii="宋体" w:hAnsi="宋体"/>
          <w:color w:val="auto"/>
          <w:highlight w:val="none"/>
        </w:rPr>
        <w:t>致：广西达华工程造价咨询有限责任公司 ：</w:t>
      </w:r>
      <w:r>
        <w:rPr>
          <w:rFonts w:hint="eastAsia" w:ascii="宋体" w:hAnsi="宋体"/>
          <w:color w:val="auto"/>
          <w:highlight w:val="none"/>
        </w:rPr>
        <w:tab/>
      </w:r>
      <w:r>
        <w:rPr>
          <w:rFonts w:hint="eastAsia" w:ascii="宋体" w:hAnsi="宋体"/>
          <w:color w:val="auto"/>
          <w:highlight w:val="none"/>
        </w:rPr>
        <w:tab/>
      </w:r>
    </w:p>
    <w:p>
      <w:pPr>
        <w:rPr>
          <w:rFonts w:ascii="宋体" w:hAnsi="宋体"/>
          <w:color w:val="auto"/>
          <w:highlight w:val="none"/>
        </w:rPr>
      </w:pPr>
      <w:r>
        <w:rPr>
          <w:rFonts w:hint="eastAsia" w:ascii="宋体" w:hAnsi="宋体"/>
          <w:color w:val="auto"/>
          <w:highlight w:val="none"/>
        </w:rPr>
        <w:t>根据贵方为</w:t>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rPr>
        <w:t>项目的磋商公告/磋商邀请书（项目编号：_______），签字代表______（全名）经正式授权并代表服务商_____（服务商名称）提交响应文件(内含:资信/商务文件、技术文件、报价文件)</w:t>
      </w:r>
      <w:r>
        <w:rPr>
          <w:rFonts w:hint="eastAsia" w:hAnsi="宋体"/>
          <w:bCs/>
          <w:color w:val="auto"/>
          <w:highlight w:val="none"/>
          <w:u w:val="single"/>
        </w:rPr>
        <w:t xml:space="preserve"> 正本一份，副本三份，共四份及</w:t>
      </w:r>
      <w:r>
        <w:rPr>
          <w:rFonts w:hAnsi="宋体"/>
          <w:bCs/>
          <w:color w:val="auto"/>
          <w:highlight w:val="none"/>
          <w:u w:val="single"/>
        </w:rPr>
        <w:t>电子版（U盘）</w:t>
      </w:r>
      <w:r>
        <w:rPr>
          <w:rFonts w:hint="eastAsia" w:hAnsi="宋体"/>
          <w:bCs/>
          <w:color w:val="auto"/>
          <w:highlight w:val="none"/>
          <w:u w:val="single"/>
        </w:rPr>
        <w:t>一份</w:t>
      </w:r>
      <w:r>
        <w:rPr>
          <w:rFonts w:hint="eastAsia" w:ascii="宋体" w:hAnsi="宋体"/>
          <w:color w:val="auto"/>
          <w:highlight w:val="none"/>
        </w:rPr>
        <w:t>。</w:t>
      </w:r>
    </w:p>
    <w:p>
      <w:pPr>
        <w:rPr>
          <w:rFonts w:ascii="宋体" w:hAnsi="宋体"/>
          <w:color w:val="auto"/>
          <w:highlight w:val="none"/>
        </w:rPr>
      </w:pPr>
      <w:r>
        <w:rPr>
          <w:rFonts w:hint="eastAsia" w:ascii="宋体" w:hAnsi="宋体"/>
          <w:color w:val="auto"/>
          <w:highlight w:val="none"/>
        </w:rPr>
        <w:t>据此函，签字代表宣布同意如下：</w:t>
      </w:r>
      <w:r>
        <w:rPr>
          <w:rFonts w:hint="eastAsia" w:ascii="宋体" w:hAnsi="宋体"/>
          <w:color w:val="auto"/>
          <w:highlight w:val="none"/>
        </w:rPr>
        <w:tab/>
      </w:r>
      <w:r>
        <w:rPr>
          <w:rFonts w:hint="eastAsia" w:ascii="宋体" w:hAnsi="宋体"/>
          <w:color w:val="auto"/>
          <w:highlight w:val="none"/>
        </w:rPr>
        <w:tab/>
      </w:r>
    </w:p>
    <w:p>
      <w:pPr>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rPr>
        <w:tab/>
      </w:r>
      <w:r>
        <w:rPr>
          <w:rFonts w:hint="eastAsia" w:ascii="宋体" w:hAnsi="宋体"/>
          <w:color w:val="auto"/>
          <w:highlight w:val="none"/>
        </w:rPr>
        <w:t>服务商已详细审查全部“竞争性磋商文件”，包括修改文件（如有的话）以及全部参考资料和有关附件，已经了解我方对于竞争性磋商文件、采购过程、采购结果有依法进行询问、质疑、投诉的权利及相关渠道和要求。</w:t>
      </w:r>
    </w:p>
    <w:p>
      <w:pPr>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rPr>
        <w:tab/>
      </w:r>
      <w:r>
        <w:rPr>
          <w:rFonts w:hint="eastAsia" w:ascii="宋体" w:hAnsi="宋体"/>
          <w:color w:val="auto"/>
          <w:highlight w:val="none"/>
        </w:rPr>
        <w:t>服务商在磋商之前已经与贵方进行了充分的沟通，完全理解并接受竞争性磋商文件的各项规定和要求，对竞争性磋商文件的合理性、合法性不再有异议。</w:t>
      </w:r>
    </w:p>
    <w:p>
      <w:pPr>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t>3.本磋商有效期自开标日起 ______日。</w:t>
      </w:r>
    </w:p>
    <w:p>
      <w:pPr>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t>4.如成交，本响应文件至本项目合同履行完毕止均保持有效，本服务商将按“竞争性磋商文件”及政府采购法律、法规的规定履行合同责任和义务。</w:t>
      </w:r>
    </w:p>
    <w:p>
      <w:pPr>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t>5.服务商同意按照贵方要求提供与磋商有关的一切数据或资料。</w:t>
      </w:r>
    </w:p>
    <w:p>
      <w:pPr>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t>6.与本磋商有关的一切正式往来信函请寄：</w:t>
      </w:r>
    </w:p>
    <w:p>
      <w:pPr>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t>地址：______________邮编：__________</w:t>
      </w:r>
      <w:r>
        <w:rPr>
          <w:rFonts w:hint="eastAsia" w:ascii="宋体" w:hAnsi="宋体"/>
          <w:color w:val="auto"/>
          <w:highlight w:val="none"/>
        </w:rPr>
        <w:tab/>
      </w:r>
      <w:r>
        <w:rPr>
          <w:rFonts w:hint="eastAsia" w:ascii="宋体" w:hAnsi="宋体"/>
          <w:color w:val="auto"/>
          <w:highlight w:val="none"/>
        </w:rPr>
        <w:t>电话：______________</w:t>
      </w:r>
    </w:p>
    <w:p>
      <w:pPr>
        <w:rPr>
          <w:rFonts w:ascii="宋体" w:hAnsi="宋体"/>
          <w:color w:val="auto"/>
          <w:highlight w:val="none"/>
        </w:rPr>
      </w:pP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p>
    <w:p>
      <w:pPr>
        <w:rPr>
          <w:rFonts w:ascii="宋体" w:hAnsi="宋体"/>
          <w:color w:val="auto"/>
          <w:highlight w:val="none"/>
        </w:rPr>
      </w:pPr>
      <w:r>
        <w:rPr>
          <w:rFonts w:hint="eastAsia" w:ascii="宋体" w:hAnsi="宋体"/>
          <w:color w:val="auto"/>
          <w:highlight w:val="none"/>
        </w:rPr>
        <w:t>传真：______________服务商代表姓名 ___________</w:t>
      </w:r>
      <w:r>
        <w:rPr>
          <w:rFonts w:hint="eastAsia" w:ascii="宋体" w:hAnsi="宋体"/>
          <w:color w:val="auto"/>
          <w:highlight w:val="none"/>
        </w:rPr>
        <w:tab/>
      </w:r>
      <w:r>
        <w:rPr>
          <w:rFonts w:hint="eastAsia" w:ascii="宋体" w:hAnsi="宋体"/>
          <w:color w:val="auto"/>
          <w:highlight w:val="none"/>
        </w:rPr>
        <w:t>职务：_____________</w:t>
      </w:r>
    </w:p>
    <w:p>
      <w:pPr>
        <w:rPr>
          <w:rFonts w:ascii="宋体" w:hAnsi="宋体"/>
          <w:color w:val="auto"/>
          <w:highlight w:val="none"/>
        </w:rPr>
      </w:pPr>
      <w:r>
        <w:rPr>
          <w:rFonts w:hint="eastAsia" w:ascii="宋体" w:hAnsi="宋体"/>
          <w:color w:val="auto"/>
          <w:highlight w:val="none"/>
        </w:rPr>
        <w:t>服务商名称:___________________</w:t>
      </w:r>
      <w:r>
        <w:rPr>
          <w:rFonts w:hint="eastAsia" w:ascii="宋体" w:hAnsi="宋体"/>
          <w:color w:val="auto"/>
          <w:highlight w:val="none"/>
        </w:rPr>
        <w:tab/>
      </w:r>
      <w:r>
        <w:rPr>
          <w:rFonts w:hint="eastAsia" w:ascii="宋体" w:hAnsi="宋体"/>
          <w:color w:val="auto"/>
          <w:highlight w:val="none"/>
        </w:rPr>
        <w:tab/>
      </w:r>
      <w:r>
        <w:rPr>
          <w:rFonts w:hint="eastAsia" w:ascii="宋体" w:hAnsi="宋体"/>
          <w:color w:val="auto"/>
          <w:highlight w:val="none"/>
        </w:rPr>
        <w:tab/>
      </w:r>
      <w:r>
        <w:rPr>
          <w:rFonts w:hint="eastAsia" w:ascii="宋体" w:hAnsi="宋体"/>
          <w:color w:val="auto"/>
          <w:highlight w:val="none"/>
        </w:rPr>
        <w:tab/>
      </w:r>
    </w:p>
    <w:p>
      <w:pPr>
        <w:rPr>
          <w:rFonts w:ascii="宋体" w:hAnsi="宋体"/>
          <w:color w:val="auto"/>
          <w:highlight w:val="none"/>
        </w:rPr>
      </w:pPr>
      <w:r>
        <w:rPr>
          <w:rFonts w:hint="eastAsia" w:ascii="宋体" w:hAnsi="宋体"/>
          <w:color w:val="auto"/>
          <w:highlight w:val="none"/>
        </w:rPr>
        <w:t>开户银行：</w:t>
      </w:r>
      <w:r>
        <w:rPr>
          <w:rFonts w:hint="eastAsia" w:ascii="宋体" w:hAnsi="宋体"/>
          <w:color w:val="auto"/>
          <w:highlight w:val="none"/>
        </w:rPr>
        <w:tab/>
      </w:r>
      <w:r>
        <w:rPr>
          <w:rFonts w:hint="eastAsia" w:ascii="宋体" w:hAnsi="宋体"/>
          <w:color w:val="auto"/>
          <w:highlight w:val="none"/>
        </w:rPr>
        <w:tab/>
      </w:r>
      <w:r>
        <w:rPr>
          <w:rFonts w:hint="eastAsia" w:ascii="宋体" w:hAnsi="宋体"/>
          <w:color w:val="auto"/>
          <w:highlight w:val="none"/>
        </w:rPr>
        <w:tab/>
      </w:r>
      <w:r>
        <w:rPr>
          <w:rFonts w:hint="eastAsia" w:ascii="宋体" w:hAnsi="宋体"/>
          <w:color w:val="auto"/>
          <w:highlight w:val="none"/>
        </w:rPr>
        <w:t>银行帐号：</w:t>
      </w:r>
      <w:r>
        <w:rPr>
          <w:rFonts w:hint="eastAsia" w:ascii="宋体" w:hAnsi="宋体"/>
          <w:color w:val="auto"/>
          <w:highlight w:val="none"/>
        </w:rPr>
        <w:tab/>
      </w:r>
      <w:r>
        <w:rPr>
          <w:rFonts w:hint="eastAsia" w:ascii="宋体" w:hAnsi="宋体"/>
          <w:color w:val="auto"/>
          <w:highlight w:val="none"/>
        </w:rPr>
        <w:tab/>
      </w:r>
      <w:r>
        <w:rPr>
          <w:rFonts w:hint="eastAsia" w:ascii="宋体" w:hAnsi="宋体"/>
          <w:color w:val="auto"/>
          <w:highlight w:val="none"/>
        </w:rPr>
        <w:tab/>
      </w:r>
      <w:r>
        <w:rPr>
          <w:rFonts w:hint="eastAsia" w:ascii="宋体" w:hAnsi="宋体"/>
          <w:color w:val="auto"/>
          <w:highlight w:val="none"/>
        </w:rPr>
        <w:tab/>
      </w:r>
    </w:p>
    <w:p>
      <w:pPr>
        <w:rPr>
          <w:rFonts w:ascii="宋体" w:hAnsi="宋体"/>
          <w:color w:val="auto"/>
          <w:highlight w:val="none"/>
        </w:rPr>
      </w:pP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r>
        <w:rPr>
          <w:rFonts w:ascii="宋体" w:hAnsi="宋体"/>
          <w:color w:val="auto"/>
          <w:highlight w:val="none"/>
        </w:rPr>
        <w:tab/>
      </w:r>
    </w:p>
    <w:p>
      <w:pPr>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t>法定代表人（或机构负责人）或委托代理人签名：___________</w:t>
      </w: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jc w:val="right"/>
        <w:rPr>
          <w:rFonts w:ascii="宋体" w:hAnsi="宋体"/>
          <w:color w:val="auto"/>
          <w:highlight w:val="none"/>
        </w:rPr>
      </w:pPr>
      <w:r>
        <w:rPr>
          <w:rFonts w:hint="eastAsia" w:ascii="宋体" w:hAnsi="宋体"/>
          <w:color w:val="auto"/>
          <w:highlight w:val="none"/>
        </w:rPr>
        <w:t>(公章)</w:t>
      </w:r>
    </w:p>
    <w:p>
      <w:pPr>
        <w:rPr>
          <w:rFonts w:ascii="宋体" w:hAnsi="宋体"/>
          <w:color w:val="auto"/>
          <w:highlight w:val="none"/>
        </w:rPr>
      </w:pPr>
    </w:p>
    <w:p>
      <w:pPr>
        <w:rPr>
          <w:rFonts w:ascii="宋体" w:hAnsi="宋体"/>
          <w:color w:val="auto"/>
          <w:highlight w:val="none"/>
        </w:rPr>
      </w:pPr>
    </w:p>
    <w:p>
      <w:pPr>
        <w:jc w:val="right"/>
        <w:rPr>
          <w:rFonts w:ascii="宋体" w:hAnsi="宋体"/>
          <w:color w:val="auto"/>
          <w:highlight w:val="none"/>
        </w:rPr>
      </w:pPr>
      <w:r>
        <w:rPr>
          <w:rFonts w:hint="eastAsia" w:ascii="宋体" w:hAnsi="宋体"/>
          <w:color w:val="auto"/>
          <w:highlight w:val="none"/>
        </w:rPr>
        <w:t>年___月___日</w:t>
      </w: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tabs>
          <w:tab w:val="left" w:pos="5265"/>
        </w:tabs>
        <w:spacing w:line="0" w:lineRule="atLeast"/>
        <w:rPr>
          <w:rFonts w:ascii="宋体" w:hAnsi="宋体"/>
          <w:color w:val="auto"/>
          <w:sz w:val="18"/>
          <w:highlight w:val="none"/>
        </w:rPr>
        <w:sectPr>
          <w:footerReference r:id="rId4" w:type="default"/>
          <w:pgSz w:w="11900" w:h="16840"/>
          <w:pgMar w:top="1374" w:right="1520" w:bottom="462" w:left="1140" w:header="680" w:footer="283" w:gutter="0"/>
          <w:cols w:space="720" w:num="1"/>
          <w:docGrid w:linePitch="360" w:charSpace="0"/>
        </w:sectPr>
      </w:pPr>
      <w:r>
        <w:rPr>
          <w:rFonts w:ascii="宋体" w:hAnsi="宋体"/>
          <w:color w:val="auto"/>
          <w:sz w:val="18"/>
          <w:highlight w:val="none"/>
        </w:rPr>
        <w:tab/>
      </w:r>
    </w:p>
    <w:p>
      <w:pPr>
        <w:pStyle w:val="2"/>
        <w:spacing w:line="309" w:lineRule="exact"/>
        <w:rPr>
          <w:rFonts w:ascii="宋体" w:hAnsi="宋体"/>
          <w:color w:val="auto"/>
          <w:highlight w:val="none"/>
        </w:rPr>
      </w:pPr>
      <w:bookmarkStart w:id="334" w:name="page62"/>
      <w:bookmarkEnd w:id="334"/>
      <w:r>
        <w:rPr>
          <w:rFonts w:ascii="宋体" w:hAnsi="宋体"/>
          <w:color w:val="auto"/>
          <w:highlight w:val="none"/>
        </w:rPr>
        <w:t>（2）</w:t>
      </w:r>
      <w:r>
        <w:rPr>
          <w:rFonts w:hint="eastAsia" w:ascii="宋体" w:hAnsi="宋体"/>
          <w:color w:val="auto"/>
          <w:highlight w:val="none"/>
        </w:rPr>
        <w:t>磋商</w:t>
      </w:r>
      <w:r>
        <w:rPr>
          <w:rFonts w:ascii="宋体" w:hAnsi="宋体"/>
          <w:color w:val="auto"/>
          <w:highlight w:val="none"/>
        </w:rPr>
        <w:t>报价明细表</w:t>
      </w:r>
      <w:r>
        <w:rPr>
          <w:rFonts w:ascii="宋体" w:hAnsi="宋体"/>
          <w:color w:val="auto"/>
          <w:spacing w:val="-3"/>
          <w:highlight w:val="none"/>
        </w:rPr>
        <w:t>格</w:t>
      </w:r>
      <w:r>
        <w:rPr>
          <w:rFonts w:ascii="宋体" w:hAnsi="宋体"/>
          <w:color w:val="auto"/>
          <w:highlight w:val="none"/>
        </w:rPr>
        <w:t>式</w:t>
      </w:r>
      <w:r>
        <w:rPr>
          <w:rFonts w:hint="eastAsia" w:ascii="宋体" w:hAnsi="宋体"/>
          <w:color w:val="auto"/>
          <w:highlight w:val="none"/>
        </w:rPr>
        <w:t>（必须提供）</w:t>
      </w:r>
    </w:p>
    <w:p>
      <w:pPr>
        <w:spacing w:line="200" w:lineRule="exact"/>
        <w:rPr>
          <w:rFonts w:ascii="宋体" w:hAnsi="宋体"/>
          <w:color w:val="auto"/>
          <w:szCs w:val="21"/>
          <w:highlight w:val="none"/>
        </w:rPr>
      </w:pPr>
    </w:p>
    <w:p>
      <w:pPr>
        <w:spacing w:before="3" w:line="240" w:lineRule="exact"/>
        <w:rPr>
          <w:rFonts w:ascii="宋体" w:hAnsi="宋体"/>
          <w:color w:val="auto"/>
          <w:szCs w:val="21"/>
          <w:highlight w:val="none"/>
        </w:rPr>
      </w:pPr>
    </w:p>
    <w:p>
      <w:pPr>
        <w:pStyle w:val="2"/>
        <w:spacing w:before="1"/>
        <w:ind w:right="240"/>
        <w:jc w:val="right"/>
        <w:rPr>
          <w:rFonts w:ascii="宋体" w:hAnsi="宋体"/>
          <w:color w:val="auto"/>
          <w:highlight w:val="none"/>
        </w:rPr>
      </w:pPr>
      <w:r>
        <w:rPr>
          <w:rFonts w:ascii="宋体" w:hAnsi="宋体"/>
          <w:color w:val="auto"/>
          <w:highlight w:val="none"/>
        </w:rPr>
        <w:t>金额</w:t>
      </w:r>
      <w:r>
        <w:rPr>
          <w:rFonts w:ascii="宋体" w:hAnsi="宋体"/>
          <w:color w:val="auto"/>
          <w:spacing w:val="-3"/>
          <w:highlight w:val="none"/>
        </w:rPr>
        <w:t>单</w:t>
      </w:r>
      <w:r>
        <w:rPr>
          <w:rFonts w:ascii="宋体" w:hAnsi="宋体"/>
          <w:color w:val="auto"/>
          <w:highlight w:val="none"/>
        </w:rPr>
        <w:t>位</w:t>
      </w:r>
      <w:r>
        <w:rPr>
          <w:rFonts w:ascii="宋体" w:hAnsi="宋体"/>
          <w:color w:val="auto"/>
          <w:spacing w:val="-3"/>
          <w:highlight w:val="none"/>
        </w:rPr>
        <w:t>：</w:t>
      </w:r>
      <w:r>
        <w:rPr>
          <w:rFonts w:ascii="宋体" w:hAnsi="宋体"/>
          <w:color w:val="auto"/>
          <w:highlight w:val="none"/>
        </w:rPr>
        <w:t>人</w:t>
      </w:r>
      <w:r>
        <w:rPr>
          <w:rFonts w:ascii="宋体" w:hAnsi="宋体"/>
          <w:color w:val="auto"/>
          <w:spacing w:val="-3"/>
          <w:highlight w:val="none"/>
        </w:rPr>
        <w:t>民</w:t>
      </w:r>
      <w:r>
        <w:rPr>
          <w:rFonts w:ascii="宋体" w:hAnsi="宋体"/>
          <w:color w:val="auto"/>
          <w:highlight w:val="none"/>
        </w:rPr>
        <w:t>币</w:t>
      </w:r>
      <w:r>
        <w:rPr>
          <w:rFonts w:ascii="宋体" w:hAnsi="宋体"/>
          <w:color w:val="auto"/>
          <w:spacing w:val="-3"/>
          <w:highlight w:val="none"/>
        </w:rPr>
        <w:t>（元</w:t>
      </w:r>
      <w:r>
        <w:rPr>
          <w:rFonts w:ascii="宋体" w:hAnsi="宋体"/>
          <w:color w:val="auto"/>
          <w:highlight w:val="none"/>
        </w:rPr>
        <w:t>）</w:t>
      </w:r>
    </w:p>
    <w:p>
      <w:pPr>
        <w:spacing w:before="4" w:line="140" w:lineRule="exact"/>
        <w:rPr>
          <w:rFonts w:ascii="宋体" w:hAnsi="宋体"/>
          <w:color w:val="auto"/>
          <w:szCs w:val="21"/>
          <w:highlight w:val="none"/>
        </w:rPr>
      </w:pPr>
    </w:p>
    <w:p>
      <w:pPr>
        <w:spacing w:line="200" w:lineRule="exact"/>
        <w:rPr>
          <w:rFonts w:ascii="宋体" w:hAnsi="宋体"/>
          <w:color w:val="auto"/>
          <w:szCs w:val="21"/>
          <w:highlight w:val="none"/>
        </w:rPr>
      </w:pPr>
    </w:p>
    <w:p>
      <w:pPr>
        <w:pStyle w:val="2"/>
        <w:spacing w:before="1"/>
        <w:rPr>
          <w:rFonts w:ascii="宋体" w:hAnsi="宋体"/>
          <w:color w:val="auto"/>
          <w:highlight w:val="none"/>
        </w:rPr>
      </w:pPr>
      <w:r>
        <w:rPr>
          <w:rFonts w:hint="eastAsia" w:ascii="宋体" w:hAnsi="宋体"/>
          <w:color w:val="auto"/>
          <w:highlight w:val="none"/>
        </w:rPr>
        <w:t>代理机构</w:t>
      </w:r>
      <w:r>
        <w:rPr>
          <w:rFonts w:ascii="宋体" w:hAnsi="宋体"/>
          <w:color w:val="auto"/>
          <w:spacing w:val="-3"/>
          <w:highlight w:val="none"/>
        </w:rPr>
        <w:t>名</w:t>
      </w:r>
      <w:r>
        <w:rPr>
          <w:rFonts w:ascii="宋体" w:hAnsi="宋体"/>
          <w:color w:val="auto"/>
          <w:highlight w:val="none"/>
        </w:rPr>
        <w:t>称：</w:t>
      </w:r>
    </w:p>
    <w:tbl>
      <w:tblPr>
        <w:tblStyle w:val="20"/>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433"/>
        <w:gridCol w:w="2533"/>
        <w:gridCol w:w="1017"/>
        <w:gridCol w:w="1157"/>
        <w:gridCol w:w="1276"/>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5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序号</w:t>
            </w:r>
          </w:p>
        </w:tc>
        <w:tc>
          <w:tcPr>
            <w:tcW w:w="2433" w:type="dxa"/>
            <w:tcBorders>
              <w:top w:val="single" w:color="auto" w:sz="4" w:space="0"/>
              <w:left w:val="single" w:color="auto" w:sz="4" w:space="0"/>
              <w:bottom w:val="single" w:color="auto" w:sz="4" w:space="0"/>
              <w:right w:val="single" w:color="auto" w:sz="4" w:space="0"/>
            </w:tcBorders>
            <w:vAlign w:val="center"/>
          </w:tcPr>
          <w:p>
            <w:pPr>
              <w:ind w:left="141" w:leftChars="67" w:firstLine="102" w:firstLineChars="49"/>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2533" w:type="dxa"/>
            <w:tcBorders>
              <w:top w:val="single" w:color="auto" w:sz="4" w:space="0"/>
              <w:left w:val="single" w:color="auto" w:sz="4" w:space="0"/>
              <w:bottom w:val="single" w:color="auto" w:sz="4" w:space="0"/>
              <w:right w:val="single" w:color="auto" w:sz="4" w:space="0"/>
            </w:tcBorders>
            <w:vAlign w:val="center"/>
          </w:tcPr>
          <w:p>
            <w:pPr>
              <w:ind w:left="141" w:leftChars="67" w:firstLine="102" w:firstLineChars="49"/>
              <w:jc w:val="center"/>
              <w:rPr>
                <w:rFonts w:ascii="宋体" w:hAnsi="宋体" w:cs="宋体"/>
                <w:color w:val="auto"/>
                <w:szCs w:val="21"/>
                <w:highlight w:val="none"/>
              </w:rPr>
            </w:pPr>
            <w:r>
              <w:rPr>
                <w:rFonts w:hint="eastAsia" w:ascii="宋体" w:hAnsi="宋体" w:cs="宋体"/>
                <w:color w:val="auto"/>
                <w:szCs w:val="21"/>
                <w:highlight w:val="none"/>
              </w:rPr>
              <w:t>服务内容</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单价（元）</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总价（元）</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5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24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color w:val="auto"/>
                <w:szCs w:val="21"/>
                <w:highlight w:val="none"/>
              </w:rPr>
            </w:pPr>
            <w:r>
              <w:rPr>
                <w:rFonts w:hint="eastAsia" w:ascii="宋体" w:hAnsi="宋体"/>
                <w:bCs/>
                <w:color w:val="auto"/>
                <w:szCs w:val="21"/>
                <w:highlight w:val="none"/>
              </w:rPr>
              <w:t>xxx</w:t>
            </w: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szCs w:val="21"/>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1项</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pStyle w:val="6"/>
              <w:tabs>
                <w:tab w:val="left" w:pos="1000"/>
              </w:tabs>
              <w:spacing w:line="400" w:lineRule="exact"/>
              <w:ind w:firstLine="0"/>
              <w:jc w:val="left"/>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523"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highlight w:val="none"/>
              </w:rPr>
            </w:pPr>
          </w:p>
        </w:tc>
        <w:tc>
          <w:tcPr>
            <w:tcW w:w="24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color w:val="auto"/>
                <w:szCs w:val="21"/>
                <w:highlight w:val="none"/>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szCs w:val="21"/>
                <w:highlight w:val="none"/>
                <w:u w:val="single"/>
              </w:rPr>
            </w:pP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u w:val="single"/>
              </w:rPr>
            </w:pP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u w:val="single"/>
              </w:rPr>
            </w:pPr>
          </w:p>
        </w:tc>
        <w:tc>
          <w:tcPr>
            <w:tcW w:w="829" w:type="dxa"/>
            <w:tcBorders>
              <w:top w:val="single" w:color="auto" w:sz="4" w:space="0"/>
              <w:left w:val="single" w:color="auto" w:sz="4" w:space="0"/>
              <w:bottom w:val="single" w:color="auto" w:sz="4" w:space="0"/>
              <w:right w:val="single" w:color="auto" w:sz="4" w:space="0"/>
            </w:tcBorders>
            <w:vAlign w:val="center"/>
          </w:tcPr>
          <w:p>
            <w:pPr>
              <w:pStyle w:val="6"/>
              <w:tabs>
                <w:tab w:val="left" w:pos="1000"/>
              </w:tabs>
              <w:spacing w:line="400" w:lineRule="exact"/>
              <w:ind w:firstLine="0"/>
              <w:jc w:val="left"/>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9768" w:type="dxa"/>
            <w:gridSpan w:val="7"/>
            <w:tcBorders>
              <w:top w:val="single" w:color="auto" w:sz="4" w:space="0"/>
              <w:left w:val="single" w:color="auto" w:sz="4" w:space="0"/>
              <w:bottom w:val="single" w:color="auto" w:sz="4" w:space="0"/>
              <w:right w:val="single" w:color="auto" w:sz="4" w:space="0"/>
            </w:tcBorders>
            <w:vAlign w:val="center"/>
          </w:tcPr>
          <w:p>
            <w:pPr>
              <w:ind w:firstLine="198" w:firstLineChars="100"/>
              <w:rPr>
                <w:rFonts w:ascii="宋体" w:hAnsi="宋体" w:cs="宋体"/>
                <w:color w:val="auto"/>
                <w:szCs w:val="21"/>
                <w:highlight w:val="none"/>
              </w:rPr>
            </w:pPr>
            <w:r>
              <w:rPr>
                <w:rFonts w:hint="eastAsia" w:ascii="宋体" w:hAnsi="宋体" w:cs="宋体"/>
                <w:color w:val="auto"/>
                <w:spacing w:val="-6"/>
                <w:szCs w:val="21"/>
                <w:highlight w:val="none"/>
              </w:rPr>
              <w:t>总报价（人民币大写）：（￥元）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9768" w:type="dxa"/>
            <w:gridSpan w:val="7"/>
            <w:tcBorders>
              <w:top w:val="single" w:color="auto" w:sz="4" w:space="0"/>
              <w:left w:val="single" w:color="auto" w:sz="4" w:space="0"/>
              <w:bottom w:val="single" w:color="auto" w:sz="4" w:space="0"/>
              <w:right w:val="single" w:color="auto" w:sz="4" w:space="0"/>
            </w:tcBorders>
            <w:vAlign w:val="center"/>
          </w:tcPr>
          <w:p>
            <w:pPr>
              <w:pStyle w:val="8"/>
              <w:spacing w:line="360" w:lineRule="auto"/>
              <w:rPr>
                <w:rFonts w:hint="eastAsia" w:ascii="宋体" w:hAnsi="宋体" w:cs="宋体"/>
                <w:color w:val="auto"/>
                <w:spacing w:val="-6"/>
                <w:szCs w:val="21"/>
                <w:highlight w:val="none"/>
              </w:rPr>
            </w:pPr>
            <w:r>
              <w:rPr>
                <w:rFonts w:hint="eastAsia" w:ascii="宋体" w:hAnsi="宋体" w:cs="宋体"/>
                <w:color w:val="auto"/>
                <w:spacing w:val="-6"/>
                <w:szCs w:val="21"/>
                <w:highlight w:val="none"/>
              </w:rPr>
              <w:t>服务时间：在2020年11月30日前提交2020年防城港市总报告（含简稿）、各指标分报告和4个县（市、区）分报告。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0" w:hRule="atLeast"/>
          <w:jc w:val="center"/>
        </w:trPr>
        <w:tc>
          <w:tcPr>
            <w:tcW w:w="9768" w:type="dxa"/>
            <w:gridSpan w:val="7"/>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hint="eastAsia" w:ascii="宋体" w:hAnsi="宋体" w:cs="宋体"/>
                <w:color w:val="auto"/>
                <w:spacing w:val="-6"/>
                <w:szCs w:val="21"/>
                <w:highlight w:val="none"/>
              </w:rPr>
            </w:pPr>
            <w:r>
              <w:rPr>
                <w:rFonts w:hint="eastAsia" w:ascii="宋体" w:hAnsi="宋体" w:cs="宋体"/>
                <w:color w:val="auto"/>
                <w:spacing w:val="-6"/>
                <w:szCs w:val="21"/>
                <w:highlight w:val="none"/>
              </w:rPr>
              <w:t>备注：磋商报价应包含顺利实施和完成服务所发生的各项劳务费、技术服务费、前期调查及资料收集、审查、评审、公示、设备、交通、通讯、办公场地、管理费、税费和利润及通过审批等所有费用和政策性文件规定及合同包含的所有风险、责任等各项应有的费用</w:t>
            </w:r>
          </w:p>
        </w:tc>
      </w:tr>
    </w:tbl>
    <w:p>
      <w:pPr>
        <w:pStyle w:val="2"/>
        <w:spacing w:before="1"/>
        <w:rPr>
          <w:rFonts w:hint="eastAsia" w:ascii="宋体" w:hAnsi="宋体"/>
          <w:color w:val="auto"/>
          <w:highlight w:val="none"/>
        </w:rPr>
      </w:pPr>
    </w:p>
    <w:p>
      <w:pPr>
        <w:spacing w:before="9" w:line="40" w:lineRule="exact"/>
        <w:rPr>
          <w:rFonts w:ascii="宋体" w:hAnsi="宋体"/>
          <w:color w:val="auto"/>
          <w:szCs w:val="21"/>
          <w:highlight w:val="none"/>
        </w:rPr>
      </w:pPr>
    </w:p>
    <w:p>
      <w:pPr>
        <w:spacing w:line="200" w:lineRule="exact"/>
        <w:rPr>
          <w:rFonts w:ascii="宋体" w:hAnsi="宋体"/>
          <w:color w:val="auto"/>
          <w:szCs w:val="21"/>
          <w:highlight w:val="none"/>
        </w:rPr>
      </w:pPr>
    </w:p>
    <w:p>
      <w:pPr>
        <w:spacing w:line="200" w:lineRule="exact"/>
        <w:rPr>
          <w:rFonts w:ascii="宋体" w:hAnsi="宋体"/>
          <w:color w:val="auto"/>
          <w:szCs w:val="21"/>
          <w:highlight w:val="none"/>
        </w:rPr>
      </w:pPr>
    </w:p>
    <w:p>
      <w:pPr>
        <w:pStyle w:val="2"/>
        <w:tabs>
          <w:tab w:val="left" w:pos="4110"/>
          <w:tab w:val="left" w:pos="6840"/>
        </w:tabs>
        <w:spacing w:line="247" w:lineRule="auto"/>
        <w:ind w:right="2549" w:hanging="3"/>
        <w:rPr>
          <w:rFonts w:ascii="宋体" w:hAnsi="宋体"/>
          <w:color w:val="auto"/>
          <w:highlight w:val="none"/>
        </w:rPr>
      </w:pPr>
      <w:r>
        <w:rPr>
          <w:rFonts w:ascii="宋体" w:hAnsi="宋体"/>
          <w:color w:val="auto"/>
          <w:highlight w:val="none"/>
        </w:rPr>
        <w:t>法定</w:t>
      </w:r>
      <w:r>
        <w:rPr>
          <w:rFonts w:ascii="宋体" w:hAnsi="宋体"/>
          <w:color w:val="auto"/>
          <w:spacing w:val="-3"/>
          <w:highlight w:val="none"/>
        </w:rPr>
        <w:t>代</w:t>
      </w:r>
      <w:r>
        <w:rPr>
          <w:rFonts w:ascii="宋体" w:hAnsi="宋体"/>
          <w:color w:val="auto"/>
          <w:highlight w:val="none"/>
        </w:rPr>
        <w:t>表</w:t>
      </w:r>
      <w:r>
        <w:rPr>
          <w:rFonts w:ascii="宋体" w:hAnsi="宋体"/>
          <w:color w:val="auto"/>
          <w:spacing w:val="-3"/>
          <w:highlight w:val="none"/>
        </w:rPr>
        <w:t>人</w:t>
      </w:r>
      <w:r>
        <w:rPr>
          <w:rFonts w:ascii="宋体" w:hAnsi="宋体"/>
          <w:color w:val="auto"/>
          <w:highlight w:val="none"/>
        </w:rPr>
        <w:t>（</w:t>
      </w:r>
      <w:r>
        <w:rPr>
          <w:rFonts w:ascii="宋体" w:hAnsi="宋体"/>
          <w:color w:val="auto"/>
          <w:spacing w:val="-3"/>
          <w:highlight w:val="none"/>
        </w:rPr>
        <w:t>负</w:t>
      </w:r>
      <w:r>
        <w:rPr>
          <w:rFonts w:ascii="宋体" w:hAnsi="宋体"/>
          <w:color w:val="auto"/>
          <w:highlight w:val="none"/>
        </w:rPr>
        <w:t>责</w:t>
      </w:r>
      <w:r>
        <w:rPr>
          <w:rFonts w:ascii="宋体" w:hAnsi="宋体"/>
          <w:color w:val="auto"/>
          <w:spacing w:val="-3"/>
          <w:highlight w:val="none"/>
        </w:rPr>
        <w:t>人</w:t>
      </w:r>
      <w:r>
        <w:rPr>
          <w:rFonts w:ascii="宋体" w:hAnsi="宋体"/>
          <w:color w:val="auto"/>
          <w:highlight w:val="none"/>
        </w:rPr>
        <w:t>）</w:t>
      </w:r>
      <w:r>
        <w:rPr>
          <w:rFonts w:ascii="宋体" w:hAnsi="宋体"/>
          <w:color w:val="auto"/>
          <w:spacing w:val="-3"/>
          <w:highlight w:val="none"/>
        </w:rPr>
        <w:t>或</w:t>
      </w:r>
      <w:r>
        <w:rPr>
          <w:rFonts w:ascii="宋体" w:hAnsi="宋体"/>
          <w:color w:val="auto"/>
          <w:highlight w:val="none"/>
        </w:rPr>
        <w:t>授权</w:t>
      </w:r>
      <w:r>
        <w:rPr>
          <w:rFonts w:ascii="宋体" w:hAnsi="宋体"/>
          <w:color w:val="auto"/>
          <w:spacing w:val="-3"/>
          <w:highlight w:val="none"/>
        </w:rPr>
        <w:t>代</w:t>
      </w:r>
      <w:r>
        <w:rPr>
          <w:rFonts w:ascii="宋体" w:hAnsi="宋体"/>
          <w:color w:val="auto"/>
          <w:spacing w:val="-1"/>
          <w:highlight w:val="none"/>
        </w:rPr>
        <w:t>表</w:t>
      </w:r>
      <w:r>
        <w:rPr>
          <w:rFonts w:ascii="宋体" w:hAnsi="宋体"/>
          <w:color w:val="auto"/>
          <w:spacing w:val="-3"/>
          <w:highlight w:val="none"/>
        </w:rPr>
        <w:t>签</w:t>
      </w:r>
      <w:r>
        <w:rPr>
          <w:rFonts w:ascii="宋体" w:hAnsi="宋体"/>
          <w:color w:val="auto"/>
          <w:highlight w:val="none"/>
        </w:rPr>
        <w:t>字</w:t>
      </w:r>
      <w:r>
        <w:rPr>
          <w:rFonts w:ascii="宋体" w:hAnsi="宋体"/>
          <w:color w:val="auto"/>
          <w:spacing w:val="-3"/>
          <w:highlight w:val="none"/>
        </w:rPr>
        <w:t>（</w:t>
      </w:r>
      <w:r>
        <w:rPr>
          <w:rFonts w:ascii="宋体" w:hAnsi="宋体"/>
          <w:color w:val="auto"/>
          <w:highlight w:val="none"/>
        </w:rPr>
        <w:t>盖</w:t>
      </w:r>
      <w:r>
        <w:rPr>
          <w:rFonts w:ascii="宋体" w:hAnsi="宋体"/>
          <w:color w:val="auto"/>
          <w:spacing w:val="-3"/>
          <w:highlight w:val="none"/>
        </w:rPr>
        <w:t>姓</w:t>
      </w:r>
      <w:r>
        <w:rPr>
          <w:rFonts w:ascii="宋体" w:hAnsi="宋体"/>
          <w:color w:val="auto"/>
          <w:highlight w:val="none"/>
        </w:rPr>
        <w:t>名</w:t>
      </w:r>
      <w:r>
        <w:rPr>
          <w:rFonts w:ascii="宋体" w:hAnsi="宋体"/>
          <w:color w:val="auto"/>
          <w:spacing w:val="-3"/>
          <w:highlight w:val="none"/>
        </w:rPr>
        <w:t>章</w:t>
      </w:r>
      <w:r>
        <w:rPr>
          <w:rFonts w:ascii="宋体" w:hAnsi="宋体"/>
          <w:color w:val="auto"/>
          <w:highlight w:val="none"/>
        </w:rPr>
        <w:t>无效）：</w:t>
      </w:r>
    </w:p>
    <w:p>
      <w:pPr>
        <w:pStyle w:val="2"/>
        <w:tabs>
          <w:tab w:val="left" w:pos="4110"/>
          <w:tab w:val="left" w:pos="6840"/>
        </w:tabs>
        <w:spacing w:line="247" w:lineRule="auto"/>
        <w:ind w:right="2549" w:hanging="3"/>
        <w:rPr>
          <w:rFonts w:ascii="宋体" w:hAnsi="宋体"/>
          <w:color w:val="auto"/>
          <w:highlight w:val="none"/>
        </w:rPr>
      </w:pPr>
      <w:r>
        <w:rPr>
          <w:rFonts w:ascii="宋体" w:hAnsi="宋体"/>
          <w:color w:val="auto"/>
          <w:highlight w:val="none"/>
          <w:u w:val="single" w:color="000000"/>
        </w:rPr>
        <w:tab/>
      </w:r>
      <w:r>
        <w:rPr>
          <w:rFonts w:ascii="宋体" w:hAnsi="宋体"/>
          <w:color w:val="auto"/>
          <w:highlight w:val="none"/>
        </w:rPr>
        <w:t>服务商</w:t>
      </w:r>
      <w:r>
        <w:rPr>
          <w:rFonts w:ascii="宋体" w:hAnsi="宋体"/>
          <w:color w:val="auto"/>
          <w:spacing w:val="-3"/>
          <w:highlight w:val="none"/>
        </w:rPr>
        <w:t>名</w:t>
      </w:r>
      <w:r>
        <w:rPr>
          <w:rFonts w:ascii="宋体" w:hAnsi="宋体"/>
          <w:color w:val="auto"/>
          <w:spacing w:val="-1"/>
          <w:highlight w:val="none"/>
        </w:rPr>
        <w:t>称</w:t>
      </w:r>
      <w:r>
        <w:rPr>
          <w:rFonts w:ascii="宋体" w:hAnsi="宋体"/>
          <w:color w:val="auto"/>
          <w:spacing w:val="-3"/>
          <w:highlight w:val="none"/>
        </w:rPr>
        <w:t>（</w:t>
      </w:r>
      <w:r>
        <w:rPr>
          <w:rFonts w:ascii="宋体" w:hAnsi="宋体"/>
          <w:color w:val="auto"/>
          <w:highlight w:val="none"/>
        </w:rPr>
        <w:t>盖</w:t>
      </w:r>
      <w:r>
        <w:rPr>
          <w:rFonts w:ascii="宋体" w:hAnsi="宋体"/>
          <w:color w:val="auto"/>
          <w:spacing w:val="-3"/>
          <w:highlight w:val="none"/>
        </w:rPr>
        <w:t>章</w:t>
      </w:r>
      <w:r>
        <w:rPr>
          <w:rFonts w:ascii="宋体" w:hAnsi="宋体"/>
          <w:color w:val="auto"/>
          <w:highlight w:val="none"/>
        </w:rPr>
        <w:t>）：</w:t>
      </w:r>
    </w:p>
    <w:p>
      <w:pPr>
        <w:pStyle w:val="2"/>
        <w:tabs>
          <w:tab w:val="left" w:pos="1590"/>
          <w:tab w:val="left" w:pos="2221"/>
          <w:tab w:val="left" w:pos="2850"/>
        </w:tabs>
        <w:spacing w:before="3"/>
        <w:rPr>
          <w:rFonts w:ascii="宋体" w:hAnsi="宋体"/>
          <w:color w:val="auto"/>
          <w:highlight w:val="none"/>
        </w:rPr>
      </w:pPr>
      <w:r>
        <w:rPr>
          <w:rFonts w:ascii="宋体" w:hAnsi="宋体"/>
          <w:color w:val="auto"/>
          <w:highlight w:val="none"/>
        </w:rPr>
        <w:t>日</w:t>
      </w:r>
      <w:r>
        <w:rPr>
          <w:rFonts w:ascii="宋体" w:hAnsi="宋体"/>
          <w:color w:val="auto"/>
          <w:spacing w:val="-3"/>
          <w:highlight w:val="none"/>
        </w:rPr>
        <w:t>期</w:t>
      </w:r>
      <w:r>
        <w:rPr>
          <w:rFonts w:ascii="宋体" w:hAnsi="宋体"/>
          <w:color w:val="auto"/>
          <w:highlight w:val="none"/>
        </w:rPr>
        <w:t>：</w:t>
      </w:r>
      <w:r>
        <w:rPr>
          <w:rFonts w:ascii="宋体" w:hAnsi="宋体"/>
          <w:color w:val="auto"/>
          <w:highlight w:val="none"/>
          <w:u w:val="single" w:color="000000"/>
        </w:rPr>
        <w:tab/>
      </w:r>
      <w:r>
        <w:rPr>
          <w:rFonts w:ascii="宋体" w:hAnsi="宋体"/>
          <w:color w:val="auto"/>
          <w:highlight w:val="none"/>
        </w:rPr>
        <w:t>年</w:t>
      </w:r>
      <w:r>
        <w:rPr>
          <w:rFonts w:ascii="宋体" w:hAnsi="宋体"/>
          <w:color w:val="auto"/>
          <w:highlight w:val="none"/>
          <w:u w:val="single" w:color="000000"/>
        </w:rPr>
        <w:tab/>
      </w:r>
      <w:r>
        <w:rPr>
          <w:rFonts w:ascii="宋体" w:hAnsi="宋体"/>
          <w:color w:val="auto"/>
          <w:spacing w:val="-3"/>
          <w:highlight w:val="none"/>
        </w:rPr>
        <w:t>月</w:t>
      </w:r>
      <w:r>
        <w:rPr>
          <w:rFonts w:ascii="宋体" w:hAnsi="宋体"/>
          <w:color w:val="auto"/>
          <w:spacing w:val="-3"/>
          <w:highlight w:val="none"/>
          <w:u w:val="single" w:color="000000"/>
        </w:rPr>
        <w:tab/>
      </w:r>
      <w:r>
        <w:rPr>
          <w:rFonts w:ascii="宋体" w:hAnsi="宋体"/>
          <w:color w:val="auto"/>
          <w:highlight w:val="none"/>
        </w:rPr>
        <w:t>日</w:t>
      </w:r>
    </w:p>
    <w:p>
      <w:pPr>
        <w:spacing w:line="200" w:lineRule="exact"/>
        <w:rPr>
          <w:rFonts w:ascii="宋体" w:hAnsi="宋体"/>
          <w:color w:val="auto"/>
          <w:szCs w:val="21"/>
          <w:highlight w:val="none"/>
        </w:rPr>
      </w:pPr>
    </w:p>
    <w:p>
      <w:pPr>
        <w:spacing w:line="200" w:lineRule="exact"/>
        <w:rPr>
          <w:rFonts w:ascii="宋体" w:hAnsi="宋体"/>
          <w:color w:val="auto"/>
          <w:szCs w:val="21"/>
          <w:highlight w:val="none"/>
        </w:rPr>
      </w:pPr>
    </w:p>
    <w:p>
      <w:pPr>
        <w:spacing w:line="200" w:lineRule="exact"/>
        <w:rPr>
          <w:rFonts w:ascii="宋体" w:hAnsi="宋体"/>
          <w:color w:val="auto"/>
          <w:szCs w:val="21"/>
          <w:highlight w:val="none"/>
        </w:rPr>
      </w:pPr>
    </w:p>
    <w:p>
      <w:pPr>
        <w:spacing w:line="200" w:lineRule="exact"/>
        <w:rPr>
          <w:rFonts w:ascii="宋体" w:hAnsi="宋体"/>
          <w:color w:val="auto"/>
          <w:szCs w:val="21"/>
          <w:highlight w:val="none"/>
        </w:rPr>
      </w:pPr>
    </w:p>
    <w:p>
      <w:pPr>
        <w:pStyle w:val="2"/>
        <w:tabs>
          <w:tab w:val="left" w:pos="4110"/>
          <w:tab w:val="left" w:pos="6840"/>
        </w:tabs>
        <w:spacing w:line="247" w:lineRule="auto"/>
        <w:ind w:right="2549" w:hanging="3"/>
        <w:rPr>
          <w:rFonts w:ascii="宋体" w:hAnsi="宋体"/>
          <w:color w:val="auto"/>
          <w:spacing w:val="-3"/>
          <w:highlight w:val="none"/>
        </w:rPr>
      </w:pPr>
    </w:p>
    <w:p>
      <w:pPr>
        <w:pStyle w:val="2"/>
        <w:tabs>
          <w:tab w:val="left" w:pos="4110"/>
          <w:tab w:val="left" w:pos="6840"/>
        </w:tabs>
        <w:spacing w:line="247" w:lineRule="auto"/>
        <w:ind w:right="2549" w:hanging="3"/>
        <w:rPr>
          <w:rFonts w:ascii="宋体" w:hAnsi="宋体"/>
          <w:color w:val="auto"/>
          <w:spacing w:val="-3"/>
          <w:highlight w:val="none"/>
        </w:rPr>
      </w:pPr>
      <w:r>
        <w:rPr>
          <w:rFonts w:ascii="宋体" w:hAnsi="宋体"/>
          <w:color w:val="auto"/>
          <w:spacing w:val="-3"/>
          <w:highlight w:val="none"/>
        </w:rPr>
        <w:t>（3）服务商针对报价需要说明的其他文件和说明（若有）</w:t>
      </w: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highlight w:val="none"/>
        </w:rPr>
      </w:pPr>
    </w:p>
    <w:p>
      <w:pPr>
        <w:spacing w:line="200" w:lineRule="exact"/>
        <w:rPr>
          <w:rFonts w:ascii="宋体" w:hAnsi="宋体"/>
          <w:color w:val="auto"/>
          <w:szCs w:val="21"/>
          <w:highlight w:val="none"/>
        </w:rPr>
      </w:pPr>
    </w:p>
    <w:p>
      <w:pPr>
        <w:spacing w:before="12" w:line="280" w:lineRule="exact"/>
        <w:rPr>
          <w:rFonts w:ascii="宋体" w:hAnsi="宋体"/>
          <w:color w:val="auto"/>
          <w:szCs w:val="21"/>
          <w:highlight w:val="none"/>
        </w:rPr>
      </w:pPr>
    </w:p>
    <w:p>
      <w:pPr>
        <w:pStyle w:val="2"/>
        <w:spacing w:line="277" w:lineRule="auto"/>
        <w:ind w:right="343"/>
        <w:rPr>
          <w:rFonts w:ascii="宋体" w:hAnsi="宋体"/>
          <w:color w:val="auto"/>
          <w:highlight w:val="none"/>
        </w:rPr>
      </w:pPr>
      <w:r>
        <w:rPr>
          <w:rFonts w:ascii="宋体" w:hAnsi="宋体"/>
          <w:color w:val="auto"/>
          <w:highlight w:val="none"/>
        </w:rPr>
        <w:t>注</w:t>
      </w:r>
      <w:r>
        <w:rPr>
          <w:rFonts w:ascii="宋体" w:hAnsi="宋体"/>
          <w:color w:val="auto"/>
          <w:spacing w:val="-10"/>
          <w:highlight w:val="none"/>
        </w:rPr>
        <w:t>：</w:t>
      </w:r>
      <w:r>
        <w:rPr>
          <w:rFonts w:ascii="宋体" w:hAnsi="宋体"/>
          <w:color w:val="auto"/>
          <w:highlight w:val="none"/>
        </w:rPr>
        <w:t>法定代表人授权</w:t>
      </w:r>
      <w:r>
        <w:rPr>
          <w:rFonts w:ascii="宋体" w:hAnsi="宋体"/>
          <w:color w:val="auto"/>
          <w:spacing w:val="-3"/>
          <w:highlight w:val="none"/>
        </w:rPr>
        <w:t>委</w:t>
      </w:r>
      <w:r>
        <w:rPr>
          <w:rFonts w:ascii="宋体" w:hAnsi="宋体"/>
          <w:color w:val="auto"/>
          <w:highlight w:val="none"/>
        </w:rPr>
        <w:t>托书必须由法定代</w:t>
      </w:r>
      <w:r>
        <w:rPr>
          <w:rFonts w:ascii="宋体" w:hAnsi="宋体"/>
          <w:color w:val="auto"/>
          <w:spacing w:val="-3"/>
          <w:highlight w:val="none"/>
        </w:rPr>
        <w:t>表</w:t>
      </w:r>
      <w:r>
        <w:rPr>
          <w:rFonts w:ascii="宋体" w:hAnsi="宋体"/>
          <w:color w:val="auto"/>
          <w:spacing w:val="-10"/>
          <w:highlight w:val="none"/>
        </w:rPr>
        <w:t>人</w:t>
      </w:r>
      <w:r>
        <w:rPr>
          <w:rFonts w:ascii="宋体" w:hAnsi="宋体"/>
          <w:color w:val="auto"/>
          <w:highlight w:val="none"/>
          <w:u w:val="single" w:color="000000"/>
        </w:rPr>
        <w:t>（或机构负责人</w:t>
      </w:r>
      <w:r>
        <w:rPr>
          <w:rFonts w:ascii="宋体" w:hAnsi="宋体"/>
          <w:color w:val="auto"/>
          <w:spacing w:val="-10"/>
          <w:highlight w:val="none"/>
          <w:u w:val="single" w:color="000000"/>
        </w:rPr>
        <w:t>）</w:t>
      </w:r>
      <w:r>
        <w:rPr>
          <w:rFonts w:ascii="宋体" w:hAnsi="宋体"/>
          <w:color w:val="auto"/>
          <w:highlight w:val="none"/>
        </w:rPr>
        <w:t>签名或</w:t>
      </w:r>
      <w:r>
        <w:rPr>
          <w:rFonts w:ascii="宋体" w:hAnsi="宋体"/>
          <w:color w:val="auto"/>
          <w:spacing w:val="-3"/>
          <w:highlight w:val="none"/>
        </w:rPr>
        <w:t>签</w:t>
      </w:r>
      <w:r>
        <w:rPr>
          <w:rFonts w:ascii="宋体" w:hAnsi="宋体"/>
          <w:color w:val="auto"/>
          <w:highlight w:val="none"/>
        </w:rPr>
        <w:t>章并加盖单位公章</w:t>
      </w:r>
      <w:r>
        <w:rPr>
          <w:rFonts w:ascii="宋体" w:hAnsi="宋体"/>
          <w:color w:val="auto"/>
          <w:spacing w:val="-10"/>
          <w:highlight w:val="none"/>
        </w:rPr>
        <w:t>；</w:t>
      </w:r>
      <w:r>
        <w:rPr>
          <w:rFonts w:hint="eastAsia" w:ascii="宋体" w:hAnsi="宋体"/>
          <w:color w:val="auto"/>
          <w:highlight w:val="none"/>
        </w:rPr>
        <w:t>磋商</w:t>
      </w:r>
      <w:r>
        <w:rPr>
          <w:rFonts w:ascii="宋体" w:hAnsi="宋体"/>
          <w:color w:val="auto"/>
          <w:spacing w:val="-3"/>
          <w:highlight w:val="none"/>
        </w:rPr>
        <w:t>声</w:t>
      </w:r>
      <w:r>
        <w:rPr>
          <w:rFonts w:ascii="宋体" w:hAnsi="宋体"/>
          <w:color w:val="auto"/>
          <w:highlight w:val="none"/>
        </w:rPr>
        <w:t>明书、</w:t>
      </w:r>
      <w:r>
        <w:rPr>
          <w:rFonts w:hint="eastAsia" w:ascii="宋体" w:hAnsi="宋体"/>
          <w:color w:val="auto"/>
          <w:highlight w:val="none"/>
        </w:rPr>
        <w:t>磋商</w:t>
      </w:r>
      <w:r>
        <w:rPr>
          <w:rFonts w:ascii="宋体" w:hAnsi="宋体"/>
          <w:color w:val="auto"/>
          <w:highlight w:val="none"/>
        </w:rPr>
        <w:t>函、报价明细表必须由法定代表人</w:t>
      </w:r>
      <w:r>
        <w:rPr>
          <w:rFonts w:ascii="宋体" w:hAnsi="宋体"/>
          <w:color w:val="auto"/>
          <w:spacing w:val="-3"/>
          <w:highlight w:val="none"/>
          <w:u w:val="single" w:color="000000"/>
        </w:rPr>
        <w:t>（</w:t>
      </w:r>
      <w:r>
        <w:rPr>
          <w:rFonts w:ascii="宋体" w:hAnsi="宋体"/>
          <w:color w:val="auto"/>
          <w:highlight w:val="none"/>
          <w:u w:val="single" w:color="000000"/>
        </w:rPr>
        <w:t>或</w:t>
      </w:r>
      <w:r>
        <w:rPr>
          <w:rFonts w:ascii="宋体" w:hAnsi="宋体"/>
          <w:color w:val="auto"/>
          <w:spacing w:val="-3"/>
          <w:highlight w:val="none"/>
          <w:u w:val="single" w:color="000000"/>
        </w:rPr>
        <w:t>机</w:t>
      </w:r>
      <w:r>
        <w:rPr>
          <w:rFonts w:ascii="宋体" w:hAnsi="宋体"/>
          <w:color w:val="auto"/>
          <w:highlight w:val="none"/>
          <w:u w:val="single" w:color="000000"/>
        </w:rPr>
        <w:t>构负责人）</w:t>
      </w:r>
      <w:r>
        <w:rPr>
          <w:rFonts w:ascii="宋体" w:hAnsi="宋体"/>
          <w:color w:val="auto"/>
          <w:highlight w:val="none"/>
        </w:rPr>
        <w:t>或委托</w:t>
      </w:r>
      <w:r>
        <w:rPr>
          <w:rFonts w:ascii="宋体" w:hAnsi="宋体"/>
          <w:color w:val="auto"/>
          <w:spacing w:val="-3"/>
          <w:highlight w:val="none"/>
        </w:rPr>
        <w:t>代</w:t>
      </w:r>
      <w:r>
        <w:rPr>
          <w:rFonts w:ascii="宋体" w:hAnsi="宋体"/>
          <w:color w:val="auto"/>
          <w:highlight w:val="none"/>
        </w:rPr>
        <w:t>理</w:t>
      </w:r>
      <w:r>
        <w:rPr>
          <w:rFonts w:ascii="宋体" w:hAnsi="宋体"/>
          <w:color w:val="auto"/>
          <w:spacing w:val="-3"/>
          <w:highlight w:val="none"/>
        </w:rPr>
        <w:t>人</w:t>
      </w:r>
      <w:r>
        <w:rPr>
          <w:rFonts w:ascii="宋体" w:hAnsi="宋体"/>
          <w:color w:val="auto"/>
          <w:highlight w:val="none"/>
        </w:rPr>
        <w:t>签名并加盖单位公章</w:t>
      </w:r>
    </w:p>
    <w:p>
      <w:pPr>
        <w:rPr>
          <w:color w:val="auto"/>
          <w:highlight w:val="none"/>
        </w:rPr>
      </w:pPr>
    </w:p>
    <w:p>
      <w:pPr>
        <w:pStyle w:val="10"/>
        <w:spacing w:line="400" w:lineRule="exact"/>
        <w:rPr>
          <w:rFonts w:hAnsi="宋体"/>
          <w:color w:val="auto"/>
          <w:highlight w:val="none"/>
        </w:rPr>
      </w:pPr>
    </w:p>
    <w:p>
      <w:pPr>
        <w:pStyle w:val="3"/>
        <w:spacing w:line="560" w:lineRule="exact"/>
        <w:jc w:val="center"/>
        <w:rPr>
          <w:rFonts w:ascii="宋体" w:hAnsi="宋体"/>
          <w:bCs/>
          <w:color w:val="auto"/>
          <w:sz w:val="44"/>
          <w:highlight w:val="none"/>
        </w:rPr>
      </w:pPr>
      <w:bookmarkStart w:id="335" w:name="_Toc444006025"/>
      <w:bookmarkStart w:id="336" w:name="_Toc528924955"/>
      <w:bookmarkStart w:id="337" w:name="_Toc239839920"/>
      <w:bookmarkStart w:id="338" w:name="_Toc467661573"/>
      <w:bookmarkStart w:id="339" w:name="_Toc210184913"/>
      <w:bookmarkStart w:id="340" w:name="_Toc206525312"/>
      <w:bookmarkStart w:id="341" w:name="_Toc205094828"/>
      <w:bookmarkStart w:id="342" w:name="_Toc211355201"/>
      <w:r>
        <w:rPr>
          <w:rFonts w:hint="eastAsia" w:ascii="宋体" w:hAnsi="宋体"/>
          <w:bCs/>
          <w:color w:val="auto"/>
          <w:sz w:val="44"/>
          <w:highlight w:val="none"/>
        </w:rPr>
        <w:t>第七章   附件</w:t>
      </w:r>
      <w:bookmarkEnd w:id="335"/>
      <w:bookmarkEnd w:id="336"/>
      <w:bookmarkEnd w:id="337"/>
      <w:bookmarkEnd w:id="338"/>
    </w:p>
    <w:p>
      <w:pPr>
        <w:pStyle w:val="10"/>
        <w:spacing w:line="400" w:lineRule="exact"/>
        <w:rPr>
          <w:rFonts w:hAnsi="宋体"/>
          <w:color w:val="auto"/>
          <w:highlight w:val="none"/>
        </w:rPr>
      </w:pPr>
    </w:p>
    <w:p>
      <w:pPr>
        <w:pStyle w:val="5"/>
        <w:tabs>
          <w:tab w:val="left" w:pos="1717"/>
        </w:tabs>
        <w:rPr>
          <w:rFonts w:hint="eastAsia"/>
          <w:color w:val="auto"/>
          <w:highlight w:val="none"/>
        </w:rPr>
      </w:pPr>
    </w:p>
    <w:p>
      <w:pPr>
        <w:pStyle w:val="5"/>
        <w:jc w:val="center"/>
        <w:rPr>
          <w:rFonts w:ascii="宋体" w:hAnsi="宋体"/>
          <w:color w:val="auto"/>
          <w:sz w:val="21"/>
          <w:szCs w:val="21"/>
          <w:highlight w:val="none"/>
        </w:rPr>
      </w:pPr>
      <w:r>
        <w:rPr>
          <w:color w:val="auto"/>
          <w:highlight w:val="none"/>
        </w:rPr>
        <w:br w:type="page"/>
      </w:r>
      <w:bookmarkEnd w:id="339"/>
      <w:bookmarkEnd w:id="340"/>
      <w:bookmarkEnd w:id="341"/>
      <w:bookmarkEnd w:id="342"/>
      <w:bookmarkStart w:id="343" w:name="_Toc510450591"/>
      <w:bookmarkStart w:id="344" w:name="_Toc528924954"/>
      <w:r>
        <w:rPr>
          <w:rFonts w:hint="eastAsia" w:ascii="宋体" w:hAnsi="宋体"/>
          <w:color w:val="auto"/>
          <w:sz w:val="21"/>
          <w:szCs w:val="21"/>
          <w:highlight w:val="none"/>
        </w:rPr>
        <w:t>2016年1月1日至今类似项目情况表</w:t>
      </w:r>
      <w:bookmarkEnd w:id="343"/>
      <w:bookmarkEnd w:id="344"/>
    </w:p>
    <w:p>
      <w:pPr>
        <w:rPr>
          <w:color w:val="auto"/>
          <w:highlight w:val="none"/>
        </w:rPr>
      </w:pPr>
    </w:p>
    <w:tbl>
      <w:tblPr>
        <w:tblStyle w:val="20"/>
        <w:tblW w:w="9183"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600"/>
        <w:gridCol w:w="1440"/>
        <w:gridCol w:w="1855"/>
        <w:gridCol w:w="153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249" w:type="dxa"/>
            <w:vAlign w:val="center"/>
          </w:tcPr>
          <w:p>
            <w:pPr>
              <w:pStyle w:val="10"/>
              <w:rPr>
                <w:color w:val="auto"/>
                <w:highlight w:val="none"/>
              </w:rPr>
            </w:pPr>
            <w:r>
              <w:rPr>
                <w:rFonts w:hint="eastAsia"/>
                <w:color w:val="auto"/>
                <w:highlight w:val="none"/>
              </w:rPr>
              <w:t>项目名称</w:t>
            </w:r>
          </w:p>
        </w:tc>
        <w:tc>
          <w:tcPr>
            <w:tcW w:w="1600" w:type="dxa"/>
            <w:vAlign w:val="center"/>
          </w:tcPr>
          <w:p>
            <w:pPr>
              <w:pStyle w:val="10"/>
              <w:rPr>
                <w:color w:val="auto"/>
                <w:highlight w:val="none"/>
              </w:rPr>
            </w:pPr>
            <w:r>
              <w:rPr>
                <w:rFonts w:hint="eastAsia"/>
                <w:color w:val="auto"/>
                <w:highlight w:val="none"/>
              </w:rPr>
              <w:t>采购单位</w:t>
            </w:r>
          </w:p>
        </w:tc>
        <w:tc>
          <w:tcPr>
            <w:tcW w:w="1440" w:type="dxa"/>
            <w:vAlign w:val="center"/>
          </w:tcPr>
          <w:p>
            <w:pPr>
              <w:pStyle w:val="10"/>
              <w:rPr>
                <w:color w:val="auto"/>
                <w:highlight w:val="none"/>
              </w:rPr>
            </w:pPr>
            <w:r>
              <w:rPr>
                <w:rFonts w:hint="eastAsia"/>
                <w:color w:val="auto"/>
                <w:highlight w:val="none"/>
              </w:rPr>
              <w:t>项目规模</w:t>
            </w:r>
          </w:p>
        </w:tc>
        <w:tc>
          <w:tcPr>
            <w:tcW w:w="1855" w:type="dxa"/>
            <w:vAlign w:val="center"/>
          </w:tcPr>
          <w:p>
            <w:pPr>
              <w:pStyle w:val="10"/>
              <w:rPr>
                <w:color w:val="auto"/>
                <w:highlight w:val="none"/>
              </w:rPr>
            </w:pPr>
            <w:r>
              <w:rPr>
                <w:rFonts w:hint="eastAsia"/>
                <w:color w:val="auto"/>
                <w:highlight w:val="none"/>
              </w:rPr>
              <w:t>合同签订或中标通知书时间</w:t>
            </w:r>
          </w:p>
        </w:tc>
        <w:tc>
          <w:tcPr>
            <w:tcW w:w="1535" w:type="dxa"/>
            <w:vAlign w:val="center"/>
          </w:tcPr>
          <w:p>
            <w:pPr>
              <w:pStyle w:val="10"/>
              <w:rPr>
                <w:color w:val="auto"/>
                <w:highlight w:val="none"/>
              </w:rPr>
            </w:pPr>
            <w:r>
              <w:rPr>
                <w:rFonts w:hint="eastAsia"/>
                <w:color w:val="auto"/>
                <w:highlight w:val="none"/>
              </w:rPr>
              <w:t>项目负责人</w:t>
            </w:r>
          </w:p>
        </w:tc>
        <w:tc>
          <w:tcPr>
            <w:tcW w:w="1504" w:type="dxa"/>
            <w:vAlign w:val="center"/>
          </w:tcPr>
          <w:p>
            <w:pPr>
              <w:pStyle w:val="10"/>
              <w:rPr>
                <w:color w:val="auto"/>
                <w:highlight w:val="none"/>
              </w:rPr>
            </w:pPr>
            <w:r>
              <w:rPr>
                <w:rFonts w:hint="eastAsia"/>
                <w:color w:val="auto"/>
                <w:highlight w:val="none"/>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249" w:type="dxa"/>
          </w:tcPr>
          <w:p>
            <w:pPr>
              <w:pStyle w:val="10"/>
              <w:rPr>
                <w:color w:val="auto"/>
                <w:highlight w:val="none"/>
              </w:rPr>
            </w:pPr>
          </w:p>
        </w:tc>
        <w:tc>
          <w:tcPr>
            <w:tcW w:w="1600" w:type="dxa"/>
          </w:tcPr>
          <w:p>
            <w:pPr>
              <w:pStyle w:val="10"/>
              <w:rPr>
                <w:color w:val="auto"/>
                <w:highlight w:val="none"/>
              </w:rPr>
            </w:pPr>
          </w:p>
        </w:tc>
        <w:tc>
          <w:tcPr>
            <w:tcW w:w="1440" w:type="dxa"/>
          </w:tcPr>
          <w:p>
            <w:pPr>
              <w:pStyle w:val="10"/>
              <w:rPr>
                <w:color w:val="auto"/>
                <w:highlight w:val="none"/>
              </w:rPr>
            </w:pPr>
          </w:p>
        </w:tc>
        <w:tc>
          <w:tcPr>
            <w:tcW w:w="1855" w:type="dxa"/>
          </w:tcPr>
          <w:p>
            <w:pPr>
              <w:pStyle w:val="10"/>
              <w:rPr>
                <w:color w:val="auto"/>
                <w:highlight w:val="none"/>
              </w:rPr>
            </w:pPr>
          </w:p>
        </w:tc>
        <w:tc>
          <w:tcPr>
            <w:tcW w:w="1535" w:type="dxa"/>
          </w:tcPr>
          <w:p>
            <w:pPr>
              <w:pStyle w:val="10"/>
              <w:rPr>
                <w:color w:val="auto"/>
                <w:highlight w:val="none"/>
              </w:rPr>
            </w:pPr>
          </w:p>
        </w:tc>
        <w:tc>
          <w:tcPr>
            <w:tcW w:w="1504" w:type="dxa"/>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249" w:type="dxa"/>
          </w:tcPr>
          <w:p>
            <w:pPr>
              <w:pStyle w:val="10"/>
              <w:rPr>
                <w:color w:val="auto"/>
                <w:highlight w:val="none"/>
              </w:rPr>
            </w:pPr>
          </w:p>
        </w:tc>
        <w:tc>
          <w:tcPr>
            <w:tcW w:w="1600" w:type="dxa"/>
          </w:tcPr>
          <w:p>
            <w:pPr>
              <w:pStyle w:val="10"/>
              <w:rPr>
                <w:color w:val="auto"/>
                <w:highlight w:val="none"/>
              </w:rPr>
            </w:pPr>
          </w:p>
        </w:tc>
        <w:tc>
          <w:tcPr>
            <w:tcW w:w="1440" w:type="dxa"/>
          </w:tcPr>
          <w:p>
            <w:pPr>
              <w:pStyle w:val="10"/>
              <w:rPr>
                <w:color w:val="auto"/>
                <w:highlight w:val="none"/>
              </w:rPr>
            </w:pPr>
          </w:p>
        </w:tc>
        <w:tc>
          <w:tcPr>
            <w:tcW w:w="1855" w:type="dxa"/>
          </w:tcPr>
          <w:p>
            <w:pPr>
              <w:pStyle w:val="10"/>
              <w:rPr>
                <w:color w:val="auto"/>
                <w:highlight w:val="none"/>
              </w:rPr>
            </w:pPr>
          </w:p>
        </w:tc>
        <w:tc>
          <w:tcPr>
            <w:tcW w:w="1535" w:type="dxa"/>
          </w:tcPr>
          <w:p>
            <w:pPr>
              <w:pStyle w:val="10"/>
              <w:rPr>
                <w:color w:val="auto"/>
                <w:highlight w:val="none"/>
              </w:rPr>
            </w:pPr>
          </w:p>
        </w:tc>
        <w:tc>
          <w:tcPr>
            <w:tcW w:w="1504" w:type="dxa"/>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249" w:type="dxa"/>
          </w:tcPr>
          <w:p>
            <w:pPr>
              <w:pStyle w:val="10"/>
              <w:rPr>
                <w:color w:val="auto"/>
                <w:highlight w:val="none"/>
              </w:rPr>
            </w:pPr>
          </w:p>
        </w:tc>
        <w:tc>
          <w:tcPr>
            <w:tcW w:w="1600" w:type="dxa"/>
          </w:tcPr>
          <w:p>
            <w:pPr>
              <w:pStyle w:val="10"/>
              <w:rPr>
                <w:color w:val="auto"/>
                <w:highlight w:val="none"/>
              </w:rPr>
            </w:pPr>
          </w:p>
        </w:tc>
        <w:tc>
          <w:tcPr>
            <w:tcW w:w="1440" w:type="dxa"/>
          </w:tcPr>
          <w:p>
            <w:pPr>
              <w:pStyle w:val="10"/>
              <w:rPr>
                <w:color w:val="auto"/>
                <w:highlight w:val="none"/>
              </w:rPr>
            </w:pPr>
          </w:p>
        </w:tc>
        <w:tc>
          <w:tcPr>
            <w:tcW w:w="1855" w:type="dxa"/>
          </w:tcPr>
          <w:p>
            <w:pPr>
              <w:pStyle w:val="10"/>
              <w:rPr>
                <w:color w:val="auto"/>
                <w:highlight w:val="none"/>
              </w:rPr>
            </w:pPr>
          </w:p>
        </w:tc>
        <w:tc>
          <w:tcPr>
            <w:tcW w:w="1535" w:type="dxa"/>
          </w:tcPr>
          <w:p>
            <w:pPr>
              <w:pStyle w:val="10"/>
              <w:rPr>
                <w:color w:val="auto"/>
                <w:highlight w:val="none"/>
              </w:rPr>
            </w:pPr>
          </w:p>
        </w:tc>
        <w:tc>
          <w:tcPr>
            <w:tcW w:w="1504" w:type="dxa"/>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249" w:type="dxa"/>
          </w:tcPr>
          <w:p>
            <w:pPr>
              <w:pStyle w:val="10"/>
              <w:rPr>
                <w:color w:val="auto"/>
                <w:highlight w:val="none"/>
              </w:rPr>
            </w:pPr>
          </w:p>
        </w:tc>
        <w:tc>
          <w:tcPr>
            <w:tcW w:w="1600" w:type="dxa"/>
          </w:tcPr>
          <w:p>
            <w:pPr>
              <w:pStyle w:val="10"/>
              <w:rPr>
                <w:color w:val="auto"/>
                <w:highlight w:val="none"/>
              </w:rPr>
            </w:pPr>
          </w:p>
        </w:tc>
        <w:tc>
          <w:tcPr>
            <w:tcW w:w="1440" w:type="dxa"/>
          </w:tcPr>
          <w:p>
            <w:pPr>
              <w:pStyle w:val="10"/>
              <w:rPr>
                <w:color w:val="auto"/>
                <w:highlight w:val="none"/>
              </w:rPr>
            </w:pPr>
          </w:p>
        </w:tc>
        <w:tc>
          <w:tcPr>
            <w:tcW w:w="1855" w:type="dxa"/>
          </w:tcPr>
          <w:p>
            <w:pPr>
              <w:pStyle w:val="10"/>
              <w:rPr>
                <w:color w:val="auto"/>
                <w:highlight w:val="none"/>
              </w:rPr>
            </w:pPr>
          </w:p>
        </w:tc>
        <w:tc>
          <w:tcPr>
            <w:tcW w:w="1535" w:type="dxa"/>
          </w:tcPr>
          <w:p>
            <w:pPr>
              <w:pStyle w:val="10"/>
              <w:rPr>
                <w:color w:val="auto"/>
                <w:highlight w:val="none"/>
              </w:rPr>
            </w:pPr>
          </w:p>
        </w:tc>
        <w:tc>
          <w:tcPr>
            <w:tcW w:w="1504" w:type="dxa"/>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249" w:type="dxa"/>
          </w:tcPr>
          <w:p>
            <w:pPr>
              <w:pStyle w:val="10"/>
              <w:rPr>
                <w:color w:val="auto"/>
                <w:highlight w:val="none"/>
              </w:rPr>
            </w:pPr>
          </w:p>
        </w:tc>
        <w:tc>
          <w:tcPr>
            <w:tcW w:w="1600" w:type="dxa"/>
          </w:tcPr>
          <w:p>
            <w:pPr>
              <w:pStyle w:val="10"/>
              <w:rPr>
                <w:color w:val="auto"/>
                <w:highlight w:val="none"/>
              </w:rPr>
            </w:pPr>
          </w:p>
        </w:tc>
        <w:tc>
          <w:tcPr>
            <w:tcW w:w="1440" w:type="dxa"/>
          </w:tcPr>
          <w:p>
            <w:pPr>
              <w:pStyle w:val="10"/>
              <w:rPr>
                <w:color w:val="auto"/>
                <w:highlight w:val="none"/>
              </w:rPr>
            </w:pPr>
          </w:p>
        </w:tc>
        <w:tc>
          <w:tcPr>
            <w:tcW w:w="1855" w:type="dxa"/>
          </w:tcPr>
          <w:p>
            <w:pPr>
              <w:pStyle w:val="10"/>
              <w:rPr>
                <w:color w:val="auto"/>
                <w:highlight w:val="none"/>
              </w:rPr>
            </w:pPr>
          </w:p>
        </w:tc>
        <w:tc>
          <w:tcPr>
            <w:tcW w:w="1535" w:type="dxa"/>
          </w:tcPr>
          <w:p>
            <w:pPr>
              <w:pStyle w:val="10"/>
              <w:rPr>
                <w:color w:val="auto"/>
                <w:highlight w:val="none"/>
              </w:rPr>
            </w:pPr>
          </w:p>
        </w:tc>
        <w:tc>
          <w:tcPr>
            <w:tcW w:w="1504" w:type="dxa"/>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249" w:type="dxa"/>
          </w:tcPr>
          <w:p>
            <w:pPr>
              <w:pStyle w:val="10"/>
              <w:rPr>
                <w:color w:val="auto"/>
                <w:highlight w:val="none"/>
              </w:rPr>
            </w:pPr>
          </w:p>
        </w:tc>
        <w:tc>
          <w:tcPr>
            <w:tcW w:w="1600" w:type="dxa"/>
          </w:tcPr>
          <w:p>
            <w:pPr>
              <w:pStyle w:val="10"/>
              <w:rPr>
                <w:color w:val="auto"/>
                <w:highlight w:val="none"/>
              </w:rPr>
            </w:pPr>
          </w:p>
        </w:tc>
        <w:tc>
          <w:tcPr>
            <w:tcW w:w="1440" w:type="dxa"/>
          </w:tcPr>
          <w:p>
            <w:pPr>
              <w:pStyle w:val="10"/>
              <w:rPr>
                <w:color w:val="auto"/>
                <w:highlight w:val="none"/>
              </w:rPr>
            </w:pPr>
          </w:p>
        </w:tc>
        <w:tc>
          <w:tcPr>
            <w:tcW w:w="1855" w:type="dxa"/>
          </w:tcPr>
          <w:p>
            <w:pPr>
              <w:pStyle w:val="10"/>
              <w:rPr>
                <w:color w:val="auto"/>
                <w:highlight w:val="none"/>
              </w:rPr>
            </w:pPr>
          </w:p>
        </w:tc>
        <w:tc>
          <w:tcPr>
            <w:tcW w:w="1535" w:type="dxa"/>
          </w:tcPr>
          <w:p>
            <w:pPr>
              <w:pStyle w:val="10"/>
              <w:rPr>
                <w:color w:val="auto"/>
                <w:highlight w:val="none"/>
              </w:rPr>
            </w:pPr>
          </w:p>
        </w:tc>
        <w:tc>
          <w:tcPr>
            <w:tcW w:w="1504" w:type="dxa"/>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249" w:type="dxa"/>
          </w:tcPr>
          <w:p>
            <w:pPr>
              <w:pStyle w:val="10"/>
              <w:rPr>
                <w:color w:val="auto"/>
                <w:highlight w:val="none"/>
              </w:rPr>
            </w:pPr>
          </w:p>
        </w:tc>
        <w:tc>
          <w:tcPr>
            <w:tcW w:w="1600" w:type="dxa"/>
          </w:tcPr>
          <w:p>
            <w:pPr>
              <w:pStyle w:val="10"/>
              <w:rPr>
                <w:color w:val="auto"/>
                <w:highlight w:val="none"/>
              </w:rPr>
            </w:pPr>
          </w:p>
        </w:tc>
        <w:tc>
          <w:tcPr>
            <w:tcW w:w="1440" w:type="dxa"/>
          </w:tcPr>
          <w:p>
            <w:pPr>
              <w:pStyle w:val="10"/>
              <w:rPr>
                <w:color w:val="auto"/>
                <w:highlight w:val="none"/>
              </w:rPr>
            </w:pPr>
          </w:p>
        </w:tc>
        <w:tc>
          <w:tcPr>
            <w:tcW w:w="1855" w:type="dxa"/>
          </w:tcPr>
          <w:p>
            <w:pPr>
              <w:pStyle w:val="10"/>
              <w:rPr>
                <w:color w:val="auto"/>
                <w:highlight w:val="none"/>
              </w:rPr>
            </w:pPr>
          </w:p>
        </w:tc>
        <w:tc>
          <w:tcPr>
            <w:tcW w:w="1535" w:type="dxa"/>
          </w:tcPr>
          <w:p>
            <w:pPr>
              <w:pStyle w:val="10"/>
              <w:rPr>
                <w:color w:val="auto"/>
                <w:highlight w:val="none"/>
              </w:rPr>
            </w:pPr>
          </w:p>
        </w:tc>
        <w:tc>
          <w:tcPr>
            <w:tcW w:w="1504" w:type="dxa"/>
          </w:tcPr>
          <w:p>
            <w:pPr>
              <w:pStyle w:val="10"/>
              <w:rPr>
                <w:color w:val="auto"/>
                <w:highlight w:val="none"/>
              </w:rPr>
            </w:pPr>
          </w:p>
        </w:tc>
      </w:tr>
    </w:tbl>
    <w:p>
      <w:pPr>
        <w:pStyle w:val="10"/>
        <w:spacing w:line="400" w:lineRule="exact"/>
        <w:rPr>
          <w:color w:val="auto"/>
          <w:highlight w:val="none"/>
        </w:rPr>
      </w:pPr>
      <w:r>
        <w:rPr>
          <w:rFonts w:hint="eastAsia"/>
          <w:color w:val="auto"/>
          <w:highlight w:val="none"/>
        </w:rPr>
        <w:t>注：请随表需附合同、获奖证书等相关证明材料复印件。</w:t>
      </w:r>
    </w:p>
    <w:p>
      <w:pPr>
        <w:pStyle w:val="10"/>
        <w:ind w:firstLine="420"/>
        <w:rPr>
          <w:color w:val="auto"/>
          <w:szCs w:val="21"/>
          <w:highlight w:val="none"/>
          <w:u w:val="singl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17"/>
        <w:shd w:val="clear" w:color="auto" w:fill="FFFFFF"/>
        <w:spacing w:line="482" w:lineRule="atLeast"/>
        <w:jc w:val="center"/>
        <w:rPr>
          <w:color w:val="auto"/>
          <w:sz w:val="32"/>
          <w:szCs w:val="32"/>
          <w:highlight w:val="none"/>
        </w:rPr>
      </w:pPr>
      <w:r>
        <w:rPr>
          <w:rStyle w:val="22"/>
          <w:rFonts w:hint="eastAsia"/>
          <w:color w:val="auto"/>
          <w:sz w:val="32"/>
          <w:szCs w:val="32"/>
          <w:highlight w:val="none"/>
        </w:rPr>
        <w:t>中小企业声明函（若有时）</w:t>
      </w:r>
    </w:p>
    <w:p>
      <w:pPr>
        <w:pStyle w:val="17"/>
        <w:shd w:val="clear" w:color="auto" w:fill="FFFFFF"/>
        <w:spacing w:before="0" w:beforeAutospacing="0" w:after="0" w:afterAutospacing="0" w:line="460" w:lineRule="exact"/>
        <w:ind w:firstLine="539"/>
        <w:rPr>
          <w:color w:val="auto"/>
          <w:highlight w:val="none"/>
        </w:rPr>
      </w:pPr>
      <w:r>
        <w:rPr>
          <w:rFonts w:hint="eastAsia"/>
          <w:color w:val="auto"/>
          <w:highlight w:val="none"/>
        </w:rPr>
        <w:t>本公司郑重声明，根据《政府采购促进中小企业发展暂行办法》（财库〔2011〕181号）的规定，本公司为（请填写：中型、小型、微型）企业。即，本公司同时满足以下条件：</w:t>
      </w:r>
    </w:p>
    <w:p>
      <w:pPr>
        <w:pStyle w:val="17"/>
        <w:shd w:val="clear" w:color="auto" w:fill="FFFFFF"/>
        <w:spacing w:before="0" w:beforeAutospacing="0" w:after="0" w:afterAutospacing="0" w:line="460" w:lineRule="exact"/>
        <w:ind w:firstLine="539"/>
        <w:rPr>
          <w:color w:val="auto"/>
          <w:highlight w:val="none"/>
        </w:rPr>
      </w:pPr>
      <w:r>
        <w:rPr>
          <w:rFonts w:hint="eastAsia"/>
          <w:color w:val="auto"/>
          <w:highlight w:val="none"/>
        </w:rPr>
        <w:t>1.根据《工业和信息化部、国家统计局、国家发展和改革委员会、财政部关于印发中小企业划型标准规定的通知》（工信部联企业〔2011〕300号）规定的划分标准，本公司为（请填写：中型、小型、微型）企业。</w:t>
      </w:r>
    </w:p>
    <w:p>
      <w:pPr>
        <w:pStyle w:val="17"/>
        <w:shd w:val="clear" w:color="auto" w:fill="FFFFFF"/>
        <w:spacing w:before="0" w:beforeAutospacing="0" w:after="0" w:afterAutospacing="0" w:line="460" w:lineRule="exact"/>
        <w:ind w:firstLine="539"/>
        <w:rPr>
          <w:color w:val="auto"/>
          <w:highlight w:val="none"/>
        </w:rPr>
      </w:pPr>
      <w:r>
        <w:rPr>
          <w:rFonts w:hint="eastAsia"/>
          <w:color w:val="auto"/>
          <w:highlight w:val="none"/>
        </w:rPr>
        <w:t>2.本公司参加单位的项目采购活动提供本企业的服务，由本企业承担工程、提供服务，或者提供其他（请填写：中型、小型、微型）企业制造的货物。本条所称货物不包括使用大型企业注册商标的货物。</w:t>
      </w:r>
    </w:p>
    <w:p>
      <w:pPr>
        <w:pStyle w:val="17"/>
        <w:shd w:val="clear" w:color="auto" w:fill="FFFFFF"/>
        <w:spacing w:before="0" w:beforeAutospacing="0" w:after="0" w:afterAutospacing="0" w:line="460" w:lineRule="exact"/>
        <w:ind w:firstLine="539"/>
        <w:rPr>
          <w:color w:val="auto"/>
          <w:highlight w:val="none"/>
        </w:rPr>
      </w:pPr>
      <w:r>
        <w:rPr>
          <w:rFonts w:hint="eastAsia"/>
          <w:color w:val="auto"/>
          <w:highlight w:val="none"/>
        </w:rPr>
        <w:t>本公司对上述声明的真实性负责。如有虚假，将依法承担相应责任。</w:t>
      </w:r>
    </w:p>
    <w:p>
      <w:pPr>
        <w:pStyle w:val="17"/>
        <w:shd w:val="clear" w:color="auto" w:fill="FFFFFF"/>
        <w:spacing w:before="0" w:beforeAutospacing="0" w:after="0" w:afterAutospacing="0" w:line="460" w:lineRule="exact"/>
        <w:ind w:firstLine="539"/>
        <w:rPr>
          <w:color w:val="auto"/>
          <w:highlight w:val="none"/>
        </w:rPr>
      </w:pPr>
    </w:p>
    <w:p>
      <w:pPr>
        <w:pStyle w:val="17"/>
        <w:shd w:val="clear" w:color="auto" w:fill="FFFFFF"/>
        <w:spacing w:before="0" w:beforeAutospacing="0" w:after="0" w:afterAutospacing="0" w:line="460" w:lineRule="exact"/>
        <w:ind w:firstLine="539"/>
        <w:rPr>
          <w:color w:val="auto"/>
          <w:highlight w:val="none"/>
        </w:rPr>
      </w:pPr>
    </w:p>
    <w:p>
      <w:pPr>
        <w:pStyle w:val="17"/>
        <w:shd w:val="clear" w:color="auto" w:fill="FFFFFF"/>
        <w:spacing w:before="0" w:beforeAutospacing="0" w:after="0" w:afterAutospacing="0" w:line="460" w:lineRule="exact"/>
        <w:ind w:firstLine="4140"/>
        <w:rPr>
          <w:color w:val="auto"/>
          <w:highlight w:val="none"/>
        </w:rPr>
      </w:pPr>
      <w:r>
        <w:rPr>
          <w:rFonts w:hint="eastAsia"/>
          <w:color w:val="auto"/>
          <w:highlight w:val="none"/>
        </w:rPr>
        <w:t>企业名称（盖章）：</w:t>
      </w:r>
    </w:p>
    <w:p>
      <w:pPr>
        <w:pStyle w:val="17"/>
        <w:shd w:val="clear" w:color="auto" w:fill="FFFFFF"/>
        <w:spacing w:before="0" w:beforeAutospacing="0" w:after="0" w:afterAutospacing="0" w:line="460" w:lineRule="exact"/>
        <w:ind w:firstLine="4140"/>
        <w:rPr>
          <w:color w:val="auto"/>
          <w:highlight w:val="none"/>
        </w:rPr>
      </w:pPr>
      <w:r>
        <w:rPr>
          <w:rFonts w:hint="eastAsia"/>
          <w:color w:val="auto"/>
          <w:highlight w:val="none"/>
        </w:rPr>
        <w:t xml:space="preserve">日    期： </w:t>
      </w:r>
    </w:p>
    <w:p>
      <w:pPr>
        <w:spacing w:line="400" w:lineRule="exact"/>
        <w:ind w:firstLine="210" w:firstLineChars="100"/>
        <w:rPr>
          <w:color w:val="auto"/>
          <w:highlight w:val="none"/>
        </w:rPr>
      </w:pPr>
    </w:p>
    <w:p>
      <w:pPr>
        <w:spacing w:line="400" w:lineRule="exact"/>
        <w:ind w:firstLine="211" w:firstLineChars="100"/>
        <w:rPr>
          <w:b/>
          <w:color w:val="auto"/>
          <w:highlight w:val="none"/>
        </w:rPr>
      </w:pPr>
      <w:r>
        <w:rPr>
          <w:rFonts w:hint="eastAsia"/>
          <w:b/>
          <w:bCs/>
          <w:color w:val="auto"/>
          <w:szCs w:val="21"/>
          <w:highlight w:val="none"/>
        </w:rPr>
        <w:t>备注：必须附带一份“企业所在地县级以上中小企业主管部门出具的证明材料”原件，否则不会被认可</w:t>
      </w:r>
      <w:r>
        <w:rPr>
          <w:rFonts w:hint="eastAsia"/>
          <w:b/>
          <w:color w:val="auto"/>
          <w:highlight w:val="none"/>
        </w:rPr>
        <w:t>。</w:t>
      </w:r>
      <w:r>
        <w:rPr>
          <w:b/>
          <w:color w:val="auto"/>
          <w:highlight w:val="none"/>
        </w:rPr>
        <w:br w:type="page"/>
      </w:r>
    </w:p>
    <w:p>
      <w:pPr>
        <w:pStyle w:val="31"/>
        <w:shd w:val="clear" w:color="auto" w:fill="FFFFFF"/>
        <w:spacing w:before="0" w:beforeAutospacing="0" w:after="0" w:afterAutospacing="0"/>
        <w:ind w:left="1836" w:hanging="1424"/>
        <w:jc w:val="center"/>
        <w:rPr>
          <w:b/>
          <w:color w:val="auto"/>
          <w:sz w:val="32"/>
          <w:szCs w:val="32"/>
          <w:highlight w:val="none"/>
        </w:rPr>
      </w:pPr>
      <w:r>
        <w:rPr>
          <w:rFonts w:hint="eastAsia"/>
          <w:b/>
          <w:color w:val="auto"/>
          <w:sz w:val="32"/>
          <w:szCs w:val="32"/>
          <w:highlight w:val="none"/>
        </w:rPr>
        <w:t>中小企业价格扣除明细表（若有时）</w:t>
      </w:r>
    </w:p>
    <w:p>
      <w:pPr>
        <w:pStyle w:val="31"/>
        <w:shd w:val="clear" w:color="auto" w:fill="FFFFFF"/>
        <w:spacing w:before="0" w:beforeAutospacing="0" w:after="0" w:afterAutospacing="0"/>
        <w:rPr>
          <w:b/>
          <w:color w:val="auto"/>
          <w:highlight w:val="none"/>
        </w:rPr>
      </w:pPr>
    </w:p>
    <w:p>
      <w:pPr>
        <w:pStyle w:val="31"/>
        <w:shd w:val="clear" w:color="auto" w:fill="FFFFFF"/>
        <w:spacing w:before="0" w:beforeAutospacing="0" w:after="0" w:afterAutospacing="0"/>
        <w:rPr>
          <w:b/>
          <w:color w:val="auto"/>
          <w:highlight w:val="none"/>
          <w:u w:val="single"/>
        </w:rPr>
      </w:pPr>
      <w:r>
        <w:rPr>
          <w:rFonts w:hint="eastAsia"/>
          <w:b/>
          <w:color w:val="auto"/>
          <w:highlight w:val="none"/>
        </w:rPr>
        <w:t>项目名称：</w:t>
      </w:r>
    </w:p>
    <w:p>
      <w:pPr>
        <w:pStyle w:val="31"/>
        <w:shd w:val="clear" w:color="auto" w:fill="FFFFFF"/>
        <w:spacing w:before="0" w:beforeAutospacing="0" w:after="0" w:afterAutospacing="0"/>
        <w:rPr>
          <w:b/>
          <w:color w:val="auto"/>
          <w:highlight w:val="none"/>
          <w:u w:val="single"/>
        </w:rPr>
      </w:pPr>
      <w:r>
        <w:rPr>
          <w:rFonts w:hint="eastAsia"/>
          <w:b/>
          <w:color w:val="auto"/>
          <w:highlight w:val="none"/>
        </w:rPr>
        <w:t>项目编号：</w:t>
      </w:r>
    </w:p>
    <w:tbl>
      <w:tblPr>
        <w:tblStyle w:val="20"/>
        <w:tblW w:w="8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087"/>
        <w:gridCol w:w="1785"/>
        <w:gridCol w:w="171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31" w:type="dxa"/>
            <w:vAlign w:val="center"/>
          </w:tcPr>
          <w:p>
            <w:pPr>
              <w:pStyle w:val="32"/>
              <w:spacing w:before="0" w:beforeAutospacing="0" w:after="0" w:afterAutospacing="0"/>
              <w:jc w:val="center"/>
              <w:rPr>
                <w:color w:val="auto"/>
                <w:highlight w:val="none"/>
              </w:rPr>
            </w:pPr>
            <w:r>
              <w:rPr>
                <w:rFonts w:hint="eastAsia"/>
                <w:color w:val="auto"/>
                <w:highlight w:val="none"/>
              </w:rPr>
              <w:t>序号</w:t>
            </w:r>
          </w:p>
        </w:tc>
        <w:tc>
          <w:tcPr>
            <w:tcW w:w="2087" w:type="dxa"/>
            <w:vAlign w:val="center"/>
          </w:tcPr>
          <w:p>
            <w:pPr>
              <w:pStyle w:val="32"/>
              <w:spacing w:before="0" w:beforeAutospacing="0" w:after="0" w:afterAutospacing="0"/>
              <w:jc w:val="center"/>
              <w:rPr>
                <w:color w:val="auto"/>
                <w:highlight w:val="none"/>
              </w:rPr>
            </w:pPr>
            <w:r>
              <w:rPr>
                <w:rFonts w:hint="eastAsia"/>
                <w:color w:val="auto"/>
                <w:highlight w:val="none"/>
              </w:rPr>
              <w:t>小型和微型企业服务项目名称</w:t>
            </w:r>
          </w:p>
        </w:tc>
        <w:tc>
          <w:tcPr>
            <w:tcW w:w="1785" w:type="dxa"/>
            <w:vAlign w:val="center"/>
          </w:tcPr>
          <w:p>
            <w:pPr>
              <w:pStyle w:val="32"/>
              <w:spacing w:before="0" w:beforeAutospacing="0" w:after="0" w:afterAutospacing="0"/>
              <w:jc w:val="center"/>
              <w:rPr>
                <w:color w:val="auto"/>
                <w:highlight w:val="none"/>
              </w:rPr>
            </w:pPr>
            <w:r>
              <w:rPr>
                <w:rFonts w:hint="eastAsia"/>
                <w:color w:val="auto"/>
                <w:highlight w:val="none"/>
              </w:rPr>
              <w:t>金额</w:t>
            </w:r>
          </w:p>
        </w:tc>
        <w:tc>
          <w:tcPr>
            <w:tcW w:w="1719" w:type="dxa"/>
            <w:vAlign w:val="center"/>
          </w:tcPr>
          <w:p>
            <w:pPr>
              <w:pStyle w:val="32"/>
              <w:jc w:val="center"/>
              <w:rPr>
                <w:color w:val="auto"/>
                <w:highlight w:val="none"/>
              </w:rPr>
            </w:pPr>
            <w:r>
              <w:rPr>
                <w:rFonts w:hint="eastAsia"/>
                <w:color w:val="auto"/>
                <w:highlight w:val="none"/>
              </w:rPr>
              <w:t>规定价格扣除（</w:t>
            </w:r>
            <w:r>
              <w:rPr>
                <w:rFonts w:hint="eastAsia"/>
                <w:color w:val="auto"/>
                <w:highlight w:val="none"/>
                <w:lang w:eastAsia="zh-CN"/>
              </w:rPr>
              <w:t>10%</w:t>
            </w:r>
            <w:r>
              <w:rPr>
                <w:rFonts w:hint="eastAsia"/>
                <w:color w:val="auto"/>
                <w:highlight w:val="none"/>
              </w:rPr>
              <w:t>）</w:t>
            </w:r>
          </w:p>
        </w:tc>
        <w:tc>
          <w:tcPr>
            <w:tcW w:w="1719" w:type="dxa"/>
            <w:vAlign w:val="center"/>
          </w:tcPr>
          <w:p>
            <w:pPr>
              <w:pStyle w:val="32"/>
              <w:spacing w:before="0" w:beforeAutospacing="0" w:after="0" w:afterAutospacing="0"/>
              <w:jc w:val="center"/>
              <w:rPr>
                <w:color w:val="auto"/>
                <w:highlight w:val="none"/>
              </w:rPr>
            </w:pPr>
            <w:r>
              <w:rPr>
                <w:rFonts w:hint="eastAsia"/>
                <w:color w:val="auto"/>
                <w:highlight w:val="none"/>
              </w:rPr>
              <w:t>相应价格扣除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31" w:type="dxa"/>
            <w:vAlign w:val="center"/>
          </w:tcPr>
          <w:p>
            <w:pPr>
              <w:pStyle w:val="32"/>
              <w:spacing w:before="0" w:beforeAutospacing="0" w:after="0" w:afterAutospacing="0"/>
              <w:jc w:val="center"/>
              <w:rPr>
                <w:color w:val="auto"/>
                <w:highlight w:val="none"/>
              </w:rPr>
            </w:pPr>
            <w:r>
              <w:rPr>
                <w:rFonts w:hint="eastAsia"/>
                <w:color w:val="auto"/>
                <w:highlight w:val="none"/>
              </w:rPr>
              <w:t>1</w:t>
            </w:r>
          </w:p>
        </w:tc>
        <w:tc>
          <w:tcPr>
            <w:tcW w:w="2087" w:type="dxa"/>
            <w:vAlign w:val="center"/>
          </w:tcPr>
          <w:p>
            <w:pPr>
              <w:pStyle w:val="32"/>
              <w:spacing w:before="0" w:beforeAutospacing="0" w:after="0" w:afterAutospacing="0"/>
              <w:jc w:val="center"/>
              <w:rPr>
                <w:color w:val="auto"/>
                <w:highlight w:val="none"/>
              </w:rPr>
            </w:pPr>
          </w:p>
        </w:tc>
        <w:tc>
          <w:tcPr>
            <w:tcW w:w="1785" w:type="dxa"/>
            <w:vAlign w:val="center"/>
          </w:tcPr>
          <w:p>
            <w:pPr>
              <w:pStyle w:val="32"/>
              <w:spacing w:before="0" w:beforeAutospacing="0" w:after="0" w:afterAutospacing="0"/>
              <w:jc w:val="center"/>
              <w:rPr>
                <w:color w:val="auto"/>
                <w:highlight w:val="none"/>
              </w:rPr>
            </w:pPr>
          </w:p>
        </w:tc>
        <w:tc>
          <w:tcPr>
            <w:tcW w:w="1719" w:type="dxa"/>
            <w:vAlign w:val="center"/>
          </w:tcPr>
          <w:p>
            <w:pPr>
              <w:pStyle w:val="32"/>
              <w:spacing w:before="0" w:beforeAutospacing="0" w:after="0" w:afterAutospacing="0"/>
              <w:jc w:val="center"/>
              <w:rPr>
                <w:color w:val="auto"/>
                <w:highlight w:val="none"/>
              </w:rPr>
            </w:pPr>
          </w:p>
        </w:tc>
        <w:tc>
          <w:tcPr>
            <w:tcW w:w="1719" w:type="dxa"/>
            <w:vAlign w:val="center"/>
          </w:tcPr>
          <w:p>
            <w:pPr>
              <w:pStyle w:val="32"/>
              <w:spacing w:before="0" w:beforeAutospacing="0" w:after="0" w:afterAutospacing="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31" w:type="dxa"/>
            <w:vAlign w:val="center"/>
          </w:tcPr>
          <w:p>
            <w:pPr>
              <w:pStyle w:val="32"/>
              <w:spacing w:before="0" w:beforeAutospacing="0" w:after="0" w:afterAutospacing="0"/>
              <w:jc w:val="center"/>
              <w:rPr>
                <w:color w:val="auto"/>
                <w:highlight w:val="none"/>
              </w:rPr>
            </w:pPr>
            <w:r>
              <w:rPr>
                <w:rFonts w:hint="eastAsia"/>
                <w:color w:val="auto"/>
                <w:highlight w:val="none"/>
              </w:rPr>
              <w:t>2</w:t>
            </w:r>
          </w:p>
        </w:tc>
        <w:tc>
          <w:tcPr>
            <w:tcW w:w="2087" w:type="dxa"/>
            <w:vAlign w:val="center"/>
          </w:tcPr>
          <w:p>
            <w:pPr>
              <w:pStyle w:val="32"/>
              <w:spacing w:before="0" w:beforeAutospacing="0" w:after="0" w:afterAutospacing="0"/>
              <w:jc w:val="center"/>
              <w:rPr>
                <w:color w:val="auto"/>
                <w:highlight w:val="none"/>
              </w:rPr>
            </w:pPr>
          </w:p>
        </w:tc>
        <w:tc>
          <w:tcPr>
            <w:tcW w:w="1785" w:type="dxa"/>
            <w:vAlign w:val="center"/>
          </w:tcPr>
          <w:p>
            <w:pPr>
              <w:pStyle w:val="32"/>
              <w:spacing w:before="0" w:beforeAutospacing="0" w:after="0" w:afterAutospacing="0"/>
              <w:jc w:val="center"/>
              <w:rPr>
                <w:color w:val="auto"/>
                <w:highlight w:val="none"/>
              </w:rPr>
            </w:pPr>
          </w:p>
        </w:tc>
        <w:tc>
          <w:tcPr>
            <w:tcW w:w="1719" w:type="dxa"/>
            <w:vAlign w:val="center"/>
          </w:tcPr>
          <w:p>
            <w:pPr>
              <w:pStyle w:val="32"/>
              <w:spacing w:before="0" w:beforeAutospacing="0" w:after="0" w:afterAutospacing="0"/>
              <w:jc w:val="center"/>
              <w:rPr>
                <w:color w:val="auto"/>
                <w:highlight w:val="none"/>
              </w:rPr>
            </w:pPr>
          </w:p>
        </w:tc>
        <w:tc>
          <w:tcPr>
            <w:tcW w:w="1719" w:type="dxa"/>
            <w:vAlign w:val="center"/>
          </w:tcPr>
          <w:p>
            <w:pPr>
              <w:pStyle w:val="32"/>
              <w:spacing w:before="0" w:beforeAutospacing="0" w:after="0" w:afterAutospacing="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31" w:type="dxa"/>
            <w:vAlign w:val="center"/>
          </w:tcPr>
          <w:p>
            <w:pPr>
              <w:pStyle w:val="32"/>
              <w:spacing w:before="0" w:beforeAutospacing="0" w:after="0" w:afterAutospacing="0"/>
              <w:jc w:val="center"/>
              <w:rPr>
                <w:color w:val="auto"/>
                <w:highlight w:val="none"/>
              </w:rPr>
            </w:pPr>
            <w:r>
              <w:rPr>
                <w:rFonts w:hint="eastAsia"/>
                <w:color w:val="auto"/>
                <w:highlight w:val="none"/>
              </w:rPr>
              <w:t>3</w:t>
            </w:r>
          </w:p>
        </w:tc>
        <w:tc>
          <w:tcPr>
            <w:tcW w:w="2087" w:type="dxa"/>
            <w:vAlign w:val="center"/>
          </w:tcPr>
          <w:p>
            <w:pPr>
              <w:pStyle w:val="32"/>
              <w:spacing w:before="0" w:beforeAutospacing="0" w:after="0" w:afterAutospacing="0"/>
              <w:jc w:val="center"/>
              <w:rPr>
                <w:color w:val="auto"/>
                <w:highlight w:val="none"/>
              </w:rPr>
            </w:pPr>
          </w:p>
        </w:tc>
        <w:tc>
          <w:tcPr>
            <w:tcW w:w="1785" w:type="dxa"/>
            <w:vAlign w:val="center"/>
          </w:tcPr>
          <w:p>
            <w:pPr>
              <w:pStyle w:val="32"/>
              <w:spacing w:before="0" w:beforeAutospacing="0" w:after="0" w:afterAutospacing="0"/>
              <w:jc w:val="center"/>
              <w:rPr>
                <w:color w:val="auto"/>
                <w:highlight w:val="none"/>
              </w:rPr>
            </w:pPr>
          </w:p>
        </w:tc>
        <w:tc>
          <w:tcPr>
            <w:tcW w:w="1719" w:type="dxa"/>
            <w:vAlign w:val="center"/>
          </w:tcPr>
          <w:p>
            <w:pPr>
              <w:pStyle w:val="32"/>
              <w:spacing w:before="0" w:beforeAutospacing="0" w:after="0" w:afterAutospacing="0"/>
              <w:jc w:val="center"/>
              <w:rPr>
                <w:color w:val="auto"/>
                <w:highlight w:val="none"/>
              </w:rPr>
            </w:pPr>
          </w:p>
        </w:tc>
        <w:tc>
          <w:tcPr>
            <w:tcW w:w="1719" w:type="dxa"/>
            <w:vAlign w:val="center"/>
          </w:tcPr>
          <w:p>
            <w:pPr>
              <w:pStyle w:val="32"/>
              <w:spacing w:before="0" w:beforeAutospacing="0" w:after="0" w:afterAutospacing="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831" w:type="dxa"/>
            <w:vAlign w:val="center"/>
          </w:tcPr>
          <w:p>
            <w:pPr>
              <w:pStyle w:val="32"/>
              <w:spacing w:before="0" w:beforeAutospacing="0" w:after="0" w:afterAutospacing="0"/>
              <w:jc w:val="center"/>
              <w:rPr>
                <w:color w:val="auto"/>
                <w:highlight w:val="none"/>
              </w:rPr>
            </w:pPr>
            <w:r>
              <w:rPr>
                <w:rFonts w:hint="eastAsia"/>
                <w:color w:val="auto"/>
                <w:highlight w:val="none"/>
              </w:rPr>
              <w:t>…</w:t>
            </w:r>
          </w:p>
        </w:tc>
        <w:tc>
          <w:tcPr>
            <w:tcW w:w="2087" w:type="dxa"/>
            <w:vAlign w:val="center"/>
          </w:tcPr>
          <w:p>
            <w:pPr>
              <w:pStyle w:val="32"/>
              <w:spacing w:before="0" w:beforeAutospacing="0" w:after="0" w:afterAutospacing="0"/>
              <w:jc w:val="center"/>
              <w:rPr>
                <w:color w:val="auto"/>
                <w:highlight w:val="none"/>
              </w:rPr>
            </w:pPr>
          </w:p>
        </w:tc>
        <w:tc>
          <w:tcPr>
            <w:tcW w:w="1785" w:type="dxa"/>
            <w:vAlign w:val="center"/>
          </w:tcPr>
          <w:p>
            <w:pPr>
              <w:pStyle w:val="32"/>
              <w:spacing w:before="0" w:beforeAutospacing="0" w:after="0" w:afterAutospacing="0"/>
              <w:jc w:val="center"/>
              <w:rPr>
                <w:color w:val="auto"/>
                <w:highlight w:val="none"/>
              </w:rPr>
            </w:pPr>
          </w:p>
        </w:tc>
        <w:tc>
          <w:tcPr>
            <w:tcW w:w="1719" w:type="dxa"/>
            <w:vAlign w:val="center"/>
          </w:tcPr>
          <w:p>
            <w:pPr>
              <w:pStyle w:val="32"/>
              <w:spacing w:before="0" w:beforeAutospacing="0" w:after="0" w:afterAutospacing="0"/>
              <w:jc w:val="center"/>
              <w:rPr>
                <w:color w:val="auto"/>
                <w:highlight w:val="none"/>
              </w:rPr>
            </w:pPr>
          </w:p>
        </w:tc>
        <w:tc>
          <w:tcPr>
            <w:tcW w:w="1719" w:type="dxa"/>
            <w:vAlign w:val="center"/>
          </w:tcPr>
          <w:p>
            <w:pPr>
              <w:pStyle w:val="32"/>
              <w:spacing w:before="0" w:beforeAutospacing="0" w:after="0" w:afterAutospacing="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31" w:type="dxa"/>
            <w:vAlign w:val="center"/>
          </w:tcPr>
          <w:p>
            <w:pPr>
              <w:pStyle w:val="32"/>
              <w:spacing w:before="0" w:beforeAutospacing="0" w:after="0" w:afterAutospacing="0"/>
              <w:jc w:val="center"/>
              <w:rPr>
                <w:color w:val="auto"/>
                <w:highlight w:val="none"/>
              </w:rPr>
            </w:pPr>
            <w:r>
              <w:rPr>
                <w:rFonts w:hint="eastAsia"/>
                <w:color w:val="auto"/>
                <w:highlight w:val="none"/>
              </w:rPr>
              <w:t>合计</w:t>
            </w:r>
          </w:p>
        </w:tc>
        <w:tc>
          <w:tcPr>
            <w:tcW w:w="2087" w:type="dxa"/>
            <w:vAlign w:val="center"/>
          </w:tcPr>
          <w:p>
            <w:pPr>
              <w:pStyle w:val="32"/>
              <w:spacing w:before="0" w:beforeAutospacing="0" w:after="0" w:afterAutospacing="0"/>
              <w:jc w:val="center"/>
              <w:rPr>
                <w:color w:val="auto"/>
                <w:highlight w:val="none"/>
              </w:rPr>
            </w:pPr>
          </w:p>
        </w:tc>
        <w:tc>
          <w:tcPr>
            <w:tcW w:w="1785" w:type="dxa"/>
            <w:vAlign w:val="center"/>
          </w:tcPr>
          <w:p>
            <w:pPr>
              <w:pStyle w:val="32"/>
              <w:spacing w:before="0" w:beforeAutospacing="0" w:after="0" w:afterAutospacing="0"/>
              <w:jc w:val="center"/>
              <w:rPr>
                <w:color w:val="auto"/>
                <w:highlight w:val="none"/>
              </w:rPr>
            </w:pPr>
          </w:p>
        </w:tc>
        <w:tc>
          <w:tcPr>
            <w:tcW w:w="1719" w:type="dxa"/>
            <w:vAlign w:val="center"/>
          </w:tcPr>
          <w:p>
            <w:pPr>
              <w:pStyle w:val="32"/>
              <w:spacing w:before="0" w:beforeAutospacing="0" w:after="0" w:afterAutospacing="0"/>
              <w:jc w:val="center"/>
              <w:rPr>
                <w:color w:val="auto"/>
                <w:highlight w:val="none"/>
              </w:rPr>
            </w:pPr>
          </w:p>
        </w:tc>
        <w:tc>
          <w:tcPr>
            <w:tcW w:w="1719" w:type="dxa"/>
            <w:vAlign w:val="center"/>
          </w:tcPr>
          <w:p>
            <w:pPr>
              <w:pStyle w:val="32"/>
              <w:spacing w:before="0" w:beforeAutospacing="0" w:after="0" w:afterAutospacing="0"/>
              <w:jc w:val="center"/>
              <w:rPr>
                <w:color w:val="auto"/>
                <w:highlight w:val="none"/>
              </w:rPr>
            </w:pPr>
          </w:p>
        </w:tc>
      </w:tr>
    </w:tbl>
    <w:p>
      <w:pPr>
        <w:pStyle w:val="32"/>
        <w:shd w:val="clear" w:color="auto" w:fill="FFFFFF"/>
        <w:spacing w:before="0" w:beforeAutospacing="0" w:after="0" w:afterAutospacing="0"/>
        <w:rPr>
          <w:color w:val="auto"/>
          <w:highlight w:val="none"/>
        </w:rPr>
      </w:pPr>
    </w:p>
    <w:p>
      <w:pPr>
        <w:pStyle w:val="33"/>
        <w:shd w:val="clear" w:color="auto" w:fill="FFFFFF"/>
        <w:spacing w:before="0" w:beforeAutospacing="0" w:after="0" w:afterAutospacing="0"/>
        <w:rPr>
          <w:color w:val="auto"/>
          <w:highlight w:val="none"/>
        </w:rPr>
      </w:pPr>
    </w:p>
    <w:p>
      <w:pPr>
        <w:pStyle w:val="33"/>
        <w:shd w:val="clear" w:color="auto" w:fill="FFFFFF"/>
        <w:spacing w:before="0" w:beforeAutospacing="0" w:after="0" w:afterAutospacing="0"/>
        <w:rPr>
          <w:color w:val="auto"/>
          <w:highlight w:val="none"/>
        </w:rPr>
      </w:pPr>
    </w:p>
    <w:p>
      <w:pPr>
        <w:pStyle w:val="33"/>
        <w:shd w:val="clear" w:color="auto" w:fill="FFFFFF"/>
        <w:spacing w:before="0" w:beforeAutospacing="0" w:after="0" w:afterAutospacing="0"/>
        <w:ind w:firstLine="3780" w:firstLineChars="1575"/>
        <w:rPr>
          <w:color w:val="auto"/>
          <w:highlight w:val="none"/>
          <w:u w:val="single"/>
        </w:rPr>
      </w:pPr>
      <w:r>
        <w:rPr>
          <w:rFonts w:hint="eastAsia"/>
          <w:color w:val="auto"/>
          <w:highlight w:val="none"/>
        </w:rPr>
        <w:t>服务商（加盖公章）：</w:t>
      </w:r>
    </w:p>
    <w:p>
      <w:pPr>
        <w:pStyle w:val="33"/>
        <w:shd w:val="clear" w:color="auto" w:fill="FFFFFF"/>
        <w:spacing w:before="0" w:beforeAutospacing="0" w:after="0" w:afterAutospacing="0"/>
        <w:ind w:firstLine="3780" w:firstLineChars="1575"/>
        <w:rPr>
          <w:color w:val="auto"/>
          <w:highlight w:val="none"/>
        </w:rPr>
      </w:pPr>
    </w:p>
    <w:p>
      <w:pPr>
        <w:pStyle w:val="33"/>
        <w:shd w:val="clear" w:color="auto" w:fill="FFFFFF"/>
        <w:spacing w:before="0" w:beforeAutospacing="0" w:after="0" w:afterAutospacing="0"/>
        <w:ind w:firstLine="3780" w:firstLineChars="1575"/>
        <w:rPr>
          <w:color w:val="auto"/>
          <w:highlight w:val="none"/>
          <w:u w:val="single"/>
        </w:rPr>
      </w:pPr>
      <w:r>
        <w:rPr>
          <w:rFonts w:hint="eastAsia"/>
          <w:color w:val="auto"/>
          <w:highlight w:val="none"/>
        </w:rPr>
        <w:t>法定代表人或委托代理人（签字）：</w:t>
      </w:r>
    </w:p>
    <w:p>
      <w:pPr>
        <w:pStyle w:val="33"/>
        <w:shd w:val="clear" w:color="auto" w:fill="FFFFFF"/>
        <w:spacing w:before="0" w:beforeAutospacing="0" w:after="0" w:afterAutospacing="0"/>
        <w:ind w:firstLine="3780" w:firstLineChars="1575"/>
        <w:rPr>
          <w:color w:val="auto"/>
          <w:highlight w:val="none"/>
        </w:rPr>
      </w:pPr>
    </w:p>
    <w:p>
      <w:pPr>
        <w:pStyle w:val="33"/>
        <w:shd w:val="clear" w:color="auto" w:fill="FFFFFF"/>
        <w:spacing w:before="0" w:beforeAutospacing="0" w:after="0" w:afterAutospacing="0"/>
        <w:ind w:firstLine="3780" w:firstLineChars="1575"/>
        <w:rPr>
          <w:color w:val="auto"/>
          <w:highlight w:val="none"/>
          <w:u w:val="single"/>
        </w:rPr>
      </w:pPr>
      <w:r>
        <w:rPr>
          <w:rFonts w:hint="eastAsia"/>
          <w:color w:val="auto"/>
          <w:highlight w:val="none"/>
        </w:rPr>
        <w:t>日期：</w:t>
      </w:r>
    </w:p>
    <w:p>
      <w:pPr>
        <w:pStyle w:val="33"/>
        <w:shd w:val="clear" w:color="auto" w:fill="FFFFFF"/>
        <w:spacing w:before="0" w:beforeAutospacing="0" w:after="0" w:afterAutospacing="0"/>
        <w:rPr>
          <w:color w:val="auto"/>
          <w:highlight w:val="none"/>
        </w:rPr>
      </w:pPr>
    </w:p>
    <w:p>
      <w:pPr>
        <w:pStyle w:val="33"/>
        <w:shd w:val="clear" w:color="auto" w:fill="FFFFFF"/>
        <w:spacing w:before="0" w:beforeAutospacing="0" w:after="0" w:afterAutospacing="0"/>
        <w:rPr>
          <w:color w:val="auto"/>
          <w:highlight w:val="none"/>
        </w:rPr>
      </w:pPr>
    </w:p>
    <w:p>
      <w:pPr>
        <w:pStyle w:val="33"/>
        <w:shd w:val="clear" w:color="auto" w:fill="FFFFFF"/>
        <w:spacing w:before="0" w:beforeAutospacing="0" w:after="0" w:afterAutospacing="0"/>
        <w:rPr>
          <w:color w:val="auto"/>
          <w:highlight w:val="none"/>
        </w:rPr>
      </w:pPr>
    </w:p>
    <w:p>
      <w:pPr>
        <w:pStyle w:val="33"/>
        <w:shd w:val="clear" w:color="auto" w:fill="FFFFFF"/>
        <w:spacing w:before="0" w:beforeAutospacing="0" w:after="0" w:afterAutospacing="0"/>
        <w:rPr>
          <w:color w:val="auto"/>
          <w:highlight w:val="none"/>
        </w:rPr>
      </w:pPr>
    </w:p>
    <w:p>
      <w:pPr>
        <w:pStyle w:val="33"/>
        <w:shd w:val="clear" w:color="auto" w:fill="FFFFFF"/>
        <w:spacing w:before="0" w:beforeAutospacing="0" w:after="0" w:afterAutospacing="0"/>
        <w:rPr>
          <w:color w:val="auto"/>
          <w:highlight w:val="none"/>
        </w:rPr>
      </w:pPr>
    </w:p>
    <w:p>
      <w:pPr>
        <w:pStyle w:val="33"/>
        <w:shd w:val="clear" w:color="auto" w:fill="FFFFFF"/>
        <w:spacing w:before="0" w:beforeAutospacing="0" w:after="0" w:afterAutospacing="0"/>
        <w:rPr>
          <w:color w:val="auto"/>
          <w:highlight w:val="none"/>
        </w:rPr>
      </w:pPr>
    </w:p>
    <w:p>
      <w:pPr>
        <w:pStyle w:val="32"/>
        <w:shd w:val="clear" w:color="auto" w:fill="FFFFFF"/>
        <w:spacing w:before="0" w:beforeAutospacing="0" w:after="0" w:afterAutospacing="0"/>
        <w:rPr>
          <w:b/>
          <w:color w:val="auto"/>
          <w:highlight w:val="none"/>
        </w:rPr>
      </w:pPr>
      <w:r>
        <w:rPr>
          <w:rFonts w:hint="eastAsia"/>
          <w:b/>
          <w:color w:val="auto"/>
          <w:highlight w:val="none"/>
        </w:rPr>
        <w:t>说明：</w:t>
      </w:r>
    </w:p>
    <w:p>
      <w:pPr>
        <w:pStyle w:val="34"/>
        <w:shd w:val="clear" w:color="auto" w:fill="FFFFFF"/>
        <w:spacing w:before="0" w:beforeAutospacing="0" w:after="0" w:afterAutospacing="0"/>
        <w:ind w:left="360" w:hanging="360" w:hangingChars="150"/>
        <w:rPr>
          <w:color w:val="auto"/>
          <w:highlight w:val="none"/>
        </w:rPr>
      </w:pPr>
      <w:r>
        <w:rPr>
          <w:rFonts w:hint="eastAsia"/>
          <w:color w:val="auto"/>
          <w:highlight w:val="none"/>
        </w:rPr>
        <w:t>1、“相应价格扣除”为小型和微型企业的投标合计价格×磋商文件规定的价格扣除比率的优惠幅度。</w:t>
      </w:r>
    </w:p>
    <w:p>
      <w:pPr>
        <w:pStyle w:val="10"/>
        <w:spacing w:line="400" w:lineRule="exact"/>
        <w:rPr>
          <w:color w:val="auto"/>
          <w:sz w:val="24"/>
          <w:szCs w:val="24"/>
          <w:highlight w:val="none"/>
        </w:rPr>
      </w:pPr>
      <w:r>
        <w:rPr>
          <w:rFonts w:hint="eastAsia"/>
          <w:color w:val="auto"/>
          <w:sz w:val="24"/>
          <w:szCs w:val="24"/>
          <w:highlight w:val="none"/>
        </w:rPr>
        <w:t>2、计算价格扣除时四舍五入取小数点后两位。</w:t>
      </w:r>
    </w:p>
    <w:p>
      <w:pPr>
        <w:pStyle w:val="10"/>
        <w:spacing w:line="400" w:lineRule="exact"/>
        <w:rPr>
          <w:color w:val="auto"/>
          <w:sz w:val="24"/>
          <w:szCs w:val="24"/>
          <w:highlight w:val="none"/>
        </w:rPr>
      </w:pPr>
    </w:p>
    <w:p>
      <w:pPr>
        <w:pStyle w:val="10"/>
        <w:spacing w:line="400" w:lineRule="exact"/>
        <w:rPr>
          <w:color w:val="auto"/>
          <w:sz w:val="24"/>
          <w:szCs w:val="24"/>
          <w:highlight w:val="none"/>
        </w:rPr>
      </w:pPr>
    </w:p>
    <w:p>
      <w:pPr>
        <w:pStyle w:val="10"/>
        <w:spacing w:line="400" w:lineRule="exact"/>
        <w:rPr>
          <w:color w:val="auto"/>
          <w:sz w:val="24"/>
          <w:szCs w:val="24"/>
          <w:highlight w:val="none"/>
        </w:rPr>
      </w:pPr>
    </w:p>
    <w:p>
      <w:pPr>
        <w:pStyle w:val="10"/>
        <w:spacing w:line="400" w:lineRule="exact"/>
        <w:rPr>
          <w:color w:val="auto"/>
          <w:sz w:val="24"/>
          <w:szCs w:val="24"/>
          <w:highlight w:val="none"/>
        </w:rPr>
      </w:pPr>
    </w:p>
    <w:p>
      <w:pPr>
        <w:pStyle w:val="10"/>
        <w:spacing w:line="400" w:lineRule="exact"/>
        <w:rPr>
          <w:color w:val="auto"/>
          <w:sz w:val="24"/>
          <w:szCs w:val="24"/>
          <w:highlight w:val="none"/>
        </w:rPr>
      </w:pPr>
    </w:p>
    <w:p>
      <w:pPr>
        <w:pStyle w:val="10"/>
        <w:spacing w:line="400" w:lineRule="exact"/>
        <w:rPr>
          <w:color w:val="auto"/>
          <w:sz w:val="24"/>
          <w:szCs w:val="24"/>
          <w:highlight w:val="none"/>
        </w:rPr>
      </w:pPr>
    </w:p>
    <w:p>
      <w:pPr>
        <w:pStyle w:val="10"/>
        <w:spacing w:line="400" w:lineRule="exact"/>
        <w:rPr>
          <w:color w:val="auto"/>
          <w:sz w:val="24"/>
          <w:szCs w:val="24"/>
          <w:highlight w:val="none"/>
        </w:rPr>
      </w:pPr>
    </w:p>
    <w:p>
      <w:pPr>
        <w:pStyle w:val="17"/>
        <w:shd w:val="clear" w:color="auto" w:fill="FFFFFF"/>
        <w:spacing w:before="0" w:beforeAutospacing="0" w:after="0" w:afterAutospacing="0" w:line="400" w:lineRule="exact"/>
        <w:rPr>
          <w:bCs/>
          <w:color w:val="auto"/>
          <w:sz w:val="28"/>
          <w:szCs w:val="28"/>
          <w:highlight w:val="none"/>
        </w:rPr>
      </w:pPr>
    </w:p>
    <w:p>
      <w:pPr>
        <w:pStyle w:val="17"/>
        <w:shd w:val="clear" w:color="auto" w:fill="FFFFFF"/>
        <w:spacing w:before="0" w:beforeAutospacing="0" w:after="0" w:afterAutospacing="0" w:line="400" w:lineRule="exact"/>
        <w:rPr>
          <w:bCs/>
          <w:color w:val="auto"/>
          <w:sz w:val="28"/>
          <w:szCs w:val="28"/>
          <w:highlight w:val="none"/>
        </w:rPr>
      </w:pPr>
      <w:r>
        <w:rPr>
          <w:bCs/>
          <w:color w:val="auto"/>
          <w:sz w:val="28"/>
          <w:szCs w:val="28"/>
          <w:highlight w:val="none"/>
        </w:rPr>
        <w:t>《残疾人福利性单位声明函》格式（非残疾人福利性单位无需填写）</w:t>
      </w:r>
    </w:p>
    <w:p>
      <w:pPr>
        <w:spacing w:line="400" w:lineRule="exact"/>
        <w:rPr>
          <w:color w:val="auto"/>
          <w:highlight w:val="none"/>
        </w:rPr>
      </w:pPr>
    </w:p>
    <w:p>
      <w:pPr>
        <w:pStyle w:val="31"/>
        <w:shd w:val="clear" w:color="auto" w:fill="FFFFFF"/>
        <w:spacing w:before="0" w:beforeAutospacing="0" w:after="0" w:afterAutospacing="0"/>
        <w:ind w:left="1836" w:hanging="1424"/>
        <w:jc w:val="center"/>
        <w:rPr>
          <w:b/>
          <w:color w:val="auto"/>
          <w:sz w:val="32"/>
          <w:szCs w:val="32"/>
          <w:highlight w:val="none"/>
        </w:rPr>
      </w:pPr>
      <w:r>
        <w:rPr>
          <w:rFonts w:hint="eastAsia"/>
          <w:b/>
          <w:color w:val="auto"/>
          <w:sz w:val="32"/>
          <w:szCs w:val="32"/>
          <w:highlight w:val="none"/>
        </w:rPr>
        <w:t>残疾人福利性单位声明函</w:t>
      </w:r>
    </w:p>
    <w:p>
      <w:pPr>
        <w:pStyle w:val="17"/>
        <w:shd w:val="clear" w:color="auto" w:fill="FFFFFF"/>
        <w:spacing w:before="0" w:beforeAutospacing="0" w:after="0" w:afterAutospacing="0" w:line="460" w:lineRule="exact"/>
        <w:ind w:firstLine="539"/>
        <w:rPr>
          <w:color w:val="auto"/>
          <w:highlight w:val="none"/>
        </w:rPr>
      </w:pPr>
    </w:p>
    <w:p>
      <w:pPr>
        <w:pStyle w:val="17"/>
        <w:shd w:val="clear" w:color="auto" w:fill="FFFFFF"/>
        <w:spacing w:before="0" w:beforeAutospacing="0" w:after="0" w:afterAutospacing="0" w:line="460" w:lineRule="exact"/>
        <w:ind w:firstLine="539"/>
        <w:rPr>
          <w:color w:val="auto"/>
          <w:highlight w:val="none"/>
        </w:rPr>
      </w:pPr>
      <w:r>
        <w:rPr>
          <w:color w:val="auto"/>
          <w:highlight w:val="none"/>
        </w:rPr>
        <w:t>本单位郑重声明，根据《财政部 民政部 中国残疾人联合会关于促进残疾人就业政府采购政策的通知》（财库〔</w:t>
      </w:r>
      <w:r>
        <w:rPr>
          <w:rFonts w:hint="eastAsia"/>
          <w:color w:val="auto"/>
          <w:highlight w:val="none"/>
        </w:rPr>
        <w:t>2019</w:t>
      </w:r>
      <w:r>
        <w:rPr>
          <w:color w:val="auto"/>
          <w:highlight w:val="none"/>
        </w:rPr>
        <w:t>〕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pStyle w:val="17"/>
        <w:shd w:val="clear" w:color="auto" w:fill="FFFFFF"/>
        <w:spacing w:before="0" w:beforeAutospacing="0" w:after="0" w:afterAutospacing="0" w:line="460" w:lineRule="exact"/>
        <w:ind w:firstLine="539"/>
        <w:rPr>
          <w:color w:val="auto"/>
          <w:highlight w:val="none"/>
        </w:rPr>
      </w:pPr>
      <w:r>
        <w:rPr>
          <w:color w:val="auto"/>
          <w:highlight w:val="none"/>
        </w:rPr>
        <w:t>本单位对上述声明的真实性负责。如有虚假，将依法承担相应责任。</w:t>
      </w:r>
    </w:p>
    <w:p>
      <w:pPr>
        <w:pStyle w:val="17"/>
        <w:shd w:val="clear" w:color="auto" w:fill="FFFFFF"/>
        <w:spacing w:before="0" w:beforeAutospacing="0" w:after="0" w:afterAutospacing="0" w:line="460" w:lineRule="exact"/>
        <w:ind w:firstLine="539"/>
        <w:rPr>
          <w:color w:val="auto"/>
          <w:highlight w:val="none"/>
        </w:rPr>
      </w:pPr>
    </w:p>
    <w:p>
      <w:pPr>
        <w:pStyle w:val="17"/>
        <w:shd w:val="clear" w:color="auto" w:fill="FFFFFF"/>
        <w:spacing w:before="0" w:beforeAutospacing="0" w:after="0" w:afterAutospacing="0" w:line="460" w:lineRule="exact"/>
        <w:ind w:firstLine="539"/>
        <w:rPr>
          <w:color w:val="auto"/>
          <w:highlight w:val="none"/>
        </w:rPr>
      </w:pPr>
    </w:p>
    <w:p>
      <w:pPr>
        <w:pStyle w:val="17"/>
        <w:shd w:val="clear" w:color="auto" w:fill="FFFFFF"/>
        <w:spacing w:before="0" w:beforeAutospacing="0" w:after="0" w:afterAutospacing="0" w:line="460" w:lineRule="exact"/>
        <w:ind w:firstLine="4377" w:firstLineChars="1824"/>
        <w:rPr>
          <w:color w:val="auto"/>
          <w:highlight w:val="none"/>
        </w:rPr>
      </w:pPr>
      <w:r>
        <w:rPr>
          <w:color w:val="auto"/>
          <w:highlight w:val="none"/>
        </w:rPr>
        <w:t>单位名称（盖章）：</w:t>
      </w:r>
    </w:p>
    <w:p>
      <w:pPr>
        <w:pStyle w:val="17"/>
        <w:shd w:val="clear" w:color="auto" w:fill="FFFFFF"/>
        <w:spacing w:before="0" w:beforeAutospacing="0" w:after="0" w:afterAutospacing="0" w:line="460" w:lineRule="exact"/>
        <w:ind w:firstLine="4377" w:firstLineChars="1824"/>
        <w:rPr>
          <w:color w:val="auto"/>
          <w:highlight w:val="none"/>
        </w:rPr>
      </w:pPr>
      <w:r>
        <w:rPr>
          <w:color w:val="auto"/>
          <w:highlight w:val="none"/>
        </w:rPr>
        <w:t>日  期：</w:t>
      </w:r>
    </w:p>
    <w:p>
      <w:pPr>
        <w:pStyle w:val="31"/>
        <w:shd w:val="clear" w:color="auto" w:fill="FFFFFF"/>
        <w:spacing w:before="0" w:beforeAutospacing="0" w:after="0" w:afterAutospacing="0"/>
        <w:rPr>
          <w:b/>
          <w:color w:val="auto"/>
          <w:highlight w:val="none"/>
        </w:rPr>
      </w:pPr>
    </w:p>
    <w:p>
      <w:pPr>
        <w:pStyle w:val="31"/>
        <w:shd w:val="clear" w:color="auto" w:fill="FFFFFF"/>
        <w:spacing w:before="0" w:beforeAutospacing="0" w:after="0" w:afterAutospacing="0"/>
        <w:rPr>
          <w:b/>
          <w:color w:val="auto"/>
          <w:highlight w:val="none"/>
        </w:rPr>
      </w:pPr>
    </w:p>
    <w:p>
      <w:pPr>
        <w:pStyle w:val="31"/>
        <w:shd w:val="clear" w:color="auto" w:fill="FFFFFF"/>
        <w:spacing w:before="0" w:beforeAutospacing="0" w:after="0" w:afterAutospacing="0"/>
        <w:rPr>
          <w:b/>
          <w:color w:val="auto"/>
          <w:highlight w:val="none"/>
        </w:rPr>
      </w:pPr>
    </w:p>
    <w:p>
      <w:pPr>
        <w:pStyle w:val="31"/>
        <w:shd w:val="clear" w:color="auto" w:fill="FFFFFF"/>
        <w:spacing w:before="0" w:beforeAutospacing="0" w:after="0" w:afterAutospacing="0"/>
        <w:rPr>
          <w:b/>
          <w:color w:val="auto"/>
          <w:highlight w:val="none"/>
        </w:rPr>
      </w:pPr>
    </w:p>
    <w:p>
      <w:pPr>
        <w:spacing w:line="400" w:lineRule="exact"/>
        <w:rPr>
          <w:color w:val="auto"/>
          <w:highlight w:val="none"/>
          <w:u w:val="single"/>
        </w:rPr>
      </w:pPr>
      <w:r>
        <w:rPr>
          <w:color w:val="auto"/>
          <w:highlight w:val="none"/>
          <w:u w:val="single"/>
        </w:rPr>
        <w:br w:type="page"/>
      </w:r>
    </w:p>
    <w:p>
      <w:pPr>
        <w:pStyle w:val="17"/>
        <w:shd w:val="clear" w:color="auto" w:fill="FFFFFF"/>
        <w:spacing w:before="0" w:beforeAutospacing="0" w:after="0" w:afterAutospacing="0" w:line="400" w:lineRule="exact"/>
        <w:rPr>
          <w:bCs/>
          <w:color w:val="auto"/>
          <w:sz w:val="28"/>
          <w:szCs w:val="28"/>
          <w:highlight w:val="none"/>
        </w:rPr>
      </w:pPr>
      <w:r>
        <w:rPr>
          <w:bCs/>
          <w:color w:val="auto"/>
          <w:sz w:val="28"/>
          <w:szCs w:val="28"/>
          <w:highlight w:val="none"/>
        </w:rPr>
        <w:t>《广西工业产品声明函》格式（不符合桂政办发[2015]78号文要求的，无需提供）</w:t>
      </w:r>
    </w:p>
    <w:p>
      <w:pPr>
        <w:spacing w:line="400" w:lineRule="exact"/>
        <w:rPr>
          <w:color w:val="auto"/>
          <w:highlight w:val="none"/>
        </w:rPr>
      </w:pPr>
    </w:p>
    <w:p>
      <w:pPr>
        <w:pStyle w:val="31"/>
        <w:shd w:val="clear" w:color="auto" w:fill="FFFFFF"/>
        <w:spacing w:before="0" w:beforeAutospacing="0" w:after="0" w:afterAutospacing="0"/>
        <w:ind w:left="1836" w:hanging="1424"/>
        <w:jc w:val="center"/>
        <w:rPr>
          <w:b/>
          <w:color w:val="auto"/>
          <w:sz w:val="32"/>
          <w:szCs w:val="32"/>
          <w:highlight w:val="none"/>
        </w:rPr>
      </w:pPr>
      <w:r>
        <w:rPr>
          <w:b/>
          <w:color w:val="auto"/>
          <w:sz w:val="32"/>
          <w:szCs w:val="32"/>
          <w:highlight w:val="none"/>
        </w:rPr>
        <w:t>广西工业产品声明函</w:t>
      </w:r>
    </w:p>
    <w:p>
      <w:pPr>
        <w:pStyle w:val="17"/>
        <w:shd w:val="clear" w:color="auto" w:fill="FFFFFF"/>
        <w:spacing w:before="0" w:beforeAutospacing="0" w:after="0" w:afterAutospacing="0" w:line="460" w:lineRule="exact"/>
        <w:ind w:firstLine="480" w:firstLineChars="200"/>
        <w:rPr>
          <w:color w:val="auto"/>
          <w:highlight w:val="none"/>
        </w:rPr>
      </w:pPr>
      <w:r>
        <w:rPr>
          <w:color w:val="auto"/>
          <w:highlight w:val="none"/>
        </w:rPr>
        <w:t>本公司郑重声明，根据《招标采购促进广西工业产品产销对接实施细则》的规定，本公司在本次磋商/磋商中或者工程项目中提供的下述产品为广西工业产品，详情如下：</w:t>
      </w:r>
    </w:p>
    <w:tbl>
      <w:tblPr>
        <w:tblStyle w:val="20"/>
        <w:tblW w:w="928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78"/>
        <w:gridCol w:w="2075"/>
        <w:gridCol w:w="1550"/>
        <w:gridCol w:w="948"/>
        <w:gridCol w:w="2174"/>
        <w:gridCol w:w="1090"/>
        <w:gridCol w:w="7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678"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ascii="宋体" w:hAnsi="宋体" w:cs="Arial"/>
                <w:color w:val="auto"/>
                <w:kern w:val="0"/>
                <w:sz w:val="24"/>
                <w:highlight w:val="none"/>
              </w:rPr>
              <w:t>序号</w:t>
            </w:r>
          </w:p>
        </w:tc>
        <w:tc>
          <w:tcPr>
            <w:tcW w:w="207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ascii="宋体" w:hAnsi="宋体" w:cs="Arial"/>
                <w:color w:val="auto"/>
                <w:kern w:val="0"/>
                <w:sz w:val="24"/>
                <w:highlight w:val="none"/>
              </w:rPr>
              <w:t>产品名称</w:t>
            </w:r>
          </w:p>
        </w:tc>
        <w:tc>
          <w:tcPr>
            <w:tcW w:w="1550"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ascii="宋体" w:hAnsi="宋体" w:cs="Arial"/>
                <w:color w:val="auto"/>
                <w:kern w:val="0"/>
                <w:sz w:val="24"/>
                <w:highlight w:val="none"/>
              </w:rPr>
              <w:t>型号和规格</w:t>
            </w:r>
          </w:p>
        </w:tc>
        <w:tc>
          <w:tcPr>
            <w:tcW w:w="948"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ascii="宋体" w:hAnsi="宋体" w:cs="Arial"/>
                <w:color w:val="auto"/>
                <w:kern w:val="0"/>
                <w:sz w:val="24"/>
                <w:highlight w:val="none"/>
              </w:rPr>
              <w:t>数量</w:t>
            </w:r>
          </w:p>
        </w:tc>
        <w:tc>
          <w:tcPr>
            <w:tcW w:w="2174"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ascii="宋体" w:hAnsi="宋体" w:cs="Arial"/>
                <w:color w:val="auto"/>
                <w:kern w:val="0"/>
                <w:sz w:val="24"/>
                <w:highlight w:val="none"/>
              </w:rPr>
              <w:t>制造厂商及原产地</w:t>
            </w:r>
          </w:p>
        </w:tc>
        <w:tc>
          <w:tcPr>
            <w:tcW w:w="1090"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ascii="宋体" w:hAnsi="宋体" w:cs="Arial"/>
                <w:color w:val="auto"/>
                <w:kern w:val="0"/>
                <w:sz w:val="24"/>
                <w:highlight w:val="none"/>
              </w:rPr>
              <w:t>磋商价</w:t>
            </w:r>
          </w:p>
        </w:tc>
        <w:tc>
          <w:tcPr>
            <w:tcW w:w="770"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ascii="宋体" w:hAnsi="宋体" w:cs="Arial"/>
                <w:color w:val="auto"/>
                <w:kern w:val="0"/>
                <w:sz w:val="24"/>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ascii="宋体" w:hAnsi="宋体" w:cs="Arial"/>
                <w:color w:val="auto"/>
                <w:kern w:val="0"/>
                <w:sz w:val="24"/>
                <w:highlight w:val="none"/>
              </w:rPr>
              <w:t>1</w:t>
            </w:r>
          </w:p>
        </w:tc>
        <w:tc>
          <w:tcPr>
            <w:tcW w:w="20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ascii="宋体" w:hAnsi="宋体" w:cs="Arial"/>
                <w:color w:val="auto"/>
                <w:kern w:val="0"/>
                <w:sz w:val="24"/>
                <w:highlight w:val="none"/>
              </w:rPr>
              <w:t>2</w:t>
            </w:r>
          </w:p>
        </w:tc>
        <w:tc>
          <w:tcPr>
            <w:tcW w:w="20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hint="eastAsia" w:ascii="宋体" w:hAnsi="宋体" w:cs="Arial"/>
                <w:color w:val="auto"/>
                <w:kern w:val="0"/>
                <w:sz w:val="24"/>
                <w:highlight w:val="none"/>
              </w:rPr>
              <w:t>……</w:t>
            </w:r>
          </w:p>
        </w:tc>
        <w:tc>
          <w:tcPr>
            <w:tcW w:w="20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2075"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ascii="宋体" w:hAnsi="宋体" w:cs="Arial"/>
                <w:color w:val="auto"/>
                <w:kern w:val="0"/>
                <w:sz w:val="24"/>
                <w:highlight w:val="none"/>
              </w:rPr>
              <w:t>广西工业产品合计价格：</w:t>
            </w:r>
          </w:p>
        </w:tc>
        <w:tc>
          <w:tcPr>
            <w:tcW w:w="2498" w:type="dxa"/>
            <w:gridSpan w:val="2"/>
            <w:tcBorders>
              <w:top w:val="nil"/>
              <w:left w:val="nil"/>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c>
          <w:tcPr>
            <w:tcW w:w="2174"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r>
              <w:rPr>
                <w:rFonts w:ascii="宋体" w:hAnsi="宋体" w:cs="Arial"/>
                <w:color w:val="auto"/>
                <w:kern w:val="0"/>
                <w:sz w:val="24"/>
                <w:highlight w:val="none"/>
              </w:rPr>
              <w:t>占磋商总价比例：</w:t>
            </w:r>
          </w:p>
        </w:tc>
        <w:tc>
          <w:tcPr>
            <w:tcW w:w="1860"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jc w:val="center"/>
              <w:rPr>
                <w:rFonts w:ascii="宋体" w:hAnsi="宋体" w:cs="Arial"/>
                <w:color w:val="auto"/>
                <w:kern w:val="0"/>
                <w:sz w:val="24"/>
                <w:highlight w:val="none"/>
              </w:rPr>
            </w:pPr>
          </w:p>
        </w:tc>
      </w:tr>
    </w:tbl>
    <w:p>
      <w:pPr>
        <w:pStyle w:val="17"/>
        <w:shd w:val="clear" w:color="auto" w:fill="FFFFFF"/>
        <w:spacing w:before="0" w:beforeAutospacing="0" w:after="0" w:afterAutospacing="0" w:line="460" w:lineRule="exact"/>
        <w:ind w:firstLine="480" w:firstLineChars="200"/>
        <w:rPr>
          <w:color w:val="auto"/>
          <w:highlight w:val="none"/>
        </w:rPr>
      </w:pPr>
      <w:r>
        <w:rPr>
          <w:color w:val="auto"/>
          <w:highlight w:val="none"/>
        </w:rPr>
        <w:t>本公司对上述声明的真实性负责。如有虚假，将依法承担相应责任。</w:t>
      </w:r>
    </w:p>
    <w:p>
      <w:pPr>
        <w:pStyle w:val="17"/>
        <w:shd w:val="clear" w:color="auto" w:fill="FFFFFF"/>
        <w:spacing w:before="0" w:beforeAutospacing="0" w:after="0" w:afterAutospacing="0" w:line="460" w:lineRule="exact"/>
        <w:ind w:firstLine="480" w:firstLineChars="200"/>
        <w:rPr>
          <w:color w:val="auto"/>
          <w:highlight w:val="none"/>
        </w:rPr>
      </w:pPr>
    </w:p>
    <w:p>
      <w:pPr>
        <w:pStyle w:val="17"/>
        <w:shd w:val="clear" w:color="auto" w:fill="FFFFFF"/>
        <w:spacing w:before="0" w:beforeAutospacing="0" w:after="0" w:afterAutospacing="0" w:line="460" w:lineRule="exact"/>
        <w:ind w:firstLine="480" w:firstLineChars="200"/>
        <w:rPr>
          <w:color w:val="auto"/>
          <w:highlight w:val="none"/>
        </w:rPr>
      </w:pPr>
    </w:p>
    <w:p>
      <w:pPr>
        <w:pStyle w:val="17"/>
        <w:shd w:val="clear" w:color="auto" w:fill="FFFFFF"/>
        <w:spacing w:before="0" w:beforeAutospacing="0" w:after="0" w:afterAutospacing="0" w:line="460" w:lineRule="exact"/>
        <w:ind w:firstLine="4500" w:firstLineChars="1875"/>
        <w:rPr>
          <w:color w:val="auto"/>
          <w:highlight w:val="none"/>
        </w:rPr>
      </w:pPr>
      <w:r>
        <w:rPr>
          <w:color w:val="auto"/>
          <w:highlight w:val="none"/>
        </w:rPr>
        <w:t>企业名称(盖章)：</w:t>
      </w:r>
    </w:p>
    <w:p>
      <w:pPr>
        <w:pStyle w:val="17"/>
        <w:shd w:val="clear" w:color="auto" w:fill="FFFFFF"/>
        <w:spacing w:before="0" w:beforeAutospacing="0" w:after="0" w:afterAutospacing="0" w:line="460" w:lineRule="exact"/>
        <w:ind w:firstLine="4500" w:firstLineChars="1875"/>
        <w:rPr>
          <w:color w:val="auto"/>
          <w:highlight w:val="none"/>
        </w:rPr>
      </w:pPr>
      <w:r>
        <w:rPr>
          <w:color w:val="auto"/>
          <w:highlight w:val="none"/>
        </w:rPr>
        <w:t>日 期：</w:t>
      </w: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pStyle w:val="10"/>
        <w:spacing w:line="400" w:lineRule="exact"/>
        <w:rPr>
          <w:rFonts w:hAnsi="宋体"/>
          <w:b/>
          <w:color w:val="auto"/>
          <w:szCs w:val="21"/>
          <w:highlight w:val="none"/>
        </w:rPr>
      </w:pPr>
      <w:r>
        <w:rPr>
          <w:rFonts w:hint="eastAsia"/>
          <w:b/>
          <w:color w:val="auto"/>
          <w:highlight w:val="none"/>
        </w:rPr>
        <w:t>说明：</w:t>
      </w:r>
      <w:r>
        <w:rPr>
          <w:rFonts w:hint="eastAsia"/>
          <w:color w:val="auto"/>
          <w:highlight w:val="none"/>
        </w:rPr>
        <w:t>发现服务商提供虚假材料，或成交后在与采购单位履约过程中未按响应文件《广西工业产品声明函》中使用广西工业产品或者使用广西工业产品比例小于80%的，按照有关法律法规追究其相关</w:t>
      </w:r>
    </w:p>
    <w:p>
      <w:pPr>
        <w:rPr>
          <w:rFonts w:ascii="宋体" w:hAnsi="宋体"/>
          <w:b/>
          <w:bCs/>
          <w:color w:val="auto"/>
          <w:sz w:val="28"/>
          <w:szCs w:val="28"/>
          <w:highlight w:val="none"/>
        </w:rPr>
      </w:pPr>
    </w:p>
    <w:p>
      <w:pPr>
        <w:rPr>
          <w:color w:val="auto"/>
          <w:highlight w:val="none"/>
        </w:rPr>
      </w:pPr>
    </w:p>
    <w:p>
      <w:pPr>
        <w:pStyle w:val="27"/>
        <w:rPr>
          <w:color w:val="auto"/>
          <w:highlight w:val="none"/>
        </w:rPr>
      </w:pPr>
    </w:p>
    <w:p>
      <w:pPr>
        <w:pStyle w:val="10"/>
        <w:spacing w:line="400" w:lineRule="exact"/>
        <w:jc w:val="center"/>
        <w:rPr>
          <w:rFonts w:hAnsi="宋体" w:cs="宋体"/>
          <w:b/>
          <w:bCs/>
          <w:color w:val="auto"/>
          <w:kern w:val="0"/>
          <w:sz w:val="32"/>
          <w:szCs w:val="32"/>
          <w:highlight w:val="none"/>
        </w:rPr>
      </w:pPr>
      <w:r>
        <w:rPr>
          <w:rFonts w:hAnsi="宋体" w:cs="宋体"/>
          <w:b/>
          <w:bCs/>
          <w:color w:val="auto"/>
          <w:kern w:val="0"/>
          <w:sz w:val="32"/>
          <w:szCs w:val="32"/>
          <w:highlight w:val="none"/>
        </w:rPr>
        <w:t>履约保证金退付确认函</w:t>
      </w:r>
    </w:p>
    <w:tbl>
      <w:tblPr>
        <w:tblStyle w:val="20"/>
        <w:tblpPr w:leftFromText="180" w:rightFromText="180" w:vertAnchor="text" w:horzAnchor="page" w:tblpX="1512" w:tblpY="143"/>
        <w:tblOverlap w:val="never"/>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8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59" w:type="dxa"/>
            <w:vMerge w:val="restart"/>
            <w:vAlign w:val="center"/>
          </w:tcPr>
          <w:p>
            <w:pPr>
              <w:widowControl/>
              <w:snapToGrid w:val="0"/>
              <w:jc w:val="center"/>
              <w:rPr>
                <w:rFonts w:ascii="宋体" w:hAnsi="宋体" w:cs="宋体"/>
                <w:color w:val="auto"/>
                <w:kern w:val="0"/>
                <w:sz w:val="30"/>
                <w:szCs w:val="30"/>
                <w:highlight w:val="none"/>
              </w:rPr>
            </w:pPr>
            <w:r>
              <w:rPr>
                <w:rFonts w:hint="eastAsia" w:ascii="宋体" w:hAnsi="宋体" w:cs="宋体"/>
                <w:color w:val="auto"/>
                <w:kern w:val="0"/>
                <w:sz w:val="30"/>
                <w:szCs w:val="30"/>
                <w:highlight w:val="none"/>
              </w:rPr>
              <w:t>服务商申请</w:t>
            </w:r>
          </w:p>
        </w:tc>
        <w:tc>
          <w:tcPr>
            <w:tcW w:w="8781" w:type="dxa"/>
            <w:vAlign w:val="center"/>
          </w:tcPr>
          <w:p>
            <w:pPr>
              <w:widowControl/>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采购项目名称：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59" w:type="dxa"/>
            <w:vMerge w:val="continue"/>
            <w:vAlign w:val="center"/>
          </w:tcPr>
          <w:p>
            <w:pPr>
              <w:widowControl/>
              <w:snapToGrid w:val="0"/>
              <w:jc w:val="left"/>
              <w:rPr>
                <w:rFonts w:ascii="宋体" w:hAnsi="宋体" w:cs="宋体"/>
                <w:color w:val="auto"/>
                <w:kern w:val="0"/>
                <w:sz w:val="32"/>
                <w:szCs w:val="32"/>
                <w:highlight w:val="none"/>
              </w:rPr>
            </w:pPr>
          </w:p>
        </w:tc>
        <w:tc>
          <w:tcPr>
            <w:tcW w:w="8781" w:type="dxa"/>
            <w:vAlign w:val="center"/>
          </w:tcPr>
          <w:p>
            <w:pPr>
              <w:widowControl/>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采购项目编号：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659" w:type="dxa"/>
            <w:vMerge w:val="continue"/>
            <w:vAlign w:val="center"/>
          </w:tcPr>
          <w:p>
            <w:pPr>
              <w:widowControl/>
              <w:snapToGrid w:val="0"/>
              <w:jc w:val="left"/>
              <w:rPr>
                <w:rFonts w:ascii="宋体" w:hAnsi="宋体" w:cs="宋体"/>
                <w:color w:val="auto"/>
                <w:kern w:val="0"/>
                <w:sz w:val="32"/>
                <w:szCs w:val="32"/>
                <w:highlight w:val="none"/>
              </w:rPr>
            </w:pPr>
          </w:p>
        </w:tc>
        <w:tc>
          <w:tcPr>
            <w:tcW w:w="8781" w:type="dxa"/>
            <w:vAlign w:val="center"/>
          </w:tcPr>
          <w:p>
            <w:pPr>
              <w:widowControl/>
              <w:snapToGrid w:val="0"/>
              <w:spacing w:line="40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履约保证金金额：（大写）</w:t>
            </w:r>
          </w:p>
          <w:p>
            <w:pPr>
              <w:widowControl/>
              <w:snapToGrid w:val="0"/>
              <w:spacing w:line="400" w:lineRule="exact"/>
              <w:ind w:firstLine="1920" w:firstLineChars="800"/>
              <w:jc w:val="left"/>
              <w:rPr>
                <w:rFonts w:ascii="宋体" w:hAnsi="宋体" w:cs="宋体"/>
                <w:color w:val="auto"/>
                <w:kern w:val="0"/>
                <w:sz w:val="24"/>
                <w:highlight w:val="none"/>
              </w:rPr>
            </w:pPr>
            <w:r>
              <w:rPr>
                <w:rFonts w:hint="eastAsia" w:ascii="宋体" w:hAnsi="宋体" w:cs="宋体"/>
                <w:color w:val="auto"/>
                <w:kern w:val="0"/>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4" w:hRule="atLeast"/>
        </w:trPr>
        <w:tc>
          <w:tcPr>
            <w:tcW w:w="659" w:type="dxa"/>
            <w:vMerge w:val="continue"/>
            <w:vAlign w:val="center"/>
          </w:tcPr>
          <w:p>
            <w:pPr>
              <w:widowControl/>
              <w:snapToGrid w:val="0"/>
              <w:jc w:val="left"/>
              <w:rPr>
                <w:rFonts w:ascii="宋体" w:hAnsi="宋体" w:cs="宋体"/>
                <w:color w:val="auto"/>
                <w:kern w:val="0"/>
                <w:sz w:val="32"/>
                <w:szCs w:val="32"/>
                <w:highlight w:val="none"/>
              </w:rPr>
            </w:pPr>
          </w:p>
        </w:tc>
        <w:tc>
          <w:tcPr>
            <w:tcW w:w="8781" w:type="dxa"/>
            <w:vAlign w:val="center"/>
          </w:tcPr>
          <w:p>
            <w:pPr>
              <w:widowControl/>
              <w:snapToGrid w:val="0"/>
              <w:spacing w:line="40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该项目</w:t>
            </w:r>
            <w:r>
              <w:rPr>
                <w:rFonts w:hint="eastAsia"/>
                <w:color w:val="auto"/>
                <w:sz w:val="24"/>
                <w:highlight w:val="none"/>
              </w:rPr>
              <w:t>已于</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w:t>
            </w:r>
            <w:r>
              <w:rPr>
                <w:rFonts w:hint="eastAsia" w:ascii="宋体" w:hAnsi="宋体" w:cs="宋体"/>
                <w:color w:val="auto"/>
                <w:kern w:val="0"/>
                <w:sz w:val="24"/>
                <w:highlight w:val="none"/>
              </w:rPr>
              <w:t>履约完毕。请将履约金退付到以下帐户。</w:t>
            </w:r>
          </w:p>
          <w:p>
            <w:pPr>
              <w:widowControl/>
              <w:snapToGrid w:val="0"/>
              <w:spacing w:line="400" w:lineRule="exact"/>
              <w:ind w:firstLine="480" w:firstLineChars="200"/>
              <w:jc w:val="left"/>
              <w:rPr>
                <w:rFonts w:ascii="宋体" w:hAnsi="宋体" w:cs="宋体"/>
                <w:color w:val="auto"/>
                <w:kern w:val="0"/>
                <w:sz w:val="24"/>
                <w:highlight w:val="none"/>
              </w:rPr>
            </w:pPr>
          </w:p>
          <w:p>
            <w:pPr>
              <w:widowControl/>
              <w:snapToGrid w:val="0"/>
              <w:spacing w:line="40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开户名称：</w:t>
            </w:r>
          </w:p>
          <w:p>
            <w:pPr>
              <w:widowControl/>
              <w:snapToGrid w:val="0"/>
              <w:spacing w:line="40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帐    号：</w:t>
            </w:r>
          </w:p>
          <w:p>
            <w:pPr>
              <w:widowControl/>
              <w:snapToGrid w:val="0"/>
              <w:spacing w:line="40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开 户 行：</w:t>
            </w:r>
          </w:p>
          <w:p>
            <w:pPr>
              <w:widowControl/>
              <w:snapToGrid w:val="0"/>
              <w:spacing w:line="400" w:lineRule="exact"/>
              <w:jc w:val="left"/>
              <w:rPr>
                <w:rFonts w:ascii="宋体" w:hAnsi="宋体" w:cs="宋体"/>
                <w:color w:val="auto"/>
                <w:kern w:val="0"/>
                <w:sz w:val="24"/>
                <w:highlight w:val="none"/>
              </w:rPr>
            </w:pPr>
          </w:p>
          <w:p>
            <w:pPr>
              <w:widowControl/>
              <w:snapToGrid w:val="0"/>
              <w:spacing w:line="40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联系人：</w:t>
            </w:r>
          </w:p>
          <w:p>
            <w:pPr>
              <w:widowControl/>
              <w:snapToGrid w:val="0"/>
              <w:spacing w:line="40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联系电话：</w:t>
            </w:r>
          </w:p>
          <w:p>
            <w:pPr>
              <w:widowControl/>
              <w:snapToGrid w:val="0"/>
              <w:spacing w:line="400" w:lineRule="exact"/>
              <w:ind w:firstLine="4440" w:firstLineChars="1850"/>
              <w:jc w:val="left"/>
              <w:rPr>
                <w:rFonts w:ascii="宋体" w:hAnsi="宋体" w:cs="宋体"/>
                <w:color w:val="auto"/>
                <w:kern w:val="0"/>
                <w:sz w:val="24"/>
                <w:highlight w:val="none"/>
              </w:rPr>
            </w:pPr>
            <w:r>
              <w:rPr>
                <w:rFonts w:hint="eastAsia" w:ascii="宋体" w:hAnsi="宋体" w:cs="宋体"/>
                <w:color w:val="auto"/>
                <w:kern w:val="0"/>
                <w:sz w:val="24"/>
                <w:highlight w:val="none"/>
              </w:rPr>
              <w:t>服务商：（盖章）</w:t>
            </w:r>
          </w:p>
          <w:p>
            <w:pPr>
              <w:widowControl/>
              <w:snapToGrid w:val="0"/>
              <w:spacing w:line="400" w:lineRule="exact"/>
              <w:ind w:firstLine="5280" w:firstLineChars="2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4" w:hRule="atLeast"/>
        </w:trPr>
        <w:tc>
          <w:tcPr>
            <w:tcW w:w="659" w:type="dxa"/>
            <w:vAlign w:val="center"/>
          </w:tcPr>
          <w:p>
            <w:pPr>
              <w:widowControl/>
              <w:snapToGrid w:val="0"/>
              <w:jc w:val="center"/>
              <w:rPr>
                <w:rFonts w:ascii="宋体" w:hAnsi="宋体" w:cs="宋体"/>
                <w:color w:val="auto"/>
                <w:kern w:val="0"/>
                <w:sz w:val="30"/>
                <w:szCs w:val="30"/>
                <w:highlight w:val="none"/>
              </w:rPr>
            </w:pPr>
            <w:r>
              <w:rPr>
                <w:rFonts w:hint="eastAsia" w:ascii="宋体" w:hAnsi="宋体" w:cs="宋体"/>
                <w:color w:val="auto"/>
                <w:kern w:val="0"/>
                <w:sz w:val="30"/>
                <w:szCs w:val="30"/>
                <w:highlight w:val="none"/>
              </w:rPr>
              <w:t>采购单位意见</w:t>
            </w:r>
          </w:p>
        </w:tc>
        <w:tc>
          <w:tcPr>
            <w:tcW w:w="8781" w:type="dxa"/>
            <w:vAlign w:val="center"/>
          </w:tcPr>
          <w:p>
            <w:pPr>
              <w:widowControl/>
              <w:snapToGrid w:val="0"/>
              <w:spacing w:line="40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意见：(是否同意退付履约保证金)。</w:t>
            </w:r>
          </w:p>
          <w:p>
            <w:pPr>
              <w:widowControl/>
              <w:snapToGrid w:val="0"/>
              <w:spacing w:line="400" w:lineRule="exact"/>
              <w:ind w:firstLine="480" w:firstLineChars="200"/>
              <w:jc w:val="left"/>
              <w:rPr>
                <w:rFonts w:ascii="宋体" w:hAnsi="宋体" w:cs="宋体"/>
                <w:color w:val="auto"/>
                <w:kern w:val="0"/>
                <w:sz w:val="24"/>
                <w:highlight w:val="none"/>
              </w:rPr>
            </w:pPr>
          </w:p>
          <w:p>
            <w:pPr>
              <w:widowControl/>
              <w:snapToGrid w:val="0"/>
              <w:spacing w:line="400" w:lineRule="exact"/>
              <w:ind w:firstLine="480" w:firstLineChars="200"/>
              <w:jc w:val="left"/>
              <w:rPr>
                <w:rFonts w:ascii="宋体" w:hAnsi="宋体" w:cs="宋体"/>
                <w:color w:val="auto"/>
                <w:kern w:val="0"/>
                <w:sz w:val="24"/>
                <w:highlight w:val="none"/>
              </w:rPr>
            </w:pPr>
          </w:p>
          <w:p>
            <w:pPr>
              <w:widowControl/>
              <w:snapToGrid w:val="0"/>
              <w:spacing w:line="400" w:lineRule="exact"/>
              <w:ind w:firstLine="480" w:firstLineChars="200"/>
              <w:jc w:val="left"/>
              <w:rPr>
                <w:rFonts w:ascii="宋体" w:hAnsi="宋体" w:cs="宋体"/>
                <w:color w:val="auto"/>
                <w:kern w:val="0"/>
                <w:sz w:val="24"/>
                <w:highlight w:val="none"/>
              </w:rPr>
            </w:pPr>
          </w:p>
          <w:p>
            <w:pPr>
              <w:widowControl/>
              <w:snapToGrid w:val="0"/>
              <w:spacing w:line="40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单位负责人：</w:t>
            </w:r>
          </w:p>
          <w:p>
            <w:pPr>
              <w:widowControl/>
              <w:snapToGrid w:val="0"/>
              <w:spacing w:line="40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联系电话：</w:t>
            </w:r>
          </w:p>
          <w:p>
            <w:pPr>
              <w:widowControl/>
              <w:snapToGrid w:val="0"/>
              <w:spacing w:line="400" w:lineRule="exact"/>
              <w:ind w:firstLine="4440" w:firstLineChars="1850"/>
              <w:jc w:val="left"/>
              <w:rPr>
                <w:rFonts w:ascii="宋体" w:hAnsi="宋体" w:cs="宋体"/>
                <w:color w:val="auto"/>
                <w:kern w:val="0"/>
                <w:sz w:val="24"/>
                <w:highlight w:val="none"/>
              </w:rPr>
            </w:pPr>
            <w:r>
              <w:rPr>
                <w:rFonts w:hint="eastAsia" w:ascii="宋体" w:hAnsi="宋体" w:cs="宋体"/>
                <w:color w:val="auto"/>
                <w:kern w:val="0"/>
                <w:sz w:val="24"/>
                <w:highlight w:val="none"/>
              </w:rPr>
              <w:t>采购单位盖章：</w:t>
            </w:r>
          </w:p>
          <w:p>
            <w:pPr>
              <w:widowControl/>
              <w:snapToGrid w:val="0"/>
              <w:spacing w:line="400" w:lineRule="exact"/>
              <w:ind w:firstLine="5400" w:firstLineChars="225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9440" w:type="dxa"/>
            <w:gridSpan w:val="2"/>
            <w:vAlign w:val="center"/>
          </w:tcPr>
          <w:p>
            <w:pPr>
              <w:widowControl/>
              <w:snapToGrid w:val="0"/>
              <w:spacing w:line="360" w:lineRule="exact"/>
              <w:ind w:left="600" w:hanging="600" w:hangingChars="250"/>
              <w:jc w:val="left"/>
              <w:rPr>
                <w:rFonts w:ascii="宋体" w:hAnsi="宋体" w:cs="宋体"/>
                <w:color w:val="auto"/>
                <w:kern w:val="0"/>
                <w:sz w:val="24"/>
                <w:highlight w:val="none"/>
              </w:rPr>
            </w:pPr>
            <w:r>
              <w:rPr>
                <w:rFonts w:hint="eastAsia" w:ascii="宋体" w:hAnsi="宋体" w:cs="宋体"/>
                <w:color w:val="auto"/>
                <w:kern w:val="0"/>
                <w:sz w:val="24"/>
                <w:highlight w:val="none"/>
              </w:rPr>
              <w:t>备注：</w:t>
            </w:r>
            <w:r>
              <w:rPr>
                <w:rFonts w:hint="eastAsia" w:ascii="宋体" w:hAnsi="宋体" w:cs="宋体"/>
                <w:color w:val="auto"/>
                <w:spacing w:val="-6"/>
                <w:kern w:val="0"/>
                <w:sz w:val="24"/>
                <w:highlight w:val="none"/>
              </w:rPr>
              <w:t>1、附收款收据原件（如有）、银行转帐单复印件，工程类项目另附工程竣工验收报告复印件；</w:t>
            </w:r>
            <w:r>
              <w:rPr>
                <w:rFonts w:hint="eastAsia" w:ascii="宋体" w:hAnsi="宋体" w:cs="宋体"/>
                <w:color w:val="auto"/>
                <w:kern w:val="0"/>
                <w:sz w:val="24"/>
                <w:highlight w:val="none"/>
              </w:rPr>
              <w:t>2、用浆糊粘贴在左上角，不能用订书机装订。</w:t>
            </w:r>
          </w:p>
        </w:tc>
      </w:tr>
    </w:tbl>
    <w:p>
      <w:pPr>
        <w:pStyle w:val="10"/>
        <w:spacing w:line="200" w:lineRule="exact"/>
        <w:rPr>
          <w:b/>
          <w:color w:val="auto"/>
          <w:highlight w:val="none"/>
        </w:rPr>
      </w:pPr>
    </w:p>
    <w:p>
      <w:pPr>
        <w:rPr>
          <w:color w:val="auto"/>
          <w:highlight w:val="none"/>
        </w:rPr>
      </w:pPr>
    </w:p>
    <w:p>
      <w:pPr>
        <w:pStyle w:val="27"/>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A0204"/>
    <w:charset w:val="00"/>
    <w:family w:val="roman"/>
    <w:pitch w:val="default"/>
    <w:sig w:usb0="E00002FF" w:usb1="4000045F" w:usb2="00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ge">
                <wp:posOffset>10104120</wp:posOffset>
              </wp:positionV>
              <wp:extent cx="165735"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a:effectLst/>
                    </wps:spPr>
                    <wps:txbx>
                      <w:txbxContent>
                        <w:p>
                          <w:pPr>
                            <w:spacing w:line="204" w:lineRule="exact"/>
                            <w:ind w:left="40"/>
                            <w:rPr>
                              <w:rFonts w:eastAsia="Times New Roman"/>
                              <w:sz w:val="18"/>
                              <w:szCs w:val="18"/>
                            </w:rPr>
                          </w:pPr>
                          <w:r>
                            <w:fldChar w:fldCharType="begin"/>
                          </w:r>
                          <w:r>
                            <w:rPr>
                              <w:rFonts w:eastAsia="Times New Roman"/>
                              <w:sz w:val="18"/>
                              <w:szCs w:val="18"/>
                            </w:rPr>
                            <w:instrText xml:space="preserve"> PAGE </w:instrText>
                          </w:r>
                          <w:r>
                            <w:fldChar w:fldCharType="separate"/>
                          </w:r>
                          <w:r>
                            <w:rPr>
                              <w:rFonts w:eastAsia="Times New Roman"/>
                              <w:sz w:val="18"/>
                              <w:szCs w:val="18"/>
                            </w:rPr>
                            <w:t>28</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5.6pt;height:11pt;width:13.05pt;mso-position-horizontal:center;mso-position-horizontal-relative:margin;mso-position-vertical-relative:page;z-index:251667456;mso-width-relative:page;mso-height-relative:page;" filled="f" stroked="f" coordsize="21600,21600" o:gfxdata="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qRBE51wAAAAkBAAAPAAAA&#10;AAAAAAEAIAAAACIAAABkcnMvZG93bnJldi54bWxQSwECFAAUAAAACACHTuJAVv0iHaQBAAAxAwAA&#10;DgAAAAAAAAABACAAAAAmAQAAZHJzL2Uyb0RvYy54bWxQSwUGAAAAAAYABgBZAQAAPAUAAAAA&#10;">
              <v:fill on="f" focussize="0,0"/>
              <v:stroke on="f"/>
              <v:imagedata o:title=""/>
              <o:lock v:ext="edit" aspectratio="f"/>
              <v:textbox inset="0mm,0mm,0mm,0mm">
                <w:txbxContent>
                  <w:p>
                    <w:pPr>
                      <w:spacing w:line="204" w:lineRule="exact"/>
                      <w:ind w:left="40"/>
                      <w:rPr>
                        <w:rFonts w:eastAsia="Times New Roman"/>
                        <w:sz w:val="18"/>
                        <w:szCs w:val="18"/>
                      </w:rPr>
                    </w:pPr>
                    <w:r>
                      <w:fldChar w:fldCharType="begin"/>
                    </w:r>
                    <w:r>
                      <w:rPr>
                        <w:rFonts w:eastAsia="Times New Roman"/>
                        <w:sz w:val="18"/>
                        <w:szCs w:val="18"/>
                      </w:rPr>
                      <w:instrText xml:space="preserve"> PAGE </w:instrText>
                    </w:r>
                    <w:r>
                      <w:fldChar w:fldCharType="separate"/>
                    </w:r>
                    <w:r>
                      <w:rPr>
                        <w:rFonts w:eastAsia="Times New Roman"/>
                        <w:sz w:val="18"/>
                        <w:szCs w:val="18"/>
                      </w:rP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20"/>
      </w:tabs>
      <w:spacing w:line="180" w:lineRule="exact"/>
      <w:rPr>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14935" cy="14795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7155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ulvw/RAAAA&#10;AwEAAA8AAAAAAAAAAQAgAAAAIgAAAGRycy9kb3ducmV2LnhtbFBLAQIUABQAAAAIAIdO4kBo99ho&#10;sgEAAE0DAAAOAAAAAAAAAAEAIAAAACABAABkcnMvZTJvRG9jLnhtbFBLBQYAAAAABgAGAFkBAABE&#10;BQ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E1BE7F"/>
    <w:multiLevelType w:val="singleLevel"/>
    <w:tmpl w:val="45E1BE7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D234B"/>
    <w:rsid w:val="0001750E"/>
    <w:rsid w:val="00025D25"/>
    <w:rsid w:val="00037FE8"/>
    <w:rsid w:val="000604C8"/>
    <w:rsid w:val="000A0973"/>
    <w:rsid w:val="000C69E9"/>
    <w:rsid w:val="000E0D86"/>
    <w:rsid w:val="00116FDE"/>
    <w:rsid w:val="00170903"/>
    <w:rsid w:val="001829E5"/>
    <w:rsid w:val="001A0792"/>
    <w:rsid w:val="001C450D"/>
    <w:rsid w:val="001D7D7D"/>
    <w:rsid w:val="001E19EC"/>
    <w:rsid w:val="00265C38"/>
    <w:rsid w:val="00283977"/>
    <w:rsid w:val="002A6793"/>
    <w:rsid w:val="002E5076"/>
    <w:rsid w:val="00327030"/>
    <w:rsid w:val="00346453"/>
    <w:rsid w:val="00347CD3"/>
    <w:rsid w:val="003A0999"/>
    <w:rsid w:val="003B27C8"/>
    <w:rsid w:val="003B557F"/>
    <w:rsid w:val="00404648"/>
    <w:rsid w:val="004460B4"/>
    <w:rsid w:val="0046679A"/>
    <w:rsid w:val="004851EB"/>
    <w:rsid w:val="004A3C18"/>
    <w:rsid w:val="004B7617"/>
    <w:rsid w:val="00553B2C"/>
    <w:rsid w:val="005A6E3A"/>
    <w:rsid w:val="005E6555"/>
    <w:rsid w:val="00634078"/>
    <w:rsid w:val="006441F3"/>
    <w:rsid w:val="0065532C"/>
    <w:rsid w:val="00663EF3"/>
    <w:rsid w:val="00690799"/>
    <w:rsid w:val="00712BFB"/>
    <w:rsid w:val="00753AA0"/>
    <w:rsid w:val="007A1609"/>
    <w:rsid w:val="007C55A4"/>
    <w:rsid w:val="007C6E93"/>
    <w:rsid w:val="007E5DBE"/>
    <w:rsid w:val="008547C0"/>
    <w:rsid w:val="008A13C1"/>
    <w:rsid w:val="008B24B1"/>
    <w:rsid w:val="008B587A"/>
    <w:rsid w:val="008B7E1A"/>
    <w:rsid w:val="008E483C"/>
    <w:rsid w:val="0091313B"/>
    <w:rsid w:val="00935A1A"/>
    <w:rsid w:val="00937CF6"/>
    <w:rsid w:val="00941388"/>
    <w:rsid w:val="0098758E"/>
    <w:rsid w:val="009A4E8D"/>
    <w:rsid w:val="00A4476C"/>
    <w:rsid w:val="00A60AF6"/>
    <w:rsid w:val="00AB46D1"/>
    <w:rsid w:val="00AD0F42"/>
    <w:rsid w:val="00B34D69"/>
    <w:rsid w:val="00B67A8E"/>
    <w:rsid w:val="00B8456E"/>
    <w:rsid w:val="00B92D43"/>
    <w:rsid w:val="00BA2821"/>
    <w:rsid w:val="00BA3E2B"/>
    <w:rsid w:val="00BB3162"/>
    <w:rsid w:val="00C135D1"/>
    <w:rsid w:val="00C33754"/>
    <w:rsid w:val="00C57453"/>
    <w:rsid w:val="00CC679A"/>
    <w:rsid w:val="00D22774"/>
    <w:rsid w:val="00D541D5"/>
    <w:rsid w:val="00D56847"/>
    <w:rsid w:val="00D839D0"/>
    <w:rsid w:val="00DD6341"/>
    <w:rsid w:val="00DE525F"/>
    <w:rsid w:val="00E14D93"/>
    <w:rsid w:val="00E337D4"/>
    <w:rsid w:val="00E62EFF"/>
    <w:rsid w:val="00E8659A"/>
    <w:rsid w:val="00EA0D97"/>
    <w:rsid w:val="00EE677C"/>
    <w:rsid w:val="00F02F72"/>
    <w:rsid w:val="00F20773"/>
    <w:rsid w:val="00F33624"/>
    <w:rsid w:val="00F426FB"/>
    <w:rsid w:val="00F70B1A"/>
    <w:rsid w:val="00F952C4"/>
    <w:rsid w:val="00FA6B54"/>
    <w:rsid w:val="00FD113F"/>
    <w:rsid w:val="00FF1CD4"/>
    <w:rsid w:val="00FF50F7"/>
    <w:rsid w:val="012568AF"/>
    <w:rsid w:val="020068BA"/>
    <w:rsid w:val="02DE68CA"/>
    <w:rsid w:val="04237F54"/>
    <w:rsid w:val="045868AC"/>
    <w:rsid w:val="049D0A22"/>
    <w:rsid w:val="04B33FB6"/>
    <w:rsid w:val="052C7D8A"/>
    <w:rsid w:val="05D43640"/>
    <w:rsid w:val="063B629B"/>
    <w:rsid w:val="07160C2F"/>
    <w:rsid w:val="07DA0427"/>
    <w:rsid w:val="07DC180D"/>
    <w:rsid w:val="07FA0E59"/>
    <w:rsid w:val="081D3B7C"/>
    <w:rsid w:val="08F4114C"/>
    <w:rsid w:val="090F6FA1"/>
    <w:rsid w:val="09D95B9D"/>
    <w:rsid w:val="0AAD6DCD"/>
    <w:rsid w:val="0BEB3D0D"/>
    <w:rsid w:val="0C656AC5"/>
    <w:rsid w:val="0C6D5ED1"/>
    <w:rsid w:val="0CFB7F4F"/>
    <w:rsid w:val="0DB16520"/>
    <w:rsid w:val="0DBE22BC"/>
    <w:rsid w:val="0DDF2337"/>
    <w:rsid w:val="0E077F01"/>
    <w:rsid w:val="0E6A7A8F"/>
    <w:rsid w:val="0EDF2B26"/>
    <w:rsid w:val="0F3D5501"/>
    <w:rsid w:val="104873A3"/>
    <w:rsid w:val="105A0F9C"/>
    <w:rsid w:val="11273895"/>
    <w:rsid w:val="12BF1454"/>
    <w:rsid w:val="144F5264"/>
    <w:rsid w:val="14775A89"/>
    <w:rsid w:val="148407C4"/>
    <w:rsid w:val="152215CF"/>
    <w:rsid w:val="155A73B8"/>
    <w:rsid w:val="16F04F87"/>
    <w:rsid w:val="17097186"/>
    <w:rsid w:val="17712B72"/>
    <w:rsid w:val="17A81D02"/>
    <w:rsid w:val="184257DB"/>
    <w:rsid w:val="185861EF"/>
    <w:rsid w:val="1A412660"/>
    <w:rsid w:val="1C6D2736"/>
    <w:rsid w:val="1CA805E3"/>
    <w:rsid w:val="1F227D8E"/>
    <w:rsid w:val="206B717B"/>
    <w:rsid w:val="20DA286B"/>
    <w:rsid w:val="21441C6E"/>
    <w:rsid w:val="22683B0F"/>
    <w:rsid w:val="239218AD"/>
    <w:rsid w:val="23EA50B9"/>
    <w:rsid w:val="23F00819"/>
    <w:rsid w:val="24F014B7"/>
    <w:rsid w:val="25DB5B6A"/>
    <w:rsid w:val="27FE7322"/>
    <w:rsid w:val="290F13B9"/>
    <w:rsid w:val="292E14DC"/>
    <w:rsid w:val="296240E8"/>
    <w:rsid w:val="2BA0276D"/>
    <w:rsid w:val="2C067F58"/>
    <w:rsid w:val="2C254796"/>
    <w:rsid w:val="2C5A6AA1"/>
    <w:rsid w:val="2D1C3363"/>
    <w:rsid w:val="2D7325B6"/>
    <w:rsid w:val="2EF649BE"/>
    <w:rsid w:val="303D263D"/>
    <w:rsid w:val="310C2238"/>
    <w:rsid w:val="3238507D"/>
    <w:rsid w:val="328E42BC"/>
    <w:rsid w:val="33840E49"/>
    <w:rsid w:val="3462716C"/>
    <w:rsid w:val="355773CD"/>
    <w:rsid w:val="370D2A31"/>
    <w:rsid w:val="37502E0D"/>
    <w:rsid w:val="3C881C99"/>
    <w:rsid w:val="3CA4699D"/>
    <w:rsid w:val="3CDA004C"/>
    <w:rsid w:val="3DA34206"/>
    <w:rsid w:val="3E3C1819"/>
    <w:rsid w:val="3FB364DD"/>
    <w:rsid w:val="3FB84F30"/>
    <w:rsid w:val="40A318FE"/>
    <w:rsid w:val="40D42EFF"/>
    <w:rsid w:val="41174C52"/>
    <w:rsid w:val="41A95F74"/>
    <w:rsid w:val="421D234B"/>
    <w:rsid w:val="42705B7B"/>
    <w:rsid w:val="428F4A1B"/>
    <w:rsid w:val="42BD024C"/>
    <w:rsid w:val="42EF753A"/>
    <w:rsid w:val="431F63C1"/>
    <w:rsid w:val="4449523F"/>
    <w:rsid w:val="44E755C2"/>
    <w:rsid w:val="45367757"/>
    <w:rsid w:val="45735E9D"/>
    <w:rsid w:val="461B1E2A"/>
    <w:rsid w:val="471F02AA"/>
    <w:rsid w:val="47212102"/>
    <w:rsid w:val="47BD617F"/>
    <w:rsid w:val="4844680D"/>
    <w:rsid w:val="49CB6799"/>
    <w:rsid w:val="4A35713A"/>
    <w:rsid w:val="4A91780D"/>
    <w:rsid w:val="4C174610"/>
    <w:rsid w:val="4C3F48AA"/>
    <w:rsid w:val="4CDA1757"/>
    <w:rsid w:val="4D061256"/>
    <w:rsid w:val="4D5C1D2E"/>
    <w:rsid w:val="4D634A47"/>
    <w:rsid w:val="50697C67"/>
    <w:rsid w:val="50FA0D05"/>
    <w:rsid w:val="51106D38"/>
    <w:rsid w:val="519F12FE"/>
    <w:rsid w:val="51DC1336"/>
    <w:rsid w:val="52A15293"/>
    <w:rsid w:val="55DD1425"/>
    <w:rsid w:val="55E3420E"/>
    <w:rsid w:val="56752E5A"/>
    <w:rsid w:val="570C1021"/>
    <w:rsid w:val="5727601D"/>
    <w:rsid w:val="58D7167A"/>
    <w:rsid w:val="5A2933A3"/>
    <w:rsid w:val="5B1176C6"/>
    <w:rsid w:val="5B8C138B"/>
    <w:rsid w:val="5B9C40D4"/>
    <w:rsid w:val="5BCE28C3"/>
    <w:rsid w:val="5CEE69FE"/>
    <w:rsid w:val="5D70381A"/>
    <w:rsid w:val="5E5953B4"/>
    <w:rsid w:val="5E6B6EC8"/>
    <w:rsid w:val="5EE46A07"/>
    <w:rsid w:val="5EEC59A2"/>
    <w:rsid w:val="5F2F58B3"/>
    <w:rsid w:val="5FBE51DC"/>
    <w:rsid w:val="60D03C7E"/>
    <w:rsid w:val="61870A3F"/>
    <w:rsid w:val="626B461D"/>
    <w:rsid w:val="62E6508C"/>
    <w:rsid w:val="642A4A80"/>
    <w:rsid w:val="644E384D"/>
    <w:rsid w:val="64FE46E8"/>
    <w:rsid w:val="65113668"/>
    <w:rsid w:val="65455C39"/>
    <w:rsid w:val="659A6A09"/>
    <w:rsid w:val="66A86294"/>
    <w:rsid w:val="66D037CA"/>
    <w:rsid w:val="66F04459"/>
    <w:rsid w:val="67835857"/>
    <w:rsid w:val="68B043A6"/>
    <w:rsid w:val="6ACF5616"/>
    <w:rsid w:val="6BAF5C15"/>
    <w:rsid w:val="6BF84E9F"/>
    <w:rsid w:val="6C2310B2"/>
    <w:rsid w:val="6C90681D"/>
    <w:rsid w:val="6D69403B"/>
    <w:rsid w:val="6F004A9B"/>
    <w:rsid w:val="6F00571C"/>
    <w:rsid w:val="71AE2C42"/>
    <w:rsid w:val="72B62B43"/>
    <w:rsid w:val="73BE1222"/>
    <w:rsid w:val="74D133B7"/>
    <w:rsid w:val="760B379D"/>
    <w:rsid w:val="76762C94"/>
    <w:rsid w:val="772F541F"/>
    <w:rsid w:val="7832202F"/>
    <w:rsid w:val="791E4282"/>
    <w:rsid w:val="79EE645F"/>
    <w:rsid w:val="7A131A72"/>
    <w:rsid w:val="7A646251"/>
    <w:rsid w:val="7A937CBB"/>
    <w:rsid w:val="7B3E1392"/>
    <w:rsid w:val="7B977FC7"/>
    <w:rsid w:val="7C0C0FFC"/>
    <w:rsid w:val="7CF763D4"/>
    <w:rsid w:val="7D414BE5"/>
    <w:rsid w:val="7D491E2D"/>
    <w:rsid w:val="7F2155B1"/>
    <w:rsid w:val="7F8247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outlineLvl w:val="0"/>
    </w:pPr>
    <w:rPr>
      <w:b/>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ind w:firstLine="420"/>
    </w:pPr>
    <w:rPr>
      <w:szCs w:val="20"/>
    </w:rPr>
  </w:style>
  <w:style w:type="paragraph" w:styleId="7">
    <w:name w:val="Document Map"/>
    <w:basedOn w:val="1"/>
    <w:link w:val="37"/>
    <w:qFormat/>
    <w:uiPriority w:val="0"/>
    <w:rPr>
      <w:rFonts w:ascii="宋体"/>
      <w:sz w:val="18"/>
      <w:szCs w:val="18"/>
    </w:rPr>
  </w:style>
  <w:style w:type="paragraph" w:styleId="8">
    <w:name w:val="annotation text"/>
    <w:basedOn w:val="1"/>
    <w:link w:val="40"/>
    <w:qFormat/>
    <w:uiPriority w:val="0"/>
    <w:pPr>
      <w:jc w:val="left"/>
    </w:pPr>
  </w:style>
  <w:style w:type="paragraph" w:styleId="9">
    <w:name w:val="toc 3"/>
    <w:basedOn w:val="1"/>
    <w:next w:val="1"/>
    <w:qFormat/>
    <w:uiPriority w:val="39"/>
    <w:pPr>
      <w:ind w:left="840" w:leftChars="400"/>
    </w:pPr>
  </w:style>
  <w:style w:type="paragraph" w:styleId="10">
    <w:name w:val="Plain Text"/>
    <w:basedOn w:val="1"/>
    <w:next w:val="1"/>
    <w:qFormat/>
    <w:uiPriority w:val="0"/>
    <w:rPr>
      <w:rFonts w:ascii="宋体" w:hAnsi="Courier New"/>
      <w:szCs w:val="20"/>
    </w:rPr>
  </w:style>
  <w:style w:type="paragraph" w:styleId="11">
    <w:name w:val="Balloon Text"/>
    <w:basedOn w:val="1"/>
    <w:link w:val="38"/>
    <w:qFormat/>
    <w:uiPriority w:val="0"/>
    <w:rPr>
      <w:sz w:val="18"/>
      <w:szCs w:val="18"/>
    </w:rPr>
  </w:style>
  <w:style w:type="paragraph" w:styleId="12">
    <w:name w:val="footer"/>
    <w:basedOn w:val="1"/>
    <w:qFormat/>
    <w:uiPriority w:val="0"/>
    <w:pPr>
      <w:tabs>
        <w:tab w:val="center" w:pos="4153"/>
        <w:tab w:val="right" w:pos="8306"/>
      </w:tabs>
      <w:snapToGrid w:val="0"/>
      <w:jc w:val="left"/>
    </w:pPr>
    <w:rPr>
      <w:rFonts w:ascii="宋体" w:hAnsi="Courier New"/>
      <w:sz w:val="18"/>
      <w:szCs w:val="20"/>
    </w:rPr>
  </w:style>
  <w:style w:type="paragraph" w:styleId="13">
    <w:name w:val="header"/>
    <w:basedOn w:val="1"/>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14">
    <w:name w:val="toc 1"/>
    <w:basedOn w:val="1"/>
    <w:next w:val="1"/>
    <w:qFormat/>
    <w:uiPriority w:val="39"/>
    <w:pPr>
      <w:tabs>
        <w:tab w:val="right" w:leader="dot" w:pos="8820"/>
      </w:tabs>
      <w:ind w:left="540"/>
      <w:jc w:val="left"/>
    </w:pPr>
    <w:rPr>
      <w:rFonts w:ascii="宋体" w:hAnsi="宋体"/>
      <w:b/>
      <w:bCs/>
      <w:caps/>
      <w:szCs w:val="21"/>
    </w:rPr>
  </w:style>
  <w:style w:type="paragraph" w:styleId="15">
    <w:name w:val="toc 2"/>
    <w:basedOn w:val="1"/>
    <w:next w:val="1"/>
    <w:qFormat/>
    <w:uiPriority w:val="39"/>
    <w:pPr>
      <w:tabs>
        <w:tab w:val="right" w:leader="dot" w:pos="8280"/>
      </w:tabs>
      <w:ind w:left="1080"/>
      <w:jc w:val="left"/>
    </w:pPr>
    <w:rPr>
      <w:smallCaps/>
      <w:sz w:val="20"/>
      <w:szCs w:val="20"/>
    </w:rPr>
  </w:style>
  <w:style w:type="paragraph" w:styleId="16">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kern w:val="0"/>
      <w:sz w:val="24"/>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8"/>
    <w:next w:val="8"/>
    <w:link w:val="41"/>
    <w:qFormat/>
    <w:uiPriority w:val="0"/>
    <w:rPr>
      <w:b/>
      <w:bCs/>
    </w:rPr>
  </w:style>
  <w:style w:type="paragraph" w:styleId="19">
    <w:name w:val="Body Text First Indent"/>
    <w:basedOn w:val="2"/>
    <w:qFormat/>
    <w:uiPriority w:val="0"/>
    <w:pPr>
      <w:ind w:firstLine="420" w:firstLineChars="100"/>
    </w:pPr>
  </w:style>
  <w:style w:type="character" w:styleId="22">
    <w:name w:val="Strong"/>
    <w:qFormat/>
    <w:uiPriority w:val="0"/>
    <w:rPr>
      <w:rFonts w:ascii="Times New Roman" w:hAnsi="Times New Roman" w:eastAsia="宋体" w:cs="Times New Roman"/>
      <w:b/>
      <w:bCs/>
    </w:rPr>
  </w:style>
  <w:style w:type="character" w:styleId="23">
    <w:name w:val="page number"/>
    <w:qFormat/>
    <w:uiPriority w:val="0"/>
    <w:rPr>
      <w:rFonts w:ascii="Times New Roman" w:hAnsi="Times New Roman" w:eastAsia="宋体" w:cs="Times New Roman"/>
      <w:sz w:val="24"/>
      <w:szCs w:val="20"/>
    </w:rPr>
  </w:style>
  <w:style w:type="character" w:styleId="24">
    <w:name w:val="FollowedHyperlink"/>
    <w:basedOn w:val="21"/>
    <w:qFormat/>
    <w:uiPriority w:val="0"/>
    <w:rPr>
      <w:color w:val="000000"/>
      <w:u w:val="none"/>
    </w:rPr>
  </w:style>
  <w:style w:type="character" w:styleId="25">
    <w:name w:val="Hyperlink"/>
    <w:qFormat/>
    <w:uiPriority w:val="99"/>
    <w:rPr>
      <w:rFonts w:ascii="Times New Roman" w:hAnsi="Times New Roman" w:eastAsia="宋体" w:cs="Times New Roman"/>
      <w:color w:val="0000FF"/>
      <w:sz w:val="24"/>
      <w:szCs w:val="20"/>
      <w:u w:val="single"/>
    </w:rPr>
  </w:style>
  <w:style w:type="character" w:styleId="26">
    <w:name w:val="annotation reference"/>
    <w:qFormat/>
    <w:uiPriority w:val="0"/>
    <w:rPr>
      <w:rFonts w:ascii="Times New Roman" w:hAnsi="Times New Roman" w:eastAsia="宋体" w:cs="Times New Roman"/>
      <w:sz w:val="21"/>
      <w:szCs w:val="21"/>
    </w:rPr>
  </w:style>
  <w:style w:type="paragraph" w:customStyle="1" w:styleId="27">
    <w:name w:val="表格文字"/>
    <w:basedOn w:val="1"/>
    <w:qFormat/>
    <w:uiPriority w:val="99"/>
    <w:pPr>
      <w:spacing w:before="25" w:after="25"/>
      <w:jc w:val="left"/>
    </w:pPr>
    <w:rPr>
      <w:bCs/>
      <w:spacing w:val="10"/>
      <w:kern w:val="0"/>
      <w:sz w:val="24"/>
      <w:szCs w:val="22"/>
    </w:rPr>
  </w:style>
  <w:style w:type="paragraph" w:customStyle="1" w:styleId="28">
    <w:name w:val="正文首行缩进1"/>
    <w:qFormat/>
    <w:uiPriority w:val="0"/>
    <w:pPr>
      <w:ind w:firstLine="672"/>
    </w:pPr>
    <w:rPr>
      <w:rFonts w:ascii="宋体" w:hAnsi="宋体" w:eastAsia="宋体" w:cs="宋体"/>
      <w:lang w:val="en-US" w:eastAsia="zh-CN" w:bidi="ar-SA"/>
    </w:rPr>
  </w:style>
  <w:style w:type="paragraph" w:customStyle="1" w:styleId="29">
    <w:name w:val="_Style 2"/>
    <w:basedOn w:val="3"/>
    <w:next w:val="1"/>
    <w:qFormat/>
    <w:uiPriority w:val="0"/>
    <w:pPr>
      <w:keepLines/>
      <w:widowControl/>
      <w:spacing w:before="480" w:line="276" w:lineRule="auto"/>
      <w:jc w:val="left"/>
      <w:outlineLvl w:val="9"/>
    </w:pPr>
    <w:rPr>
      <w:rFonts w:ascii="Cambria" w:hAnsi="Cambria"/>
      <w:bCs/>
      <w:color w:val="365F91"/>
      <w:kern w:val="0"/>
      <w:sz w:val="28"/>
      <w:szCs w:val="28"/>
    </w:rPr>
  </w:style>
  <w:style w:type="paragraph" w:customStyle="1" w:styleId="30">
    <w:name w:val="2"/>
    <w:basedOn w:val="1"/>
    <w:next w:val="10"/>
    <w:qFormat/>
    <w:uiPriority w:val="0"/>
    <w:rPr>
      <w:rFonts w:ascii="宋体" w:hAnsi="Courier New"/>
      <w:szCs w:val="20"/>
    </w:rPr>
  </w:style>
  <w:style w:type="paragraph" w:customStyle="1" w:styleId="3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6">
    <w:name w:val="List Paragraph"/>
    <w:basedOn w:val="1"/>
    <w:unhideWhenUsed/>
    <w:qFormat/>
    <w:uiPriority w:val="99"/>
    <w:pPr>
      <w:ind w:firstLine="420" w:firstLineChars="200"/>
    </w:pPr>
  </w:style>
  <w:style w:type="character" w:customStyle="1" w:styleId="37">
    <w:name w:val="文档结构图 字符"/>
    <w:basedOn w:val="21"/>
    <w:link w:val="7"/>
    <w:qFormat/>
    <w:uiPriority w:val="0"/>
    <w:rPr>
      <w:rFonts w:ascii="宋体"/>
      <w:kern w:val="2"/>
      <w:sz w:val="18"/>
      <w:szCs w:val="18"/>
    </w:rPr>
  </w:style>
  <w:style w:type="character" w:customStyle="1" w:styleId="38">
    <w:name w:val="批注框文本 字符"/>
    <w:basedOn w:val="21"/>
    <w:link w:val="11"/>
    <w:qFormat/>
    <w:uiPriority w:val="0"/>
    <w:rPr>
      <w:kern w:val="2"/>
      <w:sz w:val="18"/>
      <w:szCs w:val="18"/>
    </w:rPr>
  </w:style>
  <w:style w:type="paragraph" w:customStyle="1" w:styleId="39">
    <w:name w:val="Table Paragraph"/>
    <w:basedOn w:val="1"/>
    <w:qFormat/>
    <w:uiPriority w:val="1"/>
  </w:style>
  <w:style w:type="character" w:customStyle="1" w:styleId="40">
    <w:name w:val="批注文字 字符"/>
    <w:basedOn w:val="21"/>
    <w:link w:val="8"/>
    <w:qFormat/>
    <w:uiPriority w:val="0"/>
    <w:rPr>
      <w:rFonts w:ascii="Times New Roman" w:hAnsi="Times New Roman" w:eastAsia="宋体" w:cs="Times New Roman"/>
      <w:kern w:val="2"/>
      <w:sz w:val="21"/>
      <w:szCs w:val="24"/>
    </w:rPr>
  </w:style>
  <w:style w:type="character" w:customStyle="1" w:styleId="41">
    <w:name w:val="批注主题 字符"/>
    <w:basedOn w:val="40"/>
    <w:link w:val="18"/>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5101</Words>
  <Characters>29081</Characters>
  <Lines>242</Lines>
  <Paragraphs>68</Paragraphs>
  <TotalTime>0</TotalTime>
  <ScaleCrop>false</ScaleCrop>
  <LinksUpToDate>false</LinksUpToDate>
  <CharactersWithSpaces>34114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2019-10-09T08:08:00Z</dcterms:created>
  <dc:creator>1s、</dc:creator>
  <cp:lastModifiedBy>灬D君 ˇ </cp:lastModifiedBy>
  <cp:lastPrinted>2020-03-24T03:59:00Z</cp:lastPrinted>
  <dcterms:modified xsi:type="dcterms:W3CDTF">2020-09-15T04:50:37Z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