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b/>
          <w:bCs/>
          <w:sz w:val="72"/>
          <w:szCs w:val="72"/>
          <w:highlight w:val="none"/>
        </w:rPr>
      </w:pPr>
    </w:p>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b/>
          <w:sz w:val="72"/>
          <w:szCs w:val="72"/>
          <w:highlight w:val="none"/>
        </w:rPr>
      </w:pPr>
      <w:r>
        <w:rPr>
          <w:rFonts w:hint="eastAsia" w:ascii="新宋体" w:hAnsi="新宋体" w:eastAsia="新宋体" w:cs="新宋体"/>
          <w:b/>
          <w:bCs/>
          <w:sz w:val="72"/>
          <w:szCs w:val="72"/>
          <w:highlight w:val="none"/>
        </w:rPr>
        <w:t>广西达华工程造价咨询有限责任公司</w:t>
      </w:r>
    </w:p>
    <w:p>
      <w:pPr>
        <w:pStyle w:val="12"/>
        <w:spacing w:line="2000" w:lineRule="exact"/>
        <w:jc w:val="center"/>
        <w:rPr>
          <w:rFonts w:hint="eastAsia" w:ascii="新宋体" w:hAnsi="新宋体" w:eastAsia="新宋体" w:cs="新宋体"/>
          <w:b/>
          <w:sz w:val="96"/>
          <w:szCs w:val="96"/>
          <w:highlight w:val="none"/>
        </w:rPr>
      </w:pPr>
    </w:p>
    <w:p>
      <w:pPr>
        <w:pStyle w:val="12"/>
        <w:spacing w:line="2000" w:lineRule="exact"/>
        <w:jc w:val="center"/>
        <w:rPr>
          <w:rFonts w:hint="eastAsia" w:ascii="新宋体" w:hAnsi="新宋体" w:eastAsia="新宋体" w:cs="新宋体"/>
          <w:b/>
          <w:bCs/>
          <w:sz w:val="120"/>
          <w:szCs w:val="120"/>
          <w:highlight w:val="none"/>
        </w:rPr>
      </w:pPr>
      <w:r>
        <w:rPr>
          <w:rFonts w:hint="eastAsia" w:ascii="新宋体" w:hAnsi="新宋体" w:eastAsia="新宋体" w:cs="新宋体"/>
          <w:b/>
          <w:sz w:val="96"/>
          <w:szCs w:val="96"/>
          <w:highlight w:val="none"/>
          <w:lang w:eastAsia="zh-CN"/>
        </w:rPr>
        <w:t>竞争性磋商</w:t>
      </w:r>
      <w:r>
        <w:rPr>
          <w:rFonts w:hint="eastAsia" w:ascii="新宋体" w:hAnsi="新宋体" w:eastAsia="新宋体" w:cs="新宋体"/>
          <w:b/>
          <w:sz w:val="96"/>
          <w:szCs w:val="96"/>
          <w:highlight w:val="none"/>
        </w:rPr>
        <w:t>文件</w:t>
      </w:r>
    </w:p>
    <w:p>
      <w:pPr>
        <w:ind w:left="0" w:leftChars="0" w:hanging="6" w:firstLineChars="0"/>
        <w:rPr>
          <w:rFonts w:hint="eastAsia" w:ascii="新宋体" w:hAnsi="新宋体" w:eastAsia="新宋体" w:cs="新宋体"/>
          <w:b/>
          <w:sz w:val="36"/>
          <w:szCs w:val="36"/>
          <w:highlight w:val="none"/>
        </w:rPr>
      </w:pPr>
    </w:p>
    <w:p>
      <w:pPr>
        <w:ind w:left="0" w:leftChars="0" w:hanging="6" w:firstLineChars="0"/>
        <w:rPr>
          <w:rFonts w:hint="eastAsia" w:ascii="新宋体" w:hAnsi="新宋体" w:eastAsia="新宋体" w:cs="新宋体"/>
          <w:b/>
          <w:sz w:val="36"/>
          <w:szCs w:val="36"/>
          <w:highlight w:val="none"/>
        </w:rPr>
      </w:pPr>
    </w:p>
    <w:p>
      <w:pPr>
        <w:ind w:left="0" w:leftChars="0" w:hanging="6" w:firstLineChars="0"/>
        <w:rPr>
          <w:rFonts w:hint="eastAsia" w:ascii="新宋体" w:hAnsi="新宋体" w:eastAsia="新宋体" w:cs="新宋体"/>
          <w:sz w:val="24"/>
          <w:highlight w:val="none"/>
          <w:u w:val="single"/>
          <w:lang w:val="en-US" w:eastAsia="zh-CN"/>
        </w:rPr>
      </w:pPr>
      <w:r>
        <w:rPr>
          <w:rFonts w:hint="eastAsia" w:ascii="新宋体" w:hAnsi="新宋体" w:eastAsia="新宋体" w:cs="新宋体"/>
          <w:b/>
          <w:sz w:val="36"/>
          <w:szCs w:val="36"/>
          <w:highlight w:val="none"/>
        </w:rPr>
        <w:t>项目名称：</w:t>
      </w:r>
      <w:r>
        <w:rPr>
          <w:rFonts w:hint="eastAsia" w:ascii="新宋体" w:hAnsi="新宋体" w:eastAsia="新宋体" w:cs="新宋体"/>
          <w:b/>
          <w:sz w:val="36"/>
          <w:szCs w:val="36"/>
          <w:highlight w:val="none"/>
          <w:lang w:eastAsia="zh-CN"/>
        </w:rPr>
        <w:t>钦北区卫生健康局医疗票据管理平台建设项目</w:t>
      </w:r>
    </w:p>
    <w:p>
      <w:pPr>
        <w:spacing w:line="360" w:lineRule="auto"/>
        <w:ind w:left="0" w:leftChars="0" w:hanging="6" w:firstLineChars="0"/>
        <w:rPr>
          <w:rFonts w:hint="eastAsia" w:ascii="新宋体" w:hAnsi="新宋体" w:eastAsia="新宋体" w:cs="新宋体"/>
          <w:b/>
          <w:sz w:val="36"/>
          <w:szCs w:val="36"/>
          <w:highlight w:val="none"/>
        </w:rPr>
      </w:pPr>
      <w:bookmarkStart w:id="0" w:name="OLE_LINK1"/>
      <w:r>
        <w:rPr>
          <w:rFonts w:hint="eastAsia" w:ascii="新宋体" w:hAnsi="新宋体" w:eastAsia="新宋体" w:cs="新宋体"/>
          <w:b/>
          <w:sz w:val="36"/>
          <w:szCs w:val="36"/>
          <w:highlight w:val="none"/>
        </w:rPr>
        <w:t>项目编号</w:t>
      </w:r>
      <w:bookmarkEnd w:id="0"/>
      <w:r>
        <w:rPr>
          <w:rFonts w:hint="eastAsia" w:ascii="新宋体" w:hAnsi="新宋体" w:eastAsia="新宋体" w:cs="新宋体"/>
          <w:b/>
          <w:sz w:val="36"/>
          <w:szCs w:val="36"/>
          <w:highlight w:val="none"/>
        </w:rPr>
        <w:t>：</w:t>
      </w:r>
      <w:bookmarkStart w:id="1" w:name="OLE_LINK2"/>
      <w:r>
        <w:rPr>
          <w:rFonts w:hint="eastAsia" w:ascii="新宋体" w:hAnsi="新宋体" w:eastAsia="新宋体" w:cs="新宋体"/>
          <w:b/>
          <w:sz w:val="36"/>
          <w:szCs w:val="36"/>
          <w:highlight w:val="none"/>
          <w:lang w:eastAsia="zh-CN"/>
        </w:rPr>
        <w:t>QZZC2021-C3-30009-GXDH</w:t>
      </w:r>
    </w:p>
    <w:bookmarkEnd w:id="1"/>
    <w:p>
      <w:pPr>
        <w:spacing w:line="480" w:lineRule="auto"/>
        <w:ind w:firstLine="705" w:firstLineChars="196"/>
        <w:rPr>
          <w:rFonts w:hint="eastAsia" w:ascii="新宋体" w:hAnsi="新宋体" w:eastAsia="新宋体" w:cs="新宋体"/>
          <w:b/>
          <w:bCs/>
          <w:sz w:val="36"/>
          <w:szCs w:val="36"/>
          <w:highlight w:val="none"/>
        </w:rPr>
      </w:pPr>
    </w:p>
    <w:p>
      <w:pPr>
        <w:spacing w:line="480" w:lineRule="auto"/>
        <w:ind w:left="0" w:leftChars="0" w:firstLine="0" w:firstLineChars="0"/>
        <w:rPr>
          <w:rFonts w:hint="eastAsia" w:ascii="新宋体" w:hAnsi="新宋体" w:eastAsia="新宋体" w:cs="新宋体"/>
          <w:b/>
          <w:bCs/>
          <w:sz w:val="36"/>
          <w:szCs w:val="36"/>
          <w:highlight w:val="none"/>
        </w:rPr>
      </w:pPr>
    </w:p>
    <w:p>
      <w:pPr>
        <w:spacing w:line="480" w:lineRule="auto"/>
        <w:ind w:left="0" w:leftChars="0" w:firstLine="0" w:firstLineChars="0"/>
        <w:rPr>
          <w:rFonts w:hint="eastAsia" w:ascii="新宋体" w:hAnsi="新宋体" w:eastAsia="新宋体" w:cs="新宋体"/>
          <w:b/>
          <w:bCs/>
          <w:sz w:val="36"/>
          <w:szCs w:val="36"/>
          <w:highlight w:val="none"/>
        </w:rPr>
      </w:pPr>
      <w:r>
        <w:rPr>
          <w:rFonts w:hint="eastAsia" w:ascii="新宋体" w:hAnsi="新宋体" w:eastAsia="新宋体" w:cs="新宋体"/>
          <w:b/>
          <w:bCs/>
          <w:sz w:val="36"/>
          <w:szCs w:val="36"/>
          <w:highlight w:val="none"/>
        </w:rPr>
        <w:t>采购人：</w:t>
      </w:r>
      <w:r>
        <w:rPr>
          <w:rFonts w:hint="eastAsia" w:ascii="新宋体" w:hAnsi="新宋体" w:eastAsia="新宋体" w:cs="新宋体"/>
          <w:b/>
          <w:bCs/>
          <w:sz w:val="36"/>
          <w:szCs w:val="36"/>
          <w:highlight w:val="none"/>
          <w:lang w:eastAsia="zh-CN"/>
        </w:rPr>
        <w:t>钦州市钦北区卫生健康局</w:t>
      </w:r>
    </w:p>
    <w:p>
      <w:pPr>
        <w:spacing w:line="480" w:lineRule="auto"/>
        <w:ind w:left="0" w:leftChars="0" w:firstLine="0" w:firstLineChars="0"/>
        <w:rPr>
          <w:rFonts w:hint="eastAsia" w:ascii="新宋体" w:hAnsi="新宋体" w:eastAsia="新宋体" w:cs="新宋体"/>
          <w:b/>
          <w:bCs/>
          <w:sz w:val="36"/>
          <w:szCs w:val="36"/>
          <w:highlight w:val="none"/>
        </w:rPr>
      </w:pPr>
      <w:r>
        <w:rPr>
          <w:rFonts w:hint="eastAsia" w:ascii="新宋体" w:hAnsi="新宋体" w:eastAsia="新宋体" w:cs="新宋体"/>
          <w:b/>
          <w:bCs/>
          <w:sz w:val="36"/>
          <w:szCs w:val="36"/>
          <w:highlight w:val="none"/>
        </w:rPr>
        <w:t>采购代理机构：广西达华工程造价咨询有限责任公司</w:t>
      </w:r>
    </w:p>
    <w:p>
      <w:pPr>
        <w:spacing w:line="480" w:lineRule="auto"/>
        <w:ind w:left="0" w:leftChars="0" w:firstLine="0" w:firstLineChars="0"/>
        <w:jc w:val="center"/>
        <w:rPr>
          <w:rFonts w:hint="eastAsia" w:ascii="新宋体" w:hAnsi="新宋体" w:eastAsia="新宋体" w:cs="新宋体"/>
          <w:b/>
          <w:bCs/>
          <w:sz w:val="36"/>
          <w:szCs w:val="36"/>
          <w:highlight w:val="none"/>
        </w:rPr>
      </w:pPr>
    </w:p>
    <w:p>
      <w:pPr>
        <w:spacing w:line="480" w:lineRule="auto"/>
        <w:ind w:left="0" w:leftChars="0" w:firstLine="0" w:firstLineChars="0"/>
        <w:jc w:val="center"/>
        <w:rPr>
          <w:rFonts w:hint="eastAsia" w:ascii="新宋体" w:hAnsi="新宋体" w:eastAsia="新宋体" w:cs="新宋体"/>
          <w:b/>
          <w:sz w:val="36"/>
          <w:szCs w:val="36"/>
          <w:highlight w:val="none"/>
        </w:rPr>
      </w:pPr>
      <w:r>
        <w:rPr>
          <w:rFonts w:hint="eastAsia" w:ascii="新宋体" w:hAnsi="新宋体" w:eastAsia="新宋体" w:cs="新宋体"/>
          <w:b/>
          <w:bCs/>
          <w:sz w:val="36"/>
          <w:szCs w:val="36"/>
          <w:highlight w:val="none"/>
          <w:u w:val="single"/>
          <w:lang w:val="en-US" w:eastAsia="zh-CN"/>
        </w:rPr>
        <w:t xml:space="preserve"> 2021</w:t>
      </w:r>
      <w:r>
        <w:rPr>
          <w:rFonts w:hint="eastAsia" w:ascii="新宋体" w:hAnsi="新宋体" w:eastAsia="新宋体" w:cs="新宋体"/>
          <w:b/>
          <w:bCs/>
          <w:sz w:val="36"/>
          <w:szCs w:val="36"/>
          <w:highlight w:val="none"/>
        </w:rPr>
        <w:t>年</w:t>
      </w:r>
      <w:r>
        <w:rPr>
          <w:rFonts w:hint="eastAsia" w:ascii="新宋体" w:hAnsi="新宋体" w:eastAsia="新宋体" w:cs="新宋体"/>
          <w:b/>
          <w:bCs/>
          <w:sz w:val="36"/>
          <w:szCs w:val="36"/>
          <w:highlight w:val="none"/>
          <w:u w:val="single"/>
          <w:lang w:val="en-US" w:eastAsia="zh-CN"/>
        </w:rPr>
        <w:t xml:space="preserve"> 8 </w:t>
      </w:r>
      <w:r>
        <w:rPr>
          <w:rFonts w:hint="eastAsia" w:ascii="新宋体" w:hAnsi="新宋体" w:eastAsia="新宋体" w:cs="新宋体"/>
          <w:b/>
          <w:bCs/>
          <w:sz w:val="36"/>
          <w:szCs w:val="36"/>
          <w:highlight w:val="none"/>
        </w:rPr>
        <w:t>月</w:t>
      </w:r>
    </w:p>
    <w:p>
      <w:pPr>
        <w:spacing w:line="480" w:lineRule="auto"/>
        <w:jc w:val="center"/>
        <w:rPr>
          <w:rFonts w:hint="eastAsia" w:ascii="宋体" w:hAnsi="宋体" w:eastAsia="宋体" w:cs="宋体"/>
          <w:b/>
          <w:bCs/>
          <w:sz w:val="30"/>
          <w:szCs w:val="30"/>
          <w:highlight w:val="none"/>
        </w:rPr>
        <w:sectPr>
          <w:headerReference r:id="rId5" w:type="default"/>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start="0"/>
          <w:cols w:space="0" w:num="1"/>
          <w:titlePg/>
          <w:rtlGutter w:val="0"/>
          <w:docGrid w:type="linesAndChars" w:linePitch="312" w:charSpace="200"/>
        </w:sectPr>
      </w:pPr>
    </w:p>
    <w:p>
      <w:pPr>
        <w:spacing w:line="480" w:lineRule="auto"/>
        <w:jc w:val="center"/>
        <w:rPr>
          <w:rFonts w:ascii="宋体" w:hAnsi="宋体" w:eastAsia="宋体" w:cs="宋体"/>
          <w:b/>
          <w:bCs/>
          <w:sz w:val="30"/>
          <w:szCs w:val="30"/>
          <w:highlight w:val="none"/>
        </w:rPr>
      </w:pPr>
      <w:r>
        <w:rPr>
          <w:rFonts w:hint="eastAsia" w:ascii="宋体" w:hAnsi="宋体" w:eastAsia="宋体" w:cs="宋体"/>
          <w:b/>
          <w:bCs/>
          <w:sz w:val="30"/>
          <w:szCs w:val="30"/>
          <w:highlight w:val="none"/>
        </w:rPr>
        <w:t>目    录</w:t>
      </w:r>
    </w:p>
    <w:p>
      <w:pPr>
        <w:spacing w:line="400" w:lineRule="exact"/>
        <w:rPr>
          <w:rFonts w:ascii="宋体" w:hAnsi="宋体" w:eastAsia="宋体" w:cs="宋体"/>
          <w:b/>
          <w:spacing w:val="4"/>
          <w:highlight w:val="none"/>
        </w:rPr>
      </w:pPr>
    </w:p>
    <w:p>
      <w:pPr>
        <w:pStyle w:val="18"/>
        <w:keepNext w:val="0"/>
        <w:keepLines w:val="0"/>
        <w:pageBreakBefore w:val="0"/>
        <w:widowControl w:val="0"/>
        <w:tabs>
          <w:tab w:val="right" w:leader="dot" w:pos="9468"/>
          <w:tab w:val="clear" w:pos="9185"/>
        </w:tabs>
        <w:kinsoku/>
        <w:wordWrap/>
        <w:overflowPunct/>
        <w:topLinePunct w:val="0"/>
        <w:autoSpaceDE/>
        <w:autoSpaceDN/>
        <w:bidi w:val="0"/>
        <w:snapToGrid/>
        <w:spacing w:line="360" w:lineRule="auto"/>
        <w:ind w:left="0" w:firstLine="0" w:firstLineChars="0"/>
        <w:rPr>
          <w:rFonts w:hint="eastAsia" w:ascii="新宋体" w:hAnsi="新宋体" w:eastAsia="新宋体" w:cs="新宋体"/>
          <w:b/>
          <w:bCs w:val="0"/>
          <w:sz w:val="21"/>
          <w:szCs w:val="21"/>
        </w:rPr>
      </w:pPr>
      <w:r>
        <w:rPr>
          <w:rFonts w:hint="eastAsia" w:ascii="新宋体" w:hAnsi="新宋体" w:eastAsia="新宋体" w:cs="新宋体"/>
          <w:b/>
          <w:bCs w:val="0"/>
          <w:sz w:val="21"/>
          <w:szCs w:val="21"/>
          <w:highlight w:val="none"/>
        </w:rPr>
        <w:fldChar w:fldCharType="begin"/>
      </w:r>
      <w:r>
        <w:rPr>
          <w:rFonts w:hint="eastAsia" w:ascii="新宋体" w:hAnsi="新宋体" w:eastAsia="新宋体" w:cs="新宋体"/>
          <w:b/>
          <w:bCs w:val="0"/>
          <w:sz w:val="21"/>
          <w:szCs w:val="21"/>
          <w:highlight w:val="none"/>
        </w:rPr>
        <w:instrText xml:space="preserve"> TOC \o "1-3" \h \z \u </w:instrText>
      </w:r>
      <w:r>
        <w:rPr>
          <w:rFonts w:hint="eastAsia" w:ascii="新宋体" w:hAnsi="新宋体" w:eastAsia="新宋体" w:cs="新宋体"/>
          <w:b/>
          <w:bCs w:val="0"/>
          <w:sz w:val="21"/>
          <w:szCs w:val="21"/>
          <w:highlight w:val="none"/>
        </w:rPr>
        <w:fldChar w:fldCharType="separate"/>
      </w:r>
      <w:r>
        <w:rPr>
          <w:rFonts w:hint="eastAsia" w:ascii="新宋体" w:hAnsi="新宋体" w:eastAsia="新宋体" w:cs="新宋体"/>
          <w:b/>
          <w:bCs w:val="0"/>
          <w:sz w:val="21"/>
          <w:szCs w:val="21"/>
          <w:highlight w:val="none"/>
        </w:rPr>
        <w:fldChar w:fldCharType="begin"/>
      </w:r>
      <w:r>
        <w:rPr>
          <w:rFonts w:hint="eastAsia" w:ascii="新宋体" w:hAnsi="新宋体" w:eastAsia="新宋体" w:cs="新宋体"/>
          <w:b/>
          <w:bCs w:val="0"/>
          <w:sz w:val="21"/>
          <w:szCs w:val="21"/>
          <w:highlight w:val="none"/>
        </w:rPr>
        <w:instrText xml:space="preserve"> HYPERLINK \l _Toc16936 </w:instrText>
      </w:r>
      <w:r>
        <w:rPr>
          <w:rFonts w:hint="eastAsia" w:ascii="新宋体" w:hAnsi="新宋体" w:eastAsia="新宋体" w:cs="新宋体"/>
          <w:b/>
          <w:bCs w:val="0"/>
          <w:sz w:val="21"/>
          <w:szCs w:val="21"/>
          <w:highlight w:val="none"/>
        </w:rPr>
        <w:fldChar w:fldCharType="separate"/>
      </w:r>
      <w:r>
        <w:rPr>
          <w:rFonts w:hint="eastAsia" w:ascii="新宋体" w:hAnsi="新宋体" w:eastAsia="新宋体" w:cs="新宋体"/>
          <w:b/>
          <w:bCs w:val="0"/>
          <w:kern w:val="4"/>
          <w:sz w:val="21"/>
          <w:szCs w:val="21"/>
          <w:highlight w:val="none"/>
        </w:rPr>
        <w:t>第一章</w:t>
      </w:r>
      <w:r>
        <w:rPr>
          <w:rFonts w:hint="eastAsia" w:ascii="新宋体" w:hAnsi="新宋体" w:eastAsia="新宋体" w:cs="新宋体"/>
          <w:b/>
          <w:bCs w:val="0"/>
          <w:kern w:val="4"/>
          <w:sz w:val="21"/>
          <w:szCs w:val="21"/>
          <w:highlight w:val="none"/>
          <w:lang w:val="en-US" w:eastAsia="zh-CN"/>
        </w:rPr>
        <w:t xml:space="preserve"> </w:t>
      </w:r>
      <w:r>
        <w:rPr>
          <w:rFonts w:hint="eastAsia" w:ascii="新宋体" w:hAnsi="新宋体" w:eastAsia="新宋体" w:cs="新宋体"/>
          <w:b/>
          <w:bCs w:val="0"/>
          <w:kern w:val="4"/>
          <w:sz w:val="21"/>
          <w:szCs w:val="21"/>
          <w:highlight w:val="none"/>
        </w:rPr>
        <w:t>供应商须知及前附表</w:t>
      </w:r>
      <w:r>
        <w:rPr>
          <w:rFonts w:hint="eastAsia" w:ascii="新宋体" w:hAnsi="新宋体" w:eastAsia="新宋体" w:cs="新宋体"/>
          <w:b/>
          <w:bCs w:val="0"/>
          <w:sz w:val="21"/>
          <w:szCs w:val="21"/>
        </w:rPr>
        <w:tab/>
      </w:r>
      <w:r>
        <w:rPr>
          <w:rFonts w:hint="eastAsia" w:ascii="新宋体" w:hAnsi="新宋体" w:eastAsia="新宋体" w:cs="新宋体"/>
          <w:b/>
          <w:bCs w:val="0"/>
          <w:sz w:val="21"/>
          <w:szCs w:val="21"/>
        </w:rPr>
        <w:fldChar w:fldCharType="begin"/>
      </w:r>
      <w:r>
        <w:rPr>
          <w:rFonts w:hint="eastAsia" w:ascii="新宋体" w:hAnsi="新宋体" w:eastAsia="新宋体" w:cs="新宋体"/>
          <w:b/>
          <w:bCs w:val="0"/>
          <w:sz w:val="21"/>
          <w:szCs w:val="21"/>
        </w:rPr>
        <w:instrText xml:space="preserve"> PAGEREF _Toc16936 </w:instrText>
      </w:r>
      <w:r>
        <w:rPr>
          <w:rFonts w:hint="eastAsia" w:ascii="新宋体" w:hAnsi="新宋体" w:eastAsia="新宋体" w:cs="新宋体"/>
          <w:b/>
          <w:bCs w:val="0"/>
          <w:sz w:val="21"/>
          <w:szCs w:val="21"/>
        </w:rPr>
        <w:fldChar w:fldCharType="separate"/>
      </w:r>
      <w:r>
        <w:rPr>
          <w:rFonts w:hint="eastAsia" w:ascii="新宋体" w:hAnsi="新宋体" w:eastAsia="新宋体" w:cs="新宋体"/>
          <w:b/>
          <w:bCs w:val="0"/>
          <w:sz w:val="21"/>
          <w:szCs w:val="21"/>
        </w:rPr>
        <w:t>3</w:t>
      </w:r>
      <w:r>
        <w:rPr>
          <w:rFonts w:hint="eastAsia" w:ascii="新宋体" w:hAnsi="新宋体" w:eastAsia="新宋体" w:cs="新宋体"/>
          <w:b/>
          <w:bCs w:val="0"/>
          <w:sz w:val="21"/>
          <w:szCs w:val="21"/>
        </w:rPr>
        <w:fldChar w:fldCharType="end"/>
      </w:r>
      <w:r>
        <w:rPr>
          <w:rFonts w:hint="eastAsia" w:ascii="新宋体" w:hAnsi="新宋体" w:eastAsia="新宋体" w:cs="新宋体"/>
          <w:b/>
          <w:bCs w:val="0"/>
          <w:sz w:val="21"/>
          <w:szCs w:val="21"/>
          <w:highlight w:val="none"/>
        </w:rPr>
        <w:fldChar w:fldCharType="end"/>
      </w:r>
    </w:p>
    <w:p>
      <w:pPr>
        <w:pStyle w:val="18"/>
        <w:keepNext w:val="0"/>
        <w:keepLines w:val="0"/>
        <w:pageBreakBefore w:val="0"/>
        <w:widowControl w:val="0"/>
        <w:tabs>
          <w:tab w:val="right" w:leader="dot" w:pos="9468"/>
          <w:tab w:val="clear" w:pos="9185"/>
        </w:tabs>
        <w:kinsoku/>
        <w:wordWrap/>
        <w:overflowPunct/>
        <w:topLinePunct w:val="0"/>
        <w:autoSpaceDE/>
        <w:autoSpaceDN/>
        <w:bidi w:val="0"/>
        <w:snapToGrid/>
        <w:spacing w:line="360" w:lineRule="auto"/>
        <w:ind w:left="0" w:firstLine="0" w:firstLineChars="0"/>
        <w:rPr>
          <w:rFonts w:hint="eastAsia" w:ascii="新宋体" w:hAnsi="新宋体" w:eastAsia="新宋体" w:cs="新宋体"/>
          <w:b/>
          <w:bCs w:val="0"/>
          <w:sz w:val="21"/>
          <w:szCs w:val="21"/>
        </w:rPr>
      </w:pPr>
      <w:r>
        <w:rPr>
          <w:rFonts w:hint="eastAsia" w:ascii="新宋体" w:hAnsi="新宋体" w:eastAsia="新宋体" w:cs="新宋体"/>
          <w:b/>
          <w:bCs w:val="0"/>
          <w:kern w:val="0"/>
          <w:sz w:val="21"/>
          <w:szCs w:val="21"/>
          <w:highlight w:val="none"/>
        </w:rPr>
        <w:fldChar w:fldCharType="begin"/>
      </w:r>
      <w:r>
        <w:rPr>
          <w:rFonts w:hint="eastAsia" w:ascii="新宋体" w:hAnsi="新宋体" w:eastAsia="新宋体" w:cs="新宋体"/>
          <w:b/>
          <w:bCs w:val="0"/>
          <w:kern w:val="0"/>
          <w:sz w:val="21"/>
          <w:szCs w:val="21"/>
          <w:highlight w:val="none"/>
        </w:rPr>
        <w:instrText xml:space="preserve"> HYPERLINK \l _Toc2009 </w:instrText>
      </w:r>
      <w:r>
        <w:rPr>
          <w:rFonts w:hint="eastAsia" w:ascii="新宋体" w:hAnsi="新宋体" w:eastAsia="新宋体" w:cs="新宋体"/>
          <w:b/>
          <w:bCs w:val="0"/>
          <w:kern w:val="0"/>
          <w:sz w:val="21"/>
          <w:szCs w:val="21"/>
          <w:highlight w:val="none"/>
        </w:rPr>
        <w:fldChar w:fldCharType="separate"/>
      </w:r>
      <w:r>
        <w:rPr>
          <w:rFonts w:hint="eastAsia" w:ascii="新宋体" w:hAnsi="新宋体" w:eastAsia="新宋体" w:cs="新宋体"/>
          <w:b/>
          <w:bCs w:val="0"/>
          <w:kern w:val="4"/>
          <w:sz w:val="21"/>
          <w:szCs w:val="21"/>
        </w:rPr>
        <w:t xml:space="preserve">第二章 </w:t>
      </w:r>
      <w:r>
        <w:rPr>
          <w:rFonts w:hint="eastAsia" w:ascii="新宋体" w:hAnsi="新宋体" w:eastAsia="新宋体" w:cs="新宋体"/>
          <w:b/>
          <w:bCs w:val="0"/>
          <w:kern w:val="4"/>
          <w:sz w:val="21"/>
          <w:szCs w:val="21"/>
          <w:highlight w:val="none"/>
        </w:rPr>
        <w:t>合同条款及格式</w:t>
      </w:r>
      <w:r>
        <w:rPr>
          <w:rFonts w:hint="eastAsia" w:ascii="新宋体" w:hAnsi="新宋体" w:eastAsia="新宋体" w:cs="新宋体"/>
          <w:b/>
          <w:bCs w:val="0"/>
          <w:sz w:val="21"/>
          <w:szCs w:val="21"/>
        </w:rPr>
        <w:tab/>
      </w:r>
      <w:r>
        <w:rPr>
          <w:rFonts w:hint="eastAsia" w:ascii="新宋体" w:hAnsi="新宋体" w:eastAsia="新宋体" w:cs="新宋体"/>
          <w:b/>
          <w:bCs w:val="0"/>
          <w:sz w:val="21"/>
          <w:szCs w:val="21"/>
        </w:rPr>
        <w:fldChar w:fldCharType="begin"/>
      </w:r>
      <w:r>
        <w:rPr>
          <w:rFonts w:hint="eastAsia" w:ascii="新宋体" w:hAnsi="新宋体" w:eastAsia="新宋体" w:cs="新宋体"/>
          <w:b/>
          <w:bCs w:val="0"/>
          <w:sz w:val="21"/>
          <w:szCs w:val="21"/>
        </w:rPr>
        <w:instrText xml:space="preserve"> PAGEREF _Toc2009 </w:instrText>
      </w:r>
      <w:r>
        <w:rPr>
          <w:rFonts w:hint="eastAsia" w:ascii="新宋体" w:hAnsi="新宋体" w:eastAsia="新宋体" w:cs="新宋体"/>
          <w:b/>
          <w:bCs w:val="0"/>
          <w:sz w:val="21"/>
          <w:szCs w:val="21"/>
        </w:rPr>
        <w:fldChar w:fldCharType="separate"/>
      </w:r>
      <w:r>
        <w:rPr>
          <w:rFonts w:hint="eastAsia" w:ascii="新宋体" w:hAnsi="新宋体" w:eastAsia="新宋体" w:cs="新宋体"/>
          <w:b/>
          <w:bCs w:val="0"/>
          <w:sz w:val="21"/>
          <w:szCs w:val="21"/>
        </w:rPr>
        <w:t>16</w:t>
      </w:r>
      <w:r>
        <w:rPr>
          <w:rFonts w:hint="eastAsia" w:ascii="新宋体" w:hAnsi="新宋体" w:eastAsia="新宋体" w:cs="新宋体"/>
          <w:b/>
          <w:bCs w:val="0"/>
          <w:sz w:val="21"/>
          <w:szCs w:val="21"/>
        </w:rPr>
        <w:fldChar w:fldCharType="end"/>
      </w:r>
      <w:r>
        <w:rPr>
          <w:rFonts w:hint="eastAsia" w:ascii="新宋体" w:hAnsi="新宋体" w:eastAsia="新宋体" w:cs="新宋体"/>
          <w:b/>
          <w:bCs w:val="0"/>
          <w:kern w:val="0"/>
          <w:sz w:val="21"/>
          <w:szCs w:val="21"/>
          <w:highlight w:val="none"/>
        </w:rPr>
        <w:fldChar w:fldCharType="end"/>
      </w:r>
    </w:p>
    <w:p>
      <w:pPr>
        <w:pStyle w:val="18"/>
        <w:keepNext w:val="0"/>
        <w:keepLines w:val="0"/>
        <w:pageBreakBefore w:val="0"/>
        <w:widowControl w:val="0"/>
        <w:tabs>
          <w:tab w:val="right" w:leader="dot" w:pos="9468"/>
          <w:tab w:val="clear" w:pos="9185"/>
        </w:tabs>
        <w:kinsoku/>
        <w:wordWrap/>
        <w:overflowPunct/>
        <w:topLinePunct w:val="0"/>
        <w:autoSpaceDE/>
        <w:autoSpaceDN/>
        <w:bidi w:val="0"/>
        <w:snapToGrid/>
        <w:spacing w:line="360" w:lineRule="auto"/>
        <w:ind w:left="0" w:firstLine="0" w:firstLineChars="0"/>
        <w:rPr>
          <w:rFonts w:hint="eastAsia" w:ascii="新宋体" w:hAnsi="新宋体" w:eastAsia="新宋体" w:cs="新宋体"/>
          <w:b/>
          <w:bCs w:val="0"/>
          <w:sz w:val="21"/>
          <w:szCs w:val="21"/>
        </w:rPr>
      </w:pPr>
      <w:r>
        <w:rPr>
          <w:rFonts w:hint="eastAsia" w:ascii="新宋体" w:hAnsi="新宋体" w:eastAsia="新宋体" w:cs="新宋体"/>
          <w:b/>
          <w:bCs w:val="0"/>
          <w:kern w:val="0"/>
          <w:sz w:val="21"/>
          <w:szCs w:val="21"/>
          <w:highlight w:val="none"/>
        </w:rPr>
        <w:fldChar w:fldCharType="begin"/>
      </w:r>
      <w:r>
        <w:rPr>
          <w:rFonts w:hint="eastAsia" w:ascii="新宋体" w:hAnsi="新宋体" w:eastAsia="新宋体" w:cs="新宋体"/>
          <w:b/>
          <w:bCs w:val="0"/>
          <w:kern w:val="0"/>
          <w:sz w:val="21"/>
          <w:szCs w:val="21"/>
          <w:highlight w:val="none"/>
        </w:rPr>
        <w:instrText xml:space="preserve"> HYPERLINK \l _Toc21623 </w:instrText>
      </w:r>
      <w:r>
        <w:rPr>
          <w:rFonts w:hint="eastAsia" w:ascii="新宋体" w:hAnsi="新宋体" w:eastAsia="新宋体" w:cs="新宋体"/>
          <w:b/>
          <w:bCs w:val="0"/>
          <w:kern w:val="0"/>
          <w:sz w:val="21"/>
          <w:szCs w:val="21"/>
          <w:highlight w:val="none"/>
        </w:rPr>
        <w:fldChar w:fldCharType="separate"/>
      </w:r>
      <w:r>
        <w:rPr>
          <w:rFonts w:hint="eastAsia" w:ascii="新宋体" w:hAnsi="新宋体" w:eastAsia="新宋体" w:cs="新宋体"/>
          <w:b/>
          <w:bCs w:val="0"/>
          <w:kern w:val="4"/>
          <w:sz w:val="21"/>
          <w:szCs w:val="21"/>
          <w:highlight w:val="none"/>
        </w:rPr>
        <w:t>第三章</w:t>
      </w:r>
      <w:r>
        <w:rPr>
          <w:rFonts w:hint="eastAsia" w:ascii="新宋体" w:hAnsi="新宋体" w:eastAsia="新宋体" w:cs="新宋体"/>
          <w:b/>
          <w:bCs w:val="0"/>
          <w:kern w:val="4"/>
          <w:sz w:val="21"/>
          <w:szCs w:val="21"/>
          <w:highlight w:val="none"/>
          <w:lang w:val="en-US" w:eastAsia="zh-CN"/>
        </w:rPr>
        <w:t xml:space="preserve"> 项目需求</w:t>
      </w:r>
      <w:r>
        <w:rPr>
          <w:rFonts w:hint="eastAsia" w:ascii="新宋体" w:hAnsi="新宋体" w:eastAsia="新宋体" w:cs="新宋体"/>
          <w:b/>
          <w:bCs w:val="0"/>
          <w:sz w:val="21"/>
          <w:szCs w:val="21"/>
        </w:rPr>
        <w:tab/>
      </w:r>
      <w:r>
        <w:rPr>
          <w:rFonts w:hint="eastAsia" w:ascii="新宋体" w:hAnsi="新宋体" w:eastAsia="新宋体" w:cs="新宋体"/>
          <w:b/>
          <w:bCs w:val="0"/>
          <w:sz w:val="21"/>
          <w:szCs w:val="21"/>
        </w:rPr>
        <w:fldChar w:fldCharType="begin"/>
      </w:r>
      <w:r>
        <w:rPr>
          <w:rFonts w:hint="eastAsia" w:ascii="新宋体" w:hAnsi="新宋体" w:eastAsia="新宋体" w:cs="新宋体"/>
          <w:b/>
          <w:bCs w:val="0"/>
          <w:sz w:val="21"/>
          <w:szCs w:val="21"/>
        </w:rPr>
        <w:instrText xml:space="preserve"> PAGEREF _Toc21623 </w:instrText>
      </w:r>
      <w:r>
        <w:rPr>
          <w:rFonts w:hint="eastAsia" w:ascii="新宋体" w:hAnsi="新宋体" w:eastAsia="新宋体" w:cs="新宋体"/>
          <w:b/>
          <w:bCs w:val="0"/>
          <w:sz w:val="21"/>
          <w:szCs w:val="21"/>
        </w:rPr>
        <w:fldChar w:fldCharType="separate"/>
      </w:r>
      <w:r>
        <w:rPr>
          <w:rFonts w:hint="eastAsia" w:ascii="新宋体" w:hAnsi="新宋体" w:eastAsia="新宋体" w:cs="新宋体"/>
          <w:b/>
          <w:bCs w:val="0"/>
          <w:sz w:val="21"/>
          <w:szCs w:val="21"/>
        </w:rPr>
        <w:t>22</w:t>
      </w:r>
      <w:r>
        <w:rPr>
          <w:rFonts w:hint="eastAsia" w:ascii="新宋体" w:hAnsi="新宋体" w:eastAsia="新宋体" w:cs="新宋体"/>
          <w:b/>
          <w:bCs w:val="0"/>
          <w:sz w:val="21"/>
          <w:szCs w:val="21"/>
        </w:rPr>
        <w:fldChar w:fldCharType="end"/>
      </w:r>
      <w:r>
        <w:rPr>
          <w:rFonts w:hint="eastAsia" w:ascii="新宋体" w:hAnsi="新宋体" w:eastAsia="新宋体" w:cs="新宋体"/>
          <w:b/>
          <w:bCs w:val="0"/>
          <w:kern w:val="0"/>
          <w:sz w:val="21"/>
          <w:szCs w:val="21"/>
          <w:highlight w:val="none"/>
        </w:rPr>
        <w:fldChar w:fldCharType="end"/>
      </w:r>
    </w:p>
    <w:p>
      <w:pPr>
        <w:pStyle w:val="18"/>
        <w:keepNext w:val="0"/>
        <w:keepLines w:val="0"/>
        <w:pageBreakBefore w:val="0"/>
        <w:widowControl w:val="0"/>
        <w:tabs>
          <w:tab w:val="right" w:leader="dot" w:pos="9468"/>
          <w:tab w:val="clear" w:pos="9185"/>
        </w:tabs>
        <w:kinsoku/>
        <w:wordWrap/>
        <w:overflowPunct/>
        <w:topLinePunct w:val="0"/>
        <w:autoSpaceDE/>
        <w:autoSpaceDN/>
        <w:bidi w:val="0"/>
        <w:snapToGrid/>
        <w:spacing w:line="360" w:lineRule="auto"/>
        <w:ind w:left="0" w:firstLine="0" w:firstLineChars="0"/>
        <w:rPr>
          <w:rFonts w:hint="eastAsia" w:ascii="新宋体" w:hAnsi="新宋体" w:eastAsia="新宋体" w:cs="新宋体"/>
          <w:b/>
          <w:bCs w:val="0"/>
          <w:sz w:val="21"/>
          <w:szCs w:val="21"/>
        </w:rPr>
      </w:pPr>
      <w:r>
        <w:rPr>
          <w:rFonts w:hint="eastAsia" w:ascii="新宋体" w:hAnsi="新宋体" w:eastAsia="新宋体" w:cs="新宋体"/>
          <w:b/>
          <w:bCs w:val="0"/>
          <w:kern w:val="0"/>
          <w:sz w:val="21"/>
          <w:szCs w:val="21"/>
          <w:highlight w:val="none"/>
        </w:rPr>
        <w:fldChar w:fldCharType="begin"/>
      </w:r>
      <w:r>
        <w:rPr>
          <w:rFonts w:hint="eastAsia" w:ascii="新宋体" w:hAnsi="新宋体" w:eastAsia="新宋体" w:cs="新宋体"/>
          <w:b/>
          <w:bCs w:val="0"/>
          <w:kern w:val="0"/>
          <w:sz w:val="21"/>
          <w:szCs w:val="21"/>
          <w:highlight w:val="none"/>
        </w:rPr>
        <w:instrText xml:space="preserve"> HYPERLINK \l _Toc24573 </w:instrText>
      </w:r>
      <w:r>
        <w:rPr>
          <w:rFonts w:hint="eastAsia" w:ascii="新宋体" w:hAnsi="新宋体" w:eastAsia="新宋体" w:cs="新宋体"/>
          <w:b/>
          <w:bCs w:val="0"/>
          <w:kern w:val="0"/>
          <w:sz w:val="21"/>
          <w:szCs w:val="21"/>
          <w:highlight w:val="none"/>
        </w:rPr>
        <w:fldChar w:fldCharType="separate"/>
      </w:r>
      <w:r>
        <w:rPr>
          <w:rFonts w:hint="eastAsia" w:ascii="新宋体" w:hAnsi="新宋体" w:eastAsia="新宋体" w:cs="新宋体"/>
          <w:b/>
          <w:bCs w:val="0"/>
          <w:kern w:val="4"/>
          <w:sz w:val="21"/>
          <w:szCs w:val="21"/>
          <w:highlight w:val="none"/>
        </w:rPr>
        <w:t>第四章</w:t>
      </w:r>
      <w:r>
        <w:rPr>
          <w:rFonts w:hint="eastAsia" w:ascii="新宋体" w:hAnsi="新宋体" w:eastAsia="新宋体" w:cs="新宋体"/>
          <w:b/>
          <w:bCs w:val="0"/>
          <w:kern w:val="4"/>
          <w:sz w:val="21"/>
          <w:szCs w:val="21"/>
          <w:highlight w:val="none"/>
          <w:lang w:val="en-US" w:eastAsia="zh-CN"/>
        </w:rPr>
        <w:t xml:space="preserve"> </w:t>
      </w:r>
      <w:r>
        <w:rPr>
          <w:rFonts w:hint="eastAsia" w:ascii="新宋体" w:hAnsi="新宋体" w:eastAsia="新宋体" w:cs="新宋体"/>
          <w:b/>
          <w:bCs w:val="0"/>
          <w:kern w:val="4"/>
          <w:sz w:val="21"/>
          <w:szCs w:val="21"/>
          <w:highlight w:val="none"/>
        </w:rPr>
        <w:t>响应文件格式</w:t>
      </w:r>
      <w:r>
        <w:rPr>
          <w:rFonts w:hint="eastAsia" w:ascii="新宋体" w:hAnsi="新宋体" w:eastAsia="新宋体" w:cs="新宋体"/>
          <w:b/>
          <w:bCs w:val="0"/>
          <w:sz w:val="21"/>
          <w:szCs w:val="21"/>
        </w:rPr>
        <w:tab/>
      </w:r>
      <w:r>
        <w:rPr>
          <w:rFonts w:hint="eastAsia" w:ascii="新宋体" w:hAnsi="新宋体" w:eastAsia="新宋体" w:cs="新宋体"/>
          <w:b/>
          <w:bCs w:val="0"/>
          <w:sz w:val="21"/>
          <w:szCs w:val="21"/>
        </w:rPr>
        <w:fldChar w:fldCharType="begin"/>
      </w:r>
      <w:r>
        <w:rPr>
          <w:rFonts w:hint="eastAsia" w:ascii="新宋体" w:hAnsi="新宋体" w:eastAsia="新宋体" w:cs="新宋体"/>
          <w:b/>
          <w:bCs w:val="0"/>
          <w:sz w:val="21"/>
          <w:szCs w:val="21"/>
        </w:rPr>
        <w:instrText xml:space="preserve"> PAGEREF _Toc24573 </w:instrText>
      </w:r>
      <w:r>
        <w:rPr>
          <w:rFonts w:hint="eastAsia" w:ascii="新宋体" w:hAnsi="新宋体" w:eastAsia="新宋体" w:cs="新宋体"/>
          <w:b/>
          <w:bCs w:val="0"/>
          <w:sz w:val="21"/>
          <w:szCs w:val="21"/>
        </w:rPr>
        <w:fldChar w:fldCharType="separate"/>
      </w:r>
      <w:r>
        <w:rPr>
          <w:rFonts w:hint="eastAsia" w:ascii="新宋体" w:hAnsi="新宋体" w:eastAsia="新宋体" w:cs="新宋体"/>
          <w:b/>
          <w:bCs w:val="0"/>
          <w:sz w:val="21"/>
          <w:szCs w:val="21"/>
        </w:rPr>
        <w:t>35</w:t>
      </w:r>
      <w:r>
        <w:rPr>
          <w:rFonts w:hint="eastAsia" w:ascii="新宋体" w:hAnsi="新宋体" w:eastAsia="新宋体" w:cs="新宋体"/>
          <w:b/>
          <w:bCs w:val="0"/>
          <w:sz w:val="21"/>
          <w:szCs w:val="21"/>
        </w:rPr>
        <w:fldChar w:fldCharType="end"/>
      </w:r>
      <w:r>
        <w:rPr>
          <w:rFonts w:hint="eastAsia" w:ascii="新宋体" w:hAnsi="新宋体" w:eastAsia="新宋体" w:cs="新宋体"/>
          <w:b/>
          <w:bCs w:val="0"/>
          <w:kern w:val="0"/>
          <w:sz w:val="21"/>
          <w:szCs w:val="21"/>
          <w:highlight w:val="none"/>
        </w:rPr>
        <w:fldChar w:fldCharType="end"/>
      </w:r>
    </w:p>
    <w:p>
      <w:pPr>
        <w:pStyle w:val="2"/>
        <w:keepNext w:val="0"/>
        <w:keepLines w:val="0"/>
        <w:pageBreakBefore w:val="0"/>
        <w:widowControl w:val="0"/>
        <w:tabs>
          <w:tab w:val="right" w:leader="dot" w:pos="9468"/>
        </w:tabs>
        <w:kinsoku/>
        <w:wordWrap/>
        <w:overflowPunct/>
        <w:topLinePunct w:val="0"/>
        <w:autoSpaceDE/>
        <w:autoSpaceDN/>
        <w:bidi w:val="0"/>
        <w:snapToGrid/>
        <w:spacing w:line="360" w:lineRule="auto"/>
        <w:ind w:left="0" w:firstLine="0" w:firstLineChars="0"/>
        <w:rPr>
          <w:rFonts w:hint="eastAsia" w:ascii="新宋体" w:hAnsi="新宋体" w:eastAsia="新宋体" w:cs="新宋体"/>
          <w:b/>
          <w:bCs w:val="0"/>
          <w:sz w:val="21"/>
          <w:szCs w:val="21"/>
        </w:rPr>
      </w:pPr>
      <w:r>
        <w:rPr>
          <w:rFonts w:hint="eastAsia" w:ascii="新宋体" w:hAnsi="新宋体" w:eastAsia="新宋体" w:cs="新宋体"/>
          <w:b/>
          <w:bCs w:val="0"/>
          <w:kern w:val="0"/>
          <w:sz w:val="21"/>
          <w:szCs w:val="21"/>
          <w:highlight w:val="none"/>
        </w:rPr>
        <w:fldChar w:fldCharType="begin"/>
      </w:r>
      <w:r>
        <w:rPr>
          <w:rFonts w:hint="eastAsia" w:ascii="新宋体" w:hAnsi="新宋体" w:eastAsia="新宋体" w:cs="新宋体"/>
          <w:b/>
          <w:bCs w:val="0"/>
          <w:kern w:val="0"/>
          <w:sz w:val="21"/>
          <w:szCs w:val="21"/>
          <w:highlight w:val="none"/>
        </w:rPr>
        <w:instrText xml:space="preserve"> HYPERLINK \l _Toc18938 </w:instrText>
      </w:r>
      <w:r>
        <w:rPr>
          <w:rFonts w:hint="eastAsia" w:ascii="新宋体" w:hAnsi="新宋体" w:eastAsia="新宋体" w:cs="新宋体"/>
          <w:b/>
          <w:bCs w:val="0"/>
          <w:kern w:val="0"/>
          <w:sz w:val="21"/>
          <w:szCs w:val="21"/>
          <w:highlight w:val="none"/>
        </w:rPr>
        <w:fldChar w:fldCharType="separate"/>
      </w:r>
      <w:r>
        <w:rPr>
          <w:rFonts w:hint="eastAsia" w:ascii="新宋体" w:hAnsi="新宋体" w:eastAsia="新宋体" w:cs="新宋体"/>
          <w:b/>
          <w:bCs w:val="0"/>
          <w:sz w:val="21"/>
          <w:szCs w:val="21"/>
          <w:highlight w:val="none"/>
        </w:rPr>
        <w:t>第</w:t>
      </w:r>
      <w:r>
        <w:rPr>
          <w:rFonts w:hint="eastAsia" w:ascii="新宋体" w:hAnsi="新宋体" w:eastAsia="新宋体" w:cs="新宋体"/>
          <w:b/>
          <w:bCs w:val="0"/>
          <w:sz w:val="21"/>
          <w:szCs w:val="21"/>
          <w:highlight w:val="none"/>
          <w:lang w:val="en-US" w:eastAsia="zh-CN"/>
        </w:rPr>
        <w:t>五</w:t>
      </w:r>
      <w:r>
        <w:rPr>
          <w:rFonts w:hint="eastAsia" w:ascii="新宋体" w:hAnsi="新宋体" w:eastAsia="新宋体" w:cs="新宋体"/>
          <w:b/>
          <w:bCs w:val="0"/>
          <w:sz w:val="21"/>
          <w:szCs w:val="21"/>
          <w:highlight w:val="none"/>
        </w:rPr>
        <w:t>章 评标办法</w:t>
      </w:r>
      <w:r>
        <w:rPr>
          <w:rFonts w:hint="eastAsia" w:ascii="新宋体" w:hAnsi="新宋体" w:eastAsia="新宋体" w:cs="新宋体"/>
          <w:b/>
          <w:bCs w:val="0"/>
          <w:sz w:val="21"/>
          <w:szCs w:val="21"/>
        </w:rPr>
        <w:tab/>
      </w:r>
      <w:r>
        <w:rPr>
          <w:rFonts w:hint="eastAsia" w:ascii="新宋体" w:hAnsi="新宋体" w:eastAsia="新宋体" w:cs="新宋体"/>
          <w:b/>
          <w:bCs w:val="0"/>
          <w:sz w:val="21"/>
          <w:szCs w:val="21"/>
        </w:rPr>
        <w:fldChar w:fldCharType="begin"/>
      </w:r>
      <w:r>
        <w:rPr>
          <w:rFonts w:hint="eastAsia" w:ascii="新宋体" w:hAnsi="新宋体" w:eastAsia="新宋体" w:cs="新宋体"/>
          <w:b/>
          <w:bCs w:val="0"/>
          <w:sz w:val="21"/>
          <w:szCs w:val="21"/>
        </w:rPr>
        <w:instrText xml:space="preserve"> PAGEREF _Toc18938 </w:instrText>
      </w:r>
      <w:r>
        <w:rPr>
          <w:rFonts w:hint="eastAsia" w:ascii="新宋体" w:hAnsi="新宋体" w:eastAsia="新宋体" w:cs="新宋体"/>
          <w:b/>
          <w:bCs w:val="0"/>
          <w:sz w:val="21"/>
          <w:szCs w:val="21"/>
        </w:rPr>
        <w:fldChar w:fldCharType="separate"/>
      </w:r>
      <w:r>
        <w:rPr>
          <w:rFonts w:hint="eastAsia" w:ascii="新宋体" w:hAnsi="新宋体" w:eastAsia="新宋体" w:cs="新宋体"/>
          <w:b/>
          <w:bCs w:val="0"/>
          <w:sz w:val="21"/>
          <w:szCs w:val="21"/>
        </w:rPr>
        <w:t>47</w:t>
      </w:r>
      <w:r>
        <w:rPr>
          <w:rFonts w:hint="eastAsia" w:ascii="新宋体" w:hAnsi="新宋体" w:eastAsia="新宋体" w:cs="新宋体"/>
          <w:b/>
          <w:bCs w:val="0"/>
          <w:sz w:val="21"/>
          <w:szCs w:val="21"/>
        </w:rPr>
        <w:fldChar w:fldCharType="end"/>
      </w:r>
      <w:r>
        <w:rPr>
          <w:rFonts w:hint="eastAsia" w:ascii="新宋体" w:hAnsi="新宋体" w:eastAsia="新宋体" w:cs="新宋体"/>
          <w:b/>
          <w:bCs w:val="0"/>
          <w:kern w:val="0"/>
          <w:sz w:val="21"/>
          <w:szCs w:val="21"/>
          <w:highlight w:val="none"/>
        </w:rPr>
        <w:fldChar w:fldCharType="end"/>
      </w:r>
    </w:p>
    <w:p>
      <w:pPr>
        <w:keepNext w:val="0"/>
        <w:keepLines w:val="0"/>
        <w:pageBreakBefore w:val="0"/>
        <w:widowControl w:val="0"/>
        <w:tabs>
          <w:tab w:val="left" w:leader="dot" w:pos="8610"/>
        </w:tabs>
        <w:kinsoku/>
        <w:wordWrap/>
        <w:overflowPunct/>
        <w:topLinePunct w:val="0"/>
        <w:autoSpaceDE/>
        <w:autoSpaceDN/>
        <w:bidi w:val="0"/>
        <w:snapToGrid/>
        <w:spacing w:line="360" w:lineRule="auto"/>
        <w:ind w:left="0" w:firstLine="0" w:firstLineChars="0"/>
        <w:rPr>
          <w:rFonts w:ascii="宋体" w:hAnsi="宋体" w:eastAsia="宋体" w:cs="宋体"/>
          <w:bCs/>
          <w:sz w:val="36"/>
          <w:szCs w:val="36"/>
          <w:highlight w:val="none"/>
        </w:rPr>
        <w:sectPr>
          <w:footerReference r:id="rId8" w:type="first"/>
          <w:footerReference r:id="rId7" w:type="default"/>
          <w:pgSz w:w="11906" w:h="16838"/>
          <w:pgMar w:top="1304" w:right="1134" w:bottom="1134" w:left="1304" w:header="851" w:footer="992" w:gutter="0"/>
          <w:pgBorders>
            <w:top w:val="none" w:sz="0" w:space="0"/>
            <w:left w:val="none" w:sz="0" w:space="0"/>
            <w:bottom w:val="none" w:sz="0" w:space="0"/>
            <w:right w:val="none" w:sz="0" w:space="0"/>
          </w:pgBorders>
          <w:pgNumType w:start="0"/>
          <w:cols w:space="720" w:num="1"/>
          <w:titlePg/>
          <w:docGrid w:type="linesAndChars" w:linePitch="312" w:charSpace="0"/>
        </w:sectPr>
      </w:pPr>
      <w:r>
        <w:rPr>
          <w:rFonts w:hint="eastAsia" w:ascii="新宋体" w:hAnsi="新宋体" w:eastAsia="新宋体" w:cs="新宋体"/>
          <w:b/>
          <w:bCs w:val="0"/>
          <w:kern w:val="0"/>
          <w:sz w:val="21"/>
          <w:szCs w:val="21"/>
          <w:highlight w:val="none"/>
        </w:rPr>
        <w:fldChar w:fldCharType="end"/>
      </w:r>
    </w:p>
    <w:p>
      <w:pPr>
        <w:widowControl/>
        <w:snapToGrid w:val="0"/>
        <w:spacing w:beforeLines="30" w:line="340" w:lineRule="exact"/>
        <w:ind w:right="17" w:firstLine="640" w:firstLineChars="200"/>
        <w:jc w:val="center"/>
        <w:rPr>
          <w:rFonts w:hint="eastAsia" w:ascii="宋体" w:hAnsi="宋体" w:eastAsia="宋体" w:cs="宋体"/>
          <w:b/>
          <w:sz w:val="32"/>
          <w:highlight w:val="none"/>
          <w:lang w:eastAsia="zh-CN"/>
        </w:rPr>
      </w:pPr>
      <w:r>
        <w:rPr>
          <w:rFonts w:hint="eastAsia" w:ascii="宋体" w:hAnsi="宋体" w:eastAsia="宋体" w:cs="宋体"/>
          <w:b/>
          <w:bCs/>
          <w:sz w:val="32"/>
          <w:szCs w:val="30"/>
          <w:highlight w:val="none"/>
          <w:lang w:eastAsia="zh-CN"/>
        </w:rPr>
        <w:t>广西达华工程造价咨询有限责任公司</w:t>
      </w:r>
    </w:p>
    <w:p>
      <w:pPr>
        <w:spacing w:line="300" w:lineRule="auto"/>
        <w:jc w:val="center"/>
        <w:rPr>
          <w:rFonts w:ascii="宋体" w:hAnsi="宋体" w:eastAsia="宋体" w:cs="宋体"/>
          <w:b/>
          <w:sz w:val="32"/>
          <w:szCs w:val="28"/>
          <w:highlight w:val="none"/>
        </w:rPr>
      </w:pPr>
      <w:r>
        <w:rPr>
          <w:rFonts w:hint="eastAsia" w:ascii="宋体" w:hAnsi="宋体" w:eastAsia="宋体" w:cs="宋体"/>
          <w:b/>
          <w:bCs/>
          <w:sz w:val="30"/>
          <w:szCs w:val="30"/>
          <w:highlight w:val="none"/>
          <w:lang w:eastAsia="zh-CN"/>
        </w:rPr>
        <w:t>钦北区卫生健康局医疗票据管理平台建设项目</w:t>
      </w:r>
      <w:r>
        <w:rPr>
          <w:rFonts w:hint="eastAsia" w:ascii="宋体" w:hAnsi="宋体" w:eastAsia="宋体" w:cs="宋体"/>
          <w:b/>
          <w:sz w:val="32"/>
          <w:szCs w:val="28"/>
          <w:highlight w:val="none"/>
        </w:rPr>
        <w:t>（</w:t>
      </w:r>
      <w:r>
        <w:rPr>
          <w:rFonts w:hint="eastAsia" w:ascii="宋体" w:hAnsi="宋体" w:eastAsia="宋体" w:cs="宋体"/>
          <w:b/>
          <w:bCs/>
          <w:sz w:val="30"/>
          <w:szCs w:val="30"/>
          <w:highlight w:val="none"/>
          <w:lang w:eastAsia="zh-CN"/>
        </w:rPr>
        <w:t>QZZC2021-C3-30009-GXDH</w:t>
      </w:r>
      <w:r>
        <w:rPr>
          <w:rFonts w:hint="eastAsia" w:ascii="宋体" w:hAnsi="宋体" w:eastAsia="宋体" w:cs="宋体"/>
          <w:b/>
          <w:sz w:val="32"/>
          <w:szCs w:val="28"/>
          <w:highlight w:val="none"/>
        </w:rPr>
        <w:t>）</w:t>
      </w:r>
    </w:p>
    <w:p>
      <w:pPr>
        <w:spacing w:line="300" w:lineRule="auto"/>
        <w:jc w:val="center"/>
        <w:rPr>
          <w:rFonts w:ascii="宋体" w:hAnsi="宋体" w:eastAsia="宋体" w:cs="宋体"/>
          <w:b/>
          <w:sz w:val="32"/>
          <w:szCs w:val="44"/>
          <w:highlight w:val="none"/>
        </w:rPr>
      </w:pPr>
      <w:r>
        <w:rPr>
          <w:rFonts w:hint="eastAsia" w:ascii="宋体" w:hAnsi="宋体" w:eastAsia="宋体" w:cs="宋体"/>
          <w:b/>
          <w:sz w:val="32"/>
          <w:szCs w:val="44"/>
          <w:highlight w:val="none"/>
        </w:rPr>
        <w:t>竞争性磋商公告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新宋体" w:hAnsi="新宋体" w:eastAsia="新宋体" w:cs="新宋体"/>
          <w:b/>
          <w:szCs w:val="21"/>
          <w:highlight w:val="none"/>
        </w:rPr>
      </w:pPr>
      <w:r>
        <w:rPr>
          <w:rFonts w:hint="eastAsia" w:ascii="新宋体" w:hAnsi="新宋体" w:eastAsia="新宋体" w:cs="新宋体"/>
          <w:b/>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lang w:eastAsia="zh-CN"/>
        </w:rPr>
        <w:t>钦北区卫生健康局医疗票据管理平台建设项目</w:t>
      </w:r>
      <w:r>
        <w:rPr>
          <w:rFonts w:hint="eastAsia" w:ascii="新宋体" w:hAnsi="新宋体" w:eastAsia="新宋体" w:cs="新宋体"/>
          <w:szCs w:val="21"/>
          <w:highlight w:val="none"/>
        </w:rPr>
        <w:t>采购项目的潜在供应商应在广西达华工程造价咨询有限责任公司(钦州市新华路351号5楼）获取采购文件，并于2021年</w:t>
      </w:r>
      <w:r>
        <w:rPr>
          <w:rFonts w:hint="eastAsia" w:ascii="新宋体" w:hAnsi="新宋体" w:eastAsia="新宋体" w:cs="新宋体"/>
          <w:szCs w:val="21"/>
          <w:highlight w:val="none"/>
          <w:lang w:val="en-US" w:eastAsia="zh-CN"/>
        </w:rPr>
        <w:t>08</w:t>
      </w:r>
      <w:r>
        <w:rPr>
          <w:rFonts w:hint="eastAsia" w:ascii="新宋体" w:hAnsi="新宋体" w:eastAsia="新宋体" w:cs="新宋体"/>
          <w:szCs w:val="21"/>
          <w:highlight w:val="none"/>
        </w:rPr>
        <w:t>月</w:t>
      </w:r>
      <w:r>
        <w:rPr>
          <w:rFonts w:hint="eastAsia" w:ascii="新宋体" w:hAnsi="新宋体" w:eastAsia="新宋体" w:cs="新宋体"/>
          <w:szCs w:val="21"/>
          <w:highlight w:val="none"/>
          <w:lang w:val="en-US" w:eastAsia="zh-CN"/>
        </w:rPr>
        <w:t xml:space="preserve">   </w:t>
      </w:r>
      <w:r>
        <w:rPr>
          <w:rFonts w:hint="eastAsia" w:ascii="新宋体" w:hAnsi="新宋体" w:eastAsia="新宋体" w:cs="新宋体"/>
          <w:szCs w:val="21"/>
          <w:highlight w:val="none"/>
        </w:rPr>
        <w:t xml:space="preserve">日 09:30（北京时间）前提交响应文件。 </w:t>
      </w:r>
    </w:p>
    <w:p>
      <w:pPr>
        <w:spacing w:line="360" w:lineRule="auto"/>
        <w:rPr>
          <w:rFonts w:hint="eastAsia" w:ascii="新宋体" w:hAnsi="新宋体" w:eastAsia="新宋体" w:cs="新宋体"/>
          <w:szCs w:val="21"/>
          <w:highlight w:val="none"/>
        </w:rPr>
      </w:pPr>
    </w:p>
    <w:p>
      <w:pPr>
        <w:pStyle w:val="4"/>
        <w:spacing w:before="0" w:after="0" w:line="360" w:lineRule="exact"/>
        <w:rPr>
          <w:rFonts w:hint="eastAsia" w:ascii="新宋体" w:hAnsi="新宋体" w:eastAsia="新宋体" w:cs="新宋体"/>
          <w:sz w:val="21"/>
          <w:szCs w:val="21"/>
          <w:highlight w:val="none"/>
        </w:rPr>
      </w:pPr>
      <w:bookmarkStart w:id="2" w:name="_Toc35393629"/>
      <w:bookmarkStart w:id="3" w:name="_Toc35393798"/>
      <w:bookmarkStart w:id="4" w:name="_Toc28359012"/>
      <w:bookmarkStart w:id="5" w:name="_Toc28359089"/>
      <w:r>
        <w:rPr>
          <w:rFonts w:hint="eastAsia" w:ascii="新宋体" w:hAnsi="新宋体" w:eastAsia="新宋体" w:cs="新宋体"/>
          <w:sz w:val="21"/>
          <w:szCs w:val="21"/>
          <w:highlight w:val="none"/>
        </w:rPr>
        <w:t>一、项目基本情况</w:t>
      </w:r>
      <w:bookmarkEnd w:id="2"/>
      <w:bookmarkEnd w:id="3"/>
      <w:bookmarkEnd w:id="4"/>
      <w:bookmarkEnd w:id="5"/>
    </w:p>
    <w:p>
      <w:pPr>
        <w:pStyle w:val="4"/>
        <w:spacing w:before="0" w:after="0" w:line="360" w:lineRule="exact"/>
        <w:rPr>
          <w:rFonts w:hint="eastAsia" w:ascii="新宋体" w:hAnsi="新宋体" w:eastAsia="新宋体" w:cs="新宋体"/>
          <w:b w:val="0"/>
          <w:bCs w:val="0"/>
          <w:sz w:val="21"/>
          <w:szCs w:val="21"/>
          <w:highlight w:val="none"/>
        </w:rPr>
      </w:pPr>
      <w:bookmarkStart w:id="6" w:name="_Toc28359090"/>
      <w:bookmarkStart w:id="7" w:name="_Toc35393630"/>
      <w:bookmarkStart w:id="8" w:name="_Toc28359013"/>
      <w:bookmarkStart w:id="9" w:name="_Toc35393799"/>
      <w:r>
        <w:rPr>
          <w:rFonts w:hint="eastAsia" w:ascii="新宋体" w:hAnsi="新宋体" w:eastAsia="新宋体" w:cs="新宋体"/>
          <w:sz w:val="21"/>
          <w:szCs w:val="21"/>
          <w:highlight w:val="none"/>
        </w:rPr>
        <w:t xml:space="preserve">  </w:t>
      </w:r>
      <w:r>
        <w:rPr>
          <w:rFonts w:hint="eastAsia" w:ascii="新宋体" w:hAnsi="新宋体" w:eastAsia="新宋体" w:cs="新宋体"/>
          <w:b w:val="0"/>
          <w:bCs w:val="0"/>
          <w:sz w:val="21"/>
          <w:szCs w:val="21"/>
          <w:highlight w:val="none"/>
        </w:rPr>
        <w:t xml:space="preserve">  项目编号：</w:t>
      </w:r>
      <w:r>
        <w:rPr>
          <w:rFonts w:hint="eastAsia" w:ascii="新宋体" w:hAnsi="新宋体" w:eastAsia="新宋体" w:cs="新宋体"/>
          <w:b w:val="0"/>
          <w:bCs w:val="0"/>
          <w:sz w:val="21"/>
          <w:szCs w:val="21"/>
          <w:highlight w:val="none"/>
          <w:lang w:eastAsia="zh-CN"/>
        </w:rPr>
        <w:t>QZZC2021-C3-30009-GXDH</w:t>
      </w:r>
      <w:r>
        <w:rPr>
          <w:rFonts w:hint="eastAsia" w:ascii="新宋体" w:hAnsi="新宋体" w:eastAsia="新宋体" w:cs="新宋体"/>
          <w:b w:val="0"/>
          <w:bCs w:val="0"/>
          <w:sz w:val="21"/>
          <w:szCs w:val="21"/>
          <w:highlight w:val="none"/>
        </w:rPr>
        <w:t xml:space="preserve"> </w:t>
      </w:r>
    </w:p>
    <w:p>
      <w:pPr>
        <w:pStyle w:val="4"/>
        <w:spacing w:before="0" w:after="0" w:line="360" w:lineRule="exact"/>
        <w:rPr>
          <w:rFonts w:hint="eastAsia" w:ascii="新宋体" w:hAnsi="新宋体" w:eastAsia="新宋体" w:cs="新宋体"/>
          <w:b w:val="0"/>
          <w:bCs w:val="0"/>
          <w:sz w:val="21"/>
          <w:szCs w:val="21"/>
          <w:highlight w:val="none"/>
        </w:rPr>
      </w:pPr>
      <w:r>
        <w:rPr>
          <w:rFonts w:hint="eastAsia" w:ascii="新宋体" w:hAnsi="新宋体" w:eastAsia="新宋体" w:cs="新宋体"/>
          <w:b w:val="0"/>
          <w:bCs w:val="0"/>
          <w:sz w:val="21"/>
          <w:szCs w:val="21"/>
          <w:highlight w:val="none"/>
        </w:rPr>
        <w:t xml:space="preserve">    项目名称：</w:t>
      </w:r>
      <w:r>
        <w:rPr>
          <w:rFonts w:hint="eastAsia" w:ascii="新宋体" w:hAnsi="新宋体" w:eastAsia="新宋体" w:cs="新宋体"/>
          <w:b w:val="0"/>
          <w:bCs w:val="0"/>
          <w:sz w:val="21"/>
          <w:szCs w:val="21"/>
          <w:highlight w:val="none"/>
          <w:lang w:eastAsia="zh-CN"/>
        </w:rPr>
        <w:t>钦北区卫生健康局医疗票据管理平台建设项目</w:t>
      </w:r>
      <w:r>
        <w:rPr>
          <w:rFonts w:hint="eastAsia" w:ascii="新宋体" w:hAnsi="新宋体" w:eastAsia="新宋体" w:cs="新宋体"/>
          <w:b w:val="0"/>
          <w:bCs w:val="0"/>
          <w:sz w:val="21"/>
          <w:szCs w:val="21"/>
          <w:highlight w:val="none"/>
        </w:rPr>
        <w:t xml:space="preserve"> </w:t>
      </w:r>
    </w:p>
    <w:p>
      <w:pPr>
        <w:pStyle w:val="4"/>
        <w:spacing w:before="0" w:after="0" w:line="360" w:lineRule="exact"/>
        <w:rPr>
          <w:rFonts w:hint="eastAsia" w:ascii="新宋体" w:hAnsi="新宋体" w:eastAsia="新宋体" w:cs="新宋体"/>
          <w:b w:val="0"/>
          <w:bCs w:val="0"/>
          <w:sz w:val="21"/>
          <w:szCs w:val="21"/>
          <w:highlight w:val="none"/>
        </w:rPr>
      </w:pPr>
      <w:r>
        <w:rPr>
          <w:rFonts w:hint="eastAsia" w:ascii="新宋体" w:hAnsi="新宋体" w:eastAsia="新宋体" w:cs="新宋体"/>
          <w:b w:val="0"/>
          <w:bCs w:val="0"/>
          <w:sz w:val="21"/>
          <w:szCs w:val="21"/>
          <w:highlight w:val="none"/>
        </w:rPr>
        <w:t xml:space="preserve">    采购方式：竞争性磋商 </w:t>
      </w:r>
    </w:p>
    <w:p>
      <w:pPr>
        <w:pStyle w:val="4"/>
        <w:spacing w:before="0" w:after="0" w:line="360" w:lineRule="exact"/>
        <w:rPr>
          <w:rFonts w:hint="default" w:ascii="新宋体" w:hAnsi="新宋体" w:eastAsia="新宋体" w:cs="新宋体"/>
          <w:b w:val="0"/>
          <w:bCs w:val="0"/>
          <w:sz w:val="21"/>
          <w:szCs w:val="21"/>
          <w:highlight w:val="none"/>
          <w:lang w:val="en-US" w:eastAsia="zh-CN"/>
        </w:rPr>
      </w:pPr>
      <w:r>
        <w:rPr>
          <w:rFonts w:hint="eastAsia" w:ascii="新宋体" w:hAnsi="新宋体" w:eastAsia="新宋体" w:cs="新宋体"/>
          <w:b w:val="0"/>
          <w:bCs w:val="0"/>
          <w:sz w:val="21"/>
          <w:szCs w:val="21"/>
          <w:highlight w:val="none"/>
        </w:rPr>
        <w:t xml:space="preserve">    预算总金额（元）：</w:t>
      </w:r>
      <w:r>
        <w:rPr>
          <w:rFonts w:hint="eastAsia" w:ascii="新宋体" w:hAnsi="新宋体" w:eastAsia="新宋体" w:cs="新宋体"/>
          <w:b w:val="0"/>
          <w:bCs w:val="0"/>
          <w:sz w:val="21"/>
          <w:szCs w:val="21"/>
          <w:highlight w:val="none"/>
          <w:lang w:val="en-US" w:eastAsia="zh-CN"/>
        </w:rPr>
        <w:t>1400000.00</w:t>
      </w:r>
    </w:p>
    <w:p>
      <w:pPr>
        <w:pStyle w:val="4"/>
        <w:spacing w:before="0" w:after="0" w:line="360" w:lineRule="exact"/>
        <w:rPr>
          <w:rFonts w:hint="eastAsia" w:ascii="新宋体" w:hAnsi="新宋体" w:eastAsia="新宋体" w:cs="新宋体"/>
          <w:b w:val="0"/>
          <w:bCs w:val="0"/>
          <w:sz w:val="21"/>
          <w:szCs w:val="21"/>
          <w:highlight w:val="none"/>
        </w:rPr>
      </w:pPr>
      <w:r>
        <w:rPr>
          <w:rFonts w:hint="eastAsia" w:ascii="新宋体" w:hAnsi="新宋体" w:eastAsia="新宋体" w:cs="新宋体"/>
          <w:b w:val="0"/>
          <w:bCs w:val="0"/>
          <w:sz w:val="21"/>
          <w:szCs w:val="21"/>
          <w:highlight w:val="none"/>
        </w:rPr>
        <w:t xml:space="preserve">    采购需求：</w:t>
      </w:r>
    </w:p>
    <w:p>
      <w:pPr>
        <w:pStyle w:val="4"/>
        <w:spacing w:before="0" w:after="0" w:line="360" w:lineRule="exact"/>
        <w:ind w:firstLine="420" w:firstLineChars="0"/>
        <w:rPr>
          <w:rFonts w:hint="eastAsia" w:ascii="新宋体" w:hAnsi="新宋体" w:eastAsia="新宋体" w:cs="新宋体"/>
          <w:b w:val="0"/>
          <w:bCs w:val="0"/>
          <w:sz w:val="21"/>
          <w:szCs w:val="21"/>
          <w:highlight w:val="none"/>
        </w:rPr>
      </w:pPr>
      <w:r>
        <w:rPr>
          <w:rFonts w:hint="eastAsia" w:ascii="新宋体" w:hAnsi="新宋体" w:eastAsia="新宋体" w:cs="新宋体"/>
          <w:b w:val="0"/>
          <w:bCs w:val="0"/>
          <w:sz w:val="21"/>
          <w:szCs w:val="21"/>
          <w:highlight w:val="none"/>
        </w:rPr>
        <w:t>本标项（否）接受联合体投标</w:t>
      </w:r>
    </w:p>
    <w:p>
      <w:pPr>
        <w:pStyle w:val="4"/>
        <w:spacing w:before="0" w:after="0" w:line="360" w:lineRule="exact"/>
        <w:ind w:firstLine="420" w:firstLineChars="0"/>
        <w:rPr>
          <w:rFonts w:hint="eastAsia" w:ascii="新宋体" w:hAnsi="新宋体" w:eastAsia="新宋体" w:cs="新宋体"/>
          <w:b w:val="0"/>
          <w:bCs w:val="0"/>
          <w:sz w:val="21"/>
          <w:szCs w:val="21"/>
          <w:highlight w:val="none"/>
        </w:rPr>
      </w:pPr>
      <w:r>
        <w:rPr>
          <w:rFonts w:hint="eastAsia" w:ascii="新宋体" w:hAnsi="新宋体" w:eastAsia="新宋体" w:cs="新宋体"/>
          <w:b w:val="0"/>
          <w:bCs w:val="0"/>
          <w:sz w:val="21"/>
          <w:szCs w:val="21"/>
          <w:highlight w:val="none"/>
        </w:rPr>
        <w:t>备注：</w:t>
      </w:r>
    </w:p>
    <w:p>
      <w:pPr>
        <w:pStyle w:val="4"/>
        <w:spacing w:before="0" w:after="0" w:line="360" w:lineRule="exact"/>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二、申请人的资格要求：</w:t>
      </w:r>
      <w:bookmarkEnd w:id="6"/>
      <w:bookmarkEnd w:id="7"/>
      <w:bookmarkEnd w:id="8"/>
      <w:bookmarkEnd w:id="9"/>
    </w:p>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eastAsia" w:ascii="新宋体" w:hAnsi="新宋体" w:eastAsia="新宋体" w:cs="新宋体"/>
          <w:color w:val="auto"/>
          <w:sz w:val="21"/>
          <w:szCs w:val="21"/>
        </w:rPr>
      </w:pPr>
      <w:bookmarkStart w:id="10" w:name="_Toc28359014"/>
      <w:bookmarkStart w:id="11" w:name="_Toc28359091"/>
      <w:r>
        <w:rPr>
          <w:rFonts w:hint="eastAsia" w:ascii="新宋体" w:hAnsi="新宋体" w:eastAsia="新宋体" w:cs="新宋体"/>
          <w:color w:val="auto"/>
          <w:sz w:val="21"/>
          <w:szCs w:val="21"/>
          <w:lang w:eastAsia="zh-CN"/>
        </w:rPr>
        <w:t>供应商</w:t>
      </w:r>
      <w:r>
        <w:rPr>
          <w:rFonts w:hint="eastAsia" w:ascii="新宋体" w:hAnsi="新宋体" w:eastAsia="新宋体" w:cs="新宋体"/>
          <w:color w:val="auto"/>
          <w:sz w:val="21"/>
          <w:szCs w:val="21"/>
        </w:rPr>
        <w:t>资格要求：</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新宋体" w:hAnsi="新宋体" w:eastAsia="新宋体" w:cs="新宋体"/>
          <w:color w:val="auto"/>
          <w:kern w:val="0"/>
          <w:szCs w:val="21"/>
          <w:highlight w:val="none"/>
        </w:rPr>
      </w:pPr>
      <w:bookmarkStart w:id="12" w:name="_Toc35393800"/>
      <w:bookmarkStart w:id="13" w:name="_Toc35393631"/>
      <w:r>
        <w:rPr>
          <w:rFonts w:hint="eastAsia" w:ascii="新宋体" w:hAnsi="新宋体" w:eastAsia="新宋体" w:cs="新宋体"/>
          <w:color w:val="auto"/>
          <w:kern w:val="0"/>
          <w:szCs w:val="21"/>
          <w:highlight w:val="none"/>
        </w:rPr>
        <w:t>1、符合《中华人民共和国政府采购法》第二十二条规定条件；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2、国内注册(指按国家有关规定要求注册的)生产或经营本次采购货物</w:t>
      </w:r>
      <w:r>
        <w:rPr>
          <w:rFonts w:hint="eastAsia" w:ascii="新宋体" w:hAnsi="新宋体" w:eastAsia="新宋体" w:cs="新宋体"/>
          <w:color w:val="auto"/>
          <w:kern w:val="0"/>
          <w:szCs w:val="21"/>
          <w:highlight w:val="none"/>
          <w:lang w:eastAsia="zh-CN"/>
        </w:rPr>
        <w:t>或</w:t>
      </w:r>
      <w:r>
        <w:rPr>
          <w:rFonts w:hint="eastAsia" w:ascii="新宋体" w:hAnsi="新宋体" w:eastAsia="新宋体" w:cs="新宋体"/>
          <w:kern w:val="0"/>
          <w:szCs w:val="21"/>
          <w:highlight w:val="none"/>
        </w:rPr>
        <w:t>满足本次服务采购经营范围的供应商</w:t>
      </w:r>
      <w:r>
        <w:rPr>
          <w:rFonts w:hint="eastAsia" w:ascii="新宋体" w:hAnsi="新宋体" w:eastAsia="新宋体" w:cs="新宋体"/>
          <w:color w:val="auto"/>
          <w:kern w:val="0"/>
          <w:szCs w:val="21"/>
          <w:highlight w:val="none"/>
        </w:rPr>
        <w:t>，并具备独立法人资格供应商；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3、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查询相关供应商主体信用记录，同时须在竞标文件中将查询结果截图加盖单位公章如实报告谈判小组]；</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kern w:val="0"/>
          <w:szCs w:val="21"/>
          <w:highlight w:val="none"/>
        </w:rPr>
        <w:t>5、本项目不接受联合体竞标。</w:t>
      </w:r>
    </w:p>
    <w:p>
      <w:pPr>
        <w:pStyle w:val="4"/>
        <w:spacing w:before="0" w:after="0" w:line="360" w:lineRule="exact"/>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三、获取采购文件</w:t>
      </w:r>
      <w:bookmarkEnd w:id="10"/>
      <w:bookmarkEnd w:id="11"/>
      <w:bookmarkEnd w:id="12"/>
      <w:bookmarkEnd w:id="13"/>
    </w:p>
    <w:p>
      <w:pPr>
        <w:spacing w:line="360" w:lineRule="exact"/>
        <w:ind w:firstLine="540"/>
        <w:rPr>
          <w:rFonts w:hint="eastAsia" w:ascii="新宋体" w:hAnsi="新宋体" w:eastAsia="新宋体" w:cs="新宋体"/>
          <w:szCs w:val="21"/>
          <w:highlight w:val="none"/>
        </w:rPr>
      </w:pPr>
      <w:r>
        <w:rPr>
          <w:rFonts w:hint="eastAsia" w:ascii="新宋体" w:hAnsi="新宋体" w:eastAsia="新宋体" w:cs="新宋体"/>
          <w:szCs w:val="21"/>
          <w:highlight w:val="none"/>
        </w:rPr>
        <w:t>时间：</w:t>
      </w:r>
      <w:r>
        <w:rPr>
          <w:rFonts w:hint="eastAsia" w:ascii="新宋体" w:hAnsi="新宋体" w:eastAsia="新宋体" w:cs="新宋体"/>
          <w:szCs w:val="21"/>
          <w:highlight w:val="none"/>
          <w:lang w:val="en-US" w:eastAsia="zh-CN"/>
        </w:rPr>
        <w:t>自</w:t>
      </w:r>
      <w:r>
        <w:rPr>
          <w:rFonts w:hint="eastAsia" w:ascii="新宋体" w:hAnsi="新宋体" w:eastAsia="新宋体" w:cs="新宋体"/>
          <w:szCs w:val="21"/>
          <w:highlight w:val="none"/>
        </w:rPr>
        <w:t>公告发布之时起至</w:t>
      </w:r>
      <w:r>
        <w:rPr>
          <w:rFonts w:hint="eastAsia" w:ascii="新宋体" w:hAnsi="新宋体" w:eastAsia="新宋体" w:cs="新宋体"/>
          <w:szCs w:val="21"/>
          <w:highlight w:val="none"/>
          <w:lang w:val="en-US" w:eastAsia="zh-CN"/>
        </w:rPr>
        <w:t>2021</w:t>
      </w:r>
      <w:r>
        <w:rPr>
          <w:rFonts w:hint="eastAsia" w:ascii="新宋体" w:hAnsi="新宋体" w:eastAsia="新宋体" w:cs="新宋体"/>
          <w:szCs w:val="21"/>
          <w:highlight w:val="none"/>
        </w:rPr>
        <w:t>年</w:t>
      </w:r>
      <w:r>
        <w:rPr>
          <w:rFonts w:hint="eastAsia" w:ascii="新宋体" w:hAnsi="新宋体" w:eastAsia="新宋体" w:cs="新宋体"/>
          <w:szCs w:val="21"/>
          <w:highlight w:val="none"/>
          <w:lang w:val="en-US" w:eastAsia="zh-CN"/>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lang w:val="en-US" w:eastAsia="zh-CN"/>
        </w:rPr>
        <w:t xml:space="preserve">   </w:t>
      </w:r>
      <w:r>
        <w:rPr>
          <w:rFonts w:hint="eastAsia" w:ascii="新宋体" w:hAnsi="新宋体" w:eastAsia="新宋体" w:cs="新宋体"/>
          <w:szCs w:val="21"/>
          <w:highlight w:val="none"/>
        </w:rPr>
        <w:t>日，每天上午9时至12时，下午15时至18时（北京时间，法定节假日除外 ）。</w:t>
      </w:r>
    </w:p>
    <w:p>
      <w:pPr>
        <w:spacing w:line="360" w:lineRule="exact"/>
        <w:ind w:firstLine="540"/>
        <w:rPr>
          <w:rFonts w:hint="eastAsia" w:ascii="新宋体" w:hAnsi="新宋体" w:eastAsia="新宋体" w:cs="新宋体"/>
          <w:szCs w:val="21"/>
          <w:highlight w:val="none"/>
          <w:u w:val="single"/>
          <w:lang w:eastAsia="zh-CN"/>
        </w:rPr>
      </w:pPr>
      <w:r>
        <w:rPr>
          <w:rFonts w:hint="eastAsia" w:ascii="新宋体" w:hAnsi="新宋体" w:eastAsia="新宋体" w:cs="新宋体"/>
          <w:szCs w:val="21"/>
          <w:highlight w:val="none"/>
        </w:rPr>
        <w:t>地点：</w:t>
      </w:r>
      <w:r>
        <w:rPr>
          <w:rFonts w:hint="eastAsia" w:ascii="新宋体" w:hAnsi="新宋体" w:eastAsia="新宋体" w:cs="新宋体"/>
          <w:szCs w:val="21"/>
          <w:highlight w:val="none"/>
          <w:lang w:val="en-US" w:eastAsia="zh-CN"/>
        </w:rPr>
        <w:t>钦州市新华路351号5楼（</w:t>
      </w:r>
      <w:r>
        <w:rPr>
          <w:rFonts w:hint="eastAsia" w:ascii="新宋体" w:hAnsi="新宋体" w:eastAsia="新宋体" w:cs="新宋体"/>
          <w:szCs w:val="21"/>
          <w:highlight w:val="none"/>
        </w:rPr>
        <w:t>广西达华工程造价咨询有限责任公司</w:t>
      </w:r>
      <w:r>
        <w:rPr>
          <w:rFonts w:hint="eastAsia" w:ascii="新宋体" w:hAnsi="新宋体" w:eastAsia="新宋体" w:cs="新宋体"/>
          <w:szCs w:val="21"/>
          <w:highlight w:val="none"/>
          <w:lang w:val="en-US" w:eastAsia="zh-CN"/>
        </w:rPr>
        <w:t>钦州分公司）</w:t>
      </w:r>
    </w:p>
    <w:p>
      <w:pPr>
        <w:spacing w:line="360" w:lineRule="exact"/>
        <w:ind w:firstLine="540"/>
        <w:rPr>
          <w:rFonts w:hint="eastAsia" w:ascii="新宋体" w:hAnsi="新宋体" w:eastAsia="新宋体" w:cs="新宋体"/>
          <w:szCs w:val="21"/>
          <w:highlight w:val="none"/>
          <w:u w:val="single"/>
        </w:rPr>
      </w:pPr>
      <w:r>
        <w:rPr>
          <w:rFonts w:hint="eastAsia" w:ascii="新宋体" w:hAnsi="新宋体" w:eastAsia="新宋体" w:cs="新宋体"/>
          <w:szCs w:val="21"/>
          <w:highlight w:val="none"/>
        </w:rPr>
        <w:t>方式：现场发售。</w:t>
      </w:r>
    </w:p>
    <w:p>
      <w:pPr>
        <w:spacing w:line="360" w:lineRule="exact"/>
        <w:ind w:firstLine="540"/>
        <w:rPr>
          <w:rFonts w:hint="eastAsia" w:ascii="新宋体" w:hAnsi="新宋体" w:eastAsia="新宋体" w:cs="新宋体"/>
          <w:szCs w:val="21"/>
          <w:highlight w:val="none"/>
        </w:rPr>
      </w:pPr>
      <w:r>
        <w:rPr>
          <w:rFonts w:hint="eastAsia" w:ascii="新宋体" w:hAnsi="新宋体" w:eastAsia="新宋体" w:cs="新宋体"/>
          <w:szCs w:val="21"/>
          <w:highlight w:val="none"/>
        </w:rPr>
        <w:t>售价：250元。</w:t>
      </w:r>
    </w:p>
    <w:p>
      <w:pPr>
        <w:pStyle w:val="4"/>
        <w:spacing w:before="0" w:after="0" w:line="360" w:lineRule="exact"/>
        <w:rPr>
          <w:rFonts w:hint="eastAsia" w:ascii="新宋体" w:hAnsi="新宋体" w:eastAsia="新宋体" w:cs="新宋体"/>
          <w:sz w:val="21"/>
          <w:szCs w:val="21"/>
          <w:highlight w:val="none"/>
        </w:rPr>
      </w:pPr>
      <w:bookmarkStart w:id="14" w:name="_Toc35393801"/>
      <w:bookmarkStart w:id="15" w:name="_Toc28359092"/>
      <w:bookmarkStart w:id="16" w:name="_Toc28359015"/>
      <w:bookmarkStart w:id="17" w:name="_Toc35393632"/>
      <w:r>
        <w:rPr>
          <w:rFonts w:hint="eastAsia" w:ascii="新宋体" w:hAnsi="新宋体" w:eastAsia="新宋体" w:cs="新宋体"/>
          <w:sz w:val="21"/>
          <w:szCs w:val="21"/>
          <w:highlight w:val="none"/>
        </w:rPr>
        <w:t>四、响应文件提交</w:t>
      </w:r>
      <w:bookmarkEnd w:id="14"/>
      <w:bookmarkEnd w:id="15"/>
      <w:bookmarkEnd w:id="16"/>
      <w:bookmarkEnd w:id="17"/>
    </w:p>
    <w:p>
      <w:pPr>
        <w:pStyle w:val="4"/>
        <w:spacing w:before="0" w:after="0" w:line="360" w:lineRule="exact"/>
        <w:rPr>
          <w:rFonts w:hint="eastAsia" w:ascii="新宋体" w:hAnsi="新宋体" w:eastAsia="新宋体" w:cs="新宋体"/>
          <w:b w:val="0"/>
          <w:bCs w:val="0"/>
          <w:sz w:val="21"/>
          <w:szCs w:val="21"/>
          <w:highlight w:val="none"/>
        </w:rPr>
      </w:pPr>
      <w:bookmarkStart w:id="18" w:name="_Toc28359016"/>
      <w:bookmarkStart w:id="19" w:name="_Toc28359093"/>
      <w:bookmarkStart w:id="20" w:name="_Toc35393802"/>
      <w:bookmarkStart w:id="21" w:name="_Toc35393633"/>
      <w:r>
        <w:rPr>
          <w:rFonts w:hint="eastAsia" w:ascii="新宋体" w:hAnsi="新宋体" w:eastAsia="新宋体" w:cs="新宋体"/>
          <w:b w:val="0"/>
          <w:bCs w:val="0"/>
          <w:sz w:val="21"/>
          <w:szCs w:val="21"/>
          <w:highlight w:val="none"/>
        </w:rPr>
        <w:t xml:space="preserve">    截止时间：2021年</w:t>
      </w:r>
      <w:r>
        <w:rPr>
          <w:rFonts w:hint="eastAsia" w:ascii="新宋体" w:hAnsi="新宋体" w:eastAsia="新宋体" w:cs="新宋体"/>
          <w:b w:val="0"/>
          <w:bCs w:val="0"/>
          <w:sz w:val="21"/>
          <w:szCs w:val="21"/>
          <w:highlight w:val="none"/>
          <w:lang w:val="en-US" w:eastAsia="zh-CN"/>
        </w:rPr>
        <w:t xml:space="preserve">    </w:t>
      </w:r>
      <w:r>
        <w:rPr>
          <w:rFonts w:hint="eastAsia" w:ascii="新宋体" w:hAnsi="新宋体" w:eastAsia="新宋体" w:cs="新宋体"/>
          <w:b w:val="0"/>
          <w:bCs w:val="0"/>
          <w:sz w:val="21"/>
          <w:szCs w:val="21"/>
          <w:highlight w:val="none"/>
        </w:rPr>
        <w:t>月</w:t>
      </w:r>
      <w:r>
        <w:rPr>
          <w:rFonts w:hint="eastAsia" w:ascii="新宋体" w:hAnsi="新宋体" w:eastAsia="新宋体" w:cs="新宋体"/>
          <w:b w:val="0"/>
          <w:bCs w:val="0"/>
          <w:sz w:val="21"/>
          <w:szCs w:val="21"/>
          <w:highlight w:val="none"/>
          <w:lang w:val="en-US" w:eastAsia="zh-CN"/>
        </w:rPr>
        <w:t xml:space="preserve">   </w:t>
      </w:r>
      <w:r>
        <w:rPr>
          <w:rFonts w:hint="eastAsia" w:ascii="新宋体" w:hAnsi="新宋体" w:eastAsia="新宋体" w:cs="新宋体"/>
          <w:b w:val="0"/>
          <w:bCs w:val="0"/>
          <w:sz w:val="21"/>
          <w:szCs w:val="21"/>
          <w:highlight w:val="none"/>
        </w:rPr>
        <w:t>日 09:30（北京时间）</w:t>
      </w:r>
    </w:p>
    <w:p>
      <w:pPr>
        <w:pStyle w:val="4"/>
        <w:spacing w:before="0" w:after="0" w:line="360" w:lineRule="exact"/>
        <w:rPr>
          <w:rFonts w:hint="eastAsia" w:ascii="新宋体" w:hAnsi="新宋体" w:eastAsia="新宋体" w:cs="新宋体"/>
          <w:b w:val="0"/>
          <w:bCs w:val="0"/>
          <w:sz w:val="21"/>
          <w:szCs w:val="21"/>
          <w:highlight w:val="none"/>
        </w:rPr>
      </w:pPr>
      <w:r>
        <w:rPr>
          <w:rFonts w:hint="eastAsia" w:ascii="新宋体" w:hAnsi="新宋体" w:eastAsia="新宋体" w:cs="新宋体"/>
          <w:b w:val="0"/>
          <w:bCs w:val="0"/>
          <w:sz w:val="21"/>
          <w:szCs w:val="21"/>
          <w:highlight w:val="none"/>
        </w:rPr>
        <w:t xml:space="preserve">    地点（网址）：广西达华工程造价咨询有限责任公司(钦州市新华路351号5楼）</w:t>
      </w:r>
    </w:p>
    <w:p>
      <w:pPr>
        <w:pStyle w:val="4"/>
        <w:spacing w:before="0" w:after="0" w:line="360" w:lineRule="exact"/>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五、</w:t>
      </w:r>
      <w:bookmarkEnd w:id="18"/>
      <w:bookmarkEnd w:id="19"/>
      <w:bookmarkEnd w:id="20"/>
      <w:bookmarkEnd w:id="21"/>
      <w:r>
        <w:rPr>
          <w:rFonts w:hint="eastAsia" w:ascii="新宋体" w:hAnsi="新宋体" w:eastAsia="新宋体" w:cs="新宋体"/>
          <w:sz w:val="21"/>
          <w:szCs w:val="21"/>
          <w:highlight w:val="none"/>
        </w:rPr>
        <w:t xml:space="preserve">响应文件开启 </w:t>
      </w:r>
    </w:p>
    <w:p>
      <w:pPr>
        <w:pStyle w:val="4"/>
        <w:spacing w:before="0" w:after="0" w:line="360" w:lineRule="exact"/>
        <w:rPr>
          <w:rFonts w:hint="eastAsia" w:ascii="新宋体" w:hAnsi="新宋体" w:eastAsia="新宋体" w:cs="新宋体"/>
          <w:b w:val="0"/>
          <w:bCs w:val="0"/>
          <w:sz w:val="21"/>
          <w:szCs w:val="21"/>
          <w:highlight w:val="none"/>
        </w:rPr>
      </w:pPr>
      <w:bookmarkStart w:id="22" w:name="_Toc35393634"/>
      <w:bookmarkStart w:id="23" w:name="_Toc28359094"/>
      <w:bookmarkStart w:id="24" w:name="_Toc28359017"/>
      <w:bookmarkStart w:id="25" w:name="_Toc35393803"/>
      <w:r>
        <w:rPr>
          <w:rFonts w:hint="eastAsia" w:ascii="新宋体" w:hAnsi="新宋体" w:eastAsia="新宋体" w:cs="新宋体"/>
          <w:b w:val="0"/>
          <w:bCs w:val="0"/>
          <w:sz w:val="21"/>
          <w:szCs w:val="21"/>
          <w:highlight w:val="none"/>
        </w:rPr>
        <w:t xml:space="preserve">    开启时间：2021年</w:t>
      </w:r>
      <w:r>
        <w:rPr>
          <w:rFonts w:hint="eastAsia" w:ascii="新宋体" w:hAnsi="新宋体" w:eastAsia="新宋体" w:cs="新宋体"/>
          <w:b w:val="0"/>
          <w:bCs w:val="0"/>
          <w:sz w:val="21"/>
          <w:szCs w:val="21"/>
          <w:highlight w:val="none"/>
          <w:lang w:val="en-US" w:eastAsia="zh-CN"/>
        </w:rPr>
        <w:t xml:space="preserve">    </w:t>
      </w:r>
      <w:r>
        <w:rPr>
          <w:rFonts w:hint="eastAsia" w:ascii="新宋体" w:hAnsi="新宋体" w:eastAsia="新宋体" w:cs="新宋体"/>
          <w:b w:val="0"/>
          <w:bCs w:val="0"/>
          <w:sz w:val="21"/>
          <w:szCs w:val="21"/>
          <w:highlight w:val="none"/>
        </w:rPr>
        <w:t>月</w:t>
      </w:r>
      <w:r>
        <w:rPr>
          <w:rFonts w:hint="eastAsia" w:ascii="新宋体" w:hAnsi="新宋体" w:eastAsia="新宋体" w:cs="新宋体"/>
          <w:b w:val="0"/>
          <w:bCs w:val="0"/>
          <w:sz w:val="21"/>
          <w:szCs w:val="21"/>
          <w:highlight w:val="none"/>
          <w:lang w:val="en-US" w:eastAsia="zh-CN"/>
        </w:rPr>
        <w:t xml:space="preserve">   </w:t>
      </w:r>
      <w:r>
        <w:rPr>
          <w:rFonts w:hint="eastAsia" w:ascii="新宋体" w:hAnsi="新宋体" w:eastAsia="新宋体" w:cs="新宋体"/>
          <w:b w:val="0"/>
          <w:bCs w:val="0"/>
          <w:sz w:val="21"/>
          <w:szCs w:val="21"/>
          <w:highlight w:val="none"/>
        </w:rPr>
        <w:t>日 09:30 （北京时间）</w:t>
      </w:r>
    </w:p>
    <w:p>
      <w:pPr>
        <w:pStyle w:val="4"/>
        <w:spacing w:before="0" w:after="0" w:line="360" w:lineRule="exact"/>
        <w:rPr>
          <w:rFonts w:hint="eastAsia" w:ascii="新宋体" w:hAnsi="新宋体" w:eastAsia="新宋体" w:cs="新宋体"/>
          <w:b w:val="0"/>
          <w:bCs w:val="0"/>
          <w:sz w:val="21"/>
          <w:szCs w:val="21"/>
          <w:highlight w:val="none"/>
        </w:rPr>
      </w:pPr>
      <w:r>
        <w:rPr>
          <w:rFonts w:hint="eastAsia" w:ascii="新宋体" w:hAnsi="新宋体" w:eastAsia="新宋体" w:cs="新宋体"/>
          <w:b w:val="0"/>
          <w:bCs w:val="0"/>
          <w:sz w:val="21"/>
          <w:szCs w:val="21"/>
          <w:highlight w:val="none"/>
        </w:rPr>
        <w:t xml:space="preserve">    地点：广西达华工程造价咨询有限责任公司(钦州市新华路351号5楼） </w:t>
      </w:r>
    </w:p>
    <w:p>
      <w:pPr>
        <w:pStyle w:val="4"/>
        <w:spacing w:before="0" w:after="0" w:line="360" w:lineRule="exact"/>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六、公告期限</w:t>
      </w:r>
      <w:bookmarkEnd w:id="22"/>
      <w:bookmarkEnd w:id="23"/>
      <w:bookmarkEnd w:id="24"/>
      <w:bookmarkEnd w:id="25"/>
    </w:p>
    <w:p>
      <w:pPr>
        <w:spacing w:line="360" w:lineRule="exact"/>
        <w:ind w:firstLine="420" w:firstLineChars="200"/>
        <w:rPr>
          <w:rFonts w:hint="eastAsia" w:ascii="新宋体" w:hAnsi="新宋体" w:eastAsia="新宋体" w:cs="新宋体"/>
          <w:kern w:val="0"/>
          <w:szCs w:val="21"/>
          <w:highlight w:val="none"/>
        </w:rPr>
      </w:pPr>
      <w:r>
        <w:rPr>
          <w:rFonts w:hint="eastAsia" w:ascii="新宋体" w:hAnsi="新宋体" w:eastAsia="新宋体" w:cs="新宋体"/>
          <w:kern w:val="0"/>
          <w:szCs w:val="21"/>
          <w:highlight w:val="none"/>
        </w:rPr>
        <w:t>自本公告发布之日起</w:t>
      </w:r>
      <w:r>
        <w:rPr>
          <w:rFonts w:hint="eastAsia" w:ascii="新宋体" w:hAnsi="新宋体" w:eastAsia="新宋体" w:cs="新宋体"/>
          <w:kern w:val="0"/>
          <w:szCs w:val="21"/>
          <w:highlight w:val="none"/>
          <w:lang w:val="en-US" w:eastAsia="zh-CN"/>
        </w:rPr>
        <w:t>3</w:t>
      </w:r>
      <w:r>
        <w:rPr>
          <w:rFonts w:hint="eastAsia" w:ascii="新宋体" w:hAnsi="新宋体" w:eastAsia="新宋体" w:cs="新宋体"/>
          <w:kern w:val="0"/>
          <w:szCs w:val="21"/>
          <w:highlight w:val="none"/>
        </w:rPr>
        <w:t>个工作日。</w:t>
      </w:r>
    </w:p>
    <w:p>
      <w:pPr>
        <w:pStyle w:val="4"/>
        <w:numPr>
          <w:ilvl w:val="0"/>
          <w:numId w:val="1"/>
        </w:numPr>
        <w:spacing w:before="0" w:after="0" w:line="360" w:lineRule="exact"/>
        <w:rPr>
          <w:rFonts w:hint="eastAsia" w:ascii="新宋体" w:hAnsi="新宋体" w:eastAsia="新宋体" w:cs="新宋体"/>
          <w:sz w:val="21"/>
          <w:szCs w:val="21"/>
          <w:highlight w:val="none"/>
        </w:rPr>
      </w:pPr>
      <w:bookmarkStart w:id="26" w:name="_Toc35393804"/>
      <w:bookmarkStart w:id="27" w:name="_Toc35393635"/>
      <w:r>
        <w:rPr>
          <w:rFonts w:hint="eastAsia" w:ascii="新宋体" w:hAnsi="新宋体" w:eastAsia="新宋体" w:cs="新宋体"/>
          <w:sz w:val="21"/>
          <w:szCs w:val="21"/>
          <w:highlight w:val="none"/>
        </w:rPr>
        <w:t>其他补充事宜</w:t>
      </w:r>
      <w:bookmarkEnd w:id="26"/>
      <w:bookmarkEnd w:id="27"/>
    </w:p>
    <w:p>
      <w:pPr>
        <w:pStyle w:val="4"/>
        <w:spacing w:before="0" w:after="0" w:line="360" w:lineRule="exact"/>
        <w:ind w:firstLine="420" w:firstLineChars="0"/>
        <w:rPr>
          <w:rFonts w:hint="eastAsia" w:ascii="新宋体" w:hAnsi="新宋体" w:eastAsia="新宋体" w:cs="新宋体"/>
          <w:sz w:val="21"/>
          <w:szCs w:val="21"/>
          <w:highlight w:val="none"/>
          <w:lang w:val="en-US" w:eastAsia="zh-CN"/>
        </w:rPr>
      </w:pPr>
      <w:bookmarkStart w:id="28" w:name="_Toc28359095"/>
      <w:bookmarkStart w:id="29" w:name="_Toc35393805"/>
      <w:bookmarkStart w:id="30" w:name="_Toc28359018"/>
      <w:bookmarkStart w:id="31" w:name="_Toc35393636"/>
      <w:r>
        <w:rPr>
          <w:rFonts w:hint="eastAsia" w:ascii="新宋体" w:hAnsi="新宋体" w:eastAsia="新宋体" w:cs="新宋体"/>
          <w:sz w:val="21"/>
          <w:szCs w:val="21"/>
          <w:highlight w:val="none"/>
          <w:lang w:val="en-US" w:eastAsia="zh-CN"/>
        </w:rPr>
        <w:t>无</w:t>
      </w:r>
    </w:p>
    <w:p>
      <w:pPr>
        <w:pStyle w:val="4"/>
        <w:spacing w:before="0" w:after="0" w:line="360" w:lineRule="exact"/>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八、凡对本次采购提出询问，请按以下方式联系。</w:t>
      </w:r>
      <w:bookmarkEnd w:id="28"/>
      <w:bookmarkEnd w:id="29"/>
      <w:bookmarkEnd w:id="30"/>
      <w:bookmarkEnd w:id="31"/>
    </w:p>
    <w:p>
      <w:pPr>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rPr>
        <w:t>1.采购人名称：</w:t>
      </w:r>
      <w:r>
        <w:rPr>
          <w:rFonts w:hint="eastAsia" w:ascii="新宋体" w:hAnsi="新宋体" w:eastAsia="新宋体" w:cs="新宋体"/>
          <w:sz w:val="21"/>
          <w:szCs w:val="21"/>
          <w:highlight w:val="none"/>
          <w:lang w:eastAsia="zh-CN"/>
        </w:rPr>
        <w:t>钦州市钦北区卫生健康局</w:t>
      </w:r>
    </w:p>
    <w:p>
      <w:pPr>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hint="default"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rPr>
        <w:t>联系人：</w:t>
      </w:r>
      <w:r>
        <w:rPr>
          <w:rFonts w:hint="eastAsia" w:ascii="新宋体" w:hAnsi="新宋体" w:eastAsia="新宋体" w:cs="新宋体"/>
          <w:sz w:val="21"/>
          <w:szCs w:val="21"/>
          <w:highlight w:val="none"/>
          <w:lang w:val="en-US" w:eastAsia="zh-CN"/>
        </w:rPr>
        <w:t xml:space="preserve">    </w:t>
      </w:r>
      <w:r>
        <w:rPr>
          <w:rFonts w:hint="eastAsia" w:ascii="新宋体" w:hAnsi="新宋体" w:eastAsia="新宋体" w:cs="新宋体"/>
          <w:sz w:val="21"/>
          <w:szCs w:val="21"/>
          <w:highlight w:val="none"/>
        </w:rPr>
        <w:t>；联系电话：0777-</w:t>
      </w:r>
      <w:r>
        <w:rPr>
          <w:rFonts w:hint="eastAsia" w:ascii="新宋体" w:hAnsi="新宋体" w:eastAsia="新宋体" w:cs="新宋体"/>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2.采购代理机构：广西达华工程造价咨询有限责任公司</w:t>
      </w:r>
    </w:p>
    <w:p>
      <w:pPr>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地址：钦州市新华路351号5楼</w:t>
      </w:r>
    </w:p>
    <w:p>
      <w:pPr>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联系人：罗工；联系电话：0777-5587738 传真：0777-5587738</w:t>
      </w:r>
    </w:p>
    <w:p>
      <w:pPr>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3.监督部门: 钦州市钦南区政府采购监督管理办公室；</w:t>
      </w:r>
    </w:p>
    <w:p>
      <w:pPr>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 xml:space="preserve">联系电话：0777-2857303  </w:t>
      </w:r>
    </w:p>
    <w:p>
      <w:pPr>
        <w:pStyle w:val="6"/>
        <w:rPr>
          <w:rFonts w:hint="eastAsia"/>
          <w:lang w:val="en-US" w:eastAsia="zh-CN"/>
        </w:rPr>
      </w:pPr>
    </w:p>
    <w:p>
      <w:pPr>
        <w:pStyle w:val="12"/>
        <w:spacing w:line="360" w:lineRule="exact"/>
        <w:ind w:firstLine="424" w:firstLineChars="202"/>
        <w:jc w:val="right"/>
        <w:rPr>
          <w:rFonts w:hint="eastAsia" w:ascii="新宋体" w:hAnsi="新宋体" w:eastAsia="新宋体" w:cs="新宋体"/>
          <w:sz w:val="21"/>
          <w:highlight w:val="none"/>
        </w:rPr>
      </w:pPr>
      <w:r>
        <w:rPr>
          <w:rFonts w:hint="eastAsia" w:ascii="新宋体" w:hAnsi="新宋体" w:eastAsia="新宋体" w:cs="新宋体"/>
          <w:kern w:val="48"/>
          <w:sz w:val="21"/>
          <w:highlight w:val="none"/>
        </w:rPr>
        <w:t>广西达华工程造价咨询有限责任公司</w:t>
      </w:r>
    </w:p>
    <w:p>
      <w:pPr>
        <w:spacing w:line="360" w:lineRule="exact"/>
        <w:ind w:firstLine="424" w:firstLineChars="202"/>
        <w:jc w:val="right"/>
        <w:rPr>
          <w:rFonts w:hint="eastAsia" w:ascii="新宋体" w:hAnsi="新宋体" w:eastAsia="新宋体" w:cs="新宋体"/>
          <w:szCs w:val="21"/>
          <w:highlight w:val="none"/>
        </w:rPr>
      </w:pPr>
      <w:r>
        <w:rPr>
          <w:rFonts w:hint="eastAsia" w:ascii="新宋体" w:hAnsi="新宋体" w:eastAsia="新宋体" w:cs="新宋体"/>
          <w:kern w:val="48"/>
          <w:szCs w:val="21"/>
          <w:highlight w:val="none"/>
          <w:lang w:val="en-US" w:eastAsia="zh-CN"/>
        </w:rPr>
        <w:t>2021</w:t>
      </w:r>
      <w:r>
        <w:rPr>
          <w:rFonts w:hint="eastAsia" w:ascii="新宋体" w:hAnsi="新宋体" w:eastAsia="新宋体" w:cs="新宋体"/>
          <w:kern w:val="48"/>
          <w:szCs w:val="21"/>
          <w:highlight w:val="none"/>
        </w:rPr>
        <w:t>年</w:t>
      </w:r>
      <w:r>
        <w:rPr>
          <w:rFonts w:hint="eastAsia" w:ascii="新宋体" w:hAnsi="新宋体" w:eastAsia="新宋体" w:cs="新宋体"/>
          <w:kern w:val="48"/>
          <w:szCs w:val="21"/>
          <w:highlight w:val="none"/>
          <w:lang w:val="en-US" w:eastAsia="zh-CN"/>
        </w:rPr>
        <w:t xml:space="preserve">    </w:t>
      </w:r>
      <w:r>
        <w:rPr>
          <w:rFonts w:hint="eastAsia" w:ascii="新宋体" w:hAnsi="新宋体" w:eastAsia="新宋体" w:cs="新宋体"/>
          <w:kern w:val="48"/>
          <w:szCs w:val="21"/>
          <w:highlight w:val="none"/>
        </w:rPr>
        <w:t>月</w:t>
      </w:r>
      <w:r>
        <w:rPr>
          <w:rFonts w:hint="eastAsia" w:ascii="新宋体" w:hAnsi="新宋体" w:eastAsia="新宋体" w:cs="新宋体"/>
          <w:kern w:val="48"/>
          <w:szCs w:val="21"/>
          <w:highlight w:val="none"/>
          <w:lang w:val="en-US" w:eastAsia="zh-CN"/>
        </w:rPr>
        <w:t xml:space="preserve">    </w:t>
      </w:r>
      <w:r>
        <w:rPr>
          <w:rFonts w:hint="eastAsia" w:ascii="新宋体" w:hAnsi="新宋体" w:eastAsia="新宋体" w:cs="新宋体"/>
          <w:kern w:val="48"/>
          <w:szCs w:val="21"/>
          <w:highlight w:val="none"/>
        </w:rPr>
        <w:t>日</w:t>
      </w:r>
    </w:p>
    <w:p>
      <w:pPr>
        <w:snapToGrid w:val="0"/>
        <w:spacing w:line="300" w:lineRule="auto"/>
        <w:rPr>
          <w:rFonts w:ascii="宋体" w:hAnsi="宋体" w:eastAsia="宋体" w:cs="宋体"/>
          <w:szCs w:val="21"/>
          <w:highlight w:val="none"/>
        </w:rPr>
      </w:pPr>
    </w:p>
    <w:p>
      <w:pPr>
        <w:pStyle w:val="4"/>
        <w:spacing w:before="120" w:after="120" w:line="360" w:lineRule="auto"/>
        <w:jc w:val="center"/>
        <w:rPr>
          <w:rFonts w:ascii="宋体" w:hAnsi="宋体" w:eastAsia="宋体" w:cs="宋体"/>
          <w:kern w:val="4"/>
          <w:highlight w:val="none"/>
        </w:rPr>
      </w:pPr>
      <w:r>
        <w:rPr>
          <w:rFonts w:hint="eastAsia" w:ascii="宋体" w:hAnsi="宋体" w:eastAsia="宋体" w:cs="宋体"/>
          <w:kern w:val="4"/>
          <w:highlight w:val="none"/>
        </w:rPr>
        <w:br w:type="page"/>
      </w:r>
      <w:bookmarkStart w:id="32" w:name="_Toc16936"/>
      <w:r>
        <w:rPr>
          <w:rFonts w:hint="eastAsia" w:ascii="宋体" w:hAnsi="宋体" w:eastAsia="宋体" w:cs="宋体"/>
          <w:kern w:val="4"/>
          <w:highlight w:val="none"/>
        </w:rPr>
        <w:t>第一章</w:t>
      </w:r>
      <w:r>
        <w:rPr>
          <w:rFonts w:hint="eastAsia" w:ascii="宋体" w:hAnsi="宋体" w:eastAsia="宋体" w:cs="宋体"/>
          <w:kern w:val="4"/>
          <w:highlight w:val="none"/>
          <w:lang w:val="en-US" w:eastAsia="zh-CN"/>
        </w:rPr>
        <w:t xml:space="preserve"> </w:t>
      </w:r>
      <w:r>
        <w:rPr>
          <w:rFonts w:hint="eastAsia" w:ascii="宋体" w:hAnsi="宋体" w:eastAsia="宋体" w:cs="宋体"/>
          <w:kern w:val="4"/>
          <w:highlight w:val="none"/>
        </w:rPr>
        <w:t>供应商须知及前附表</w:t>
      </w:r>
      <w:bookmarkEnd w:id="32"/>
    </w:p>
    <w:p>
      <w:pPr>
        <w:pageBreakBefore w:val="0"/>
        <w:widowControl w:val="0"/>
        <w:kinsoku/>
        <w:wordWrap/>
        <w:overflowPunct/>
        <w:topLinePunct w:val="0"/>
        <w:bidi w:val="0"/>
        <w:adjustRightInd/>
        <w:spacing w:before="120" w:after="120"/>
        <w:jc w:val="center"/>
        <w:textAlignment w:val="auto"/>
        <w:outlineLvl w:val="9"/>
        <w:rPr>
          <w:rFonts w:ascii="宋体" w:hAnsi="宋体" w:eastAsia="宋体" w:cs="宋体"/>
          <w:kern w:val="4"/>
          <w:highlight w:val="none"/>
        </w:rPr>
      </w:pPr>
      <w:bookmarkStart w:id="33" w:name="_Toc301942502"/>
      <w:r>
        <w:rPr>
          <w:rFonts w:hint="eastAsia" w:ascii="宋体" w:hAnsi="宋体" w:eastAsia="宋体" w:cs="宋体"/>
          <w:kern w:val="4"/>
          <w:sz w:val="32"/>
          <w:szCs w:val="32"/>
          <w:highlight w:val="none"/>
        </w:rPr>
        <w:t>供应商须知前附表</w:t>
      </w:r>
      <w:bookmarkEnd w:id="33"/>
    </w:p>
    <w:tbl>
      <w:tblPr>
        <w:tblStyle w:val="22"/>
        <w:tblW w:w="9435"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1101"/>
        <w:gridCol w:w="78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序号</w:t>
            </w:r>
          </w:p>
        </w:tc>
        <w:tc>
          <w:tcPr>
            <w:tcW w:w="11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条款名称</w:t>
            </w:r>
          </w:p>
        </w:tc>
        <w:tc>
          <w:tcPr>
            <w:tcW w:w="781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rPr>
              <w:t>项目名称</w:t>
            </w:r>
            <w:r>
              <w:rPr>
                <w:rFonts w:hint="eastAsia" w:ascii="新宋体" w:hAnsi="新宋体" w:eastAsia="新宋体" w:cs="新宋体"/>
                <w:color w:val="auto"/>
                <w:sz w:val="21"/>
                <w:szCs w:val="21"/>
                <w:lang w:val="en-US" w:eastAsia="zh-CN"/>
              </w:rPr>
              <w:t>及编号</w:t>
            </w:r>
          </w:p>
        </w:tc>
        <w:tc>
          <w:tcPr>
            <w:tcW w:w="7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项目名称：</w:t>
            </w:r>
            <w:r>
              <w:rPr>
                <w:rFonts w:hint="eastAsia" w:ascii="新宋体" w:hAnsi="新宋体" w:eastAsia="新宋体" w:cs="新宋体"/>
                <w:bCs/>
                <w:color w:val="auto"/>
                <w:sz w:val="21"/>
                <w:szCs w:val="21"/>
                <w:lang w:eastAsia="zh-CN"/>
              </w:rPr>
              <w:t>钦北区卫生健康局医疗票据管理平台建设项目</w:t>
            </w:r>
          </w:p>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rPr>
              <w:t>项目编号：</w:t>
            </w:r>
            <w:r>
              <w:rPr>
                <w:rFonts w:hint="eastAsia" w:ascii="新宋体" w:hAnsi="新宋体" w:eastAsia="新宋体" w:cs="新宋体"/>
                <w:color w:val="auto"/>
                <w:sz w:val="21"/>
                <w:szCs w:val="21"/>
                <w:lang w:eastAsia="zh-CN"/>
              </w:rPr>
              <w:t>QZZC2021-C3-30009-GXDH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供应商</w:t>
            </w:r>
            <w:r>
              <w:rPr>
                <w:rFonts w:hint="eastAsia" w:ascii="新宋体" w:hAnsi="新宋体" w:eastAsia="新宋体" w:cs="新宋体"/>
                <w:color w:val="auto"/>
                <w:sz w:val="21"/>
                <w:szCs w:val="21"/>
              </w:rPr>
              <w:t>资格要求</w:t>
            </w:r>
          </w:p>
        </w:tc>
        <w:tc>
          <w:tcPr>
            <w:tcW w:w="7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供应商</w:t>
            </w:r>
            <w:r>
              <w:rPr>
                <w:rFonts w:hint="eastAsia" w:ascii="新宋体" w:hAnsi="新宋体" w:eastAsia="新宋体" w:cs="新宋体"/>
                <w:color w:val="auto"/>
                <w:sz w:val="21"/>
                <w:szCs w:val="21"/>
              </w:rPr>
              <w:t>资格要求：</w:t>
            </w:r>
          </w:p>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1、符合《中华人民共和国政府采购法》第二十二条规定条件；</w:t>
            </w:r>
          </w:p>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2、国内注册(指按国家有关规定要求注册的)生产或经营本次采购货物或满足本次服务采购经营范围的供应商，并具备独立法人资格供应商；</w:t>
            </w:r>
          </w:p>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查询相关供应商主体信用记录，同时须在竞标文件中将查询结果截图加盖单位公章如实报告谈判小组]；</w:t>
            </w:r>
          </w:p>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5、本项目不接受联合体竞标。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highlight w:val="yellow"/>
                <w:lang w:val="en-US" w:eastAsia="zh-CN"/>
              </w:rPr>
            </w:pPr>
            <w:r>
              <w:rPr>
                <w:rFonts w:hint="eastAsia" w:ascii="新宋体" w:hAnsi="新宋体" w:eastAsia="新宋体" w:cs="新宋体"/>
                <w:color w:val="auto"/>
                <w:sz w:val="21"/>
                <w:szCs w:val="21"/>
                <w:highlight w:val="none"/>
                <w:lang w:val="en-US" w:eastAsia="zh-CN"/>
              </w:rPr>
              <w:t>磋商保证金</w:t>
            </w:r>
          </w:p>
        </w:tc>
        <w:tc>
          <w:tcPr>
            <w:tcW w:w="7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本项目不收取保证金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现场踏勘</w:t>
            </w:r>
          </w:p>
        </w:tc>
        <w:tc>
          <w:tcPr>
            <w:tcW w:w="7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演示时间及地点</w:t>
            </w:r>
          </w:p>
        </w:tc>
        <w:tc>
          <w:tcPr>
            <w:tcW w:w="7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答疑与澄清</w:t>
            </w:r>
          </w:p>
        </w:tc>
        <w:tc>
          <w:tcPr>
            <w:tcW w:w="7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供应商</w:t>
            </w:r>
            <w:r>
              <w:rPr>
                <w:rFonts w:hint="eastAsia" w:ascii="新宋体" w:hAnsi="新宋体" w:eastAsia="新宋体" w:cs="新宋体"/>
                <w:color w:val="auto"/>
                <w:sz w:val="21"/>
                <w:szCs w:val="21"/>
              </w:rPr>
              <w:t>如认为招标文件有误、有不合理要求的或者其他违法内容的，应当以书面形式要求招标采购单位作出书面解释、澄清或者向招标采购单位提出书面疑问；答疑内容是招标文件的组成部份，并将以书面形式送达所有已购买招标文件的</w:t>
            </w:r>
            <w:r>
              <w:rPr>
                <w:rFonts w:hint="eastAsia" w:ascii="新宋体" w:hAnsi="新宋体" w:eastAsia="新宋体" w:cs="新宋体"/>
                <w:color w:val="auto"/>
                <w:sz w:val="21"/>
                <w:szCs w:val="21"/>
                <w:lang w:eastAsia="zh-CN"/>
              </w:rPr>
              <w:t>供应商</w:t>
            </w:r>
            <w:r>
              <w:rPr>
                <w:rFonts w:hint="eastAsia" w:ascii="新宋体" w:hAnsi="新宋体" w:eastAsia="新宋体" w:cs="新宋体"/>
                <w:color w:val="auto"/>
                <w:sz w:val="21"/>
                <w:szCs w:val="21"/>
              </w:rPr>
              <w:t>；招标采购单位可以视采购具体情况，延长投标截止时间和开标时间，但至少应当在招标文件要求提交</w:t>
            </w:r>
            <w:r>
              <w:rPr>
                <w:rFonts w:hint="eastAsia" w:ascii="新宋体" w:hAnsi="新宋体" w:eastAsia="新宋体" w:cs="新宋体"/>
                <w:color w:val="auto"/>
                <w:sz w:val="21"/>
                <w:szCs w:val="21"/>
                <w:lang w:eastAsia="zh-CN"/>
              </w:rPr>
              <w:t>响应文件</w:t>
            </w:r>
            <w:r>
              <w:rPr>
                <w:rFonts w:hint="eastAsia" w:ascii="新宋体" w:hAnsi="新宋体" w:eastAsia="新宋体" w:cs="新宋体"/>
                <w:color w:val="auto"/>
                <w:sz w:val="21"/>
                <w:szCs w:val="21"/>
              </w:rPr>
              <w:t>的截止时间三日前，将变更时间书面通知所有招标文件收受人，并在财政部门指定的政府采购信息发布媒体上发布变更公告。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7</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响应文件</w:t>
            </w:r>
            <w:r>
              <w:rPr>
                <w:rFonts w:hint="eastAsia" w:ascii="新宋体" w:hAnsi="新宋体" w:eastAsia="新宋体" w:cs="新宋体"/>
                <w:color w:val="auto"/>
                <w:sz w:val="21"/>
                <w:szCs w:val="21"/>
              </w:rPr>
              <w:t>组成</w:t>
            </w:r>
          </w:p>
        </w:tc>
        <w:tc>
          <w:tcPr>
            <w:tcW w:w="7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left"/>
              <w:textAlignment w:val="bottom"/>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开标一览表</w:t>
            </w:r>
            <w:r>
              <w:rPr>
                <w:rFonts w:hint="eastAsia" w:ascii="新宋体" w:hAnsi="新宋体" w:eastAsia="新宋体" w:cs="新宋体"/>
                <w:color w:val="auto"/>
                <w:sz w:val="21"/>
                <w:szCs w:val="21"/>
                <w:u w:val="single"/>
              </w:rPr>
              <w:t xml:space="preserve"> 1 </w:t>
            </w:r>
            <w:r>
              <w:rPr>
                <w:rFonts w:hint="eastAsia" w:ascii="新宋体" w:hAnsi="新宋体" w:eastAsia="新宋体" w:cs="新宋体"/>
                <w:color w:val="auto"/>
                <w:sz w:val="21"/>
                <w:szCs w:val="21"/>
              </w:rPr>
              <w:t>份；</w:t>
            </w:r>
            <w:r>
              <w:rPr>
                <w:rFonts w:hint="eastAsia" w:ascii="新宋体" w:hAnsi="新宋体" w:eastAsia="新宋体" w:cs="新宋体"/>
                <w:color w:val="auto"/>
                <w:sz w:val="21"/>
                <w:szCs w:val="21"/>
                <w:lang w:eastAsia="zh-CN"/>
              </w:rPr>
              <w:t>响应文件</w:t>
            </w:r>
            <w:r>
              <w:rPr>
                <w:rFonts w:hint="eastAsia" w:ascii="新宋体" w:hAnsi="新宋体" w:eastAsia="新宋体" w:cs="新宋体"/>
                <w:color w:val="auto"/>
                <w:sz w:val="21"/>
                <w:szCs w:val="21"/>
              </w:rPr>
              <w:t>正本</w:t>
            </w:r>
            <w:r>
              <w:rPr>
                <w:rFonts w:hint="eastAsia" w:ascii="新宋体" w:hAnsi="新宋体" w:eastAsia="新宋体" w:cs="新宋体"/>
                <w:color w:val="auto"/>
                <w:sz w:val="21"/>
                <w:szCs w:val="21"/>
                <w:u w:val="single"/>
              </w:rPr>
              <w:t xml:space="preserve">1 </w:t>
            </w:r>
            <w:r>
              <w:rPr>
                <w:rFonts w:hint="eastAsia" w:ascii="新宋体" w:hAnsi="新宋体" w:eastAsia="新宋体" w:cs="新宋体"/>
                <w:color w:val="auto"/>
                <w:sz w:val="21"/>
                <w:szCs w:val="21"/>
              </w:rPr>
              <w:t>份，副本</w:t>
            </w:r>
            <w:r>
              <w:rPr>
                <w:rFonts w:hint="eastAsia" w:ascii="新宋体" w:hAnsi="新宋体" w:eastAsia="新宋体" w:cs="新宋体"/>
                <w:color w:val="auto"/>
                <w:sz w:val="21"/>
                <w:szCs w:val="21"/>
                <w:u w:val="single"/>
              </w:rPr>
              <w:t>4</w:t>
            </w:r>
            <w:r>
              <w:rPr>
                <w:rFonts w:hint="eastAsia" w:ascii="新宋体" w:hAnsi="新宋体" w:eastAsia="新宋体" w:cs="新宋体"/>
                <w:color w:val="auto"/>
                <w:sz w:val="21"/>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8</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响应文件递交截止时间和地点</w:t>
            </w:r>
          </w:p>
        </w:tc>
        <w:tc>
          <w:tcPr>
            <w:tcW w:w="7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磋商供应商应于 202</w:t>
            </w:r>
            <w:r>
              <w:rPr>
                <w:rFonts w:hint="eastAsia"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rPr>
              <w:t xml:space="preserve">年 </w:t>
            </w: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rPr>
              <w:t xml:space="preserve"> 月 </w:t>
            </w:r>
            <w:r>
              <w:rPr>
                <w:rFonts w:hint="eastAsia" w:ascii="新宋体" w:hAnsi="新宋体" w:eastAsia="新宋体" w:cs="新宋体"/>
                <w:color w:val="auto"/>
                <w:sz w:val="21"/>
                <w:szCs w:val="21"/>
                <w:lang w:val="en-US" w:eastAsia="zh-CN"/>
              </w:rPr>
              <w:t xml:space="preserve">    </w:t>
            </w:r>
            <w:r>
              <w:rPr>
                <w:rFonts w:hint="eastAsia" w:ascii="新宋体" w:hAnsi="新宋体" w:eastAsia="新宋体" w:cs="新宋体"/>
                <w:color w:val="auto"/>
                <w:sz w:val="21"/>
                <w:szCs w:val="21"/>
              </w:rPr>
              <w:t>日 09 时 30 分止，将响应文件密封提交到广西达华工程造价咨询有限责任公司（钦州市新华路351号5楼）开标室，逾期送达的将予以拒收。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9</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磋商时间及地点</w:t>
            </w:r>
          </w:p>
        </w:tc>
        <w:tc>
          <w:tcPr>
            <w:tcW w:w="7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eastAsia" w:ascii="新宋体" w:hAnsi="新宋体" w:eastAsia="新宋体" w:cs="新宋体"/>
                <w:color w:val="auto"/>
                <w:sz w:val="21"/>
                <w:szCs w:val="21"/>
              </w:rPr>
            </w:pPr>
            <w:r>
              <w:rPr>
                <w:rFonts w:hint="eastAsia" w:ascii="新宋体" w:hAnsi="新宋体" w:eastAsia="新宋体" w:cs="新宋体"/>
                <w:color w:val="000000"/>
                <w:sz w:val="21"/>
                <w:szCs w:val="21"/>
                <w:highlight w:val="none"/>
                <w:u w:val="single"/>
                <w:shd w:val="clear" w:color="auto" w:fill="FFFFFF"/>
                <w:lang w:val="en-US" w:eastAsia="zh-CN"/>
              </w:rPr>
              <w:t xml:space="preserve"> 2021</w:t>
            </w:r>
            <w:r>
              <w:rPr>
                <w:rFonts w:hint="eastAsia" w:ascii="新宋体" w:hAnsi="新宋体" w:eastAsia="新宋体" w:cs="新宋体"/>
                <w:color w:val="000000"/>
                <w:sz w:val="21"/>
                <w:szCs w:val="21"/>
                <w:highlight w:val="none"/>
                <w:shd w:val="clear" w:color="auto" w:fill="FFFFFF"/>
              </w:rPr>
              <w:t>年</w:t>
            </w:r>
            <w:r>
              <w:rPr>
                <w:rFonts w:hint="eastAsia" w:ascii="新宋体" w:hAnsi="新宋体" w:eastAsia="新宋体" w:cs="新宋体"/>
                <w:color w:val="000000"/>
                <w:sz w:val="21"/>
                <w:szCs w:val="21"/>
                <w:highlight w:val="none"/>
                <w:u w:val="single"/>
                <w:shd w:val="clear" w:color="auto" w:fill="FFFFFF"/>
                <w:lang w:val="en-US" w:eastAsia="zh-CN"/>
              </w:rPr>
              <w:t xml:space="preserve">     </w:t>
            </w:r>
            <w:r>
              <w:rPr>
                <w:rFonts w:hint="eastAsia" w:ascii="新宋体" w:hAnsi="新宋体" w:eastAsia="新宋体" w:cs="新宋体"/>
                <w:color w:val="000000"/>
                <w:sz w:val="21"/>
                <w:szCs w:val="21"/>
                <w:highlight w:val="none"/>
                <w:shd w:val="clear" w:color="auto" w:fill="FFFFFF"/>
              </w:rPr>
              <w:t>月</w:t>
            </w:r>
            <w:r>
              <w:rPr>
                <w:rFonts w:hint="eastAsia" w:ascii="新宋体" w:hAnsi="新宋体" w:eastAsia="新宋体" w:cs="新宋体"/>
                <w:color w:val="000000"/>
                <w:sz w:val="21"/>
                <w:szCs w:val="21"/>
                <w:highlight w:val="none"/>
                <w:u w:val="single"/>
                <w:shd w:val="clear" w:color="auto" w:fill="FFFFFF"/>
                <w:lang w:val="en-US" w:eastAsia="zh-CN"/>
              </w:rPr>
              <w:t xml:space="preserve">      </w:t>
            </w:r>
            <w:r>
              <w:rPr>
                <w:rFonts w:hint="eastAsia" w:ascii="新宋体" w:hAnsi="新宋体" w:eastAsia="新宋体" w:cs="新宋体"/>
                <w:color w:val="000000"/>
                <w:sz w:val="21"/>
                <w:szCs w:val="21"/>
                <w:highlight w:val="none"/>
                <w:shd w:val="clear" w:color="auto" w:fill="FFFFFF"/>
              </w:rPr>
              <w:t>日</w:t>
            </w:r>
            <w:r>
              <w:rPr>
                <w:rFonts w:hint="eastAsia" w:ascii="新宋体" w:hAnsi="新宋体" w:eastAsia="新宋体" w:cs="新宋体"/>
                <w:color w:val="000000"/>
                <w:sz w:val="21"/>
                <w:szCs w:val="21"/>
                <w:highlight w:val="none"/>
                <w:u w:val="single"/>
                <w:shd w:val="clear" w:color="auto" w:fill="FFFFFF"/>
                <w:lang w:val="en-US" w:eastAsia="zh-CN"/>
              </w:rPr>
              <w:t xml:space="preserve"> 09 </w:t>
            </w:r>
            <w:r>
              <w:rPr>
                <w:rFonts w:hint="eastAsia" w:ascii="新宋体" w:hAnsi="新宋体" w:eastAsia="新宋体" w:cs="新宋体"/>
                <w:color w:val="000000"/>
                <w:sz w:val="21"/>
                <w:szCs w:val="21"/>
                <w:highlight w:val="none"/>
                <w:shd w:val="clear" w:color="auto" w:fill="FFFFFF"/>
              </w:rPr>
              <w:t>时</w:t>
            </w:r>
            <w:r>
              <w:rPr>
                <w:rFonts w:hint="eastAsia" w:ascii="新宋体" w:hAnsi="新宋体" w:eastAsia="新宋体" w:cs="新宋体"/>
                <w:color w:val="000000"/>
                <w:sz w:val="21"/>
                <w:szCs w:val="21"/>
                <w:highlight w:val="none"/>
                <w:u w:val="single"/>
                <w:shd w:val="clear" w:color="auto" w:fill="FFFFFF"/>
                <w:lang w:val="en-US" w:eastAsia="zh-CN"/>
              </w:rPr>
              <w:t xml:space="preserve"> 30 </w:t>
            </w:r>
            <w:r>
              <w:rPr>
                <w:rFonts w:hint="eastAsia" w:ascii="新宋体" w:hAnsi="新宋体" w:eastAsia="新宋体" w:cs="新宋体"/>
                <w:color w:val="000000"/>
                <w:sz w:val="21"/>
                <w:szCs w:val="21"/>
                <w:highlight w:val="none"/>
                <w:shd w:val="clear" w:color="auto" w:fill="FFFFFF"/>
              </w:rPr>
              <w:t>分</w:t>
            </w:r>
            <w:r>
              <w:rPr>
                <w:rFonts w:hint="eastAsia" w:ascii="新宋体" w:hAnsi="新宋体" w:eastAsia="新宋体" w:cs="新宋体"/>
                <w:bCs/>
                <w:color w:val="000000"/>
                <w:sz w:val="21"/>
                <w:szCs w:val="21"/>
                <w:highlight w:val="none"/>
                <w:shd w:val="clear" w:color="auto" w:fill="FFFFFF"/>
              </w:rPr>
              <w:t>截标后为与供应商</w:t>
            </w:r>
            <w:r>
              <w:rPr>
                <w:rFonts w:hint="eastAsia" w:ascii="新宋体" w:hAnsi="新宋体" w:eastAsia="新宋体" w:cs="新宋体"/>
                <w:bCs/>
                <w:color w:val="000000"/>
                <w:sz w:val="21"/>
                <w:szCs w:val="21"/>
                <w:highlight w:val="none"/>
                <w:shd w:val="clear" w:color="auto" w:fill="FFFFFF"/>
                <w:lang w:eastAsia="zh-CN"/>
              </w:rPr>
              <w:t>磋商</w:t>
            </w:r>
            <w:r>
              <w:rPr>
                <w:rFonts w:hint="eastAsia" w:ascii="新宋体" w:hAnsi="新宋体" w:eastAsia="新宋体" w:cs="新宋体"/>
                <w:bCs/>
                <w:color w:val="000000"/>
                <w:sz w:val="21"/>
                <w:szCs w:val="21"/>
                <w:highlight w:val="none"/>
                <w:shd w:val="clear" w:color="auto" w:fill="FFFFFF"/>
              </w:rPr>
              <w:t>时间，具体时间由采购代理机构另行通知。地点：广西达华工程造价咨询有限责任公司（钦州市新华路351号5楼）</w:t>
            </w:r>
            <w:r>
              <w:rPr>
                <w:rFonts w:hint="eastAsia" w:ascii="新宋体" w:hAnsi="新宋体" w:eastAsia="新宋体" w:cs="新宋体"/>
                <w:color w:val="000000"/>
                <w:sz w:val="21"/>
                <w:szCs w:val="21"/>
                <w:highlight w:val="none"/>
                <w:shd w:val="clear" w:color="auto" w:fill="FFFFFF"/>
              </w:rPr>
              <w:t>。参加</w:t>
            </w:r>
            <w:r>
              <w:rPr>
                <w:rFonts w:hint="eastAsia" w:ascii="新宋体" w:hAnsi="新宋体" w:eastAsia="新宋体" w:cs="新宋体"/>
                <w:color w:val="000000"/>
                <w:sz w:val="21"/>
                <w:szCs w:val="21"/>
                <w:highlight w:val="none"/>
                <w:shd w:val="clear" w:color="auto" w:fill="FFFFFF"/>
                <w:lang w:eastAsia="zh-CN"/>
              </w:rPr>
              <w:t>磋商</w:t>
            </w:r>
            <w:r>
              <w:rPr>
                <w:rFonts w:hint="eastAsia" w:ascii="新宋体" w:hAnsi="新宋体" w:eastAsia="新宋体" w:cs="新宋体"/>
                <w:color w:val="000000"/>
                <w:sz w:val="21"/>
                <w:szCs w:val="21"/>
                <w:highlight w:val="none"/>
                <w:shd w:val="clear" w:color="auto" w:fill="FFFFFF"/>
              </w:rPr>
              <w:t>的法定代表人或</w:t>
            </w:r>
            <w:r>
              <w:rPr>
                <w:rFonts w:hint="eastAsia" w:ascii="新宋体" w:hAnsi="新宋体" w:eastAsia="新宋体" w:cs="新宋体"/>
                <w:color w:val="000000"/>
                <w:sz w:val="21"/>
                <w:szCs w:val="21"/>
                <w:highlight w:val="none"/>
                <w:shd w:val="clear" w:color="auto" w:fill="FFFFFF"/>
                <w:lang w:eastAsia="zh-CN"/>
              </w:rPr>
              <w:t>拟投入项目经理</w:t>
            </w:r>
            <w:r>
              <w:rPr>
                <w:rFonts w:hint="eastAsia" w:ascii="新宋体" w:hAnsi="新宋体" w:eastAsia="新宋体" w:cs="新宋体"/>
                <w:color w:val="000000"/>
                <w:sz w:val="21"/>
                <w:szCs w:val="21"/>
                <w:highlight w:val="none"/>
                <w:shd w:val="clear" w:color="auto" w:fill="FFFFFF"/>
              </w:rPr>
              <w:t>必须持有效证件</w:t>
            </w:r>
            <w:r>
              <w:rPr>
                <w:rFonts w:hint="eastAsia" w:ascii="新宋体" w:hAnsi="新宋体" w:eastAsia="新宋体" w:cs="新宋体"/>
                <w:color w:val="000000"/>
                <w:sz w:val="21"/>
                <w:szCs w:val="21"/>
                <w:highlight w:val="none"/>
                <w:shd w:val="clear" w:color="auto" w:fill="FFFFFF"/>
                <w:lang w:eastAsia="zh-CN"/>
              </w:rPr>
              <w:t>（</w:t>
            </w:r>
            <w:r>
              <w:rPr>
                <w:rFonts w:hint="eastAsia" w:ascii="新宋体" w:hAnsi="新宋体" w:eastAsia="新宋体" w:cs="新宋体"/>
                <w:color w:val="000000"/>
                <w:sz w:val="21"/>
                <w:szCs w:val="21"/>
                <w:highlight w:val="none"/>
                <w:shd w:val="clear" w:color="auto" w:fill="FFFFFF"/>
              </w:rPr>
              <w:t>法定代表人凭身份证</w:t>
            </w:r>
            <w:r>
              <w:rPr>
                <w:rFonts w:hint="eastAsia" w:ascii="新宋体" w:hAnsi="新宋体" w:eastAsia="新宋体" w:cs="新宋体"/>
                <w:color w:val="000000"/>
                <w:sz w:val="21"/>
                <w:szCs w:val="21"/>
                <w:highlight w:val="none"/>
                <w:shd w:val="clear" w:color="auto" w:fill="FFFFFF"/>
                <w:lang w:eastAsia="zh-CN"/>
              </w:rPr>
              <w:t>原件；项目经理</w:t>
            </w:r>
            <w:r>
              <w:rPr>
                <w:rFonts w:hint="eastAsia" w:ascii="新宋体" w:hAnsi="新宋体" w:eastAsia="新宋体" w:cs="新宋体"/>
                <w:color w:val="000000"/>
                <w:sz w:val="21"/>
                <w:szCs w:val="21"/>
                <w:highlight w:val="none"/>
                <w:shd w:val="clear" w:color="auto" w:fill="FFFFFF"/>
              </w:rPr>
              <w:t>凭法人授权委托书原件和身份证</w:t>
            </w:r>
            <w:r>
              <w:rPr>
                <w:rFonts w:hint="eastAsia" w:ascii="新宋体" w:hAnsi="新宋体" w:eastAsia="新宋体" w:cs="新宋体"/>
                <w:color w:val="000000"/>
                <w:sz w:val="21"/>
                <w:szCs w:val="21"/>
                <w:highlight w:val="none"/>
                <w:shd w:val="clear" w:color="auto" w:fill="FFFFFF"/>
                <w:lang w:eastAsia="zh-CN"/>
              </w:rPr>
              <w:t>原件）</w:t>
            </w:r>
            <w:r>
              <w:rPr>
                <w:rFonts w:hint="eastAsia" w:ascii="新宋体" w:hAnsi="新宋体" w:eastAsia="新宋体" w:cs="新宋体"/>
                <w:color w:val="000000"/>
                <w:sz w:val="21"/>
                <w:szCs w:val="21"/>
                <w:highlight w:val="none"/>
                <w:shd w:val="clear" w:color="auto" w:fill="FFFFFF"/>
              </w:rPr>
              <w:t>依时到达指定地点等候当面</w:t>
            </w:r>
            <w:r>
              <w:rPr>
                <w:rFonts w:hint="eastAsia" w:ascii="新宋体" w:hAnsi="新宋体" w:eastAsia="新宋体" w:cs="新宋体"/>
                <w:color w:val="000000"/>
                <w:sz w:val="21"/>
                <w:szCs w:val="21"/>
                <w:highlight w:val="none"/>
                <w:shd w:val="clear" w:color="auto" w:fill="FFFFFF"/>
                <w:lang w:eastAsia="zh-CN"/>
              </w:rPr>
              <w:t>磋商</w:t>
            </w:r>
            <w:r>
              <w:rPr>
                <w:rFonts w:hint="eastAsia" w:ascii="新宋体" w:hAnsi="新宋体" w:eastAsia="新宋体" w:cs="新宋体"/>
                <w:color w:val="00000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10</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评标办法及标准</w:t>
            </w:r>
          </w:p>
        </w:tc>
        <w:tc>
          <w:tcPr>
            <w:tcW w:w="7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left"/>
              <w:textAlignment w:val="bottom"/>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11</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公告媒介</w:t>
            </w:r>
          </w:p>
        </w:tc>
        <w:tc>
          <w:tcPr>
            <w:tcW w:w="7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left"/>
              <w:textAlignment w:val="bottom"/>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成交</w:t>
            </w:r>
            <w:r>
              <w:rPr>
                <w:rFonts w:hint="eastAsia" w:ascii="新宋体" w:hAnsi="新宋体" w:eastAsia="新宋体" w:cs="新宋体"/>
                <w:color w:val="auto"/>
                <w:sz w:val="21"/>
                <w:szCs w:val="21"/>
              </w:rPr>
              <w:t>公告及</w:t>
            </w:r>
            <w:r>
              <w:rPr>
                <w:rFonts w:hint="eastAsia" w:ascii="新宋体" w:hAnsi="新宋体" w:eastAsia="新宋体" w:cs="新宋体"/>
                <w:color w:val="auto"/>
                <w:sz w:val="21"/>
                <w:szCs w:val="21"/>
                <w:lang w:eastAsia="zh-CN"/>
              </w:rPr>
              <w:t>成交</w:t>
            </w:r>
            <w:r>
              <w:rPr>
                <w:rFonts w:hint="eastAsia" w:ascii="新宋体" w:hAnsi="新宋体" w:eastAsia="新宋体" w:cs="新宋体"/>
                <w:color w:val="auto"/>
                <w:sz w:val="21"/>
                <w:szCs w:val="21"/>
              </w:rPr>
              <w:t>通知书：采购代理机构在采购人依法确认</w:t>
            </w:r>
            <w:r>
              <w:rPr>
                <w:rFonts w:hint="eastAsia" w:ascii="新宋体" w:hAnsi="新宋体" w:eastAsia="新宋体" w:cs="新宋体"/>
                <w:color w:val="auto"/>
                <w:sz w:val="21"/>
                <w:szCs w:val="21"/>
                <w:lang w:eastAsia="zh-CN"/>
              </w:rPr>
              <w:t>成交</w:t>
            </w:r>
            <w:r>
              <w:rPr>
                <w:rFonts w:hint="eastAsia" w:ascii="新宋体" w:hAnsi="新宋体" w:eastAsia="新宋体" w:cs="新宋体"/>
                <w:color w:val="auto"/>
                <w:sz w:val="21"/>
                <w:szCs w:val="21"/>
              </w:rPr>
              <w:t>人后2个工作日内发布</w:t>
            </w:r>
            <w:r>
              <w:rPr>
                <w:rFonts w:hint="eastAsia" w:ascii="新宋体" w:hAnsi="新宋体" w:eastAsia="新宋体" w:cs="新宋体"/>
                <w:color w:val="auto"/>
                <w:sz w:val="21"/>
                <w:szCs w:val="21"/>
                <w:lang w:eastAsia="zh-CN"/>
              </w:rPr>
              <w:t>成交</w:t>
            </w:r>
            <w:r>
              <w:rPr>
                <w:rFonts w:hint="eastAsia" w:ascii="新宋体" w:hAnsi="新宋体" w:eastAsia="新宋体" w:cs="新宋体"/>
                <w:color w:val="auto"/>
                <w:sz w:val="21"/>
                <w:szCs w:val="21"/>
              </w:rPr>
              <w:t>公告和发出</w:t>
            </w:r>
            <w:r>
              <w:rPr>
                <w:rFonts w:hint="eastAsia" w:ascii="新宋体" w:hAnsi="新宋体" w:eastAsia="新宋体" w:cs="新宋体"/>
                <w:color w:val="auto"/>
                <w:sz w:val="21"/>
                <w:szCs w:val="21"/>
                <w:lang w:eastAsia="zh-CN"/>
              </w:rPr>
              <w:t>成交</w:t>
            </w:r>
            <w:r>
              <w:rPr>
                <w:rFonts w:hint="eastAsia" w:ascii="新宋体" w:hAnsi="新宋体" w:eastAsia="新宋体" w:cs="新宋体"/>
                <w:color w:val="auto"/>
                <w:sz w:val="21"/>
                <w:szCs w:val="21"/>
              </w:rPr>
              <w:t>通知书，</w:t>
            </w:r>
            <w:r>
              <w:rPr>
                <w:rFonts w:hint="eastAsia" w:ascii="新宋体" w:hAnsi="新宋体" w:eastAsia="新宋体" w:cs="新宋体"/>
                <w:color w:val="auto"/>
                <w:sz w:val="21"/>
                <w:szCs w:val="21"/>
                <w:lang w:eastAsia="zh-CN"/>
              </w:rPr>
              <w:t>成交</w:t>
            </w:r>
            <w:r>
              <w:rPr>
                <w:rFonts w:hint="eastAsia" w:ascii="新宋体" w:hAnsi="新宋体" w:eastAsia="新宋体" w:cs="新宋体"/>
                <w:color w:val="auto"/>
                <w:sz w:val="21"/>
                <w:szCs w:val="21"/>
              </w:rPr>
              <w:t>公告发布于中国政府采购网（http://www.ccgp.gov.cn）、广西壮族自治区政府采购网（http://zfcg.gxzf.gov.cn）。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12</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rPr>
              <w:t>保证金退还</w:t>
            </w:r>
          </w:p>
        </w:tc>
        <w:tc>
          <w:tcPr>
            <w:tcW w:w="7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left"/>
              <w:textAlignment w:val="bottom"/>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投标保证金退还（不计息）：除招标文件规定不予退还保证金的情形外，招标采购单位在</w:t>
            </w:r>
            <w:r>
              <w:rPr>
                <w:rFonts w:hint="eastAsia" w:ascii="新宋体" w:hAnsi="新宋体" w:eastAsia="新宋体" w:cs="新宋体"/>
                <w:color w:val="auto"/>
                <w:sz w:val="21"/>
                <w:szCs w:val="21"/>
                <w:lang w:eastAsia="zh-CN"/>
              </w:rPr>
              <w:t>成交</w:t>
            </w:r>
            <w:r>
              <w:rPr>
                <w:rFonts w:hint="eastAsia" w:ascii="新宋体" w:hAnsi="新宋体" w:eastAsia="新宋体" w:cs="新宋体"/>
                <w:color w:val="auto"/>
                <w:sz w:val="21"/>
                <w:szCs w:val="21"/>
              </w:rPr>
              <w:t>通知书发出后五个工作日内退还未</w:t>
            </w:r>
            <w:r>
              <w:rPr>
                <w:rFonts w:hint="eastAsia" w:ascii="新宋体" w:hAnsi="新宋体" w:eastAsia="新宋体" w:cs="新宋体"/>
                <w:color w:val="auto"/>
                <w:sz w:val="21"/>
                <w:szCs w:val="21"/>
                <w:lang w:eastAsia="zh-CN"/>
              </w:rPr>
              <w:t>成交</w:t>
            </w:r>
            <w:r>
              <w:rPr>
                <w:rFonts w:hint="eastAsia" w:ascii="新宋体" w:hAnsi="新宋体" w:eastAsia="新宋体" w:cs="新宋体"/>
                <w:color w:val="auto"/>
                <w:sz w:val="21"/>
                <w:szCs w:val="21"/>
              </w:rPr>
              <w:t>人的投标保证金，在采购合同签订后五个工作日内退还</w:t>
            </w:r>
            <w:r>
              <w:rPr>
                <w:rFonts w:hint="eastAsia" w:ascii="新宋体" w:hAnsi="新宋体" w:eastAsia="新宋体" w:cs="新宋体"/>
                <w:color w:val="auto"/>
                <w:sz w:val="21"/>
                <w:szCs w:val="21"/>
                <w:lang w:eastAsia="zh-CN"/>
              </w:rPr>
              <w:t>成交</w:t>
            </w:r>
            <w:r>
              <w:rPr>
                <w:rFonts w:hint="eastAsia" w:ascii="新宋体" w:hAnsi="新宋体" w:eastAsia="新宋体" w:cs="新宋体"/>
                <w:color w:val="auto"/>
                <w:sz w:val="21"/>
                <w:szCs w:val="21"/>
              </w:rPr>
              <w:t>人的投标保证金。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13</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p>
        </w:tc>
        <w:tc>
          <w:tcPr>
            <w:tcW w:w="7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left"/>
              <w:textAlignment w:val="bottom"/>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签订合同时间：中标通知书发出后</w:t>
            </w:r>
            <w:r>
              <w:rPr>
                <w:rFonts w:hint="eastAsia" w:ascii="新宋体" w:hAnsi="新宋体" w:eastAsia="新宋体" w:cs="新宋体"/>
                <w:color w:val="auto"/>
                <w:sz w:val="21"/>
                <w:szCs w:val="21"/>
                <w:lang w:val="en-US" w:eastAsia="zh-CN"/>
              </w:rPr>
              <w:t>20</w:t>
            </w:r>
            <w:r>
              <w:rPr>
                <w:rFonts w:hint="eastAsia" w:ascii="新宋体" w:hAnsi="新宋体" w:eastAsia="新宋体" w:cs="新宋体"/>
                <w:color w:val="auto"/>
                <w:sz w:val="21"/>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14</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p>
        </w:tc>
        <w:tc>
          <w:tcPr>
            <w:tcW w:w="7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eastAsia="zh-CN"/>
              </w:rPr>
              <w:t>响应文件</w:t>
            </w:r>
            <w:r>
              <w:rPr>
                <w:rFonts w:hint="eastAsia" w:ascii="新宋体" w:hAnsi="新宋体" w:eastAsia="新宋体" w:cs="新宋体"/>
                <w:color w:val="auto"/>
                <w:sz w:val="21"/>
                <w:szCs w:val="21"/>
              </w:rPr>
              <w:t>有效期：</w:t>
            </w:r>
            <w:r>
              <w:rPr>
                <w:rFonts w:hint="eastAsia" w:ascii="新宋体" w:hAnsi="新宋体" w:eastAsia="新宋体" w:cs="新宋体"/>
                <w:color w:val="auto"/>
                <w:sz w:val="21"/>
                <w:szCs w:val="21"/>
                <w:u w:val="single"/>
              </w:rPr>
              <w:t>60</w:t>
            </w:r>
            <w:r>
              <w:rPr>
                <w:rFonts w:hint="eastAsia" w:ascii="新宋体" w:hAnsi="新宋体" w:eastAsia="新宋体" w:cs="新宋体"/>
                <w:color w:val="auto"/>
                <w:sz w:val="21"/>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15</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新宋体" w:hAnsi="新宋体" w:eastAsia="新宋体" w:cs="新宋体"/>
                <w:color w:val="auto"/>
                <w:sz w:val="21"/>
                <w:szCs w:val="21"/>
              </w:rPr>
            </w:pPr>
          </w:p>
        </w:tc>
        <w:tc>
          <w:tcPr>
            <w:tcW w:w="7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val="0"/>
              <w:spacing w:line="360" w:lineRule="auto"/>
              <w:ind w:firstLine="0" w:firstLineChars="0"/>
              <w:jc w:val="left"/>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解释：本招标文件的解释权属于招标采购单位。</w:t>
            </w:r>
          </w:p>
        </w:tc>
      </w:tr>
    </w:tbl>
    <w:p>
      <w:pPr>
        <w:keepNext w:val="0"/>
        <w:keepLines w:val="0"/>
        <w:pageBreakBefore w:val="0"/>
        <w:widowControl w:val="0"/>
        <w:kinsoku/>
        <w:wordWrap/>
        <w:overflowPunct/>
        <w:topLinePunct w:val="0"/>
        <w:autoSpaceDE/>
        <w:autoSpaceDN/>
        <w:bidi w:val="0"/>
        <w:adjustRightInd/>
        <w:snapToGrid w:val="0"/>
        <w:spacing w:before="120" w:after="120" w:line="360" w:lineRule="auto"/>
        <w:jc w:val="center"/>
        <w:textAlignment w:val="auto"/>
        <w:outlineLvl w:val="9"/>
        <w:rPr>
          <w:rFonts w:hint="eastAsia" w:ascii="新宋体" w:hAnsi="新宋体" w:eastAsia="新宋体" w:cs="新宋体"/>
          <w:b/>
          <w:bCs/>
          <w:kern w:val="4"/>
          <w:highlight w:val="none"/>
        </w:rPr>
      </w:pPr>
      <w:r>
        <w:rPr>
          <w:rFonts w:hint="eastAsia" w:ascii="宋体" w:hAnsi="宋体" w:eastAsia="宋体" w:cs="宋体"/>
          <w:kern w:val="4"/>
          <w:highlight w:val="none"/>
        </w:rPr>
        <w:br w:type="page"/>
      </w:r>
      <w:bookmarkStart w:id="34" w:name="_Toc301942503"/>
      <w:r>
        <w:rPr>
          <w:rFonts w:hint="eastAsia" w:ascii="新宋体" w:hAnsi="新宋体" w:eastAsia="新宋体" w:cs="新宋体"/>
          <w:b/>
          <w:bCs/>
          <w:kern w:val="4"/>
          <w:sz w:val="32"/>
          <w:szCs w:val="32"/>
          <w:highlight w:val="none"/>
        </w:rPr>
        <w:t>一、总   则</w:t>
      </w:r>
      <w:bookmarkEnd w:id="34"/>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b/>
          <w:bCs/>
          <w:spacing w:val="2"/>
          <w:highlight w:val="none"/>
        </w:rPr>
      </w:pPr>
      <w:r>
        <w:rPr>
          <w:rFonts w:hint="eastAsia" w:ascii="新宋体" w:hAnsi="新宋体" w:eastAsia="新宋体" w:cs="新宋体"/>
          <w:b/>
          <w:bCs/>
          <w:spacing w:val="2"/>
          <w:highlight w:val="none"/>
        </w:rPr>
        <w:t>l、项</w:t>
      </w:r>
      <w:r>
        <w:rPr>
          <w:rFonts w:hint="eastAsia" w:ascii="新宋体" w:hAnsi="新宋体" w:eastAsia="新宋体" w:cs="新宋体"/>
          <w:b/>
          <w:bCs/>
          <w:szCs w:val="20"/>
          <w:highlight w:val="none"/>
        </w:rPr>
        <w:t>目</w:t>
      </w:r>
      <w:r>
        <w:rPr>
          <w:rFonts w:hint="eastAsia" w:ascii="新宋体" w:hAnsi="新宋体" w:eastAsia="新宋体" w:cs="新宋体"/>
          <w:b/>
          <w:bCs/>
          <w:spacing w:val="2"/>
          <w:highlight w:val="none"/>
        </w:rPr>
        <w:t>说明</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b/>
          <w:bCs/>
          <w:spacing w:val="2"/>
          <w:highlight w:val="none"/>
        </w:rPr>
      </w:pPr>
      <w:r>
        <w:rPr>
          <w:rFonts w:hint="eastAsia" w:ascii="新宋体" w:hAnsi="新宋体" w:eastAsia="新宋体" w:cs="新宋体"/>
          <w:szCs w:val="20"/>
          <w:highlight w:val="none"/>
        </w:rPr>
        <w:t>项目</w:t>
      </w:r>
      <w:r>
        <w:rPr>
          <w:rFonts w:hint="eastAsia" w:ascii="新宋体" w:hAnsi="新宋体" w:eastAsia="新宋体" w:cs="新宋体"/>
          <w:spacing w:val="2"/>
          <w:highlight w:val="none"/>
        </w:rPr>
        <w:t>的说明见</w:t>
      </w:r>
      <w:r>
        <w:rPr>
          <w:rFonts w:hint="eastAsia" w:ascii="新宋体" w:hAnsi="新宋体" w:eastAsia="新宋体" w:cs="新宋体"/>
          <w:bCs/>
          <w:spacing w:val="2"/>
          <w:highlight w:val="none"/>
        </w:rPr>
        <w:t>供应商须知前附表</w:t>
      </w:r>
      <w:r>
        <w:rPr>
          <w:rFonts w:hint="eastAsia" w:ascii="新宋体" w:hAnsi="新宋体" w:eastAsia="新宋体" w:cs="新宋体"/>
          <w:spacing w:val="2"/>
          <w:highlight w:val="none"/>
        </w:rPr>
        <w:t>。</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b/>
          <w:bCs/>
          <w:spacing w:val="2"/>
          <w:highlight w:val="none"/>
        </w:rPr>
      </w:pPr>
      <w:r>
        <w:rPr>
          <w:rFonts w:hint="eastAsia" w:ascii="新宋体" w:hAnsi="新宋体" w:eastAsia="新宋体" w:cs="新宋体"/>
          <w:b/>
          <w:bCs/>
          <w:spacing w:val="2"/>
          <w:highlight w:val="none"/>
        </w:rPr>
        <w:t>2、资金来源及落实情况</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本</w:t>
      </w:r>
      <w:r>
        <w:rPr>
          <w:rFonts w:hint="eastAsia" w:ascii="新宋体" w:hAnsi="新宋体" w:eastAsia="新宋体" w:cs="新宋体"/>
          <w:szCs w:val="20"/>
          <w:highlight w:val="none"/>
        </w:rPr>
        <w:t>项目</w:t>
      </w:r>
      <w:r>
        <w:rPr>
          <w:rFonts w:hint="eastAsia" w:ascii="新宋体" w:hAnsi="新宋体" w:eastAsia="新宋体" w:cs="新宋体"/>
          <w:spacing w:val="2"/>
          <w:highlight w:val="none"/>
        </w:rPr>
        <w:t>的资金来源为</w:t>
      </w:r>
      <w:r>
        <w:rPr>
          <w:rFonts w:hint="eastAsia" w:ascii="新宋体" w:hAnsi="新宋体" w:eastAsia="新宋体" w:cs="新宋体"/>
          <w:highlight w:val="none"/>
        </w:rPr>
        <w:t>财政资金</w:t>
      </w:r>
      <w:r>
        <w:rPr>
          <w:rFonts w:hint="eastAsia" w:ascii="新宋体" w:hAnsi="新宋体" w:eastAsia="新宋体" w:cs="新宋体"/>
          <w:spacing w:val="2"/>
          <w:highlight w:val="none"/>
        </w:rPr>
        <w:t>，资金已落实，并将资金用于本</w:t>
      </w:r>
      <w:r>
        <w:rPr>
          <w:rFonts w:hint="eastAsia" w:ascii="新宋体" w:hAnsi="新宋体" w:eastAsia="新宋体" w:cs="新宋体"/>
          <w:szCs w:val="20"/>
          <w:highlight w:val="none"/>
        </w:rPr>
        <w:t>项目</w:t>
      </w:r>
      <w:r>
        <w:rPr>
          <w:rFonts w:hint="eastAsia" w:ascii="新宋体" w:hAnsi="新宋体" w:eastAsia="新宋体" w:cs="新宋体"/>
          <w:spacing w:val="2"/>
          <w:highlight w:val="none"/>
        </w:rPr>
        <w:t>合同项下的合格支付。</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b/>
          <w:bCs/>
          <w:spacing w:val="2"/>
          <w:highlight w:val="none"/>
        </w:rPr>
      </w:pPr>
      <w:r>
        <w:rPr>
          <w:rFonts w:hint="eastAsia" w:ascii="新宋体" w:hAnsi="新宋体" w:eastAsia="新宋体" w:cs="新宋体"/>
          <w:b/>
          <w:bCs/>
          <w:spacing w:val="2"/>
          <w:highlight w:val="none"/>
        </w:rPr>
        <w:t>3、供应商资质与合格条件的要求</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bCs/>
          <w:spacing w:val="2"/>
          <w:highlight w:val="none"/>
        </w:rPr>
        <w:t>详见供应商须知前附表</w:t>
      </w:r>
      <w:r>
        <w:rPr>
          <w:rFonts w:hint="eastAsia" w:ascii="新宋体" w:hAnsi="新宋体" w:eastAsia="新宋体" w:cs="新宋体"/>
          <w:spacing w:val="2"/>
          <w:highlight w:val="none"/>
        </w:rPr>
        <w:t>。</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spacing w:val="2"/>
          <w:highlight w:val="none"/>
        </w:rPr>
      </w:pPr>
      <w:r>
        <w:rPr>
          <w:rFonts w:hint="eastAsia" w:ascii="新宋体" w:hAnsi="新宋体" w:eastAsia="新宋体" w:cs="新宋体"/>
          <w:b/>
          <w:bCs/>
          <w:spacing w:val="2"/>
          <w:highlight w:val="none"/>
        </w:rPr>
        <w:t>4、磋商范围：</w:t>
      </w:r>
      <w:r>
        <w:rPr>
          <w:rFonts w:hint="eastAsia" w:ascii="新宋体" w:hAnsi="新宋体" w:eastAsia="新宋体" w:cs="新宋体"/>
          <w:bCs/>
          <w:spacing w:val="2"/>
          <w:highlight w:val="none"/>
        </w:rPr>
        <w:t>详</w:t>
      </w:r>
      <w:r>
        <w:rPr>
          <w:rFonts w:hint="eastAsia" w:ascii="新宋体" w:hAnsi="新宋体" w:eastAsia="新宋体" w:cs="新宋体"/>
          <w:spacing w:val="2"/>
          <w:highlight w:val="none"/>
        </w:rPr>
        <w:t>见</w:t>
      </w:r>
      <w:r>
        <w:rPr>
          <w:rFonts w:hint="eastAsia" w:ascii="新宋体" w:hAnsi="新宋体" w:eastAsia="新宋体" w:cs="新宋体"/>
          <w:bCs/>
          <w:spacing w:val="2"/>
          <w:highlight w:val="none"/>
        </w:rPr>
        <w:t>供应商须知前附表</w:t>
      </w:r>
      <w:r>
        <w:rPr>
          <w:rFonts w:hint="eastAsia" w:ascii="新宋体" w:hAnsi="新宋体" w:eastAsia="新宋体" w:cs="新宋体"/>
          <w:spacing w:val="2"/>
          <w:highlight w:val="none"/>
        </w:rPr>
        <w:t>。</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b/>
          <w:bCs/>
          <w:spacing w:val="2"/>
          <w:highlight w:val="none"/>
        </w:rPr>
      </w:pPr>
      <w:r>
        <w:rPr>
          <w:rFonts w:hint="eastAsia" w:ascii="新宋体" w:hAnsi="新宋体" w:eastAsia="新宋体" w:cs="新宋体"/>
          <w:b/>
          <w:bCs/>
          <w:spacing w:val="2"/>
          <w:highlight w:val="none"/>
        </w:rPr>
        <w:t>5、磋商费用</w:t>
      </w:r>
    </w:p>
    <w:p>
      <w:pPr>
        <w:pStyle w:val="11"/>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供应商应承担其编制响应文件与递交响应文件所涉及的一切费用。不管磋商结果如何，采购人对上述费用不负任何责任。</w:t>
      </w:r>
    </w:p>
    <w:p>
      <w:pPr>
        <w:pStyle w:val="11"/>
        <w:keepNext w:val="0"/>
        <w:keepLines w:val="0"/>
        <w:pageBreakBefore w:val="0"/>
        <w:widowControl w:val="0"/>
        <w:kinsoku/>
        <w:wordWrap/>
        <w:overflowPunct/>
        <w:topLinePunct w:val="0"/>
        <w:autoSpaceDE/>
        <w:autoSpaceDN/>
        <w:bidi w:val="0"/>
        <w:adjustRightInd/>
        <w:spacing w:line="360" w:lineRule="auto"/>
        <w:ind w:firstLine="0" w:firstLineChars="0"/>
        <w:textAlignment w:val="auto"/>
        <w:outlineLvl w:val="9"/>
        <w:rPr>
          <w:rFonts w:hint="eastAsia" w:ascii="新宋体" w:hAnsi="新宋体" w:eastAsia="新宋体" w:cs="新宋体"/>
          <w:highlight w:val="none"/>
        </w:rPr>
      </w:pPr>
      <w:r>
        <w:rPr>
          <w:rFonts w:hint="eastAsia" w:ascii="新宋体" w:hAnsi="新宋体" w:eastAsia="新宋体" w:cs="新宋体"/>
          <w:b/>
          <w:bCs/>
          <w:highlight w:val="none"/>
        </w:rPr>
        <w:t>6、现场考察</w:t>
      </w:r>
    </w:p>
    <w:p>
      <w:pPr>
        <w:pStyle w:val="12"/>
        <w:keepNext w:val="0"/>
        <w:keepLines w:val="0"/>
        <w:pageBreakBefore w:val="0"/>
        <w:widowControl w:val="0"/>
        <w:kinsoku/>
        <w:wordWrap/>
        <w:overflowPunct/>
        <w:topLinePunct w:val="0"/>
        <w:autoSpaceDE/>
        <w:autoSpaceDN/>
        <w:bidi w:val="0"/>
        <w:adjustRightInd/>
        <w:spacing w:line="360" w:lineRule="auto"/>
        <w:ind w:firstLine="42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建议供应商自行对项目现场和其周围环境进行考察和检查，以获取有关编制响应文件和签署实施项目合同所需的各种资料。供应商应承担现场考察的责任和风险。考察现场的费用由供应商自己承担。</w:t>
      </w:r>
    </w:p>
    <w:p>
      <w:pPr>
        <w:keepNext w:val="0"/>
        <w:keepLines w:val="0"/>
        <w:pageBreakBefore w:val="0"/>
        <w:widowControl w:val="0"/>
        <w:kinsoku/>
        <w:wordWrap/>
        <w:overflowPunct/>
        <w:topLinePunct w:val="0"/>
        <w:autoSpaceDE/>
        <w:autoSpaceDN/>
        <w:bidi w:val="0"/>
        <w:adjustRightInd/>
        <w:spacing w:before="120" w:after="120" w:line="360" w:lineRule="auto"/>
        <w:jc w:val="center"/>
        <w:textAlignment w:val="auto"/>
        <w:outlineLvl w:val="9"/>
        <w:rPr>
          <w:rFonts w:hint="eastAsia" w:ascii="新宋体" w:hAnsi="新宋体" w:eastAsia="新宋体" w:cs="新宋体"/>
          <w:kern w:val="4"/>
          <w:highlight w:val="none"/>
        </w:rPr>
      </w:pPr>
      <w:bookmarkStart w:id="35" w:name="_Toc301942504"/>
      <w:r>
        <w:rPr>
          <w:rFonts w:hint="eastAsia" w:ascii="新宋体" w:hAnsi="新宋体" w:eastAsia="新宋体" w:cs="新宋体"/>
          <w:b/>
          <w:bCs/>
          <w:kern w:val="4"/>
          <w:sz w:val="32"/>
          <w:szCs w:val="32"/>
          <w:highlight w:val="none"/>
        </w:rPr>
        <w:t>二、</w:t>
      </w:r>
      <w:bookmarkEnd w:id="35"/>
      <w:r>
        <w:rPr>
          <w:rFonts w:hint="eastAsia" w:ascii="新宋体" w:hAnsi="新宋体" w:eastAsia="新宋体" w:cs="新宋体"/>
          <w:b/>
          <w:bCs/>
          <w:kern w:val="4"/>
          <w:sz w:val="32"/>
          <w:szCs w:val="32"/>
          <w:highlight w:val="none"/>
        </w:rPr>
        <w:t>竞争性磋商采购文件</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b/>
          <w:bCs/>
          <w:spacing w:val="2"/>
          <w:highlight w:val="none"/>
        </w:rPr>
      </w:pPr>
      <w:r>
        <w:rPr>
          <w:rFonts w:hint="eastAsia" w:ascii="新宋体" w:hAnsi="新宋体" w:eastAsia="新宋体" w:cs="新宋体"/>
          <w:b/>
          <w:bCs/>
          <w:spacing w:val="2"/>
          <w:highlight w:val="none"/>
        </w:rPr>
        <w:t>7、竞争性磋商采购文件的组成</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highlight w:val="none"/>
        </w:rPr>
      </w:pPr>
      <w:r>
        <w:rPr>
          <w:rFonts w:hint="eastAsia" w:ascii="新宋体" w:hAnsi="新宋体" w:eastAsia="新宋体" w:cs="新宋体"/>
          <w:spacing w:val="2"/>
          <w:highlight w:val="none"/>
        </w:rPr>
        <w:t>7.1</w:t>
      </w:r>
      <w:r>
        <w:rPr>
          <w:rFonts w:hint="eastAsia" w:ascii="新宋体" w:hAnsi="新宋体" w:eastAsia="新宋体" w:cs="新宋体"/>
          <w:highlight w:val="none"/>
        </w:rPr>
        <w:t>本合同的竞争性磋商采购文件包括下列文件</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竞争性磋商采购文件包括下列内容：</w:t>
      </w:r>
    </w:p>
    <w:p>
      <w:pPr>
        <w:keepNext w:val="0"/>
        <w:keepLines w:val="0"/>
        <w:pageBreakBefore w:val="0"/>
        <w:widowControl w:val="0"/>
        <w:kinsoku/>
        <w:wordWrap/>
        <w:overflowPunct/>
        <w:topLinePunct w:val="0"/>
        <w:autoSpaceDE/>
        <w:autoSpaceDN/>
        <w:bidi w:val="0"/>
        <w:adjustRightInd/>
        <w:spacing w:line="360" w:lineRule="auto"/>
        <w:ind w:firstLine="409" w:firstLineChars="195"/>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磋商公告</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第一章 供应商须知及前附表</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第二章 合同条款及格式</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lang w:val="en-US" w:eastAsia="zh-CN"/>
        </w:rPr>
      </w:pPr>
      <w:r>
        <w:rPr>
          <w:rFonts w:hint="eastAsia" w:ascii="新宋体" w:hAnsi="新宋体" w:eastAsia="新宋体" w:cs="新宋体"/>
          <w:spacing w:val="2"/>
          <w:highlight w:val="none"/>
        </w:rPr>
        <w:t xml:space="preserve">第三章 </w:t>
      </w:r>
      <w:r>
        <w:rPr>
          <w:rFonts w:hint="eastAsia" w:ascii="新宋体" w:hAnsi="新宋体" w:eastAsia="新宋体" w:cs="新宋体"/>
          <w:spacing w:val="2"/>
          <w:highlight w:val="none"/>
          <w:lang w:val="en-US" w:eastAsia="zh-CN"/>
        </w:rPr>
        <w:t>项目需求</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第四章 响应文件格式</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highlight w:val="none"/>
        </w:rPr>
      </w:pPr>
      <w:r>
        <w:rPr>
          <w:rFonts w:hint="eastAsia" w:ascii="新宋体" w:hAnsi="新宋体" w:eastAsia="新宋体" w:cs="新宋体"/>
          <w:spacing w:val="2"/>
          <w:highlight w:val="none"/>
        </w:rPr>
        <w:t>第五章 评标方法</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7.2 供应商应认真审阅竞争性磋商采购文件中所有的磋商须知、合同条件、规定格式、技术条款或技术要求。如果供应商编制的响应文件不能符合竞争性磋商采购文件的要求，责任由供应商自负。实质上不响应竞争性磋商采购文件要求的响应文件将被采购人拒绝。</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b/>
          <w:bCs/>
          <w:spacing w:val="2"/>
          <w:highlight w:val="none"/>
        </w:rPr>
      </w:pPr>
      <w:r>
        <w:rPr>
          <w:rFonts w:hint="eastAsia" w:ascii="新宋体" w:hAnsi="新宋体" w:eastAsia="新宋体" w:cs="新宋体"/>
          <w:b/>
          <w:bCs/>
          <w:spacing w:val="2"/>
          <w:highlight w:val="none"/>
        </w:rPr>
        <w:t>8、竞争性磋商采购文件的解释</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供应商在收到竞争性磋商采购文件后，若有问题需要澄清，应于发出竞争性磋商采购文件后7日内，以书面形式向采购人提出，采购人将以书面形式予以解答，答复将送给所有获得竞争性磋商采购文件的供应商。</w:t>
      </w:r>
    </w:p>
    <w:p>
      <w:pPr>
        <w:keepNext w:val="0"/>
        <w:keepLines w:val="0"/>
        <w:pageBreakBefore w:val="0"/>
        <w:widowControl w:val="0"/>
        <w:kinsoku/>
        <w:wordWrap/>
        <w:overflowPunct/>
        <w:topLinePunct w:val="0"/>
        <w:autoSpaceDE/>
        <w:autoSpaceDN/>
        <w:bidi w:val="0"/>
        <w:adjustRightInd/>
        <w:snapToGrid/>
        <w:spacing w:line="360" w:lineRule="auto"/>
        <w:ind w:firstLine="428" w:firstLineChars="20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8.1</w:t>
      </w:r>
      <w:r>
        <w:rPr>
          <w:rFonts w:hint="eastAsia" w:ascii="新宋体" w:hAnsi="新宋体" w:eastAsia="新宋体" w:cs="新宋体"/>
          <w:b/>
          <w:szCs w:val="21"/>
          <w:highlight w:val="none"/>
        </w:rPr>
        <w:t>特别说明：</w:t>
      </w:r>
      <w:r>
        <w:rPr>
          <w:rFonts w:hint="eastAsia" w:ascii="新宋体" w:hAnsi="新宋体" w:eastAsia="新宋体" w:cs="新宋体"/>
          <w:szCs w:val="21"/>
          <w:highlight w:val="none"/>
        </w:rPr>
        <w:br w:type="textWrapping"/>
      </w:r>
      <w:r>
        <w:rPr>
          <w:rFonts w:hint="eastAsia" w:ascii="新宋体" w:hAnsi="新宋体" w:eastAsia="新宋体" w:cs="新宋体"/>
          <w:highlight w:val="none"/>
        </w:rPr>
        <w:t>1.供应商磋商所使用的资格、信誉、荣誉、业绩与企业认证必须为本法人所拥有。供应商磋商所使用的采购项目实施人员必须为本法人员工（或必须为本法人或控股公司正式员工）。</w:t>
      </w:r>
      <w:r>
        <w:rPr>
          <w:rFonts w:hint="eastAsia" w:ascii="新宋体" w:hAnsi="新宋体" w:eastAsia="新宋体" w:cs="新宋体"/>
          <w:highlight w:val="none"/>
        </w:rPr>
        <w:br w:type="textWrapping"/>
      </w:r>
      <w:r>
        <w:rPr>
          <w:rFonts w:hint="eastAsia" w:ascii="新宋体" w:hAnsi="新宋体" w:eastAsia="新宋体" w:cs="新宋体"/>
          <w:highlight w:val="none"/>
        </w:rPr>
        <w:t>2.供应商应仔细阅读竞争性磋商采购文件的所有内容，按照竞争性磋商采购文件的要求提交响应文件，并对所提供的全部资料的真实性承担法律责任。</w:t>
      </w:r>
      <w:r>
        <w:rPr>
          <w:rFonts w:hint="eastAsia" w:ascii="新宋体" w:hAnsi="新宋体" w:eastAsia="新宋体" w:cs="新宋体"/>
          <w:highlight w:val="none"/>
        </w:rPr>
        <w:br w:type="textWrapping"/>
      </w:r>
      <w:r>
        <w:rPr>
          <w:rFonts w:hint="eastAsia" w:ascii="新宋体" w:hAnsi="新宋体" w:eastAsia="新宋体" w:cs="新宋体"/>
          <w:highlight w:val="none"/>
        </w:rPr>
        <w:t>3.供应商在磋商活动中提供任何虚假材料，其磋商无效，并报监管部门查处；成交后发现的，成交人须依照《中华人民共和国消费者权益保护法》第49条之规定双倍赔偿采购人，且民事赔偿并不免除违法供应商的行政与刑事责任。</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b/>
          <w:bCs/>
          <w:spacing w:val="2"/>
          <w:highlight w:val="none"/>
        </w:rPr>
      </w:pPr>
      <w:r>
        <w:rPr>
          <w:rFonts w:hint="eastAsia" w:ascii="新宋体" w:hAnsi="新宋体" w:eastAsia="新宋体" w:cs="新宋体"/>
          <w:b/>
          <w:bCs/>
          <w:spacing w:val="2"/>
          <w:highlight w:val="none"/>
        </w:rPr>
        <w:t>9、竞争性磋商采购文件的修改</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9.1 在磋商截止日期前，采购人可能会以补充通知的方式修改竞争性磋商采购文件，补充通知将以书面方式发给所有获得竞争性磋商采购文件的供应商，补充通知作为竞争性磋商采购文件的组成部分，对供应商起约束作用。</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9.2 为使供应商在编制响应文件时把补充通知的内容考虑进去，采购人必须在磋商截止</w:t>
      </w:r>
      <w:r>
        <w:rPr>
          <w:rFonts w:hint="eastAsia" w:ascii="新宋体" w:hAnsi="新宋体" w:eastAsia="新宋体" w:cs="新宋体"/>
          <w:b/>
          <w:bCs/>
          <w:spacing w:val="2"/>
          <w:highlight w:val="none"/>
          <w:u w:val="single"/>
        </w:rPr>
        <w:t>3</w:t>
      </w:r>
      <w:r>
        <w:rPr>
          <w:rFonts w:hint="eastAsia" w:ascii="新宋体" w:hAnsi="新宋体" w:eastAsia="新宋体" w:cs="新宋体"/>
          <w:spacing w:val="2"/>
          <w:highlight w:val="none"/>
        </w:rPr>
        <w:t>日前，以书面形式通知所有获得竞争性磋商采购文件的供应商。</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9.3如果竞争性磋商采购文件原定的编制响应文件的时间没有考虑因竞争性磋商采购文件修改而引起响应文件修改必须的时间，采购人可酌情延长递交响应文件的截止日期。</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p>
    <w:p>
      <w:pPr>
        <w:keepNext w:val="0"/>
        <w:keepLines w:val="0"/>
        <w:pageBreakBefore w:val="0"/>
        <w:widowControl w:val="0"/>
        <w:kinsoku/>
        <w:wordWrap/>
        <w:overflowPunct/>
        <w:topLinePunct w:val="0"/>
        <w:autoSpaceDE/>
        <w:autoSpaceDN/>
        <w:bidi w:val="0"/>
        <w:adjustRightInd/>
        <w:spacing w:before="120" w:after="120" w:line="360" w:lineRule="auto"/>
        <w:jc w:val="center"/>
        <w:textAlignment w:val="auto"/>
        <w:outlineLvl w:val="9"/>
        <w:rPr>
          <w:rFonts w:hint="eastAsia" w:ascii="新宋体" w:hAnsi="新宋体" w:eastAsia="新宋体" w:cs="新宋体"/>
          <w:kern w:val="4"/>
          <w:highlight w:val="none"/>
        </w:rPr>
      </w:pPr>
      <w:bookmarkStart w:id="36" w:name="_Toc301942505"/>
      <w:r>
        <w:rPr>
          <w:rFonts w:hint="eastAsia" w:ascii="新宋体" w:hAnsi="新宋体" w:eastAsia="新宋体" w:cs="新宋体"/>
          <w:b/>
          <w:bCs/>
          <w:kern w:val="4"/>
          <w:sz w:val="32"/>
          <w:szCs w:val="32"/>
          <w:highlight w:val="none"/>
        </w:rPr>
        <w:t>三、磋商报价说明</w:t>
      </w:r>
      <w:bookmarkEnd w:id="36"/>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b/>
          <w:bCs/>
          <w:spacing w:val="2"/>
          <w:sz w:val="21"/>
          <w:szCs w:val="21"/>
          <w:highlight w:val="none"/>
        </w:rPr>
      </w:pPr>
      <w:r>
        <w:rPr>
          <w:rFonts w:hint="eastAsia" w:ascii="新宋体" w:hAnsi="新宋体" w:eastAsia="新宋体" w:cs="新宋体"/>
          <w:b/>
          <w:bCs/>
          <w:spacing w:val="2"/>
          <w:sz w:val="21"/>
          <w:szCs w:val="21"/>
          <w:highlight w:val="none"/>
        </w:rPr>
        <w:t>10、磋商价格</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10</w:t>
      </w:r>
      <w:r>
        <w:rPr>
          <w:rFonts w:hint="eastAsia" w:ascii="新宋体" w:hAnsi="新宋体" w:eastAsia="新宋体" w:cs="新宋体"/>
          <w:sz w:val="21"/>
          <w:szCs w:val="21"/>
        </w:rPr>
        <w:t>.1对于本文件中未列明，而磋商供应商认为必需的费用也需列入报价。在合同实施时，采购人将不予支付成交供应商没有列入的项目费用，并认为此项目的费用已包括在报价中。</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10</w:t>
      </w:r>
      <w:r>
        <w:rPr>
          <w:rFonts w:hint="eastAsia" w:ascii="新宋体" w:hAnsi="新宋体" w:eastAsia="新宋体" w:cs="新宋体"/>
          <w:sz w:val="21"/>
          <w:szCs w:val="21"/>
        </w:rPr>
        <w:t>.2成交供应商负责本项目服务的全部工作。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10</w:t>
      </w:r>
      <w:r>
        <w:rPr>
          <w:rFonts w:hint="eastAsia" w:ascii="新宋体" w:hAnsi="新宋体" w:eastAsia="新宋体" w:cs="新宋体"/>
          <w:sz w:val="21"/>
          <w:szCs w:val="21"/>
        </w:rPr>
        <w:t>.3</w:t>
      </w:r>
      <w:r>
        <w:rPr>
          <w:rFonts w:hint="eastAsia" w:ascii="新宋体" w:hAnsi="新宋体" w:eastAsia="新宋体" w:cs="新宋体"/>
          <w:sz w:val="21"/>
          <w:szCs w:val="21"/>
          <w:lang w:eastAsia="zh-CN"/>
        </w:rPr>
        <w:t>供应商</w:t>
      </w:r>
      <w:r>
        <w:rPr>
          <w:rFonts w:hint="eastAsia" w:ascii="新宋体" w:hAnsi="新宋体" w:eastAsia="新宋体" w:cs="新宋体"/>
          <w:sz w:val="21"/>
          <w:szCs w:val="21"/>
        </w:rPr>
        <w:t>应在磋商报价表上标明单价。大写金额和小写金额不一致的，以大写金额为准；对不同文字文本响应文件的解释发生异议的，以中文文本为准。除上述原因以外，如果因</w:t>
      </w:r>
      <w:r>
        <w:rPr>
          <w:rFonts w:hint="eastAsia" w:ascii="新宋体" w:hAnsi="新宋体" w:eastAsia="新宋体" w:cs="新宋体"/>
          <w:sz w:val="21"/>
          <w:szCs w:val="21"/>
          <w:lang w:eastAsia="zh-CN"/>
        </w:rPr>
        <w:t>供应商</w:t>
      </w:r>
      <w:r>
        <w:rPr>
          <w:rFonts w:hint="eastAsia" w:ascii="新宋体" w:hAnsi="新宋体" w:eastAsia="新宋体" w:cs="新宋体"/>
          <w:sz w:val="21"/>
          <w:szCs w:val="21"/>
        </w:rPr>
        <w:t>原因引起的报价失误，并在磋商时被接受，其后果由</w:t>
      </w:r>
      <w:r>
        <w:rPr>
          <w:rFonts w:hint="eastAsia" w:ascii="新宋体" w:hAnsi="新宋体" w:eastAsia="新宋体" w:cs="新宋体"/>
          <w:sz w:val="21"/>
          <w:szCs w:val="21"/>
          <w:lang w:eastAsia="zh-CN"/>
        </w:rPr>
        <w:t>供应商</w:t>
      </w:r>
      <w:r>
        <w:rPr>
          <w:rFonts w:hint="eastAsia" w:ascii="新宋体" w:hAnsi="新宋体" w:eastAsia="新宋体" w:cs="新宋体"/>
          <w:sz w:val="21"/>
          <w:szCs w:val="21"/>
        </w:rPr>
        <w:t>自负。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新宋体" w:hAnsi="新宋体" w:eastAsia="新宋体" w:cs="新宋体"/>
          <w:sz w:val="24"/>
        </w:rPr>
      </w:pPr>
      <w:r>
        <w:rPr>
          <w:rFonts w:hint="eastAsia" w:ascii="新宋体" w:hAnsi="新宋体" w:eastAsia="新宋体" w:cs="新宋体"/>
          <w:sz w:val="21"/>
          <w:szCs w:val="21"/>
          <w:lang w:val="en-US" w:eastAsia="zh-CN"/>
        </w:rPr>
        <w:t>10</w:t>
      </w:r>
      <w:r>
        <w:rPr>
          <w:rFonts w:hint="eastAsia" w:ascii="新宋体" w:hAnsi="新宋体" w:eastAsia="新宋体" w:cs="新宋体"/>
          <w:sz w:val="21"/>
          <w:szCs w:val="21"/>
        </w:rPr>
        <w:t>.4</w:t>
      </w:r>
      <w:r>
        <w:rPr>
          <w:rFonts w:hint="eastAsia" w:ascii="新宋体" w:hAnsi="新宋体" w:eastAsia="新宋体" w:cs="新宋体"/>
          <w:sz w:val="21"/>
          <w:szCs w:val="21"/>
          <w:lang w:eastAsia="zh-CN"/>
        </w:rPr>
        <w:t>供应商</w:t>
      </w:r>
      <w:r>
        <w:rPr>
          <w:rFonts w:hint="eastAsia" w:ascii="新宋体" w:hAnsi="新宋体" w:eastAsia="新宋体" w:cs="新宋体"/>
          <w:sz w:val="21"/>
          <w:szCs w:val="21"/>
        </w:rPr>
        <w:t>须就《采购项目要求》中的服务内容作完整唯一报价。</w:t>
      </w:r>
    </w:p>
    <w:p>
      <w:pPr>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b/>
          <w:bCs/>
          <w:sz w:val="28"/>
          <w:highlight w:val="none"/>
        </w:rPr>
      </w:pPr>
    </w:p>
    <w:p>
      <w:pPr>
        <w:keepNext w:val="0"/>
        <w:keepLines w:val="0"/>
        <w:pageBreakBefore w:val="0"/>
        <w:widowControl w:val="0"/>
        <w:kinsoku/>
        <w:wordWrap/>
        <w:overflowPunct/>
        <w:topLinePunct w:val="0"/>
        <w:autoSpaceDE/>
        <w:autoSpaceDN/>
        <w:bidi w:val="0"/>
        <w:adjustRightInd/>
        <w:spacing w:before="120" w:after="120" w:line="360" w:lineRule="auto"/>
        <w:jc w:val="center"/>
        <w:textAlignment w:val="auto"/>
        <w:outlineLvl w:val="9"/>
        <w:rPr>
          <w:rFonts w:hint="eastAsia" w:ascii="新宋体" w:hAnsi="新宋体" w:eastAsia="新宋体" w:cs="新宋体"/>
          <w:kern w:val="4"/>
          <w:highlight w:val="none"/>
        </w:rPr>
      </w:pPr>
      <w:bookmarkStart w:id="37" w:name="_Toc301942506"/>
      <w:r>
        <w:rPr>
          <w:rFonts w:hint="eastAsia" w:ascii="新宋体" w:hAnsi="新宋体" w:eastAsia="新宋体" w:cs="新宋体"/>
          <w:b/>
          <w:bCs/>
          <w:kern w:val="4"/>
          <w:sz w:val="32"/>
          <w:szCs w:val="32"/>
          <w:highlight w:val="none"/>
        </w:rPr>
        <w:t>四、响应文件的编制</w:t>
      </w:r>
      <w:bookmarkEnd w:id="37"/>
    </w:p>
    <w:p>
      <w:pPr>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b/>
          <w:bCs/>
          <w:highlight w:val="none"/>
        </w:rPr>
      </w:pPr>
      <w:r>
        <w:rPr>
          <w:rFonts w:hint="eastAsia" w:ascii="新宋体" w:hAnsi="新宋体" w:eastAsia="新宋体" w:cs="新宋体"/>
          <w:b/>
          <w:bCs/>
          <w:highlight w:val="none"/>
        </w:rPr>
        <w:t>11、响应文件的语言</w:t>
      </w:r>
    </w:p>
    <w:p>
      <w:pPr>
        <w:keepNext w:val="0"/>
        <w:keepLines w:val="0"/>
        <w:pageBreakBefore w:val="0"/>
        <w:widowControl w:val="0"/>
        <w:kinsoku/>
        <w:wordWrap/>
        <w:overflowPunct/>
        <w:topLinePunct w:val="0"/>
        <w:autoSpaceDE/>
        <w:autoSpaceDN/>
        <w:bidi w:val="0"/>
        <w:adjustRightInd/>
        <w:spacing w:after="50" w:line="360" w:lineRule="auto"/>
        <w:ind w:firstLine="417" w:firstLineChars="195"/>
        <w:textAlignment w:val="auto"/>
        <w:outlineLvl w:val="9"/>
        <w:rPr>
          <w:rFonts w:hint="eastAsia" w:ascii="新宋体" w:hAnsi="新宋体" w:eastAsia="新宋体" w:cs="新宋体"/>
          <w:highlight w:val="none"/>
        </w:rPr>
      </w:pPr>
      <w:r>
        <w:rPr>
          <w:rFonts w:hint="eastAsia" w:ascii="新宋体" w:hAnsi="新宋体" w:eastAsia="新宋体" w:cs="新宋体"/>
          <w:spacing w:val="2"/>
          <w:highlight w:val="none"/>
        </w:rPr>
        <w:t>响应</w:t>
      </w:r>
      <w:r>
        <w:rPr>
          <w:rFonts w:hint="eastAsia" w:ascii="新宋体" w:hAnsi="新宋体" w:eastAsia="新宋体" w:cs="新宋体"/>
          <w:highlight w:val="none"/>
        </w:rPr>
        <w:t>文件及供应商与</w:t>
      </w:r>
      <w:r>
        <w:rPr>
          <w:rFonts w:hint="eastAsia" w:ascii="新宋体" w:hAnsi="新宋体" w:eastAsia="新宋体" w:cs="新宋体"/>
          <w:spacing w:val="2"/>
          <w:highlight w:val="none"/>
        </w:rPr>
        <w:t>采购人</w:t>
      </w:r>
      <w:r>
        <w:rPr>
          <w:rFonts w:hint="eastAsia" w:ascii="新宋体" w:hAnsi="新宋体" w:eastAsia="新宋体" w:cs="新宋体"/>
          <w:highlight w:val="none"/>
        </w:rPr>
        <w:t>之间往来的与磋商有关的通知、函件和文件均应使用中文。</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b/>
          <w:bCs/>
          <w:highlight w:val="none"/>
        </w:rPr>
      </w:pPr>
      <w:r>
        <w:rPr>
          <w:rFonts w:hint="eastAsia" w:ascii="新宋体" w:hAnsi="新宋体" w:eastAsia="新宋体" w:cs="新宋体"/>
          <w:b/>
          <w:bCs/>
          <w:highlight w:val="none"/>
        </w:rPr>
        <w:t>12、响应文件的组成</w:t>
      </w:r>
    </w:p>
    <w:p>
      <w:pPr>
        <w:keepNext w:val="0"/>
        <w:keepLines w:val="0"/>
        <w:pageBreakBefore w:val="0"/>
        <w:widowControl w:val="0"/>
        <w:kinsoku/>
        <w:wordWrap/>
        <w:overflowPunct/>
        <w:topLinePunct w:val="0"/>
        <w:autoSpaceDE/>
        <w:autoSpaceDN/>
        <w:bidi w:val="0"/>
        <w:adjustRightInd/>
        <w:spacing w:line="360" w:lineRule="auto"/>
        <w:ind w:left="240"/>
        <w:textAlignment w:val="auto"/>
        <w:outlineLvl w:val="9"/>
        <w:rPr>
          <w:rFonts w:hint="eastAsia" w:ascii="新宋体" w:hAnsi="新宋体" w:eastAsia="新宋体" w:cs="新宋体"/>
          <w:highlight w:val="none"/>
          <w:lang w:eastAsia="zh-CN"/>
        </w:rPr>
      </w:pPr>
      <w:r>
        <w:rPr>
          <w:rFonts w:hint="eastAsia" w:ascii="新宋体" w:hAnsi="新宋体" w:eastAsia="新宋体" w:cs="新宋体"/>
          <w:highlight w:val="none"/>
        </w:rPr>
        <w:t xml:space="preserve">  12.1响应文件由</w:t>
      </w:r>
      <w:r>
        <w:rPr>
          <w:rFonts w:hint="eastAsia" w:ascii="新宋体" w:hAnsi="新宋体" w:eastAsia="新宋体" w:cs="新宋体"/>
          <w:color w:val="auto"/>
        </w:rPr>
        <w:t>由</w:t>
      </w:r>
      <w:r>
        <w:rPr>
          <w:rFonts w:hint="eastAsia" w:ascii="新宋体" w:hAnsi="新宋体" w:eastAsia="新宋体" w:cs="新宋体"/>
          <w:b/>
          <w:bCs/>
          <w:color w:val="auto"/>
        </w:rPr>
        <w:t>资格及商务</w:t>
      </w:r>
      <w:r>
        <w:rPr>
          <w:rFonts w:hint="eastAsia" w:ascii="新宋体" w:hAnsi="新宋体" w:eastAsia="新宋体" w:cs="新宋体"/>
          <w:b/>
          <w:bCs/>
          <w:color w:val="auto"/>
          <w:lang w:eastAsia="zh-CN"/>
        </w:rPr>
        <w:t>部分</w:t>
      </w:r>
      <w:r>
        <w:rPr>
          <w:rFonts w:hint="eastAsia" w:ascii="新宋体" w:hAnsi="新宋体" w:eastAsia="新宋体" w:cs="新宋体"/>
          <w:b/>
          <w:bCs/>
          <w:color w:val="auto"/>
        </w:rPr>
        <w:t>、技术文件、投标报价文件三部份组成，按照顺序装订成</w:t>
      </w:r>
      <w:r>
        <w:rPr>
          <w:rFonts w:hint="eastAsia" w:ascii="新宋体" w:hAnsi="新宋体" w:eastAsia="新宋体" w:cs="新宋体"/>
          <w:b/>
          <w:bCs/>
          <w:color w:val="auto"/>
          <w:lang w:eastAsia="zh-CN"/>
        </w:rPr>
        <w:t>一</w:t>
      </w:r>
      <w:r>
        <w:rPr>
          <w:rFonts w:hint="eastAsia" w:ascii="新宋体" w:hAnsi="新宋体" w:eastAsia="新宋体" w:cs="新宋体"/>
          <w:b/>
          <w:bCs/>
          <w:color w:val="auto"/>
        </w:rPr>
        <w:t>册</w:t>
      </w:r>
      <w:r>
        <w:rPr>
          <w:rFonts w:hint="eastAsia" w:ascii="新宋体" w:hAnsi="新宋体" w:eastAsia="新宋体" w:cs="新宋体"/>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0"/>
        <w:jc w:val="left"/>
        <w:textAlignment w:val="auto"/>
        <w:rPr>
          <w:rFonts w:hint="eastAsia" w:ascii="新宋体" w:hAnsi="新宋体" w:eastAsia="新宋体" w:cs="新宋体"/>
          <w:b/>
          <w:color w:val="auto"/>
          <w:szCs w:val="21"/>
        </w:rPr>
      </w:pPr>
      <w:r>
        <w:rPr>
          <w:rFonts w:hint="eastAsia" w:ascii="新宋体" w:hAnsi="新宋体" w:eastAsia="新宋体" w:cs="新宋体"/>
          <w:b/>
          <w:color w:val="auto"/>
          <w:szCs w:val="21"/>
          <w:lang w:val="en-US" w:eastAsia="zh-CN"/>
        </w:rPr>
        <w:t>一、</w:t>
      </w:r>
      <w:r>
        <w:rPr>
          <w:rFonts w:hint="eastAsia" w:ascii="新宋体" w:hAnsi="新宋体" w:eastAsia="新宋体" w:cs="新宋体"/>
          <w:b/>
          <w:color w:val="auto"/>
          <w:szCs w:val="21"/>
        </w:rPr>
        <w:t>资格及商务</w:t>
      </w:r>
      <w:r>
        <w:rPr>
          <w:rFonts w:hint="eastAsia" w:ascii="新宋体" w:hAnsi="新宋体" w:eastAsia="新宋体" w:cs="新宋体"/>
          <w:b/>
          <w:color w:val="auto"/>
          <w:szCs w:val="21"/>
          <w:lang w:eastAsia="zh-CN"/>
        </w:rPr>
        <w:t>部分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新宋体" w:hAnsi="新宋体" w:eastAsia="新宋体" w:cs="新宋体"/>
          <w:b/>
          <w:bCs/>
          <w:color w:val="auto"/>
          <w:szCs w:val="21"/>
          <w:lang w:eastAsia="zh-CN"/>
        </w:rPr>
      </w:pPr>
      <w:r>
        <w:rPr>
          <w:rFonts w:hint="eastAsia" w:ascii="新宋体" w:hAnsi="新宋体" w:eastAsia="新宋体" w:cs="新宋体"/>
          <w:b/>
          <w:color w:val="auto"/>
          <w:szCs w:val="21"/>
        </w:rPr>
        <w:t>实质性要求的资格材料</w:t>
      </w:r>
      <w:r>
        <w:rPr>
          <w:rFonts w:hint="eastAsia" w:ascii="新宋体" w:hAnsi="新宋体" w:eastAsia="新宋体" w:cs="新宋体"/>
          <w:b/>
          <w:color w:val="auto"/>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szCs w:val="21"/>
        </w:rPr>
        <w:t>▲</w:t>
      </w:r>
      <w:r>
        <w:rPr>
          <w:rFonts w:hint="eastAsia" w:ascii="新宋体" w:hAnsi="新宋体" w:eastAsia="新宋体" w:cs="新宋体"/>
          <w:color w:val="auto"/>
          <w:szCs w:val="21"/>
          <w:lang w:val="en-US" w:eastAsia="zh-CN"/>
        </w:rPr>
        <w:t>磋商</w:t>
      </w:r>
      <w:r>
        <w:rPr>
          <w:rFonts w:hint="eastAsia" w:ascii="新宋体" w:hAnsi="新宋体" w:eastAsia="新宋体" w:cs="新宋体"/>
          <w:color w:val="auto"/>
        </w:rPr>
        <w:t>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szCs w:val="21"/>
        </w:rPr>
        <w:t>▲</w:t>
      </w:r>
      <w:r>
        <w:rPr>
          <w:rFonts w:hint="eastAsia" w:ascii="新宋体" w:hAnsi="新宋体" w:eastAsia="新宋体" w:cs="新宋体"/>
          <w:color w:val="auto"/>
          <w:lang w:eastAsia="zh-CN"/>
        </w:rPr>
        <w:t>磋商</w:t>
      </w:r>
      <w:r>
        <w:rPr>
          <w:rFonts w:hint="eastAsia" w:ascii="新宋体" w:hAnsi="新宋体" w:eastAsia="新宋体" w:cs="新宋体"/>
          <w:color w:val="auto"/>
        </w:rPr>
        <w:t xml:space="preserve">声明书 </w:t>
      </w:r>
      <w:r>
        <w:rPr>
          <w:rFonts w:hint="eastAsia" w:ascii="新宋体" w:hAnsi="新宋体" w:eastAsia="新宋体" w:cs="新宋体"/>
          <w:color w:val="auto"/>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szCs w:val="21"/>
        </w:rPr>
        <w:t>▲</w:t>
      </w:r>
      <w:r>
        <w:rPr>
          <w:rFonts w:hint="eastAsia" w:ascii="新宋体" w:hAnsi="新宋体" w:eastAsia="新宋体" w:cs="新宋体"/>
          <w:color w:val="auto"/>
          <w:lang w:eastAsia="zh-CN"/>
        </w:rPr>
        <w:t>供应商</w:t>
      </w:r>
      <w:r>
        <w:rPr>
          <w:rFonts w:hint="eastAsia" w:ascii="新宋体" w:hAnsi="新宋体" w:eastAsia="新宋体" w:cs="新宋体"/>
          <w:color w:val="auto"/>
        </w:rPr>
        <w:t xml:space="preserve">有效的营业执照副本内页复印件；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szCs w:val="21"/>
        </w:rPr>
        <w:t>▲</w:t>
      </w:r>
      <w:r>
        <w:rPr>
          <w:rFonts w:hint="eastAsia" w:ascii="新宋体" w:hAnsi="新宋体" w:eastAsia="新宋体" w:cs="新宋体"/>
          <w:color w:val="auto"/>
          <w:lang w:eastAsia="zh-CN"/>
        </w:rPr>
        <w:t>供应商</w:t>
      </w:r>
      <w:r>
        <w:rPr>
          <w:rFonts w:hint="eastAsia" w:ascii="新宋体" w:hAnsi="新宋体" w:eastAsia="新宋体" w:cs="新宋体"/>
          <w:color w:val="auto"/>
        </w:rPr>
        <w:t>在“信用中国”网站（www.creditchina.gov.cn）、中国政府采购网（www.ccgp.gov.cn）查询的相关供应商主体信用记录（本项目招标公告发布时间后查询结果截图加盖单位公章）</w:t>
      </w:r>
      <w:r>
        <w:rPr>
          <w:rFonts w:hint="eastAsia" w:ascii="新宋体" w:hAnsi="新宋体" w:eastAsia="新宋体" w:cs="新宋体"/>
          <w:color w:val="auto"/>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szCs w:val="21"/>
        </w:rPr>
        <w:t>▲</w:t>
      </w:r>
      <w:r>
        <w:rPr>
          <w:rFonts w:hint="eastAsia" w:ascii="新宋体" w:hAnsi="新宋体" w:eastAsia="新宋体" w:cs="新宋体"/>
          <w:color w:val="auto"/>
          <w:lang w:eastAsia="zh-CN"/>
        </w:rPr>
        <w:t>磋商</w:t>
      </w:r>
      <w:r>
        <w:rPr>
          <w:rFonts w:hint="eastAsia" w:ascii="新宋体" w:hAnsi="新宋体" w:eastAsia="新宋体" w:cs="新宋体"/>
          <w:color w:val="auto"/>
        </w:rPr>
        <w:t>保证金缴纳证明（可单独提交）</w:t>
      </w:r>
      <w:r>
        <w:rPr>
          <w:rFonts w:hint="eastAsia" w:ascii="新宋体" w:hAnsi="新宋体" w:eastAsia="新宋体" w:cs="新宋体"/>
          <w:color w:val="auto"/>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szCs w:val="21"/>
        </w:rPr>
        <w:t>▲</w:t>
      </w:r>
      <w:r>
        <w:rPr>
          <w:rFonts w:hint="eastAsia" w:ascii="新宋体" w:hAnsi="新宋体" w:eastAsia="新宋体" w:cs="新宋体"/>
          <w:color w:val="auto"/>
        </w:rPr>
        <w:t>法定代表人授权委托书、被授权人身份证复印件</w:t>
      </w:r>
      <w:r>
        <w:rPr>
          <w:rFonts w:hint="eastAsia" w:ascii="新宋体" w:hAnsi="新宋体" w:eastAsia="新宋体" w:cs="新宋体"/>
          <w:color w:val="auto"/>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szCs w:val="21"/>
        </w:rPr>
        <w:t>▲</w:t>
      </w:r>
      <w:r>
        <w:rPr>
          <w:rFonts w:hint="eastAsia" w:ascii="新宋体" w:hAnsi="新宋体" w:eastAsia="新宋体" w:cs="新宋体"/>
          <w:color w:val="auto"/>
        </w:rPr>
        <w:t>商务响应表</w:t>
      </w:r>
      <w:r>
        <w:rPr>
          <w:rFonts w:hint="eastAsia" w:ascii="新宋体" w:hAnsi="新宋体" w:eastAsia="新宋体" w:cs="新宋体"/>
          <w:color w:val="auto"/>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lang w:eastAsia="zh-CN"/>
        </w:rPr>
        <w:t>供应商</w:t>
      </w:r>
      <w:r>
        <w:rPr>
          <w:rFonts w:hint="eastAsia" w:ascii="新宋体" w:hAnsi="新宋体" w:eastAsia="新宋体" w:cs="新宋体"/>
          <w:color w:val="auto"/>
        </w:rPr>
        <w:t>可结合本项目的评标办法视自身情况自行提交相关证明材料</w:t>
      </w:r>
      <w:r>
        <w:rPr>
          <w:rFonts w:hint="eastAsia" w:ascii="新宋体" w:hAnsi="新宋体" w:eastAsia="新宋体" w:cs="新宋体"/>
          <w:color w:val="auto"/>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0"/>
        <w:jc w:val="left"/>
        <w:textAlignment w:val="auto"/>
        <w:rPr>
          <w:rFonts w:hint="eastAsia" w:ascii="新宋体" w:hAnsi="新宋体" w:eastAsia="新宋体" w:cs="新宋体"/>
          <w:color w:val="auto"/>
          <w:szCs w:val="21"/>
        </w:rPr>
      </w:pPr>
      <w:r>
        <w:rPr>
          <w:rFonts w:hint="eastAsia" w:ascii="新宋体" w:hAnsi="新宋体" w:eastAsia="新宋体" w:cs="新宋体"/>
          <w:b/>
          <w:color w:val="auto"/>
          <w:szCs w:val="21"/>
          <w:lang w:val="en-US" w:eastAsia="zh-CN"/>
        </w:rPr>
        <w:t>二、</w:t>
      </w:r>
      <w:r>
        <w:rPr>
          <w:rFonts w:hint="eastAsia" w:ascii="新宋体" w:hAnsi="新宋体" w:eastAsia="新宋体" w:cs="新宋体"/>
          <w:b/>
          <w:color w:val="auto"/>
          <w:szCs w:val="21"/>
        </w:rPr>
        <w:t>报价</w:t>
      </w:r>
      <w:r>
        <w:rPr>
          <w:rFonts w:hint="eastAsia" w:ascii="新宋体" w:hAnsi="新宋体" w:eastAsia="新宋体" w:cs="新宋体"/>
          <w:b/>
          <w:color w:val="auto"/>
          <w:szCs w:val="21"/>
          <w:lang w:eastAsia="zh-CN"/>
        </w:rPr>
        <w:t>部分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lang w:eastAsia="zh-CN"/>
        </w:rPr>
        <w:t>磋商</w:t>
      </w:r>
      <w:r>
        <w:rPr>
          <w:rFonts w:hint="eastAsia" w:ascii="新宋体" w:hAnsi="新宋体" w:eastAsia="新宋体" w:cs="新宋体"/>
          <w:color w:val="auto"/>
        </w:rPr>
        <w:t>报价明细表；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rPr>
        <w:t>开标一览表（单独包装、密封递交）；</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highlight w:val="none"/>
        </w:rPr>
      </w:pPr>
      <w:r>
        <w:rPr>
          <w:rFonts w:hint="eastAsia" w:ascii="新宋体" w:hAnsi="新宋体" w:eastAsia="新宋体" w:cs="新宋体"/>
          <w:color w:val="auto"/>
          <w:lang w:eastAsia="zh-CN"/>
        </w:rPr>
        <w:t>供应商</w:t>
      </w:r>
      <w:r>
        <w:rPr>
          <w:rFonts w:hint="eastAsia" w:ascii="新宋体" w:hAnsi="新宋体" w:eastAsia="新宋体" w:cs="新宋体"/>
          <w:color w:val="auto"/>
        </w:rPr>
        <w:t>针对报价需要说明的其他文件和说明。</w:t>
      </w:r>
    </w:p>
    <w:p>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0"/>
        <w:jc w:val="left"/>
        <w:textAlignment w:val="auto"/>
        <w:rPr>
          <w:rFonts w:hint="eastAsia" w:ascii="新宋体" w:hAnsi="新宋体" w:eastAsia="新宋体" w:cs="新宋体"/>
          <w:b/>
          <w:color w:val="auto"/>
          <w:szCs w:val="21"/>
          <w:lang w:eastAsia="zh-CN"/>
        </w:rPr>
      </w:pPr>
      <w:r>
        <w:rPr>
          <w:rFonts w:hint="eastAsia" w:ascii="新宋体" w:hAnsi="新宋体" w:eastAsia="新宋体" w:cs="新宋体"/>
          <w:b/>
          <w:color w:val="auto"/>
          <w:szCs w:val="21"/>
          <w:lang w:val="en-US" w:eastAsia="zh-CN"/>
        </w:rPr>
        <w:t>三、</w:t>
      </w:r>
      <w:r>
        <w:rPr>
          <w:rFonts w:hint="eastAsia" w:ascii="新宋体" w:hAnsi="新宋体" w:eastAsia="新宋体" w:cs="新宋体"/>
          <w:b/>
          <w:color w:val="auto"/>
          <w:szCs w:val="21"/>
        </w:rPr>
        <w:t>技术</w:t>
      </w:r>
      <w:r>
        <w:rPr>
          <w:rFonts w:hint="eastAsia" w:ascii="新宋体" w:hAnsi="新宋体" w:eastAsia="新宋体" w:cs="新宋体"/>
          <w:b/>
          <w:color w:val="auto"/>
          <w:szCs w:val="21"/>
          <w:lang w:eastAsia="zh-CN"/>
        </w:rPr>
        <w:t>部分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color w:val="auto"/>
        </w:rPr>
      </w:pPr>
      <w:r>
        <w:rPr>
          <w:rFonts w:hint="eastAsia" w:ascii="新宋体" w:hAnsi="新宋体" w:eastAsia="新宋体" w:cs="新宋体"/>
          <w:b w:val="0"/>
          <w:bCs/>
          <w:color w:val="auto"/>
          <w:szCs w:val="21"/>
          <w:lang w:val="en-US" w:eastAsia="zh-CN"/>
        </w:rPr>
        <w:t>竞标人根据采购文件要求、评标办法等自行编制技术文件，格式、章节自拟</w:t>
      </w:r>
      <w:r>
        <w:rPr>
          <w:rFonts w:hint="eastAsia" w:ascii="新宋体" w:hAnsi="新宋体" w:eastAsia="新宋体" w:cs="新宋体"/>
          <w:b w:val="0"/>
          <w:bCs/>
          <w:color w:val="auto"/>
          <w:szCs w:val="21"/>
          <w:lang w:eastAsia="zh-CN"/>
        </w:rPr>
        <w:t>。</w:t>
      </w:r>
    </w:p>
    <w:p>
      <w:pPr>
        <w:pStyle w:val="12"/>
        <w:keepNext w:val="0"/>
        <w:keepLines w:val="0"/>
        <w:pageBreakBefore w:val="0"/>
        <w:widowControl w:val="0"/>
        <w:kinsoku/>
        <w:wordWrap/>
        <w:overflowPunct/>
        <w:topLinePunct w:val="0"/>
        <w:autoSpaceDE/>
        <w:autoSpaceDN/>
        <w:bidi w:val="0"/>
        <w:adjustRightInd/>
        <w:spacing w:line="360" w:lineRule="auto"/>
        <w:ind w:firstLine="420"/>
        <w:textAlignment w:val="auto"/>
        <w:outlineLvl w:val="9"/>
        <w:rPr>
          <w:rFonts w:hint="eastAsia" w:ascii="新宋体" w:hAnsi="新宋体" w:eastAsia="新宋体" w:cs="新宋体"/>
          <w:highlight w:val="none"/>
        </w:rPr>
      </w:pPr>
      <w:r>
        <w:rPr>
          <w:rFonts w:hint="eastAsia" w:ascii="新宋体" w:hAnsi="新宋体" w:eastAsia="新宋体" w:cs="新宋体"/>
          <w:b/>
          <w:bCs/>
          <w:szCs w:val="21"/>
          <w:highlight w:val="none"/>
        </w:rPr>
        <w:t>以上文件必须真实、有效、合法，并由法定代表人或其授权委托代理人签字并加盖公章。要编制目录和页码，按顺序一并装订成册</w:t>
      </w:r>
      <w:r>
        <w:rPr>
          <w:rFonts w:hint="eastAsia" w:ascii="新宋体" w:hAnsi="新宋体" w:eastAsia="新宋体" w:cs="新宋体"/>
          <w:b/>
          <w:szCs w:val="21"/>
          <w:highlight w:val="none"/>
        </w:rPr>
        <w:t>。</w:t>
      </w:r>
    </w:p>
    <w:p>
      <w:pPr>
        <w:keepNext w:val="0"/>
        <w:keepLines w:val="0"/>
        <w:pageBreakBefore w:val="0"/>
        <w:widowControl w:val="0"/>
        <w:kinsoku/>
        <w:wordWrap/>
        <w:overflowPunct/>
        <w:topLinePunct w:val="0"/>
        <w:autoSpaceDE/>
        <w:autoSpaceDN/>
        <w:bidi w:val="0"/>
        <w:adjustRightInd/>
        <w:spacing w:after="50" w:line="360" w:lineRule="auto"/>
        <w:ind w:firstLine="457" w:firstLineChars="218"/>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12.2 供应商应按照</w:t>
      </w:r>
      <w:r>
        <w:rPr>
          <w:rFonts w:hint="eastAsia" w:ascii="新宋体" w:hAnsi="新宋体" w:eastAsia="新宋体" w:cs="新宋体"/>
          <w:spacing w:val="2"/>
          <w:highlight w:val="none"/>
        </w:rPr>
        <w:t>采购人</w:t>
      </w:r>
      <w:r>
        <w:rPr>
          <w:rFonts w:hint="eastAsia" w:ascii="新宋体" w:hAnsi="新宋体" w:eastAsia="新宋体" w:cs="新宋体"/>
          <w:highlight w:val="none"/>
        </w:rPr>
        <w:t>提供的</w:t>
      </w:r>
      <w:r>
        <w:rPr>
          <w:rFonts w:hint="eastAsia" w:ascii="新宋体" w:hAnsi="新宋体" w:eastAsia="新宋体" w:cs="新宋体"/>
          <w:spacing w:val="2"/>
          <w:highlight w:val="none"/>
        </w:rPr>
        <w:t>响应</w:t>
      </w:r>
      <w:r>
        <w:rPr>
          <w:rFonts w:hint="eastAsia" w:ascii="新宋体" w:hAnsi="新宋体" w:eastAsia="新宋体" w:cs="新宋体"/>
          <w:highlight w:val="none"/>
        </w:rPr>
        <w:t>文件格式另行编制</w:t>
      </w:r>
      <w:r>
        <w:rPr>
          <w:rFonts w:hint="eastAsia" w:ascii="新宋体" w:hAnsi="新宋体" w:eastAsia="新宋体" w:cs="新宋体"/>
          <w:spacing w:val="2"/>
          <w:highlight w:val="none"/>
        </w:rPr>
        <w:t>响应</w:t>
      </w:r>
      <w:r>
        <w:rPr>
          <w:rFonts w:hint="eastAsia" w:ascii="新宋体" w:hAnsi="新宋体" w:eastAsia="新宋体" w:cs="新宋体"/>
          <w:highlight w:val="none"/>
        </w:rPr>
        <w:t>文件，但表格可以按同样格式扩展，磋商保证金的方式按本须知有关条款的规定可以选择。</w:t>
      </w:r>
    </w:p>
    <w:p>
      <w:pPr>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highlight w:val="none"/>
        </w:rPr>
      </w:pPr>
      <w:r>
        <w:rPr>
          <w:rFonts w:hint="eastAsia" w:ascii="新宋体" w:hAnsi="新宋体" w:eastAsia="新宋体" w:cs="新宋体"/>
          <w:b/>
          <w:bCs/>
          <w:spacing w:val="2"/>
          <w:highlight w:val="none"/>
        </w:rPr>
        <w:t>13、磋商有效期</w:t>
      </w:r>
    </w:p>
    <w:p>
      <w:pPr>
        <w:keepNext w:val="0"/>
        <w:keepLines w:val="0"/>
        <w:pageBreakBefore w:val="0"/>
        <w:widowControl w:val="0"/>
        <w:kinsoku/>
        <w:wordWrap/>
        <w:overflowPunct/>
        <w:topLinePunct w:val="0"/>
        <w:autoSpaceDE/>
        <w:autoSpaceDN/>
        <w:bidi w:val="0"/>
        <w:adjustRightInd/>
        <w:spacing w:after="50" w:line="360" w:lineRule="auto"/>
        <w:ind w:firstLine="409" w:firstLineChars="195"/>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13.l在供应商须知前附表规定的磋商有效期内，供应商不得要求撤销或修改其响应文件。</w:t>
      </w:r>
    </w:p>
    <w:p>
      <w:pPr>
        <w:keepNext w:val="0"/>
        <w:keepLines w:val="0"/>
        <w:pageBreakBefore w:val="0"/>
        <w:widowControl w:val="0"/>
        <w:kinsoku/>
        <w:wordWrap/>
        <w:overflowPunct/>
        <w:topLinePunct w:val="0"/>
        <w:autoSpaceDE/>
        <w:autoSpaceDN/>
        <w:bidi w:val="0"/>
        <w:adjustRightInd/>
        <w:spacing w:after="50" w:line="360" w:lineRule="auto"/>
        <w:ind w:firstLine="409"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highlight w:val="none"/>
        </w:rPr>
        <w:t>13.2 在原定磋商有效期满之前，如果出现特殊情况，</w:t>
      </w:r>
      <w:r>
        <w:rPr>
          <w:rFonts w:hint="eastAsia" w:ascii="新宋体" w:hAnsi="新宋体" w:eastAsia="新宋体" w:cs="新宋体"/>
          <w:spacing w:val="2"/>
          <w:highlight w:val="none"/>
        </w:rPr>
        <w:t>采购人</w:t>
      </w:r>
      <w:r>
        <w:rPr>
          <w:rFonts w:hint="eastAsia" w:ascii="新宋体" w:hAnsi="新宋体" w:eastAsia="新宋体" w:cs="新宋体"/>
          <w:highlight w:val="none"/>
        </w:rPr>
        <w:t>可以书面形式向供应商提出延长磋商有效期的要求。供应商须以书面形式予以答复，供应商可以拒绝这种要求而不被没收磋商保证金。同意延长磋商有效期的供应商不允许修改其响应文件，但需要相应地延长磋商保证金的有效期，在延长期内本须知第14条的规定仍然适用。</w:t>
      </w:r>
    </w:p>
    <w:p>
      <w:pPr>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b/>
          <w:bCs/>
          <w:spacing w:val="2"/>
          <w:highlight w:val="none"/>
        </w:rPr>
      </w:pPr>
      <w:r>
        <w:rPr>
          <w:rFonts w:hint="eastAsia" w:ascii="新宋体" w:hAnsi="新宋体" w:eastAsia="新宋体" w:cs="新宋体"/>
          <w:b/>
          <w:bCs/>
          <w:spacing w:val="2"/>
          <w:highlight w:val="none"/>
        </w:rPr>
        <w:t>14、磋商保证金</w:t>
      </w:r>
    </w:p>
    <w:p>
      <w:pPr>
        <w:keepNext w:val="0"/>
        <w:keepLines w:val="0"/>
        <w:pageBreakBefore w:val="0"/>
        <w:widowControl w:val="0"/>
        <w:kinsoku/>
        <w:wordWrap/>
        <w:overflowPunct/>
        <w:topLinePunct w:val="0"/>
        <w:autoSpaceDE/>
        <w:autoSpaceDN/>
        <w:bidi w:val="0"/>
        <w:adjustRightInd/>
        <w:spacing w:after="50"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14.1 供应商在递交响应文件时，应按本须知前附表规定的金额、形式提交磋商保证金，此磋商保证金是响应文件的一个组成部分。</w:t>
      </w:r>
    </w:p>
    <w:p>
      <w:pPr>
        <w:pStyle w:val="1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14.2 对于未能按要求提交磋商保证金的供应商，</w:t>
      </w:r>
      <w:r>
        <w:rPr>
          <w:rFonts w:hint="eastAsia" w:ascii="新宋体" w:hAnsi="新宋体" w:eastAsia="新宋体" w:cs="新宋体"/>
          <w:spacing w:val="2"/>
          <w:highlight w:val="none"/>
        </w:rPr>
        <w:t>采购人</w:t>
      </w:r>
      <w:r>
        <w:rPr>
          <w:rFonts w:hint="eastAsia" w:ascii="新宋体" w:hAnsi="新宋体" w:eastAsia="新宋体" w:cs="新宋体"/>
          <w:highlight w:val="none"/>
        </w:rPr>
        <w:t>将视为不响应竞争性磋商采购文件而予以拒绝。</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14.3 未成交的供应商的磋商保证金将在成交通知书发出后5天内退回（无息）。</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14.4 如供应商有下列情况，将被没收其磋商保证金：</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14.4.l 成交的供应商未能在成交通知书发出规定期限内签署合同协议；</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14.4.2 供应商在磋商有效期内撤回响应文件的。</w:t>
      </w:r>
    </w:p>
    <w:p>
      <w:pPr>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b/>
          <w:bCs/>
          <w:spacing w:val="2"/>
          <w:highlight w:val="none"/>
        </w:rPr>
      </w:pPr>
      <w:r>
        <w:rPr>
          <w:rFonts w:hint="eastAsia" w:ascii="新宋体" w:hAnsi="新宋体" w:eastAsia="新宋体" w:cs="新宋体"/>
          <w:b/>
          <w:bCs/>
          <w:spacing w:val="2"/>
          <w:highlight w:val="none"/>
        </w:rPr>
        <w:t>15、答疑</w:t>
      </w:r>
    </w:p>
    <w:p>
      <w:pPr>
        <w:keepNext w:val="0"/>
        <w:keepLines w:val="0"/>
        <w:pageBreakBefore w:val="0"/>
        <w:widowControl w:val="0"/>
        <w:kinsoku/>
        <w:wordWrap/>
        <w:overflowPunct/>
        <w:topLinePunct w:val="0"/>
        <w:autoSpaceDE/>
        <w:autoSpaceDN/>
        <w:bidi w:val="0"/>
        <w:adjustRightInd/>
        <w:spacing w:after="50"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15.1 采购人向供应商提供的有关施工现场的资料和数据，是采购人现有的能使供应商利用的资料。采购人对供应商由此而做出的推论、理解和结论概不负责。</w:t>
      </w:r>
    </w:p>
    <w:p>
      <w:pPr>
        <w:keepNext w:val="0"/>
        <w:keepLines w:val="0"/>
        <w:pageBreakBefore w:val="0"/>
        <w:widowControl w:val="0"/>
        <w:kinsoku/>
        <w:wordWrap/>
        <w:overflowPunct/>
        <w:topLinePunct w:val="0"/>
        <w:autoSpaceDE/>
        <w:autoSpaceDN/>
        <w:bidi w:val="0"/>
        <w:adjustRightInd/>
        <w:spacing w:after="50"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15.2供应商在收到竞争性磋商采购文件后，若有问题需要澄清，应于发出竞争性磋商采购文件后7日内，以书面形式送达采购人，采购人将通过“补遗文件”的形式予以答复。如果供应商在规定的时间内提出的问题未得到采购人的书面解答的，应立即以书面形式报告采购代理机构，否则，将视为提出的问题不再需要答复。</w:t>
      </w:r>
    </w:p>
    <w:p>
      <w:pPr>
        <w:keepNext w:val="0"/>
        <w:keepLines w:val="0"/>
        <w:pageBreakBefore w:val="0"/>
        <w:widowControl w:val="0"/>
        <w:kinsoku/>
        <w:wordWrap/>
        <w:overflowPunct/>
        <w:topLinePunct w:val="0"/>
        <w:autoSpaceDE/>
        <w:autoSpaceDN/>
        <w:bidi w:val="0"/>
        <w:adjustRightInd/>
        <w:spacing w:after="50"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 xml:space="preserve">15.3 </w:t>
      </w:r>
      <w:r>
        <w:rPr>
          <w:rFonts w:hint="eastAsia" w:ascii="新宋体" w:hAnsi="新宋体" w:eastAsia="新宋体" w:cs="新宋体"/>
          <w:highlight w:val="none"/>
        </w:rPr>
        <w:t>响应</w:t>
      </w:r>
      <w:r>
        <w:rPr>
          <w:rFonts w:hint="eastAsia" w:ascii="新宋体" w:hAnsi="新宋体" w:eastAsia="新宋体" w:cs="新宋体"/>
          <w:spacing w:val="2"/>
          <w:highlight w:val="none"/>
        </w:rPr>
        <w:t>补遗文件包括所有问题和答复，将迅速提供给所有获得竞争性磋商采购文件的供应商。</w:t>
      </w:r>
    </w:p>
    <w:p>
      <w:pPr>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b/>
          <w:bCs/>
          <w:spacing w:val="2"/>
          <w:highlight w:val="none"/>
        </w:rPr>
      </w:pPr>
      <w:r>
        <w:rPr>
          <w:rFonts w:hint="eastAsia" w:ascii="新宋体" w:hAnsi="新宋体" w:eastAsia="新宋体" w:cs="新宋体"/>
          <w:b/>
          <w:bCs/>
          <w:spacing w:val="2"/>
          <w:highlight w:val="none"/>
        </w:rPr>
        <w:t>16、响应文件的编制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428" w:firstLineChars="200"/>
        <w:jc w:val="left"/>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16.l供应商应按第四章“响应文件格式”规定的内容和格式编制响应文件，具体内容和格式详见本采购文件第四章“响应文件格式”。</w:t>
      </w:r>
      <w:r>
        <w:rPr>
          <w:rFonts w:hint="eastAsia" w:ascii="新宋体" w:hAnsi="新宋体" w:eastAsia="新宋体" w:cs="新宋体"/>
          <w:szCs w:val="21"/>
          <w:highlight w:val="none"/>
        </w:rPr>
        <w:t xml:space="preserve"> 要编制目录和连续页码，按顺序一并装订成册。</w:t>
      </w:r>
      <w:r>
        <w:rPr>
          <w:rFonts w:hint="eastAsia" w:ascii="新宋体" w:hAnsi="新宋体" w:eastAsia="新宋体" w:cs="新宋体"/>
          <w:spacing w:val="2"/>
          <w:highlight w:val="none"/>
        </w:rPr>
        <w:t>竞争性磋商响应文件书面版本正本为一份，副本份数见供应商须知前附表，文件封面上均应分别标明“正本”和“副本”字样。正本与副本不一致时以正本为准；</w:t>
      </w:r>
    </w:p>
    <w:p>
      <w:pPr>
        <w:keepNext w:val="0"/>
        <w:keepLines w:val="0"/>
        <w:pageBreakBefore w:val="0"/>
        <w:widowControl w:val="0"/>
        <w:kinsoku/>
        <w:wordWrap/>
        <w:overflowPunct/>
        <w:topLinePunct w:val="0"/>
        <w:autoSpaceDE/>
        <w:autoSpaceDN/>
        <w:bidi w:val="0"/>
        <w:adjustRightInd/>
        <w:snapToGrid/>
        <w:spacing w:line="360" w:lineRule="auto"/>
        <w:ind w:firstLine="428" w:firstLineChars="200"/>
        <w:jc w:val="left"/>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16.2在“磋商函附录”中,供应商应当对竞争性磋商采购文件有关工期、磋商有效期、质量要求、技术条款、采购范围等实质性内容做出响应。</w:t>
      </w:r>
    </w:p>
    <w:p>
      <w:pPr>
        <w:keepNext w:val="0"/>
        <w:keepLines w:val="0"/>
        <w:pageBreakBefore w:val="0"/>
        <w:widowControl w:val="0"/>
        <w:kinsoku/>
        <w:wordWrap/>
        <w:overflowPunct/>
        <w:topLinePunct w:val="0"/>
        <w:autoSpaceDE/>
        <w:autoSpaceDN/>
        <w:bidi w:val="0"/>
        <w:adjustRightInd/>
        <w:snapToGrid/>
        <w:spacing w:line="360" w:lineRule="auto"/>
        <w:ind w:firstLine="428" w:firstLineChars="200"/>
        <w:jc w:val="left"/>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16.3响应文件正本与副本均应使用不能擦去的墨水打印或书写，文字要清晰，语意要明确。</w:t>
      </w:r>
    </w:p>
    <w:p>
      <w:pPr>
        <w:keepNext w:val="0"/>
        <w:keepLines w:val="0"/>
        <w:pageBreakBefore w:val="0"/>
        <w:widowControl w:val="0"/>
        <w:kinsoku/>
        <w:wordWrap/>
        <w:overflowPunct/>
        <w:topLinePunct w:val="0"/>
        <w:autoSpaceDE/>
        <w:autoSpaceDN/>
        <w:bidi w:val="0"/>
        <w:adjustRightInd/>
        <w:snapToGrid/>
        <w:spacing w:line="360" w:lineRule="auto"/>
        <w:ind w:firstLine="428" w:firstLineChars="200"/>
        <w:jc w:val="left"/>
        <w:textAlignment w:val="auto"/>
        <w:outlineLvl w:val="9"/>
        <w:rPr>
          <w:rFonts w:hint="eastAsia" w:ascii="新宋体" w:hAnsi="新宋体" w:eastAsia="新宋体" w:cs="新宋体"/>
          <w:b w:val="0"/>
          <w:bCs w:val="0"/>
          <w:spacing w:val="2"/>
          <w:highlight w:val="none"/>
        </w:rPr>
      </w:pPr>
      <w:r>
        <w:rPr>
          <w:rFonts w:hint="eastAsia" w:ascii="新宋体" w:hAnsi="新宋体" w:eastAsia="新宋体" w:cs="新宋体"/>
          <w:b w:val="0"/>
          <w:bCs w:val="0"/>
          <w:spacing w:val="2"/>
          <w:highlight w:val="none"/>
        </w:rPr>
        <w:t>16.</w:t>
      </w:r>
      <w:r>
        <w:rPr>
          <w:rFonts w:hint="eastAsia" w:ascii="新宋体" w:hAnsi="新宋体" w:eastAsia="新宋体" w:cs="新宋体"/>
          <w:b w:val="0"/>
          <w:bCs w:val="0"/>
          <w:spacing w:val="2"/>
          <w:highlight w:val="none"/>
          <w:lang w:val="en-US" w:eastAsia="zh-CN"/>
        </w:rPr>
        <w:t>4</w:t>
      </w:r>
      <w:r>
        <w:rPr>
          <w:rFonts w:hint="eastAsia" w:ascii="新宋体" w:hAnsi="新宋体" w:eastAsia="新宋体" w:cs="新宋体"/>
          <w:b w:val="0"/>
          <w:bCs w:val="0"/>
          <w:spacing w:val="2"/>
          <w:highlight w:val="none"/>
        </w:rPr>
        <w:t>响应文件正本应按采购文件的要求加盖单位公章和由法定代表人(或委托代理人)签名。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16.</w:t>
      </w:r>
      <w:r>
        <w:rPr>
          <w:rFonts w:hint="eastAsia" w:ascii="新宋体" w:hAnsi="新宋体" w:eastAsia="新宋体" w:cs="新宋体"/>
          <w:szCs w:val="21"/>
          <w:highlight w:val="none"/>
          <w:lang w:val="en-US" w:eastAsia="zh-CN"/>
        </w:rPr>
        <w:t>5</w:t>
      </w:r>
      <w:r>
        <w:rPr>
          <w:rFonts w:hint="eastAsia" w:ascii="新宋体" w:hAnsi="新宋体" w:eastAsia="新宋体" w:cs="新宋体"/>
          <w:szCs w:val="21"/>
          <w:highlight w:val="none"/>
        </w:rPr>
        <w:t>供应商提交的竞争性磋商响应文件以及供应商与</w:t>
      </w:r>
      <w:r>
        <w:rPr>
          <w:rFonts w:hint="eastAsia" w:ascii="新宋体" w:hAnsi="新宋体" w:eastAsia="新宋体" w:cs="新宋体"/>
          <w:bCs/>
          <w:color w:val="000000"/>
          <w:sz w:val="21"/>
          <w:szCs w:val="21"/>
          <w:highlight w:val="none"/>
          <w:shd w:val="clear" w:color="auto" w:fill="FFFFFF"/>
        </w:rPr>
        <w:t>广西达华工程造价咨询有限责任公司</w:t>
      </w:r>
      <w:r>
        <w:rPr>
          <w:rFonts w:hint="eastAsia" w:ascii="新宋体" w:hAnsi="新宋体" w:eastAsia="新宋体" w:cs="新宋体"/>
          <w:szCs w:val="21"/>
          <w:highlight w:val="none"/>
        </w:rPr>
        <w:t>和采购人就有关</w:t>
      </w:r>
      <w:r>
        <w:rPr>
          <w:rFonts w:hint="eastAsia" w:ascii="新宋体" w:hAnsi="新宋体" w:eastAsia="新宋体" w:cs="新宋体"/>
          <w:szCs w:val="21"/>
          <w:highlight w:val="none"/>
          <w:lang w:eastAsia="zh-CN"/>
        </w:rPr>
        <w:t>磋商</w:t>
      </w:r>
      <w:r>
        <w:rPr>
          <w:rFonts w:hint="eastAsia" w:ascii="新宋体" w:hAnsi="新宋体" w:eastAsia="新宋体" w:cs="新宋体"/>
          <w:szCs w:val="21"/>
          <w:highlight w:val="none"/>
        </w:rPr>
        <w:t>的所有来往函电均应使用中文。供应商提交的支持文件和印刷的文献可以使用别的语言，但其相应内容必须附有中文翻译文本，在解释竞争性磋商响应文件时以翻译文本为主。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16.</w:t>
      </w:r>
      <w:r>
        <w:rPr>
          <w:rFonts w:hint="eastAsia" w:ascii="新宋体" w:hAnsi="新宋体" w:eastAsia="新宋体" w:cs="新宋体"/>
          <w:szCs w:val="21"/>
          <w:highlight w:val="none"/>
          <w:lang w:val="en-US" w:eastAsia="zh-CN"/>
        </w:rPr>
        <w:t>6</w:t>
      </w:r>
      <w:r>
        <w:rPr>
          <w:rFonts w:hint="eastAsia" w:ascii="新宋体" w:hAnsi="新宋体" w:eastAsia="新宋体" w:cs="新宋体"/>
          <w:szCs w:val="21"/>
          <w:highlight w:val="none"/>
        </w:rPr>
        <w:t xml:space="preserve"> 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16.</w:t>
      </w:r>
      <w:r>
        <w:rPr>
          <w:rFonts w:hint="eastAsia" w:ascii="新宋体" w:hAnsi="新宋体" w:eastAsia="新宋体" w:cs="新宋体"/>
          <w:szCs w:val="21"/>
          <w:highlight w:val="none"/>
          <w:lang w:val="en-US" w:eastAsia="zh-CN"/>
        </w:rPr>
        <w:t>7</w:t>
      </w:r>
      <w:r>
        <w:rPr>
          <w:rFonts w:hint="eastAsia" w:ascii="新宋体" w:hAnsi="新宋体" w:eastAsia="新宋体" w:cs="新宋体"/>
          <w:szCs w:val="21"/>
          <w:highlight w:val="none"/>
        </w:rPr>
        <w:t>竞争性磋商响应文件必须按本文件全部内容，包括所有的补充通知及附件进行编制。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16.</w:t>
      </w:r>
      <w:r>
        <w:rPr>
          <w:rFonts w:hint="eastAsia" w:ascii="新宋体" w:hAnsi="新宋体" w:eastAsia="新宋体" w:cs="新宋体"/>
          <w:szCs w:val="21"/>
          <w:highlight w:val="none"/>
          <w:lang w:val="en-US" w:eastAsia="zh-CN"/>
        </w:rPr>
        <w:t>8</w:t>
      </w:r>
      <w:r>
        <w:rPr>
          <w:rFonts w:hint="eastAsia" w:ascii="新宋体" w:hAnsi="新宋体" w:eastAsia="新宋体" w:cs="新宋体"/>
          <w:szCs w:val="21"/>
          <w:highlight w:val="none"/>
        </w:rPr>
        <w:t>如因供应商只填写和提供了本文件要求的部分内容和附件，而给评审造成困难，其可能导致的结果和责任由供应商自行承担。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8" w:firstLineChars="200"/>
        <w:jc w:val="left"/>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16.</w:t>
      </w:r>
      <w:r>
        <w:rPr>
          <w:rFonts w:hint="eastAsia" w:ascii="新宋体" w:hAnsi="新宋体" w:eastAsia="新宋体" w:cs="新宋体"/>
          <w:spacing w:val="2"/>
          <w:highlight w:val="none"/>
          <w:lang w:val="en-US" w:eastAsia="zh-CN"/>
        </w:rPr>
        <w:t>9</w:t>
      </w:r>
      <w:r>
        <w:rPr>
          <w:rFonts w:hint="eastAsia" w:ascii="新宋体" w:hAnsi="新宋体" w:eastAsia="新宋体" w:cs="新宋体"/>
          <w:spacing w:val="2"/>
          <w:highlight w:val="none"/>
        </w:rPr>
        <w:t>全套响应文件应无涂改和行间插字，除非这些删改是根据采购人指示进行的，或者是供应商造成的必须修改的错误，但修改处应由响应文件签字人签字证明并加盖印鉴，否则修改无效。</w:t>
      </w:r>
    </w:p>
    <w:p>
      <w:pPr>
        <w:keepNext w:val="0"/>
        <w:keepLines w:val="0"/>
        <w:pageBreakBefore w:val="0"/>
        <w:widowControl w:val="0"/>
        <w:kinsoku/>
        <w:wordWrap/>
        <w:overflowPunct/>
        <w:topLinePunct w:val="0"/>
        <w:autoSpaceDE/>
        <w:autoSpaceDN/>
        <w:bidi w:val="0"/>
        <w:adjustRightInd/>
        <w:spacing w:before="120" w:after="120" w:line="360" w:lineRule="auto"/>
        <w:jc w:val="center"/>
        <w:textAlignment w:val="auto"/>
        <w:outlineLvl w:val="9"/>
        <w:rPr>
          <w:rFonts w:hint="eastAsia" w:ascii="新宋体" w:hAnsi="新宋体" w:eastAsia="新宋体" w:cs="新宋体"/>
          <w:kern w:val="4"/>
          <w:highlight w:val="none"/>
        </w:rPr>
      </w:pPr>
      <w:bookmarkStart w:id="38" w:name="_Toc301942507"/>
      <w:r>
        <w:rPr>
          <w:rFonts w:hint="eastAsia" w:ascii="新宋体" w:hAnsi="新宋体" w:eastAsia="新宋体" w:cs="新宋体"/>
          <w:b/>
          <w:bCs/>
          <w:kern w:val="4"/>
          <w:sz w:val="32"/>
          <w:szCs w:val="32"/>
          <w:highlight w:val="none"/>
        </w:rPr>
        <w:t>五、响应文件的递交</w:t>
      </w:r>
      <w:bookmarkEnd w:id="38"/>
    </w:p>
    <w:p>
      <w:pPr>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b/>
          <w:bCs/>
          <w:spacing w:val="2"/>
          <w:highlight w:val="none"/>
        </w:rPr>
      </w:pPr>
      <w:r>
        <w:rPr>
          <w:rFonts w:hint="eastAsia" w:ascii="新宋体" w:hAnsi="新宋体" w:eastAsia="新宋体" w:cs="新宋体"/>
          <w:b/>
          <w:bCs/>
          <w:spacing w:val="2"/>
          <w:highlight w:val="none"/>
        </w:rPr>
        <w:t>17、响应文件的密封、装订与标志</w:t>
      </w:r>
    </w:p>
    <w:p>
      <w:pPr>
        <w:keepNext w:val="0"/>
        <w:keepLines w:val="0"/>
        <w:pageBreakBefore w:val="0"/>
        <w:widowControl w:val="0"/>
        <w:kinsoku/>
        <w:wordWrap/>
        <w:overflowPunct/>
        <w:topLinePunct w:val="0"/>
        <w:autoSpaceDE/>
        <w:autoSpaceDN/>
        <w:bidi w:val="0"/>
        <w:adjustRightInd/>
        <w:spacing w:after="50" w:line="360" w:lineRule="auto"/>
        <w:ind w:firstLine="417" w:firstLineChars="195"/>
        <w:textAlignment w:val="auto"/>
        <w:outlineLvl w:val="9"/>
        <w:rPr>
          <w:rFonts w:hint="eastAsia" w:ascii="新宋体" w:hAnsi="新宋体" w:eastAsia="新宋体" w:cs="新宋体"/>
          <w:highlight w:val="none"/>
        </w:rPr>
      </w:pPr>
      <w:r>
        <w:rPr>
          <w:rFonts w:hint="eastAsia" w:ascii="新宋体" w:hAnsi="新宋体" w:eastAsia="新宋体" w:cs="新宋体"/>
          <w:spacing w:val="2"/>
          <w:highlight w:val="none"/>
        </w:rPr>
        <w:t>17.1 供应商应将响应文件密封在一个外层包封内，</w:t>
      </w:r>
      <w:r>
        <w:rPr>
          <w:rFonts w:hint="eastAsia" w:ascii="新宋体" w:hAnsi="新宋体" w:eastAsia="新宋体" w:cs="新宋体"/>
          <w:highlight w:val="none"/>
        </w:rPr>
        <w:t>并在封口处加盖公章。</w:t>
      </w:r>
    </w:p>
    <w:p>
      <w:pPr>
        <w:keepNext w:val="0"/>
        <w:keepLines w:val="0"/>
        <w:pageBreakBefore w:val="0"/>
        <w:widowControl w:val="0"/>
        <w:kinsoku/>
        <w:wordWrap/>
        <w:overflowPunct/>
        <w:topLinePunct w:val="0"/>
        <w:autoSpaceDE/>
        <w:autoSpaceDN/>
        <w:bidi w:val="0"/>
        <w:adjustRightInd/>
        <w:spacing w:after="50"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17.2 响应文件必须包边，用外封套粘贴</w:t>
      </w:r>
      <w:r>
        <w:rPr>
          <w:rFonts w:hint="eastAsia" w:ascii="新宋体" w:hAnsi="新宋体" w:eastAsia="新宋体" w:cs="新宋体"/>
          <w:spacing w:val="2"/>
          <w:highlight w:val="none"/>
          <w:lang w:eastAsia="zh-CN"/>
        </w:rPr>
        <w:t>响应文件</w:t>
      </w:r>
      <w:r>
        <w:rPr>
          <w:rFonts w:hint="eastAsia" w:ascii="新宋体" w:hAnsi="新宋体" w:eastAsia="新宋体" w:cs="新宋体"/>
          <w:spacing w:val="2"/>
          <w:highlight w:val="none"/>
        </w:rPr>
        <w:t>装订边，不得采用活页夹等有可能导致响应文件散落或脱页的装订方式。</w:t>
      </w:r>
    </w:p>
    <w:p>
      <w:pPr>
        <w:keepNext w:val="0"/>
        <w:keepLines w:val="0"/>
        <w:pageBreakBefore w:val="0"/>
        <w:widowControl w:val="0"/>
        <w:kinsoku/>
        <w:wordWrap/>
        <w:overflowPunct/>
        <w:topLinePunct w:val="0"/>
        <w:autoSpaceDE/>
        <w:autoSpaceDN/>
        <w:bidi w:val="0"/>
        <w:adjustRightInd/>
        <w:spacing w:after="50"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17.3外层包封上写明的内容见供应商须知前附表。</w:t>
      </w:r>
    </w:p>
    <w:p>
      <w:pPr>
        <w:keepNext w:val="0"/>
        <w:keepLines w:val="0"/>
        <w:pageBreakBefore w:val="0"/>
        <w:widowControl w:val="0"/>
        <w:kinsoku/>
        <w:wordWrap/>
        <w:overflowPunct/>
        <w:topLinePunct w:val="0"/>
        <w:autoSpaceDE/>
        <w:autoSpaceDN/>
        <w:bidi w:val="0"/>
        <w:adjustRightInd/>
        <w:spacing w:after="50"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17.4供应商在递交</w:t>
      </w:r>
      <w:r>
        <w:rPr>
          <w:rFonts w:hint="eastAsia" w:ascii="新宋体" w:hAnsi="新宋体" w:eastAsia="新宋体" w:cs="新宋体"/>
          <w:bCs/>
          <w:spacing w:val="2"/>
          <w:highlight w:val="none"/>
        </w:rPr>
        <w:t>响应</w:t>
      </w:r>
      <w:r>
        <w:rPr>
          <w:rFonts w:hint="eastAsia" w:ascii="新宋体" w:hAnsi="新宋体" w:eastAsia="新宋体" w:cs="新宋体"/>
          <w:spacing w:val="2"/>
          <w:highlight w:val="none"/>
        </w:rPr>
        <w:t>文件时未按以上要求密封、标记的，采购人有权拒收。</w:t>
      </w:r>
    </w:p>
    <w:p>
      <w:pPr>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b/>
          <w:bCs/>
          <w:spacing w:val="2"/>
          <w:highlight w:val="none"/>
        </w:rPr>
      </w:pPr>
      <w:r>
        <w:rPr>
          <w:rFonts w:hint="eastAsia" w:ascii="新宋体" w:hAnsi="新宋体" w:eastAsia="新宋体" w:cs="新宋体"/>
          <w:b/>
          <w:bCs/>
          <w:spacing w:val="2"/>
          <w:highlight w:val="none"/>
        </w:rPr>
        <w:t>18、递交响应文件截止日期</w:t>
      </w:r>
    </w:p>
    <w:p>
      <w:pPr>
        <w:keepNext w:val="0"/>
        <w:keepLines w:val="0"/>
        <w:pageBreakBefore w:val="0"/>
        <w:widowControl w:val="0"/>
        <w:kinsoku/>
        <w:wordWrap/>
        <w:overflowPunct/>
        <w:topLinePunct w:val="0"/>
        <w:autoSpaceDE/>
        <w:autoSpaceDN/>
        <w:bidi w:val="0"/>
        <w:adjustRightInd/>
        <w:spacing w:after="50"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18.1 供应商必须在本须知前附表规定的截止时间前，将响应文件送达本须知前附表规定的递交地点。由采购代理公司签收</w:t>
      </w:r>
      <w:r>
        <w:rPr>
          <w:rFonts w:hint="eastAsia" w:ascii="新宋体" w:hAnsi="新宋体" w:eastAsia="新宋体" w:cs="新宋体"/>
          <w:b/>
          <w:spacing w:val="2"/>
          <w:highlight w:val="none"/>
        </w:rPr>
        <w:t>，</w:t>
      </w:r>
      <w:r>
        <w:rPr>
          <w:rFonts w:hint="eastAsia" w:ascii="新宋体" w:hAnsi="新宋体" w:eastAsia="新宋体" w:cs="新宋体"/>
          <w:spacing w:val="2"/>
          <w:highlight w:val="none"/>
        </w:rPr>
        <w:t>供应商所递交的</w:t>
      </w:r>
      <w:r>
        <w:rPr>
          <w:rFonts w:hint="eastAsia" w:ascii="新宋体" w:hAnsi="新宋体" w:eastAsia="新宋体" w:cs="新宋体"/>
          <w:bCs/>
          <w:spacing w:val="2"/>
          <w:highlight w:val="none"/>
        </w:rPr>
        <w:t>响应</w:t>
      </w:r>
      <w:r>
        <w:rPr>
          <w:rFonts w:hint="eastAsia" w:ascii="新宋体" w:hAnsi="新宋体" w:eastAsia="新宋体" w:cs="新宋体"/>
          <w:spacing w:val="2"/>
          <w:highlight w:val="none"/>
        </w:rPr>
        <w:t>文件不予退还。</w:t>
      </w:r>
    </w:p>
    <w:p>
      <w:pPr>
        <w:keepNext w:val="0"/>
        <w:keepLines w:val="0"/>
        <w:pageBreakBefore w:val="0"/>
        <w:widowControl w:val="0"/>
        <w:kinsoku/>
        <w:wordWrap/>
        <w:overflowPunct/>
        <w:topLinePunct w:val="0"/>
        <w:autoSpaceDE/>
        <w:autoSpaceDN/>
        <w:bidi w:val="0"/>
        <w:adjustRightInd/>
        <w:spacing w:after="50"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18.2 采购人可以按本须知第9条规定以补充通知方式，酌情延长递交</w:t>
      </w:r>
      <w:r>
        <w:rPr>
          <w:rFonts w:hint="eastAsia" w:ascii="新宋体" w:hAnsi="新宋体" w:eastAsia="新宋体" w:cs="新宋体"/>
          <w:bCs/>
          <w:spacing w:val="2"/>
          <w:highlight w:val="none"/>
        </w:rPr>
        <w:t>响应</w:t>
      </w:r>
      <w:r>
        <w:rPr>
          <w:rFonts w:hint="eastAsia" w:ascii="新宋体" w:hAnsi="新宋体" w:eastAsia="新宋体" w:cs="新宋体"/>
          <w:spacing w:val="2"/>
          <w:highlight w:val="none"/>
        </w:rPr>
        <w:t>文件的截止日期。在上述情况下，采购人与供应商在磋商截止期以前拥有的全部权力、责任和义务，将适用于延长后新的磋商截止期。</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b/>
          <w:bCs/>
          <w:spacing w:val="2"/>
          <w:highlight w:val="none"/>
        </w:rPr>
      </w:pPr>
      <w:r>
        <w:rPr>
          <w:rFonts w:hint="eastAsia" w:ascii="新宋体" w:hAnsi="新宋体" w:eastAsia="新宋体" w:cs="新宋体"/>
          <w:spacing w:val="2"/>
          <w:highlight w:val="none"/>
        </w:rPr>
        <w:t>18.3 采购人在截止期以后收到的响应文件将予以拒绝，并原封退给供应商。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b/>
          <w:bCs/>
          <w:spacing w:val="2"/>
          <w:highlight w:val="none"/>
        </w:rPr>
      </w:pPr>
      <w:r>
        <w:rPr>
          <w:rFonts w:hint="eastAsia" w:ascii="新宋体" w:hAnsi="新宋体" w:eastAsia="新宋体" w:cs="新宋体"/>
          <w:b/>
          <w:bCs/>
          <w:spacing w:val="2"/>
          <w:highlight w:val="none"/>
        </w:rPr>
        <w:t>19、响应文件的撤回</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19.1 供应商可以在递交响应文件以后，在规定的磋商截止时间之前，以书面形式向采购人递交撤回其响应文件的通知。</w:t>
      </w:r>
    </w:p>
    <w:p>
      <w:pPr>
        <w:keepNext w:val="0"/>
        <w:keepLines w:val="0"/>
        <w:pageBreakBefore w:val="0"/>
        <w:widowControl w:val="0"/>
        <w:kinsoku/>
        <w:wordWrap/>
        <w:overflowPunct/>
        <w:topLinePunct w:val="0"/>
        <w:autoSpaceDE/>
        <w:autoSpaceDN/>
        <w:bidi w:val="0"/>
        <w:adjustRightInd/>
        <w:spacing w:line="360" w:lineRule="auto"/>
        <w:ind w:firstLine="417" w:firstLineChars="195"/>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19.2 根据本须知第14条的规定，在磋商有效期内，供应商不能撤回响应文件，否则其磋商保证金将被没收。</w:t>
      </w:r>
    </w:p>
    <w:p>
      <w:pPr>
        <w:keepNext w:val="0"/>
        <w:keepLines w:val="0"/>
        <w:pageBreakBefore w:val="0"/>
        <w:widowControl w:val="0"/>
        <w:kinsoku/>
        <w:wordWrap/>
        <w:overflowPunct/>
        <w:topLinePunct w:val="0"/>
        <w:autoSpaceDE/>
        <w:autoSpaceDN/>
        <w:bidi w:val="0"/>
        <w:adjustRightInd/>
        <w:spacing w:before="120" w:after="120" w:line="360" w:lineRule="auto"/>
        <w:jc w:val="center"/>
        <w:textAlignment w:val="auto"/>
        <w:outlineLvl w:val="9"/>
        <w:rPr>
          <w:rFonts w:hint="eastAsia" w:ascii="新宋体" w:hAnsi="新宋体" w:eastAsia="新宋体" w:cs="新宋体"/>
          <w:kern w:val="4"/>
          <w:highlight w:val="none"/>
        </w:rPr>
      </w:pPr>
      <w:bookmarkStart w:id="39" w:name="_Toc301942508"/>
      <w:r>
        <w:rPr>
          <w:rFonts w:hint="eastAsia" w:ascii="新宋体" w:hAnsi="新宋体" w:eastAsia="新宋体" w:cs="新宋体"/>
          <w:b/>
          <w:bCs/>
          <w:kern w:val="4"/>
          <w:sz w:val="32"/>
          <w:szCs w:val="32"/>
          <w:highlight w:val="none"/>
        </w:rPr>
        <w:t>六、开标</w:t>
      </w:r>
      <w:bookmarkEnd w:id="39"/>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b/>
          <w:highlight w:val="none"/>
        </w:rPr>
      </w:pPr>
      <w:r>
        <w:rPr>
          <w:rFonts w:hint="eastAsia" w:ascii="新宋体" w:hAnsi="新宋体" w:eastAsia="新宋体" w:cs="新宋体"/>
          <w:b/>
          <w:highlight w:val="none"/>
        </w:rPr>
        <w:t>20、开标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20.l 采购代理机构将于本须知前附表规定的时间和地点举行开标会议，参加开标的供应商</w:t>
      </w:r>
      <w:r>
        <w:rPr>
          <w:rFonts w:hint="eastAsia" w:ascii="新宋体" w:hAnsi="新宋体" w:eastAsia="新宋体" w:cs="新宋体"/>
          <w:highlight w:val="none"/>
          <w:lang w:eastAsia="zh-CN"/>
        </w:rPr>
        <w:t>应</w:t>
      </w:r>
      <w:r>
        <w:rPr>
          <w:rFonts w:hint="eastAsia" w:ascii="新宋体" w:hAnsi="新宋体" w:eastAsia="新宋体" w:cs="新宋体"/>
          <w:highlight w:val="none"/>
        </w:rPr>
        <w:t>签名报到，以证明其出席开标会议，并携带有效证明材料前往，以证实其身份。</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20.2 开标会议由采购代理机构组织并主持，在招标采购单位的监督下，对响应文件进行检查，确认它们是否完整，文件签署是否正确，是否按本须知编制。但按规定提交了合格撤回通知的响应文件不予开封。</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20.3 开标程序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(1) 采购代理机构主持人宣布开标会议开始；</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 采购代理机构介绍参加开标会议人员名单；</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(3) 采购代理机构、监标人员和各供应商一同检验各响应文件密封的完整性；</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(4) 采购代理机构当众宣布核查结果，并宣读有效响应的供应商名称以及采购代理机构认为需要宣布的其他内容；</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(5) 采购代理机构启封响应文件，对未按规定密封和逾期送达的响应文件不予启封；</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(6) 采购代理机构和监标人员一同检验已开封的响应文件是否符合竞争性磋商采购文件有关规定，是否完整，文件签署是否正确，并宣读核查结果；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(7) 开标会议结束。</w:t>
      </w: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eastAsia" w:ascii="新宋体" w:hAnsi="新宋体" w:eastAsia="新宋体" w:cs="新宋体"/>
          <w:b/>
          <w:kern w:val="4"/>
          <w:sz w:val="30"/>
          <w:szCs w:val="30"/>
          <w:highlight w:val="none"/>
        </w:rPr>
      </w:pPr>
      <w:bookmarkStart w:id="40" w:name="_Toc301942509"/>
      <w:r>
        <w:rPr>
          <w:rFonts w:hint="eastAsia" w:ascii="新宋体" w:hAnsi="新宋体" w:eastAsia="新宋体" w:cs="新宋体"/>
          <w:b/>
          <w:bCs/>
          <w:kern w:val="4"/>
          <w:sz w:val="32"/>
          <w:szCs w:val="32"/>
          <w:highlight w:val="none"/>
        </w:rPr>
        <w:t>七、磋商</w:t>
      </w:r>
      <w:bookmarkEnd w:id="40"/>
    </w:p>
    <w:p>
      <w:pPr>
        <w:pStyle w:val="12"/>
        <w:keepNext w:val="0"/>
        <w:keepLines w:val="0"/>
        <w:pageBreakBefore w:val="0"/>
        <w:widowControl w:val="0"/>
        <w:kinsoku/>
        <w:wordWrap/>
        <w:overflowPunct/>
        <w:topLinePunct w:val="0"/>
        <w:autoSpaceDE/>
        <w:autoSpaceDN/>
        <w:bidi w:val="0"/>
        <w:adjustRightInd/>
        <w:snapToGrid w:val="0"/>
        <w:spacing w:line="360" w:lineRule="auto"/>
        <w:ind w:left="688" w:leftChars="228" w:hanging="210" w:hangingChars="100"/>
        <w:textAlignment w:val="auto"/>
        <w:outlineLvl w:val="9"/>
        <w:rPr>
          <w:rFonts w:hint="eastAsia" w:ascii="新宋体" w:hAnsi="新宋体" w:eastAsia="新宋体" w:cs="新宋体"/>
          <w:b/>
          <w:highlight w:val="none"/>
        </w:rPr>
      </w:pPr>
      <w:r>
        <w:rPr>
          <w:rFonts w:hint="eastAsia" w:ascii="新宋体" w:hAnsi="新宋体" w:eastAsia="新宋体" w:cs="新宋体"/>
          <w:b/>
          <w:highlight w:val="none"/>
        </w:rPr>
        <w:t>（一）组建评标委员会（磋商小组）</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9" w:firstLineChars="233"/>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21.1本项目评标委员会（磋商小组）的由两名专业评委和一名业主评委组成。</w:t>
      </w:r>
    </w:p>
    <w:p>
      <w:pPr>
        <w:pStyle w:val="12"/>
        <w:keepNext w:val="0"/>
        <w:keepLines w:val="0"/>
        <w:pageBreakBefore w:val="0"/>
        <w:widowControl w:val="0"/>
        <w:kinsoku/>
        <w:wordWrap/>
        <w:overflowPunct/>
        <w:topLinePunct w:val="0"/>
        <w:autoSpaceDE/>
        <w:autoSpaceDN/>
        <w:bidi w:val="0"/>
        <w:adjustRightInd/>
        <w:snapToGrid w:val="0"/>
        <w:spacing w:line="360" w:lineRule="auto"/>
        <w:ind w:left="688" w:leftChars="228" w:hanging="210" w:hangingChars="100"/>
        <w:textAlignment w:val="auto"/>
        <w:outlineLvl w:val="9"/>
        <w:rPr>
          <w:rFonts w:hint="eastAsia" w:ascii="新宋体" w:hAnsi="新宋体" w:eastAsia="新宋体" w:cs="新宋体"/>
          <w:b/>
          <w:highlight w:val="none"/>
        </w:rPr>
      </w:pPr>
      <w:r>
        <w:rPr>
          <w:rFonts w:hint="eastAsia" w:ascii="新宋体" w:hAnsi="新宋体" w:eastAsia="新宋体" w:cs="新宋体"/>
          <w:b/>
          <w:highlight w:val="none"/>
        </w:rPr>
        <w:t>（二）评标的方式</w:t>
      </w:r>
    </w:p>
    <w:p>
      <w:pPr>
        <w:pStyle w:val="12"/>
        <w:keepNext w:val="0"/>
        <w:keepLines w:val="0"/>
        <w:pageBreakBefore w:val="0"/>
        <w:widowControl w:val="0"/>
        <w:kinsoku/>
        <w:wordWrap/>
        <w:overflowPunct/>
        <w:topLinePunct w:val="0"/>
        <w:autoSpaceDE/>
        <w:autoSpaceDN/>
        <w:bidi w:val="0"/>
        <w:adjustRightInd/>
        <w:snapToGrid w:val="0"/>
        <w:spacing w:line="360" w:lineRule="auto"/>
        <w:ind w:left="688" w:leftChars="228" w:hanging="210" w:hangingChars="10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21.2本项目采用不公开方式评标，评标的依据为竞争性磋商采购文件和竞争性磋商响应文件。</w:t>
      </w:r>
    </w:p>
    <w:p>
      <w:pPr>
        <w:pStyle w:val="12"/>
        <w:keepNext w:val="0"/>
        <w:keepLines w:val="0"/>
        <w:pageBreakBefore w:val="0"/>
        <w:widowControl w:val="0"/>
        <w:kinsoku/>
        <w:wordWrap/>
        <w:overflowPunct/>
        <w:topLinePunct w:val="0"/>
        <w:autoSpaceDE/>
        <w:autoSpaceDN/>
        <w:bidi w:val="0"/>
        <w:adjustRightInd/>
        <w:snapToGrid w:val="0"/>
        <w:spacing w:line="360" w:lineRule="auto"/>
        <w:ind w:left="688" w:leftChars="228" w:hanging="210" w:hangingChars="100"/>
        <w:textAlignment w:val="auto"/>
        <w:outlineLvl w:val="9"/>
        <w:rPr>
          <w:rFonts w:hint="eastAsia" w:ascii="新宋体" w:hAnsi="新宋体" w:eastAsia="新宋体" w:cs="新宋体"/>
          <w:b/>
          <w:bCs/>
          <w:highlight w:val="none"/>
        </w:rPr>
      </w:pPr>
      <w:r>
        <w:rPr>
          <w:rFonts w:hint="eastAsia" w:ascii="新宋体" w:hAnsi="新宋体" w:eastAsia="新宋体" w:cs="新宋体"/>
          <w:b/>
          <w:highlight w:val="none"/>
        </w:rPr>
        <w:t>（三）</w:t>
      </w:r>
      <w:r>
        <w:rPr>
          <w:rFonts w:hint="eastAsia" w:ascii="新宋体" w:hAnsi="新宋体" w:eastAsia="新宋体" w:cs="新宋体"/>
          <w:b/>
          <w:bCs/>
          <w:highlight w:val="none"/>
        </w:rPr>
        <w:t>评标程序</w:t>
      </w:r>
    </w:p>
    <w:p>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outlineLvl w:val="9"/>
        <w:rPr>
          <w:rFonts w:hint="eastAsia" w:ascii="新宋体" w:hAnsi="新宋体" w:eastAsia="新宋体" w:cs="新宋体"/>
          <w:b/>
          <w:bCs/>
          <w:szCs w:val="21"/>
          <w:highlight w:val="none"/>
        </w:rPr>
      </w:pPr>
      <w:r>
        <w:rPr>
          <w:rFonts w:hint="eastAsia" w:ascii="新宋体" w:hAnsi="新宋体" w:eastAsia="新宋体" w:cs="新宋体"/>
          <w:b/>
          <w:bCs/>
          <w:szCs w:val="21"/>
          <w:highlight w:val="none"/>
        </w:rPr>
        <w:t>21.3资格审查</w:t>
      </w:r>
    </w:p>
    <w:p>
      <w:pPr>
        <w:keepNext w:val="0"/>
        <w:keepLines w:val="0"/>
        <w:pageBreakBefore w:val="0"/>
        <w:widowControl w:val="0"/>
        <w:kinsoku/>
        <w:wordWrap/>
        <w:overflowPunct/>
        <w:topLinePunct w:val="0"/>
        <w:autoSpaceDE/>
        <w:autoSpaceDN/>
        <w:bidi w:val="0"/>
        <w:adjustRightInd/>
        <w:snapToGrid w:val="0"/>
        <w:spacing w:line="360" w:lineRule="auto"/>
        <w:ind w:right="-336" w:rightChars="-160" w:firstLine="420" w:firstLineChars="200"/>
        <w:textAlignment w:val="auto"/>
        <w:outlineLvl w:val="9"/>
        <w:rPr>
          <w:rFonts w:hint="eastAsia" w:ascii="新宋体" w:hAnsi="新宋体" w:eastAsia="新宋体" w:cs="新宋体"/>
          <w:b/>
          <w:spacing w:val="-2"/>
          <w:szCs w:val="21"/>
          <w:highlight w:val="none"/>
        </w:rPr>
      </w:pPr>
      <w:r>
        <w:rPr>
          <w:rFonts w:hint="eastAsia" w:ascii="新宋体" w:hAnsi="新宋体" w:eastAsia="新宋体" w:cs="新宋体"/>
          <w:szCs w:val="21"/>
          <w:highlight w:val="none"/>
        </w:rPr>
        <w:t>磋商小组依法对供应商的资格进行审查</w:t>
      </w:r>
      <w:r>
        <w:rPr>
          <w:rFonts w:hint="eastAsia" w:ascii="新宋体" w:hAnsi="新宋体" w:eastAsia="新宋体" w:cs="新宋体"/>
          <w:spacing w:val="-2"/>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outlineLvl w:val="9"/>
        <w:rPr>
          <w:rFonts w:hint="eastAsia" w:ascii="新宋体" w:hAnsi="新宋体" w:eastAsia="新宋体" w:cs="新宋体"/>
          <w:b/>
          <w:bCs/>
          <w:szCs w:val="21"/>
          <w:highlight w:val="none"/>
        </w:rPr>
      </w:pPr>
      <w:r>
        <w:rPr>
          <w:rFonts w:hint="eastAsia" w:ascii="新宋体" w:hAnsi="新宋体" w:eastAsia="新宋体" w:cs="新宋体"/>
          <w:b/>
          <w:bCs/>
          <w:szCs w:val="21"/>
          <w:highlight w:val="none"/>
        </w:rPr>
        <w:t>21.4第一轮磋商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（1）磋商小组按已确定的磋商顺序，与单一供应商分别就符合采购需求、质量和服务等进行磋商，并了解其报价组成情况。</w:t>
      </w:r>
    </w:p>
    <w:p>
      <w:pPr>
        <w:keepNext w:val="0"/>
        <w:keepLines w:val="0"/>
        <w:pageBreakBefore w:val="0"/>
        <w:widowControl w:val="0"/>
        <w:kinsoku/>
        <w:wordWrap/>
        <w:overflowPunct/>
        <w:topLinePunct w:val="0"/>
        <w:autoSpaceDE/>
        <w:autoSpaceDN/>
        <w:bidi w:val="0"/>
        <w:adjustRightInd/>
        <w:spacing w:line="360" w:lineRule="auto"/>
        <w:ind w:firstLine="315" w:firstLineChars="150"/>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 xml:space="preserve"> （2）磋商中，磋商的任何一方不得透露与磋商有关的其它供应商的技术资料、价格和其它信息。</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（3）采购代理机构对磋商过程和重要磋商内容进行记录，磋商双方在记录上签字确认。</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（4）磋商小组一致确定供应商符合磋商文件要求的，按磋商文件设定的方法和标准确定成交候选人。第一轮磋商后磋商小组未能确定成交候选人的，对磋商文件修正后进行第二轮磋商。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b/>
          <w:szCs w:val="21"/>
          <w:highlight w:val="none"/>
        </w:rPr>
      </w:pPr>
      <w:r>
        <w:rPr>
          <w:rFonts w:hint="eastAsia" w:ascii="新宋体" w:hAnsi="新宋体" w:eastAsia="新宋体" w:cs="新宋体"/>
          <w:b/>
          <w:szCs w:val="21"/>
          <w:highlight w:val="none"/>
        </w:rPr>
        <w:t>21.5磋商文件修正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（1）第一轮磋商结束后，各供应商退场等候，磋商小组进行合议。根据第一轮磋商掌握的情况，可以对磋商文件进行修改，确定采购内容的详细规格或具体要求，优化采购方案。</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（2）采购代理机构通知供应商集中，磋商小组强调调整后的采购要求，将磋商文件的修改结果以书面形式通知供应商，向供应商提供较充分的修正时间。</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（3）供应商根据第一轮磋商情况和磋商文件修改书面通知，对原响应文件进行修正，并将修正文件签字（盖章）后密封送交磋商小组。逾时不交的，视同放弃磋商。修正文件与响应文件同具法律效力。</w:t>
      </w:r>
    </w:p>
    <w:p>
      <w:pPr>
        <w:keepNext w:val="0"/>
        <w:keepLines w:val="0"/>
        <w:pageBreakBefore w:val="0"/>
        <w:widowControl w:val="0"/>
        <w:kinsoku/>
        <w:wordWrap/>
        <w:overflowPunct/>
        <w:topLinePunct w:val="0"/>
        <w:autoSpaceDE/>
        <w:autoSpaceDN/>
        <w:bidi w:val="0"/>
        <w:adjustRightInd/>
        <w:spacing w:line="360" w:lineRule="auto"/>
        <w:ind w:firstLine="304" w:firstLineChars="145"/>
        <w:textAlignment w:val="auto"/>
        <w:outlineLvl w:val="9"/>
        <w:rPr>
          <w:rFonts w:hint="eastAsia" w:ascii="新宋体" w:hAnsi="新宋体" w:eastAsia="新宋体" w:cs="新宋体"/>
          <w:b/>
          <w:szCs w:val="21"/>
          <w:highlight w:val="none"/>
        </w:rPr>
      </w:pPr>
      <w:r>
        <w:rPr>
          <w:rFonts w:hint="eastAsia" w:ascii="新宋体" w:hAnsi="新宋体" w:eastAsia="新宋体" w:cs="新宋体"/>
          <w:b/>
          <w:szCs w:val="21"/>
          <w:highlight w:val="none"/>
        </w:rPr>
        <w:t>21.6 第二轮磋商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磋商小组就修正后的响应文件与供应商分别进行磋商。采购代理机构对磋商过程和重要磋商内容进行记录，磋商双方在记录上签字确认。磋商小组按磋商文件设定的方法和标准确定成交候选人。</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第二轮磋商磋商小组未能确定成交候选人的，对磋商文件修正后进行第三轮磋商。以此类推。</w:t>
      </w:r>
    </w:p>
    <w:p>
      <w:pPr>
        <w:keepNext w:val="0"/>
        <w:keepLines w:val="0"/>
        <w:pageBreakBefore w:val="0"/>
        <w:widowControl w:val="0"/>
        <w:kinsoku/>
        <w:wordWrap/>
        <w:overflowPunct/>
        <w:topLinePunct w:val="0"/>
        <w:autoSpaceDE/>
        <w:autoSpaceDN/>
        <w:bidi w:val="0"/>
        <w:adjustRightInd/>
        <w:spacing w:line="360" w:lineRule="auto"/>
        <w:ind w:firstLine="308" w:firstLineChars="147"/>
        <w:textAlignment w:val="auto"/>
        <w:outlineLvl w:val="9"/>
        <w:rPr>
          <w:rFonts w:hint="eastAsia" w:ascii="新宋体" w:hAnsi="新宋体" w:eastAsia="新宋体" w:cs="新宋体"/>
          <w:b/>
          <w:szCs w:val="21"/>
          <w:highlight w:val="none"/>
        </w:rPr>
      </w:pPr>
      <w:r>
        <w:rPr>
          <w:rFonts w:hint="eastAsia" w:ascii="新宋体" w:hAnsi="新宋体" w:eastAsia="新宋体" w:cs="新宋体"/>
          <w:b/>
          <w:szCs w:val="21"/>
          <w:highlight w:val="none"/>
        </w:rPr>
        <w:t>21.7 最后报价</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 xml:space="preserve">    成交候选人作最后报价，密封递交磋商小组。磋商小组按最后综合评分从高到低排序。推荐成交候选人顺序，形成磋商报告。</w:t>
      </w:r>
    </w:p>
    <w:p>
      <w:pPr>
        <w:keepNext w:val="0"/>
        <w:keepLines w:val="0"/>
        <w:pageBreakBefore w:val="0"/>
        <w:widowControl w:val="0"/>
        <w:kinsoku/>
        <w:wordWrap/>
        <w:overflowPunct/>
        <w:topLinePunct w:val="0"/>
        <w:autoSpaceDE/>
        <w:autoSpaceDN/>
        <w:bidi w:val="0"/>
        <w:adjustRightInd/>
        <w:spacing w:line="360" w:lineRule="auto"/>
        <w:ind w:firstLine="315" w:firstLineChars="150"/>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供应商的报价均超过了政府采购预算，采购人不能支付的，磋商活动终止；终止后，采购人需要采取调整采购预算或项目配置标准等，或采取其它采购方式的，应当在采购活动开始前获得财政部门批准。</w:t>
      </w:r>
    </w:p>
    <w:p>
      <w:pPr>
        <w:keepNext w:val="0"/>
        <w:keepLines w:val="0"/>
        <w:pageBreakBefore w:val="0"/>
        <w:widowControl w:val="0"/>
        <w:kinsoku/>
        <w:wordWrap/>
        <w:overflowPunct/>
        <w:topLinePunct w:val="0"/>
        <w:autoSpaceDE/>
        <w:autoSpaceDN/>
        <w:bidi w:val="0"/>
        <w:adjustRightInd/>
        <w:spacing w:line="360" w:lineRule="auto"/>
        <w:ind w:firstLine="419" w:firstLineChars="196"/>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21.8．响应文件有下列情况之一者将视为磋商无效：</w:t>
      </w:r>
    </w:p>
    <w:p>
      <w:pPr>
        <w:keepNext w:val="0"/>
        <w:keepLines w:val="0"/>
        <w:pageBreakBefore w:val="0"/>
        <w:widowControl w:val="0"/>
        <w:kinsoku/>
        <w:wordWrap/>
        <w:overflowPunct/>
        <w:topLinePunct w:val="0"/>
        <w:autoSpaceDE/>
        <w:autoSpaceDN/>
        <w:bidi w:val="0"/>
        <w:adjustRightInd/>
        <w:spacing w:line="360" w:lineRule="auto"/>
        <w:ind w:firstLine="428" w:firstLineChars="20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（1）无磋商函；</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（2）无磋商函附录；</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（3）无磋商保证金（缴纳证明复印件）；</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（4）无企业营业执照副本（反映年检情况）；</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w:t>
      </w:r>
      <w:r>
        <w:rPr>
          <w:rFonts w:hint="eastAsia" w:ascii="新宋体" w:hAnsi="新宋体" w:eastAsia="新宋体" w:cs="新宋体"/>
          <w:spacing w:val="2"/>
          <w:highlight w:val="none"/>
          <w:lang w:val="en-US" w:eastAsia="zh-CN"/>
        </w:rPr>
        <w:t>5</w:t>
      </w:r>
      <w:r>
        <w:rPr>
          <w:rFonts w:hint="eastAsia" w:ascii="新宋体" w:hAnsi="新宋体" w:eastAsia="新宋体" w:cs="新宋体"/>
          <w:spacing w:val="2"/>
          <w:highlight w:val="none"/>
        </w:rPr>
        <w:t>）无法定代表人资格证明书（附法定代表人证书或组织机构代码证书和法定代表人身份证的复印件）；</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w:t>
      </w:r>
      <w:r>
        <w:rPr>
          <w:rFonts w:hint="eastAsia" w:ascii="新宋体" w:hAnsi="新宋体" w:eastAsia="新宋体" w:cs="新宋体"/>
          <w:spacing w:val="2"/>
          <w:highlight w:val="none"/>
          <w:lang w:val="en-US" w:eastAsia="zh-CN"/>
        </w:rPr>
        <w:t>6</w:t>
      </w:r>
      <w:r>
        <w:rPr>
          <w:rFonts w:hint="eastAsia" w:ascii="新宋体" w:hAnsi="新宋体" w:eastAsia="新宋体" w:cs="新宋体"/>
          <w:spacing w:val="2"/>
          <w:highlight w:val="none"/>
        </w:rPr>
        <w:t>）无法人授权委托书原件或委托代理人身份证复印件（委托代理时必须提供，否则磋商无效）；</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w:t>
      </w:r>
      <w:r>
        <w:rPr>
          <w:rFonts w:hint="eastAsia" w:ascii="新宋体" w:hAnsi="新宋体" w:eastAsia="新宋体" w:cs="新宋体"/>
          <w:spacing w:val="2"/>
          <w:highlight w:val="none"/>
          <w:lang w:val="en-US" w:eastAsia="zh-CN"/>
        </w:rPr>
        <w:t>7</w:t>
      </w:r>
      <w:r>
        <w:rPr>
          <w:rFonts w:hint="eastAsia" w:ascii="新宋体" w:hAnsi="新宋体" w:eastAsia="新宋体" w:cs="新宋体"/>
          <w:spacing w:val="2"/>
          <w:highlight w:val="none"/>
        </w:rPr>
        <w:t>）工程量清单报价不齐全；</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w:t>
      </w:r>
      <w:r>
        <w:rPr>
          <w:rFonts w:hint="eastAsia" w:ascii="新宋体" w:hAnsi="新宋体" w:eastAsia="新宋体" w:cs="新宋体"/>
          <w:spacing w:val="2"/>
          <w:highlight w:val="none"/>
          <w:lang w:val="en-US" w:eastAsia="zh-CN"/>
        </w:rPr>
        <w:t>8</w:t>
      </w:r>
      <w:r>
        <w:rPr>
          <w:rFonts w:hint="eastAsia" w:ascii="新宋体" w:hAnsi="新宋体" w:eastAsia="新宋体" w:cs="新宋体"/>
          <w:spacing w:val="2"/>
          <w:highlight w:val="none"/>
        </w:rPr>
        <w:t>）供应商资质不满足前附表要求；</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w:t>
      </w:r>
      <w:r>
        <w:rPr>
          <w:rFonts w:hint="eastAsia" w:ascii="新宋体" w:hAnsi="新宋体" w:eastAsia="新宋体" w:cs="新宋体"/>
          <w:spacing w:val="2"/>
          <w:highlight w:val="none"/>
          <w:lang w:val="en-US" w:eastAsia="zh-CN"/>
        </w:rPr>
        <w:t>9</w:t>
      </w:r>
      <w:r>
        <w:rPr>
          <w:rFonts w:hint="eastAsia" w:ascii="新宋体" w:hAnsi="新宋体" w:eastAsia="新宋体" w:cs="新宋体"/>
          <w:spacing w:val="2"/>
          <w:highlight w:val="none"/>
        </w:rPr>
        <w:t>）响应文件未按规定密封；</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w:t>
      </w:r>
      <w:r>
        <w:rPr>
          <w:rFonts w:hint="eastAsia" w:ascii="新宋体" w:hAnsi="新宋体" w:eastAsia="新宋体" w:cs="新宋体"/>
          <w:spacing w:val="2"/>
          <w:highlight w:val="none"/>
          <w:lang w:val="en-US" w:eastAsia="zh-CN"/>
        </w:rPr>
        <w:t>0</w:t>
      </w:r>
      <w:r>
        <w:rPr>
          <w:rFonts w:hint="eastAsia" w:ascii="新宋体" w:hAnsi="新宋体" w:eastAsia="新宋体" w:cs="新宋体"/>
          <w:spacing w:val="2"/>
          <w:highlight w:val="none"/>
        </w:rPr>
        <w:t>）磋商单位法定代表人或其委托代理人未签字；</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w:t>
      </w:r>
      <w:r>
        <w:rPr>
          <w:rFonts w:hint="eastAsia" w:ascii="新宋体" w:hAnsi="新宋体" w:eastAsia="新宋体" w:cs="新宋体"/>
          <w:spacing w:val="2"/>
          <w:highlight w:val="none"/>
          <w:lang w:val="en-US" w:eastAsia="zh-CN"/>
        </w:rPr>
        <w:t>1</w:t>
      </w:r>
      <w:r>
        <w:rPr>
          <w:rFonts w:hint="eastAsia" w:ascii="新宋体" w:hAnsi="新宋体" w:eastAsia="新宋体" w:cs="新宋体"/>
          <w:spacing w:val="2"/>
          <w:highlight w:val="none"/>
        </w:rPr>
        <w:t>）磋商单位未按规定加盖单位公章；</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w:t>
      </w:r>
      <w:r>
        <w:rPr>
          <w:rFonts w:hint="eastAsia" w:ascii="新宋体" w:hAnsi="新宋体" w:eastAsia="新宋体" w:cs="新宋体"/>
          <w:spacing w:val="2"/>
          <w:highlight w:val="none"/>
          <w:lang w:val="en-US" w:eastAsia="zh-CN"/>
        </w:rPr>
        <w:t>2</w:t>
      </w:r>
      <w:r>
        <w:rPr>
          <w:rFonts w:hint="eastAsia" w:ascii="新宋体" w:hAnsi="新宋体" w:eastAsia="新宋体" w:cs="新宋体"/>
          <w:spacing w:val="2"/>
          <w:highlight w:val="none"/>
        </w:rPr>
        <w:t>）未按规定的格式填写或者字迹模糊、辨认不清；</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w:t>
      </w:r>
      <w:r>
        <w:rPr>
          <w:rFonts w:hint="eastAsia" w:ascii="新宋体" w:hAnsi="新宋体" w:eastAsia="新宋体" w:cs="新宋体"/>
          <w:spacing w:val="2"/>
          <w:highlight w:val="none"/>
          <w:lang w:val="en-US" w:eastAsia="zh-CN"/>
        </w:rPr>
        <w:t>3</w:t>
      </w:r>
      <w:r>
        <w:rPr>
          <w:rFonts w:hint="eastAsia" w:ascii="新宋体" w:hAnsi="新宋体" w:eastAsia="新宋体" w:cs="新宋体"/>
          <w:spacing w:val="2"/>
          <w:highlight w:val="none"/>
        </w:rPr>
        <w:t>）响应文件份数不符合采购文件要求或不标明正、副本的；</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w:t>
      </w:r>
      <w:r>
        <w:rPr>
          <w:rFonts w:hint="eastAsia" w:ascii="新宋体" w:hAnsi="新宋体" w:eastAsia="新宋体" w:cs="新宋体"/>
          <w:spacing w:val="2"/>
          <w:highlight w:val="none"/>
          <w:lang w:val="en-US" w:eastAsia="zh-CN"/>
        </w:rPr>
        <w:t>4</w:t>
      </w:r>
      <w:r>
        <w:rPr>
          <w:rFonts w:hint="eastAsia" w:ascii="新宋体" w:hAnsi="新宋体" w:eastAsia="新宋体" w:cs="新宋体"/>
          <w:spacing w:val="2"/>
          <w:highlight w:val="none"/>
        </w:rPr>
        <w:t>）供应商未按竞争性磋商采购文件的规定递交独门保证金的；</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w:t>
      </w:r>
      <w:r>
        <w:rPr>
          <w:rFonts w:hint="eastAsia" w:ascii="新宋体" w:hAnsi="新宋体" w:eastAsia="新宋体" w:cs="新宋体"/>
          <w:spacing w:val="2"/>
          <w:highlight w:val="none"/>
          <w:lang w:val="en-US" w:eastAsia="zh-CN"/>
        </w:rPr>
        <w:t>5</w:t>
      </w:r>
      <w:r>
        <w:rPr>
          <w:rFonts w:hint="eastAsia" w:ascii="新宋体" w:hAnsi="新宋体" w:eastAsia="新宋体" w:cs="新宋体"/>
          <w:spacing w:val="2"/>
          <w:highlight w:val="none"/>
        </w:rPr>
        <w:t>）递交响应文件截止时间以后送达的响应文件；</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w:t>
      </w:r>
      <w:r>
        <w:rPr>
          <w:rFonts w:hint="eastAsia" w:ascii="新宋体" w:hAnsi="新宋体" w:eastAsia="新宋体" w:cs="新宋体"/>
          <w:spacing w:val="2"/>
          <w:highlight w:val="none"/>
          <w:lang w:val="en-US" w:eastAsia="zh-CN"/>
        </w:rPr>
        <w:t>6</w:t>
      </w:r>
      <w:r>
        <w:rPr>
          <w:rFonts w:hint="eastAsia" w:ascii="新宋体" w:hAnsi="新宋体" w:eastAsia="新宋体" w:cs="新宋体"/>
          <w:spacing w:val="2"/>
          <w:highlight w:val="none"/>
        </w:rPr>
        <w:t>）响应文件内容不真实；</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w:t>
      </w:r>
      <w:r>
        <w:rPr>
          <w:rFonts w:hint="eastAsia" w:ascii="新宋体" w:hAnsi="新宋体" w:eastAsia="新宋体" w:cs="新宋体"/>
          <w:spacing w:val="2"/>
          <w:highlight w:val="none"/>
          <w:lang w:val="en-US" w:eastAsia="zh-CN"/>
        </w:rPr>
        <w:t>17</w:t>
      </w:r>
      <w:r>
        <w:rPr>
          <w:rFonts w:hint="eastAsia" w:ascii="新宋体" w:hAnsi="新宋体" w:eastAsia="新宋体" w:cs="新宋体"/>
          <w:spacing w:val="2"/>
          <w:highlight w:val="none"/>
        </w:rPr>
        <w:t>）磋商报价高于采购预算价的；</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w:t>
      </w:r>
      <w:r>
        <w:rPr>
          <w:rFonts w:hint="eastAsia" w:ascii="新宋体" w:hAnsi="新宋体" w:eastAsia="新宋体" w:cs="新宋体"/>
          <w:spacing w:val="2"/>
          <w:highlight w:val="none"/>
          <w:lang w:val="en-US" w:eastAsia="zh-CN"/>
        </w:rPr>
        <w:t>18</w:t>
      </w:r>
      <w:r>
        <w:rPr>
          <w:rFonts w:hint="eastAsia" w:ascii="新宋体" w:hAnsi="新宋体" w:eastAsia="新宋体" w:cs="新宋体"/>
          <w:spacing w:val="2"/>
          <w:highlight w:val="none"/>
        </w:rPr>
        <w:t>）在“磋商书附录”中,供应商未对采购文件有关工期、磋商有效期、质量要求、技术条款、磋商范围等实质性内容做出响应的。</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w:t>
      </w:r>
      <w:r>
        <w:rPr>
          <w:rFonts w:hint="eastAsia" w:ascii="新宋体" w:hAnsi="新宋体" w:eastAsia="新宋体" w:cs="新宋体"/>
          <w:spacing w:val="2"/>
          <w:highlight w:val="none"/>
          <w:lang w:val="en-US" w:eastAsia="zh-CN"/>
        </w:rPr>
        <w:t>19</w:t>
      </w:r>
      <w:r>
        <w:rPr>
          <w:rFonts w:hint="eastAsia" w:ascii="新宋体" w:hAnsi="新宋体" w:eastAsia="新宋体" w:cs="新宋体"/>
          <w:spacing w:val="2"/>
          <w:highlight w:val="none"/>
        </w:rPr>
        <w:t>）响应文件没有实质响应竞争性磋商采购文件的。</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21. 9有下列情形之一的视为供应商相互串通投标，响应文件将被视为无效：</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（1）不同供应商的</w:t>
      </w:r>
      <w:r>
        <w:rPr>
          <w:rFonts w:hint="eastAsia" w:ascii="新宋体" w:hAnsi="新宋体" w:eastAsia="新宋体" w:cs="新宋体"/>
          <w:spacing w:val="2"/>
          <w:highlight w:val="none"/>
          <w:lang w:eastAsia="zh-CN"/>
        </w:rPr>
        <w:t>响应文件</w:t>
      </w:r>
      <w:r>
        <w:rPr>
          <w:rFonts w:hint="eastAsia" w:ascii="新宋体" w:hAnsi="新宋体" w:eastAsia="新宋体" w:cs="新宋体"/>
          <w:spacing w:val="2"/>
          <w:highlight w:val="none"/>
        </w:rPr>
        <w:t>由同一单位或者个人编制；</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（2）不同供应商委托同一单位或者个人办理投标事宜;</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（3）不同的供应商的</w:t>
      </w:r>
      <w:r>
        <w:rPr>
          <w:rFonts w:hint="eastAsia" w:ascii="新宋体" w:hAnsi="新宋体" w:eastAsia="新宋体" w:cs="新宋体"/>
          <w:spacing w:val="2"/>
          <w:highlight w:val="none"/>
          <w:lang w:eastAsia="zh-CN"/>
        </w:rPr>
        <w:t>响应文件</w:t>
      </w:r>
      <w:r>
        <w:rPr>
          <w:rFonts w:hint="eastAsia" w:ascii="新宋体" w:hAnsi="新宋体" w:eastAsia="新宋体" w:cs="新宋体"/>
          <w:spacing w:val="2"/>
          <w:highlight w:val="none"/>
        </w:rPr>
        <w:t>载明的项目管理员为同一个人;</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（4）不同供应商的</w:t>
      </w:r>
      <w:r>
        <w:rPr>
          <w:rFonts w:hint="eastAsia" w:ascii="新宋体" w:hAnsi="新宋体" w:eastAsia="新宋体" w:cs="新宋体"/>
          <w:spacing w:val="2"/>
          <w:highlight w:val="none"/>
          <w:lang w:eastAsia="zh-CN"/>
        </w:rPr>
        <w:t>响应文件</w:t>
      </w:r>
      <w:r>
        <w:rPr>
          <w:rFonts w:hint="eastAsia" w:ascii="新宋体" w:hAnsi="新宋体" w:eastAsia="新宋体" w:cs="新宋体"/>
          <w:spacing w:val="2"/>
          <w:highlight w:val="none"/>
        </w:rPr>
        <w:t>异常一致或投标报价呈规律性差异;</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（5）不同供应商的</w:t>
      </w:r>
      <w:r>
        <w:rPr>
          <w:rFonts w:hint="eastAsia" w:ascii="新宋体" w:hAnsi="新宋体" w:eastAsia="新宋体" w:cs="新宋体"/>
          <w:spacing w:val="2"/>
          <w:highlight w:val="none"/>
          <w:lang w:eastAsia="zh-CN"/>
        </w:rPr>
        <w:t>响应文件</w:t>
      </w:r>
      <w:r>
        <w:rPr>
          <w:rFonts w:hint="eastAsia" w:ascii="新宋体" w:hAnsi="新宋体" w:eastAsia="新宋体" w:cs="新宋体"/>
          <w:spacing w:val="2"/>
          <w:highlight w:val="none"/>
        </w:rPr>
        <w:t>相互混装;</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pacing w:val="2"/>
          <w:highlight w:val="none"/>
        </w:rPr>
        <w:t>（6）不同供应商的磋商保证金从同一单位或者个人账户转出。</w:t>
      </w:r>
    </w:p>
    <w:p>
      <w:pPr>
        <w:keepNext w:val="0"/>
        <w:keepLines w:val="0"/>
        <w:pageBreakBefore w:val="0"/>
        <w:widowControl w:val="0"/>
        <w:kinsoku/>
        <w:wordWrap/>
        <w:overflowPunct/>
        <w:topLinePunct w:val="0"/>
        <w:autoSpaceDE/>
        <w:autoSpaceDN/>
        <w:bidi w:val="0"/>
        <w:adjustRightInd/>
        <w:spacing w:line="360" w:lineRule="auto"/>
        <w:ind w:firstLine="419" w:firstLineChars="196"/>
        <w:textAlignment w:val="auto"/>
        <w:outlineLvl w:val="9"/>
        <w:rPr>
          <w:rFonts w:hint="eastAsia" w:ascii="新宋体" w:hAnsi="新宋体" w:eastAsia="新宋体" w:cs="新宋体"/>
          <w:szCs w:val="21"/>
          <w:highlight w:val="none"/>
        </w:rPr>
      </w:pPr>
      <w:r>
        <w:rPr>
          <w:rFonts w:hint="eastAsia" w:ascii="新宋体" w:hAnsi="新宋体" w:eastAsia="新宋体" w:cs="新宋体"/>
          <w:spacing w:val="2"/>
          <w:highlight w:val="none"/>
        </w:rPr>
        <w:t>21.10</w:t>
      </w:r>
      <w:r>
        <w:rPr>
          <w:rFonts w:hint="eastAsia" w:ascii="新宋体" w:hAnsi="新宋体" w:eastAsia="新宋体" w:cs="新宋体"/>
          <w:szCs w:val="21"/>
          <w:highlight w:val="none"/>
        </w:rPr>
        <w:t>供应商存在下列情况之一的，磋商无效:</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　　（1）未按照竞争性磋商采购文件的规定提交磋商保证金的；</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　　（2）响应文件未按竞争性磋商采购文件要求签署、盖章的；</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　　（3）不具备竞争性磋商采购文件中规定的资格要求的；</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szCs w:val="21"/>
          <w:highlight w:val="none"/>
        </w:rPr>
      </w:pPr>
      <w:r>
        <w:rPr>
          <w:rFonts w:hint="eastAsia" w:ascii="新宋体" w:hAnsi="新宋体" w:eastAsia="新宋体" w:cs="新宋体"/>
          <w:szCs w:val="21"/>
          <w:highlight w:val="none"/>
        </w:rPr>
        <w:t>　　（4）报价超过竞争性磋商采购文件中规定的预算金额或者最高限价的；</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szCs w:val="21"/>
          <w:highlight w:val="none"/>
          <w:lang w:eastAsia="zh-CN"/>
        </w:rPr>
      </w:pPr>
      <w:r>
        <w:rPr>
          <w:rFonts w:hint="eastAsia" w:ascii="新宋体" w:hAnsi="新宋体" w:eastAsia="新宋体" w:cs="新宋体"/>
          <w:szCs w:val="21"/>
          <w:highlight w:val="none"/>
        </w:rPr>
        <w:t>　　（5）响应文件含有采购人不能接受的附加条件的</w:t>
      </w:r>
      <w:r>
        <w:rPr>
          <w:rFonts w:hint="eastAsia" w:ascii="新宋体" w:hAnsi="新宋体" w:eastAsia="新宋体" w:cs="新宋体"/>
          <w:szCs w:val="21"/>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420"/>
        <w:textAlignment w:val="auto"/>
        <w:outlineLvl w:val="9"/>
        <w:rPr>
          <w:rFonts w:hint="eastAsia" w:ascii="新宋体" w:hAnsi="新宋体" w:eastAsia="新宋体" w:cs="新宋体"/>
          <w:spacing w:val="2"/>
          <w:highlight w:val="none"/>
        </w:rPr>
      </w:pPr>
      <w:r>
        <w:rPr>
          <w:rFonts w:hint="eastAsia" w:ascii="新宋体" w:hAnsi="新宋体" w:eastAsia="新宋体" w:cs="新宋体"/>
          <w:szCs w:val="21"/>
          <w:highlight w:val="none"/>
        </w:rPr>
        <w:t>（6）法律、法规和竞争性磋商采购文件规定的其他无效情形。</w:t>
      </w:r>
    </w:p>
    <w:p>
      <w:pPr>
        <w:keepNext w:val="0"/>
        <w:keepLines w:val="0"/>
        <w:pageBreakBefore w:val="0"/>
        <w:widowControl w:val="0"/>
        <w:kinsoku/>
        <w:wordWrap/>
        <w:overflowPunct/>
        <w:topLinePunct w:val="0"/>
        <w:autoSpaceDE/>
        <w:autoSpaceDN/>
        <w:bidi w:val="0"/>
        <w:adjustRightInd/>
        <w:spacing w:before="120" w:after="120" w:line="360" w:lineRule="auto"/>
        <w:jc w:val="center"/>
        <w:textAlignment w:val="auto"/>
        <w:outlineLvl w:val="9"/>
        <w:rPr>
          <w:rFonts w:hint="eastAsia" w:ascii="新宋体" w:hAnsi="新宋体" w:eastAsia="新宋体" w:cs="新宋体"/>
          <w:kern w:val="4"/>
          <w:highlight w:val="none"/>
        </w:rPr>
      </w:pPr>
      <w:bookmarkStart w:id="41" w:name="_Toc301942510"/>
      <w:r>
        <w:rPr>
          <w:rFonts w:hint="eastAsia" w:ascii="新宋体" w:hAnsi="新宋体" w:eastAsia="新宋体" w:cs="新宋体"/>
          <w:b/>
          <w:bCs/>
          <w:kern w:val="4"/>
          <w:sz w:val="32"/>
          <w:szCs w:val="32"/>
          <w:highlight w:val="none"/>
        </w:rPr>
        <w:t>八、评标</w:t>
      </w:r>
      <w:bookmarkEnd w:id="41"/>
    </w:p>
    <w:p>
      <w:pPr>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b/>
          <w:bCs/>
          <w:highlight w:val="none"/>
        </w:rPr>
      </w:pPr>
      <w:r>
        <w:rPr>
          <w:rFonts w:hint="eastAsia" w:ascii="新宋体" w:hAnsi="新宋体" w:eastAsia="新宋体" w:cs="新宋体"/>
          <w:b/>
          <w:bCs/>
          <w:highlight w:val="none"/>
        </w:rPr>
        <w:t>22、评标内容的保密</w:t>
      </w:r>
    </w:p>
    <w:p>
      <w:pPr>
        <w:keepNext w:val="0"/>
        <w:keepLines w:val="0"/>
        <w:pageBreakBefore w:val="0"/>
        <w:widowControl w:val="0"/>
        <w:kinsoku/>
        <w:wordWrap/>
        <w:overflowPunct/>
        <w:topLinePunct w:val="0"/>
        <w:autoSpaceDE/>
        <w:autoSpaceDN/>
        <w:bidi w:val="0"/>
        <w:adjustRightInd/>
        <w:spacing w:after="50" w:line="360" w:lineRule="auto"/>
        <w:ind w:firstLine="512" w:firstLineChars="244"/>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22.1开标后，直到宣布授予成交人合同为止，凡属于审查、澄清、评价和比较磋商的有关资料及有关授予合同的信息，都不应向供应商或与评标无关的其他人泄露。</w:t>
      </w:r>
    </w:p>
    <w:p>
      <w:pPr>
        <w:keepNext w:val="0"/>
        <w:keepLines w:val="0"/>
        <w:pageBreakBefore w:val="0"/>
        <w:widowControl w:val="0"/>
        <w:kinsoku/>
        <w:wordWrap/>
        <w:overflowPunct/>
        <w:topLinePunct w:val="0"/>
        <w:autoSpaceDE/>
        <w:autoSpaceDN/>
        <w:bidi w:val="0"/>
        <w:adjustRightInd/>
        <w:spacing w:after="50" w:line="360" w:lineRule="auto"/>
        <w:ind w:firstLine="512" w:firstLineChars="244"/>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22.2 在响应文件的审查、澄清、评价和比较以及授予合同的过程中，供应商对</w:t>
      </w:r>
      <w:r>
        <w:rPr>
          <w:rFonts w:hint="eastAsia" w:ascii="新宋体" w:hAnsi="新宋体" w:eastAsia="新宋体" w:cs="新宋体"/>
          <w:spacing w:val="2"/>
          <w:highlight w:val="none"/>
        </w:rPr>
        <w:t>采购人</w:t>
      </w:r>
      <w:r>
        <w:rPr>
          <w:rFonts w:hint="eastAsia" w:ascii="新宋体" w:hAnsi="新宋体" w:eastAsia="新宋体" w:cs="新宋体"/>
          <w:highlight w:val="none"/>
        </w:rPr>
        <w:t>和磋商小组或评标小组成员施加影响的任何行为，都将导致被取消磋商资格。</w:t>
      </w:r>
    </w:p>
    <w:p>
      <w:pPr>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b/>
          <w:bCs/>
          <w:highlight w:val="none"/>
        </w:rPr>
      </w:pPr>
      <w:r>
        <w:rPr>
          <w:rFonts w:hint="eastAsia" w:ascii="新宋体" w:hAnsi="新宋体" w:eastAsia="新宋体" w:cs="新宋体"/>
          <w:b/>
          <w:bCs/>
          <w:highlight w:val="none"/>
        </w:rPr>
        <w:t>23、响应文件的符合性鉴定</w:t>
      </w:r>
    </w:p>
    <w:p>
      <w:pPr>
        <w:keepNext w:val="0"/>
        <w:keepLines w:val="0"/>
        <w:pageBreakBefore w:val="0"/>
        <w:widowControl w:val="0"/>
        <w:kinsoku/>
        <w:wordWrap/>
        <w:overflowPunct/>
        <w:topLinePunct w:val="0"/>
        <w:autoSpaceDE/>
        <w:autoSpaceDN/>
        <w:bidi w:val="0"/>
        <w:adjustRightInd/>
        <w:spacing w:line="360" w:lineRule="auto"/>
        <w:ind w:firstLine="508" w:firstLineChars="242"/>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23.1 在</w:t>
      </w:r>
      <w:r>
        <w:rPr>
          <w:rFonts w:hint="eastAsia" w:ascii="新宋体" w:hAnsi="新宋体" w:eastAsia="新宋体" w:cs="新宋体"/>
          <w:highlight w:val="none"/>
          <w:lang w:eastAsia="zh-CN"/>
        </w:rPr>
        <w:t>磋商</w:t>
      </w:r>
      <w:r>
        <w:rPr>
          <w:rFonts w:hint="eastAsia" w:ascii="新宋体" w:hAnsi="新宋体" w:eastAsia="新宋体" w:cs="新宋体"/>
          <w:highlight w:val="none"/>
        </w:rPr>
        <w:t>之前，磋商小组将首先审定每份响应文件是否在实质上响应了竞争性磋商采购文件的要求。</w:t>
      </w:r>
    </w:p>
    <w:p>
      <w:pPr>
        <w:keepNext w:val="0"/>
        <w:keepLines w:val="0"/>
        <w:pageBreakBefore w:val="0"/>
        <w:widowControl w:val="0"/>
        <w:kinsoku/>
        <w:wordWrap/>
        <w:overflowPunct/>
        <w:topLinePunct w:val="0"/>
        <w:autoSpaceDE/>
        <w:autoSpaceDN/>
        <w:bidi w:val="0"/>
        <w:adjustRightInd/>
        <w:spacing w:line="360" w:lineRule="auto"/>
        <w:ind w:firstLine="512" w:firstLineChars="244"/>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23.2 就本条款而言，实质上响应要求的响应文件，应该与竞争性磋商采购文件的所规定的工程发包范围、质量标准及运用产生实质性影响；或者对合同中规定的</w:t>
      </w:r>
      <w:r>
        <w:rPr>
          <w:rFonts w:hint="eastAsia" w:ascii="新宋体" w:hAnsi="新宋体" w:eastAsia="新宋体" w:cs="新宋体"/>
          <w:spacing w:val="2"/>
          <w:highlight w:val="none"/>
        </w:rPr>
        <w:t>采购人</w:t>
      </w:r>
      <w:r>
        <w:rPr>
          <w:rFonts w:hint="eastAsia" w:ascii="新宋体" w:hAnsi="新宋体" w:eastAsia="新宋体" w:cs="新宋体"/>
          <w:highlight w:val="none"/>
        </w:rPr>
        <w:t>的权力及供应商的责任造成实质性限制。</w:t>
      </w:r>
    </w:p>
    <w:p>
      <w:pPr>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b/>
          <w:bCs/>
          <w:highlight w:val="none"/>
        </w:rPr>
      </w:pPr>
      <w:r>
        <w:rPr>
          <w:rFonts w:hint="eastAsia" w:ascii="新宋体" w:hAnsi="新宋体" w:eastAsia="新宋体" w:cs="新宋体"/>
          <w:b/>
          <w:bCs/>
          <w:highlight w:val="none"/>
        </w:rPr>
        <w:t>24、响应文件的澄清</w:t>
      </w:r>
    </w:p>
    <w:p>
      <w:pPr>
        <w:keepNext w:val="0"/>
        <w:keepLines w:val="0"/>
        <w:pageBreakBefore w:val="0"/>
        <w:widowControl w:val="0"/>
        <w:kinsoku/>
        <w:wordWrap/>
        <w:overflowPunct/>
        <w:topLinePunct w:val="0"/>
        <w:autoSpaceDE/>
        <w:autoSpaceDN/>
        <w:bidi w:val="0"/>
        <w:adjustRightInd/>
        <w:spacing w:after="50" w:line="360" w:lineRule="auto"/>
        <w:ind w:firstLine="409" w:firstLineChars="195"/>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为了有助于响应文件的审查、评价和比较，磋商小组可以个别地要求供应商澄清其响应文件。有关澄清的要求与答复，应以书面形式进行。</w:t>
      </w:r>
    </w:p>
    <w:p>
      <w:pPr>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b/>
          <w:bCs/>
          <w:highlight w:val="none"/>
        </w:rPr>
      </w:pPr>
      <w:r>
        <w:rPr>
          <w:rFonts w:hint="eastAsia" w:ascii="新宋体" w:hAnsi="新宋体" w:eastAsia="新宋体" w:cs="新宋体"/>
          <w:b/>
          <w:bCs/>
          <w:highlight w:val="none"/>
        </w:rPr>
        <w:t>25、响应文件计算错误的修正</w:t>
      </w:r>
    </w:p>
    <w:p>
      <w:pPr>
        <w:keepNext w:val="0"/>
        <w:keepLines w:val="0"/>
        <w:pageBreakBefore w:val="0"/>
        <w:widowControl w:val="0"/>
        <w:kinsoku/>
        <w:wordWrap/>
        <w:overflowPunct/>
        <w:topLinePunct w:val="0"/>
        <w:autoSpaceDE/>
        <w:autoSpaceDN/>
        <w:bidi w:val="0"/>
        <w:adjustRightInd/>
        <w:spacing w:after="50" w:line="360" w:lineRule="auto"/>
        <w:ind w:firstLine="409" w:firstLineChars="195"/>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25.1磋商小组将对确定为实质上响应要求的</w:t>
      </w:r>
      <w:r>
        <w:rPr>
          <w:rFonts w:hint="eastAsia" w:ascii="新宋体" w:hAnsi="新宋体" w:eastAsia="新宋体" w:cs="新宋体"/>
          <w:bCs/>
          <w:highlight w:val="none"/>
        </w:rPr>
        <w:t>响应</w:t>
      </w:r>
      <w:r>
        <w:rPr>
          <w:rFonts w:hint="eastAsia" w:ascii="新宋体" w:hAnsi="新宋体" w:eastAsia="新宋体" w:cs="新宋体"/>
          <w:highlight w:val="none"/>
        </w:rPr>
        <w:t>文件进行校核，看其是否有计算上或累计上的算术错误，修正错误的原则如下：</w:t>
      </w:r>
    </w:p>
    <w:p>
      <w:pPr>
        <w:keepNext w:val="0"/>
        <w:keepLines w:val="0"/>
        <w:pageBreakBefore w:val="0"/>
        <w:widowControl w:val="0"/>
        <w:kinsoku/>
        <w:wordWrap/>
        <w:overflowPunct/>
        <w:topLinePunct w:val="0"/>
        <w:autoSpaceDE/>
        <w:autoSpaceDN/>
        <w:bidi w:val="0"/>
        <w:adjustRightInd/>
        <w:spacing w:after="50" w:line="360" w:lineRule="auto"/>
        <w:ind w:firstLine="409" w:firstLineChars="195"/>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25.1.1 如果用阿拉伯数字表示的数额与用汉语文字表示的数额（人民币大写）不一致时，以汉语文字数额（人民币大写）为准。</w:t>
      </w:r>
    </w:p>
    <w:p>
      <w:pPr>
        <w:keepNext w:val="0"/>
        <w:keepLines w:val="0"/>
        <w:pageBreakBefore w:val="0"/>
        <w:widowControl w:val="0"/>
        <w:kinsoku/>
        <w:wordWrap/>
        <w:overflowPunct/>
        <w:topLinePunct w:val="0"/>
        <w:autoSpaceDE/>
        <w:autoSpaceDN/>
        <w:bidi w:val="0"/>
        <w:adjustRightInd/>
        <w:spacing w:after="50" w:line="360" w:lineRule="auto"/>
        <w:ind w:firstLine="409" w:firstLineChars="195"/>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25.1.2 当单价与工程量的乘积与合价之间不一致时，以标出的单价为准。除非磋商小组或评标小组认为有明显的小数点错位，此时应以标出的合价为准，并修改单价。</w:t>
      </w:r>
    </w:p>
    <w:p>
      <w:pPr>
        <w:keepNext w:val="0"/>
        <w:keepLines w:val="0"/>
        <w:pageBreakBefore w:val="0"/>
        <w:widowControl w:val="0"/>
        <w:kinsoku/>
        <w:wordWrap/>
        <w:overflowPunct/>
        <w:topLinePunct w:val="0"/>
        <w:autoSpaceDE/>
        <w:autoSpaceDN/>
        <w:bidi w:val="0"/>
        <w:adjustRightInd/>
        <w:spacing w:after="50" w:line="360" w:lineRule="auto"/>
        <w:ind w:firstLine="409" w:firstLineChars="195"/>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25.2 按上述修改错误的方法，调整磋商书中的磋商报价。经供应商确认同意后，调整后的报价对供应商起约束作用。如果供应商不接受修正后的磋商报价则其磋商将被拒绝，视为无效磋商。</w:t>
      </w:r>
    </w:p>
    <w:p>
      <w:pPr>
        <w:keepNext w:val="0"/>
        <w:keepLines w:val="0"/>
        <w:pageBreakBefore w:val="0"/>
        <w:widowControl w:val="0"/>
        <w:kinsoku/>
        <w:wordWrap/>
        <w:overflowPunct/>
        <w:topLinePunct w:val="0"/>
        <w:autoSpaceDE/>
        <w:autoSpaceDN/>
        <w:bidi w:val="0"/>
        <w:adjustRightInd/>
        <w:spacing w:after="50" w:line="360" w:lineRule="auto"/>
        <w:ind w:firstLine="409" w:firstLineChars="195"/>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 xml:space="preserve">25.3 </w:t>
      </w:r>
      <w:r>
        <w:rPr>
          <w:rFonts w:hint="eastAsia" w:ascii="新宋体" w:hAnsi="新宋体" w:eastAsia="新宋体" w:cs="新宋体"/>
          <w:bCs/>
          <w:highlight w:val="none"/>
        </w:rPr>
        <w:t>响应</w:t>
      </w:r>
      <w:r>
        <w:rPr>
          <w:rFonts w:hint="eastAsia" w:ascii="新宋体" w:hAnsi="新宋体" w:eastAsia="新宋体" w:cs="新宋体"/>
          <w:highlight w:val="none"/>
        </w:rPr>
        <w:t>文件正本与响应文件副本不符的以正本为准。</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b/>
          <w:bCs/>
          <w:highlight w:val="none"/>
        </w:rPr>
      </w:pPr>
      <w:r>
        <w:rPr>
          <w:rFonts w:hint="eastAsia" w:ascii="新宋体" w:hAnsi="新宋体" w:eastAsia="新宋体" w:cs="新宋体"/>
          <w:b/>
          <w:bCs/>
          <w:highlight w:val="none"/>
        </w:rPr>
        <w:t>26、响应文件的评价与比较</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bCs/>
          <w:highlight w:val="none"/>
        </w:rPr>
      </w:pPr>
      <w:r>
        <w:rPr>
          <w:rFonts w:hint="eastAsia" w:ascii="新宋体" w:hAnsi="新宋体" w:eastAsia="新宋体" w:cs="新宋体"/>
          <w:bCs/>
          <w:highlight w:val="none"/>
        </w:rPr>
        <w:t>26.1 评标办法：</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bCs/>
          <w:highlight w:val="none"/>
        </w:rPr>
      </w:pPr>
      <w:r>
        <w:rPr>
          <w:rFonts w:hint="eastAsia" w:ascii="新宋体" w:hAnsi="新宋体" w:eastAsia="新宋体" w:cs="新宋体"/>
          <w:bCs/>
          <w:highlight w:val="none"/>
        </w:rPr>
        <w:t>本项目采购</w:t>
      </w:r>
      <w:r>
        <w:rPr>
          <w:rFonts w:hint="eastAsia" w:ascii="新宋体" w:hAnsi="新宋体" w:eastAsia="新宋体" w:cs="新宋体"/>
          <w:highlight w:val="none"/>
        </w:rPr>
        <w:t>详见第</w:t>
      </w:r>
      <w:r>
        <w:rPr>
          <w:rFonts w:hint="eastAsia" w:ascii="新宋体" w:hAnsi="新宋体" w:eastAsia="新宋体" w:cs="新宋体"/>
          <w:bCs/>
          <w:spacing w:val="2"/>
          <w:highlight w:val="none"/>
        </w:rPr>
        <w:t>六章 评标、定标办法</w:t>
      </w:r>
      <w:r>
        <w:rPr>
          <w:rFonts w:hint="eastAsia" w:ascii="新宋体" w:hAnsi="新宋体" w:eastAsia="新宋体" w:cs="新宋体"/>
          <w:bCs/>
          <w:highlight w:val="none"/>
        </w:rPr>
        <w:t>。</w:t>
      </w:r>
    </w:p>
    <w:p>
      <w:pPr>
        <w:keepNext w:val="0"/>
        <w:keepLines w:val="0"/>
        <w:pageBreakBefore w:val="0"/>
        <w:widowControl w:val="0"/>
        <w:kinsoku/>
        <w:wordWrap/>
        <w:overflowPunct/>
        <w:topLinePunct w:val="0"/>
        <w:autoSpaceDE/>
        <w:autoSpaceDN/>
        <w:bidi w:val="0"/>
        <w:adjustRightInd/>
        <w:spacing w:line="360" w:lineRule="auto"/>
        <w:ind w:firstLine="420"/>
        <w:textAlignment w:val="auto"/>
        <w:outlineLvl w:val="9"/>
        <w:rPr>
          <w:rFonts w:hint="eastAsia" w:ascii="新宋体" w:hAnsi="新宋体" w:eastAsia="新宋体" w:cs="新宋体"/>
          <w:bCs/>
          <w:szCs w:val="21"/>
          <w:highlight w:val="none"/>
        </w:rPr>
      </w:pPr>
      <w:r>
        <w:rPr>
          <w:rFonts w:hint="eastAsia" w:ascii="新宋体" w:hAnsi="新宋体" w:eastAsia="新宋体" w:cs="新宋体"/>
          <w:bCs/>
          <w:highlight w:val="none"/>
        </w:rPr>
        <w:t>26.2</w:t>
      </w:r>
      <w:r>
        <w:rPr>
          <w:rFonts w:hint="eastAsia" w:ascii="新宋体" w:hAnsi="新宋体" w:eastAsia="新宋体" w:cs="新宋体"/>
          <w:bCs/>
          <w:szCs w:val="21"/>
          <w:highlight w:val="none"/>
        </w:rPr>
        <w:t>如所有的响应标文件不响应竞争性磋商采购文件，则宣布本次招标失败，由采购代理机构择日重新组织采购。</w:t>
      </w:r>
    </w:p>
    <w:p>
      <w:pPr>
        <w:keepNext w:val="0"/>
        <w:keepLines w:val="0"/>
        <w:pageBreakBefore w:val="0"/>
        <w:widowControl w:val="0"/>
        <w:kinsoku/>
        <w:wordWrap/>
        <w:overflowPunct/>
        <w:topLinePunct w:val="0"/>
        <w:autoSpaceDE/>
        <w:autoSpaceDN/>
        <w:bidi w:val="0"/>
        <w:adjustRightInd/>
        <w:spacing w:before="120" w:after="120" w:line="360" w:lineRule="auto"/>
        <w:jc w:val="center"/>
        <w:textAlignment w:val="auto"/>
        <w:outlineLvl w:val="9"/>
        <w:rPr>
          <w:rFonts w:hint="eastAsia" w:ascii="新宋体" w:hAnsi="新宋体" w:eastAsia="新宋体" w:cs="新宋体"/>
          <w:b/>
          <w:bCs/>
          <w:kern w:val="4"/>
          <w:sz w:val="32"/>
          <w:szCs w:val="32"/>
          <w:highlight w:val="none"/>
        </w:rPr>
      </w:pPr>
      <w:bookmarkStart w:id="42" w:name="_Toc301942511"/>
      <w:r>
        <w:rPr>
          <w:rFonts w:hint="eastAsia" w:ascii="新宋体" w:hAnsi="新宋体" w:eastAsia="新宋体" w:cs="新宋体"/>
          <w:b/>
          <w:bCs/>
          <w:kern w:val="4"/>
          <w:sz w:val="32"/>
          <w:szCs w:val="32"/>
          <w:highlight w:val="none"/>
        </w:rPr>
        <w:t>九、授予合同</w:t>
      </w:r>
      <w:bookmarkEnd w:id="42"/>
    </w:p>
    <w:p>
      <w:pPr>
        <w:pStyle w:val="12"/>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highlight w:val="none"/>
        </w:rPr>
      </w:pPr>
      <w:r>
        <w:rPr>
          <w:rFonts w:hint="eastAsia" w:ascii="新宋体" w:hAnsi="新宋体" w:eastAsia="新宋体" w:cs="新宋体"/>
          <w:b/>
          <w:bCs/>
          <w:highlight w:val="none"/>
        </w:rPr>
        <w:t>27、评标结果公示</w:t>
      </w:r>
    </w:p>
    <w:p>
      <w:pPr>
        <w:pStyle w:val="12"/>
        <w:keepNext w:val="0"/>
        <w:keepLines w:val="0"/>
        <w:pageBreakBefore w:val="0"/>
        <w:widowControl w:val="0"/>
        <w:kinsoku/>
        <w:wordWrap/>
        <w:overflowPunct/>
        <w:topLinePunct w:val="0"/>
        <w:autoSpaceDE/>
        <w:autoSpaceDN/>
        <w:bidi w:val="0"/>
        <w:adjustRightInd/>
        <w:spacing w:line="360" w:lineRule="auto"/>
        <w:ind w:firstLine="42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27.1评标结束后，采购代理机构将在前附表规定的网站上进行公示。</w:t>
      </w:r>
    </w:p>
    <w:p>
      <w:pPr>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b/>
          <w:bCs/>
          <w:highlight w:val="none"/>
        </w:rPr>
      </w:pPr>
      <w:r>
        <w:rPr>
          <w:rFonts w:hint="eastAsia" w:ascii="新宋体" w:hAnsi="新宋体" w:eastAsia="新宋体" w:cs="新宋体"/>
          <w:b/>
          <w:bCs/>
          <w:highlight w:val="none"/>
        </w:rPr>
        <w:t>28、成交通知书</w:t>
      </w:r>
    </w:p>
    <w:p>
      <w:pPr>
        <w:pStyle w:val="12"/>
        <w:keepNext w:val="0"/>
        <w:keepLines w:val="0"/>
        <w:pageBreakBefore w:val="0"/>
        <w:widowControl w:val="0"/>
        <w:kinsoku/>
        <w:wordWrap/>
        <w:overflowPunct/>
        <w:topLinePunct w:val="0"/>
        <w:autoSpaceDE/>
        <w:autoSpaceDN/>
        <w:bidi w:val="0"/>
        <w:adjustRightInd/>
        <w:spacing w:line="360" w:lineRule="auto"/>
        <w:ind w:firstLine="42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28.1采购代理机构将在评标结束后规定期限内将评标结果送采购人，采购人在规定期限内将采购结果报告中推荐的排名第一的成交候选供应商确定为成交供应商。</w:t>
      </w:r>
    </w:p>
    <w:p>
      <w:pPr>
        <w:pStyle w:val="12"/>
        <w:keepNext w:val="0"/>
        <w:keepLines w:val="0"/>
        <w:pageBreakBefore w:val="0"/>
        <w:widowControl w:val="0"/>
        <w:kinsoku/>
        <w:wordWrap/>
        <w:overflowPunct/>
        <w:topLinePunct w:val="0"/>
        <w:autoSpaceDE/>
        <w:autoSpaceDN/>
        <w:bidi w:val="0"/>
        <w:adjustRightInd/>
        <w:spacing w:line="360" w:lineRule="auto"/>
        <w:ind w:firstLine="42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28.2采购代理机构在磋商结果公示的同时向成交供应商发出成交通知书并向未成交的供应商发采购结果通知。</w:t>
      </w:r>
    </w:p>
    <w:p>
      <w:pPr>
        <w:pStyle w:val="12"/>
        <w:keepNext w:val="0"/>
        <w:keepLines w:val="0"/>
        <w:pageBreakBefore w:val="0"/>
        <w:widowControl w:val="0"/>
        <w:kinsoku/>
        <w:wordWrap/>
        <w:overflowPunct/>
        <w:topLinePunct w:val="0"/>
        <w:autoSpaceDE/>
        <w:autoSpaceDN/>
        <w:bidi w:val="0"/>
        <w:adjustRightInd/>
        <w:spacing w:line="360" w:lineRule="auto"/>
        <w:ind w:firstLine="42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28.3供应商如对成交结果有异议,可以在成交结果公告发布后七个工作日内以书面形式向本采购代理机构提出质疑, 本采购代理机构将在收到供应商的书面质疑后七个工作日内做出答复，但答复的内容不得涉及商业秘密。</w:t>
      </w:r>
    </w:p>
    <w:p>
      <w:pPr>
        <w:pStyle w:val="14"/>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28.4采购代理机构无义务向未成交的供应商解释未成交原因和退还响应文件。</w:t>
      </w:r>
    </w:p>
    <w:p>
      <w:pPr>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highlight w:val="none"/>
        </w:rPr>
      </w:pPr>
      <w:r>
        <w:rPr>
          <w:rFonts w:hint="eastAsia" w:ascii="新宋体" w:hAnsi="新宋体" w:eastAsia="新宋体" w:cs="新宋体"/>
          <w:b/>
          <w:highlight w:val="none"/>
        </w:rPr>
        <w:t>29、履约保证金</w:t>
      </w:r>
    </w:p>
    <w:p>
      <w:pPr>
        <w:pStyle w:val="1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新宋体" w:hAnsi="新宋体" w:eastAsia="新宋体" w:cs="新宋体"/>
          <w:b/>
          <w:highlight w:val="none"/>
        </w:rPr>
      </w:pPr>
      <w:r>
        <w:rPr>
          <w:rFonts w:hint="eastAsia" w:ascii="新宋体" w:hAnsi="新宋体" w:eastAsia="新宋体" w:cs="新宋体"/>
          <w:highlight w:val="none"/>
          <w:lang w:eastAsia="zh-CN"/>
        </w:rPr>
        <w:t>本项目不设履约保证金</w:t>
      </w:r>
      <w:r>
        <w:rPr>
          <w:rFonts w:hint="eastAsia" w:ascii="新宋体" w:hAnsi="新宋体" w:eastAsia="新宋体" w:cs="新宋体"/>
          <w:b/>
          <w:bCs/>
          <w:kern w:val="0"/>
          <w:szCs w:val="21"/>
          <w:highlight w:val="none"/>
        </w:rPr>
        <w:t>。</w:t>
      </w:r>
    </w:p>
    <w:p>
      <w:pPr>
        <w:keepNext w:val="0"/>
        <w:keepLines w:val="0"/>
        <w:pageBreakBefore w:val="0"/>
        <w:widowControl w:val="0"/>
        <w:kinsoku/>
        <w:wordWrap/>
        <w:overflowPunct/>
        <w:topLinePunct w:val="0"/>
        <w:autoSpaceDE/>
        <w:autoSpaceDN/>
        <w:bidi w:val="0"/>
        <w:adjustRightInd/>
        <w:spacing w:before="120" w:after="120" w:line="360" w:lineRule="auto"/>
        <w:jc w:val="center"/>
        <w:textAlignment w:val="auto"/>
        <w:outlineLvl w:val="9"/>
        <w:rPr>
          <w:rFonts w:hint="eastAsia" w:ascii="新宋体" w:hAnsi="新宋体" w:eastAsia="新宋体" w:cs="新宋体"/>
          <w:kern w:val="4"/>
          <w:highlight w:val="none"/>
        </w:rPr>
      </w:pPr>
      <w:bookmarkStart w:id="43" w:name="_Toc301942512"/>
      <w:r>
        <w:rPr>
          <w:rFonts w:hint="eastAsia" w:ascii="新宋体" w:hAnsi="新宋体" w:eastAsia="新宋体" w:cs="新宋体"/>
          <w:b/>
          <w:bCs/>
          <w:kern w:val="4"/>
          <w:sz w:val="32"/>
          <w:szCs w:val="32"/>
          <w:highlight w:val="none"/>
        </w:rPr>
        <w:t>十、其他事项</w:t>
      </w:r>
      <w:bookmarkEnd w:id="43"/>
    </w:p>
    <w:p>
      <w:pPr>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b/>
          <w:bCs/>
          <w:highlight w:val="none"/>
        </w:rPr>
      </w:pPr>
      <w:r>
        <w:rPr>
          <w:rFonts w:hint="eastAsia" w:ascii="新宋体" w:hAnsi="新宋体" w:eastAsia="新宋体" w:cs="新宋体"/>
          <w:b/>
          <w:bCs/>
          <w:highlight w:val="none"/>
        </w:rPr>
        <w:t>30、成交服务费</w:t>
      </w:r>
    </w:p>
    <w:p>
      <w:pPr>
        <w:keepNext w:val="0"/>
        <w:keepLines w:val="0"/>
        <w:pageBreakBefore w:val="0"/>
        <w:widowControl w:val="0"/>
        <w:kinsoku/>
        <w:wordWrap/>
        <w:overflowPunct/>
        <w:topLinePunct w:val="0"/>
        <w:autoSpaceDE/>
        <w:autoSpaceDN/>
        <w:bidi w:val="0"/>
        <w:adjustRightInd/>
        <w:spacing w:after="50" w:line="360" w:lineRule="auto"/>
        <w:ind w:firstLine="420" w:firstLineChars="200"/>
        <w:textAlignment w:val="auto"/>
        <w:outlineLvl w:val="9"/>
        <w:rPr>
          <w:rFonts w:hint="eastAsia" w:ascii="新宋体" w:hAnsi="新宋体" w:eastAsia="新宋体" w:cs="新宋体"/>
          <w:bCs/>
          <w:highlight w:val="none"/>
        </w:rPr>
      </w:pPr>
      <w:r>
        <w:rPr>
          <w:rFonts w:hint="eastAsia" w:ascii="新宋体" w:hAnsi="新宋体" w:eastAsia="新宋体" w:cs="新宋体"/>
          <w:bCs/>
          <w:highlight w:val="none"/>
          <w:lang w:eastAsia="zh-CN"/>
        </w:rPr>
        <w:t>详见须知附表</w:t>
      </w:r>
      <w:r>
        <w:rPr>
          <w:rFonts w:hint="eastAsia" w:ascii="新宋体" w:hAnsi="新宋体" w:eastAsia="新宋体" w:cs="新宋体"/>
          <w:bCs/>
          <w:highlight w:val="none"/>
        </w:rPr>
        <w:t>。</w:t>
      </w:r>
    </w:p>
    <w:p>
      <w:pPr>
        <w:keepNext w:val="0"/>
        <w:keepLines w:val="0"/>
        <w:pageBreakBefore w:val="0"/>
        <w:widowControl w:val="0"/>
        <w:kinsoku/>
        <w:wordWrap/>
        <w:overflowPunct/>
        <w:topLinePunct w:val="0"/>
        <w:autoSpaceDE/>
        <w:autoSpaceDN/>
        <w:bidi w:val="0"/>
        <w:adjustRightInd/>
        <w:spacing w:after="50" w:line="360" w:lineRule="auto"/>
        <w:textAlignment w:val="auto"/>
        <w:outlineLvl w:val="9"/>
        <w:rPr>
          <w:rFonts w:hint="eastAsia" w:ascii="新宋体" w:hAnsi="新宋体" w:eastAsia="新宋体" w:cs="新宋体"/>
          <w:b/>
          <w:highlight w:val="none"/>
        </w:rPr>
      </w:pPr>
      <w:r>
        <w:rPr>
          <w:rFonts w:hint="eastAsia" w:ascii="新宋体" w:hAnsi="新宋体" w:eastAsia="新宋体" w:cs="新宋体"/>
          <w:b/>
          <w:highlight w:val="none"/>
        </w:rPr>
        <w:t>31.解释权</w:t>
      </w:r>
    </w:p>
    <w:p>
      <w:pPr>
        <w:pStyle w:val="12"/>
        <w:keepNext w:val="0"/>
        <w:keepLines w:val="0"/>
        <w:pageBreakBefore w:val="0"/>
        <w:widowControl w:val="0"/>
        <w:kinsoku/>
        <w:wordWrap/>
        <w:overflowPunct/>
        <w:topLinePunct w:val="0"/>
        <w:autoSpaceDE/>
        <w:autoSpaceDN/>
        <w:bidi w:val="0"/>
        <w:adjustRightInd/>
        <w:spacing w:line="360" w:lineRule="auto"/>
        <w:ind w:firstLine="42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本</w:t>
      </w:r>
      <w:r>
        <w:rPr>
          <w:rFonts w:hint="eastAsia" w:ascii="新宋体" w:hAnsi="新宋体" w:eastAsia="新宋体" w:cs="新宋体"/>
          <w:highlight w:val="none"/>
          <w:lang w:eastAsia="zh-CN"/>
        </w:rPr>
        <w:t>磋商</w:t>
      </w:r>
      <w:r>
        <w:rPr>
          <w:rFonts w:hint="eastAsia" w:ascii="新宋体" w:hAnsi="新宋体" w:eastAsia="新宋体" w:cs="新宋体"/>
          <w:highlight w:val="none"/>
        </w:rPr>
        <w:t>采购文件是参照国际惯例和国家有关规定编制，解释权属本采购代理机构。</w:t>
      </w:r>
    </w:p>
    <w:p>
      <w:pPr>
        <w:pStyle w:val="12"/>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新宋体" w:hAnsi="新宋体" w:eastAsia="新宋体" w:cs="新宋体"/>
          <w:highlight w:val="none"/>
        </w:rPr>
      </w:pPr>
      <w:r>
        <w:rPr>
          <w:rFonts w:hint="eastAsia" w:ascii="新宋体" w:hAnsi="新宋体" w:eastAsia="新宋体" w:cs="新宋体"/>
          <w:b/>
          <w:highlight w:val="none"/>
        </w:rPr>
        <w:t>32.有关事宜</w:t>
      </w:r>
    </w:p>
    <w:p>
      <w:pPr>
        <w:pStyle w:val="12"/>
        <w:keepNext w:val="0"/>
        <w:keepLines w:val="0"/>
        <w:pageBreakBefore w:val="0"/>
        <w:widowControl w:val="0"/>
        <w:kinsoku/>
        <w:wordWrap/>
        <w:overflowPunct/>
        <w:topLinePunct w:val="0"/>
        <w:autoSpaceDE/>
        <w:autoSpaceDN/>
        <w:bidi w:val="0"/>
        <w:adjustRightInd/>
        <w:spacing w:line="360" w:lineRule="auto"/>
        <w:ind w:firstLine="420"/>
        <w:textAlignment w:val="auto"/>
        <w:outlineLvl w:val="9"/>
        <w:rPr>
          <w:rFonts w:hint="eastAsia" w:ascii="新宋体" w:hAnsi="新宋体" w:eastAsia="新宋体" w:cs="新宋体"/>
          <w:highlight w:val="none"/>
        </w:rPr>
      </w:pPr>
      <w:r>
        <w:rPr>
          <w:rFonts w:hint="eastAsia" w:ascii="新宋体" w:hAnsi="新宋体" w:eastAsia="新宋体" w:cs="新宋体"/>
          <w:highlight w:val="none"/>
        </w:rPr>
        <w:t>32.1所有与本</w:t>
      </w:r>
      <w:r>
        <w:rPr>
          <w:rFonts w:hint="eastAsia" w:ascii="新宋体" w:hAnsi="新宋体" w:eastAsia="新宋体" w:cs="新宋体"/>
          <w:highlight w:val="none"/>
          <w:lang w:eastAsia="zh-CN"/>
        </w:rPr>
        <w:t>磋商</w:t>
      </w:r>
      <w:r>
        <w:rPr>
          <w:rFonts w:hint="eastAsia" w:ascii="新宋体" w:hAnsi="新宋体" w:eastAsia="新宋体" w:cs="新宋体"/>
          <w:highlight w:val="none"/>
        </w:rPr>
        <w:t>采购文件有关的函电请按下列通讯地址联系：</w:t>
      </w:r>
    </w:p>
    <w:p>
      <w:pPr>
        <w:keepNext w:val="0"/>
        <w:keepLines w:val="0"/>
        <w:pageBreakBefore w:val="0"/>
        <w:widowControl w:val="0"/>
        <w:kinsoku/>
        <w:wordWrap/>
        <w:overflowPunct/>
        <w:topLinePunct w:val="0"/>
        <w:autoSpaceDE/>
        <w:autoSpaceDN/>
        <w:bidi w:val="0"/>
        <w:adjustRightInd/>
        <w:snapToGrid w:val="0"/>
        <w:spacing w:line="360" w:lineRule="auto"/>
        <w:ind w:left="420" w:leftChars="0" w:firstLine="420" w:firstLineChars="0"/>
        <w:textAlignment w:val="auto"/>
        <w:outlineLvl w:val="9"/>
        <w:rPr>
          <w:rFonts w:hint="eastAsia" w:ascii="新宋体" w:hAnsi="新宋体" w:eastAsia="新宋体" w:cs="新宋体"/>
          <w:bCs/>
          <w:szCs w:val="21"/>
          <w:highlight w:val="none"/>
        </w:rPr>
      </w:pPr>
      <w:r>
        <w:rPr>
          <w:rFonts w:hint="eastAsia" w:ascii="新宋体" w:hAnsi="新宋体" w:eastAsia="新宋体" w:cs="新宋体"/>
          <w:bCs/>
          <w:szCs w:val="21"/>
          <w:highlight w:val="none"/>
        </w:rPr>
        <w:t>采购代理机构：</w:t>
      </w:r>
      <w:r>
        <w:rPr>
          <w:rFonts w:hint="eastAsia" w:ascii="新宋体" w:hAnsi="新宋体" w:eastAsia="新宋体" w:cs="新宋体"/>
          <w:bCs/>
          <w:sz w:val="21"/>
          <w:szCs w:val="21"/>
          <w:highlight w:val="none"/>
        </w:rPr>
        <w:t>广西达华工程造价咨询有限责任公司钦州分公司</w:t>
      </w:r>
    </w:p>
    <w:p>
      <w:pPr>
        <w:keepNext w:val="0"/>
        <w:keepLines w:val="0"/>
        <w:pageBreakBefore w:val="0"/>
        <w:widowControl w:val="0"/>
        <w:kinsoku/>
        <w:wordWrap/>
        <w:overflowPunct/>
        <w:topLinePunct w:val="0"/>
        <w:autoSpaceDE/>
        <w:autoSpaceDN/>
        <w:bidi w:val="0"/>
        <w:adjustRightInd/>
        <w:snapToGrid w:val="0"/>
        <w:spacing w:line="360" w:lineRule="auto"/>
        <w:ind w:left="420" w:leftChars="0" w:firstLine="420" w:firstLineChars="0"/>
        <w:textAlignment w:val="auto"/>
        <w:outlineLvl w:val="9"/>
        <w:rPr>
          <w:rFonts w:hint="eastAsia" w:ascii="新宋体" w:hAnsi="新宋体" w:eastAsia="新宋体" w:cs="新宋体"/>
          <w:bCs/>
          <w:szCs w:val="21"/>
          <w:highlight w:val="none"/>
        </w:rPr>
      </w:pPr>
      <w:r>
        <w:rPr>
          <w:rFonts w:hint="eastAsia" w:ascii="新宋体" w:hAnsi="新宋体" w:eastAsia="新宋体" w:cs="新宋体"/>
          <w:bCs/>
          <w:szCs w:val="21"/>
          <w:highlight w:val="none"/>
        </w:rPr>
        <w:t>地    址：</w:t>
      </w:r>
      <w:r>
        <w:rPr>
          <w:rFonts w:hint="eastAsia" w:ascii="新宋体" w:hAnsi="新宋体" w:eastAsia="新宋体" w:cs="新宋体"/>
          <w:bCs/>
          <w:color w:val="000000"/>
          <w:sz w:val="21"/>
          <w:szCs w:val="21"/>
          <w:highlight w:val="none"/>
          <w:shd w:val="clear" w:color="auto" w:fill="FFFFFF"/>
        </w:rPr>
        <w:t>钦州市新华路351号5楼</w:t>
      </w:r>
    </w:p>
    <w:p>
      <w:pPr>
        <w:keepNext w:val="0"/>
        <w:keepLines w:val="0"/>
        <w:pageBreakBefore w:val="0"/>
        <w:widowControl w:val="0"/>
        <w:kinsoku/>
        <w:wordWrap/>
        <w:overflowPunct/>
        <w:topLinePunct w:val="0"/>
        <w:autoSpaceDE/>
        <w:autoSpaceDN/>
        <w:bidi w:val="0"/>
        <w:adjustRightInd/>
        <w:snapToGrid w:val="0"/>
        <w:spacing w:line="360" w:lineRule="auto"/>
        <w:ind w:left="420" w:leftChars="0" w:firstLine="420" w:firstLineChars="0"/>
        <w:textAlignment w:val="auto"/>
        <w:outlineLvl w:val="9"/>
        <w:rPr>
          <w:rFonts w:hint="eastAsia" w:ascii="新宋体" w:hAnsi="新宋体" w:eastAsia="新宋体" w:cs="新宋体"/>
          <w:bCs/>
          <w:szCs w:val="21"/>
          <w:highlight w:val="none"/>
          <w:lang w:val="en-US" w:eastAsia="zh-CN"/>
        </w:rPr>
      </w:pPr>
      <w:r>
        <w:rPr>
          <w:rFonts w:hint="eastAsia" w:ascii="新宋体" w:hAnsi="新宋体" w:eastAsia="新宋体" w:cs="新宋体"/>
          <w:szCs w:val="21"/>
          <w:highlight w:val="none"/>
        </w:rPr>
        <w:t>邮政编码：</w:t>
      </w:r>
      <w:r>
        <w:rPr>
          <w:rFonts w:hint="eastAsia" w:ascii="新宋体" w:hAnsi="新宋体" w:eastAsia="新宋体" w:cs="新宋体"/>
          <w:szCs w:val="21"/>
          <w:highlight w:val="none"/>
          <w:lang w:val="en-US" w:eastAsia="zh-CN"/>
        </w:rPr>
        <w:t>535000</w:t>
      </w:r>
    </w:p>
    <w:p>
      <w:pPr>
        <w:keepNext w:val="0"/>
        <w:keepLines w:val="0"/>
        <w:pageBreakBefore w:val="0"/>
        <w:widowControl w:val="0"/>
        <w:kinsoku/>
        <w:wordWrap/>
        <w:overflowPunct/>
        <w:topLinePunct w:val="0"/>
        <w:autoSpaceDE/>
        <w:autoSpaceDN/>
        <w:bidi w:val="0"/>
        <w:adjustRightInd/>
        <w:snapToGrid w:val="0"/>
        <w:spacing w:line="360" w:lineRule="auto"/>
        <w:ind w:left="420" w:leftChars="0" w:firstLine="420" w:firstLineChars="0"/>
        <w:textAlignment w:val="auto"/>
        <w:outlineLvl w:val="9"/>
        <w:rPr>
          <w:rFonts w:hint="eastAsia" w:ascii="新宋体" w:hAnsi="新宋体" w:eastAsia="新宋体" w:cs="新宋体"/>
          <w:bCs/>
          <w:szCs w:val="21"/>
          <w:highlight w:val="none"/>
          <w:lang w:val="en-US" w:eastAsia="zh-CN"/>
        </w:rPr>
      </w:pPr>
      <w:r>
        <w:rPr>
          <w:rFonts w:hint="eastAsia" w:ascii="新宋体" w:hAnsi="新宋体" w:eastAsia="新宋体" w:cs="新宋体"/>
          <w:bCs/>
          <w:szCs w:val="21"/>
          <w:highlight w:val="none"/>
        </w:rPr>
        <w:t>联 系 人：</w:t>
      </w:r>
      <w:r>
        <w:rPr>
          <w:rFonts w:hint="eastAsia" w:ascii="新宋体" w:hAnsi="新宋体" w:eastAsia="新宋体" w:cs="新宋体"/>
          <w:bCs/>
          <w:szCs w:val="21"/>
          <w:highlight w:val="none"/>
          <w:lang w:eastAsia="zh-CN"/>
        </w:rPr>
        <w:t>罗工</w:t>
      </w:r>
    </w:p>
    <w:p>
      <w:pPr>
        <w:keepNext w:val="0"/>
        <w:keepLines w:val="0"/>
        <w:pageBreakBefore w:val="0"/>
        <w:widowControl w:val="0"/>
        <w:kinsoku/>
        <w:wordWrap/>
        <w:overflowPunct/>
        <w:topLinePunct w:val="0"/>
        <w:autoSpaceDE/>
        <w:autoSpaceDN/>
        <w:bidi w:val="0"/>
        <w:adjustRightInd/>
        <w:spacing w:line="360" w:lineRule="auto"/>
        <w:ind w:left="420" w:leftChars="0" w:firstLine="420" w:firstLineChars="0"/>
        <w:textAlignment w:val="auto"/>
        <w:outlineLvl w:val="9"/>
        <w:rPr>
          <w:rFonts w:ascii="宋体" w:hAnsi="宋体" w:eastAsia="宋体" w:cs="宋体"/>
          <w:b/>
          <w:bCs/>
          <w:szCs w:val="21"/>
          <w:highlight w:val="none"/>
        </w:rPr>
        <w:sectPr>
          <w:headerReference r:id="rId9" w:type="default"/>
          <w:footerReference r:id="rId10" w:type="default"/>
          <w:pgSz w:w="11906" w:h="16838"/>
          <w:pgMar w:top="1440" w:right="1418" w:bottom="1134" w:left="1418"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新宋体" w:hAnsi="新宋体" w:eastAsia="新宋体" w:cs="新宋体"/>
          <w:bCs/>
          <w:szCs w:val="21"/>
          <w:highlight w:val="none"/>
        </w:rPr>
        <w:t>联系电话：</w:t>
      </w:r>
      <w:r>
        <w:rPr>
          <w:rFonts w:hint="eastAsia" w:ascii="新宋体" w:hAnsi="新宋体" w:eastAsia="新宋体" w:cs="新宋体"/>
          <w:color w:val="000000"/>
          <w:szCs w:val="21"/>
          <w:highlight w:val="none"/>
          <w:lang w:val="en-US" w:eastAsia="zh-CN"/>
        </w:rPr>
        <w:t>0777</w:t>
      </w:r>
      <w:r>
        <w:rPr>
          <w:rFonts w:hint="eastAsia" w:ascii="新宋体" w:hAnsi="新宋体" w:eastAsia="新宋体" w:cs="新宋体"/>
          <w:color w:val="000000"/>
          <w:szCs w:val="21"/>
          <w:highlight w:val="none"/>
        </w:rPr>
        <w:t>-</w:t>
      </w:r>
      <w:r>
        <w:rPr>
          <w:rFonts w:hint="eastAsia" w:ascii="新宋体" w:hAnsi="新宋体" w:eastAsia="新宋体" w:cs="新宋体"/>
          <w:color w:val="000000"/>
          <w:szCs w:val="21"/>
          <w:highlight w:val="none"/>
          <w:lang w:val="en-US" w:eastAsia="zh-CN"/>
        </w:rPr>
        <w:t>5587738</w:t>
      </w:r>
    </w:p>
    <w:p>
      <w:pPr>
        <w:rPr>
          <w:rFonts w:ascii="宋体" w:hAnsi="宋体" w:eastAsia="宋体" w:cs="宋体"/>
          <w:b/>
          <w:bCs/>
          <w:szCs w:val="21"/>
          <w:highlight w:val="none"/>
        </w:rPr>
      </w:pPr>
    </w:p>
    <w:p>
      <w:pPr>
        <w:pStyle w:val="4"/>
        <w:numPr>
          <w:ilvl w:val="0"/>
          <w:numId w:val="4"/>
        </w:numPr>
        <w:spacing w:before="120" w:after="120"/>
        <w:jc w:val="center"/>
        <w:rPr>
          <w:rFonts w:ascii="宋体" w:hAnsi="宋体" w:eastAsia="宋体" w:cs="宋体"/>
          <w:kern w:val="4"/>
          <w:highlight w:val="none"/>
        </w:rPr>
      </w:pPr>
      <w:r>
        <w:rPr>
          <w:rFonts w:hint="eastAsia" w:ascii="宋体" w:hAnsi="宋体" w:eastAsia="宋体" w:cs="宋体"/>
          <w:kern w:val="4"/>
          <w:highlight w:val="none"/>
        </w:rPr>
        <w:t xml:space="preserve"> </w:t>
      </w:r>
      <w:bookmarkStart w:id="44" w:name="_Toc2009"/>
      <w:r>
        <w:rPr>
          <w:rFonts w:hint="eastAsia" w:ascii="宋体" w:hAnsi="宋体" w:eastAsia="宋体" w:cs="宋体"/>
          <w:kern w:val="4"/>
          <w:highlight w:val="none"/>
        </w:rPr>
        <w:t>合同条款及格式</w:t>
      </w:r>
      <w:bookmarkEnd w:id="44"/>
    </w:p>
    <w:p>
      <w:pPr>
        <w:rPr>
          <w:rFonts w:hint="eastAsia" w:ascii="宋体" w:hAnsi="宋体" w:cs="宋体"/>
          <w:b/>
          <w:bCs/>
          <w:color w:val="auto"/>
          <w:szCs w:val="21"/>
          <w:highlight w:val="none"/>
        </w:rPr>
      </w:pPr>
    </w:p>
    <w:p>
      <w:pPr>
        <w:pStyle w:val="12"/>
        <w:spacing w:line="500" w:lineRule="atLeast"/>
        <w:jc w:val="center"/>
        <w:rPr>
          <w:rFonts w:hint="eastAsia" w:hAnsi="宋体"/>
          <w:b/>
          <w:color w:val="auto"/>
          <w:sz w:val="52"/>
          <w:highlight w:val="none"/>
        </w:rPr>
      </w:pPr>
      <w:r>
        <w:rPr>
          <w:rFonts w:hint="eastAsia" w:hAnsi="宋体"/>
          <w:b/>
          <w:color w:val="auto"/>
          <w:sz w:val="52"/>
          <w:highlight w:val="none"/>
        </w:rPr>
        <w:t>政府采购合同</w:t>
      </w:r>
    </w:p>
    <w:p>
      <w:pPr>
        <w:pStyle w:val="12"/>
        <w:rPr>
          <w:rFonts w:hint="eastAsia" w:hAnsi="宋体"/>
          <w:color w:val="auto"/>
          <w:highlight w:val="none"/>
        </w:rPr>
      </w:pPr>
    </w:p>
    <w:p>
      <w:pPr>
        <w:pStyle w:val="12"/>
        <w:rPr>
          <w:rFonts w:hint="eastAsia" w:hAnsi="宋体"/>
          <w:color w:val="auto"/>
          <w:highlight w:val="none"/>
        </w:rPr>
      </w:pPr>
    </w:p>
    <w:p>
      <w:pPr>
        <w:pStyle w:val="12"/>
        <w:rPr>
          <w:rFonts w:hint="eastAsia" w:hAnsi="宋体"/>
          <w:color w:val="auto"/>
          <w:highlight w:val="none"/>
        </w:rPr>
      </w:pPr>
    </w:p>
    <w:p>
      <w:pPr>
        <w:pStyle w:val="12"/>
        <w:ind w:left="1590"/>
        <w:rPr>
          <w:rFonts w:hint="eastAsia" w:hAnsi="宋体"/>
          <w:b/>
          <w:color w:val="auto"/>
          <w:sz w:val="32"/>
          <w:highlight w:val="none"/>
          <w:u w:val="single"/>
        </w:rPr>
      </w:pPr>
      <w:r>
        <w:rPr>
          <w:rFonts w:hint="eastAsia" w:hAnsi="宋体"/>
          <w:b/>
          <w:color w:val="auto"/>
          <w:sz w:val="32"/>
          <w:highlight w:val="none"/>
        </w:rPr>
        <w:t>合同名称：</w:t>
      </w:r>
      <w:r>
        <w:rPr>
          <w:rFonts w:hint="eastAsia" w:hAnsi="宋体"/>
          <w:b/>
          <w:color w:val="auto"/>
          <w:sz w:val="32"/>
          <w:highlight w:val="none"/>
          <w:u w:val="single"/>
        </w:rPr>
        <w:t xml:space="preserve">                            </w:t>
      </w:r>
    </w:p>
    <w:p>
      <w:pPr>
        <w:pStyle w:val="12"/>
        <w:ind w:left="1590"/>
        <w:rPr>
          <w:rFonts w:hint="eastAsia" w:hAnsi="宋体"/>
          <w:b/>
          <w:color w:val="auto"/>
          <w:sz w:val="32"/>
          <w:highlight w:val="none"/>
        </w:rPr>
      </w:pPr>
    </w:p>
    <w:p>
      <w:pPr>
        <w:pStyle w:val="12"/>
        <w:ind w:left="1590"/>
        <w:rPr>
          <w:rFonts w:hint="eastAsia" w:hAnsi="宋体"/>
          <w:b/>
          <w:color w:val="auto"/>
          <w:sz w:val="32"/>
          <w:highlight w:val="none"/>
          <w:u w:val="single"/>
        </w:rPr>
      </w:pPr>
      <w:r>
        <w:rPr>
          <w:rFonts w:hint="eastAsia" w:hAnsi="宋体"/>
          <w:b/>
          <w:color w:val="auto"/>
          <w:sz w:val="32"/>
          <w:highlight w:val="none"/>
        </w:rPr>
        <w:t>合同编号：</w:t>
      </w:r>
      <w:r>
        <w:rPr>
          <w:rFonts w:hint="eastAsia" w:hAnsi="宋体"/>
          <w:b/>
          <w:color w:val="auto"/>
          <w:sz w:val="32"/>
          <w:highlight w:val="none"/>
          <w:u w:val="single"/>
        </w:rPr>
        <w:t xml:space="preserve">                            </w:t>
      </w:r>
    </w:p>
    <w:p>
      <w:pPr>
        <w:pStyle w:val="12"/>
        <w:rPr>
          <w:rFonts w:hint="eastAsia" w:hAnsi="宋体"/>
          <w:color w:val="auto"/>
          <w:highlight w:val="none"/>
        </w:rPr>
      </w:pPr>
    </w:p>
    <w:p>
      <w:pPr>
        <w:pStyle w:val="12"/>
        <w:rPr>
          <w:rFonts w:hint="eastAsia" w:hAnsi="宋体"/>
          <w:color w:val="auto"/>
          <w:highlight w:val="none"/>
        </w:rPr>
      </w:pPr>
    </w:p>
    <w:p>
      <w:pPr>
        <w:pStyle w:val="12"/>
        <w:rPr>
          <w:rFonts w:hint="eastAsia" w:hAnsi="宋体"/>
          <w:color w:val="auto"/>
          <w:highlight w:val="none"/>
        </w:rPr>
      </w:pPr>
    </w:p>
    <w:p>
      <w:pPr>
        <w:pStyle w:val="12"/>
        <w:spacing w:line="340" w:lineRule="exact"/>
        <w:ind w:left="1590"/>
        <w:rPr>
          <w:rFonts w:hint="eastAsia" w:hAnsi="宋体"/>
          <w:b/>
          <w:color w:val="auto"/>
          <w:sz w:val="32"/>
          <w:highlight w:val="none"/>
        </w:rPr>
      </w:pPr>
      <w:r>
        <w:rPr>
          <w:rFonts w:hint="eastAsia" w:hAnsi="宋体"/>
          <w:b/>
          <w:color w:val="auto"/>
          <w:sz w:val="32"/>
          <w:highlight w:val="none"/>
        </w:rPr>
        <w:t>采购单位（甲方）</w:t>
      </w:r>
      <w:r>
        <w:rPr>
          <w:rFonts w:hint="eastAsia" w:hAnsi="宋体"/>
          <w:b/>
          <w:color w:val="auto"/>
          <w:sz w:val="32"/>
          <w:highlight w:val="none"/>
          <w:u w:val="single"/>
        </w:rPr>
        <w:t xml:space="preserve">                      </w:t>
      </w:r>
    </w:p>
    <w:p>
      <w:pPr>
        <w:pStyle w:val="12"/>
        <w:spacing w:line="340" w:lineRule="exact"/>
        <w:ind w:left="1590"/>
        <w:rPr>
          <w:rFonts w:hint="eastAsia" w:hAnsi="宋体"/>
          <w:b/>
          <w:color w:val="auto"/>
          <w:sz w:val="32"/>
          <w:highlight w:val="none"/>
        </w:rPr>
      </w:pPr>
    </w:p>
    <w:p>
      <w:pPr>
        <w:pStyle w:val="12"/>
        <w:spacing w:line="340" w:lineRule="exact"/>
        <w:ind w:left="1590"/>
        <w:rPr>
          <w:rFonts w:hint="eastAsia" w:hAnsi="宋体"/>
          <w:b/>
          <w:color w:val="auto"/>
          <w:sz w:val="32"/>
          <w:highlight w:val="none"/>
        </w:rPr>
      </w:pPr>
      <w:r>
        <w:rPr>
          <w:rFonts w:hint="eastAsia" w:hAnsi="宋体"/>
          <w:b/>
          <w:color w:val="auto"/>
          <w:sz w:val="32"/>
          <w:highlight w:val="none"/>
        </w:rPr>
        <w:t>供 应 商（乙方）</w:t>
      </w:r>
      <w:r>
        <w:rPr>
          <w:rFonts w:hint="eastAsia" w:hAnsi="宋体"/>
          <w:b/>
          <w:color w:val="auto"/>
          <w:sz w:val="32"/>
          <w:highlight w:val="none"/>
          <w:u w:val="single"/>
        </w:rPr>
        <w:t xml:space="preserve">                      </w:t>
      </w:r>
    </w:p>
    <w:p>
      <w:pPr>
        <w:pStyle w:val="12"/>
        <w:rPr>
          <w:rFonts w:hint="eastAsia" w:hAnsi="宋体"/>
          <w:color w:val="auto"/>
          <w:highlight w:val="none"/>
        </w:rPr>
      </w:pPr>
    </w:p>
    <w:p>
      <w:pPr>
        <w:pStyle w:val="12"/>
        <w:rPr>
          <w:rFonts w:hint="eastAsia" w:hAnsi="宋体"/>
          <w:color w:val="auto"/>
          <w:highlight w:val="none"/>
        </w:rPr>
      </w:pPr>
    </w:p>
    <w:p>
      <w:pPr>
        <w:pStyle w:val="12"/>
        <w:rPr>
          <w:rFonts w:hint="eastAsia" w:hAnsi="宋体"/>
          <w:color w:val="auto"/>
          <w:highlight w:val="none"/>
        </w:rPr>
      </w:pPr>
    </w:p>
    <w:p>
      <w:pPr>
        <w:pStyle w:val="12"/>
        <w:rPr>
          <w:rFonts w:hint="eastAsia" w:hAnsi="宋体"/>
          <w:color w:val="auto"/>
          <w:highlight w:val="none"/>
        </w:rPr>
      </w:pPr>
    </w:p>
    <w:p>
      <w:pPr>
        <w:pStyle w:val="12"/>
        <w:ind w:left="1590"/>
        <w:rPr>
          <w:rFonts w:hint="eastAsia" w:hAnsi="宋体"/>
          <w:b/>
          <w:color w:val="auto"/>
          <w:sz w:val="32"/>
          <w:highlight w:val="none"/>
          <w:u w:val="single"/>
        </w:rPr>
      </w:pPr>
      <w:r>
        <w:rPr>
          <w:rFonts w:hint="eastAsia" w:hAnsi="宋体"/>
          <w:b/>
          <w:color w:val="auto"/>
          <w:sz w:val="32"/>
          <w:highlight w:val="none"/>
        </w:rPr>
        <w:t>签订合同地点：</w:t>
      </w:r>
      <w:r>
        <w:rPr>
          <w:rFonts w:hint="eastAsia" w:hAnsi="宋体"/>
          <w:b/>
          <w:color w:val="auto"/>
          <w:sz w:val="32"/>
          <w:highlight w:val="none"/>
          <w:u w:val="single"/>
        </w:rPr>
        <w:t xml:space="preserve">                       </w:t>
      </w:r>
    </w:p>
    <w:p>
      <w:pPr>
        <w:pStyle w:val="12"/>
        <w:ind w:left="1590"/>
        <w:rPr>
          <w:rFonts w:hint="eastAsia" w:hAnsi="宋体"/>
          <w:b/>
          <w:color w:val="auto"/>
          <w:sz w:val="32"/>
          <w:highlight w:val="none"/>
        </w:rPr>
      </w:pPr>
    </w:p>
    <w:p>
      <w:pPr>
        <w:pStyle w:val="12"/>
        <w:ind w:left="1590"/>
        <w:rPr>
          <w:rFonts w:hint="eastAsia" w:hAnsi="宋体"/>
          <w:b/>
          <w:color w:val="auto"/>
          <w:sz w:val="32"/>
          <w:highlight w:val="none"/>
        </w:rPr>
      </w:pPr>
      <w:r>
        <w:rPr>
          <w:rFonts w:hint="eastAsia" w:hAnsi="宋体"/>
          <w:b/>
          <w:color w:val="auto"/>
          <w:sz w:val="32"/>
          <w:highlight w:val="none"/>
        </w:rPr>
        <w:t>签订合同时间：</w:t>
      </w:r>
      <w:r>
        <w:rPr>
          <w:rFonts w:hint="eastAsia" w:hAnsi="宋体"/>
          <w:b/>
          <w:color w:val="auto"/>
          <w:sz w:val="32"/>
          <w:highlight w:val="none"/>
          <w:u w:val="single"/>
        </w:rPr>
        <w:t xml:space="preserve">                       </w:t>
      </w:r>
    </w:p>
    <w:p>
      <w:pPr>
        <w:pStyle w:val="12"/>
        <w:rPr>
          <w:rFonts w:hint="eastAsia" w:hAnsi="宋体"/>
          <w:color w:val="auto"/>
          <w:highlight w:val="none"/>
        </w:rPr>
      </w:pPr>
    </w:p>
    <w:p>
      <w:pPr>
        <w:pStyle w:val="12"/>
        <w:rPr>
          <w:rFonts w:hint="eastAsia" w:hAnsi="宋体"/>
          <w:color w:val="auto"/>
          <w:highlight w:val="none"/>
        </w:rPr>
      </w:pPr>
    </w:p>
    <w:p>
      <w:pPr>
        <w:pStyle w:val="12"/>
        <w:rPr>
          <w:rFonts w:hint="eastAsia" w:hAnsi="宋体"/>
          <w:color w:val="auto"/>
          <w:highlight w:val="none"/>
        </w:rPr>
      </w:pPr>
    </w:p>
    <w:p>
      <w:pPr>
        <w:pStyle w:val="12"/>
        <w:rPr>
          <w:rFonts w:hint="eastAsia" w:hAnsi="宋体"/>
          <w:color w:val="auto"/>
          <w:highlight w:val="none"/>
        </w:rPr>
      </w:pPr>
    </w:p>
    <w:p>
      <w:pPr>
        <w:pStyle w:val="12"/>
        <w:rPr>
          <w:rFonts w:hint="eastAsia" w:hAnsi="宋体"/>
          <w:color w:val="auto"/>
          <w:highlight w:val="none"/>
        </w:rPr>
      </w:pPr>
    </w:p>
    <w:p>
      <w:pPr>
        <w:rPr>
          <w:rFonts w:hint="eastAsia" w:ascii="宋体" w:hAnsi="宋体" w:cs="宋体"/>
          <w:b/>
          <w:bCs/>
          <w:color w:val="auto"/>
          <w:szCs w:val="21"/>
          <w:highlight w:val="none"/>
        </w:rPr>
      </w:pPr>
      <w:r>
        <w:rPr>
          <w:rFonts w:hint="eastAsia" w:hAnsi="宋体"/>
          <w:color w:val="auto"/>
          <w:sz w:val="24"/>
          <w:highlight w:val="none"/>
        </w:rPr>
        <w:t>合同使用说明：根据《中华人民共和国政府采购法》、《中华人民共和国合同法》等法律、法规规定，按照招标文件规定条款和中标供应商竞标文件及其承诺，甲乙双方签订本合同。</w:t>
      </w:r>
    </w:p>
    <w:p>
      <w:pPr>
        <w:rPr>
          <w:rFonts w:hint="eastAsia" w:ascii="宋体" w:hAnsi="宋体" w:cs="宋体"/>
          <w:b/>
          <w:bCs/>
          <w:color w:val="auto"/>
          <w:szCs w:val="21"/>
          <w:highlight w:val="none"/>
        </w:rPr>
      </w:pPr>
    </w:p>
    <w:p>
      <w:pPr>
        <w:rPr>
          <w:rFonts w:hint="eastAsia" w:ascii="宋体" w:hAnsi="宋体" w:cs="宋体"/>
          <w:b/>
          <w:bCs/>
          <w:color w:val="auto"/>
          <w:szCs w:val="21"/>
          <w:highlight w:val="none"/>
        </w:rPr>
      </w:pPr>
    </w:p>
    <w:p>
      <w:pPr>
        <w:rPr>
          <w:rFonts w:hint="eastAsia" w:ascii="宋体" w:hAnsi="宋体" w:cs="宋体"/>
          <w:b/>
          <w:bCs/>
          <w:color w:val="auto"/>
          <w:szCs w:val="21"/>
          <w:highlight w:val="none"/>
        </w:rPr>
      </w:pPr>
      <w:r>
        <w:rPr>
          <w:rFonts w:ascii="宋体" w:hAnsi="宋体" w:cs="宋体"/>
          <w:b/>
          <w:bCs/>
          <w:color w:val="auto"/>
          <w:szCs w:val="21"/>
          <w:highlight w:val="none"/>
        </w:rPr>
        <w:br w:type="page"/>
      </w:r>
    </w:p>
    <w:p>
      <w:pPr>
        <w:spacing w:line="360" w:lineRule="auto"/>
        <w:jc w:val="center"/>
        <w:rPr>
          <w:rFonts w:ascii="宋体" w:hAnsi="宋体"/>
          <w:b/>
          <w:bCs/>
          <w:color w:val="auto"/>
          <w:sz w:val="30"/>
          <w:szCs w:val="30"/>
          <w:highlight w:val="none"/>
        </w:rPr>
      </w:pPr>
      <w:r>
        <w:rPr>
          <w:rFonts w:hint="eastAsia"/>
          <w:b/>
          <w:color w:val="auto"/>
          <w:sz w:val="30"/>
          <w:szCs w:val="30"/>
          <w:highlight w:val="none"/>
        </w:rPr>
        <w:t>政府采购合同书</w:t>
      </w:r>
    </w:p>
    <w:p>
      <w:pPr>
        <w:pStyle w:val="12"/>
        <w:spacing w:line="360" w:lineRule="auto"/>
        <w:ind w:firstLine="4200" w:firstLineChars="2000"/>
        <w:rPr>
          <w:rFonts w:hint="eastAsia" w:hAnsi="宋体"/>
          <w:bCs/>
          <w:color w:val="auto"/>
          <w:szCs w:val="21"/>
          <w:highlight w:val="none"/>
          <w:u w:val="single"/>
        </w:rPr>
      </w:pPr>
    </w:p>
    <w:p>
      <w:pPr>
        <w:kinsoku w:val="0"/>
        <w:spacing w:line="384" w:lineRule="auto"/>
        <w:jc w:val="left"/>
        <w:rPr>
          <w:rFonts w:hint="eastAsia" w:ascii="新宋体" w:hAnsi="新宋体" w:eastAsia="新宋体" w:cs="新宋体"/>
          <w:color w:val="auto"/>
          <w:sz w:val="21"/>
          <w:szCs w:val="21"/>
          <w:highlight w:val="none"/>
          <w:u w:val="single"/>
        </w:rPr>
      </w:pPr>
      <w:r>
        <w:rPr>
          <w:rFonts w:hint="eastAsia" w:ascii="新宋体" w:hAnsi="新宋体" w:eastAsia="新宋体" w:cs="新宋体"/>
          <w:color w:val="auto"/>
          <w:sz w:val="21"/>
          <w:szCs w:val="21"/>
          <w:highlight w:val="none"/>
        </w:rPr>
        <w:t>甲方：</w:t>
      </w:r>
      <w:r>
        <w:rPr>
          <w:rFonts w:hint="eastAsia" w:ascii="新宋体" w:hAnsi="新宋体" w:eastAsia="新宋体" w:cs="新宋体"/>
          <w:color w:val="auto"/>
          <w:sz w:val="21"/>
          <w:szCs w:val="21"/>
          <w:highlight w:val="none"/>
          <w:u w:val="single"/>
        </w:rPr>
        <w:t xml:space="preserve">                                 </w:t>
      </w:r>
    </w:p>
    <w:p>
      <w:pPr>
        <w:kinsoku w:val="0"/>
        <w:spacing w:line="384" w:lineRule="auto"/>
        <w:jc w:val="left"/>
        <w:rPr>
          <w:rFonts w:hint="eastAsia" w:ascii="新宋体" w:hAnsi="新宋体" w:eastAsia="新宋体" w:cs="新宋体"/>
          <w:color w:val="auto"/>
          <w:sz w:val="21"/>
          <w:szCs w:val="21"/>
          <w:highlight w:val="none"/>
          <w:u w:val="single"/>
        </w:rPr>
      </w:pPr>
      <w:r>
        <w:rPr>
          <w:rFonts w:hint="eastAsia" w:ascii="新宋体" w:hAnsi="新宋体" w:eastAsia="新宋体" w:cs="新宋体"/>
          <w:color w:val="auto"/>
          <w:sz w:val="21"/>
          <w:szCs w:val="21"/>
          <w:highlight w:val="none"/>
        </w:rPr>
        <w:t>乙方：</w:t>
      </w:r>
      <w:r>
        <w:rPr>
          <w:rFonts w:hint="eastAsia" w:ascii="新宋体" w:hAnsi="新宋体" w:eastAsia="新宋体" w:cs="新宋体"/>
          <w:color w:val="auto"/>
          <w:sz w:val="21"/>
          <w:szCs w:val="21"/>
          <w:highlight w:val="none"/>
          <w:u w:val="single"/>
        </w:rPr>
        <w:t xml:space="preserve">                                 </w:t>
      </w:r>
    </w:p>
    <w:p>
      <w:pPr>
        <w:keepNext w:val="0"/>
        <w:keepLines w:val="0"/>
        <w:widowControl/>
        <w:suppressLineNumbers w:val="0"/>
        <w:jc w:val="left"/>
        <w:rPr>
          <w:rFonts w:hint="eastAsia" w:ascii="新宋体" w:hAnsi="新宋体" w:eastAsia="新宋体" w:cs="新宋体"/>
          <w:sz w:val="21"/>
          <w:szCs w:val="21"/>
          <w:highlight w:val="none"/>
          <w:lang w:val="en-US"/>
        </w:rPr>
      </w:pPr>
      <w:r>
        <w:rPr>
          <w:rFonts w:hint="eastAsia" w:ascii="新宋体" w:hAnsi="新宋体" w:eastAsia="新宋体" w:cs="新宋体"/>
          <w:color w:val="000000"/>
          <w:kern w:val="0"/>
          <w:sz w:val="21"/>
          <w:szCs w:val="21"/>
          <w:highlight w:val="none"/>
          <w:lang w:val="en-US" w:eastAsia="zh-CN" w:bidi="ar"/>
        </w:rPr>
        <w:t>签订地点：</w:t>
      </w:r>
      <w:r>
        <w:rPr>
          <w:rFonts w:hint="eastAsia" w:ascii="新宋体" w:hAnsi="新宋体" w:eastAsia="新宋体" w:cs="新宋体"/>
          <w:color w:val="000000"/>
          <w:kern w:val="0"/>
          <w:sz w:val="21"/>
          <w:szCs w:val="21"/>
          <w:highlight w:val="none"/>
          <w:u w:val="single"/>
          <w:lang w:val="en-US" w:eastAsia="zh-CN" w:bidi="ar"/>
        </w:rPr>
        <w:t xml:space="preserve">                                  </w:t>
      </w:r>
      <w:r>
        <w:rPr>
          <w:rFonts w:hint="eastAsia" w:ascii="新宋体" w:hAnsi="新宋体" w:eastAsia="新宋体" w:cs="新宋体"/>
          <w:color w:val="000000"/>
          <w:kern w:val="0"/>
          <w:sz w:val="21"/>
          <w:szCs w:val="21"/>
          <w:highlight w:val="none"/>
          <w:lang w:val="en-US" w:eastAsia="zh-CN" w:bidi="ar"/>
        </w:rPr>
        <w:t>签订时间</w:t>
      </w:r>
      <w:r>
        <w:rPr>
          <w:rFonts w:hint="eastAsia" w:ascii="新宋体" w:hAnsi="新宋体" w:eastAsia="新宋体" w:cs="新宋体"/>
          <w:color w:val="000000"/>
          <w:kern w:val="0"/>
          <w:sz w:val="21"/>
          <w:szCs w:val="21"/>
          <w:highlight w:val="none"/>
          <w:u w:val="single"/>
          <w:lang w:val="en-US" w:eastAsia="zh-CN" w:bidi="ar"/>
        </w:rPr>
        <w:t xml:space="preserve">：                </w:t>
      </w:r>
    </w:p>
    <w:p>
      <w:pPr>
        <w:kinsoku w:val="0"/>
        <w:spacing w:line="384" w:lineRule="auto"/>
        <w:jc w:val="left"/>
        <w:rPr>
          <w:rFonts w:hint="eastAsia" w:ascii="新宋体" w:hAnsi="新宋体" w:eastAsia="新宋体" w:cs="新宋体"/>
          <w:color w:val="auto"/>
          <w:sz w:val="21"/>
          <w:szCs w:val="21"/>
          <w:highlight w:val="none"/>
          <w:u w:val="single"/>
        </w:rPr>
      </w:pPr>
    </w:p>
    <w:p>
      <w:pPr>
        <w:keepNext w:val="0"/>
        <w:keepLines w:val="0"/>
        <w:pageBreakBefore w:val="0"/>
        <w:widowControl w:val="0"/>
        <w:kinsoku w:val="0"/>
        <w:wordWrap/>
        <w:overflowPunct/>
        <w:topLinePunct w:val="0"/>
        <w:autoSpaceDE/>
        <w:autoSpaceDN/>
        <w:bidi w:val="0"/>
        <w:adjustRightInd/>
        <w:snapToGrid/>
        <w:spacing w:line="384" w:lineRule="auto"/>
        <w:ind w:firstLine="420" w:firstLineChars="200"/>
        <w:jc w:val="left"/>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根据《中华人民共和国政府采购法》、《中华人民共和国合同法》等法律、法规规定，按照招投标文件（采购文件）规定条款和中标（成交）供应商承诺，甲乙双方签订本合同。</w:t>
      </w:r>
    </w:p>
    <w:p>
      <w:pPr>
        <w:kinsoku w:val="0"/>
        <w:spacing w:line="384" w:lineRule="auto"/>
        <w:jc w:val="left"/>
        <w:rPr>
          <w:rFonts w:hint="eastAsia" w:ascii="新宋体" w:hAnsi="新宋体" w:eastAsia="新宋体" w:cs="新宋体"/>
          <w:color w:val="auto"/>
          <w:sz w:val="21"/>
          <w:szCs w:val="21"/>
          <w:highlight w:val="none"/>
        </w:rPr>
      </w:pPr>
    </w:p>
    <w:p>
      <w:pPr>
        <w:numPr>
          <w:ilvl w:val="0"/>
          <w:numId w:val="5"/>
        </w:numPr>
        <w:ind w:left="0" w:leftChars="0" w:firstLine="0" w:firstLineChars="0"/>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rPr>
        <w:t>合同标的:</w:t>
      </w:r>
    </w:p>
    <w:p>
      <w:pPr>
        <w:numPr>
          <w:ilvl w:val="0"/>
          <w:numId w:val="0"/>
        </w:numPr>
        <w:rPr>
          <w:rFonts w:hint="eastAsia" w:ascii="新宋体" w:hAnsi="新宋体" w:eastAsia="新宋体" w:cs="新宋体"/>
          <w:b/>
          <w:bCs/>
          <w:color w:val="auto"/>
          <w:sz w:val="21"/>
          <w:szCs w:val="21"/>
          <w:highlight w:val="none"/>
          <w:lang w:val="en-US" w:eastAsia="zh-CN"/>
        </w:rPr>
      </w:pPr>
    </w:p>
    <w:tbl>
      <w:tblPr>
        <w:tblStyle w:val="22"/>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5"/>
        <w:gridCol w:w="3630"/>
        <w:gridCol w:w="133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85" w:type="dxa"/>
            <w:noWrap w:val="0"/>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项目名称</w:t>
            </w:r>
          </w:p>
        </w:tc>
        <w:tc>
          <w:tcPr>
            <w:tcW w:w="3630" w:type="dxa"/>
            <w:noWrap w:val="0"/>
            <w:vAlign w:val="center"/>
          </w:tcPr>
          <w:p>
            <w:pPr>
              <w:jc w:val="center"/>
              <w:rPr>
                <w:rFonts w:hint="eastAsia" w:ascii="新宋体" w:hAnsi="新宋体" w:eastAsia="新宋体" w:cs="新宋体"/>
                <w:color w:val="auto"/>
                <w:sz w:val="21"/>
                <w:szCs w:val="21"/>
                <w:highlight w:val="none"/>
              </w:rPr>
            </w:pPr>
          </w:p>
        </w:tc>
        <w:tc>
          <w:tcPr>
            <w:tcW w:w="1332" w:type="dxa"/>
            <w:noWrap w:val="0"/>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项目编号</w:t>
            </w:r>
          </w:p>
        </w:tc>
        <w:tc>
          <w:tcPr>
            <w:tcW w:w="2693" w:type="dxa"/>
            <w:noWrap w:val="0"/>
            <w:vAlign w:val="center"/>
          </w:tcPr>
          <w:p>
            <w:pPr>
              <w:jc w:val="center"/>
              <w:rPr>
                <w:rFonts w:hint="eastAsia" w:ascii="新宋体" w:hAnsi="新宋体" w:eastAsia="新宋体" w:cs="新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85" w:type="dxa"/>
            <w:noWrap w:val="0"/>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eastAsia="zh-CN"/>
              </w:rPr>
              <w:t>合同总</w:t>
            </w:r>
            <w:r>
              <w:rPr>
                <w:rFonts w:hint="eastAsia" w:ascii="新宋体" w:hAnsi="新宋体" w:eastAsia="新宋体" w:cs="新宋体"/>
                <w:color w:val="auto"/>
                <w:sz w:val="21"/>
                <w:szCs w:val="21"/>
                <w:highlight w:val="none"/>
              </w:rPr>
              <w:t>价</w:t>
            </w:r>
          </w:p>
        </w:tc>
        <w:tc>
          <w:tcPr>
            <w:tcW w:w="7655" w:type="dxa"/>
            <w:gridSpan w:val="3"/>
            <w:noWrap w:val="0"/>
            <w:vAlign w:val="center"/>
          </w:tcPr>
          <w:p>
            <w:pPr>
              <w:ind w:firstLine="210" w:firstLineChars="100"/>
              <w:jc w:val="lef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u w:val="single"/>
              </w:rPr>
              <w:t xml:space="preserve">（大写）                    （小写）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85" w:type="dxa"/>
            <w:noWrap w:val="0"/>
            <w:vAlign w:val="center"/>
          </w:tcPr>
          <w:p>
            <w:pPr>
              <w:jc w:val="center"/>
              <w:rPr>
                <w:rFonts w:hint="eastAsia" w:ascii="新宋体" w:hAnsi="新宋体" w:eastAsia="新宋体" w:cs="新宋体"/>
                <w:color w:val="auto"/>
                <w:sz w:val="21"/>
                <w:szCs w:val="21"/>
                <w:highlight w:val="none"/>
              </w:rPr>
            </w:pPr>
            <w:r>
              <w:rPr>
                <w:rFonts w:hint="eastAsia" w:ascii="新宋体" w:hAnsi="新宋体" w:eastAsia="新宋体" w:cs="新宋体"/>
                <w:sz w:val="21"/>
                <w:szCs w:val="21"/>
                <w:highlight w:val="none"/>
              </w:rPr>
              <w:t>交付使用时间及地点</w:t>
            </w:r>
          </w:p>
        </w:tc>
        <w:tc>
          <w:tcPr>
            <w:tcW w:w="7655" w:type="dxa"/>
            <w:gridSpan w:val="3"/>
            <w:noWrap w:val="0"/>
            <w:vAlign w:val="center"/>
          </w:tcPr>
          <w:p>
            <w:pPr>
              <w:numPr>
                <w:ilvl w:val="0"/>
                <w:numId w:val="0"/>
              </w:numPr>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lang w:val="en-US" w:eastAsia="zh-CN"/>
              </w:rPr>
              <w:t>1、</w:t>
            </w:r>
            <w:r>
              <w:rPr>
                <w:rFonts w:hint="eastAsia" w:ascii="新宋体" w:hAnsi="新宋体" w:eastAsia="新宋体" w:cs="新宋体"/>
                <w:sz w:val="21"/>
                <w:szCs w:val="21"/>
                <w:highlight w:val="none"/>
              </w:rPr>
              <w:t>交付使用时间：</w:t>
            </w:r>
          </w:p>
          <w:p>
            <w:pPr>
              <w:numPr>
                <w:ilvl w:val="0"/>
                <w:numId w:val="0"/>
              </w:numPr>
              <w:rPr>
                <w:rFonts w:hint="eastAsia" w:ascii="新宋体" w:hAnsi="新宋体" w:eastAsia="新宋体" w:cs="新宋体"/>
                <w:color w:val="auto"/>
                <w:sz w:val="21"/>
                <w:szCs w:val="21"/>
                <w:highlight w:val="none"/>
              </w:rPr>
            </w:pP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rPr>
              <w:t>交货地点：</w:t>
            </w:r>
          </w:p>
        </w:tc>
      </w:tr>
    </w:tbl>
    <w:p>
      <w:pPr>
        <w:keepNext w:val="0"/>
        <w:keepLines w:val="0"/>
        <w:pageBreakBefore w:val="0"/>
        <w:wordWrap/>
        <w:overflowPunct/>
        <w:topLinePunct w:val="0"/>
        <w:autoSpaceDE/>
        <w:autoSpaceDN/>
        <w:bidi w:val="0"/>
        <w:adjustRightInd/>
        <w:snapToGrid/>
        <w:spacing w:line="360" w:lineRule="auto"/>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eastAsia="zh-CN"/>
        </w:rPr>
        <w:t>合同总</w:t>
      </w:r>
      <w:r>
        <w:rPr>
          <w:rFonts w:hint="eastAsia" w:ascii="新宋体" w:hAnsi="新宋体" w:eastAsia="新宋体" w:cs="新宋体"/>
          <w:color w:val="auto"/>
          <w:sz w:val="21"/>
          <w:szCs w:val="21"/>
          <w:highlight w:val="none"/>
        </w:rPr>
        <w:t>价包括货物价款，备件、专用工具、安装、调试、检验、技术培训及技术资料和包装、运输等全部费用。如招投标文件对其另有规定的，从其规定。</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val="en-US" w:eastAsia="zh-CN"/>
        </w:rPr>
        <w:t>质量保证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 xml:space="preserve">1.乙方所提供的货物型号、技术规格、技术参数等质量必须与竞争性磋商文件、竞争性磋商响应文件和通过专家评审的深化设计方案所承诺的内容相一致。乙方提供的节能和环保产品必须是列入政府采购清单的产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2.乙方所提供的货物必须是全新、未使用的原装产品，且在正常安装、使用和保养条件下，其使用寿命期内各项指标均达到质量要求。</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val="en-US" w:eastAsia="zh-CN"/>
        </w:rPr>
        <w:t>权力保证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乙方应保证所提供货物在使用时不会侵犯任何第三方的专利权、商标权、工业设计权或其他权利。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乙方应按谈判采购文件规定的时间向甲方提供使用货物的有关技术资料。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乙方保证所交付的货物的所有权完全属于乙方且无任何抵押、查封等产权瑕疵。</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eastAsia="zh-CN"/>
        </w:rPr>
        <w:t>包装和运输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 xml:space="preserve">1.乙方提供的货物均应按招投标文件要求的包装材料、包装标准、包装方式进行包装，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每一包装单元内应附详细的装箱单和质量合格证。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2.货物的运输方式：</w:t>
      </w:r>
      <w:r>
        <w:rPr>
          <w:rFonts w:hint="eastAsia" w:ascii="新宋体" w:hAnsi="新宋体" w:eastAsia="新宋体" w:cs="新宋体"/>
          <w:color w:val="000000"/>
          <w:kern w:val="0"/>
          <w:sz w:val="21"/>
          <w:szCs w:val="21"/>
          <w:highlight w:val="none"/>
          <w:u w:val="single"/>
          <w:lang w:val="en-US" w:eastAsia="zh-CN" w:bidi="ar"/>
        </w:rPr>
        <w:t xml:space="preserve"> 乙方自理  </w:t>
      </w:r>
      <w:r>
        <w:rPr>
          <w:rFonts w:hint="eastAsia" w:ascii="新宋体" w:hAnsi="新宋体" w:eastAsia="新宋体" w:cs="新宋体"/>
          <w:color w:val="000000"/>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3.乙方负责货物运输，货物运输合理损耗及计算方法：</w:t>
      </w:r>
      <w:r>
        <w:rPr>
          <w:rFonts w:hint="eastAsia" w:ascii="新宋体" w:hAnsi="新宋体" w:eastAsia="新宋体" w:cs="新宋体"/>
          <w:color w:val="000000"/>
          <w:kern w:val="0"/>
          <w:sz w:val="21"/>
          <w:szCs w:val="21"/>
          <w:highlight w:val="none"/>
          <w:u w:val="single"/>
          <w:lang w:val="en-US" w:eastAsia="zh-CN" w:bidi="ar"/>
        </w:rPr>
        <w:t xml:space="preserve">  无  </w:t>
      </w:r>
      <w:r>
        <w:rPr>
          <w:rFonts w:hint="eastAsia" w:ascii="新宋体" w:hAnsi="新宋体" w:eastAsia="新宋体" w:cs="新宋体"/>
          <w:color w:val="000000"/>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4.甲方只提供货物设备存放场地，货物设备乙方保管。</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eastAsia="zh-CN"/>
        </w:rPr>
        <w:t>交付和验收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1. 交付使用时间：</w:t>
      </w:r>
      <w:r>
        <w:rPr>
          <w:rFonts w:hint="eastAsia" w:ascii="新宋体" w:hAnsi="新宋体" w:eastAsia="新宋体" w:cs="新宋体"/>
          <w:color w:val="000000"/>
          <w:kern w:val="0"/>
          <w:sz w:val="21"/>
          <w:szCs w:val="21"/>
          <w:highlight w:val="none"/>
          <w:u w:val="single"/>
          <w:lang w:val="en-US" w:eastAsia="zh-CN" w:bidi="ar"/>
        </w:rPr>
        <w:t xml:space="preserve"> 自签订合同之日起 20个日历日内完成所有土建及设备的供货、安装、调试完毕并交付用户使用</w:t>
      </w:r>
      <w:r>
        <w:rPr>
          <w:rFonts w:hint="eastAsia" w:ascii="新宋体" w:hAnsi="新宋体" w:eastAsia="新宋体" w:cs="新宋体"/>
          <w:color w:val="000000"/>
          <w:kern w:val="0"/>
          <w:sz w:val="21"/>
          <w:szCs w:val="21"/>
          <w:highlight w:val="none"/>
          <w:lang w:val="en-US" w:eastAsia="zh-CN" w:bidi="ar"/>
        </w:rPr>
        <w:t>、 地点：</w:t>
      </w:r>
      <w:r>
        <w:rPr>
          <w:rFonts w:hint="eastAsia" w:ascii="新宋体" w:hAnsi="新宋体" w:eastAsia="新宋体" w:cs="新宋体"/>
          <w:color w:val="000000"/>
          <w:kern w:val="0"/>
          <w:sz w:val="21"/>
          <w:szCs w:val="21"/>
          <w:highlight w:val="none"/>
          <w:u w:val="single"/>
          <w:lang w:val="en-US" w:eastAsia="zh-CN" w:bidi="ar"/>
        </w:rPr>
        <w:t xml:space="preserve"> 采购人指定地点 </w:t>
      </w:r>
      <w:r>
        <w:rPr>
          <w:rFonts w:hint="eastAsia" w:ascii="新宋体" w:hAnsi="新宋体" w:eastAsia="新宋体" w:cs="新宋体"/>
          <w:color w:val="000000"/>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2.乙方提供不符合招投标文件和本合同规定的货物，甲方有权拒绝接受。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3.乙方应将所提供货物的装箱清单、用户手册、原厂保修卡、随机资料、工具和备品、备件等交付给甲方，如有缺失应及时补齐，否则视为逾期交货。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4.1乙方在到货后安装24小时内通知甲方，甲方将派出监理人员和现场代表监督整个安装过程。如在安装过程中出现设备损坏，由乙方负责更换，更换费用由乙方负责。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4.2乙方须对供应的设备进行调试，设备使用功能应能满足甲方使用要求。如设备在调试过程中出现故障，有乙方负责更换，更换的费用由乙方负责。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6.甲方对验收有异议的，在验收后五个工作日内以书面形式向乙方提出，乙方应自收到甲方书面异议后 五 日内及时予以解决。</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eastAsia="zh-CN"/>
        </w:rPr>
        <w:t>安装和培训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1.甲方应提供必要安装条件（如场地、电源、水源等）。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2.乙方负责甲方有关人员的培训。培训时间、地点：</w:t>
      </w:r>
      <w:r>
        <w:rPr>
          <w:rFonts w:hint="eastAsia" w:ascii="新宋体" w:hAnsi="新宋体" w:eastAsia="新宋体" w:cs="新宋体"/>
          <w:color w:val="000000"/>
          <w:kern w:val="0"/>
          <w:sz w:val="21"/>
          <w:szCs w:val="21"/>
          <w:highlight w:val="none"/>
          <w:u w:val="single"/>
          <w:lang w:val="en-US" w:eastAsia="zh-CN" w:bidi="ar"/>
        </w:rPr>
        <w:t xml:space="preserve"> 采购人指定时间及地点  </w:t>
      </w:r>
      <w:r>
        <w:rPr>
          <w:rFonts w:hint="eastAsia" w:ascii="新宋体" w:hAnsi="新宋体" w:eastAsia="新宋体" w:cs="新宋体"/>
          <w:color w:val="000000"/>
          <w:kern w:val="0"/>
          <w:sz w:val="21"/>
          <w:szCs w:val="21"/>
          <w:highlight w:val="none"/>
          <w:lang w:val="en-US" w:eastAsia="zh-CN" w:bidi="ar"/>
        </w:rPr>
        <w:t>。</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eastAsia="zh-CN"/>
        </w:rPr>
        <w:t>售后服务、质保期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1.乙方应按照国家有关法律法规和“三包”规定以及招投标文件和本合同所附的《服务承诺》，为甲方提供售后服务。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2.</w:t>
      </w:r>
      <w:r>
        <w:rPr>
          <w:rFonts w:hint="eastAsia" w:ascii="新宋体" w:hAnsi="新宋体" w:eastAsia="新宋体" w:cs="新宋体"/>
          <w:color w:val="auto"/>
          <w:sz w:val="21"/>
          <w:szCs w:val="21"/>
          <w:highlight w:val="none"/>
        </w:rPr>
        <w:t>质量保证期</w:t>
      </w:r>
      <w:r>
        <w:rPr>
          <w:rFonts w:hint="eastAsia" w:ascii="新宋体" w:hAnsi="新宋体" w:eastAsia="新宋体" w:cs="新宋体"/>
          <w:color w:val="000000"/>
          <w:kern w:val="0"/>
          <w:sz w:val="21"/>
          <w:szCs w:val="21"/>
          <w:highlight w:val="none"/>
          <w:lang w:val="en-US" w:eastAsia="zh-CN" w:bidi="ar"/>
        </w:rPr>
        <w:t>：项目整体服务质保期</w:t>
      </w:r>
      <w:r>
        <w:rPr>
          <w:rFonts w:hint="eastAsia" w:ascii="新宋体" w:hAnsi="新宋体" w:eastAsia="新宋体" w:cs="新宋体"/>
          <w:color w:val="000000"/>
          <w:kern w:val="0"/>
          <w:sz w:val="21"/>
          <w:szCs w:val="21"/>
          <w:highlight w:val="none"/>
          <w:u w:val="single"/>
          <w:lang w:val="en-US" w:eastAsia="zh-CN" w:bidi="ar"/>
        </w:rPr>
        <w:t xml:space="preserve"> 壹 </w:t>
      </w:r>
      <w:r>
        <w:rPr>
          <w:rFonts w:hint="eastAsia" w:ascii="新宋体" w:hAnsi="新宋体" w:eastAsia="新宋体" w:cs="新宋体"/>
          <w:color w:val="000000"/>
          <w:kern w:val="0"/>
          <w:sz w:val="21"/>
          <w:szCs w:val="21"/>
          <w:highlight w:val="none"/>
          <w:lang w:val="en-US" w:eastAsia="zh-CN" w:bidi="ar"/>
        </w:rPr>
        <w:t>年，时间自最终验收合格并交付使用之日起计算，部分设备按采购要求。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3.乙方提供的服务承诺和售后服务及保修期责任等其它具体约定事项。（见合同附件）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4.甲方在使用过程中发生故障，1 小时内响应，12小时内到达现场处理，一般故障处理时限不超过 24小时修复，重大故障处理时限不超过 48小时修复。</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eastAsia="zh-CN"/>
        </w:rPr>
        <w:t>付款方式和质保金</w:t>
      </w:r>
    </w:p>
    <w:p>
      <w:pPr>
        <w:keepNext w:val="0"/>
        <w:keepLines w:val="0"/>
        <w:pageBreakBefore w:val="0"/>
        <w:widowControl w:val="0"/>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w:t>
      </w:r>
      <w:r>
        <w:rPr>
          <w:rFonts w:hint="eastAsia" w:ascii="新宋体" w:hAnsi="新宋体" w:eastAsia="新宋体" w:cs="新宋体"/>
          <w:color w:val="auto"/>
          <w:sz w:val="21"/>
          <w:szCs w:val="21"/>
          <w:highlight w:val="none"/>
          <w:lang w:val="en-US" w:eastAsia="zh-CN"/>
        </w:rPr>
        <w:t>.</w:t>
      </w:r>
      <w:r>
        <w:rPr>
          <w:rFonts w:hint="eastAsia" w:ascii="新宋体" w:hAnsi="新宋体" w:eastAsia="新宋体" w:cs="新宋体"/>
          <w:color w:val="auto"/>
          <w:sz w:val="21"/>
          <w:szCs w:val="21"/>
          <w:highlight w:val="none"/>
        </w:rPr>
        <w:t>项目合同签订后，采购单位在5个工作日内</w:t>
      </w:r>
      <w:r>
        <w:rPr>
          <w:rFonts w:hint="eastAsia" w:ascii="新宋体" w:hAnsi="新宋体" w:eastAsia="新宋体" w:cs="新宋体"/>
          <w:color w:val="auto"/>
          <w:sz w:val="21"/>
          <w:szCs w:val="21"/>
          <w:highlight w:val="none"/>
          <w:lang w:eastAsia="zh-CN"/>
        </w:rPr>
        <w:t>申请财政拨款到账</w:t>
      </w:r>
      <w:r>
        <w:rPr>
          <w:rFonts w:hint="eastAsia" w:ascii="新宋体" w:hAnsi="新宋体" w:eastAsia="新宋体" w:cs="新宋体"/>
          <w:color w:val="auto"/>
          <w:sz w:val="21"/>
          <w:szCs w:val="21"/>
          <w:highlight w:val="none"/>
        </w:rPr>
        <w:t>支付成交金额的</w:t>
      </w:r>
      <w:r>
        <w:rPr>
          <w:rFonts w:hint="eastAsia" w:ascii="新宋体" w:hAnsi="新宋体" w:eastAsia="新宋体" w:cs="新宋体"/>
          <w:color w:val="auto"/>
          <w:sz w:val="21"/>
          <w:szCs w:val="21"/>
          <w:highlight w:val="none"/>
          <w:lang w:val="en-US" w:eastAsia="zh-CN"/>
        </w:rPr>
        <w:t>2</w:t>
      </w:r>
      <w:r>
        <w:rPr>
          <w:rFonts w:hint="eastAsia" w:ascii="新宋体" w:hAnsi="新宋体" w:eastAsia="新宋体" w:cs="新宋体"/>
          <w:color w:val="auto"/>
          <w:sz w:val="21"/>
          <w:szCs w:val="21"/>
          <w:highlight w:val="none"/>
        </w:rPr>
        <w:t>0%；</w:t>
      </w:r>
    </w:p>
    <w:p>
      <w:pPr>
        <w:keepNext w:val="0"/>
        <w:keepLines w:val="0"/>
        <w:pageBreakBefore w:val="0"/>
        <w:widowControl w:val="0"/>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2</w:t>
      </w:r>
      <w:r>
        <w:rPr>
          <w:rFonts w:hint="eastAsia" w:ascii="新宋体" w:hAnsi="新宋体" w:eastAsia="新宋体" w:cs="新宋体"/>
          <w:color w:val="auto"/>
          <w:sz w:val="21"/>
          <w:szCs w:val="21"/>
          <w:highlight w:val="none"/>
          <w:lang w:val="en-US" w:eastAsia="zh-CN"/>
        </w:rPr>
        <w:t>.</w:t>
      </w:r>
      <w:r>
        <w:rPr>
          <w:rFonts w:hint="eastAsia" w:ascii="新宋体" w:hAnsi="新宋体" w:eastAsia="新宋体" w:cs="新宋体"/>
          <w:color w:val="auto"/>
          <w:sz w:val="21"/>
          <w:szCs w:val="21"/>
          <w:highlight w:val="none"/>
        </w:rPr>
        <w:t>项目完工，安装调试完成后，采购单位在5个工作日内</w:t>
      </w:r>
      <w:r>
        <w:rPr>
          <w:rFonts w:hint="eastAsia" w:ascii="新宋体" w:hAnsi="新宋体" w:eastAsia="新宋体" w:cs="新宋体"/>
          <w:color w:val="auto"/>
          <w:sz w:val="21"/>
          <w:szCs w:val="21"/>
          <w:highlight w:val="none"/>
          <w:lang w:eastAsia="zh-CN"/>
        </w:rPr>
        <w:t>申请财政拨款到账</w:t>
      </w:r>
      <w:r>
        <w:rPr>
          <w:rFonts w:hint="eastAsia" w:ascii="新宋体" w:hAnsi="新宋体" w:eastAsia="新宋体" w:cs="新宋体"/>
          <w:color w:val="auto"/>
          <w:sz w:val="21"/>
          <w:szCs w:val="21"/>
          <w:highlight w:val="none"/>
        </w:rPr>
        <w:t>支付成交金额的40%；</w:t>
      </w:r>
    </w:p>
    <w:p>
      <w:pPr>
        <w:keepNext w:val="0"/>
        <w:keepLines w:val="0"/>
        <w:pageBreakBefore w:val="0"/>
        <w:widowControl w:val="0"/>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3</w:t>
      </w:r>
      <w:r>
        <w:rPr>
          <w:rFonts w:hint="eastAsia" w:ascii="新宋体" w:hAnsi="新宋体" w:eastAsia="新宋体" w:cs="新宋体"/>
          <w:color w:val="auto"/>
          <w:sz w:val="21"/>
          <w:szCs w:val="21"/>
          <w:highlight w:val="none"/>
          <w:lang w:val="en-US" w:eastAsia="zh-CN"/>
        </w:rPr>
        <w:t>.</w:t>
      </w:r>
      <w:r>
        <w:rPr>
          <w:rFonts w:hint="eastAsia" w:ascii="新宋体" w:hAnsi="新宋体" w:eastAsia="新宋体" w:cs="新宋体"/>
          <w:color w:val="auto"/>
          <w:sz w:val="21"/>
          <w:szCs w:val="21"/>
          <w:highlight w:val="none"/>
        </w:rPr>
        <w:t>经验收合格（以污水排放达到《医疗机构水污染物排放标准》（GB18466-2005）中的</w:t>
      </w:r>
      <w:r>
        <w:rPr>
          <w:rFonts w:hint="eastAsia" w:ascii="新宋体" w:hAnsi="新宋体" w:eastAsia="新宋体" w:cs="新宋体"/>
          <w:color w:val="auto"/>
          <w:sz w:val="21"/>
          <w:szCs w:val="21"/>
          <w:highlight w:val="none"/>
          <w:lang w:eastAsia="zh-CN"/>
        </w:rPr>
        <w:t>预处理</w:t>
      </w:r>
      <w:r>
        <w:rPr>
          <w:rFonts w:hint="eastAsia" w:ascii="新宋体" w:hAnsi="新宋体" w:eastAsia="新宋体" w:cs="新宋体"/>
          <w:color w:val="auto"/>
          <w:sz w:val="21"/>
          <w:szCs w:val="21"/>
          <w:highlight w:val="none"/>
        </w:rPr>
        <w:t>标准，且通过具备相关资质的第三方检测机构的验收并出具合格的水质检测报告为合格标准。）并由供应商提供合格发票后，采购单位在5个工作日内</w:t>
      </w:r>
      <w:r>
        <w:rPr>
          <w:rFonts w:hint="eastAsia" w:ascii="新宋体" w:hAnsi="新宋体" w:eastAsia="新宋体" w:cs="新宋体"/>
          <w:color w:val="auto"/>
          <w:sz w:val="21"/>
          <w:szCs w:val="21"/>
          <w:highlight w:val="none"/>
          <w:lang w:eastAsia="zh-CN"/>
        </w:rPr>
        <w:t>申请财政拨款到账</w:t>
      </w:r>
      <w:r>
        <w:rPr>
          <w:rFonts w:hint="eastAsia" w:ascii="新宋体" w:hAnsi="新宋体" w:eastAsia="新宋体" w:cs="新宋体"/>
          <w:color w:val="auto"/>
          <w:sz w:val="21"/>
          <w:szCs w:val="21"/>
          <w:highlight w:val="none"/>
        </w:rPr>
        <w:t>支付成交金额的</w:t>
      </w:r>
      <w:r>
        <w:rPr>
          <w:rFonts w:hint="eastAsia" w:ascii="新宋体" w:hAnsi="新宋体" w:eastAsia="新宋体" w:cs="新宋体"/>
          <w:color w:val="auto"/>
          <w:sz w:val="21"/>
          <w:szCs w:val="21"/>
          <w:highlight w:val="none"/>
          <w:lang w:val="en-US" w:eastAsia="zh-CN"/>
        </w:rPr>
        <w:t>3</w:t>
      </w:r>
      <w:r>
        <w:rPr>
          <w:rFonts w:hint="eastAsia" w:ascii="新宋体" w:hAnsi="新宋体" w:eastAsia="新宋体" w:cs="新宋体"/>
          <w:color w:val="auto"/>
          <w:sz w:val="21"/>
          <w:szCs w:val="21"/>
          <w:highlight w:val="none"/>
        </w:rPr>
        <w:t>5%；</w:t>
      </w:r>
    </w:p>
    <w:p>
      <w:pPr>
        <w:keepNext w:val="0"/>
        <w:keepLines w:val="0"/>
        <w:pageBreakBefore w:val="0"/>
        <w:widowControl w:val="0"/>
        <w:kinsoku w:val="0"/>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4</w:t>
      </w:r>
      <w:r>
        <w:rPr>
          <w:rFonts w:hint="eastAsia" w:ascii="新宋体" w:hAnsi="新宋体" w:eastAsia="新宋体" w:cs="新宋体"/>
          <w:color w:val="auto"/>
          <w:sz w:val="21"/>
          <w:szCs w:val="21"/>
          <w:highlight w:val="none"/>
          <w:lang w:val="en-US" w:eastAsia="zh-CN"/>
        </w:rPr>
        <w:t>.</w:t>
      </w:r>
      <w:r>
        <w:rPr>
          <w:rFonts w:hint="eastAsia" w:ascii="新宋体" w:hAnsi="新宋体" w:eastAsia="新宋体" w:cs="新宋体"/>
          <w:color w:val="auto"/>
          <w:sz w:val="21"/>
          <w:szCs w:val="21"/>
          <w:highlight w:val="none"/>
          <w:lang w:eastAsia="zh-CN"/>
        </w:rPr>
        <w:t>剩余</w:t>
      </w:r>
      <w:r>
        <w:rPr>
          <w:rFonts w:hint="eastAsia" w:ascii="新宋体" w:hAnsi="新宋体" w:eastAsia="新宋体" w:cs="新宋体"/>
          <w:color w:val="auto"/>
          <w:sz w:val="21"/>
          <w:szCs w:val="21"/>
          <w:highlight w:val="none"/>
        </w:rPr>
        <w:t>5%为质保金，质保期满20个工作日内全部付清。</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eastAsia="zh-CN"/>
        </w:rPr>
        <w:t>税金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 xml:space="preserve">本合同执行中相关的一切税费均由乙方负担。 </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eastAsia="zh-CN"/>
        </w:rPr>
        <w:t>调试和验收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1.甲方对乙方提交的货物依据谈判采购文件上的技术规格要求和国家有关质量标准进行现场初步验收，外观、说明书符合谈判采购文件技术要求的，给予签收，初步验收不合格的不予签收。货到后，甲方应当在到货（安装、调试完）后七个工作日内进行签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2.乙方交货前应对产品作出全面检查和对验收文件进行整理，并列出清单，作为甲方收货验收和使用的技术条件依据，检验的结果应随货物交甲方。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3.甲方对乙方提供的货物在使用前进行调试时，乙方需负责安装并培训甲方的使用操作人员，并协助甲方一起调试，直到符合技术要求。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4.对技术复杂的货物，甲方应请国家认可的专业检测机构参与初步验收及最终验收，并由其出具质量检测报告。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5.验收时乙方必须在现场，验收完毕后作出验收结果报告；验收费用由乙方负责。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新宋体" w:hAnsi="新宋体" w:eastAsia="新宋体" w:cs="新宋体"/>
          <w:color w:val="000000"/>
          <w:kern w:val="0"/>
          <w:sz w:val="21"/>
          <w:szCs w:val="21"/>
          <w:highlight w:val="none"/>
          <w:u w:val="none"/>
          <w:lang w:val="en-US" w:eastAsia="zh-CN" w:bidi="ar"/>
        </w:rPr>
      </w:pPr>
      <w:r>
        <w:rPr>
          <w:rFonts w:hint="eastAsia" w:ascii="新宋体" w:hAnsi="新宋体" w:eastAsia="新宋体" w:cs="新宋体"/>
          <w:color w:val="000000"/>
          <w:kern w:val="0"/>
          <w:sz w:val="21"/>
          <w:szCs w:val="21"/>
          <w:highlight w:val="none"/>
          <w:lang w:val="en-US" w:eastAsia="zh-CN" w:bidi="ar"/>
        </w:rPr>
        <w:t>6.乙方在所有设备安装调试完成，正常运行</w:t>
      </w:r>
      <w:r>
        <w:rPr>
          <w:rFonts w:hint="eastAsia" w:ascii="新宋体" w:hAnsi="新宋体" w:eastAsia="新宋体" w:cs="新宋体"/>
          <w:color w:val="000000"/>
          <w:kern w:val="0"/>
          <w:sz w:val="21"/>
          <w:szCs w:val="21"/>
          <w:highlight w:val="none"/>
          <w:u w:val="single"/>
          <w:lang w:val="en-US" w:eastAsia="zh-CN" w:bidi="ar"/>
        </w:rPr>
        <w:t xml:space="preserve">    </w:t>
      </w:r>
      <w:r>
        <w:rPr>
          <w:rFonts w:hint="eastAsia" w:ascii="新宋体" w:hAnsi="新宋体" w:eastAsia="新宋体" w:cs="新宋体"/>
          <w:color w:val="000000"/>
          <w:kern w:val="0"/>
          <w:sz w:val="21"/>
          <w:szCs w:val="21"/>
          <w:highlight w:val="none"/>
          <w:u w:val="none"/>
          <w:lang w:val="en-US" w:eastAsia="zh-CN" w:bidi="ar"/>
        </w:rPr>
        <w:t>日后</w:t>
      </w:r>
      <w:r>
        <w:rPr>
          <w:rFonts w:hint="eastAsia" w:ascii="新宋体" w:hAnsi="新宋体" w:eastAsia="新宋体" w:cs="新宋体"/>
          <w:color w:val="000000"/>
          <w:kern w:val="0"/>
          <w:sz w:val="21"/>
          <w:szCs w:val="21"/>
          <w:highlight w:val="none"/>
          <w:lang w:val="en-US" w:eastAsia="zh-CN" w:bidi="ar"/>
        </w:rPr>
        <w:t>自行委托有资质的第三方检测机构对排放的污水进行初次检测，并将检测合格报告提交甲方。甲方在收到初检报告</w:t>
      </w:r>
      <w:r>
        <w:rPr>
          <w:rFonts w:hint="eastAsia" w:ascii="新宋体" w:hAnsi="新宋体" w:eastAsia="新宋体" w:cs="新宋体"/>
          <w:color w:val="000000"/>
          <w:kern w:val="0"/>
          <w:sz w:val="21"/>
          <w:szCs w:val="21"/>
          <w:highlight w:val="none"/>
          <w:u w:val="single"/>
          <w:lang w:val="en-US" w:eastAsia="zh-CN" w:bidi="ar"/>
        </w:rPr>
        <w:t xml:space="preserve">    </w:t>
      </w:r>
      <w:r>
        <w:rPr>
          <w:rFonts w:hint="eastAsia" w:ascii="新宋体" w:hAnsi="新宋体" w:eastAsia="新宋体" w:cs="新宋体"/>
          <w:color w:val="000000"/>
          <w:kern w:val="0"/>
          <w:sz w:val="21"/>
          <w:szCs w:val="21"/>
          <w:highlight w:val="none"/>
          <w:u w:val="none"/>
          <w:lang w:val="en-US" w:eastAsia="zh-CN" w:bidi="ar"/>
        </w:rPr>
        <w:t>日后，委托有资质的第三方检测机构对排放的污水进行复检，复检合格后</w:t>
      </w:r>
      <w:r>
        <w:rPr>
          <w:rFonts w:hint="eastAsia" w:ascii="新宋体" w:hAnsi="新宋体" w:eastAsia="新宋体" w:cs="新宋体"/>
          <w:color w:val="000000"/>
          <w:kern w:val="0"/>
          <w:sz w:val="21"/>
          <w:szCs w:val="21"/>
          <w:highlight w:val="none"/>
          <w:lang w:val="en-US" w:eastAsia="zh-CN" w:bidi="ar"/>
        </w:rPr>
        <w:t>甲方才做最终验收。</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eastAsia="zh-CN"/>
        </w:rPr>
        <w:t>违约责任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2.乙方提供的货物如侵犯了第三方合法权益而引发的任何纠纷或诉讼，均由乙方负责交涉并承担全部责任。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3.因包装、运输引起的货物损坏，按质量不合格处理。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4.乙方未按本合同和投标文件中规定的服务承诺提供售后服务的，乙方应按本合同合计金额5%向甲方支付违约金，并赔偿甲方因此所造成经济损失。</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5.乙方提供的货物在质量保证期内，因设计、工艺或材料的缺陷和其它质量原因造成的问题，由乙方负责，费用从质量保证金中扣除，不足另补。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6.其它违约行为按违约合同合计金额5%收取违约金并赔偿经济损失。</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eastAsia="zh-CN"/>
        </w:rPr>
        <w:t>不可抗力事件处理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1.在合同有效期内，任何一方因不可抗力事件导致不能履行合同，则合同履行期可延长，其延长期与不可抗力影响期相同。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2.不可抗力事件发生后，应立即通知对方，并寄送有关权威机构出具的证明。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3.不可抗力事件延续一百二十天以上，双方应通过友好协商，确定是否继续履行合同。</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eastAsia="zh-CN"/>
        </w:rPr>
        <w:t>合同争议和解决</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1.因货物质量问题发生争议的，应邀请国家认可的质量检测机构对货物质量进行鉴定。货物符合标准的，鉴定费由甲方承担；货物不符合标准的，鉴定费由乙方承担。</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2.因履行本合同引起的或与本合同有关的争议，甲乙双方应首先通过友好协商解决，如果协商不能解决，可向钦州市仲裁委员会申请仲裁或向人民法院提起诉讼。</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3.诉讼期间，本合同继续履行。</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eastAsia="zh-CN"/>
        </w:rPr>
        <w:t>诉讼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双方在执行合同中所发生的一切争议，应通过协商解决。如果协商不能解决，可向钦州仲裁委员会申请仲裁或向人民法院提起诉讼。</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eastAsia="zh-CN"/>
        </w:rPr>
        <w:t>合同生效及其它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1.合同经双方法定代表人或授权代表签字并加盖单位公章后生效。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2.合同执行中涉及采购资金和采购内容修改或补充的，须经财政部门审批，并签书面补充协议报财政部门备案，方可作为主合同不可分割的一部分。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3.本合同未尽事宜，遵照《合同法》有关条文执行。</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eastAsia="zh-CN"/>
        </w:rPr>
        <w:t>合同的变更、终止及转让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1.除《中华人民共和国政府采购法》第五十条规定的情形外，本合同一经签订，甲乙双方不得擅自变更、中止或终止。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2.乙方不得擅自转让（无进口资格的供应商委托进口货物除外）其应履行的合同义务。</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eastAsia="zh-CN"/>
        </w:rPr>
        <w:t>签订本合同依据</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60" w:lineRule="auto"/>
        <w:ind w:firstLine="420" w:firstLineChars="200"/>
        <w:jc w:val="left"/>
        <w:textAlignment w:val="auto"/>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1.政府采购投标采购文件；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jc w:val="left"/>
        <w:textAlignment w:val="auto"/>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2.乙方提供的采购投标（或应答）文件；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jc w:val="left"/>
        <w:textAlignment w:val="auto"/>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000000"/>
          <w:kern w:val="0"/>
          <w:sz w:val="21"/>
          <w:szCs w:val="21"/>
          <w:highlight w:val="none"/>
          <w:lang w:val="en-US" w:eastAsia="zh-CN" w:bidi="ar"/>
        </w:rPr>
        <w:t>3.投标承诺书；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left"/>
        <w:textAlignment w:val="auto"/>
        <w:rPr>
          <w:rFonts w:hint="eastAsia" w:ascii="新宋体" w:hAnsi="新宋体" w:eastAsia="新宋体" w:cs="新宋体"/>
          <w:sz w:val="21"/>
          <w:szCs w:val="21"/>
          <w:highlight w:val="none"/>
        </w:rPr>
      </w:pPr>
      <w:r>
        <w:rPr>
          <w:rFonts w:hint="eastAsia" w:ascii="新宋体" w:hAnsi="新宋体" w:eastAsia="新宋体" w:cs="新宋体"/>
          <w:color w:val="000000"/>
          <w:kern w:val="0"/>
          <w:sz w:val="21"/>
          <w:szCs w:val="21"/>
          <w:highlight w:val="none"/>
          <w:lang w:val="en-US" w:eastAsia="zh-CN" w:bidi="ar"/>
        </w:rPr>
        <w:t>4.中标或成交通知书。</w:t>
      </w:r>
    </w:p>
    <w:p>
      <w:pPr>
        <w:keepNext w:val="0"/>
        <w:keepLines w:val="0"/>
        <w:pageBreakBefore w:val="0"/>
        <w:numPr>
          <w:ilvl w:val="0"/>
          <w:numId w:val="5"/>
        </w:numPr>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rPr>
        <w:t>本合同一式五份，具有同等法律效力，财政部门（政府采购监管部门）一份，甲方两份，乙方一份，采购代理机构一份（可根据需要另增加）。本合同甲乙双方签字盖章后生效，自签订之日起七个工作日内，采购人应当将合同副本报同级财政部门备案。</w:t>
      </w:r>
    </w:p>
    <w:tbl>
      <w:tblPr>
        <w:tblStyle w:val="23"/>
        <w:tblpPr w:leftFromText="180" w:rightFromText="180" w:vertAnchor="text" w:horzAnchor="page" w:tblpX="1417" w:tblpY="28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5"/>
        <w:gridCol w:w="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85" w:type="dxa"/>
            <w:tcBorders>
              <w:tl2br w:val="nil"/>
              <w:tr2bl w:val="nil"/>
            </w:tcBorders>
            <w:noWrap w:val="0"/>
            <w:vAlign w:val="top"/>
          </w:tcPr>
          <w:p>
            <w:pPr>
              <w:keepNext w:val="0"/>
              <w:keepLines w:val="0"/>
              <w:widowControl/>
              <w:suppressLineNumbers w:val="0"/>
              <w:jc w:val="left"/>
              <w:rPr>
                <w:rFonts w:hint="eastAsia" w:ascii="新宋体" w:hAnsi="新宋体" w:eastAsia="新宋体" w:cs="新宋体"/>
                <w:b/>
                <w:bCs/>
                <w:color w:val="auto"/>
                <w:sz w:val="21"/>
                <w:szCs w:val="21"/>
                <w:highlight w:val="none"/>
                <w:vertAlign w:val="baseline"/>
              </w:rPr>
            </w:pPr>
            <w:r>
              <w:rPr>
                <w:rFonts w:hint="eastAsia" w:ascii="新宋体" w:hAnsi="新宋体" w:eastAsia="新宋体" w:cs="新宋体"/>
                <w:color w:val="000000"/>
                <w:kern w:val="0"/>
                <w:sz w:val="21"/>
                <w:szCs w:val="21"/>
                <w:highlight w:val="none"/>
                <w:lang w:val="en-US" w:eastAsia="zh-CN" w:bidi="ar"/>
              </w:rPr>
              <w:t>乙方（公章）：</w:t>
            </w:r>
          </w:p>
        </w:tc>
        <w:tc>
          <w:tcPr>
            <w:tcW w:w="4786" w:type="dxa"/>
            <w:tcBorders>
              <w:tl2br w:val="nil"/>
              <w:tr2bl w:val="nil"/>
            </w:tcBorders>
            <w:noWrap w:val="0"/>
            <w:vAlign w:val="top"/>
          </w:tcPr>
          <w:p>
            <w:pPr>
              <w:keepNext w:val="0"/>
              <w:keepLines w:val="0"/>
              <w:widowControl/>
              <w:suppressLineNumbers w:val="0"/>
              <w:jc w:val="left"/>
              <w:rPr>
                <w:rFonts w:hint="eastAsia" w:ascii="新宋体" w:hAnsi="新宋体" w:eastAsia="新宋体" w:cs="新宋体"/>
                <w:b/>
                <w:bCs/>
                <w:color w:val="auto"/>
                <w:sz w:val="21"/>
                <w:szCs w:val="21"/>
                <w:highlight w:val="none"/>
                <w:vertAlign w:val="baseline"/>
              </w:rPr>
            </w:pPr>
            <w:r>
              <w:rPr>
                <w:rFonts w:hint="eastAsia" w:ascii="新宋体" w:hAnsi="新宋体" w:eastAsia="新宋体" w:cs="新宋体"/>
                <w:color w:val="000000"/>
                <w:kern w:val="0"/>
                <w:sz w:val="21"/>
                <w:szCs w:val="21"/>
                <w:highlight w:val="none"/>
                <w:lang w:val="en-US" w:eastAsia="zh-CN" w:bidi="ar"/>
              </w:rPr>
              <w:t>乙方（公章）：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85" w:type="dxa"/>
            <w:tcBorders>
              <w:tl2br w:val="nil"/>
              <w:tr2bl w:val="nil"/>
            </w:tcBorders>
            <w:noWrap w:val="0"/>
            <w:vAlign w:val="top"/>
          </w:tcPr>
          <w:p>
            <w:pPr>
              <w:keepNext w:val="0"/>
              <w:keepLines w:val="0"/>
              <w:widowControl/>
              <w:suppressLineNumbers w:val="0"/>
              <w:jc w:val="left"/>
              <w:rPr>
                <w:rFonts w:hint="eastAsia" w:ascii="新宋体" w:hAnsi="新宋体" w:eastAsia="新宋体" w:cs="新宋体"/>
                <w:b/>
                <w:bCs/>
                <w:color w:val="auto"/>
                <w:sz w:val="21"/>
                <w:szCs w:val="21"/>
                <w:highlight w:val="none"/>
                <w:vertAlign w:val="baseline"/>
              </w:rPr>
            </w:pPr>
            <w:r>
              <w:rPr>
                <w:rFonts w:hint="eastAsia" w:ascii="新宋体" w:hAnsi="新宋体" w:eastAsia="新宋体" w:cs="新宋体"/>
                <w:color w:val="000000"/>
                <w:kern w:val="0"/>
                <w:sz w:val="21"/>
                <w:szCs w:val="21"/>
                <w:highlight w:val="none"/>
                <w:lang w:val="en-US" w:eastAsia="zh-CN" w:bidi="ar"/>
              </w:rPr>
              <w:t>单位地址：</w:t>
            </w:r>
          </w:p>
        </w:tc>
        <w:tc>
          <w:tcPr>
            <w:tcW w:w="4786" w:type="dxa"/>
            <w:tcBorders>
              <w:tl2br w:val="nil"/>
              <w:tr2bl w:val="nil"/>
            </w:tcBorders>
            <w:noWrap w:val="0"/>
            <w:vAlign w:val="top"/>
          </w:tcPr>
          <w:p>
            <w:pPr>
              <w:keepNext w:val="0"/>
              <w:keepLines w:val="0"/>
              <w:widowControl/>
              <w:suppressLineNumbers w:val="0"/>
              <w:jc w:val="left"/>
              <w:rPr>
                <w:rFonts w:hint="eastAsia" w:ascii="新宋体" w:hAnsi="新宋体" w:eastAsia="新宋体" w:cs="新宋体"/>
                <w:b/>
                <w:bCs/>
                <w:color w:val="auto"/>
                <w:sz w:val="21"/>
                <w:szCs w:val="21"/>
                <w:highlight w:val="none"/>
                <w:vertAlign w:val="baseline"/>
              </w:rPr>
            </w:pPr>
            <w:r>
              <w:rPr>
                <w:rFonts w:hint="eastAsia" w:ascii="新宋体" w:hAnsi="新宋体" w:eastAsia="新宋体" w:cs="新宋体"/>
                <w:color w:val="000000"/>
                <w:kern w:val="0"/>
                <w:sz w:val="21"/>
                <w:szCs w:val="21"/>
                <w:highlight w:val="none"/>
                <w:lang w:val="en-US" w:eastAsia="zh-CN" w:bidi="ar"/>
              </w:rPr>
              <w:t>单位地址：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85" w:type="dxa"/>
            <w:tcBorders>
              <w:tl2br w:val="nil"/>
              <w:tr2bl w:val="nil"/>
            </w:tcBorders>
            <w:noWrap w:val="0"/>
            <w:vAlign w:val="top"/>
          </w:tcPr>
          <w:p>
            <w:pPr>
              <w:keepNext w:val="0"/>
              <w:keepLines w:val="0"/>
              <w:widowControl/>
              <w:numPr>
                <w:ilvl w:val="0"/>
                <w:numId w:val="0"/>
              </w:numPr>
              <w:suppressLineNumbers w:val="0"/>
              <w:jc w:val="left"/>
              <w:rPr>
                <w:rFonts w:hint="eastAsia" w:ascii="新宋体" w:hAnsi="新宋体" w:eastAsia="新宋体" w:cs="新宋体"/>
                <w:b/>
                <w:bCs/>
                <w:color w:val="auto"/>
                <w:sz w:val="21"/>
                <w:szCs w:val="21"/>
                <w:highlight w:val="none"/>
                <w:vertAlign w:val="baseline"/>
              </w:rPr>
            </w:pPr>
            <w:r>
              <w:rPr>
                <w:rFonts w:hint="eastAsia" w:ascii="新宋体" w:hAnsi="新宋体" w:eastAsia="新宋体" w:cs="新宋体"/>
                <w:color w:val="000000"/>
                <w:kern w:val="0"/>
                <w:sz w:val="21"/>
                <w:szCs w:val="21"/>
                <w:highlight w:val="none"/>
                <w:lang w:val="en-US" w:eastAsia="zh-CN" w:bidi="ar"/>
              </w:rPr>
              <w:t xml:space="preserve">法定代表人： </w:t>
            </w:r>
          </w:p>
        </w:tc>
        <w:tc>
          <w:tcPr>
            <w:tcW w:w="4786" w:type="dxa"/>
            <w:tcBorders>
              <w:tl2br w:val="nil"/>
              <w:tr2bl w:val="nil"/>
            </w:tcBorders>
            <w:noWrap w:val="0"/>
            <w:vAlign w:val="top"/>
          </w:tcPr>
          <w:p>
            <w:pPr>
              <w:keepNext w:val="0"/>
              <w:keepLines w:val="0"/>
              <w:widowControl/>
              <w:numPr>
                <w:ilvl w:val="0"/>
                <w:numId w:val="0"/>
              </w:numPr>
              <w:suppressLineNumbers w:val="0"/>
              <w:jc w:val="left"/>
              <w:rPr>
                <w:rFonts w:hint="eastAsia" w:ascii="新宋体" w:hAnsi="新宋体" w:eastAsia="新宋体" w:cs="新宋体"/>
                <w:b/>
                <w:bCs/>
                <w:color w:val="auto"/>
                <w:sz w:val="21"/>
                <w:szCs w:val="21"/>
                <w:highlight w:val="none"/>
                <w:vertAlign w:val="baseline"/>
              </w:rPr>
            </w:pPr>
            <w:r>
              <w:rPr>
                <w:rFonts w:hint="eastAsia" w:ascii="新宋体" w:hAnsi="新宋体" w:eastAsia="新宋体" w:cs="新宋体"/>
                <w:color w:val="000000"/>
                <w:kern w:val="0"/>
                <w:sz w:val="21"/>
                <w:szCs w:val="21"/>
                <w:highlight w:val="none"/>
                <w:lang w:val="en-US" w:eastAsia="zh-CN" w:bidi="ar"/>
              </w:rPr>
              <w:t xml:space="preserve">法定代表人：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85" w:type="dxa"/>
            <w:tcBorders>
              <w:tl2br w:val="nil"/>
              <w:tr2bl w:val="nil"/>
            </w:tcBorders>
            <w:noWrap w:val="0"/>
            <w:vAlign w:val="top"/>
          </w:tcPr>
          <w:p>
            <w:pPr>
              <w:keepNext w:val="0"/>
              <w:keepLines w:val="0"/>
              <w:widowControl/>
              <w:numPr>
                <w:ilvl w:val="0"/>
                <w:numId w:val="0"/>
              </w:numPr>
              <w:suppressLineNumbers w:val="0"/>
              <w:jc w:val="left"/>
              <w:rPr>
                <w:rFonts w:hint="eastAsia" w:ascii="新宋体" w:hAnsi="新宋体" w:eastAsia="新宋体" w:cs="新宋体"/>
                <w:b/>
                <w:bCs/>
                <w:color w:val="auto"/>
                <w:sz w:val="21"/>
                <w:szCs w:val="21"/>
                <w:highlight w:val="none"/>
                <w:vertAlign w:val="baseline"/>
              </w:rPr>
            </w:pPr>
            <w:r>
              <w:rPr>
                <w:rFonts w:hint="eastAsia" w:ascii="新宋体" w:hAnsi="新宋体" w:eastAsia="新宋体" w:cs="新宋体"/>
                <w:color w:val="000000"/>
                <w:kern w:val="0"/>
                <w:sz w:val="21"/>
                <w:szCs w:val="21"/>
                <w:highlight w:val="none"/>
                <w:lang w:val="en-US" w:eastAsia="zh-CN" w:bidi="ar"/>
              </w:rPr>
              <w:t xml:space="preserve">委托代理人： </w:t>
            </w:r>
          </w:p>
        </w:tc>
        <w:tc>
          <w:tcPr>
            <w:tcW w:w="4786" w:type="dxa"/>
            <w:tcBorders>
              <w:tl2br w:val="nil"/>
              <w:tr2bl w:val="nil"/>
            </w:tcBorders>
            <w:noWrap w:val="0"/>
            <w:vAlign w:val="top"/>
          </w:tcPr>
          <w:p>
            <w:pPr>
              <w:keepNext w:val="0"/>
              <w:keepLines w:val="0"/>
              <w:widowControl/>
              <w:numPr>
                <w:ilvl w:val="0"/>
                <w:numId w:val="0"/>
              </w:numPr>
              <w:suppressLineNumbers w:val="0"/>
              <w:jc w:val="left"/>
              <w:rPr>
                <w:rFonts w:hint="eastAsia" w:ascii="新宋体" w:hAnsi="新宋体" w:eastAsia="新宋体" w:cs="新宋体"/>
                <w:b/>
                <w:bCs/>
                <w:color w:val="auto"/>
                <w:sz w:val="21"/>
                <w:szCs w:val="21"/>
                <w:highlight w:val="none"/>
                <w:vertAlign w:val="baseline"/>
              </w:rPr>
            </w:pPr>
            <w:r>
              <w:rPr>
                <w:rFonts w:hint="eastAsia" w:ascii="新宋体" w:hAnsi="新宋体" w:eastAsia="新宋体" w:cs="新宋体"/>
                <w:color w:val="000000"/>
                <w:kern w:val="0"/>
                <w:sz w:val="21"/>
                <w:szCs w:val="21"/>
                <w:highlight w:val="none"/>
                <w:lang w:val="en-US" w:eastAsia="zh-CN" w:bidi="ar"/>
              </w:rPr>
              <w:t xml:space="preserve">委托代理人：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85" w:type="dxa"/>
            <w:tcBorders>
              <w:tl2br w:val="nil"/>
              <w:tr2bl w:val="nil"/>
            </w:tcBorders>
            <w:noWrap w:val="0"/>
            <w:vAlign w:val="top"/>
          </w:tcPr>
          <w:p>
            <w:pPr>
              <w:keepNext w:val="0"/>
              <w:keepLines w:val="0"/>
              <w:widowControl/>
              <w:numPr>
                <w:ilvl w:val="0"/>
                <w:numId w:val="0"/>
              </w:numPr>
              <w:suppressLineNumbers w:val="0"/>
              <w:jc w:val="left"/>
              <w:rPr>
                <w:rFonts w:hint="eastAsia" w:ascii="新宋体" w:hAnsi="新宋体" w:eastAsia="新宋体" w:cs="新宋体"/>
                <w:b/>
                <w:bCs/>
                <w:color w:val="auto"/>
                <w:sz w:val="21"/>
                <w:szCs w:val="21"/>
                <w:highlight w:val="none"/>
                <w:vertAlign w:val="baseline"/>
              </w:rPr>
            </w:pPr>
            <w:r>
              <w:rPr>
                <w:rFonts w:hint="eastAsia" w:ascii="新宋体" w:hAnsi="新宋体" w:eastAsia="新宋体" w:cs="新宋体"/>
                <w:color w:val="000000"/>
                <w:kern w:val="0"/>
                <w:sz w:val="21"/>
                <w:szCs w:val="21"/>
                <w:highlight w:val="none"/>
                <w:lang w:val="en-US" w:eastAsia="zh-CN" w:bidi="ar"/>
              </w:rPr>
              <w:t xml:space="preserve">电 话： </w:t>
            </w:r>
          </w:p>
        </w:tc>
        <w:tc>
          <w:tcPr>
            <w:tcW w:w="4786" w:type="dxa"/>
            <w:tcBorders>
              <w:tl2br w:val="nil"/>
              <w:tr2bl w:val="nil"/>
            </w:tcBorders>
            <w:noWrap w:val="0"/>
            <w:vAlign w:val="top"/>
          </w:tcPr>
          <w:p>
            <w:pPr>
              <w:keepNext w:val="0"/>
              <w:keepLines w:val="0"/>
              <w:widowControl/>
              <w:numPr>
                <w:ilvl w:val="0"/>
                <w:numId w:val="0"/>
              </w:numPr>
              <w:suppressLineNumbers w:val="0"/>
              <w:jc w:val="left"/>
              <w:rPr>
                <w:rFonts w:hint="eastAsia" w:ascii="新宋体" w:hAnsi="新宋体" w:eastAsia="新宋体" w:cs="新宋体"/>
                <w:b/>
                <w:bCs/>
                <w:color w:val="auto"/>
                <w:sz w:val="21"/>
                <w:szCs w:val="21"/>
                <w:highlight w:val="none"/>
                <w:vertAlign w:val="baseline"/>
              </w:rPr>
            </w:pPr>
            <w:r>
              <w:rPr>
                <w:rFonts w:hint="eastAsia" w:ascii="新宋体" w:hAnsi="新宋体" w:eastAsia="新宋体" w:cs="新宋体"/>
                <w:color w:val="000000"/>
                <w:kern w:val="0"/>
                <w:sz w:val="21"/>
                <w:szCs w:val="21"/>
                <w:highlight w:val="none"/>
                <w:lang w:val="en-US" w:eastAsia="zh-CN" w:bidi="ar"/>
              </w:rPr>
              <w:t xml:space="preserve">电 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85" w:type="dxa"/>
            <w:tcBorders>
              <w:tl2br w:val="nil"/>
              <w:tr2bl w:val="nil"/>
            </w:tcBorders>
            <w:noWrap w:val="0"/>
            <w:vAlign w:val="top"/>
          </w:tcPr>
          <w:p>
            <w:pPr>
              <w:keepNext w:val="0"/>
              <w:keepLines w:val="0"/>
              <w:widowControl/>
              <w:numPr>
                <w:ilvl w:val="0"/>
                <w:numId w:val="0"/>
              </w:numPr>
              <w:suppressLineNumbers w:val="0"/>
              <w:jc w:val="left"/>
              <w:rPr>
                <w:rFonts w:hint="eastAsia" w:ascii="新宋体" w:hAnsi="新宋体" w:eastAsia="新宋体" w:cs="新宋体"/>
                <w:b/>
                <w:bCs/>
                <w:color w:val="auto"/>
                <w:sz w:val="21"/>
                <w:szCs w:val="21"/>
                <w:highlight w:val="none"/>
                <w:vertAlign w:val="baseline"/>
              </w:rPr>
            </w:pPr>
            <w:r>
              <w:rPr>
                <w:rFonts w:hint="eastAsia" w:ascii="新宋体" w:hAnsi="新宋体" w:eastAsia="新宋体" w:cs="新宋体"/>
                <w:color w:val="000000"/>
                <w:kern w:val="0"/>
                <w:sz w:val="21"/>
                <w:szCs w:val="21"/>
                <w:highlight w:val="none"/>
                <w:lang w:val="en-US" w:eastAsia="zh-CN" w:bidi="ar"/>
              </w:rPr>
              <w:t xml:space="preserve">电子邮箱： </w:t>
            </w:r>
          </w:p>
        </w:tc>
        <w:tc>
          <w:tcPr>
            <w:tcW w:w="4786" w:type="dxa"/>
            <w:tcBorders>
              <w:tl2br w:val="nil"/>
              <w:tr2bl w:val="nil"/>
            </w:tcBorders>
            <w:noWrap w:val="0"/>
            <w:vAlign w:val="top"/>
          </w:tcPr>
          <w:p>
            <w:pPr>
              <w:keepNext w:val="0"/>
              <w:keepLines w:val="0"/>
              <w:widowControl/>
              <w:numPr>
                <w:ilvl w:val="0"/>
                <w:numId w:val="0"/>
              </w:numPr>
              <w:suppressLineNumbers w:val="0"/>
              <w:jc w:val="left"/>
              <w:rPr>
                <w:rFonts w:hint="eastAsia" w:ascii="新宋体" w:hAnsi="新宋体" w:eastAsia="新宋体" w:cs="新宋体"/>
                <w:b/>
                <w:bCs/>
                <w:color w:val="auto"/>
                <w:sz w:val="21"/>
                <w:szCs w:val="21"/>
                <w:highlight w:val="none"/>
                <w:vertAlign w:val="baseline"/>
              </w:rPr>
            </w:pPr>
            <w:r>
              <w:rPr>
                <w:rFonts w:hint="eastAsia" w:ascii="新宋体" w:hAnsi="新宋体" w:eastAsia="新宋体" w:cs="新宋体"/>
                <w:color w:val="000000"/>
                <w:kern w:val="0"/>
                <w:sz w:val="21"/>
                <w:szCs w:val="21"/>
                <w:highlight w:val="none"/>
                <w:lang w:val="en-US" w:eastAsia="zh-CN" w:bidi="ar"/>
              </w:rPr>
              <w:t xml:space="preserve">电子邮箱：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85" w:type="dxa"/>
            <w:tcBorders>
              <w:tl2br w:val="nil"/>
              <w:tr2bl w:val="nil"/>
            </w:tcBorders>
            <w:noWrap w:val="0"/>
            <w:vAlign w:val="top"/>
          </w:tcPr>
          <w:p>
            <w:pPr>
              <w:keepNext w:val="0"/>
              <w:keepLines w:val="0"/>
              <w:widowControl/>
              <w:numPr>
                <w:ilvl w:val="0"/>
                <w:numId w:val="0"/>
              </w:numPr>
              <w:suppressLineNumbers w:val="0"/>
              <w:jc w:val="left"/>
              <w:rPr>
                <w:rFonts w:hint="eastAsia" w:ascii="新宋体" w:hAnsi="新宋体" w:eastAsia="新宋体" w:cs="新宋体"/>
                <w:b/>
                <w:bCs/>
                <w:color w:val="auto"/>
                <w:sz w:val="21"/>
                <w:szCs w:val="21"/>
                <w:highlight w:val="none"/>
                <w:vertAlign w:val="baseline"/>
              </w:rPr>
            </w:pPr>
            <w:r>
              <w:rPr>
                <w:rFonts w:hint="eastAsia" w:ascii="新宋体" w:hAnsi="新宋体" w:eastAsia="新宋体" w:cs="新宋体"/>
                <w:color w:val="000000"/>
                <w:kern w:val="0"/>
                <w:sz w:val="21"/>
                <w:szCs w:val="21"/>
                <w:highlight w:val="none"/>
                <w:lang w:val="en-US" w:eastAsia="zh-CN" w:bidi="ar"/>
              </w:rPr>
              <w:t xml:space="preserve">开户银行： </w:t>
            </w:r>
          </w:p>
        </w:tc>
        <w:tc>
          <w:tcPr>
            <w:tcW w:w="4786" w:type="dxa"/>
            <w:tcBorders>
              <w:tl2br w:val="nil"/>
              <w:tr2bl w:val="nil"/>
            </w:tcBorders>
            <w:noWrap w:val="0"/>
            <w:vAlign w:val="top"/>
          </w:tcPr>
          <w:p>
            <w:pPr>
              <w:keepNext w:val="0"/>
              <w:keepLines w:val="0"/>
              <w:widowControl/>
              <w:numPr>
                <w:ilvl w:val="0"/>
                <w:numId w:val="0"/>
              </w:numPr>
              <w:suppressLineNumbers w:val="0"/>
              <w:jc w:val="left"/>
              <w:rPr>
                <w:rFonts w:hint="eastAsia" w:ascii="新宋体" w:hAnsi="新宋体" w:eastAsia="新宋体" w:cs="新宋体"/>
                <w:b/>
                <w:bCs/>
                <w:color w:val="auto"/>
                <w:sz w:val="21"/>
                <w:szCs w:val="21"/>
                <w:highlight w:val="none"/>
                <w:vertAlign w:val="baseline"/>
              </w:rPr>
            </w:pPr>
            <w:r>
              <w:rPr>
                <w:rFonts w:hint="eastAsia" w:ascii="新宋体" w:hAnsi="新宋体" w:eastAsia="新宋体" w:cs="新宋体"/>
                <w:color w:val="000000"/>
                <w:kern w:val="0"/>
                <w:sz w:val="21"/>
                <w:szCs w:val="21"/>
                <w:highlight w:val="none"/>
                <w:lang w:val="en-US" w:eastAsia="zh-CN" w:bidi="ar"/>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85" w:type="dxa"/>
            <w:tcBorders>
              <w:tl2br w:val="nil"/>
              <w:tr2bl w:val="nil"/>
            </w:tcBorders>
            <w:noWrap w:val="0"/>
            <w:vAlign w:val="top"/>
          </w:tcPr>
          <w:p>
            <w:pPr>
              <w:keepNext w:val="0"/>
              <w:keepLines w:val="0"/>
              <w:widowControl/>
              <w:numPr>
                <w:ilvl w:val="0"/>
                <w:numId w:val="0"/>
              </w:numPr>
              <w:suppressLineNumbers w:val="0"/>
              <w:jc w:val="left"/>
              <w:rPr>
                <w:rFonts w:hint="eastAsia" w:ascii="新宋体" w:hAnsi="新宋体" w:eastAsia="新宋体" w:cs="新宋体"/>
                <w:b/>
                <w:bCs/>
                <w:color w:val="auto"/>
                <w:sz w:val="21"/>
                <w:szCs w:val="21"/>
                <w:highlight w:val="none"/>
                <w:vertAlign w:val="baseline"/>
              </w:rPr>
            </w:pPr>
            <w:r>
              <w:rPr>
                <w:rFonts w:hint="eastAsia" w:ascii="新宋体" w:hAnsi="新宋体" w:eastAsia="新宋体" w:cs="新宋体"/>
                <w:color w:val="000000"/>
                <w:kern w:val="0"/>
                <w:sz w:val="21"/>
                <w:szCs w:val="21"/>
                <w:highlight w:val="none"/>
                <w:lang w:val="en-US" w:eastAsia="zh-CN" w:bidi="ar"/>
              </w:rPr>
              <w:t xml:space="preserve">账 号： </w:t>
            </w:r>
          </w:p>
        </w:tc>
        <w:tc>
          <w:tcPr>
            <w:tcW w:w="4786" w:type="dxa"/>
            <w:tcBorders>
              <w:tl2br w:val="nil"/>
              <w:tr2bl w:val="nil"/>
            </w:tcBorders>
            <w:noWrap w:val="0"/>
            <w:vAlign w:val="top"/>
          </w:tcPr>
          <w:p>
            <w:pPr>
              <w:keepNext w:val="0"/>
              <w:keepLines w:val="0"/>
              <w:widowControl/>
              <w:numPr>
                <w:ilvl w:val="0"/>
                <w:numId w:val="0"/>
              </w:numPr>
              <w:suppressLineNumbers w:val="0"/>
              <w:jc w:val="left"/>
              <w:rPr>
                <w:rFonts w:hint="eastAsia" w:ascii="新宋体" w:hAnsi="新宋体" w:eastAsia="新宋体" w:cs="新宋体"/>
                <w:b/>
                <w:bCs/>
                <w:color w:val="auto"/>
                <w:sz w:val="21"/>
                <w:szCs w:val="21"/>
                <w:highlight w:val="none"/>
                <w:vertAlign w:val="baseline"/>
              </w:rPr>
            </w:pPr>
            <w:r>
              <w:rPr>
                <w:rFonts w:hint="eastAsia" w:ascii="新宋体" w:hAnsi="新宋体" w:eastAsia="新宋体" w:cs="新宋体"/>
                <w:color w:val="000000"/>
                <w:kern w:val="0"/>
                <w:sz w:val="21"/>
                <w:szCs w:val="21"/>
                <w:highlight w:val="none"/>
                <w:lang w:val="en-US" w:eastAsia="zh-CN" w:bidi="ar"/>
              </w:rPr>
              <w:t xml:space="preserve">账 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571" w:type="dxa"/>
            <w:gridSpan w:val="2"/>
            <w:tcBorders>
              <w:tl2br w:val="nil"/>
              <w:tr2bl w:val="nil"/>
            </w:tcBorders>
            <w:noWrap w:val="0"/>
            <w:vAlign w:val="top"/>
          </w:tcPr>
          <w:p>
            <w:pPr>
              <w:kinsoku w:val="0"/>
              <w:spacing w:line="288" w:lineRule="auto"/>
              <w:jc w:val="center"/>
              <w:rPr>
                <w:rFonts w:hint="eastAsia" w:ascii="新宋体" w:hAnsi="新宋体" w:eastAsia="新宋体" w:cs="新宋体"/>
                <w:color w:val="000000"/>
                <w:kern w:val="0"/>
                <w:sz w:val="21"/>
                <w:szCs w:val="21"/>
                <w:highlight w:val="none"/>
                <w:lang w:val="en-US" w:eastAsia="zh-CN" w:bidi="ar"/>
              </w:rPr>
            </w:pPr>
            <w:r>
              <w:rPr>
                <w:rFonts w:hint="eastAsia" w:ascii="新宋体" w:hAnsi="新宋体" w:eastAsia="新宋体" w:cs="新宋体"/>
                <w:color w:val="auto"/>
                <w:sz w:val="21"/>
                <w:szCs w:val="21"/>
                <w:highlight w:val="none"/>
                <w:lang w:eastAsia="en-US"/>
              </w:rPr>
              <w:t>签订日期：</w:t>
            </w:r>
            <w:r>
              <w:rPr>
                <w:rFonts w:hint="eastAsia" w:ascii="新宋体" w:hAnsi="新宋体" w:eastAsia="新宋体" w:cs="新宋体"/>
                <w:color w:val="auto"/>
                <w:sz w:val="21"/>
                <w:szCs w:val="21"/>
                <w:highlight w:val="none"/>
                <w:lang w:eastAsia="en-US"/>
              </w:rPr>
              <w:tab/>
            </w:r>
            <w:r>
              <w:rPr>
                <w:rFonts w:hint="eastAsia" w:ascii="新宋体" w:hAnsi="新宋体" w:eastAsia="新宋体" w:cs="新宋体"/>
                <w:color w:val="auto"/>
                <w:sz w:val="21"/>
                <w:szCs w:val="21"/>
                <w:highlight w:val="none"/>
                <w:lang w:eastAsia="en-US"/>
              </w:rPr>
              <w:t>年</w:t>
            </w:r>
            <w:r>
              <w:rPr>
                <w:rFonts w:hint="eastAsia" w:ascii="新宋体" w:hAnsi="新宋体" w:eastAsia="新宋体" w:cs="新宋体"/>
                <w:color w:val="auto"/>
                <w:sz w:val="21"/>
                <w:szCs w:val="21"/>
                <w:highlight w:val="none"/>
              </w:rPr>
              <w:t xml:space="preserve">   </w:t>
            </w:r>
            <w:r>
              <w:rPr>
                <w:rFonts w:hint="eastAsia" w:ascii="新宋体" w:hAnsi="新宋体" w:eastAsia="新宋体" w:cs="新宋体"/>
                <w:color w:val="auto"/>
                <w:sz w:val="21"/>
                <w:szCs w:val="21"/>
                <w:highlight w:val="none"/>
                <w:lang w:eastAsia="en-US"/>
              </w:rPr>
              <w:t>月</w:t>
            </w:r>
            <w:r>
              <w:rPr>
                <w:rFonts w:hint="eastAsia" w:ascii="新宋体" w:hAnsi="新宋体" w:eastAsia="新宋体" w:cs="新宋体"/>
                <w:color w:val="auto"/>
                <w:sz w:val="21"/>
                <w:szCs w:val="21"/>
                <w:highlight w:val="none"/>
              </w:rPr>
              <w:t xml:space="preserve">   </w:t>
            </w:r>
            <w:r>
              <w:rPr>
                <w:rFonts w:hint="eastAsia" w:ascii="新宋体" w:hAnsi="新宋体" w:eastAsia="新宋体" w:cs="新宋体"/>
                <w:color w:val="auto"/>
                <w:sz w:val="21"/>
                <w:szCs w:val="21"/>
                <w:highlight w:val="none"/>
                <w:lang w:eastAsia="en-US"/>
              </w:rPr>
              <w:t>日</w:t>
            </w:r>
          </w:p>
        </w:tc>
      </w:tr>
    </w:tbl>
    <w:p>
      <w:pPr>
        <w:numPr>
          <w:ilvl w:val="0"/>
          <w:numId w:val="0"/>
        </w:numPr>
        <w:tabs>
          <w:tab w:val="left" w:pos="0"/>
        </w:tabs>
        <w:ind w:leftChars="0"/>
        <w:rPr>
          <w:rFonts w:hint="eastAsia" w:ascii="新宋体" w:hAnsi="新宋体" w:eastAsia="新宋体" w:cs="新宋体"/>
          <w:b/>
          <w:bCs/>
          <w:color w:val="auto"/>
          <w:sz w:val="21"/>
          <w:szCs w:val="21"/>
          <w:highlight w:val="none"/>
        </w:rPr>
      </w:pPr>
    </w:p>
    <w:p>
      <w:pPr>
        <w:numPr>
          <w:ilvl w:val="0"/>
          <w:numId w:val="0"/>
        </w:numPr>
        <w:tabs>
          <w:tab w:val="left" w:pos="0"/>
        </w:tabs>
        <w:ind w:leftChars="0"/>
        <w:rPr>
          <w:rFonts w:hint="eastAsia" w:ascii="新宋体" w:hAnsi="新宋体" w:eastAsia="新宋体" w:cs="新宋体"/>
          <w:b/>
          <w:bCs/>
          <w:color w:val="auto"/>
          <w:sz w:val="21"/>
          <w:szCs w:val="21"/>
          <w:highlight w:val="none"/>
        </w:rPr>
      </w:pPr>
    </w:p>
    <w:p>
      <w:pPr>
        <w:kinsoku w:val="0"/>
        <w:spacing w:line="288" w:lineRule="auto"/>
        <w:jc w:val="left"/>
        <w:rPr>
          <w:rFonts w:hint="eastAsia" w:ascii="新宋体" w:hAnsi="新宋体" w:eastAsia="新宋体" w:cs="新宋体"/>
          <w:color w:val="auto"/>
          <w:sz w:val="21"/>
          <w:szCs w:val="21"/>
          <w:highlight w:val="none"/>
        </w:rPr>
      </w:pPr>
    </w:p>
    <w:p>
      <w:pPr>
        <w:kinsoku w:val="0"/>
        <w:spacing w:line="288" w:lineRule="auto"/>
        <w:jc w:val="left"/>
        <w:rPr>
          <w:rFonts w:hint="eastAsia" w:ascii="宋体" w:hAnsi="宋体"/>
          <w:color w:val="auto"/>
          <w:szCs w:val="21"/>
          <w:highlight w:val="none"/>
        </w:rPr>
      </w:pPr>
    </w:p>
    <w:p>
      <w:pPr>
        <w:kinsoku w:val="0"/>
        <w:spacing w:line="288" w:lineRule="auto"/>
        <w:jc w:val="left"/>
        <w:rPr>
          <w:rFonts w:hint="eastAsia" w:ascii="宋体" w:hAnsi="宋体"/>
          <w:color w:val="auto"/>
          <w:szCs w:val="21"/>
          <w:highlight w:val="none"/>
        </w:rPr>
      </w:pPr>
    </w:p>
    <w:p>
      <w:pPr>
        <w:kinsoku w:val="0"/>
        <w:spacing w:line="288" w:lineRule="auto"/>
        <w:jc w:val="left"/>
        <w:rPr>
          <w:rFonts w:hint="eastAsia" w:ascii="新宋体" w:hAnsi="新宋体" w:eastAsia="新宋体" w:cs="新宋体"/>
          <w:color w:val="auto"/>
          <w:highlight w:val="none"/>
          <w:lang w:eastAsia="en-US"/>
        </w:rPr>
      </w:pPr>
    </w:p>
    <w:p>
      <w:pPr>
        <w:kinsoku w:val="0"/>
        <w:spacing w:line="288" w:lineRule="auto"/>
        <w:jc w:val="center"/>
        <w:rPr>
          <w:rFonts w:hint="default" w:ascii="新宋体" w:hAnsi="新宋体" w:eastAsia="新宋体" w:cs="新宋体"/>
          <w:b/>
          <w:bCs/>
          <w:color w:val="auto"/>
          <w:highlight w:val="none"/>
          <w:lang w:val="en-US" w:eastAsia="zh-CN"/>
        </w:rPr>
      </w:pPr>
      <w:r>
        <w:rPr>
          <w:rFonts w:hint="eastAsia" w:ascii="新宋体" w:hAnsi="新宋体" w:eastAsia="新宋体" w:cs="新宋体"/>
          <w:b/>
          <w:bCs/>
          <w:color w:val="auto"/>
          <w:highlight w:val="none"/>
          <w:lang w:val="en-US" w:eastAsia="zh-CN"/>
        </w:rPr>
        <w:t>----------------以上合同内容为范本，具体合同条款由采购人与成交人自行商定----------------</w:t>
      </w:r>
    </w:p>
    <w:p>
      <w:pPr>
        <w:rPr>
          <w:highlight w:val="none"/>
        </w:rPr>
      </w:pPr>
    </w:p>
    <w:p>
      <w:pPr>
        <w:spacing w:line="360" w:lineRule="auto"/>
        <w:rPr>
          <w:rFonts w:ascii="宋体" w:hAnsi="宋体" w:eastAsia="宋体" w:cs="宋体"/>
          <w:color w:val="000000"/>
          <w:szCs w:val="21"/>
          <w:highlight w:val="none"/>
        </w:rPr>
      </w:pPr>
      <w:bookmarkStart w:id="45" w:name="_Toc64258512"/>
    </w:p>
    <w:bookmarkEnd w:id="45"/>
    <w:p>
      <w:pPr>
        <w:spacing w:line="400" w:lineRule="exact"/>
        <w:rPr>
          <w:rFonts w:ascii="宋体" w:hAnsi="宋体" w:eastAsia="宋体" w:cs="宋体"/>
          <w:bCs/>
          <w:szCs w:val="21"/>
          <w:highlight w:val="none"/>
        </w:rPr>
      </w:pPr>
    </w:p>
    <w:p>
      <w:pPr>
        <w:pStyle w:val="12"/>
        <w:spacing w:after="50" w:line="400" w:lineRule="exact"/>
        <w:jc w:val="center"/>
        <w:rPr>
          <w:rFonts w:hAnsi="宋体" w:eastAsia="宋体" w:cs="宋体"/>
          <w:highlight w:val="none"/>
        </w:rPr>
      </w:pPr>
    </w:p>
    <w:p>
      <w:pPr>
        <w:spacing w:line="400" w:lineRule="exact"/>
        <w:ind w:firstLine="480" w:firstLineChars="200"/>
        <w:rPr>
          <w:rFonts w:ascii="宋体" w:hAnsi="宋体" w:eastAsia="宋体" w:cs="宋体"/>
          <w:highlight w:val="none"/>
        </w:rPr>
      </w:pPr>
      <w:r>
        <w:rPr>
          <w:rFonts w:hint="eastAsia" w:ascii="宋体" w:hAnsi="宋体" w:eastAsia="宋体" w:cs="宋体"/>
          <w:b/>
          <w:sz w:val="24"/>
          <w:highlight w:val="none"/>
        </w:rPr>
        <w:br w:type="page"/>
      </w:r>
    </w:p>
    <w:p>
      <w:pPr>
        <w:pStyle w:val="12"/>
        <w:spacing w:line="400" w:lineRule="exact"/>
        <w:rPr>
          <w:rFonts w:hAnsi="宋体" w:eastAsia="宋体" w:cs="宋体"/>
          <w:highlight w:val="none"/>
        </w:rPr>
      </w:pPr>
    </w:p>
    <w:p>
      <w:pPr>
        <w:pStyle w:val="4"/>
        <w:spacing w:before="120" w:after="120"/>
        <w:jc w:val="center"/>
        <w:rPr>
          <w:rFonts w:hint="default" w:ascii="宋体" w:hAnsi="宋体" w:eastAsia="宋体" w:cs="宋体"/>
          <w:kern w:val="4"/>
          <w:highlight w:val="none"/>
          <w:lang w:val="en-US" w:eastAsia="zh-CN"/>
        </w:rPr>
      </w:pPr>
      <w:bookmarkStart w:id="46" w:name="_Toc21623"/>
      <w:r>
        <w:rPr>
          <w:rFonts w:hint="eastAsia" w:ascii="宋体" w:hAnsi="宋体" w:eastAsia="宋体" w:cs="宋体"/>
          <w:kern w:val="4"/>
          <w:highlight w:val="none"/>
        </w:rPr>
        <w:t>第三章</w:t>
      </w:r>
      <w:r>
        <w:rPr>
          <w:rFonts w:hint="eastAsia" w:ascii="宋体" w:hAnsi="宋体" w:eastAsia="宋体" w:cs="宋体"/>
          <w:kern w:val="4"/>
          <w:highlight w:val="none"/>
          <w:lang w:val="en-US" w:eastAsia="zh-CN"/>
        </w:rPr>
        <w:t xml:space="preserve"> 项目需求</w:t>
      </w:r>
      <w:bookmarkEnd w:id="46"/>
    </w:p>
    <w:p>
      <w:pPr>
        <w:spacing w:line="520" w:lineRule="exact"/>
        <w:rPr>
          <w:color w:val="000000"/>
          <w:sz w:val="32"/>
          <w:szCs w:val="32"/>
          <w:highlight w:val="none"/>
        </w:rPr>
      </w:pPr>
    </w:p>
    <w:p>
      <w:pPr>
        <w:pStyle w:val="2"/>
        <w:rPr>
          <w:rFonts w:hint="eastAsia"/>
          <w:color w:val="000000"/>
          <w:sz w:val="32"/>
          <w:szCs w:val="32"/>
          <w:highlight w:val="none"/>
          <w:lang w:val="en-US" w:eastAsia="zh-CN"/>
        </w:rPr>
      </w:pPr>
      <w:r>
        <w:rPr>
          <w:rFonts w:hint="eastAsia"/>
          <w:color w:val="000000"/>
          <w:sz w:val="32"/>
          <w:szCs w:val="32"/>
          <w:highlight w:val="none"/>
          <w:lang w:val="en-US" w:eastAsia="zh-CN"/>
        </w:rPr>
        <w:t>A分标</w:t>
      </w:r>
    </w:p>
    <w:tbl>
      <w:tblPr>
        <w:tblStyle w:val="22"/>
        <w:tblW w:w="10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02"/>
        <w:gridCol w:w="191"/>
        <w:gridCol w:w="567"/>
        <w:gridCol w:w="708"/>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50"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sz w:val="21"/>
                <w:szCs w:val="21"/>
              </w:rPr>
            </w:pPr>
            <w:r>
              <w:rPr>
                <w:rFonts w:hint="eastAsia" w:ascii="新宋体" w:hAnsi="新宋体" w:eastAsia="新宋体" w:cs="新宋体"/>
                <w:sz w:val="21"/>
                <w:szCs w:val="21"/>
              </w:rPr>
              <w:t>一、项目需求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ind w:firstLine="102" w:firstLineChars="49"/>
              <w:rPr>
                <w:rFonts w:hint="eastAsia" w:ascii="新宋体" w:hAnsi="新宋体" w:eastAsia="新宋体" w:cs="新宋体"/>
                <w:sz w:val="21"/>
                <w:szCs w:val="21"/>
              </w:rPr>
            </w:pPr>
            <w:r>
              <w:rPr>
                <w:rFonts w:hint="eastAsia" w:ascii="新宋体" w:hAnsi="新宋体" w:eastAsia="新宋体" w:cs="新宋体"/>
                <w:sz w:val="21"/>
                <w:szCs w:val="21"/>
              </w:rPr>
              <w:t>序号</w:t>
            </w:r>
          </w:p>
        </w:tc>
        <w:tc>
          <w:tcPr>
            <w:tcW w:w="1402"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sz w:val="21"/>
                <w:szCs w:val="21"/>
              </w:rPr>
            </w:pPr>
            <w:r>
              <w:rPr>
                <w:rFonts w:hint="eastAsia" w:ascii="新宋体" w:hAnsi="新宋体" w:eastAsia="新宋体" w:cs="新宋体"/>
                <w:bCs/>
                <w:sz w:val="21"/>
                <w:szCs w:val="21"/>
              </w:rPr>
              <w:t>采购品目名称</w:t>
            </w:r>
          </w:p>
        </w:tc>
        <w:tc>
          <w:tcPr>
            <w:tcW w:w="75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sz w:val="21"/>
                <w:szCs w:val="21"/>
              </w:rPr>
            </w:pPr>
            <w:r>
              <w:rPr>
                <w:rFonts w:hint="eastAsia" w:ascii="新宋体" w:hAnsi="新宋体" w:eastAsia="新宋体" w:cs="新宋体"/>
                <w:sz w:val="21"/>
                <w:szCs w:val="21"/>
              </w:rPr>
              <w:t>数量</w:t>
            </w:r>
          </w:p>
        </w:tc>
        <w:tc>
          <w:tcPr>
            <w:tcW w:w="708"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sz w:val="21"/>
                <w:szCs w:val="21"/>
              </w:rPr>
            </w:pPr>
            <w:r>
              <w:rPr>
                <w:rFonts w:hint="eastAsia" w:ascii="新宋体" w:hAnsi="新宋体" w:eastAsia="新宋体" w:cs="新宋体"/>
                <w:sz w:val="21"/>
                <w:szCs w:val="21"/>
              </w:rPr>
              <w:t>单位</w:t>
            </w:r>
          </w:p>
        </w:tc>
        <w:tc>
          <w:tcPr>
            <w:tcW w:w="64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sz w:val="21"/>
                <w:szCs w:val="21"/>
              </w:rPr>
            </w:pPr>
            <w:r>
              <w:rPr>
                <w:rFonts w:hint="eastAsia" w:ascii="新宋体" w:hAnsi="新宋体" w:eastAsia="新宋体" w:cs="新宋体"/>
                <w:sz w:val="21"/>
                <w:szCs w:val="21"/>
              </w:rPr>
              <w:t>技术参数要求及服务内容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vAlign w:val="center"/>
          </w:tcPr>
          <w:p>
            <w:pPr>
              <w:ind w:firstLine="102" w:firstLineChars="49"/>
              <w:rPr>
                <w:rFonts w:hint="eastAsia" w:ascii="新宋体" w:hAnsi="新宋体" w:eastAsia="新宋体" w:cs="新宋体"/>
                <w:sz w:val="21"/>
                <w:szCs w:val="21"/>
              </w:rPr>
            </w:pPr>
            <w:r>
              <w:rPr>
                <w:rFonts w:hint="eastAsia" w:ascii="新宋体" w:hAnsi="新宋体" w:eastAsia="新宋体" w:cs="新宋体"/>
                <w:sz w:val="21"/>
                <w:szCs w:val="21"/>
              </w:rPr>
              <w:t>1</w:t>
            </w:r>
          </w:p>
        </w:tc>
        <w:tc>
          <w:tcPr>
            <w:tcW w:w="1402"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sz w:val="21"/>
                <w:szCs w:val="21"/>
              </w:rPr>
            </w:pPr>
            <w:r>
              <w:rPr>
                <w:rFonts w:hint="eastAsia" w:ascii="新宋体" w:hAnsi="新宋体" w:eastAsia="新宋体" w:cs="新宋体"/>
                <w:i w:val="0"/>
                <w:caps w:val="0"/>
                <w:color w:val="1D1D1D"/>
                <w:spacing w:val="0"/>
                <w:sz w:val="21"/>
                <w:szCs w:val="21"/>
                <w:shd w:val="clear" w:fill="FFFFFF"/>
              </w:rPr>
              <w:t>钦北区卫生健康局医疗票据管理平台</w:t>
            </w:r>
          </w:p>
        </w:tc>
        <w:tc>
          <w:tcPr>
            <w:tcW w:w="75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sz w:val="21"/>
                <w:szCs w:val="21"/>
              </w:rPr>
            </w:pPr>
            <w:r>
              <w:rPr>
                <w:rFonts w:hint="eastAsia" w:ascii="新宋体" w:hAnsi="新宋体" w:eastAsia="新宋体" w:cs="新宋体"/>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sz w:val="21"/>
                <w:szCs w:val="21"/>
              </w:rPr>
            </w:pPr>
            <w:r>
              <w:rPr>
                <w:rFonts w:hint="eastAsia" w:ascii="新宋体" w:hAnsi="新宋体" w:eastAsia="新宋体" w:cs="新宋体"/>
                <w:sz w:val="21"/>
                <w:szCs w:val="21"/>
              </w:rPr>
              <w:t>项</w:t>
            </w:r>
          </w:p>
        </w:tc>
        <w:tc>
          <w:tcPr>
            <w:tcW w:w="6492" w:type="dxa"/>
            <w:tcBorders>
              <w:top w:val="single" w:color="auto" w:sz="4" w:space="0"/>
              <w:left w:val="single" w:color="auto" w:sz="4" w:space="0"/>
              <w:bottom w:val="single" w:color="auto" w:sz="4" w:space="0"/>
              <w:right w:val="single" w:color="auto" w:sz="4" w:space="0"/>
            </w:tcBorders>
          </w:tcPr>
          <w:p>
            <w:pPr>
              <w:pStyle w:val="12"/>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一、总体需求：</w:t>
            </w:r>
          </w:p>
          <w:p>
            <w:pPr>
              <w:pStyle w:val="12"/>
              <w:numPr>
                <w:ilvl w:val="0"/>
                <w:numId w:val="6"/>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满足财政电子票据改革需求,严格遵循财政部关于财政电子票据管理改革的标准规范和业务要求，实现与现有各医疗机构医疗管理系统对接，完成财政电子票据从赋码、开具、传送、查验、入账、归档一站式管理，同时满足广西财政厅关于财政电子票据管理的需求，并实现与“广西财政票据电子化管理系统”的无缝对接。</w:t>
            </w:r>
          </w:p>
          <w:p>
            <w:pPr>
              <w:pStyle w:val="12"/>
              <w:numPr>
                <w:ilvl w:val="0"/>
                <w:numId w:val="6"/>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实现医疗机构各项医疗收费结算信息即时生成电子票据传输，解决各医疗机构现有缴费取票繁杂、票据管理流程复杂及核销工作量大等问题，提升各医疗结构对外服务水平，提高财务人员办公效率。</w:t>
            </w:r>
          </w:p>
          <w:p>
            <w:pPr>
              <w:pStyle w:val="12"/>
              <w:numPr>
                <w:ilvl w:val="0"/>
                <w:numId w:val="6"/>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建设的</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lang w:val="en-US" w:eastAsia="zh-CN"/>
              </w:rPr>
              <w:t>提供接口与下属</w:t>
            </w:r>
            <w:r>
              <w:rPr>
                <w:rFonts w:hint="eastAsia" w:ascii="新宋体" w:hAnsi="新宋体" w:eastAsia="新宋体" w:cs="新宋体"/>
                <w:sz w:val="21"/>
                <w:szCs w:val="21"/>
              </w:rPr>
              <w:t>各类医疗机构信息化系统对接，满足高度的业务协同和数据共享：与各医疗机构的HIS业务系统无缝衔接，建设的</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提供标准数据交换接口，支持</w:t>
            </w:r>
            <w:r>
              <w:rPr>
                <w:rFonts w:hint="eastAsia" w:ascii="新宋体" w:hAnsi="新宋体" w:eastAsia="新宋体" w:cs="新宋体"/>
                <w:sz w:val="21"/>
                <w:szCs w:val="21"/>
                <w:lang w:val="en-US" w:eastAsia="zh-CN"/>
              </w:rPr>
              <w:t>被</w:t>
            </w:r>
            <w:r>
              <w:rPr>
                <w:rFonts w:hint="eastAsia" w:ascii="新宋体" w:hAnsi="新宋体" w:eastAsia="新宋体" w:cs="新宋体"/>
                <w:sz w:val="21"/>
                <w:szCs w:val="21"/>
              </w:rPr>
              <w:t>各医疗机构其他信息系统的应用</w:t>
            </w:r>
            <w:r>
              <w:rPr>
                <w:rFonts w:hint="eastAsia" w:ascii="新宋体" w:hAnsi="新宋体" w:eastAsia="新宋体" w:cs="新宋体"/>
                <w:sz w:val="21"/>
                <w:szCs w:val="21"/>
                <w:lang w:val="en-US" w:eastAsia="zh-CN"/>
              </w:rPr>
              <w:t>接入</w:t>
            </w:r>
            <w:r>
              <w:rPr>
                <w:rFonts w:hint="eastAsia" w:ascii="新宋体" w:hAnsi="新宋体" w:eastAsia="新宋体" w:cs="新宋体"/>
                <w:sz w:val="21"/>
                <w:szCs w:val="21"/>
              </w:rPr>
              <w:t>。</w:t>
            </w:r>
          </w:p>
          <w:p>
            <w:pPr>
              <w:pStyle w:val="12"/>
              <w:numPr>
                <w:ilvl w:val="0"/>
                <w:numId w:val="6"/>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建设的</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一方面满足采购人大中型医疗机构接口接入需求（二级及二级以上），另一方面满足基层医疗机构（辖区卫生所、社区服务站、乡镇卫生院等）在线登陆系统开票需求，其次满足采购人监管分析、统计查询数据利用等需求。</w:t>
            </w:r>
          </w:p>
          <w:p>
            <w:pPr>
              <w:pStyle w:val="12"/>
              <w:numPr>
                <w:ilvl w:val="0"/>
                <w:numId w:val="6"/>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建设的</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数据大集中的同时有满足医疗机构归属地管理原则，医疗机构票据申领、核销、销毁、票据印制等归属</w:t>
            </w:r>
            <w:r>
              <w:rPr>
                <w:rFonts w:hint="eastAsia" w:ascii="新宋体" w:hAnsi="新宋体" w:eastAsia="新宋体" w:cs="新宋体"/>
                <w:color w:val="FF0000"/>
                <w:sz w:val="21"/>
                <w:szCs w:val="21"/>
                <w:lang w:eastAsia="zh-CN"/>
              </w:rPr>
              <w:t>钦北区</w:t>
            </w:r>
            <w:r>
              <w:rPr>
                <w:rFonts w:hint="eastAsia" w:ascii="新宋体" w:hAnsi="新宋体" w:eastAsia="新宋体" w:cs="新宋体"/>
                <w:sz w:val="21"/>
                <w:szCs w:val="21"/>
              </w:rPr>
              <w:t>财政部门监督。</w:t>
            </w:r>
          </w:p>
          <w:p>
            <w:pPr>
              <w:pStyle w:val="12"/>
              <w:numPr>
                <w:ilvl w:val="0"/>
                <w:numId w:val="6"/>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建设的</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支持邮箱、短信、公众号、小程序等多种通知渠道。全方位满足各类医疗机构财政电子票据交付。</w:t>
            </w:r>
          </w:p>
          <w:p>
            <w:pPr>
              <w:pStyle w:val="12"/>
              <w:numPr>
                <w:ilvl w:val="0"/>
                <w:numId w:val="6"/>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系统集中部署，各医疗机构信息化管理系统一站式接入，满足采购人对各医疗机构的监管，通过各个医疗机构数据大集中为采购人提供数据分析、对比、筛选、统计分析和决策等大数据分析利用。从而从源头上提升采购人对各医疗机构的监督检查。同时各医疗机构社会化职能得到最大化运转。</w:t>
            </w:r>
          </w:p>
          <w:p>
            <w:pPr>
              <w:pStyle w:val="12"/>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二、功能需求：</w:t>
            </w:r>
          </w:p>
          <w:p>
            <w:pPr>
              <w:pStyle w:val="12"/>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（一）医疗门诊住院</w:t>
            </w:r>
          </w:p>
          <w:p>
            <w:pPr>
              <w:pStyle w:val="12"/>
              <w:numPr>
                <w:ilvl w:val="0"/>
                <w:numId w:val="7"/>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患者持社保卡、就诊卡在医疗机构门诊或者住院完成缴费后，</w:t>
            </w:r>
            <w:r>
              <w:rPr>
                <w:rFonts w:hint="eastAsia" w:ascii="新宋体" w:hAnsi="新宋体" w:eastAsia="新宋体" w:cs="新宋体"/>
                <w:color w:val="FF0000"/>
                <w:sz w:val="21"/>
                <w:szCs w:val="21"/>
                <w:lang w:eastAsia="zh-CN"/>
              </w:rPr>
              <w:t>钦北区卫生健康局医疗票据管理平台</w:t>
            </w:r>
            <w:r>
              <w:rPr>
                <w:rFonts w:hint="eastAsia" w:ascii="新宋体" w:hAnsi="新宋体" w:eastAsia="新宋体" w:cs="新宋体"/>
                <w:sz w:val="21"/>
                <w:szCs w:val="21"/>
              </w:rPr>
              <w:t>能够接收医疗机构HIS业务系统相关缴费结算信息，实时开具财政电子票据，通过患者对应的缴款渠道通知患者接收、</w:t>
            </w:r>
            <w:r>
              <w:rPr>
                <w:rFonts w:hint="eastAsia" w:ascii="新宋体" w:hAnsi="新宋体" w:eastAsia="新宋体" w:cs="新宋体"/>
                <w:sz w:val="21"/>
                <w:szCs w:val="21"/>
                <w:lang w:val="en-US" w:eastAsia="zh-CN"/>
              </w:rPr>
              <w:t>查阅</w:t>
            </w:r>
            <w:r>
              <w:rPr>
                <w:rFonts w:hint="eastAsia" w:ascii="新宋体" w:hAnsi="新宋体" w:eastAsia="新宋体" w:cs="新宋体"/>
                <w:sz w:val="21"/>
                <w:szCs w:val="21"/>
              </w:rPr>
              <w:t>财政电子票据信息</w:t>
            </w:r>
            <w:r>
              <w:rPr>
                <w:rFonts w:hint="eastAsia" w:ascii="新宋体" w:hAnsi="新宋体" w:eastAsia="新宋体" w:cs="新宋体"/>
                <w:sz w:val="21"/>
                <w:szCs w:val="21"/>
                <w:lang w:eastAsia="zh-CN"/>
              </w:rPr>
              <w:t>。</w:t>
            </w:r>
          </w:p>
          <w:p>
            <w:pPr>
              <w:pStyle w:val="12"/>
              <w:numPr>
                <w:ilvl w:val="0"/>
                <w:numId w:val="7"/>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患者接收到财政电子票据信息后，如果有需要可以自行前往医疗机构窗口或自助机自行打印财政电子票据板式文件，</w:t>
            </w:r>
            <w:r>
              <w:rPr>
                <w:rFonts w:hint="eastAsia" w:ascii="新宋体" w:hAnsi="新宋体" w:eastAsia="新宋体" w:cs="新宋体"/>
                <w:color w:val="FF0000"/>
                <w:sz w:val="21"/>
                <w:szCs w:val="21"/>
                <w:lang w:eastAsia="zh-CN"/>
              </w:rPr>
              <w:t>钦北区卫生健康局医疗票据管理平台</w:t>
            </w:r>
            <w:r>
              <w:rPr>
                <w:rFonts w:hint="eastAsia" w:ascii="新宋体" w:hAnsi="新宋体" w:eastAsia="新宋体" w:cs="新宋体"/>
                <w:sz w:val="21"/>
                <w:szCs w:val="21"/>
              </w:rPr>
              <w:t>需支持在线打印和接口对接打印。</w:t>
            </w:r>
          </w:p>
          <w:p>
            <w:pPr>
              <w:pStyle w:val="12"/>
              <w:numPr>
                <w:ilvl w:val="0"/>
                <w:numId w:val="7"/>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患者进行退费业务操作时，在小程序、APP、窗口申请退费，</w:t>
            </w:r>
            <w:r>
              <w:rPr>
                <w:rFonts w:hint="eastAsia" w:ascii="新宋体" w:hAnsi="新宋体" w:eastAsia="新宋体" w:cs="新宋体"/>
                <w:color w:val="FF0000"/>
                <w:sz w:val="21"/>
                <w:szCs w:val="21"/>
                <w:lang w:eastAsia="zh-CN"/>
              </w:rPr>
              <w:t>钦北区卫生健康局医疗票据管理平台</w:t>
            </w:r>
            <w:r>
              <w:rPr>
                <w:rFonts w:hint="eastAsia" w:ascii="新宋体" w:hAnsi="新宋体" w:eastAsia="新宋体" w:cs="新宋体"/>
                <w:sz w:val="21"/>
                <w:szCs w:val="21"/>
              </w:rPr>
              <w:t>接收HIS业务系统退费结算请求，业务人员可实时查看电子票据状态，确认电子票据是否已入账或打印，已打印收据的患者，对其作废，已被报销入账的不允许退款。待相关人员审核确认后，对于全额退费的，对原票据进行冲红，对于部分冲红的，先对原票据进行冲红，在开具出正确金额的电子票据并返回给HIS业务系统告知患者，不分单日、次日、跨收费点。</w:t>
            </w:r>
          </w:p>
          <w:p>
            <w:pPr>
              <w:pStyle w:val="12"/>
              <w:numPr>
                <w:ilvl w:val="0"/>
                <w:numId w:val="7"/>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门诊、住院进行日终结算时，</w:t>
            </w:r>
            <w:r>
              <w:rPr>
                <w:rFonts w:hint="eastAsia" w:ascii="新宋体" w:hAnsi="新宋体" w:eastAsia="新宋体" w:cs="新宋体"/>
                <w:color w:val="FF0000"/>
                <w:sz w:val="21"/>
                <w:szCs w:val="21"/>
                <w:lang w:eastAsia="zh-CN"/>
              </w:rPr>
              <w:t>钦北区卫生健康局医疗票据管理平台</w:t>
            </w:r>
            <w:r>
              <w:rPr>
                <w:rFonts w:hint="eastAsia" w:ascii="新宋体" w:hAnsi="新宋体" w:eastAsia="新宋体" w:cs="新宋体"/>
                <w:sz w:val="21"/>
                <w:szCs w:val="21"/>
              </w:rPr>
              <w:t>能够实现与</w:t>
            </w:r>
            <w:r>
              <w:rPr>
                <w:rFonts w:hint="eastAsia" w:ascii="新宋体" w:hAnsi="新宋体" w:eastAsia="新宋体" w:cs="新宋体"/>
                <w:sz w:val="21"/>
                <w:szCs w:val="21"/>
                <w:lang w:val="en-US" w:eastAsia="zh-CN"/>
              </w:rPr>
              <w:t>医疗机构</w:t>
            </w:r>
            <w:r>
              <w:rPr>
                <w:rFonts w:hint="eastAsia" w:ascii="新宋体" w:hAnsi="新宋体" w:eastAsia="新宋体" w:cs="新宋体"/>
                <w:sz w:val="21"/>
                <w:szCs w:val="21"/>
              </w:rPr>
              <w:t>现有HIS系统业务数据核对，保证数据准确无误，支持人工、系统自动逐笔或批量对账，排查纠错。同时针对异常数据问题</w:t>
            </w:r>
            <w:r>
              <w:rPr>
                <w:rFonts w:hint="eastAsia" w:ascii="新宋体" w:hAnsi="新宋体" w:eastAsia="新宋体" w:cs="新宋体"/>
                <w:sz w:val="21"/>
                <w:szCs w:val="21"/>
                <w:lang w:eastAsia="zh-CN"/>
              </w:rPr>
              <w:t>平台</w:t>
            </w:r>
            <w:r>
              <w:rPr>
                <w:rFonts w:hint="eastAsia" w:ascii="新宋体" w:hAnsi="新宋体" w:eastAsia="新宋体" w:cs="新宋体"/>
                <w:sz w:val="21"/>
                <w:szCs w:val="21"/>
              </w:rPr>
              <w:t>应提供相应处理机制，方便问题及时解决。</w:t>
            </w:r>
          </w:p>
          <w:p>
            <w:pPr>
              <w:pStyle w:val="12"/>
              <w:numPr>
                <w:ilvl w:val="0"/>
                <w:numId w:val="7"/>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根据各医疗结构业务特征，</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须有应急机制，针对因突发网络故障等不确定因素导致</w:t>
            </w:r>
            <w:r>
              <w:rPr>
                <w:rFonts w:hint="eastAsia" w:ascii="新宋体" w:hAnsi="新宋体" w:eastAsia="新宋体" w:cs="新宋体"/>
                <w:sz w:val="21"/>
                <w:szCs w:val="21"/>
                <w:lang w:val="en-US" w:eastAsia="zh-CN"/>
              </w:rPr>
              <w:t>医疗机构</w:t>
            </w:r>
            <w:r>
              <w:rPr>
                <w:rFonts w:hint="eastAsia" w:ascii="新宋体" w:hAnsi="新宋体" w:eastAsia="新宋体" w:cs="新宋体"/>
                <w:sz w:val="21"/>
                <w:szCs w:val="21"/>
              </w:rPr>
              <w:t>HIS系统确定收款成功，但电子票据生成指令发送不成功，无法及时生成电子票据等情况，提供应急开票系统，保证开票业务不中断，同时不受广西壮族自治区财政厅财政票据电子化管理系统影响或影响降至最低。</w:t>
            </w:r>
          </w:p>
          <w:p>
            <w:pPr>
              <w:pStyle w:val="12"/>
              <w:numPr>
                <w:ilvl w:val="0"/>
                <w:numId w:val="7"/>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根据财政部、卫健委、医保局财综【2019】29号文的文件要求，</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需具有最新全国统一财政医疗电子票据相关规范、票据样式、电子清单明细。</w:t>
            </w:r>
          </w:p>
          <w:p>
            <w:p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（二）各医疗机构预交金管理</w:t>
            </w:r>
          </w:p>
          <w:p>
            <w:pPr>
              <w:spacing w:line="276" w:lineRule="auto"/>
              <w:ind w:left="480" w:hanging="420" w:hangingChars="200"/>
              <w:rPr>
                <w:rFonts w:hint="eastAsia" w:ascii="新宋体" w:hAnsi="新宋体" w:eastAsia="新宋体" w:cs="新宋体"/>
                <w:sz w:val="21"/>
                <w:szCs w:val="21"/>
              </w:rPr>
            </w:pPr>
            <w:r>
              <w:rPr>
                <w:rFonts w:hint="eastAsia" w:ascii="新宋体" w:hAnsi="新宋体" w:eastAsia="新宋体" w:cs="新宋体"/>
                <w:sz w:val="21"/>
                <w:szCs w:val="21"/>
              </w:rPr>
              <w:t>1.  患者通过窗口、支付宝、微信等渠道办理入院手续，缴存预交金；业务办理人员每收到一笔预交金，通过HIS业务系统向</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请求生成预交金电子凭证；</w:t>
            </w:r>
          </w:p>
          <w:p>
            <w:pPr>
              <w:spacing w:line="276" w:lineRule="auto"/>
              <w:ind w:left="480" w:hanging="420" w:hangingChars="200"/>
              <w:rPr>
                <w:rFonts w:hint="eastAsia" w:ascii="新宋体" w:hAnsi="新宋体" w:eastAsia="新宋体" w:cs="新宋体"/>
                <w:sz w:val="21"/>
                <w:szCs w:val="21"/>
              </w:rPr>
            </w:pPr>
            <w:r>
              <w:rPr>
                <w:rFonts w:hint="eastAsia" w:ascii="新宋体" w:hAnsi="新宋体" w:eastAsia="新宋体" w:cs="新宋体"/>
                <w:sz w:val="21"/>
                <w:szCs w:val="21"/>
              </w:rPr>
              <w:t xml:space="preserve">2.  </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开具预交金凭证，并把该笔预交金缴存明细登记到预交金台账；</w:t>
            </w:r>
          </w:p>
          <w:p>
            <w:pPr>
              <w:spacing w:line="276" w:lineRule="auto"/>
              <w:ind w:left="480" w:hanging="420" w:hangingChars="200"/>
              <w:rPr>
                <w:rFonts w:hint="eastAsia" w:ascii="新宋体" w:hAnsi="新宋体" w:eastAsia="新宋体" w:cs="新宋体"/>
                <w:sz w:val="21"/>
                <w:szCs w:val="21"/>
              </w:rPr>
            </w:pPr>
            <w:r>
              <w:rPr>
                <w:rFonts w:hint="eastAsia" w:ascii="新宋体" w:hAnsi="新宋体" w:eastAsia="新宋体" w:cs="新宋体"/>
                <w:sz w:val="21"/>
                <w:szCs w:val="21"/>
              </w:rPr>
              <w:t>3.  预交金凭证开具成功，返回预交金凭证信息HIS系统，可通过告知渠道通知患者,如：短信、微信/支付宝、收款凭条等方式。</w:t>
            </w:r>
          </w:p>
          <w:p>
            <w:pPr>
              <w:spacing w:line="276" w:lineRule="auto"/>
              <w:ind w:left="480" w:hanging="420" w:hangingChars="200"/>
              <w:rPr>
                <w:rFonts w:hint="eastAsia" w:ascii="新宋体" w:hAnsi="新宋体" w:eastAsia="新宋体" w:cs="新宋体"/>
                <w:sz w:val="21"/>
                <w:szCs w:val="21"/>
              </w:rPr>
            </w:pPr>
            <w:r>
              <w:rPr>
                <w:rFonts w:hint="eastAsia" w:ascii="新宋体" w:hAnsi="新宋体" w:eastAsia="新宋体" w:cs="新宋体"/>
                <w:sz w:val="21"/>
                <w:szCs w:val="21"/>
              </w:rPr>
              <w:t xml:space="preserve">4.  </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定时将预交金凭证信息（缴存记录明细）、预交金电子票据推送给取票小程序；</w:t>
            </w:r>
          </w:p>
          <w:p>
            <w:pPr>
              <w:spacing w:line="276" w:lineRule="auto"/>
              <w:ind w:left="480" w:hanging="420" w:hangingChars="200"/>
              <w:rPr>
                <w:rFonts w:hint="eastAsia" w:ascii="新宋体" w:hAnsi="新宋体" w:eastAsia="新宋体" w:cs="新宋体"/>
                <w:sz w:val="21"/>
                <w:szCs w:val="21"/>
              </w:rPr>
            </w:pPr>
            <w:r>
              <w:rPr>
                <w:rFonts w:hint="eastAsia" w:ascii="新宋体" w:hAnsi="新宋体" w:eastAsia="新宋体" w:cs="新宋体"/>
                <w:sz w:val="21"/>
                <w:szCs w:val="21"/>
              </w:rPr>
              <w:t>5.  患者可通过取票小程序查询到预交金电子凭证、预交金缴存记录明细数据。</w:t>
            </w:r>
          </w:p>
          <w:p>
            <w:pPr>
              <w:pStyle w:val="12"/>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6.  除通过HIS业务系统传输生成预交金电子凭证外，还支持通过</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在线开具预交金电子凭证。</w:t>
            </w:r>
          </w:p>
          <w:p>
            <w:pPr>
              <w:pStyle w:val="12"/>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（三） 各医疗机构财务管理</w:t>
            </w:r>
          </w:p>
          <w:p>
            <w:pPr>
              <w:numPr>
                <w:ilvl w:val="0"/>
                <w:numId w:val="8"/>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电子票据申领、分发、申退：医疗机构业务人员通过</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向</w:t>
            </w:r>
            <w:r>
              <w:rPr>
                <w:rFonts w:hint="eastAsia" w:ascii="新宋体" w:hAnsi="新宋体" w:eastAsia="新宋体" w:cs="新宋体"/>
                <w:color w:val="FF0000"/>
                <w:sz w:val="21"/>
                <w:szCs w:val="21"/>
                <w:lang w:eastAsia="zh-CN"/>
              </w:rPr>
              <w:t>钦北区非税收入结算中心</w:t>
            </w:r>
            <w:r>
              <w:rPr>
                <w:rFonts w:hint="eastAsia" w:ascii="新宋体" w:hAnsi="新宋体" w:eastAsia="新宋体" w:cs="新宋体"/>
                <w:sz w:val="21"/>
                <w:szCs w:val="21"/>
              </w:rPr>
              <w:t>发起用票申请，财政票据中心审批后出库，业务人员进行入库确认，按照需要将电子票据分发收费窗口和自助开票点，同时支持收费窗口和自助机票号回退。</w:t>
            </w:r>
          </w:p>
          <w:p>
            <w:pPr>
              <w:numPr>
                <w:ilvl w:val="0"/>
                <w:numId w:val="8"/>
              </w:numPr>
              <w:spacing w:line="276" w:lineRule="auto"/>
              <w:rPr>
                <w:rFonts w:hint="eastAsia" w:ascii="新宋体" w:hAnsi="新宋体" w:eastAsia="新宋体" w:cs="新宋体"/>
                <w:bCs/>
                <w:sz w:val="21"/>
                <w:szCs w:val="21"/>
              </w:rPr>
            </w:pPr>
            <w:r>
              <w:rPr>
                <w:rFonts w:hint="eastAsia" w:ascii="新宋体" w:hAnsi="新宋体" w:eastAsia="新宋体" w:cs="新宋体"/>
                <w:bCs/>
                <w:sz w:val="21"/>
                <w:szCs w:val="21"/>
              </w:rPr>
              <w:t>开票点管理：各医疗机构可自行设置多个开票点，每个开票点可以自定义设置收费项目，可以自定义设置票据种类，可设置各医疗机构内不同开票点开具的门诊或住院票据开票单位名称和电子签章可为不相同。</w:t>
            </w:r>
          </w:p>
          <w:p>
            <w:pPr>
              <w:numPr>
                <w:ilvl w:val="0"/>
                <w:numId w:val="8"/>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资金往来、捐赠、非税收入等其他财政电子票据在线开具：除门诊、住院财政电子票据通过业务系统对接开具外，</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须支持资金往来、捐赠、非税收入等其他财政电子票据在线开具，包括单笔录入与批量导入。</w:t>
            </w:r>
          </w:p>
          <w:p>
            <w:pPr>
              <w:numPr>
                <w:ilvl w:val="0"/>
                <w:numId w:val="8"/>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财政电子票据换开、冲红、作废：当医疗机构发生退费业务或操作失误时，需要对已开具的财政电子票据进行冲红或换开的纸质财政票据进行作废。</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须支持财政电子票据换开、冲红、作废等业业务操作，包含单笔或批量操作。</w:t>
            </w:r>
          </w:p>
          <w:p>
            <w:pPr>
              <w:numPr>
                <w:ilvl w:val="0"/>
                <w:numId w:val="8"/>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纸质财政票据管理：考虑到医疗机构目前实际情况，采购人</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应提供纸质财政票据相关管理功能，主要包含纸质票据申领、入库、分发、申退和作废等功能。</w:t>
            </w:r>
          </w:p>
          <w:p>
            <w:pPr>
              <w:numPr>
                <w:ilvl w:val="0"/>
                <w:numId w:val="8"/>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财政票据核销：按照广西壮族自治区财政票据管理中心管理要求及各级财政票据管理中心要求， 开票单位需及时将超过核销周期的已开具的旧票进行核销，才能领取新票保证业务延续。</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须提供数据上报核销功能，即包含电子票也含纸质票，方便医疗机构及时进行数据核销，核销过程中确保业务数据准确无误。</w:t>
            </w:r>
          </w:p>
          <w:p>
            <w:pPr>
              <w:numPr>
                <w:ilvl w:val="0"/>
                <w:numId w:val="8"/>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财政票据销毁：按照财政部文件要求，纸质财政票据保管期限最低为5年、财政电子票据最低为30年，医疗机构需要对已经超过保管期限的财政票据进行销毁，提高资源使用效率。</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须提供票据销毁功能，方便业务人员及时销毁已经过保管期限的财政票据。</w:t>
            </w:r>
          </w:p>
          <w:p>
            <w:pPr>
              <w:numPr>
                <w:ilvl w:val="0"/>
                <w:numId w:val="8"/>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纸质票据印制计划申报：按照广西壮族自治区财政票据管理中心要求和各级财政票据管理中心要求，纸质财政票据印制需要通过系统进行印制计划上报，方便汇总全区财政票据印制计划，有计划的安排印制。</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须提供财政票据印制计划填写上报，方便医疗机构在过渡时期及时将本年计划用票情况上报。</w:t>
            </w:r>
          </w:p>
          <w:p>
            <w:pPr>
              <w:numPr>
                <w:ilvl w:val="0"/>
                <w:numId w:val="8"/>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电子票据记账：通过医疗机构HIS业务系统接口实现电子票据入账。入账后通过</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接口向广西壮族自治区财政电子票据公共服务平台进行入账反馈。支持电子票据汇总单记账：医疗机构财务人员通过</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定时或手动生成电子票据汇总单。</w:t>
            </w:r>
          </w:p>
          <w:p>
            <w:pPr>
              <w:numPr>
                <w:ilvl w:val="0"/>
                <w:numId w:val="8"/>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对账管理：由医疗机构HIS业务系统提供收费结算数据与</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的开票数据信息进行对账，其中对账方式可分为系统之间自动对账和手动打印汇总单对账。同时满足根据医疗机构业务人员的实际要求，定制开发。</w:t>
            </w:r>
          </w:p>
          <w:p>
            <w:pPr>
              <w:numPr>
                <w:ilvl w:val="0"/>
                <w:numId w:val="8"/>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相关业务数据统计报表查询，</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应提供基本的统计报表，包含包括库存结余表、票据领发情况、票据作废情况、票据领用存情况、单位领入情况表、票据分发情况表、开票明细表、开票汇总表、单位收费情况表、收费员汇总表、缴款渠道汇总表、住院处日报明细表等，同时支持按照医疗机构业务人员需要增加相关报表。</w:t>
            </w:r>
          </w:p>
          <w:p>
            <w:pPr>
              <w:numPr>
                <w:ilvl w:val="0"/>
                <w:numId w:val="8"/>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基础信息维护及管理等功能，采购人</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应提供此功能，方便医疗机构业务管理人员维护系统信息，包含开票点、用户、票据种类、收费项目等基础信息增加删除或变动操作。</w:t>
            </w:r>
          </w:p>
          <w:p>
            <w:pPr>
              <w:pStyle w:val="12"/>
              <w:numPr>
                <w:ilvl w:val="0"/>
                <w:numId w:val="8"/>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日志跟踪查询功能，采购人</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应提供对应日志操作记录，方面异常问题排查和解决。</w:t>
            </w:r>
          </w:p>
          <w:p>
            <w:pPr>
              <w:pStyle w:val="12"/>
              <w:numPr>
                <w:ilvl w:val="0"/>
                <w:numId w:val="8"/>
              </w:numPr>
              <w:spacing w:line="276" w:lineRule="auto"/>
              <w:rPr>
                <w:rFonts w:hint="eastAsia" w:ascii="新宋体" w:hAnsi="新宋体" w:eastAsia="新宋体" w:cs="新宋体"/>
                <w:bCs/>
                <w:sz w:val="21"/>
                <w:szCs w:val="21"/>
              </w:rPr>
            </w:pPr>
            <w:r>
              <w:rPr>
                <w:rFonts w:hint="eastAsia" w:ascii="新宋体" w:hAnsi="新宋体" w:eastAsia="新宋体" w:cs="新宋体"/>
                <w:bCs/>
                <w:sz w:val="21"/>
                <w:szCs w:val="21"/>
              </w:rPr>
              <w:t>参数设置：（1）基础参数设置，各医疗机构可自定义设置对应的业务流程单据是否启用审核流程，可设置审核流程的单据包括（不限于）期初库存、票据下发、库存作废、手工开票、退票申请等；可自定义设置库存预警设置，库存预警池设置包括票据类型、预警数量；可自定义设置电子票据清单显示设置，电子票据清单设置应包括票据类型、票据代码、限定数量；可自定义设置预警时间设置，包括审验到期预警天数、汇缴到期预警天数。（2）产品参数设置，</w:t>
            </w:r>
            <w:r>
              <w:rPr>
                <w:rFonts w:hint="eastAsia" w:ascii="新宋体" w:hAnsi="新宋体" w:eastAsia="新宋体" w:cs="新宋体"/>
                <w:bCs/>
                <w:sz w:val="21"/>
                <w:szCs w:val="21"/>
                <w:lang w:eastAsia="zh-CN"/>
              </w:rPr>
              <w:t>钦北区卫生健康局医疗票据管理平台</w:t>
            </w:r>
            <w:r>
              <w:rPr>
                <w:rFonts w:hint="eastAsia" w:ascii="新宋体" w:hAnsi="新宋体" w:eastAsia="新宋体" w:cs="新宋体"/>
                <w:bCs/>
                <w:sz w:val="21"/>
                <w:szCs w:val="21"/>
              </w:rPr>
              <w:t>可做到界面可视化各类参数设置，其中包括（但不限于）电子票打印次数限制、是否启用电子票换开纸质票年度限制、是否启用电子票换开专用机打票、是否限制电子票汇缴后不能做后续业务、是否限制电子票入账后续业务、是否限制项目标准编码不能为空、首页库存预警提示阀值、医保类型值设置、清单明细是否返回、是否开启医保总金额等于票面总金额判断、机打票是否打印清单、是否开启预交金功能、预交金二维码显示规则、预交金退费项描述、预交金退费凭证备注添加凭证代码、票据自动下发（包括开票点票据手动或自动发放方式、开票点单笔下发数额）等。</w:t>
            </w:r>
          </w:p>
          <w:p>
            <w:pPr>
              <w:pStyle w:val="12"/>
              <w:numPr>
                <w:ilvl w:val="0"/>
                <w:numId w:val="8"/>
              </w:numPr>
              <w:spacing w:line="276" w:lineRule="auto"/>
              <w:rPr>
                <w:rFonts w:hint="eastAsia" w:ascii="新宋体" w:hAnsi="新宋体" w:eastAsia="新宋体" w:cs="新宋体"/>
                <w:bCs/>
                <w:sz w:val="21"/>
                <w:szCs w:val="21"/>
              </w:rPr>
            </w:pPr>
            <w:r>
              <w:rPr>
                <w:rFonts w:hint="eastAsia" w:ascii="新宋体" w:hAnsi="新宋体" w:eastAsia="新宋体" w:cs="新宋体"/>
                <w:bCs/>
                <w:sz w:val="21"/>
                <w:szCs w:val="21"/>
              </w:rPr>
              <w:t>任务调度管理：采购人</w:t>
            </w:r>
            <w:r>
              <w:rPr>
                <w:rFonts w:hint="eastAsia" w:ascii="新宋体" w:hAnsi="新宋体" w:eastAsia="新宋体" w:cs="新宋体"/>
                <w:bCs/>
                <w:sz w:val="21"/>
                <w:szCs w:val="21"/>
                <w:lang w:eastAsia="zh-CN"/>
              </w:rPr>
              <w:t>钦北区卫生健康局医疗票据管理平台</w:t>
            </w:r>
            <w:r>
              <w:rPr>
                <w:rFonts w:hint="eastAsia" w:ascii="新宋体" w:hAnsi="新宋体" w:eastAsia="新宋体" w:cs="新宋体"/>
                <w:bCs/>
                <w:sz w:val="21"/>
                <w:szCs w:val="21"/>
              </w:rPr>
              <w:t>必须提供可视化界面的任务调度管理，（1）运行报表，应能体现任务数量、调度次数等调度报表可视化内容；（2）调度日志，以列表方式展现出每个任务执行情况，包括任务的执行处理器、执行器触发时间、执行结果等；（3）任务管理，可自定义新增执行器，包括独立部署基础资料同步、库存预警、医疗日结、同步（开票数据下载）、待办事项刷新、预交金日结、预交金月结、批量上传任务等作业处理器，且包括任务的路由策略、阻塞处理策略、失败处理策略、任务描述等关键指标处理。</w:t>
            </w:r>
          </w:p>
          <w:p>
            <w:p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（四）数据分析需求</w:t>
            </w:r>
          </w:p>
          <w:p>
            <w:pPr>
              <w:numPr>
                <w:ilvl w:val="0"/>
                <w:numId w:val="9"/>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医疗服务分析：分析医疗机构的就诊情况（门诊、住院、体检），根据此数据分析可以优化配置各医院的医疗机构资源（如长期超过该医院最大的接诊量，则可考虑增加医疗人员扩建医疗场所等，也为医院评级等提供相关依据），提升医疗质量管理。同时对门急诊人次、住院人次、体检人次增减率的情况进行监控，在异常增减率出现时及时预警，便于</w:t>
            </w:r>
            <w:r>
              <w:rPr>
                <w:rFonts w:hint="eastAsia" w:ascii="新宋体" w:hAnsi="新宋体" w:eastAsia="新宋体" w:cs="新宋体"/>
                <w:color w:val="FF0000"/>
                <w:sz w:val="21"/>
                <w:szCs w:val="21"/>
                <w:lang w:eastAsia="zh-CN"/>
              </w:rPr>
              <w:t>钦北区卫生健康局</w:t>
            </w:r>
            <w:r>
              <w:rPr>
                <w:rFonts w:hint="eastAsia" w:ascii="新宋体" w:hAnsi="新宋体" w:eastAsia="新宋体" w:cs="新宋体"/>
                <w:sz w:val="21"/>
                <w:szCs w:val="21"/>
              </w:rPr>
              <w:t>及时向医疗机构了解增减率异常的原因。</w:t>
            </w:r>
          </w:p>
          <w:p>
            <w:pPr>
              <w:numPr>
                <w:ilvl w:val="0"/>
                <w:numId w:val="9"/>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用药管理：为加强医疗机构药事管理工作，促进临床合理用药，保障人民群众用药的安全性、经济性、有效性、避免和减少药物不良反应，全面提高医疗质量，根据《处方管理办法》、《抗菌药物临床应用指导原则》、《医疗机构药事管理暂行规定》等法律法规，结合医疗机构的实际情况，制定临床合理用药管理制度。医疗机构用药监控目标：药比不能超过38.5%，住院患者抗菌药物使用不超过60%。</w:t>
            </w:r>
          </w:p>
          <w:p>
            <w:pPr>
              <w:numPr>
                <w:ilvl w:val="0"/>
                <w:numId w:val="9"/>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医疗机构收入情况分析：医疗机构业务收入是反映医疗机构运营的经济效益、管理水平高低的重要指标之一，它不仅体现了医护人员、行政管理、后勤人员劳动的经济成果，也体现了医疗机构在当今医疗市场激烈竞争中的地位。通过统计分析所管辖医疗机构收入情况包括门急诊收入、住院收入、体检收入以及收入增长率及收入构成，有利于</w:t>
            </w:r>
            <w:r>
              <w:rPr>
                <w:rFonts w:hint="eastAsia" w:ascii="新宋体" w:hAnsi="新宋体" w:eastAsia="新宋体" w:cs="新宋体"/>
                <w:color w:val="FF0000"/>
                <w:sz w:val="21"/>
                <w:szCs w:val="21"/>
                <w:lang w:eastAsia="zh-CN"/>
              </w:rPr>
              <w:t>钦北区卫生健康局</w:t>
            </w:r>
            <w:r>
              <w:rPr>
                <w:rFonts w:hint="eastAsia" w:ascii="新宋体" w:hAnsi="新宋体" w:eastAsia="新宋体" w:cs="新宋体"/>
                <w:sz w:val="21"/>
                <w:szCs w:val="21"/>
              </w:rPr>
              <w:t>及时了解医疗机构的收入情况，对医疗机构决算和财务收支情况进行审计监督，有利于对医疗机构财务管理工作，指导医疗机构的内部审计工作，提高医疗机构经营管理水平服。</w:t>
            </w:r>
          </w:p>
          <w:p>
            <w:pPr>
              <w:numPr>
                <w:ilvl w:val="0"/>
                <w:numId w:val="9"/>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医疗负担：通过收集各医疗机构门急诊、住院费用数据，分析门诊及住院患者均次费用及变化趋势。并对均次费用中药品费占比、卫生材料费占比、检查费占比等情况的分析，了解医疗负担中各项目的占比情况。根据结果引导患者合理流向，严控过度消费，降低费用负担水平，实现医疗费用负担与增长更趋均衡合理。同时可为政府加大医疗保障力度，加大政府投入,提高对经济困难人群的医疗补助,减轻医疗负担，作为参考依据。</w:t>
            </w:r>
          </w:p>
          <w:p>
            <w:pPr>
              <w:numPr>
                <w:ilvl w:val="0"/>
                <w:numId w:val="9"/>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医疗保障：统计门急诊、住院患者医疗保障总费用情况。包括医保患者就诊人次、医保患者费用情况，有助于了解基本医疗保障水平的现状。对政府增加卫生医疗保障措施，完善医疗保障制度。</w:t>
            </w:r>
          </w:p>
          <w:p>
            <w:pPr>
              <w:numPr>
                <w:ilvl w:val="0"/>
                <w:numId w:val="9"/>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监督分析和统计查询：深入挖掘医疗机构现有医疗信息资源的数据价值，在数据信息一体化建设的前提下，整合医疗电子票据信息，建设</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。提供数据采集、数据整理、数据质量检查、数据应用监管、数据分析建模等功能，整理形成医疗数据资源目录，并提供数据信息公开与共享应用管理流程，结合数据脱敏与数据权限管理等功能，形成</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，方便医疗机构相关进行医疗票据使用情况、医疗资源分配情况等内容的查询与公开监督。</w:t>
            </w:r>
          </w:p>
          <w:p>
            <w:pPr>
              <w:pStyle w:val="12"/>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（五） 财政电子票据通知及获取</w:t>
            </w:r>
          </w:p>
          <w:p>
            <w:pPr>
              <w:numPr>
                <w:ilvl w:val="0"/>
                <w:numId w:val="10"/>
              </w:numPr>
              <w:spacing w:line="276" w:lineRule="auto"/>
              <w:rPr>
                <w:rFonts w:hint="eastAsia" w:ascii="新宋体" w:hAnsi="新宋体" w:eastAsia="新宋体" w:cs="新宋体"/>
                <w:bCs/>
                <w:sz w:val="21"/>
                <w:szCs w:val="21"/>
              </w:rPr>
            </w:pPr>
            <w:r>
              <w:rPr>
                <w:rFonts w:hint="eastAsia" w:ascii="新宋体" w:hAnsi="新宋体" w:eastAsia="新宋体" w:cs="新宋体"/>
                <w:sz w:val="21"/>
                <w:szCs w:val="21"/>
              </w:rPr>
              <w:t>电子票据通知：（1）直接打印告知单：窗口收费员可以打印告知单交给患者，患者可登录广西壮族自治区财政电子票据公共服务平台查验网站进行查验真伪。考虑到各类患者实际需求和医疗机构节约成本需求，防止电子票据“乱打印”的现象，医疗机构按需仅提供一次打印。（2）采购人公众号/生活号通知：患者需要提前关注医疗机构公众号、生活号，</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开具电子票据成功后，通过HIS业务系统向医疗机构公众号、生活号推送电子票据信息。</w:t>
            </w:r>
            <w:r>
              <w:rPr>
                <w:rFonts w:hint="eastAsia" w:ascii="新宋体" w:hAnsi="新宋体" w:eastAsia="新宋体" w:cs="新宋体"/>
                <w:bCs/>
                <w:sz w:val="21"/>
                <w:szCs w:val="21"/>
              </w:rPr>
              <w:t>（3）采购人短信、邮件通知：</w:t>
            </w:r>
            <w:r>
              <w:rPr>
                <w:rFonts w:hint="eastAsia" w:ascii="新宋体" w:hAnsi="新宋体" w:eastAsia="新宋体" w:cs="新宋体"/>
                <w:bCs/>
                <w:sz w:val="21"/>
                <w:szCs w:val="21"/>
                <w:lang w:eastAsia="zh-CN"/>
              </w:rPr>
              <w:t>钦北区卫生健康局医疗票据管理平台</w:t>
            </w:r>
            <w:r>
              <w:rPr>
                <w:rFonts w:hint="eastAsia" w:ascii="新宋体" w:hAnsi="新宋体" w:eastAsia="新宋体" w:cs="新宋体"/>
                <w:bCs/>
                <w:sz w:val="21"/>
                <w:szCs w:val="21"/>
              </w:rPr>
              <w:t>应提供短信、邮件自定义格式发送。短信配置可设置运营商、状态是否启用、短信内容自定义配置等信息；邮件配置包括是否可自定义配置、服务地址、端口、邮箱账号、密码、状态是否启用、自定义配置等内容。</w:t>
            </w:r>
          </w:p>
          <w:p>
            <w:pPr>
              <w:numPr>
                <w:ilvl w:val="0"/>
                <w:numId w:val="10"/>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患者取票服务：（1）</w:t>
            </w:r>
            <w:r>
              <w:rPr>
                <w:rFonts w:hint="eastAsia" w:ascii="新宋体" w:hAnsi="新宋体" w:eastAsia="新宋体" w:cs="新宋体"/>
                <w:sz w:val="21"/>
                <w:szCs w:val="21"/>
              </w:rPr>
              <w:tab/>
            </w:r>
            <w:r>
              <w:rPr>
                <w:rFonts w:hint="eastAsia" w:ascii="新宋体" w:hAnsi="新宋体" w:eastAsia="新宋体" w:cs="新宋体"/>
                <w:sz w:val="21"/>
                <w:szCs w:val="21"/>
              </w:rPr>
              <w:t>财政服务网站取票：患者可通过登录广西壮族自治区财政厅建设的广西壮族自治区财政电子票据公共服务平台，根据电子票据相关要素获取电子票据，可以根据需要下载打印。（2）医疗机构公众号/生活号取票：患者可通过注册或关注医疗机构公众号、生活号，查看电子票据通知信息，通过取票小程序，获取电子票据。根据需要选择发送到邮箱、微信卡包。（3）医疗机构专用APP：患者可通过安装医疗机构专用APP，根据已发送的电子票据通知记录，通过医疗机构专用APP，获取电子票据。（4）医疗机构通码扫码取票：患者使用微信扫描二维码，输入身份证号/手机号/医保卡号/就诊卡号等信息，查看电子票据信息，通过取票小程序，获取电子票据。根据需要选择发送到邮箱、微信卡包。（5）提供接口和查询服务程序，患者可通过医疗机构设置的自助机使用就诊卡或者身份证识别读取票据信息，打印电子票据板式文件。</w:t>
            </w:r>
            <w:r>
              <w:rPr>
                <w:rFonts w:hint="eastAsia" w:ascii="新宋体" w:hAnsi="新宋体" w:eastAsia="新宋体" w:cs="新宋体"/>
                <w:bCs/>
                <w:sz w:val="21"/>
                <w:szCs w:val="21"/>
              </w:rPr>
              <w:t>（6）取票小程序应提供以下功能，a.扫码查票，通过扫码获取或查看电子票据；b.手工查票，可选择票据类型，通过票据代码、票据号码、校验码信息查找电子票；c.预交金，可按住院日期展示各医疗机构的预交金凭证信息；d.票夹，可按开票日期、票据状态信息展示取到的电子票信息并可展示详细电子票据内容；e.自动取票，可通过进入各医疗机构单位后按照真实姓名、用户编码（手机号/就诊卡号/身份证号）自动获取电子票据。</w:t>
            </w:r>
          </w:p>
          <w:p>
            <w:pPr>
              <w:pStyle w:val="12"/>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四. 接口开发及联调需求：</w:t>
            </w:r>
          </w:p>
          <w:p>
            <w:pPr>
              <w:pStyle w:val="12"/>
              <w:numPr>
                <w:ilvl w:val="0"/>
                <w:numId w:val="11"/>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HIS业务系统接口：门诊、住院等绝大部分日常业务操作在采购人HIS业务系统中完成，所以门诊、住院电子票据的业务数据均来源于HIS业务系统的结算数据；</w:t>
            </w:r>
            <w:r>
              <w:rPr>
                <w:rFonts w:hint="eastAsia" w:ascii="新宋体" w:hAnsi="新宋体" w:eastAsia="新宋体" w:cs="新宋体"/>
                <w:bCs/>
                <w:sz w:val="21"/>
                <w:szCs w:val="21"/>
                <w:lang w:eastAsia="zh-CN"/>
              </w:rPr>
              <w:t>钦北区卫生健康局医疗票据管理平台</w:t>
            </w:r>
            <w:r>
              <w:rPr>
                <w:rFonts w:hint="eastAsia" w:ascii="新宋体" w:hAnsi="新宋体" w:eastAsia="新宋体" w:cs="新宋体"/>
                <w:sz w:val="21"/>
                <w:szCs w:val="21"/>
              </w:rPr>
              <w:t>需</w:t>
            </w:r>
            <w:r>
              <w:rPr>
                <w:rFonts w:hint="eastAsia" w:ascii="新宋体" w:hAnsi="新宋体" w:eastAsia="新宋体" w:cs="新宋体"/>
                <w:sz w:val="21"/>
                <w:szCs w:val="21"/>
                <w:lang w:val="en-US" w:eastAsia="zh-CN"/>
              </w:rPr>
              <w:t>提供</w:t>
            </w:r>
            <w:r>
              <w:rPr>
                <w:rFonts w:hint="eastAsia" w:ascii="新宋体" w:hAnsi="新宋体" w:eastAsia="新宋体" w:cs="新宋体"/>
                <w:sz w:val="21"/>
                <w:szCs w:val="21"/>
              </w:rPr>
              <w:t>与HIS系统的数据交换接口，实现HIS缴费业务数据的自动传输、电子票据的自动生成等。</w:t>
            </w:r>
          </w:p>
          <w:p>
            <w:pPr>
              <w:pStyle w:val="12"/>
              <w:numPr>
                <w:ilvl w:val="0"/>
                <w:numId w:val="11"/>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与广西壮族自治区财政票据电子化管理系统数据交换的财政电子票据前置：医疗电子票据是财政电子票据的一种，需要通过交换服务从广西壮族自治区财政票据电子化管理系统进行基础信息下载、票据库存信息同步、开票信息上传、电子票据本身上传的定时数据交换等。</w:t>
            </w:r>
          </w:p>
          <w:p>
            <w:pPr>
              <w:pStyle w:val="12"/>
              <w:numPr>
                <w:ilvl w:val="0"/>
                <w:numId w:val="11"/>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财务系统接口：实行财政电子票据管理后，</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需要建立与财务系统数据交换接口，实现系统业务数据、财务会计科收费业务数据的记账凭证自动生成。</w:t>
            </w:r>
          </w:p>
          <w:p>
            <w:pPr>
              <w:pStyle w:val="12"/>
              <w:numPr>
                <w:ilvl w:val="0"/>
                <w:numId w:val="11"/>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财务在线开票系统个性化开发：财务会计的开票业务，如：资金往来票据、捐赠票据等由</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开具并实现自动记账。</w:t>
            </w:r>
          </w:p>
          <w:p>
            <w:pPr>
              <w:numPr>
                <w:ilvl w:val="0"/>
                <w:numId w:val="11"/>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接口授权：考虑到采购人所辖医疗机构较多，系统必须提供统一的授权管理，方便采购人集中管理接入单位，确保系统高效稳定运行</w:t>
            </w:r>
          </w:p>
          <w:p>
            <w:pPr>
              <w:pStyle w:val="12"/>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五、构建电子票据档案需求：</w:t>
            </w:r>
          </w:p>
          <w:p>
            <w:pPr>
              <w:pStyle w:val="12"/>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　　财政电子票据应是XML文件格式，为让患者直观阅览，XML格式的电子票据在展示时显示为PNG图片格式。传统的电子档案系统采用所见即所得的查看模式，打开XML文件及出现网页代码式的阅览；为适应财政电子票据的存档、查阅等相关要求，根据电子票据的格式特殊性，系统应实现XML与PNG格式的自动转换，打开XML文件显示PNG图片模式，给用户提供直观展示服务。系统功能包括：</w:t>
            </w:r>
          </w:p>
          <w:p>
            <w:pPr>
              <w:pStyle w:val="12"/>
              <w:numPr>
                <w:ilvl w:val="0"/>
                <w:numId w:val="12"/>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电子票据接收：</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通过财政提供的电子票据服务平台之间的接口，按照全国统一信用代码定时（或实时）接收电子票据信息。</w:t>
            </w:r>
          </w:p>
          <w:p>
            <w:pPr>
              <w:pStyle w:val="12"/>
              <w:numPr>
                <w:ilvl w:val="0"/>
                <w:numId w:val="12"/>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电子票据归档：对于接收到的电子票据，</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会按照日期、票据种类等条件进行自动归档。</w:t>
            </w:r>
          </w:p>
          <w:p>
            <w:pPr>
              <w:pStyle w:val="12"/>
              <w:numPr>
                <w:ilvl w:val="0"/>
                <w:numId w:val="12"/>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电子票据查看：医疗机构对于已经入账的电子票据信息可通过</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接口查看相应的电子票据信息。</w:t>
            </w:r>
          </w:p>
          <w:p>
            <w:pPr>
              <w:pStyle w:val="12"/>
              <w:numPr>
                <w:ilvl w:val="0"/>
                <w:numId w:val="12"/>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电子票据入账反馈：医疗机构财务系统对于符合入账要求的电子票据进行入账。财务人员获取</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的电子票据汇总单，进行记账。记账成功后，财务系统调用电子档案反馈记账结果信息（凭证号）。</w:t>
            </w:r>
          </w:p>
          <w:p>
            <w:pPr>
              <w:pStyle w:val="12"/>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六、系统性能需求：</w:t>
            </w:r>
          </w:p>
          <w:p>
            <w:pPr>
              <w:pStyle w:val="12"/>
              <w:numPr>
                <w:ilvl w:val="0"/>
                <w:numId w:val="13"/>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高效性：系统的响应时间迅速，必须保证系统使用的高效性，系统能够支持</w:t>
            </w:r>
            <w:r>
              <w:rPr>
                <w:rFonts w:hint="eastAsia" w:ascii="新宋体" w:hAnsi="新宋体" w:eastAsia="新宋体" w:cs="新宋体"/>
                <w:sz w:val="21"/>
                <w:szCs w:val="21"/>
                <w:lang w:val="en-US" w:eastAsia="zh-CN"/>
              </w:rPr>
              <w:t>1</w:t>
            </w:r>
            <w:r>
              <w:rPr>
                <w:rFonts w:hint="eastAsia" w:ascii="新宋体" w:hAnsi="新宋体" w:eastAsia="新宋体" w:cs="新宋体"/>
                <w:sz w:val="21"/>
                <w:szCs w:val="21"/>
              </w:rPr>
              <w:t xml:space="preserve">000并发用户数以上，系统的日签发能力 </w:t>
            </w: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rPr>
              <w:t>0000 张以上。</w:t>
            </w:r>
          </w:p>
          <w:p>
            <w:pPr>
              <w:pStyle w:val="12"/>
              <w:numPr>
                <w:ilvl w:val="0"/>
                <w:numId w:val="13"/>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可用性:系统所提供的各项功能必须可实现所要求的对应业务功能需要，并具有可恢复性操作的功能。</w:t>
            </w:r>
          </w:p>
          <w:p>
            <w:pPr>
              <w:pStyle w:val="12"/>
              <w:numPr>
                <w:ilvl w:val="0"/>
                <w:numId w:val="13"/>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简便可操作：系统界面简单美观，菜单按钮易辨认。</w:t>
            </w:r>
          </w:p>
          <w:p>
            <w:pPr>
              <w:pStyle w:val="12"/>
              <w:numPr>
                <w:ilvl w:val="0"/>
                <w:numId w:val="13"/>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开放性：系统应具有开放的数据结构设计，系统结构设计灵活、开放。对成果数据实行标准化管理，规范化存储，为相关业务应用提供扩展的可能，另一方面，数据库设计合理、规范。系统为其他软件开发提供开放的数据接口，满足数据的共享和交换要求。</w:t>
            </w:r>
          </w:p>
          <w:p>
            <w:pPr>
              <w:pStyle w:val="12"/>
              <w:numPr>
                <w:ilvl w:val="0"/>
                <w:numId w:val="13"/>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可靠性：系统必须正常稳定运行，保证所处理事务、数据的完整性。系统平均年故障时间少于5 天；具有较强的灾难恢复能力，平均故障修复时间少于24 小时。</w:t>
            </w:r>
          </w:p>
          <w:p>
            <w:pPr>
              <w:pStyle w:val="12"/>
              <w:numPr>
                <w:ilvl w:val="0"/>
                <w:numId w:val="13"/>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标准性：系统数据应标准化、规范化，按照分层数据，软件构件化实现。</w:t>
            </w:r>
          </w:p>
          <w:p>
            <w:pPr>
              <w:pStyle w:val="12"/>
              <w:numPr>
                <w:ilvl w:val="0"/>
                <w:numId w:val="13"/>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兼容性：系统提供其他系统能兼容的、完备的数据输入、输出接口。</w:t>
            </w:r>
          </w:p>
          <w:p>
            <w:pPr>
              <w:pStyle w:val="12"/>
              <w:numPr>
                <w:ilvl w:val="0"/>
                <w:numId w:val="13"/>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安全性：保证数据和系统的安全性。要有管理员身份认证机制、数据加密机制。</w:t>
            </w:r>
          </w:p>
          <w:p>
            <w:pPr>
              <w:pStyle w:val="12"/>
              <w:numPr>
                <w:ilvl w:val="0"/>
                <w:numId w:val="13"/>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可维护性：系统管理模块进行数据备份、日志等管理、维护。对系统所涉及到的各项应用及管理必须是可管理和维护的。</w:t>
            </w:r>
          </w:p>
          <w:p>
            <w:pPr>
              <w:pStyle w:val="12"/>
              <w:numPr>
                <w:ilvl w:val="0"/>
                <w:numId w:val="13"/>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可扩展性：考虑到系统建设是一个循序渐进、不断扩充的过程,系统要采用积木式结构,组件化设计，整体构架要考虑系统间的无缝连接,为今后系统扩展和集成留有扩充余量。</w:t>
            </w:r>
          </w:p>
          <w:p>
            <w:pPr>
              <w:pStyle w:val="12"/>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七、部署需求：</w:t>
            </w:r>
          </w:p>
          <w:p>
            <w:pPr>
              <w:pStyle w:val="12"/>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　　在采购方提供的硬件网络环境中部署</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sz w:val="21"/>
                <w:szCs w:val="21"/>
              </w:rPr>
              <w:t>，与卫健局</w:t>
            </w:r>
            <w:r>
              <w:rPr>
                <w:rFonts w:hint="eastAsia" w:ascii="新宋体" w:hAnsi="新宋体" w:eastAsia="新宋体" w:cs="新宋体"/>
                <w:sz w:val="21"/>
                <w:szCs w:val="21"/>
                <w:lang w:val="en-US" w:eastAsia="zh-CN"/>
              </w:rPr>
              <w:t>管辖</w:t>
            </w:r>
            <w:r>
              <w:rPr>
                <w:rFonts w:hint="eastAsia" w:ascii="新宋体" w:hAnsi="新宋体" w:eastAsia="新宋体" w:cs="新宋体"/>
                <w:sz w:val="21"/>
                <w:szCs w:val="21"/>
              </w:rPr>
              <w:t>的各医疗机构的HIS系统和广西财政票据电子化管理系统对接，实现各医疗机构的电子票据全流程管理。</w:t>
            </w:r>
          </w:p>
          <w:p>
            <w:pPr>
              <w:pStyle w:val="12"/>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八、电子签名需求：</w:t>
            </w:r>
          </w:p>
          <w:p>
            <w:pPr>
              <w:pStyle w:val="12"/>
              <w:numPr>
                <w:ilvl w:val="0"/>
                <w:numId w:val="14"/>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对于电子票据开具功能，承建商应按照财政部要求提供与财政部一致的数字签名方式，按照单位先签名、财政后签名的形式进行CA签名认证。</w:t>
            </w:r>
          </w:p>
          <w:p>
            <w:pPr>
              <w:pStyle w:val="12"/>
              <w:numPr>
                <w:ilvl w:val="0"/>
                <w:numId w:val="14"/>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签名加密算法需要与财政部要求一致，加密文件格式要符合财政部标准。</w:t>
            </w:r>
          </w:p>
          <w:p>
            <w:pPr>
              <w:pStyle w:val="12"/>
              <w:numPr>
                <w:ilvl w:val="0"/>
                <w:numId w:val="14"/>
              </w:numPr>
              <w:spacing w:line="276" w:lineRule="auto"/>
              <w:rPr>
                <w:rFonts w:hint="eastAsia" w:ascii="新宋体" w:hAnsi="新宋体" w:eastAsia="新宋体" w:cs="新宋体"/>
                <w:sz w:val="21"/>
                <w:szCs w:val="21"/>
              </w:rPr>
            </w:pPr>
            <w:r>
              <w:rPr>
                <w:rFonts w:hint="eastAsia" w:ascii="新宋体" w:hAnsi="新宋体" w:eastAsia="新宋体" w:cs="新宋体"/>
                <w:sz w:val="21"/>
                <w:szCs w:val="21"/>
              </w:rPr>
              <w:t>应使用签名服务器进行电子签名，以保证业务正常开展。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vAlign w:val="center"/>
          </w:tcPr>
          <w:p>
            <w:pPr>
              <w:ind w:firstLine="102" w:firstLineChars="49"/>
              <w:rPr>
                <w:rFonts w:hint="eastAsia" w:ascii="新宋体" w:hAnsi="新宋体" w:eastAsia="新宋体" w:cs="新宋体"/>
                <w:sz w:val="21"/>
                <w:szCs w:val="21"/>
              </w:rPr>
            </w:pPr>
            <w:r>
              <w:rPr>
                <w:rFonts w:hint="eastAsia" w:ascii="新宋体" w:hAnsi="新宋体" w:eastAsia="新宋体" w:cs="新宋体"/>
                <w:sz w:val="21"/>
                <w:szCs w:val="21"/>
              </w:rPr>
              <w:t>2</w:t>
            </w:r>
          </w:p>
        </w:tc>
        <w:tc>
          <w:tcPr>
            <w:tcW w:w="1402"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sz w:val="21"/>
                <w:szCs w:val="21"/>
              </w:rPr>
            </w:pPr>
            <w:r>
              <w:rPr>
                <w:rFonts w:hint="eastAsia" w:ascii="新宋体" w:hAnsi="新宋体" w:eastAsia="新宋体" w:cs="新宋体"/>
                <w:sz w:val="21"/>
                <w:szCs w:val="21"/>
              </w:rPr>
              <w:t>电子签名服务器</w:t>
            </w:r>
          </w:p>
        </w:tc>
        <w:tc>
          <w:tcPr>
            <w:tcW w:w="75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sz w:val="21"/>
                <w:szCs w:val="21"/>
              </w:rPr>
            </w:pPr>
            <w:r>
              <w:rPr>
                <w:rFonts w:hint="eastAsia" w:ascii="新宋体" w:hAnsi="新宋体" w:eastAsia="新宋体" w:cs="新宋体"/>
                <w:sz w:val="21"/>
                <w:szCs w:val="21"/>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sz w:val="21"/>
                <w:szCs w:val="21"/>
              </w:rPr>
            </w:pPr>
            <w:r>
              <w:rPr>
                <w:rFonts w:hint="eastAsia" w:ascii="新宋体" w:hAnsi="新宋体" w:eastAsia="新宋体" w:cs="新宋体"/>
                <w:sz w:val="21"/>
                <w:szCs w:val="21"/>
              </w:rPr>
              <w:t>台</w:t>
            </w:r>
          </w:p>
        </w:tc>
        <w:tc>
          <w:tcPr>
            <w:tcW w:w="6492" w:type="dxa"/>
            <w:tcBorders>
              <w:top w:val="single" w:color="auto" w:sz="4" w:space="0"/>
              <w:left w:val="single" w:color="auto" w:sz="4" w:space="0"/>
              <w:bottom w:val="single" w:color="auto" w:sz="4" w:space="0"/>
              <w:right w:val="single" w:color="auto" w:sz="4" w:space="0"/>
            </w:tcBorders>
            <w:vAlign w:val="center"/>
          </w:tcPr>
          <w:p>
            <w:pPr>
              <w:pStyle w:val="41"/>
              <w:widowControl/>
              <w:numPr>
                <w:ilvl w:val="0"/>
                <w:numId w:val="15"/>
              </w:numPr>
              <w:adjustRightInd w:val="0"/>
              <w:snapToGrid w:val="0"/>
              <w:spacing w:after="160" w:line="259" w:lineRule="auto"/>
              <w:ind w:firstLineChars="0"/>
              <w:jc w:val="left"/>
              <w:rPr>
                <w:rFonts w:hint="eastAsia" w:ascii="新宋体" w:hAnsi="新宋体" w:eastAsia="新宋体" w:cs="新宋体"/>
                <w:sz w:val="21"/>
                <w:szCs w:val="21"/>
              </w:rPr>
            </w:pPr>
            <w:r>
              <w:rPr>
                <w:rFonts w:hint="eastAsia" w:ascii="新宋体" w:hAnsi="新宋体" w:eastAsia="新宋体" w:cs="新宋体"/>
                <w:sz w:val="21"/>
                <w:szCs w:val="21"/>
              </w:rPr>
              <w:t>签名服务器必须是财政部认可使用的设备；</w:t>
            </w:r>
          </w:p>
          <w:p>
            <w:pPr>
              <w:pStyle w:val="41"/>
              <w:widowControl/>
              <w:numPr>
                <w:ilvl w:val="0"/>
                <w:numId w:val="15"/>
              </w:numPr>
              <w:adjustRightInd w:val="0"/>
              <w:snapToGrid w:val="0"/>
              <w:spacing w:after="160" w:line="259" w:lineRule="auto"/>
              <w:ind w:firstLineChars="0"/>
              <w:jc w:val="left"/>
              <w:rPr>
                <w:rFonts w:hint="eastAsia" w:ascii="新宋体" w:hAnsi="新宋体" w:eastAsia="新宋体" w:cs="新宋体"/>
                <w:sz w:val="21"/>
                <w:szCs w:val="21"/>
              </w:rPr>
            </w:pPr>
            <w:r>
              <w:rPr>
                <w:rFonts w:hint="eastAsia" w:ascii="新宋体" w:hAnsi="新宋体" w:eastAsia="新宋体" w:cs="新宋体"/>
                <w:sz w:val="21"/>
                <w:szCs w:val="21"/>
              </w:rPr>
              <w:t>签名服务器需与广西财政厅使用的签名服务器兼容，能对接“广西财政票据电子化管理系统”；</w:t>
            </w:r>
          </w:p>
          <w:p>
            <w:pPr>
              <w:pStyle w:val="41"/>
              <w:widowControl/>
              <w:numPr>
                <w:ilvl w:val="0"/>
                <w:numId w:val="15"/>
              </w:numPr>
              <w:adjustRightInd w:val="0"/>
              <w:snapToGrid w:val="0"/>
              <w:spacing w:after="160" w:line="259" w:lineRule="auto"/>
              <w:ind w:firstLineChars="0"/>
              <w:jc w:val="left"/>
              <w:rPr>
                <w:rFonts w:hint="eastAsia" w:ascii="新宋体" w:hAnsi="新宋体" w:eastAsia="新宋体" w:cs="新宋体"/>
                <w:sz w:val="21"/>
                <w:szCs w:val="21"/>
              </w:rPr>
            </w:pPr>
            <w:r>
              <w:rPr>
                <w:rFonts w:hint="eastAsia" w:ascii="新宋体" w:hAnsi="新宋体" w:eastAsia="新宋体" w:cs="新宋体"/>
                <w:sz w:val="21"/>
                <w:szCs w:val="21"/>
              </w:rPr>
              <w:t>要求系统严格遵循《中华人民共和国电子签名法》和相关国家标准，并基于标准的 PKI体系架构。支持对数据、文件制作数字签名，签名结构符合PKCS#7标准，支持验证符合PKCS#7标准的签名结果；支持对数据制作数字签名，签名结构符合PKCS#1标准；支持通过证书导入、证书配置方式验证符合PKCS#1标准的签名结果；支持对数据、文件制作数字信封，信封结构符合PKCS#7标准；支持解密符合PKCS#7标准的信封结果；</w:t>
            </w:r>
          </w:p>
          <w:p>
            <w:pPr>
              <w:pStyle w:val="41"/>
              <w:widowControl/>
              <w:numPr>
                <w:ilvl w:val="0"/>
                <w:numId w:val="15"/>
              </w:numPr>
              <w:adjustRightInd w:val="0"/>
              <w:snapToGrid w:val="0"/>
              <w:spacing w:after="160" w:line="259" w:lineRule="auto"/>
              <w:ind w:firstLineChars="0"/>
              <w:jc w:val="left"/>
              <w:rPr>
                <w:rFonts w:hint="eastAsia" w:ascii="新宋体" w:hAnsi="新宋体" w:eastAsia="新宋体" w:cs="新宋体"/>
                <w:sz w:val="21"/>
                <w:szCs w:val="21"/>
              </w:rPr>
            </w:pPr>
            <w:r>
              <w:rPr>
                <w:rFonts w:hint="eastAsia" w:ascii="新宋体" w:hAnsi="新宋体" w:eastAsia="新宋体" w:cs="新宋体"/>
                <w:sz w:val="21"/>
                <w:szCs w:val="21"/>
              </w:rPr>
              <w:t>支持对签名、加密证书进行全面验证。可根据配置不同CA签发的根证书，验证证书的信任域；根据系统时间，验证证书的有效期；根据CRL或OCSP验证证书状态。证书状态验证方式包括，标准OCSP协议验证证书，连接LDAP服务器更新CRL验证，连接WEB服务器更新CRL验证。</w:t>
            </w:r>
          </w:p>
          <w:p>
            <w:pPr>
              <w:pStyle w:val="41"/>
              <w:widowControl/>
              <w:numPr>
                <w:ilvl w:val="0"/>
                <w:numId w:val="15"/>
              </w:numPr>
              <w:adjustRightInd w:val="0"/>
              <w:snapToGrid w:val="0"/>
              <w:spacing w:after="160" w:line="259" w:lineRule="auto"/>
              <w:ind w:firstLineChars="0"/>
              <w:jc w:val="left"/>
              <w:rPr>
                <w:rFonts w:hint="eastAsia" w:ascii="新宋体" w:hAnsi="新宋体" w:eastAsia="新宋体" w:cs="新宋体"/>
                <w:sz w:val="21"/>
                <w:szCs w:val="21"/>
              </w:rPr>
            </w:pPr>
            <w:r>
              <w:rPr>
                <w:rFonts w:hint="eastAsia" w:ascii="新宋体" w:hAnsi="新宋体" w:eastAsia="新宋体" w:cs="新宋体"/>
                <w:sz w:val="21"/>
                <w:szCs w:val="21"/>
              </w:rPr>
              <w:t>支持多种操作系统：可支持多种主流的操作系统，如 Windows 系列，Linux 系列，Solaris、AIX、HP-UX 等 Unix 操作系统；</w:t>
            </w:r>
          </w:p>
          <w:p>
            <w:pPr>
              <w:pStyle w:val="41"/>
              <w:widowControl/>
              <w:numPr>
                <w:ilvl w:val="0"/>
                <w:numId w:val="15"/>
              </w:numPr>
              <w:adjustRightInd w:val="0"/>
              <w:snapToGrid w:val="0"/>
              <w:spacing w:after="160" w:line="259" w:lineRule="auto"/>
              <w:ind w:firstLineChars="0"/>
              <w:jc w:val="left"/>
              <w:rPr>
                <w:rFonts w:hint="eastAsia" w:ascii="新宋体" w:hAnsi="新宋体" w:eastAsia="新宋体" w:cs="新宋体"/>
                <w:sz w:val="21"/>
                <w:szCs w:val="21"/>
              </w:rPr>
            </w:pPr>
            <w:r>
              <w:rPr>
                <w:rFonts w:hint="eastAsia" w:ascii="新宋体" w:hAnsi="新宋体" w:eastAsia="新宋体" w:cs="新宋体"/>
                <w:sz w:val="21"/>
                <w:szCs w:val="21"/>
              </w:rPr>
              <w:t>算法支持：支持SM2 非对称算法、SM3杂凑算法、SM4 对称算法、SM1 对称算法等；</w:t>
            </w:r>
          </w:p>
          <w:p>
            <w:pPr>
              <w:pStyle w:val="41"/>
              <w:widowControl/>
              <w:numPr>
                <w:ilvl w:val="0"/>
                <w:numId w:val="15"/>
              </w:numPr>
              <w:adjustRightInd w:val="0"/>
              <w:snapToGrid w:val="0"/>
              <w:spacing w:after="160" w:line="259" w:lineRule="auto"/>
              <w:ind w:firstLineChars="0"/>
              <w:jc w:val="left"/>
              <w:rPr>
                <w:rFonts w:hint="eastAsia" w:ascii="新宋体" w:hAnsi="新宋体" w:eastAsia="新宋体" w:cs="新宋体"/>
                <w:sz w:val="21"/>
                <w:szCs w:val="21"/>
              </w:rPr>
            </w:pPr>
            <w:r>
              <w:rPr>
                <w:rFonts w:hint="eastAsia" w:ascii="新宋体" w:hAnsi="新宋体" w:eastAsia="新宋体" w:cs="新宋体"/>
                <w:sz w:val="21"/>
                <w:szCs w:val="21"/>
              </w:rPr>
              <w:t>用户访问权限控制：具有用户管理功能，提高了密码设备自身的安全性；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0" w:type="dxa"/>
            <w:gridSpan w:val="6"/>
            <w:tcBorders>
              <w:top w:val="single" w:color="auto" w:sz="4" w:space="0"/>
              <w:left w:val="single" w:color="auto" w:sz="4" w:space="0"/>
              <w:bottom w:val="single" w:color="auto" w:sz="4" w:space="0"/>
              <w:right w:val="single" w:color="auto" w:sz="4" w:space="0"/>
            </w:tcBorders>
          </w:tcPr>
          <w:p>
            <w:pPr>
              <w:rPr>
                <w:rFonts w:hint="eastAsia" w:ascii="新宋体" w:hAnsi="新宋体" w:eastAsia="新宋体" w:cs="新宋体"/>
                <w:sz w:val="21"/>
                <w:szCs w:val="21"/>
              </w:rPr>
            </w:pPr>
            <w:r>
              <w:rPr>
                <w:rFonts w:hint="eastAsia" w:ascii="新宋体" w:hAnsi="新宋体" w:eastAsia="新宋体" w:cs="新宋体"/>
                <w:sz w:val="21"/>
                <w:szCs w:val="21"/>
              </w:rPr>
              <w:t>二、商务条款要求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采购预算</w:t>
            </w:r>
          </w:p>
        </w:tc>
        <w:tc>
          <w:tcPr>
            <w:tcW w:w="7767" w:type="dxa"/>
            <w:gridSpan w:val="3"/>
            <w:tcBorders>
              <w:top w:val="single" w:color="auto" w:sz="4" w:space="0"/>
              <w:left w:val="single" w:color="auto" w:sz="4" w:space="0"/>
              <w:bottom w:val="single" w:color="auto" w:sz="4" w:space="0"/>
              <w:right w:val="single" w:color="auto" w:sz="4" w:space="0"/>
            </w:tcBorders>
          </w:tcPr>
          <w:p>
            <w:pPr>
              <w:spacing w:line="360" w:lineRule="exact"/>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玖拾万元整（</w:t>
            </w:r>
            <w:r>
              <w:rPr>
                <w:rFonts w:hint="eastAsia" w:ascii="宋体" w:hAnsi="宋体" w:eastAsia="宋体" w:cs="宋体"/>
                <w:sz w:val="21"/>
                <w:szCs w:val="21"/>
                <w:lang w:val="en-US" w:eastAsia="zh-CN"/>
              </w:rPr>
              <w:t>￥</w:t>
            </w:r>
            <w:r>
              <w:rPr>
                <w:rFonts w:hint="eastAsia" w:ascii="新宋体" w:hAnsi="新宋体" w:eastAsia="新宋体" w:cs="新宋体"/>
                <w:sz w:val="21"/>
                <w:szCs w:val="21"/>
                <w:lang w:val="en-US" w:eastAsia="zh-CN"/>
              </w:rPr>
              <w:t>900000.00元）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rPr>
              <w:t>报价要求</w:t>
            </w:r>
          </w:p>
        </w:tc>
        <w:tc>
          <w:tcPr>
            <w:tcW w:w="7767" w:type="dxa"/>
            <w:gridSpan w:val="3"/>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rPr>
              <w:t>本项目为交钥匙工程，报价包括定制软件开发、运输、安装、调试、初验、培训等工作，项目实施的整体管理、协调直至通过竣工验收交付采购人使用。自竣工验收合格之日算起，成交人需对项目提供一年的免费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新宋体" w:hAnsi="新宋体" w:eastAsia="新宋体" w:cs="新宋体"/>
                <w:sz w:val="21"/>
                <w:szCs w:val="21"/>
              </w:rPr>
            </w:pPr>
            <w:r>
              <w:rPr>
                <w:rFonts w:hint="eastAsia" w:ascii="新宋体" w:hAnsi="新宋体" w:eastAsia="新宋体" w:cs="新宋体"/>
                <w:sz w:val="21"/>
                <w:szCs w:val="21"/>
              </w:rPr>
              <w:t>交付使用期限</w:t>
            </w:r>
          </w:p>
          <w:p>
            <w:pPr>
              <w:spacing w:line="360" w:lineRule="exact"/>
              <w:jc w:val="center"/>
              <w:rPr>
                <w:rFonts w:hint="eastAsia" w:ascii="新宋体" w:hAnsi="新宋体" w:eastAsia="新宋体" w:cs="新宋体"/>
                <w:sz w:val="21"/>
                <w:szCs w:val="21"/>
              </w:rPr>
            </w:pPr>
            <w:r>
              <w:rPr>
                <w:rFonts w:hint="eastAsia" w:ascii="新宋体" w:hAnsi="新宋体" w:eastAsia="新宋体" w:cs="新宋体"/>
                <w:kern w:val="0"/>
                <w:sz w:val="21"/>
                <w:szCs w:val="21"/>
              </w:rPr>
              <w:t>及</w:t>
            </w:r>
            <w:r>
              <w:rPr>
                <w:rFonts w:hint="eastAsia" w:ascii="新宋体" w:hAnsi="新宋体" w:eastAsia="新宋体" w:cs="新宋体"/>
                <w:sz w:val="21"/>
                <w:szCs w:val="21"/>
              </w:rPr>
              <w:t>地点</w:t>
            </w:r>
          </w:p>
        </w:tc>
        <w:tc>
          <w:tcPr>
            <w:tcW w:w="7767" w:type="dxa"/>
            <w:gridSpan w:val="3"/>
            <w:tcBorders>
              <w:top w:val="single" w:color="auto" w:sz="4" w:space="0"/>
              <w:left w:val="single" w:color="auto" w:sz="4" w:space="0"/>
              <w:bottom w:val="single" w:color="auto" w:sz="4" w:space="0"/>
              <w:right w:val="single" w:color="auto" w:sz="4" w:space="0"/>
            </w:tcBorders>
          </w:tcPr>
          <w:p>
            <w:pPr>
              <w:spacing w:line="360" w:lineRule="exact"/>
              <w:rPr>
                <w:rFonts w:hint="eastAsia" w:ascii="新宋体" w:hAnsi="新宋体" w:eastAsia="新宋体" w:cs="新宋体"/>
                <w:kern w:val="0"/>
                <w:sz w:val="21"/>
                <w:szCs w:val="21"/>
              </w:rPr>
            </w:pPr>
            <w:r>
              <w:rPr>
                <w:rFonts w:hint="eastAsia" w:ascii="新宋体" w:hAnsi="新宋体" w:eastAsia="新宋体" w:cs="新宋体"/>
                <w:kern w:val="0"/>
                <w:sz w:val="21"/>
                <w:szCs w:val="21"/>
              </w:rPr>
              <w:t>交付使用期限：自合同签订之日起30个工作日。</w:t>
            </w:r>
          </w:p>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项目实施地点：广西区内采购人指定地点。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新宋体" w:hAnsi="新宋体" w:eastAsia="新宋体" w:cs="新宋体"/>
                <w:sz w:val="21"/>
                <w:szCs w:val="21"/>
              </w:rPr>
            </w:pPr>
            <w:r>
              <w:rPr>
                <w:rFonts w:hint="eastAsia" w:ascii="新宋体" w:hAnsi="新宋体" w:eastAsia="新宋体" w:cs="新宋体"/>
                <w:sz w:val="21"/>
                <w:szCs w:val="21"/>
              </w:rPr>
              <w:t>付款方式</w:t>
            </w:r>
          </w:p>
        </w:tc>
        <w:tc>
          <w:tcPr>
            <w:tcW w:w="7767" w:type="dxa"/>
            <w:gridSpan w:val="3"/>
            <w:tcBorders>
              <w:top w:val="single" w:color="auto" w:sz="4" w:space="0"/>
              <w:left w:val="single" w:color="auto" w:sz="4" w:space="0"/>
              <w:bottom w:val="single" w:color="auto" w:sz="4" w:space="0"/>
              <w:right w:val="single" w:color="auto" w:sz="4" w:space="0"/>
            </w:tcBorders>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合同签订后15个工作日内支付50%合同款，</w:t>
            </w:r>
            <w:r>
              <w:rPr>
                <w:rFonts w:hint="eastAsia" w:ascii="新宋体" w:hAnsi="新宋体" w:eastAsia="新宋体" w:cs="新宋体"/>
                <w:bCs/>
                <w:snapToGrid w:val="0"/>
                <w:kern w:val="0"/>
                <w:sz w:val="21"/>
                <w:szCs w:val="21"/>
              </w:rPr>
              <w:t>项目上线 (</w:t>
            </w:r>
            <w:r>
              <w:rPr>
                <w:rFonts w:hint="eastAsia" w:ascii="新宋体" w:hAnsi="新宋体" w:eastAsia="新宋体" w:cs="新宋体"/>
                <w:bCs/>
                <w:snapToGrid w:val="0"/>
                <w:kern w:val="0"/>
                <w:sz w:val="21"/>
                <w:szCs w:val="21"/>
                <w:lang w:val="en-US" w:eastAsia="zh-CN"/>
              </w:rPr>
              <w:t>医疗机构开出</w:t>
            </w:r>
            <w:r>
              <w:rPr>
                <w:rFonts w:hint="eastAsia" w:ascii="新宋体" w:hAnsi="新宋体" w:eastAsia="新宋体" w:cs="新宋体"/>
                <w:bCs/>
                <w:snapToGrid w:val="0"/>
                <w:kern w:val="0"/>
                <w:sz w:val="21"/>
                <w:szCs w:val="21"/>
              </w:rPr>
              <w:t>第一张电子票据)后15个工作日内</w:t>
            </w:r>
            <w:r>
              <w:rPr>
                <w:rFonts w:hint="eastAsia" w:ascii="新宋体" w:hAnsi="新宋体" w:eastAsia="新宋体" w:cs="新宋体"/>
                <w:sz w:val="21"/>
                <w:szCs w:val="21"/>
              </w:rPr>
              <w:t>，甲方向乙方支付合同金额的45%，剩余5%作为质保金在质保期满后30个工作日内支付。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新宋体" w:hAnsi="新宋体" w:eastAsia="新宋体" w:cs="新宋体"/>
                <w:sz w:val="21"/>
                <w:szCs w:val="21"/>
              </w:rPr>
            </w:pPr>
            <w:r>
              <w:rPr>
                <w:rFonts w:hint="eastAsia" w:ascii="新宋体" w:hAnsi="新宋体" w:eastAsia="新宋体" w:cs="新宋体"/>
                <w:kern w:val="0"/>
                <w:sz w:val="21"/>
                <w:szCs w:val="21"/>
                <w:lang w:val="zh-CN"/>
              </w:rPr>
              <w:t>售后服务要求</w:t>
            </w:r>
          </w:p>
        </w:tc>
        <w:tc>
          <w:tcPr>
            <w:tcW w:w="7767" w:type="dxa"/>
            <w:gridSpan w:val="3"/>
            <w:tcBorders>
              <w:top w:val="single" w:color="auto" w:sz="4" w:space="0"/>
              <w:left w:val="single" w:color="auto" w:sz="4" w:space="0"/>
              <w:bottom w:val="single" w:color="auto" w:sz="4" w:space="0"/>
              <w:right w:val="single" w:color="auto" w:sz="4" w:space="0"/>
            </w:tcBorders>
          </w:tcPr>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1、质保期:供应商在完成系统的开发、上线工作后，应提供系统验收后一年的免费质量保证服务；</w:t>
            </w:r>
          </w:p>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2、质保期内服务内容提供包括但不限于故障排除、性能调优、技术咨询、系统升级等服务内容；及时、高效地解决在软件使用过程中遇到的故障、操作失误等相关需求。</w:t>
            </w:r>
          </w:p>
          <w:p>
            <w:pPr>
              <w:spacing w:line="360" w:lineRule="exact"/>
              <w:rPr>
                <w:rFonts w:hint="eastAsia" w:ascii="新宋体" w:hAnsi="新宋体" w:eastAsia="新宋体" w:cs="新宋体"/>
                <w:sz w:val="21"/>
                <w:szCs w:val="21"/>
              </w:rPr>
            </w:pPr>
            <w:r>
              <w:rPr>
                <w:rFonts w:hint="eastAsia" w:ascii="新宋体" w:hAnsi="新宋体" w:eastAsia="新宋体" w:cs="新宋体"/>
                <w:sz w:val="21"/>
                <w:szCs w:val="21"/>
              </w:rPr>
              <w:t>3、质保期内服务方式提供包括但不限于上门、电话、远程、定期巡查等方式的系统支持服务及系统数据备份，并生成巡检和备份报告。</w:t>
            </w:r>
          </w:p>
          <w:p>
            <w:pPr>
              <w:spacing w:line="360" w:lineRule="exact"/>
              <w:rPr>
                <w:rFonts w:hint="eastAsia" w:ascii="新宋体" w:hAnsi="新宋体" w:eastAsia="新宋体" w:cs="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新宋体" w:hAnsi="新宋体" w:eastAsia="新宋体" w:cs="新宋体"/>
                <w:sz w:val="21"/>
                <w:szCs w:val="21"/>
              </w:rPr>
            </w:pPr>
            <w:r>
              <w:rPr>
                <w:rFonts w:hint="eastAsia" w:ascii="新宋体" w:hAnsi="新宋体" w:eastAsia="新宋体" w:cs="新宋体"/>
                <w:sz w:val="21"/>
                <w:szCs w:val="21"/>
              </w:rPr>
              <w:t>知识产权要求</w:t>
            </w:r>
          </w:p>
        </w:tc>
        <w:tc>
          <w:tcPr>
            <w:tcW w:w="7767"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新宋体" w:hAnsi="新宋体" w:eastAsia="新宋体" w:cs="新宋体"/>
                <w:sz w:val="21"/>
                <w:szCs w:val="21"/>
              </w:rPr>
            </w:pPr>
            <w:r>
              <w:rPr>
                <w:rFonts w:hint="eastAsia" w:ascii="新宋体" w:hAnsi="新宋体" w:eastAsia="新宋体" w:cs="新宋体"/>
                <w:sz w:val="21"/>
                <w:szCs w:val="21"/>
              </w:rPr>
              <w:t>本项目所定制开发的软件系统及开发取得的成果的所有权归采购人所有，成交人在项目建设过程中所完成的</w:t>
            </w:r>
            <w:bookmarkStart w:id="61" w:name="_GoBack"/>
            <w:bookmarkEnd w:id="61"/>
            <w:r>
              <w:rPr>
                <w:rFonts w:hint="eastAsia" w:ascii="新宋体" w:hAnsi="新宋体" w:eastAsia="新宋体" w:cs="新宋体"/>
                <w:sz w:val="21"/>
                <w:szCs w:val="21"/>
              </w:rPr>
              <w:t>各种文件、电子文档以及其他相关资料和文件，其所有权和知识产权均归采购人所有，未经许可，成交人不得以任何形式转让或提供给第三方。</w:t>
            </w:r>
          </w:p>
          <w:p>
            <w:pPr>
              <w:spacing w:line="340" w:lineRule="exact"/>
              <w:rPr>
                <w:rFonts w:hint="eastAsia" w:ascii="新宋体" w:hAnsi="新宋体" w:eastAsia="新宋体" w:cs="新宋体"/>
                <w:sz w:val="21"/>
                <w:szCs w:val="21"/>
              </w:rPr>
            </w:pPr>
            <w:r>
              <w:rPr>
                <w:rFonts w:hint="eastAsia" w:ascii="新宋体" w:hAnsi="新宋体" w:eastAsia="新宋体" w:cs="新宋体"/>
                <w:sz w:val="21"/>
                <w:szCs w:val="21"/>
              </w:rPr>
              <w:t>为确保系统安全而进行的数据加密口令和密钥，成交方应在设置或修改2小时内告知采购方项目负责人。项目验收后，应移交所有数据加密口令和密钥。</w:t>
            </w:r>
          </w:p>
        </w:tc>
      </w:tr>
    </w:tbl>
    <w:p>
      <w:pPr>
        <w:rPr>
          <w:rFonts w:hint="default"/>
          <w:lang w:val="en-US" w:eastAsia="zh-CN"/>
        </w:rPr>
      </w:pPr>
    </w:p>
    <w:p>
      <w:pPr>
        <w:pStyle w:val="4"/>
        <w:spacing w:before="120" w:after="120"/>
        <w:jc w:val="center"/>
        <w:rPr>
          <w:rFonts w:ascii="宋体" w:hAnsi="宋体" w:eastAsia="宋体" w:cs="宋体"/>
          <w:kern w:val="4"/>
          <w:highlight w:val="none"/>
        </w:rPr>
      </w:pPr>
    </w:p>
    <w:p>
      <w:pPr>
        <w:rPr>
          <w:rFonts w:ascii="宋体" w:hAnsi="宋体" w:eastAsia="宋体" w:cs="宋体"/>
          <w:kern w:val="4"/>
          <w:highlight w:val="none"/>
        </w:rPr>
      </w:pPr>
      <w:r>
        <w:rPr>
          <w:rFonts w:hint="eastAsia" w:ascii="宋体" w:hAnsi="宋体" w:eastAsia="宋体" w:cs="宋体"/>
          <w:kern w:val="4"/>
          <w:highlight w:val="none"/>
        </w:rPr>
        <w:br w:type="page"/>
      </w:r>
    </w:p>
    <w:p>
      <w:pPr>
        <w:pStyle w:val="4"/>
        <w:spacing w:before="120" w:after="120"/>
        <w:jc w:val="both"/>
        <w:rPr>
          <w:rFonts w:hint="eastAsia" w:ascii="宋体" w:hAnsi="宋体" w:eastAsia="宋体" w:cs="宋体"/>
          <w:kern w:val="4"/>
          <w:highlight w:val="none"/>
          <w:lang w:val="en-US" w:eastAsia="zh-CN"/>
        </w:rPr>
      </w:pPr>
      <w:r>
        <w:rPr>
          <w:rFonts w:hint="eastAsia" w:ascii="宋体" w:hAnsi="宋体" w:eastAsia="宋体" w:cs="宋体"/>
          <w:kern w:val="4"/>
          <w:highlight w:val="none"/>
          <w:lang w:val="en-US" w:eastAsia="zh-CN"/>
        </w:rPr>
        <w:t>B分标</w:t>
      </w:r>
    </w:p>
    <w:tbl>
      <w:tblPr>
        <w:tblStyle w:val="22"/>
        <w:tblW w:w="47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9"/>
        <w:gridCol w:w="1305"/>
        <w:gridCol w:w="1320"/>
        <w:gridCol w:w="4340"/>
        <w:gridCol w:w="523"/>
        <w:gridCol w:w="5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使用主体</w:t>
            </w:r>
          </w:p>
        </w:tc>
        <w:tc>
          <w:tcPr>
            <w:tcW w:w="13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序号</w:t>
            </w:r>
          </w:p>
        </w:tc>
        <w:tc>
          <w:tcPr>
            <w:tcW w:w="132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b/>
                <w:bCs/>
                <w:i w:val="0"/>
                <w:iCs w:val="0"/>
                <w:color w:val="000000"/>
                <w:sz w:val="21"/>
                <w:szCs w:val="21"/>
                <w:u w:val="none"/>
                <w:lang w:val="en-US"/>
              </w:rPr>
            </w:pPr>
            <w:r>
              <w:rPr>
                <w:rFonts w:hint="eastAsia" w:ascii="新宋体" w:hAnsi="新宋体" w:eastAsia="新宋体" w:cs="新宋体"/>
                <w:b/>
                <w:bCs/>
                <w:i w:val="0"/>
                <w:iCs w:val="0"/>
                <w:color w:val="000000"/>
                <w:kern w:val="0"/>
                <w:sz w:val="21"/>
                <w:szCs w:val="21"/>
                <w:u w:val="none"/>
                <w:lang w:val="en-US" w:eastAsia="zh-CN" w:bidi="ar"/>
              </w:rPr>
              <w:t>采购品目名称</w:t>
            </w:r>
          </w:p>
        </w:tc>
        <w:tc>
          <w:tcPr>
            <w:tcW w:w="43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b/>
                <w:bCs/>
                <w:i w:val="0"/>
                <w:iCs w:val="0"/>
                <w:color w:val="000000"/>
                <w:sz w:val="21"/>
                <w:szCs w:val="21"/>
                <w:u w:val="none"/>
                <w:lang w:val="en-US"/>
              </w:rPr>
            </w:pPr>
            <w:r>
              <w:rPr>
                <w:rFonts w:hint="eastAsia" w:ascii="新宋体" w:hAnsi="新宋体" w:eastAsia="新宋体" w:cs="新宋体"/>
                <w:b/>
                <w:bCs/>
                <w:i w:val="0"/>
                <w:iCs w:val="0"/>
                <w:color w:val="000000"/>
                <w:kern w:val="0"/>
                <w:sz w:val="21"/>
                <w:szCs w:val="21"/>
                <w:u w:val="none"/>
                <w:lang w:val="en-US" w:eastAsia="zh-CN" w:bidi="ar"/>
              </w:rPr>
              <w:t>技术参数要求</w:t>
            </w:r>
          </w:p>
        </w:tc>
        <w:tc>
          <w:tcPr>
            <w:tcW w:w="5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数量</w:t>
            </w:r>
          </w:p>
        </w:tc>
        <w:tc>
          <w:tcPr>
            <w:tcW w:w="5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1189"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钦北区人民医院</w:t>
            </w:r>
          </w:p>
        </w:tc>
        <w:tc>
          <w:tcPr>
            <w:tcW w:w="130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3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超融合一体机</w:t>
            </w:r>
          </w:p>
        </w:tc>
        <w:tc>
          <w:tcPr>
            <w:tcW w:w="4340" w:type="dxa"/>
            <w:tcBorders>
              <w:tl2br w:val="nil"/>
              <w:tr2bl w:val="nil"/>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commentRangeStart w:id="0"/>
            <w:r>
              <w:rPr>
                <w:rFonts w:hint="eastAsia" w:ascii="新宋体" w:hAnsi="新宋体" w:eastAsia="新宋体" w:cs="新宋体"/>
                <w:i w:val="0"/>
                <w:iCs w:val="0"/>
                <w:color w:val="000000"/>
                <w:kern w:val="0"/>
                <w:sz w:val="21"/>
                <w:szCs w:val="21"/>
                <w:u w:val="none"/>
                <w:lang w:val="en-US" w:eastAsia="zh-CN" w:bidi="ar"/>
              </w:rPr>
              <w:t>硬件参数：规格：2U，CPU：2颗Silver 4214R 2.4 GHZ（12C），内存：4*32GB DDR4 2666，系统盘：2*128GB SATA SSD，缓存盘：固态硬盘-960G-SSD（读密集型）*2，数据盘：机械硬盘6T*2，标配盘位数：12，电源：白金，冗余电源，接口：6千兆电口+2万兆光口</w:t>
            </w:r>
            <w:commentRangeEnd w:id="0"/>
            <w:r>
              <w:commentReference w:id="0"/>
            </w:r>
          </w:p>
        </w:tc>
        <w:tc>
          <w:tcPr>
            <w:tcW w:w="5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w:t>
            </w:r>
          </w:p>
        </w:tc>
        <w:tc>
          <w:tcPr>
            <w:tcW w:w="5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1189" w:type="dxa"/>
            <w:vMerge w:val="continue"/>
            <w:tcBorders>
              <w:tl2br w:val="nil"/>
              <w:tr2bl w:val="nil"/>
            </w:tcBorders>
            <w:shd w:val="clear" w:color="auto" w:fill="auto"/>
            <w:noWrap/>
            <w:vAlign w:val="center"/>
          </w:tcPr>
          <w:p>
            <w:pPr>
              <w:jc w:val="center"/>
              <w:rPr>
                <w:rFonts w:hint="eastAsia" w:ascii="新宋体" w:hAnsi="新宋体" w:eastAsia="新宋体" w:cs="新宋体"/>
                <w:i w:val="0"/>
                <w:iCs w:val="0"/>
                <w:color w:val="000000"/>
                <w:sz w:val="21"/>
                <w:szCs w:val="21"/>
                <w:u w:val="none"/>
              </w:rPr>
            </w:pPr>
          </w:p>
        </w:tc>
        <w:tc>
          <w:tcPr>
            <w:tcW w:w="130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w:t>
            </w:r>
          </w:p>
        </w:tc>
        <w:tc>
          <w:tcPr>
            <w:tcW w:w="13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UPS</w:t>
            </w:r>
          </w:p>
        </w:tc>
        <w:tc>
          <w:tcPr>
            <w:tcW w:w="4340" w:type="dxa"/>
            <w:tcBorders>
              <w:tl2br w:val="nil"/>
              <w:tr2bl w:val="nil"/>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commentRangeStart w:id="1"/>
            <w:r>
              <w:rPr>
                <w:rFonts w:hint="eastAsia" w:ascii="新宋体" w:hAnsi="新宋体" w:eastAsia="新宋体" w:cs="新宋体"/>
                <w:i w:val="0"/>
                <w:iCs w:val="0"/>
                <w:color w:val="000000"/>
                <w:kern w:val="0"/>
                <w:sz w:val="21"/>
                <w:szCs w:val="21"/>
                <w:u w:val="none"/>
                <w:lang w:val="en-US" w:eastAsia="zh-CN" w:bidi="ar"/>
              </w:rPr>
              <w:t>1.高频在线式UPS（塔式安装）</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2.铅酸免维护蓄电池</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3.电池柜</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4.运费、送货费、搬运费、安装调试费</w:t>
            </w:r>
            <w:commentRangeEnd w:id="1"/>
            <w:r>
              <w:commentReference w:id="1"/>
            </w:r>
          </w:p>
        </w:tc>
        <w:tc>
          <w:tcPr>
            <w:tcW w:w="5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5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5" w:hRule="atLeast"/>
          <w:jc w:val="center"/>
        </w:trPr>
        <w:tc>
          <w:tcPr>
            <w:tcW w:w="1189"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钦北区妇幼保健院</w:t>
            </w:r>
          </w:p>
        </w:tc>
        <w:tc>
          <w:tcPr>
            <w:tcW w:w="130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3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计算服务器</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虚拟化软件</w:t>
            </w:r>
          </w:p>
        </w:tc>
        <w:tc>
          <w:tcPr>
            <w:tcW w:w="4340" w:type="dxa"/>
            <w:tcBorders>
              <w:tl2br w:val="nil"/>
              <w:tr2bl w:val="nil"/>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commentRangeStart w:id="2"/>
            <w:r>
              <w:rPr>
                <w:rFonts w:hint="eastAsia" w:ascii="新宋体" w:hAnsi="新宋体" w:eastAsia="新宋体" w:cs="新宋体"/>
                <w:i w:val="0"/>
                <w:iCs w:val="0"/>
                <w:color w:val="000000"/>
                <w:kern w:val="0"/>
                <w:sz w:val="21"/>
                <w:szCs w:val="21"/>
                <w:u w:val="none"/>
                <w:lang w:val="en-US" w:eastAsia="zh-CN" w:bidi="ar"/>
              </w:rPr>
              <w:t>服务器虚拟化，通过虚拟化技术将物理服务器虚拟化为一个逻辑计算资源池。开通后具备对虚拟机全生命周期管理的能力，可对虚拟机进行开关机、模板部署、克隆、导入导出等操作；具备HA、动态资源调度、蓝屏重启等机制保证业务高可靠；具备对虚拟机资源监控、告警等功能。</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可针对业务系统进行个性化优化。</w:t>
            </w:r>
            <w:commentRangeEnd w:id="2"/>
            <w:r>
              <w:commentReference w:id="2"/>
            </w:r>
          </w:p>
        </w:tc>
        <w:tc>
          <w:tcPr>
            <w:tcW w:w="5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6</w:t>
            </w:r>
          </w:p>
        </w:tc>
        <w:tc>
          <w:tcPr>
            <w:tcW w:w="5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1189" w:type="dxa"/>
            <w:vMerge w:val="continue"/>
            <w:tcBorders>
              <w:tl2br w:val="nil"/>
              <w:tr2bl w:val="nil"/>
            </w:tcBorders>
            <w:shd w:val="clear" w:color="auto" w:fill="auto"/>
            <w:noWrap/>
            <w:vAlign w:val="center"/>
          </w:tcPr>
          <w:p>
            <w:pPr>
              <w:jc w:val="center"/>
              <w:rPr>
                <w:rFonts w:hint="eastAsia" w:ascii="新宋体" w:hAnsi="新宋体" w:eastAsia="新宋体" w:cs="新宋体"/>
                <w:i w:val="0"/>
                <w:iCs w:val="0"/>
                <w:color w:val="000000"/>
                <w:sz w:val="21"/>
                <w:szCs w:val="21"/>
                <w:u w:val="none"/>
              </w:rPr>
            </w:pPr>
          </w:p>
        </w:tc>
        <w:tc>
          <w:tcPr>
            <w:tcW w:w="130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w:t>
            </w:r>
          </w:p>
        </w:tc>
        <w:tc>
          <w:tcPr>
            <w:tcW w:w="13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虚拟存储软件</w:t>
            </w:r>
          </w:p>
        </w:tc>
        <w:tc>
          <w:tcPr>
            <w:tcW w:w="4340" w:type="dxa"/>
            <w:tcBorders>
              <w:tl2br w:val="nil"/>
              <w:tr2bl w:val="nil"/>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commentRangeStart w:id="3"/>
            <w:r>
              <w:rPr>
                <w:rFonts w:hint="eastAsia" w:ascii="新宋体" w:hAnsi="新宋体" w:eastAsia="新宋体" w:cs="新宋体"/>
                <w:i w:val="0"/>
                <w:iCs w:val="0"/>
                <w:color w:val="000000"/>
                <w:kern w:val="0"/>
                <w:sz w:val="21"/>
                <w:szCs w:val="21"/>
                <w:u w:val="none"/>
                <w:lang w:val="en-US" w:eastAsia="zh-CN" w:bidi="ar"/>
              </w:rPr>
              <w:t>存储虚拟化，通过将硬盘资源池化提高资源利用率，利用智能条带化、分层、热点数据预测等技术提高存储性能。开通后支持创建虚拟存储卷，灵活配置存储策略（多副本、QoS等）；具备磁盘故障重建、硬盘亚健康检测等功能。</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需要与业务系统无缝对接，并且当场演示；</w:t>
            </w:r>
            <w:commentRangeEnd w:id="3"/>
            <w:r>
              <w:commentReference w:id="3"/>
            </w:r>
          </w:p>
        </w:tc>
        <w:tc>
          <w:tcPr>
            <w:tcW w:w="5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6</w:t>
            </w:r>
          </w:p>
        </w:tc>
        <w:tc>
          <w:tcPr>
            <w:tcW w:w="5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189" w:type="dxa"/>
            <w:vMerge w:val="continue"/>
            <w:tcBorders>
              <w:tl2br w:val="nil"/>
              <w:tr2bl w:val="nil"/>
            </w:tcBorders>
            <w:shd w:val="clear" w:color="auto" w:fill="auto"/>
            <w:noWrap/>
            <w:vAlign w:val="center"/>
          </w:tcPr>
          <w:p>
            <w:pPr>
              <w:jc w:val="center"/>
              <w:rPr>
                <w:rFonts w:hint="eastAsia" w:ascii="新宋体" w:hAnsi="新宋体" w:eastAsia="新宋体" w:cs="新宋体"/>
                <w:i w:val="0"/>
                <w:iCs w:val="0"/>
                <w:color w:val="000000"/>
                <w:sz w:val="21"/>
                <w:szCs w:val="21"/>
                <w:u w:val="none"/>
              </w:rPr>
            </w:pPr>
          </w:p>
        </w:tc>
        <w:tc>
          <w:tcPr>
            <w:tcW w:w="130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w:t>
            </w:r>
          </w:p>
        </w:tc>
        <w:tc>
          <w:tcPr>
            <w:tcW w:w="13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云计算管理软件</w:t>
            </w:r>
          </w:p>
        </w:tc>
        <w:tc>
          <w:tcPr>
            <w:tcW w:w="4340" w:type="dxa"/>
            <w:tcBorders>
              <w:tl2br w:val="nil"/>
              <w:tr2bl w:val="nil"/>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commentRangeStart w:id="4"/>
            <w:r>
              <w:rPr>
                <w:rFonts w:hint="eastAsia" w:ascii="新宋体" w:hAnsi="新宋体" w:eastAsia="新宋体" w:cs="新宋体"/>
                <w:i w:val="0"/>
                <w:iCs w:val="0"/>
                <w:color w:val="000000"/>
                <w:kern w:val="0"/>
                <w:sz w:val="21"/>
                <w:szCs w:val="21"/>
                <w:u w:val="none"/>
                <w:lang w:val="en-US" w:eastAsia="zh-CN" w:bidi="ar"/>
              </w:rPr>
              <w:t>统一管理平台，实现跨集群（超融合集群、VMware集群）、跨数据中心的统一管理，具备对虚拟机全生命周期管理、资源监控、可靠性中心等功能。</w:t>
            </w:r>
            <w:r>
              <w:rPr>
                <w:rFonts w:hint="eastAsia" w:ascii="新宋体" w:hAnsi="新宋体" w:eastAsia="新宋体" w:cs="新宋体"/>
                <w:i w:val="0"/>
                <w:iCs w:val="0"/>
                <w:color w:val="000000"/>
                <w:kern w:val="0"/>
                <w:sz w:val="21"/>
                <w:szCs w:val="21"/>
                <w:u w:val="none"/>
                <w:lang w:val="en-US" w:eastAsia="zh-CN" w:bidi="ar"/>
              </w:rPr>
              <w:br w:type="textWrapping"/>
            </w:r>
            <w:r>
              <w:rPr>
                <w:rFonts w:hint="eastAsia" w:ascii="新宋体" w:hAnsi="新宋体" w:eastAsia="新宋体" w:cs="新宋体"/>
                <w:i w:val="0"/>
                <w:iCs w:val="0"/>
                <w:color w:val="000000"/>
                <w:kern w:val="0"/>
                <w:sz w:val="21"/>
                <w:szCs w:val="21"/>
                <w:u w:val="none"/>
                <w:lang w:val="en-US" w:eastAsia="zh-CN" w:bidi="ar"/>
              </w:rPr>
              <w:t>可以实现业务系统多脚本启动，且漂移时间不多于4分钟</w:t>
            </w:r>
            <w:commentRangeEnd w:id="4"/>
            <w:r>
              <w:commentReference w:id="4"/>
            </w:r>
          </w:p>
        </w:tc>
        <w:tc>
          <w:tcPr>
            <w:tcW w:w="5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6</w:t>
            </w:r>
          </w:p>
        </w:tc>
        <w:tc>
          <w:tcPr>
            <w:tcW w:w="5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89" w:type="dxa"/>
            <w:vMerge w:val="continue"/>
            <w:tcBorders>
              <w:tl2br w:val="nil"/>
              <w:tr2bl w:val="nil"/>
            </w:tcBorders>
            <w:shd w:val="clear" w:color="auto" w:fill="auto"/>
            <w:noWrap/>
            <w:vAlign w:val="center"/>
          </w:tcPr>
          <w:p>
            <w:pPr>
              <w:jc w:val="center"/>
              <w:rPr>
                <w:rFonts w:hint="eastAsia" w:ascii="新宋体" w:hAnsi="新宋体" w:eastAsia="新宋体" w:cs="新宋体"/>
                <w:i w:val="0"/>
                <w:iCs w:val="0"/>
                <w:color w:val="000000"/>
                <w:sz w:val="21"/>
                <w:szCs w:val="21"/>
                <w:u w:val="none"/>
              </w:rPr>
            </w:pPr>
          </w:p>
        </w:tc>
        <w:tc>
          <w:tcPr>
            <w:tcW w:w="130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4</w:t>
            </w:r>
          </w:p>
        </w:tc>
        <w:tc>
          <w:tcPr>
            <w:tcW w:w="13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机柜</w:t>
            </w:r>
          </w:p>
        </w:tc>
        <w:tc>
          <w:tcPr>
            <w:tcW w:w="4340" w:type="dxa"/>
            <w:tcBorders>
              <w:tl2br w:val="nil"/>
              <w:tr2bl w:val="nil"/>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commentRangeStart w:id="5"/>
            <w:r>
              <w:rPr>
                <w:rFonts w:hint="eastAsia" w:ascii="新宋体" w:hAnsi="新宋体" w:eastAsia="新宋体" w:cs="新宋体"/>
                <w:i w:val="0"/>
                <w:iCs w:val="0"/>
                <w:color w:val="000000"/>
                <w:kern w:val="0"/>
                <w:sz w:val="21"/>
                <w:szCs w:val="21"/>
                <w:u w:val="none"/>
                <w:lang w:val="en-US" w:eastAsia="zh-CN" w:bidi="ar"/>
              </w:rPr>
              <w:t>42U机柜600x1000x2000，前后网孔，带pdu 8口插排</w:t>
            </w:r>
            <w:commentRangeEnd w:id="5"/>
            <w:r>
              <w:commentReference w:id="5"/>
            </w:r>
          </w:p>
        </w:tc>
        <w:tc>
          <w:tcPr>
            <w:tcW w:w="5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5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1189"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钦北区中医医院</w:t>
            </w:r>
          </w:p>
        </w:tc>
        <w:tc>
          <w:tcPr>
            <w:tcW w:w="130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13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网络虚拟化软件</w:t>
            </w:r>
          </w:p>
        </w:tc>
        <w:tc>
          <w:tcPr>
            <w:tcW w:w="4340" w:type="dxa"/>
            <w:tcBorders>
              <w:tl2br w:val="nil"/>
              <w:tr2bl w:val="nil"/>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commentRangeStart w:id="6"/>
            <w:r>
              <w:rPr>
                <w:rFonts w:hint="eastAsia" w:ascii="新宋体" w:hAnsi="新宋体" w:eastAsia="新宋体" w:cs="新宋体"/>
                <w:i w:val="0"/>
                <w:iCs w:val="0"/>
                <w:color w:val="000000"/>
                <w:kern w:val="0"/>
                <w:sz w:val="21"/>
                <w:szCs w:val="21"/>
                <w:u w:val="none"/>
                <w:lang w:val="en-US" w:eastAsia="zh-CN" w:bidi="ar"/>
              </w:rPr>
              <w:t>网络虚拟化，利用统一的管理平台对虚拟网络设备进行管理和配置。开通后实现”所画即所得“的网络部署，具备全局流量可视化、网络连通性检测等功能。为每个虚拟机提供一个3-4层的分布式防火墙和监控中心以及无限制的虚拟路由器和虚拟交换机，不开通只能创建1个虚拟路由器和2个虚拟交换机。</w:t>
            </w:r>
            <w:commentRangeEnd w:id="6"/>
            <w:r>
              <w:commentReference w:id="6"/>
            </w:r>
          </w:p>
        </w:tc>
        <w:tc>
          <w:tcPr>
            <w:tcW w:w="5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6</w:t>
            </w:r>
          </w:p>
        </w:tc>
        <w:tc>
          <w:tcPr>
            <w:tcW w:w="5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1189" w:type="dxa"/>
            <w:vMerge w:val="continue"/>
            <w:tcBorders>
              <w:tl2br w:val="nil"/>
              <w:tr2bl w:val="nil"/>
            </w:tcBorders>
            <w:shd w:val="clear" w:color="auto" w:fill="auto"/>
            <w:noWrap/>
            <w:vAlign w:val="center"/>
          </w:tcPr>
          <w:p>
            <w:pPr>
              <w:jc w:val="center"/>
              <w:rPr>
                <w:rFonts w:hint="eastAsia" w:ascii="新宋体" w:hAnsi="新宋体" w:eastAsia="新宋体" w:cs="新宋体"/>
                <w:i w:val="0"/>
                <w:iCs w:val="0"/>
                <w:color w:val="000000"/>
                <w:sz w:val="21"/>
                <w:szCs w:val="21"/>
                <w:u w:val="none"/>
              </w:rPr>
            </w:pPr>
          </w:p>
        </w:tc>
        <w:tc>
          <w:tcPr>
            <w:tcW w:w="130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w:t>
            </w:r>
          </w:p>
        </w:tc>
        <w:tc>
          <w:tcPr>
            <w:tcW w:w="132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交换机</w:t>
            </w:r>
          </w:p>
        </w:tc>
        <w:tc>
          <w:tcPr>
            <w:tcW w:w="4340" w:type="dxa"/>
            <w:tcBorders>
              <w:tl2br w:val="nil"/>
              <w:tr2bl w:val="nil"/>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commentRangeStart w:id="7"/>
            <w:r>
              <w:rPr>
                <w:rFonts w:hint="eastAsia" w:ascii="新宋体" w:hAnsi="新宋体" w:eastAsia="新宋体" w:cs="新宋体"/>
                <w:i w:val="0"/>
                <w:iCs w:val="0"/>
                <w:color w:val="000000"/>
                <w:kern w:val="0"/>
                <w:sz w:val="21"/>
                <w:szCs w:val="21"/>
                <w:u w:val="none"/>
                <w:lang w:val="en-US" w:eastAsia="zh-CN" w:bidi="ar"/>
              </w:rPr>
              <w:t>万兆交换机，12个万兆SFP+光口，12个10/100/1000Base-T自适应电口；交换容量≥1.28Tbps/12.8Tbps，包转发率≥480Mpps；支持全端口线速转发；支持NAC统一管理、统一查看状态、VLAN、堆叠等配置管理；支持终端识别、终端准入、安全防护及安全画像可视；支持胖瘦一体化</w:t>
            </w:r>
            <w:commentRangeEnd w:id="7"/>
            <w:r>
              <w:commentReference w:id="7"/>
            </w:r>
          </w:p>
        </w:tc>
        <w:tc>
          <w:tcPr>
            <w:tcW w:w="5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2</w:t>
            </w:r>
          </w:p>
        </w:tc>
        <w:tc>
          <w:tcPr>
            <w:tcW w:w="5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1189" w:type="dxa"/>
            <w:vMerge w:val="continue"/>
            <w:tcBorders>
              <w:tl2br w:val="nil"/>
              <w:tr2bl w:val="nil"/>
            </w:tcBorders>
            <w:shd w:val="clear" w:color="auto" w:fill="auto"/>
            <w:noWrap/>
            <w:vAlign w:val="center"/>
          </w:tcPr>
          <w:p>
            <w:pPr>
              <w:jc w:val="center"/>
              <w:rPr>
                <w:rFonts w:hint="eastAsia" w:ascii="新宋体" w:hAnsi="新宋体" w:eastAsia="新宋体" w:cs="新宋体"/>
                <w:i w:val="0"/>
                <w:iCs w:val="0"/>
                <w:color w:val="000000"/>
                <w:sz w:val="21"/>
                <w:szCs w:val="21"/>
                <w:u w:val="none"/>
              </w:rPr>
            </w:pPr>
          </w:p>
        </w:tc>
        <w:tc>
          <w:tcPr>
            <w:tcW w:w="130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3</w:t>
            </w:r>
          </w:p>
        </w:tc>
        <w:tc>
          <w:tcPr>
            <w:tcW w:w="132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出口防火墙</w:t>
            </w:r>
          </w:p>
        </w:tc>
        <w:tc>
          <w:tcPr>
            <w:tcW w:w="4340" w:type="dxa"/>
            <w:tcBorders>
              <w:tl2br w:val="nil"/>
              <w:tr2bl w:val="nil"/>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1"/>
                <w:szCs w:val="21"/>
                <w:u w:val="none"/>
              </w:rPr>
            </w:pPr>
            <w:commentRangeStart w:id="8"/>
            <w:r>
              <w:rPr>
                <w:rFonts w:hint="eastAsia" w:ascii="新宋体" w:hAnsi="新宋体" w:eastAsia="新宋体" w:cs="新宋体"/>
                <w:i w:val="0"/>
                <w:iCs w:val="0"/>
                <w:color w:val="000000"/>
                <w:kern w:val="0"/>
                <w:sz w:val="21"/>
                <w:szCs w:val="21"/>
                <w:u w:val="none"/>
                <w:lang w:val="en-US" w:eastAsia="zh-CN" w:bidi="ar"/>
              </w:rPr>
              <w:t>1U式规格，2G内存大小，64G硬盘容量，单电源，6千兆电口，原厂保修1年服务</w:t>
            </w:r>
            <w:commentRangeEnd w:id="8"/>
            <w:r>
              <w:commentReference w:id="8"/>
            </w:r>
          </w:p>
        </w:tc>
        <w:tc>
          <w:tcPr>
            <w:tcW w:w="5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1</w:t>
            </w:r>
          </w:p>
        </w:tc>
        <w:tc>
          <w:tcPr>
            <w:tcW w:w="5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1"/>
                <w:szCs w:val="21"/>
                <w:u w:val="none"/>
              </w:rPr>
            </w:pPr>
            <w:r>
              <w:rPr>
                <w:rFonts w:hint="eastAsia" w:ascii="新宋体" w:hAnsi="新宋体" w:eastAsia="新宋体" w:cs="新宋体"/>
                <w:i w:val="0"/>
                <w:iCs w:val="0"/>
                <w:color w:val="000000"/>
                <w:kern w:val="0"/>
                <w:sz w:val="21"/>
                <w:szCs w:val="21"/>
                <w:u w:val="none"/>
                <w:lang w:val="en-US" w:eastAsia="zh-CN" w:bidi="ar"/>
              </w:rPr>
              <w:t>台</w:t>
            </w:r>
          </w:p>
        </w:tc>
      </w:tr>
    </w:tbl>
    <w:p>
      <w:pPr>
        <w:pStyle w:val="2"/>
        <w:rPr>
          <w:rFonts w:hint="eastAsia"/>
          <w:lang w:val="en-US" w:eastAsia="zh-CN"/>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5"/>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noWrap w:val="0"/>
            <w:vAlign w:val="center"/>
          </w:tcPr>
          <w:p>
            <w:pPr>
              <w:jc w:val="center"/>
              <w:rPr>
                <w:rFonts w:hint="eastAsia" w:ascii="新宋体" w:hAnsi="新宋体" w:eastAsia="新宋体" w:cs="新宋体"/>
                <w:b/>
                <w:color w:val="auto"/>
                <w:szCs w:val="21"/>
              </w:rPr>
            </w:pPr>
            <w:r>
              <w:rPr>
                <w:rFonts w:hint="eastAsia" w:ascii="新宋体" w:hAnsi="新宋体" w:eastAsia="新宋体" w:cs="新宋体"/>
                <w:b/>
                <w:color w:val="auto"/>
                <w:szCs w:val="21"/>
              </w:rPr>
              <w:t>序号</w:t>
            </w:r>
          </w:p>
        </w:tc>
        <w:tc>
          <w:tcPr>
            <w:tcW w:w="1705" w:type="dxa"/>
            <w:noWrap w:val="0"/>
            <w:vAlign w:val="center"/>
          </w:tcPr>
          <w:p>
            <w:pPr>
              <w:jc w:val="center"/>
              <w:rPr>
                <w:rFonts w:hint="eastAsia" w:ascii="新宋体" w:hAnsi="新宋体" w:eastAsia="新宋体" w:cs="新宋体"/>
                <w:b/>
                <w:color w:val="auto"/>
                <w:szCs w:val="21"/>
              </w:rPr>
            </w:pPr>
            <w:r>
              <w:rPr>
                <w:rFonts w:hint="eastAsia" w:ascii="新宋体" w:hAnsi="新宋体" w:eastAsia="新宋体" w:cs="新宋体"/>
                <w:b/>
                <w:color w:val="auto"/>
                <w:szCs w:val="21"/>
              </w:rPr>
              <w:t>目录</w:t>
            </w:r>
          </w:p>
        </w:tc>
        <w:tc>
          <w:tcPr>
            <w:tcW w:w="6092" w:type="dxa"/>
            <w:noWrap w:val="0"/>
            <w:vAlign w:val="center"/>
          </w:tcPr>
          <w:p>
            <w:pPr>
              <w:jc w:val="center"/>
              <w:rPr>
                <w:rFonts w:hint="eastAsia" w:ascii="新宋体" w:hAnsi="新宋体" w:eastAsia="新宋体" w:cs="新宋体"/>
                <w:b/>
                <w:color w:val="auto"/>
                <w:szCs w:val="21"/>
              </w:rPr>
            </w:pPr>
            <w:r>
              <w:rPr>
                <w:rFonts w:hint="eastAsia" w:ascii="新宋体" w:hAnsi="新宋体" w:eastAsia="新宋体" w:cs="新宋体"/>
                <w:b/>
                <w:color w:val="auto"/>
                <w:szCs w:val="21"/>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931" w:type="dxa"/>
            <w:gridSpan w:val="3"/>
            <w:noWrap w:val="0"/>
            <w:vAlign w:val="center"/>
          </w:tcPr>
          <w:p>
            <w:pPr>
              <w:rPr>
                <w:rFonts w:hint="eastAsia" w:ascii="新宋体" w:hAnsi="新宋体" w:eastAsia="新宋体" w:cs="新宋体"/>
                <w:b/>
                <w:color w:val="auto"/>
                <w:szCs w:val="21"/>
              </w:rPr>
            </w:pPr>
            <w:r>
              <w:rPr>
                <w:rFonts w:hint="eastAsia" w:ascii="新宋体" w:hAnsi="新宋体" w:eastAsia="新宋体" w:cs="新宋体"/>
                <w:b/>
                <w:color w:val="auto"/>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noWrap w:val="0"/>
            <w:vAlign w:val="center"/>
          </w:tcPr>
          <w:p>
            <w:pPr>
              <w:jc w:val="center"/>
              <w:rPr>
                <w:rFonts w:hint="eastAsia" w:ascii="新宋体" w:hAnsi="新宋体" w:eastAsia="新宋体" w:cs="新宋体"/>
                <w:b/>
                <w:color w:val="auto"/>
                <w:szCs w:val="21"/>
              </w:rPr>
            </w:pPr>
            <w:r>
              <w:rPr>
                <w:rFonts w:hint="eastAsia" w:ascii="新宋体" w:hAnsi="新宋体" w:eastAsia="新宋体" w:cs="新宋体"/>
                <w:b/>
                <w:color w:val="auto"/>
                <w:szCs w:val="21"/>
              </w:rPr>
              <w:t>1</w:t>
            </w:r>
          </w:p>
        </w:tc>
        <w:tc>
          <w:tcPr>
            <w:tcW w:w="1705" w:type="dxa"/>
            <w:noWrap w:val="0"/>
            <w:vAlign w:val="center"/>
          </w:tcPr>
          <w:p>
            <w:pPr>
              <w:jc w:val="left"/>
              <w:rPr>
                <w:rFonts w:hint="eastAsia" w:ascii="新宋体" w:hAnsi="新宋体" w:eastAsia="新宋体" w:cs="新宋体"/>
                <w:color w:val="auto"/>
                <w:szCs w:val="21"/>
              </w:rPr>
            </w:pPr>
            <w:r>
              <w:rPr>
                <w:rFonts w:hint="eastAsia" w:ascii="新宋体" w:hAnsi="新宋体" w:eastAsia="新宋体" w:cs="新宋体"/>
                <w:color w:val="auto"/>
                <w:szCs w:val="21"/>
              </w:rPr>
              <w:t>免费保修期</w:t>
            </w:r>
          </w:p>
        </w:tc>
        <w:tc>
          <w:tcPr>
            <w:tcW w:w="6092" w:type="dxa"/>
            <w:noWrap w:val="0"/>
            <w:vAlign w:val="center"/>
          </w:tcPr>
          <w:p>
            <w:pPr>
              <w:rPr>
                <w:rFonts w:hint="eastAsia" w:ascii="新宋体" w:hAnsi="新宋体" w:eastAsia="新宋体" w:cs="新宋体"/>
                <w:b/>
                <w:color w:val="auto"/>
                <w:szCs w:val="21"/>
              </w:rPr>
            </w:pPr>
            <w:r>
              <w:rPr>
                <w:rFonts w:hint="eastAsia" w:ascii="新宋体" w:hAnsi="新宋体" w:eastAsia="新宋体" w:cs="新宋体"/>
                <w:bCs/>
                <w:color w:val="auto"/>
                <w:szCs w:val="21"/>
              </w:rPr>
              <w:t>货物免费保修期</w:t>
            </w:r>
            <w:r>
              <w:rPr>
                <w:rFonts w:hint="eastAsia" w:ascii="新宋体" w:hAnsi="新宋体" w:eastAsia="新宋体" w:cs="新宋体"/>
                <w:bCs/>
                <w:color w:val="auto"/>
                <w:szCs w:val="21"/>
                <w:u w:val="single"/>
              </w:rPr>
              <w:t xml:space="preserve"> </w:t>
            </w:r>
            <w:r>
              <w:rPr>
                <w:rFonts w:hint="eastAsia" w:ascii="新宋体" w:hAnsi="新宋体" w:eastAsia="新宋体" w:cs="新宋体"/>
                <w:bCs/>
                <w:color w:val="auto"/>
                <w:szCs w:val="21"/>
                <w:u w:val="single"/>
                <w:lang w:val="en-US" w:eastAsia="zh-CN"/>
              </w:rPr>
              <w:t>24</w:t>
            </w:r>
            <w:r>
              <w:rPr>
                <w:rFonts w:hint="eastAsia" w:ascii="新宋体" w:hAnsi="新宋体" w:eastAsia="新宋体" w:cs="新宋体"/>
                <w:bCs/>
                <w:color w:val="auto"/>
                <w:szCs w:val="21"/>
                <w:u w:val="single"/>
              </w:rPr>
              <w:t xml:space="preserve"> 个月</w:t>
            </w:r>
            <w:r>
              <w:rPr>
                <w:rFonts w:hint="eastAsia" w:ascii="新宋体" w:hAnsi="新宋体" w:eastAsia="新宋体" w:cs="新宋体"/>
                <w:bCs/>
                <w:color w:val="auto"/>
                <w:szCs w:val="21"/>
              </w:rPr>
              <w:t>，时间自最终验收合格并交付使用之日起计算。需提供原厂家售后服务承诺。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noWrap w:val="0"/>
            <w:vAlign w:val="center"/>
          </w:tcPr>
          <w:p>
            <w:pPr>
              <w:jc w:val="center"/>
              <w:rPr>
                <w:rFonts w:hint="eastAsia" w:ascii="新宋体" w:hAnsi="新宋体" w:eastAsia="新宋体" w:cs="新宋体"/>
                <w:b/>
                <w:color w:val="auto"/>
                <w:szCs w:val="21"/>
              </w:rPr>
            </w:pPr>
            <w:r>
              <w:rPr>
                <w:rFonts w:hint="eastAsia" w:ascii="新宋体" w:hAnsi="新宋体" w:eastAsia="新宋体" w:cs="新宋体"/>
                <w:b/>
                <w:color w:val="auto"/>
                <w:szCs w:val="21"/>
              </w:rPr>
              <w:t>2</w:t>
            </w:r>
          </w:p>
        </w:tc>
        <w:tc>
          <w:tcPr>
            <w:tcW w:w="1705" w:type="dxa"/>
            <w:noWrap w:val="0"/>
            <w:vAlign w:val="center"/>
          </w:tcPr>
          <w:p>
            <w:pPr>
              <w:jc w:val="left"/>
              <w:rPr>
                <w:rFonts w:hint="eastAsia" w:ascii="新宋体" w:hAnsi="新宋体" w:eastAsia="新宋体" w:cs="新宋体"/>
                <w:color w:val="auto"/>
                <w:szCs w:val="21"/>
              </w:rPr>
            </w:pPr>
            <w:r>
              <w:rPr>
                <w:rFonts w:hint="eastAsia" w:ascii="新宋体" w:hAnsi="新宋体" w:eastAsia="新宋体" w:cs="新宋体"/>
                <w:color w:val="auto"/>
                <w:szCs w:val="21"/>
              </w:rPr>
              <w:t>维修响应及故障解决时间</w:t>
            </w:r>
          </w:p>
        </w:tc>
        <w:tc>
          <w:tcPr>
            <w:tcW w:w="6092" w:type="dxa"/>
            <w:noWrap w:val="0"/>
            <w:vAlign w:val="center"/>
          </w:tcPr>
          <w:p>
            <w:pPr>
              <w:rPr>
                <w:rFonts w:hint="eastAsia" w:ascii="新宋体" w:hAnsi="新宋体" w:eastAsia="新宋体" w:cs="新宋体"/>
                <w:b/>
                <w:color w:val="auto"/>
                <w:szCs w:val="21"/>
              </w:rPr>
            </w:pPr>
            <w:r>
              <w:rPr>
                <w:rFonts w:hint="eastAsia" w:ascii="新宋体" w:hAnsi="新宋体" w:eastAsia="新宋体" w:cs="新宋体"/>
                <w:bCs/>
                <w:color w:val="auto"/>
                <w:szCs w:val="21"/>
              </w:rPr>
              <w:t>在保修期内，一旦发生质量问题，竞标人保证在接到通知</w:t>
            </w:r>
            <w:r>
              <w:rPr>
                <w:rFonts w:hint="eastAsia" w:ascii="新宋体" w:hAnsi="新宋体" w:eastAsia="新宋体" w:cs="新宋体"/>
                <w:bCs/>
                <w:color w:val="auto"/>
                <w:szCs w:val="21"/>
                <w:lang w:val="en-US" w:eastAsia="zh-CN"/>
              </w:rPr>
              <w:t>1小时</w:t>
            </w:r>
            <w:r>
              <w:rPr>
                <w:rFonts w:hint="eastAsia" w:ascii="新宋体" w:hAnsi="新宋体" w:eastAsia="新宋体" w:cs="新宋体"/>
                <w:bCs/>
                <w:color w:val="auto"/>
                <w:szCs w:val="21"/>
              </w:rPr>
              <w:t>内响应，</w:t>
            </w:r>
            <w:r>
              <w:rPr>
                <w:rFonts w:hint="eastAsia" w:ascii="新宋体" w:hAnsi="新宋体" w:eastAsia="新宋体" w:cs="新宋体"/>
                <w:bCs/>
                <w:color w:val="auto"/>
                <w:szCs w:val="21"/>
                <w:lang w:val="en-US" w:eastAsia="zh-CN"/>
              </w:rPr>
              <w:t>2小时</w:t>
            </w:r>
            <w:r>
              <w:rPr>
                <w:rFonts w:hint="eastAsia" w:ascii="新宋体" w:hAnsi="新宋体" w:eastAsia="新宋体" w:cs="新宋体"/>
                <w:bCs/>
                <w:color w:val="auto"/>
                <w:szCs w:val="21"/>
              </w:rPr>
              <w:t>内赶到现场处理。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noWrap w:val="0"/>
            <w:vAlign w:val="center"/>
          </w:tcPr>
          <w:p>
            <w:pPr>
              <w:jc w:val="center"/>
              <w:rPr>
                <w:rFonts w:hint="eastAsia" w:ascii="新宋体" w:hAnsi="新宋体" w:eastAsia="新宋体" w:cs="新宋体"/>
                <w:b/>
                <w:color w:val="auto"/>
                <w:szCs w:val="21"/>
              </w:rPr>
            </w:pPr>
            <w:r>
              <w:rPr>
                <w:rFonts w:hint="eastAsia" w:ascii="新宋体" w:hAnsi="新宋体" w:eastAsia="新宋体" w:cs="新宋体"/>
                <w:b/>
                <w:color w:val="auto"/>
                <w:szCs w:val="21"/>
              </w:rPr>
              <w:t>3</w:t>
            </w:r>
          </w:p>
        </w:tc>
        <w:tc>
          <w:tcPr>
            <w:tcW w:w="1705" w:type="dxa"/>
            <w:noWrap w:val="0"/>
            <w:vAlign w:val="center"/>
          </w:tcPr>
          <w:p>
            <w:pPr>
              <w:jc w:val="left"/>
              <w:rPr>
                <w:rFonts w:hint="eastAsia" w:ascii="新宋体" w:hAnsi="新宋体" w:eastAsia="新宋体" w:cs="新宋体"/>
                <w:color w:val="auto"/>
                <w:szCs w:val="21"/>
              </w:rPr>
            </w:pPr>
            <w:r>
              <w:rPr>
                <w:rFonts w:hint="eastAsia" w:ascii="新宋体" w:hAnsi="新宋体" w:eastAsia="新宋体" w:cs="新宋体"/>
                <w:color w:val="auto"/>
                <w:szCs w:val="21"/>
              </w:rPr>
              <w:t>维修服务保障</w:t>
            </w:r>
          </w:p>
        </w:tc>
        <w:tc>
          <w:tcPr>
            <w:tcW w:w="6092" w:type="dxa"/>
            <w:noWrap w:val="0"/>
            <w:vAlign w:val="center"/>
          </w:tcPr>
          <w:p>
            <w:pPr>
              <w:rPr>
                <w:rFonts w:hint="eastAsia" w:ascii="新宋体" w:hAnsi="新宋体" w:eastAsia="新宋体" w:cs="新宋体"/>
                <w:bCs/>
                <w:color w:val="auto"/>
                <w:szCs w:val="21"/>
                <w:lang w:eastAsia="zh-CN"/>
              </w:rPr>
            </w:pPr>
            <w:r>
              <w:rPr>
                <w:rFonts w:hint="eastAsia" w:ascii="新宋体" w:hAnsi="新宋体" w:eastAsia="新宋体" w:cs="新宋体"/>
                <w:bCs/>
                <w:color w:val="auto"/>
                <w:szCs w:val="21"/>
              </w:rPr>
              <w:t>竞标人</w:t>
            </w:r>
            <w:r>
              <w:rPr>
                <w:rFonts w:hint="eastAsia" w:ascii="新宋体" w:hAnsi="新宋体" w:eastAsia="新宋体" w:cs="新宋体"/>
                <w:bCs/>
                <w:color w:val="auto"/>
                <w:szCs w:val="21"/>
                <w:lang w:eastAsia="zh-CN"/>
              </w:rPr>
              <w:t>所投产品，生产厂家在项目所在地省会城市设立有售后服务网点，以保障维修保养服务能快速有效的提供。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noWrap w:val="0"/>
            <w:vAlign w:val="center"/>
          </w:tcPr>
          <w:p>
            <w:pPr>
              <w:jc w:val="center"/>
              <w:rPr>
                <w:rFonts w:hint="eastAsia" w:ascii="新宋体" w:hAnsi="新宋体" w:eastAsia="新宋体" w:cs="新宋体"/>
                <w:b/>
                <w:color w:val="auto"/>
                <w:szCs w:val="21"/>
              </w:rPr>
            </w:pPr>
            <w:r>
              <w:rPr>
                <w:rFonts w:hint="eastAsia" w:ascii="新宋体" w:hAnsi="新宋体" w:eastAsia="新宋体" w:cs="新宋体"/>
                <w:b/>
                <w:color w:val="auto"/>
                <w:szCs w:val="21"/>
              </w:rPr>
              <w:t>4</w:t>
            </w:r>
          </w:p>
        </w:tc>
        <w:tc>
          <w:tcPr>
            <w:tcW w:w="1705" w:type="dxa"/>
            <w:noWrap w:val="0"/>
            <w:vAlign w:val="center"/>
          </w:tcPr>
          <w:p>
            <w:pPr>
              <w:jc w:val="left"/>
              <w:rPr>
                <w:rFonts w:hint="eastAsia" w:ascii="新宋体" w:hAnsi="新宋体" w:eastAsia="新宋体" w:cs="新宋体"/>
                <w:b/>
                <w:color w:val="auto"/>
                <w:szCs w:val="21"/>
              </w:rPr>
            </w:pPr>
            <w:r>
              <w:rPr>
                <w:rFonts w:hint="eastAsia" w:ascii="新宋体" w:hAnsi="新宋体" w:eastAsia="新宋体" w:cs="新宋体"/>
                <w:color w:val="auto"/>
                <w:szCs w:val="21"/>
              </w:rPr>
              <w:t>其他</w:t>
            </w:r>
          </w:p>
        </w:tc>
        <w:tc>
          <w:tcPr>
            <w:tcW w:w="6092" w:type="dxa"/>
            <w:noWrap w:val="0"/>
            <w:vAlign w:val="center"/>
          </w:tcPr>
          <w:p>
            <w:pPr>
              <w:rPr>
                <w:rFonts w:hint="eastAsia" w:ascii="新宋体" w:hAnsi="新宋体" w:eastAsia="新宋体" w:cs="新宋体"/>
                <w:b/>
                <w:color w:val="auto"/>
                <w:szCs w:val="21"/>
              </w:rPr>
            </w:pPr>
            <w:r>
              <w:rPr>
                <w:rFonts w:hint="eastAsia" w:ascii="新宋体" w:hAnsi="新宋体" w:eastAsia="新宋体" w:cs="新宋体"/>
                <w:bCs/>
                <w:color w:val="auto"/>
                <w:szCs w:val="21"/>
              </w:rPr>
              <w:t>竞标人应按其投标文件中的承诺，进行其他售后服务工作。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931" w:type="dxa"/>
            <w:gridSpan w:val="3"/>
            <w:noWrap w:val="0"/>
            <w:vAlign w:val="center"/>
          </w:tcPr>
          <w:p>
            <w:pPr>
              <w:rPr>
                <w:rFonts w:hint="eastAsia" w:ascii="新宋体" w:hAnsi="新宋体" w:eastAsia="新宋体" w:cs="新宋体"/>
                <w:b/>
                <w:color w:val="auto"/>
                <w:szCs w:val="21"/>
              </w:rPr>
            </w:pPr>
            <w:r>
              <w:rPr>
                <w:rFonts w:hint="eastAsia" w:ascii="新宋体" w:hAnsi="新宋体" w:eastAsia="新宋体" w:cs="新宋体"/>
                <w:b/>
                <w:color w:val="auto"/>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noWrap w:val="0"/>
            <w:vAlign w:val="center"/>
          </w:tcPr>
          <w:p>
            <w:pPr>
              <w:jc w:val="center"/>
              <w:rPr>
                <w:rFonts w:hint="eastAsia" w:ascii="新宋体" w:hAnsi="新宋体" w:eastAsia="新宋体" w:cs="新宋体"/>
                <w:b/>
                <w:color w:val="auto"/>
                <w:szCs w:val="21"/>
                <w:lang w:val="en-US" w:eastAsia="zh-CN"/>
              </w:rPr>
            </w:pPr>
            <w:r>
              <w:rPr>
                <w:rFonts w:hint="eastAsia" w:ascii="新宋体" w:hAnsi="新宋体" w:eastAsia="新宋体" w:cs="新宋体"/>
                <w:b/>
                <w:color w:val="auto"/>
                <w:szCs w:val="21"/>
                <w:lang w:val="en-US" w:eastAsia="zh-CN"/>
              </w:rPr>
              <w:t>1</w:t>
            </w:r>
          </w:p>
        </w:tc>
        <w:tc>
          <w:tcPr>
            <w:tcW w:w="1705" w:type="dxa"/>
            <w:noWrap w:val="0"/>
            <w:vAlign w:val="center"/>
          </w:tcPr>
          <w:p>
            <w:pPr>
              <w:jc w:val="center"/>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lang w:val="en-US" w:eastAsia="zh-CN"/>
              </w:rPr>
              <w:t>采购预算</w:t>
            </w:r>
          </w:p>
        </w:tc>
        <w:tc>
          <w:tcPr>
            <w:tcW w:w="6092" w:type="dxa"/>
            <w:noWrap w:val="0"/>
            <w:vAlign w:val="center"/>
          </w:tcPr>
          <w:p>
            <w:pPr>
              <w:spacing w:line="360" w:lineRule="exact"/>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lang w:val="en-US" w:eastAsia="zh-CN"/>
              </w:rPr>
              <w:t>伍拾万元整（</w:t>
            </w:r>
            <w:r>
              <w:rPr>
                <w:rFonts w:hint="eastAsia" w:ascii="宋体" w:hAnsi="宋体" w:eastAsia="宋体" w:cs="宋体"/>
                <w:sz w:val="21"/>
                <w:szCs w:val="21"/>
                <w:lang w:val="en-US" w:eastAsia="zh-CN"/>
              </w:rPr>
              <w:t>￥</w:t>
            </w:r>
            <w:r>
              <w:rPr>
                <w:rFonts w:hint="eastAsia" w:ascii="新宋体" w:hAnsi="新宋体" w:eastAsia="新宋体" w:cs="新宋体"/>
                <w:sz w:val="21"/>
                <w:szCs w:val="21"/>
                <w:lang w:val="en-US" w:eastAsia="zh-CN"/>
              </w:rPr>
              <w:t>500000.00元）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noWrap w:val="0"/>
            <w:vAlign w:val="center"/>
          </w:tcPr>
          <w:p>
            <w:pPr>
              <w:jc w:val="center"/>
              <w:rPr>
                <w:rFonts w:hint="eastAsia" w:ascii="新宋体" w:hAnsi="新宋体" w:eastAsia="新宋体" w:cs="新宋体"/>
                <w:b/>
                <w:color w:val="auto"/>
                <w:szCs w:val="21"/>
                <w:lang w:val="en-US" w:eastAsia="zh-CN"/>
              </w:rPr>
            </w:pPr>
            <w:r>
              <w:rPr>
                <w:rFonts w:hint="eastAsia" w:ascii="新宋体" w:hAnsi="新宋体" w:eastAsia="新宋体" w:cs="新宋体"/>
                <w:b/>
                <w:color w:val="auto"/>
                <w:szCs w:val="21"/>
                <w:lang w:val="en-US" w:eastAsia="zh-CN"/>
              </w:rPr>
              <w:t>2</w:t>
            </w:r>
          </w:p>
        </w:tc>
        <w:tc>
          <w:tcPr>
            <w:tcW w:w="1705" w:type="dxa"/>
            <w:noWrap w:val="0"/>
            <w:vAlign w:val="center"/>
          </w:tcPr>
          <w:p>
            <w:pPr>
              <w:jc w:val="center"/>
              <w:rPr>
                <w:rFonts w:hint="eastAsia" w:ascii="新宋体" w:hAnsi="新宋体" w:eastAsia="新宋体" w:cs="新宋体"/>
                <w:b/>
                <w:color w:val="auto"/>
                <w:szCs w:val="21"/>
              </w:rPr>
            </w:pPr>
            <w:r>
              <w:rPr>
                <w:rFonts w:hint="eastAsia" w:ascii="新宋体" w:hAnsi="新宋体" w:eastAsia="新宋体" w:cs="新宋体"/>
                <w:sz w:val="21"/>
                <w:szCs w:val="21"/>
              </w:rPr>
              <w:t>报价要求</w:t>
            </w:r>
          </w:p>
        </w:tc>
        <w:tc>
          <w:tcPr>
            <w:tcW w:w="6092" w:type="dxa"/>
            <w:noWrap w:val="0"/>
            <w:vAlign w:val="top"/>
          </w:tcPr>
          <w:p>
            <w:pPr>
              <w:spacing w:line="360" w:lineRule="exact"/>
              <w:rPr>
                <w:rFonts w:hint="eastAsia" w:ascii="新宋体" w:hAnsi="新宋体" w:eastAsia="新宋体" w:cs="新宋体"/>
                <w:b/>
                <w:color w:val="auto"/>
                <w:szCs w:val="21"/>
                <w:lang w:eastAsia="zh-CN"/>
              </w:rPr>
            </w:pPr>
            <w:r>
              <w:rPr>
                <w:rFonts w:hint="eastAsia" w:ascii="新宋体" w:hAnsi="新宋体" w:eastAsia="新宋体" w:cs="新宋体"/>
                <w:sz w:val="21"/>
                <w:szCs w:val="21"/>
              </w:rPr>
              <w:t>本项目为交钥匙工程，报价包括定制</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运输、安装、调试、初验、培训等工作</w:t>
            </w:r>
            <w:r>
              <w:rPr>
                <w:rFonts w:hint="eastAsia" w:ascii="新宋体" w:hAnsi="新宋体" w:eastAsia="新宋体" w:cs="新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vMerge w:val="restart"/>
            <w:noWrap w:val="0"/>
            <w:vAlign w:val="center"/>
          </w:tcPr>
          <w:p>
            <w:pPr>
              <w:jc w:val="center"/>
              <w:rPr>
                <w:rFonts w:hint="eastAsia" w:ascii="新宋体" w:hAnsi="新宋体" w:eastAsia="新宋体" w:cs="新宋体"/>
                <w:b/>
                <w:color w:val="auto"/>
                <w:szCs w:val="21"/>
                <w:lang w:eastAsia="zh-CN"/>
              </w:rPr>
            </w:pPr>
            <w:r>
              <w:rPr>
                <w:rFonts w:hint="eastAsia" w:ascii="新宋体" w:hAnsi="新宋体" w:eastAsia="新宋体" w:cs="新宋体"/>
                <w:b/>
                <w:color w:val="auto"/>
                <w:szCs w:val="21"/>
                <w:lang w:val="en-US" w:eastAsia="zh-CN"/>
              </w:rPr>
              <w:t>3</w:t>
            </w:r>
          </w:p>
        </w:tc>
        <w:tc>
          <w:tcPr>
            <w:tcW w:w="1705" w:type="dxa"/>
            <w:vMerge w:val="restart"/>
            <w:noWrap w:val="0"/>
            <w:vAlign w:val="center"/>
          </w:tcPr>
          <w:p>
            <w:pPr>
              <w:jc w:val="center"/>
              <w:rPr>
                <w:rFonts w:hint="eastAsia" w:ascii="新宋体" w:hAnsi="新宋体" w:eastAsia="新宋体" w:cs="新宋体"/>
                <w:color w:val="auto"/>
                <w:szCs w:val="21"/>
              </w:rPr>
            </w:pPr>
            <w:r>
              <w:rPr>
                <w:rFonts w:hint="eastAsia" w:ascii="新宋体" w:hAnsi="新宋体" w:eastAsia="新宋体" w:cs="新宋体"/>
                <w:color w:val="auto"/>
                <w:szCs w:val="21"/>
              </w:rPr>
              <w:t>关于交货</w:t>
            </w:r>
          </w:p>
        </w:tc>
        <w:tc>
          <w:tcPr>
            <w:tcW w:w="6092" w:type="dxa"/>
            <w:noWrap w:val="0"/>
            <w:vAlign w:val="center"/>
          </w:tcPr>
          <w:p>
            <w:pPr>
              <w:rPr>
                <w:rFonts w:hint="eastAsia" w:ascii="新宋体" w:hAnsi="新宋体" w:eastAsia="新宋体" w:cs="新宋体"/>
                <w:lang w:val="en-US" w:eastAsia="zh-CN"/>
              </w:rPr>
            </w:pPr>
            <w:r>
              <w:rPr>
                <w:rFonts w:hint="eastAsia" w:ascii="新宋体" w:hAnsi="新宋体" w:eastAsia="新宋体" w:cs="新宋体"/>
              </w:rPr>
              <w:t>1.1自合同签订之日起30个</w:t>
            </w:r>
            <w:commentRangeStart w:id="9"/>
            <w:r>
              <w:rPr>
                <w:rFonts w:hint="eastAsia" w:ascii="新宋体" w:hAnsi="新宋体" w:eastAsia="新宋体" w:cs="新宋体"/>
              </w:rPr>
              <w:t>日历日</w:t>
            </w:r>
            <w:commentRangeEnd w:id="9"/>
            <w:r>
              <w:commentReference w:id="9"/>
            </w:r>
            <w:r>
              <w:rPr>
                <w:rFonts w:hint="eastAsia" w:ascii="新宋体" w:hAnsi="新宋体" w:eastAsia="新宋体" w:cs="新宋体"/>
              </w:rPr>
              <w:t>内完成交货并安装调试完毕。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vMerge w:val="continue"/>
            <w:noWrap w:val="0"/>
            <w:vAlign w:val="center"/>
          </w:tcPr>
          <w:p>
            <w:pPr>
              <w:jc w:val="center"/>
              <w:rPr>
                <w:rFonts w:hint="eastAsia" w:ascii="新宋体" w:hAnsi="新宋体" w:eastAsia="新宋体" w:cs="新宋体"/>
                <w:b/>
                <w:color w:val="auto"/>
                <w:szCs w:val="21"/>
              </w:rPr>
            </w:pPr>
          </w:p>
        </w:tc>
        <w:tc>
          <w:tcPr>
            <w:tcW w:w="1705" w:type="dxa"/>
            <w:vMerge w:val="continue"/>
            <w:noWrap w:val="0"/>
            <w:vAlign w:val="center"/>
          </w:tcPr>
          <w:p>
            <w:pPr>
              <w:jc w:val="center"/>
              <w:rPr>
                <w:rFonts w:hint="eastAsia" w:ascii="新宋体" w:hAnsi="新宋体" w:eastAsia="新宋体" w:cs="新宋体"/>
                <w:color w:val="auto"/>
                <w:szCs w:val="21"/>
              </w:rPr>
            </w:pPr>
          </w:p>
        </w:tc>
        <w:tc>
          <w:tcPr>
            <w:tcW w:w="6092" w:type="dxa"/>
            <w:noWrap w:val="0"/>
            <w:vAlign w:val="center"/>
          </w:tcPr>
          <w:p>
            <w:pPr>
              <w:rPr>
                <w:rFonts w:hint="eastAsia" w:ascii="新宋体" w:hAnsi="新宋体" w:eastAsia="新宋体" w:cs="新宋体"/>
                <w:bCs/>
                <w:color w:val="auto"/>
                <w:szCs w:val="21"/>
              </w:rPr>
            </w:pPr>
            <w:r>
              <w:rPr>
                <w:rFonts w:hint="eastAsia" w:ascii="新宋体" w:hAnsi="新宋体" w:eastAsia="新宋体" w:cs="新宋体"/>
                <w:bCs/>
                <w:color w:val="auto"/>
                <w:szCs w:val="21"/>
              </w:rPr>
              <w:t>1.2竞标人必须承担的设备运输、安装调试、验收检测和提供设备操作说明书等其他类似的义务。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vMerge w:val="continue"/>
            <w:noWrap w:val="0"/>
            <w:vAlign w:val="center"/>
          </w:tcPr>
          <w:p>
            <w:pPr>
              <w:jc w:val="center"/>
              <w:rPr>
                <w:rFonts w:hint="eastAsia" w:ascii="新宋体" w:hAnsi="新宋体" w:eastAsia="新宋体" w:cs="新宋体"/>
                <w:b/>
                <w:color w:val="auto"/>
                <w:szCs w:val="21"/>
              </w:rPr>
            </w:pPr>
          </w:p>
        </w:tc>
        <w:tc>
          <w:tcPr>
            <w:tcW w:w="1705" w:type="dxa"/>
            <w:vMerge w:val="continue"/>
            <w:noWrap w:val="0"/>
            <w:vAlign w:val="center"/>
          </w:tcPr>
          <w:p>
            <w:pPr>
              <w:jc w:val="center"/>
              <w:rPr>
                <w:rFonts w:hint="eastAsia" w:ascii="新宋体" w:hAnsi="新宋体" w:eastAsia="新宋体" w:cs="新宋体"/>
                <w:color w:val="auto"/>
                <w:szCs w:val="21"/>
              </w:rPr>
            </w:pPr>
          </w:p>
        </w:tc>
        <w:tc>
          <w:tcPr>
            <w:tcW w:w="6092" w:type="dxa"/>
            <w:noWrap w:val="0"/>
            <w:vAlign w:val="center"/>
          </w:tcPr>
          <w:p>
            <w:pPr>
              <w:rPr>
                <w:rFonts w:hint="eastAsia" w:ascii="新宋体" w:hAnsi="新宋体" w:eastAsia="新宋体" w:cs="新宋体"/>
                <w:bCs/>
                <w:color w:val="auto"/>
                <w:szCs w:val="21"/>
              </w:rPr>
            </w:pPr>
            <w:r>
              <w:rPr>
                <w:rFonts w:hint="eastAsia" w:ascii="新宋体" w:hAnsi="新宋体" w:eastAsia="新宋体" w:cs="新宋体"/>
                <w:bCs/>
                <w:color w:val="auto"/>
                <w:szCs w:val="21"/>
              </w:rPr>
              <w:t>1.3竞标人所提供的产品必须为原装正品的、全新的、完好无破损、且为未开箱状态、符合有关质量标准的产品；设备到货安装前，成交人提供由行政主管部门核准的产品资格文件，包括：注册产品标准、产品白皮书等资料材料，采购人现场根据采购文件要求及竞标文件承诺逐条对应进行核验，核验不合格的，采购人不予以验收,并全部退货，同时报相关监督管理部门处理，由此造成采购人经济损失的由成交供应商负责承担全部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vMerge w:val="restart"/>
            <w:noWrap w:val="0"/>
            <w:vAlign w:val="center"/>
          </w:tcPr>
          <w:p>
            <w:pPr>
              <w:jc w:val="center"/>
              <w:rPr>
                <w:rFonts w:hint="eastAsia" w:ascii="新宋体" w:hAnsi="新宋体" w:eastAsia="新宋体" w:cs="新宋体"/>
                <w:b/>
                <w:color w:val="auto"/>
                <w:szCs w:val="21"/>
                <w:lang w:eastAsia="zh-CN"/>
              </w:rPr>
            </w:pPr>
            <w:r>
              <w:rPr>
                <w:rFonts w:hint="eastAsia" w:ascii="新宋体" w:hAnsi="新宋体" w:eastAsia="新宋体" w:cs="新宋体"/>
                <w:b/>
                <w:color w:val="auto"/>
                <w:szCs w:val="21"/>
                <w:lang w:val="en-US" w:eastAsia="zh-CN"/>
              </w:rPr>
              <w:t>4</w:t>
            </w:r>
          </w:p>
        </w:tc>
        <w:tc>
          <w:tcPr>
            <w:tcW w:w="1705" w:type="dxa"/>
            <w:vMerge w:val="restart"/>
            <w:noWrap w:val="0"/>
            <w:vAlign w:val="center"/>
          </w:tcPr>
          <w:p>
            <w:pPr>
              <w:jc w:val="center"/>
              <w:rPr>
                <w:rFonts w:hint="eastAsia" w:ascii="新宋体" w:hAnsi="新宋体" w:eastAsia="新宋体" w:cs="新宋体"/>
                <w:color w:val="auto"/>
                <w:szCs w:val="21"/>
              </w:rPr>
            </w:pPr>
            <w:r>
              <w:rPr>
                <w:rFonts w:hint="eastAsia" w:ascii="新宋体" w:hAnsi="新宋体" w:eastAsia="新宋体" w:cs="新宋体"/>
                <w:color w:val="auto"/>
                <w:szCs w:val="21"/>
              </w:rPr>
              <w:t>关于验收</w:t>
            </w:r>
          </w:p>
        </w:tc>
        <w:tc>
          <w:tcPr>
            <w:tcW w:w="6092" w:type="dxa"/>
            <w:noWrap w:val="0"/>
            <w:vAlign w:val="center"/>
          </w:tcPr>
          <w:p>
            <w:pPr>
              <w:spacing w:line="340" w:lineRule="exact"/>
              <w:rPr>
                <w:rFonts w:hint="eastAsia" w:ascii="新宋体" w:hAnsi="新宋体" w:eastAsia="新宋体" w:cs="新宋体"/>
                <w:bCs/>
                <w:color w:val="auto"/>
                <w:szCs w:val="21"/>
              </w:rPr>
            </w:pPr>
            <w:r>
              <w:rPr>
                <w:rFonts w:hint="eastAsia" w:ascii="新宋体" w:hAnsi="新宋体" w:eastAsia="新宋体" w:cs="新宋体"/>
                <w:bCs/>
                <w:color w:val="auto"/>
                <w:szCs w:val="21"/>
              </w:rPr>
              <w:t>1.1竞标人货物经过双方检验认可后，签署验收报告，产品保修期自验收合格之日起算，由竞标人提供产品保修文件。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vMerge w:val="continue"/>
            <w:noWrap w:val="0"/>
            <w:vAlign w:val="center"/>
          </w:tcPr>
          <w:p>
            <w:pPr>
              <w:rPr>
                <w:rFonts w:hint="eastAsia" w:ascii="新宋体" w:hAnsi="新宋体" w:eastAsia="新宋体" w:cs="新宋体"/>
                <w:b/>
                <w:color w:val="auto"/>
                <w:szCs w:val="21"/>
              </w:rPr>
            </w:pPr>
          </w:p>
        </w:tc>
        <w:tc>
          <w:tcPr>
            <w:tcW w:w="1705" w:type="dxa"/>
            <w:vMerge w:val="continue"/>
            <w:noWrap w:val="0"/>
            <w:vAlign w:val="center"/>
          </w:tcPr>
          <w:p>
            <w:pPr>
              <w:rPr>
                <w:rFonts w:hint="eastAsia" w:ascii="新宋体" w:hAnsi="新宋体" w:eastAsia="新宋体" w:cs="新宋体"/>
                <w:b/>
                <w:color w:val="auto"/>
                <w:szCs w:val="21"/>
              </w:rPr>
            </w:pPr>
          </w:p>
        </w:tc>
        <w:tc>
          <w:tcPr>
            <w:tcW w:w="6092" w:type="dxa"/>
            <w:noWrap w:val="0"/>
            <w:vAlign w:val="center"/>
          </w:tcPr>
          <w:p>
            <w:pPr>
              <w:spacing w:line="340" w:lineRule="exact"/>
              <w:rPr>
                <w:rFonts w:hint="eastAsia" w:ascii="新宋体" w:hAnsi="新宋体" w:eastAsia="新宋体" w:cs="新宋体"/>
                <w:bCs/>
                <w:color w:val="auto"/>
                <w:szCs w:val="21"/>
              </w:rPr>
            </w:pPr>
            <w:r>
              <w:rPr>
                <w:rFonts w:hint="eastAsia" w:ascii="新宋体" w:hAnsi="新宋体" w:eastAsia="新宋体" w:cs="新宋体"/>
                <w:bCs/>
                <w:color w:val="auto"/>
                <w:szCs w:val="21"/>
              </w:rPr>
              <w:t>1.2当满足以下条件时，采购人才向中标人签发货物验收报告：</w:t>
            </w:r>
          </w:p>
          <w:p>
            <w:pPr>
              <w:tabs>
                <w:tab w:val="left" w:pos="1260"/>
              </w:tabs>
              <w:spacing w:line="340" w:lineRule="exact"/>
              <w:rPr>
                <w:rFonts w:hint="eastAsia" w:ascii="新宋体" w:hAnsi="新宋体" w:eastAsia="新宋体" w:cs="新宋体"/>
                <w:bCs/>
                <w:color w:val="auto"/>
                <w:szCs w:val="21"/>
              </w:rPr>
            </w:pPr>
            <w:r>
              <w:rPr>
                <w:rFonts w:hint="eastAsia" w:ascii="新宋体" w:hAnsi="新宋体" w:eastAsia="新宋体" w:cs="新宋体"/>
                <w:bCs/>
                <w:color w:val="auto"/>
                <w:szCs w:val="21"/>
              </w:rPr>
              <w:t>a、中标人已按照合同规定提供了全部产品及完整的技术资料。</w:t>
            </w:r>
          </w:p>
          <w:p>
            <w:pPr>
              <w:tabs>
                <w:tab w:val="left" w:pos="1260"/>
              </w:tabs>
              <w:spacing w:line="340" w:lineRule="exact"/>
              <w:rPr>
                <w:rFonts w:hint="eastAsia" w:ascii="新宋体" w:hAnsi="新宋体" w:eastAsia="新宋体" w:cs="新宋体"/>
                <w:bCs/>
                <w:color w:val="auto"/>
                <w:szCs w:val="21"/>
              </w:rPr>
            </w:pPr>
            <w:r>
              <w:rPr>
                <w:rFonts w:hint="eastAsia" w:ascii="新宋体" w:hAnsi="新宋体" w:eastAsia="新宋体" w:cs="新宋体"/>
                <w:bCs/>
                <w:color w:val="auto"/>
                <w:szCs w:val="21"/>
              </w:rPr>
              <w:t>b、货物符合竞标文件技术规格书的要求，性能满足要求。</w:t>
            </w:r>
          </w:p>
          <w:p>
            <w:pPr>
              <w:tabs>
                <w:tab w:val="left" w:pos="1260"/>
              </w:tabs>
              <w:spacing w:line="340" w:lineRule="exact"/>
              <w:rPr>
                <w:rFonts w:hint="eastAsia" w:ascii="新宋体" w:hAnsi="新宋体" w:eastAsia="新宋体" w:cs="新宋体"/>
                <w:bCs/>
                <w:color w:val="auto"/>
                <w:szCs w:val="21"/>
              </w:rPr>
            </w:pPr>
            <w:commentRangeStart w:id="10"/>
            <w:r>
              <w:rPr>
                <w:rFonts w:hint="eastAsia" w:ascii="新宋体" w:hAnsi="新宋体" w:eastAsia="新宋体" w:cs="新宋体"/>
                <w:bCs/>
                <w:color w:val="auto"/>
                <w:szCs w:val="21"/>
              </w:rPr>
              <w:t>c、货物具备产品合格证。</w:t>
            </w:r>
            <w:commentRangeEnd w:id="10"/>
            <w:r>
              <w:commentReference w:id="1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noWrap w:val="0"/>
            <w:vAlign w:val="center"/>
          </w:tcPr>
          <w:p>
            <w:pPr>
              <w:jc w:val="center"/>
              <w:rPr>
                <w:rFonts w:hint="eastAsia" w:ascii="新宋体" w:hAnsi="新宋体" w:eastAsia="新宋体" w:cs="新宋体"/>
                <w:b/>
                <w:color w:val="auto"/>
                <w:szCs w:val="21"/>
                <w:lang w:val="en-US" w:eastAsia="zh-CN"/>
              </w:rPr>
            </w:pPr>
            <w:r>
              <w:rPr>
                <w:rFonts w:hint="eastAsia" w:ascii="新宋体" w:hAnsi="新宋体" w:eastAsia="新宋体" w:cs="新宋体"/>
                <w:b/>
                <w:color w:val="auto"/>
                <w:szCs w:val="21"/>
                <w:lang w:val="en-US" w:eastAsia="zh-CN"/>
              </w:rPr>
              <w:t>5</w:t>
            </w:r>
          </w:p>
        </w:tc>
        <w:tc>
          <w:tcPr>
            <w:tcW w:w="1705" w:type="dxa"/>
            <w:noWrap w:val="0"/>
            <w:vAlign w:val="center"/>
          </w:tcPr>
          <w:p>
            <w:pPr>
              <w:jc w:val="center"/>
              <w:rPr>
                <w:rFonts w:hint="eastAsia" w:ascii="新宋体" w:hAnsi="新宋体" w:eastAsia="新宋体" w:cs="新宋体"/>
                <w:b/>
                <w:color w:val="auto"/>
                <w:szCs w:val="21"/>
                <w:lang w:val="en-US" w:eastAsia="zh-CN"/>
              </w:rPr>
            </w:pPr>
            <w:r>
              <w:rPr>
                <w:rFonts w:hint="eastAsia" w:ascii="新宋体" w:hAnsi="新宋体" w:eastAsia="新宋体" w:cs="新宋体"/>
                <w:b w:val="0"/>
                <w:bCs/>
                <w:color w:val="auto"/>
                <w:szCs w:val="21"/>
                <w:lang w:val="en-US" w:eastAsia="zh-CN"/>
              </w:rPr>
              <w:t>付款方式</w:t>
            </w:r>
          </w:p>
        </w:tc>
        <w:tc>
          <w:tcPr>
            <w:tcW w:w="6092" w:type="dxa"/>
            <w:noWrap w:val="0"/>
            <w:vAlign w:val="center"/>
          </w:tcPr>
          <w:p>
            <w:pPr>
              <w:tabs>
                <w:tab w:val="left" w:pos="1260"/>
              </w:tabs>
              <w:spacing w:line="340" w:lineRule="exact"/>
              <w:jc w:val="both"/>
              <w:rPr>
                <w:rFonts w:hint="eastAsia" w:ascii="新宋体" w:hAnsi="新宋体" w:eastAsia="新宋体" w:cs="新宋体"/>
                <w:bCs/>
                <w:color w:val="auto"/>
                <w:szCs w:val="21"/>
              </w:rPr>
            </w:pPr>
            <w:commentRangeStart w:id="11"/>
            <w:r>
              <w:rPr>
                <w:rFonts w:hint="eastAsia" w:ascii="新宋体" w:hAnsi="新宋体" w:eastAsia="新宋体" w:cs="新宋体"/>
                <w:color w:val="000000"/>
                <w:sz w:val="21"/>
              </w:rPr>
              <w:t>成交人</w:t>
            </w:r>
            <w:r>
              <w:rPr>
                <w:rFonts w:hint="eastAsia" w:ascii="新宋体" w:hAnsi="新宋体" w:eastAsia="新宋体" w:cs="新宋体"/>
                <w:color w:val="000000"/>
                <w:sz w:val="21"/>
                <w:lang w:val="en-US" w:eastAsia="zh-CN"/>
              </w:rPr>
              <w:t>将</w:t>
            </w:r>
            <w:r>
              <w:rPr>
                <w:rFonts w:hint="eastAsia" w:ascii="新宋体" w:hAnsi="新宋体" w:eastAsia="新宋体" w:cs="新宋体"/>
                <w:color w:val="000000"/>
                <w:sz w:val="21"/>
              </w:rPr>
              <w:t>全部货物到达指定地点</w:t>
            </w:r>
            <w:r>
              <w:rPr>
                <w:rFonts w:hint="eastAsia" w:ascii="新宋体" w:hAnsi="新宋体" w:eastAsia="新宋体" w:cs="新宋体"/>
                <w:color w:val="000000"/>
                <w:sz w:val="21"/>
                <w:lang w:val="en-US" w:eastAsia="zh-CN"/>
              </w:rPr>
              <w:t>后，采购人支付合同价款的50%；</w:t>
            </w:r>
            <w:r>
              <w:rPr>
                <w:rFonts w:hint="eastAsia" w:ascii="新宋体" w:hAnsi="新宋体" w:eastAsia="新宋体" w:cs="新宋体"/>
                <w:color w:val="000000"/>
                <w:sz w:val="21"/>
              </w:rPr>
              <w:t>安装调试并验收合格后，凭双方签署验收合格证，成交人开具全额增值税发票给采购人，采购人支付至总合同金额的95%，其余5%作为质保金，质保期满后，经采购人验收无质量问题，并办理相关确认手续后10个工作日内，一次性支付完剩余货款（不计利息）。</w:t>
            </w:r>
            <w:commentRangeEnd w:id="11"/>
            <w:r>
              <w:commentReference w:id="11"/>
            </w:r>
          </w:p>
        </w:tc>
      </w:tr>
    </w:tbl>
    <w:p>
      <w:pPr>
        <w:rPr>
          <w:rFonts w:hint="default"/>
          <w:lang w:val="en-US" w:eastAsia="zh-CN"/>
        </w:rPr>
      </w:pPr>
    </w:p>
    <w:p>
      <w:pPr>
        <w:pStyle w:val="4"/>
        <w:spacing w:before="120" w:after="120"/>
        <w:jc w:val="center"/>
        <w:rPr>
          <w:rFonts w:ascii="宋体" w:hAnsi="宋体" w:eastAsia="宋体" w:cs="宋体"/>
          <w:kern w:val="4"/>
          <w:highlight w:val="none"/>
        </w:rPr>
      </w:pPr>
    </w:p>
    <w:p>
      <w:pPr>
        <w:pStyle w:val="4"/>
        <w:spacing w:before="120" w:after="120"/>
        <w:jc w:val="center"/>
        <w:rPr>
          <w:rFonts w:ascii="宋体" w:hAnsi="宋体" w:eastAsia="宋体" w:cs="宋体"/>
          <w:kern w:val="4"/>
          <w:highlight w:val="none"/>
        </w:rPr>
      </w:pPr>
    </w:p>
    <w:p>
      <w:pPr>
        <w:pStyle w:val="4"/>
        <w:spacing w:before="120" w:after="120"/>
        <w:jc w:val="center"/>
        <w:rPr>
          <w:rFonts w:ascii="宋体" w:hAnsi="宋体" w:eastAsia="宋体" w:cs="宋体"/>
          <w:kern w:val="4"/>
          <w:highlight w:val="none"/>
        </w:rPr>
      </w:pPr>
    </w:p>
    <w:p>
      <w:pPr>
        <w:pStyle w:val="4"/>
        <w:spacing w:before="120" w:after="120"/>
        <w:jc w:val="center"/>
        <w:rPr>
          <w:rFonts w:ascii="宋体" w:hAnsi="宋体" w:eastAsia="宋体" w:cs="宋体"/>
          <w:kern w:val="4"/>
          <w:highlight w:val="none"/>
        </w:rPr>
      </w:pPr>
    </w:p>
    <w:p>
      <w:pPr>
        <w:pStyle w:val="4"/>
        <w:spacing w:before="120" w:after="120"/>
        <w:jc w:val="center"/>
        <w:rPr>
          <w:rFonts w:ascii="宋体" w:hAnsi="宋体" w:eastAsia="宋体" w:cs="宋体"/>
          <w:kern w:val="4"/>
          <w:highlight w:val="none"/>
        </w:rPr>
      </w:pPr>
    </w:p>
    <w:p>
      <w:pPr>
        <w:pStyle w:val="4"/>
        <w:spacing w:before="120" w:after="120"/>
        <w:jc w:val="center"/>
        <w:rPr>
          <w:rFonts w:ascii="宋体" w:hAnsi="宋体" w:eastAsia="宋体" w:cs="宋体"/>
          <w:kern w:val="4"/>
          <w:highlight w:val="none"/>
        </w:rPr>
      </w:pPr>
    </w:p>
    <w:p>
      <w:pPr>
        <w:pStyle w:val="4"/>
        <w:spacing w:before="120" w:after="120"/>
        <w:jc w:val="center"/>
        <w:rPr>
          <w:rFonts w:ascii="宋体" w:hAnsi="宋体" w:eastAsia="宋体" w:cs="宋体"/>
          <w:kern w:val="4"/>
          <w:highlight w:val="none"/>
        </w:rPr>
      </w:pPr>
    </w:p>
    <w:p>
      <w:pPr>
        <w:rPr>
          <w:rFonts w:hint="eastAsia" w:ascii="宋体" w:hAnsi="宋体" w:eastAsia="宋体" w:cs="宋体"/>
          <w:kern w:val="4"/>
          <w:highlight w:val="none"/>
        </w:rPr>
      </w:pPr>
      <w:bookmarkStart w:id="47" w:name="_Toc24573"/>
      <w:r>
        <w:rPr>
          <w:rFonts w:hint="eastAsia" w:ascii="宋体" w:hAnsi="宋体" w:eastAsia="宋体" w:cs="宋体"/>
          <w:kern w:val="4"/>
          <w:highlight w:val="none"/>
        </w:rPr>
        <w:br w:type="page"/>
      </w:r>
    </w:p>
    <w:p>
      <w:pPr>
        <w:pStyle w:val="4"/>
        <w:spacing w:before="120" w:after="120"/>
        <w:jc w:val="center"/>
        <w:rPr>
          <w:rFonts w:hint="eastAsia" w:ascii="宋体" w:hAnsi="宋体" w:eastAsia="宋体" w:cs="宋体"/>
          <w:kern w:val="4"/>
          <w:highlight w:val="none"/>
        </w:rPr>
      </w:pPr>
    </w:p>
    <w:p>
      <w:pPr>
        <w:pStyle w:val="4"/>
        <w:spacing w:before="120" w:after="120"/>
        <w:jc w:val="center"/>
        <w:rPr>
          <w:rFonts w:hint="eastAsia" w:ascii="宋体" w:hAnsi="宋体" w:eastAsia="宋体" w:cs="宋体"/>
          <w:kern w:val="4"/>
          <w:highlight w:val="none"/>
        </w:rPr>
      </w:pPr>
    </w:p>
    <w:p>
      <w:pPr>
        <w:pStyle w:val="4"/>
        <w:spacing w:before="120" w:after="120"/>
        <w:jc w:val="center"/>
        <w:rPr>
          <w:rFonts w:hint="eastAsia" w:ascii="宋体" w:hAnsi="宋体" w:eastAsia="宋体" w:cs="宋体"/>
          <w:kern w:val="4"/>
          <w:highlight w:val="none"/>
        </w:rPr>
      </w:pPr>
    </w:p>
    <w:p>
      <w:pPr>
        <w:pStyle w:val="4"/>
        <w:spacing w:before="120" w:after="120"/>
        <w:jc w:val="center"/>
        <w:rPr>
          <w:rFonts w:hint="eastAsia" w:ascii="宋体" w:hAnsi="宋体" w:eastAsia="宋体" w:cs="宋体"/>
          <w:kern w:val="4"/>
          <w:highlight w:val="none"/>
        </w:rPr>
      </w:pPr>
    </w:p>
    <w:p>
      <w:pPr>
        <w:pStyle w:val="4"/>
        <w:spacing w:before="120" w:after="120"/>
        <w:jc w:val="center"/>
        <w:rPr>
          <w:rFonts w:ascii="宋体" w:hAnsi="宋体" w:eastAsia="宋体" w:cs="宋体"/>
          <w:kern w:val="4"/>
          <w:highlight w:val="none"/>
        </w:rPr>
      </w:pPr>
      <w:r>
        <w:rPr>
          <w:rFonts w:hint="eastAsia" w:ascii="宋体" w:hAnsi="宋体" w:eastAsia="宋体" w:cs="宋体"/>
          <w:kern w:val="4"/>
          <w:highlight w:val="none"/>
        </w:rPr>
        <w:t>第四章</w:t>
      </w:r>
      <w:r>
        <w:rPr>
          <w:rFonts w:hint="eastAsia" w:ascii="宋体" w:hAnsi="宋体" w:eastAsia="宋体" w:cs="宋体"/>
          <w:kern w:val="4"/>
          <w:highlight w:val="none"/>
          <w:lang w:val="en-US" w:eastAsia="zh-CN"/>
        </w:rPr>
        <w:t xml:space="preserve"> </w:t>
      </w:r>
      <w:r>
        <w:rPr>
          <w:rFonts w:hint="eastAsia" w:ascii="宋体" w:hAnsi="宋体" w:eastAsia="宋体" w:cs="宋体"/>
          <w:kern w:val="4"/>
          <w:highlight w:val="none"/>
        </w:rPr>
        <w:t>响应文件格式</w:t>
      </w:r>
      <w:bookmarkEnd w:id="47"/>
    </w:p>
    <w:p>
      <w:pPr>
        <w:pStyle w:val="2"/>
        <w:spacing w:after="50" w:line="360" w:lineRule="auto"/>
        <w:rPr>
          <w:rFonts w:hAnsi="宋体" w:eastAsia="宋体" w:cs="宋体"/>
          <w:highlight w:val="none"/>
        </w:rPr>
      </w:pPr>
    </w:p>
    <w:p>
      <w:pPr>
        <w:spacing w:after="50" w:line="400" w:lineRule="exact"/>
        <w:jc w:val="center"/>
        <w:rPr>
          <w:rFonts w:ascii="宋体" w:hAnsi="宋体" w:eastAsia="宋体" w:cs="宋体"/>
          <w:highlight w:val="none"/>
        </w:rPr>
      </w:pPr>
    </w:p>
    <w:p>
      <w:pPr>
        <w:adjustRightInd w:val="0"/>
        <w:spacing w:line="400" w:lineRule="exact"/>
        <w:rPr>
          <w:rFonts w:ascii="宋体" w:hAnsi="宋体" w:eastAsia="宋体" w:cs="宋体"/>
          <w:highlight w:val="none"/>
        </w:rPr>
      </w:pPr>
      <w:r>
        <w:rPr>
          <w:rFonts w:hint="eastAsia" w:ascii="宋体" w:hAnsi="宋体" w:eastAsia="宋体" w:cs="宋体"/>
          <w:highlight w:val="none"/>
        </w:rPr>
        <w:br w:type="page"/>
      </w:r>
    </w:p>
    <w:p>
      <w:pPr>
        <w:pageBreakBefore w:val="0"/>
        <w:kinsoku/>
        <w:wordWrap/>
        <w:topLinePunct w:val="0"/>
        <w:autoSpaceDE/>
        <w:autoSpaceDN/>
        <w:bidi w:val="0"/>
        <w:spacing w:before="120" w:after="120"/>
        <w:jc w:val="center"/>
        <w:textAlignment w:val="auto"/>
        <w:outlineLvl w:val="9"/>
        <w:rPr>
          <w:rFonts w:ascii="宋体" w:hAnsi="宋体" w:eastAsia="宋体" w:cs="宋体"/>
          <w:b/>
          <w:bCs/>
          <w:kern w:val="4"/>
          <w:sz w:val="32"/>
          <w:szCs w:val="32"/>
          <w:highlight w:val="none"/>
        </w:rPr>
      </w:pPr>
      <w:bookmarkStart w:id="48" w:name="_Toc301942519"/>
      <w:r>
        <w:rPr>
          <w:rFonts w:hint="eastAsia" w:ascii="宋体" w:hAnsi="宋体" w:eastAsia="宋体" w:cs="宋体"/>
          <w:b/>
          <w:bCs/>
          <w:kern w:val="4"/>
          <w:sz w:val="32"/>
          <w:szCs w:val="32"/>
          <w:highlight w:val="none"/>
        </w:rPr>
        <w:t>第一节 响应文件格式</w:t>
      </w:r>
      <w:bookmarkEnd w:id="48"/>
    </w:p>
    <w:p>
      <w:pPr>
        <w:pageBreakBefore w:val="0"/>
        <w:kinsoku/>
        <w:wordWrap/>
        <w:topLinePunct w:val="0"/>
        <w:autoSpaceDE/>
        <w:autoSpaceDN/>
        <w:bidi w:val="0"/>
        <w:spacing w:line="360" w:lineRule="auto"/>
        <w:jc w:val="center"/>
        <w:textAlignment w:val="auto"/>
        <w:outlineLvl w:val="9"/>
        <w:rPr>
          <w:rFonts w:ascii="宋体" w:hAnsi="宋体" w:eastAsia="宋体" w:cs="宋体"/>
          <w:b/>
          <w:bCs/>
          <w:sz w:val="32"/>
          <w:szCs w:val="32"/>
          <w:highlight w:val="none"/>
        </w:rPr>
      </w:pPr>
      <w:r>
        <w:rPr>
          <w:rFonts w:hint="eastAsia" w:ascii="宋体" w:hAnsi="宋体" w:eastAsia="宋体" w:cs="宋体"/>
          <w:b/>
          <w:bCs/>
          <w:sz w:val="32"/>
          <w:szCs w:val="32"/>
          <w:highlight w:val="none"/>
        </w:rPr>
        <w:t>（封面格式）</w:t>
      </w:r>
    </w:p>
    <w:p>
      <w:pPr>
        <w:pageBreakBefore w:val="0"/>
        <w:kinsoku/>
        <w:wordWrap/>
        <w:topLinePunct w:val="0"/>
        <w:autoSpaceDE/>
        <w:autoSpaceDN/>
        <w:bidi w:val="0"/>
        <w:spacing w:line="360" w:lineRule="auto"/>
        <w:ind w:firstLine="420" w:firstLineChars="200"/>
        <w:textAlignment w:val="auto"/>
        <w:outlineLvl w:val="9"/>
        <w:rPr>
          <w:rFonts w:ascii="宋体" w:hAnsi="宋体" w:eastAsia="宋体" w:cs="宋体"/>
          <w:szCs w:val="21"/>
          <w:highlight w:val="none"/>
        </w:rPr>
      </w:pPr>
    </w:p>
    <w:p>
      <w:pPr>
        <w:pageBreakBefore w:val="0"/>
        <w:kinsoku/>
        <w:wordWrap/>
        <w:topLinePunct w:val="0"/>
        <w:autoSpaceDE/>
        <w:autoSpaceDN/>
        <w:bidi w:val="0"/>
        <w:spacing w:line="360" w:lineRule="auto"/>
        <w:ind w:firstLine="420" w:firstLineChars="200"/>
        <w:jc w:val="center"/>
        <w:textAlignment w:val="auto"/>
        <w:outlineLvl w:val="9"/>
        <w:rPr>
          <w:rFonts w:ascii="宋体" w:hAnsi="宋体" w:eastAsia="宋体" w:cs="宋体"/>
          <w:szCs w:val="21"/>
          <w:highlight w:val="none"/>
        </w:rPr>
      </w:pPr>
    </w:p>
    <w:p>
      <w:pPr>
        <w:pageBreakBefore w:val="0"/>
        <w:kinsoku/>
        <w:wordWrap/>
        <w:topLinePunct w:val="0"/>
        <w:autoSpaceDE/>
        <w:autoSpaceDN/>
        <w:bidi w:val="0"/>
        <w:spacing w:line="360" w:lineRule="auto"/>
        <w:ind w:firstLine="560" w:firstLineChars="200"/>
        <w:jc w:val="center"/>
        <w:textAlignment w:val="auto"/>
        <w:outlineLvl w:val="9"/>
        <w:rPr>
          <w:rFonts w:ascii="宋体" w:hAnsi="宋体" w:eastAsia="宋体" w:cs="宋体"/>
          <w:sz w:val="28"/>
          <w:szCs w:val="28"/>
          <w:highlight w:val="none"/>
        </w:rPr>
      </w:pPr>
    </w:p>
    <w:p>
      <w:pPr>
        <w:pageBreakBefore w:val="0"/>
        <w:kinsoku/>
        <w:wordWrap/>
        <w:topLinePunct w:val="0"/>
        <w:autoSpaceDE/>
        <w:autoSpaceDN/>
        <w:bidi w:val="0"/>
        <w:spacing w:line="360" w:lineRule="auto"/>
        <w:ind w:firstLine="420" w:firstLineChars="200"/>
        <w:jc w:val="center"/>
        <w:textAlignment w:val="auto"/>
        <w:outlineLvl w:val="9"/>
        <w:rPr>
          <w:rFonts w:ascii="宋体" w:hAnsi="宋体" w:eastAsia="宋体" w:cs="宋体"/>
          <w:szCs w:val="21"/>
          <w:highlight w:val="none"/>
        </w:rPr>
      </w:pPr>
    </w:p>
    <w:p>
      <w:pPr>
        <w:pageBreakBefore w:val="0"/>
        <w:kinsoku/>
        <w:wordWrap/>
        <w:topLinePunct w:val="0"/>
        <w:autoSpaceDE/>
        <w:autoSpaceDN/>
        <w:bidi w:val="0"/>
        <w:spacing w:line="740" w:lineRule="exact"/>
        <w:jc w:val="center"/>
        <w:textAlignment w:val="auto"/>
        <w:outlineLvl w:val="9"/>
        <w:rPr>
          <w:rFonts w:hint="eastAsia" w:ascii="宋体" w:hAnsi="宋体"/>
          <w:color w:val="auto"/>
          <w:sz w:val="72"/>
          <w:szCs w:val="72"/>
          <w:highlight w:val="none"/>
        </w:rPr>
      </w:pPr>
      <w:r>
        <w:rPr>
          <w:rFonts w:hint="eastAsia" w:ascii="宋体" w:hAnsi="宋体"/>
          <w:color w:val="auto"/>
          <w:sz w:val="72"/>
          <w:szCs w:val="72"/>
          <w:highlight w:val="none"/>
        </w:rPr>
        <w:t>竞争性磋商响应文件</w:t>
      </w:r>
    </w:p>
    <w:p>
      <w:pPr>
        <w:pageBreakBefore w:val="0"/>
        <w:kinsoku/>
        <w:wordWrap/>
        <w:topLinePunct w:val="0"/>
        <w:autoSpaceDE/>
        <w:autoSpaceDN/>
        <w:bidi w:val="0"/>
        <w:spacing w:line="600" w:lineRule="exact"/>
        <w:jc w:val="center"/>
        <w:textAlignment w:val="auto"/>
        <w:outlineLvl w:val="9"/>
        <w:rPr>
          <w:rFonts w:hint="eastAsia" w:ascii="宋体" w:hAnsi="宋体"/>
          <w:color w:val="auto"/>
          <w:sz w:val="28"/>
          <w:szCs w:val="28"/>
          <w:highlight w:val="none"/>
        </w:rPr>
      </w:pPr>
    </w:p>
    <w:p>
      <w:pPr>
        <w:pageBreakBefore w:val="0"/>
        <w:kinsoku/>
        <w:wordWrap/>
        <w:topLinePunct w:val="0"/>
        <w:autoSpaceDE/>
        <w:autoSpaceDN/>
        <w:bidi w:val="0"/>
        <w:spacing w:line="600" w:lineRule="exact"/>
        <w:ind w:firstLine="1120" w:firstLineChars="400"/>
        <w:textAlignment w:val="auto"/>
        <w:outlineLvl w:val="9"/>
        <w:rPr>
          <w:rFonts w:hint="eastAsia" w:ascii="宋体" w:hAnsi="宋体" w:eastAsiaTheme="minorEastAsia"/>
          <w:color w:val="auto"/>
          <w:sz w:val="28"/>
          <w:szCs w:val="28"/>
          <w:highlight w:val="none"/>
          <w:u w:val="single"/>
          <w:lang w:val="en-US" w:eastAsia="zh-CN"/>
        </w:rPr>
      </w:pPr>
      <w:r>
        <w:rPr>
          <w:rFonts w:hint="eastAsia" w:ascii="宋体" w:hAnsi="宋体"/>
          <w:color w:val="auto"/>
          <w:sz w:val="28"/>
          <w:szCs w:val="28"/>
          <w:highlight w:val="none"/>
        </w:rPr>
        <w:t xml:space="preserve"> 项目名称：</w:t>
      </w:r>
      <w:r>
        <w:rPr>
          <w:rFonts w:hint="eastAsia" w:ascii="宋体" w:hAnsi="宋体"/>
          <w:color w:val="auto"/>
          <w:sz w:val="36"/>
          <w:szCs w:val="36"/>
          <w:highlight w:val="none"/>
        </w:rPr>
        <w:t xml:space="preserve"> </w:t>
      </w:r>
      <w:r>
        <w:rPr>
          <w:rFonts w:hint="eastAsia" w:ascii="宋体" w:hAnsi="宋体"/>
          <w:color w:val="auto"/>
          <w:sz w:val="28"/>
          <w:szCs w:val="28"/>
          <w:highlight w:val="none"/>
          <w:u w:val="single"/>
        </w:rPr>
        <w:t xml:space="preserve">                      </w:t>
      </w:r>
    </w:p>
    <w:p>
      <w:pPr>
        <w:pageBreakBefore w:val="0"/>
        <w:kinsoku/>
        <w:wordWrap/>
        <w:topLinePunct w:val="0"/>
        <w:autoSpaceDE/>
        <w:autoSpaceDN/>
        <w:bidi w:val="0"/>
        <w:spacing w:line="600" w:lineRule="exact"/>
        <w:ind w:firstLine="1260" w:firstLineChars="450"/>
        <w:textAlignment w:val="auto"/>
        <w:outlineLvl w:val="9"/>
        <w:rPr>
          <w:rFonts w:hint="eastAsia" w:ascii="宋体" w:hAnsi="宋体"/>
          <w:color w:val="auto"/>
          <w:sz w:val="28"/>
          <w:szCs w:val="28"/>
          <w:highlight w:val="none"/>
          <w:u w:val="single"/>
        </w:rPr>
      </w:pPr>
      <w:r>
        <w:rPr>
          <w:rFonts w:hint="eastAsia" w:ascii="宋体" w:hAnsi="宋体"/>
          <w:color w:val="auto"/>
          <w:sz w:val="28"/>
          <w:szCs w:val="28"/>
          <w:highlight w:val="none"/>
        </w:rPr>
        <w:t>项目编号：</w:t>
      </w:r>
    </w:p>
    <w:p>
      <w:pPr>
        <w:pageBreakBefore w:val="0"/>
        <w:kinsoku/>
        <w:wordWrap/>
        <w:topLinePunct w:val="0"/>
        <w:autoSpaceDE/>
        <w:autoSpaceDN/>
        <w:bidi w:val="0"/>
        <w:spacing w:line="740" w:lineRule="exact"/>
        <w:textAlignment w:val="auto"/>
        <w:outlineLvl w:val="9"/>
        <w:rPr>
          <w:rFonts w:hint="default" w:ascii="宋体" w:hAnsi="宋体"/>
          <w:color w:val="auto"/>
          <w:sz w:val="28"/>
          <w:szCs w:val="28"/>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none"/>
          <w:lang w:val="en-US" w:eastAsia="zh-CN"/>
        </w:rPr>
        <w:t>分标</w:t>
      </w:r>
    </w:p>
    <w:p>
      <w:pPr>
        <w:pageBreakBefore w:val="0"/>
        <w:kinsoku/>
        <w:wordWrap/>
        <w:topLinePunct w:val="0"/>
        <w:autoSpaceDE/>
        <w:autoSpaceDN/>
        <w:bidi w:val="0"/>
        <w:spacing w:line="740" w:lineRule="exact"/>
        <w:jc w:val="center"/>
        <w:textAlignment w:val="auto"/>
        <w:outlineLvl w:val="9"/>
        <w:rPr>
          <w:rFonts w:hint="eastAsia" w:ascii="宋体" w:hAnsi="宋体"/>
          <w:color w:val="auto"/>
          <w:szCs w:val="21"/>
          <w:highlight w:val="none"/>
        </w:rPr>
      </w:pPr>
      <w:r>
        <w:rPr>
          <w:rFonts w:hint="eastAsia" w:ascii="宋体" w:hAnsi="宋体"/>
          <w:color w:val="auto"/>
          <w:sz w:val="36"/>
          <w:szCs w:val="36"/>
          <w:highlight w:val="none"/>
        </w:rPr>
        <w:t>正本或副本</w:t>
      </w:r>
    </w:p>
    <w:p>
      <w:pPr>
        <w:pageBreakBefore w:val="0"/>
        <w:kinsoku/>
        <w:wordWrap/>
        <w:topLinePunct w:val="0"/>
        <w:autoSpaceDE/>
        <w:autoSpaceDN/>
        <w:bidi w:val="0"/>
        <w:spacing w:line="740" w:lineRule="exact"/>
        <w:textAlignment w:val="auto"/>
        <w:outlineLvl w:val="9"/>
        <w:rPr>
          <w:rFonts w:hint="eastAsia" w:ascii="宋体" w:hAnsi="宋体"/>
          <w:color w:val="auto"/>
          <w:sz w:val="36"/>
          <w:szCs w:val="36"/>
          <w:highlight w:val="none"/>
        </w:rPr>
      </w:pPr>
    </w:p>
    <w:p>
      <w:pPr>
        <w:pageBreakBefore w:val="0"/>
        <w:kinsoku/>
        <w:wordWrap/>
        <w:topLinePunct w:val="0"/>
        <w:autoSpaceDE/>
        <w:autoSpaceDN/>
        <w:bidi w:val="0"/>
        <w:spacing w:line="740" w:lineRule="exact"/>
        <w:ind w:firstLine="720" w:firstLineChars="200"/>
        <w:textAlignment w:val="auto"/>
        <w:outlineLvl w:val="9"/>
        <w:rPr>
          <w:rFonts w:hint="eastAsia" w:ascii="宋体" w:hAnsi="宋体"/>
          <w:color w:val="auto"/>
          <w:sz w:val="36"/>
          <w:szCs w:val="36"/>
          <w:highlight w:val="none"/>
        </w:rPr>
      </w:pPr>
    </w:p>
    <w:p>
      <w:pPr>
        <w:pStyle w:val="21"/>
        <w:pageBreakBefore w:val="0"/>
        <w:kinsoku/>
        <w:wordWrap/>
        <w:topLinePunct w:val="0"/>
        <w:autoSpaceDE/>
        <w:autoSpaceDN/>
        <w:bidi w:val="0"/>
        <w:ind w:firstLine="400"/>
        <w:textAlignment w:val="auto"/>
        <w:outlineLvl w:val="9"/>
        <w:rPr>
          <w:rFonts w:hint="eastAsia"/>
          <w:color w:val="auto"/>
          <w:highlight w:val="none"/>
        </w:rPr>
      </w:pPr>
    </w:p>
    <w:p>
      <w:pPr>
        <w:pageBreakBefore w:val="0"/>
        <w:kinsoku/>
        <w:wordWrap/>
        <w:topLinePunct w:val="0"/>
        <w:autoSpaceDE/>
        <w:autoSpaceDN/>
        <w:bidi w:val="0"/>
        <w:spacing w:line="600" w:lineRule="exact"/>
        <w:ind w:firstLine="720" w:firstLineChars="200"/>
        <w:textAlignment w:val="auto"/>
        <w:outlineLvl w:val="9"/>
        <w:rPr>
          <w:rFonts w:hint="eastAsia" w:ascii="宋体" w:hAnsi="宋体"/>
          <w:color w:val="auto"/>
          <w:sz w:val="36"/>
          <w:szCs w:val="36"/>
          <w:highlight w:val="none"/>
        </w:rPr>
      </w:pPr>
      <w:r>
        <w:rPr>
          <w:rFonts w:hint="eastAsia" w:ascii="宋体" w:hAnsi="宋体"/>
          <w:color w:val="auto"/>
          <w:sz w:val="36"/>
          <w:szCs w:val="36"/>
          <w:highlight w:val="none"/>
        </w:rPr>
        <w:t>磋 商 人：</w:t>
      </w:r>
      <w:r>
        <w:rPr>
          <w:rFonts w:hint="eastAsia" w:ascii="宋体" w:hAnsi="宋体"/>
          <w:color w:val="auto"/>
          <w:sz w:val="36"/>
          <w:szCs w:val="36"/>
          <w:highlight w:val="none"/>
          <w:u w:val="single"/>
        </w:rPr>
        <w:t xml:space="preserve">   （</w:t>
      </w:r>
      <w:r>
        <w:rPr>
          <w:rFonts w:hint="eastAsia" w:ascii="宋体" w:hAnsi="宋体"/>
          <w:color w:val="auto"/>
          <w:sz w:val="36"/>
          <w:szCs w:val="36"/>
          <w:highlight w:val="none"/>
          <w:u w:val="single"/>
          <w:lang w:val="en-US" w:eastAsia="zh-CN"/>
        </w:rPr>
        <w:t>供应商</w:t>
      </w:r>
      <w:r>
        <w:rPr>
          <w:rFonts w:hint="eastAsia" w:ascii="宋体" w:hAnsi="宋体"/>
          <w:color w:val="auto"/>
          <w:sz w:val="36"/>
          <w:szCs w:val="36"/>
          <w:highlight w:val="none"/>
          <w:u w:val="single"/>
        </w:rPr>
        <w:t xml:space="preserve">全称）            </w:t>
      </w:r>
      <w:r>
        <w:rPr>
          <w:rFonts w:hint="eastAsia" w:ascii="宋体" w:hAnsi="宋体"/>
          <w:color w:val="auto"/>
          <w:sz w:val="36"/>
          <w:szCs w:val="36"/>
          <w:highlight w:val="none"/>
        </w:rPr>
        <w:t>（盖单位章）</w:t>
      </w:r>
    </w:p>
    <w:p>
      <w:pPr>
        <w:pageBreakBefore w:val="0"/>
        <w:kinsoku/>
        <w:wordWrap/>
        <w:topLinePunct w:val="0"/>
        <w:autoSpaceDE/>
        <w:autoSpaceDN/>
        <w:bidi w:val="0"/>
        <w:spacing w:line="600" w:lineRule="exact"/>
        <w:ind w:firstLine="720" w:firstLineChars="200"/>
        <w:textAlignment w:val="auto"/>
        <w:outlineLvl w:val="9"/>
        <w:rPr>
          <w:rFonts w:hint="eastAsia" w:ascii="宋体" w:hAnsi="宋体"/>
          <w:color w:val="auto"/>
          <w:sz w:val="36"/>
          <w:szCs w:val="36"/>
          <w:highlight w:val="none"/>
        </w:rPr>
      </w:pPr>
      <w:r>
        <w:rPr>
          <w:rFonts w:hint="eastAsia" w:ascii="宋体" w:hAnsi="宋体"/>
          <w:color w:val="auto"/>
          <w:sz w:val="36"/>
          <w:szCs w:val="36"/>
          <w:highlight w:val="none"/>
        </w:rPr>
        <w:t>法定代表人或其委托代理人：</w:t>
      </w:r>
      <w:r>
        <w:rPr>
          <w:rFonts w:hint="eastAsia" w:ascii="宋体" w:hAnsi="宋体"/>
          <w:color w:val="auto"/>
          <w:sz w:val="36"/>
          <w:szCs w:val="36"/>
          <w:highlight w:val="none"/>
          <w:u w:val="single"/>
        </w:rPr>
        <w:t xml:space="preserve">           </w:t>
      </w:r>
      <w:r>
        <w:rPr>
          <w:rFonts w:hint="eastAsia" w:ascii="宋体" w:hAnsi="宋体"/>
          <w:color w:val="auto"/>
          <w:sz w:val="36"/>
          <w:szCs w:val="36"/>
          <w:highlight w:val="none"/>
        </w:rPr>
        <w:t>（签字）</w:t>
      </w:r>
    </w:p>
    <w:p>
      <w:pPr>
        <w:pStyle w:val="79"/>
        <w:pageBreakBefore w:val="0"/>
        <w:kinsoku/>
        <w:wordWrap/>
        <w:topLinePunct w:val="0"/>
        <w:autoSpaceDE/>
        <w:autoSpaceDN/>
        <w:bidi w:val="0"/>
        <w:spacing w:line="360" w:lineRule="auto"/>
        <w:jc w:val="left"/>
        <w:textAlignment w:val="auto"/>
        <w:outlineLvl w:val="9"/>
        <w:rPr>
          <w:rFonts w:hint="eastAsia" w:ascii="宋体" w:hAnsi="宋体" w:eastAsia="宋体"/>
          <w:color w:val="auto"/>
          <w:sz w:val="24"/>
          <w:szCs w:val="24"/>
          <w:highlight w:val="none"/>
        </w:rPr>
      </w:pPr>
      <w:r>
        <w:rPr>
          <w:rFonts w:hint="eastAsia" w:ascii="宋体" w:hAnsi="宋体"/>
          <w:color w:val="auto"/>
          <w:sz w:val="36"/>
          <w:szCs w:val="36"/>
          <w:highlight w:val="none"/>
        </w:rPr>
        <w:t xml:space="preserve">   </w:t>
      </w:r>
      <w:r>
        <w:rPr>
          <w:rFonts w:hint="eastAsia" w:ascii="宋体" w:hAnsi="宋体" w:eastAsia="宋体" w:cs="宋体"/>
          <w:color w:val="auto"/>
          <w:sz w:val="36"/>
          <w:szCs w:val="36"/>
          <w:highlight w:val="none"/>
        </w:rPr>
        <w:t xml:space="preserve"> 日期：</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年</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月</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日</w:t>
      </w:r>
    </w:p>
    <w:p>
      <w:pPr>
        <w:pageBreakBefore w:val="0"/>
        <w:kinsoku/>
        <w:wordWrap/>
        <w:topLinePunct w:val="0"/>
        <w:autoSpaceDE/>
        <w:autoSpaceDN/>
        <w:bidi w:val="0"/>
        <w:adjustRightInd w:val="0"/>
        <w:spacing w:line="400" w:lineRule="exact"/>
        <w:textAlignment w:val="auto"/>
        <w:outlineLvl w:val="9"/>
        <w:rPr>
          <w:rFonts w:ascii="宋体" w:hAnsi="宋体" w:eastAsia="宋体" w:cs="宋体"/>
          <w:highlight w:val="none"/>
        </w:rPr>
      </w:pPr>
    </w:p>
    <w:p>
      <w:pPr>
        <w:pageBreakBefore w:val="0"/>
        <w:kinsoku/>
        <w:wordWrap/>
        <w:topLinePunct w:val="0"/>
        <w:autoSpaceDE/>
        <w:autoSpaceDN/>
        <w:bidi w:val="0"/>
        <w:textAlignment w:val="auto"/>
        <w:outlineLvl w:val="9"/>
        <w:rPr>
          <w:highlight w:val="none"/>
        </w:rPr>
      </w:pPr>
      <w:r>
        <w:rPr>
          <w:highlight w:val="none"/>
        </w:rPr>
        <w:br w:type="page"/>
      </w:r>
    </w:p>
    <w:p>
      <w:pPr>
        <w:pStyle w:val="21"/>
        <w:pageBreakBefore w:val="0"/>
        <w:kinsoku/>
        <w:wordWrap/>
        <w:topLinePunct w:val="0"/>
        <w:autoSpaceDE/>
        <w:autoSpaceDN/>
        <w:bidi w:val="0"/>
        <w:textAlignment w:val="auto"/>
        <w:outlineLvl w:val="9"/>
        <w:rPr>
          <w:rFonts w:hint="eastAsia" w:ascii="新宋体" w:hAnsi="新宋体" w:eastAsia="新宋体" w:cs="新宋体"/>
          <w:b/>
          <w:color w:val="auto"/>
          <w:szCs w:val="21"/>
        </w:rPr>
      </w:pPr>
      <w:r>
        <w:rPr>
          <w:rFonts w:hint="eastAsia" w:ascii="宋体" w:hAnsi="宋体" w:eastAsia="宋体"/>
          <w:color w:val="auto"/>
          <w:sz w:val="24"/>
          <w:szCs w:val="24"/>
          <w:highlight w:val="none"/>
        </w:rPr>
        <w:t>目录（应附有页码）：</w:t>
      </w:r>
    </w:p>
    <w:p>
      <w:pPr>
        <w:snapToGrid w:val="0"/>
        <w:spacing w:before="120" w:beforeLines="50" w:line="420" w:lineRule="exact"/>
        <w:jc w:val="left"/>
        <w:rPr>
          <w:rFonts w:hint="eastAsia" w:ascii="新宋体" w:hAnsi="新宋体" w:eastAsia="新宋体" w:cs="新宋体"/>
          <w:b/>
          <w:color w:val="auto"/>
          <w:szCs w:val="21"/>
        </w:rPr>
      </w:pPr>
      <w:r>
        <w:rPr>
          <w:rFonts w:hint="eastAsia" w:ascii="新宋体" w:hAnsi="新宋体" w:eastAsia="新宋体" w:cs="新宋体"/>
          <w:b/>
          <w:color w:val="auto"/>
          <w:szCs w:val="21"/>
          <w:lang w:val="en-US" w:eastAsia="zh-CN"/>
        </w:rPr>
        <w:t>一、</w:t>
      </w:r>
      <w:r>
        <w:rPr>
          <w:rFonts w:hint="eastAsia" w:ascii="新宋体" w:hAnsi="新宋体" w:eastAsia="新宋体" w:cs="新宋体"/>
          <w:b/>
          <w:color w:val="auto"/>
          <w:szCs w:val="21"/>
        </w:rPr>
        <w:t>资格及商务</w:t>
      </w:r>
      <w:r>
        <w:rPr>
          <w:rFonts w:hint="eastAsia" w:ascii="新宋体" w:hAnsi="新宋体" w:eastAsia="新宋体" w:cs="新宋体"/>
          <w:b/>
          <w:color w:val="auto"/>
          <w:szCs w:val="21"/>
          <w:lang w:eastAsia="zh-CN"/>
        </w:rPr>
        <w:t>部分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新宋体" w:hAnsi="新宋体" w:eastAsia="新宋体" w:cs="新宋体"/>
          <w:b/>
          <w:bCs/>
          <w:color w:val="auto"/>
          <w:szCs w:val="21"/>
          <w:lang w:eastAsia="zh-CN"/>
        </w:rPr>
      </w:pPr>
      <w:r>
        <w:rPr>
          <w:rFonts w:hint="eastAsia" w:ascii="新宋体" w:hAnsi="新宋体" w:eastAsia="新宋体" w:cs="新宋体"/>
          <w:b/>
          <w:color w:val="auto"/>
          <w:szCs w:val="21"/>
        </w:rPr>
        <w:t>实质性要求的资格材料</w:t>
      </w:r>
      <w:r>
        <w:rPr>
          <w:rFonts w:hint="eastAsia" w:ascii="新宋体" w:hAnsi="新宋体" w:eastAsia="新宋体" w:cs="新宋体"/>
          <w:b/>
          <w:color w:val="auto"/>
          <w:szCs w:val="21"/>
          <w:lang w:eastAsia="zh-CN"/>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szCs w:val="21"/>
        </w:rPr>
        <w:t>▲</w:t>
      </w:r>
      <w:r>
        <w:rPr>
          <w:rFonts w:hint="eastAsia" w:ascii="新宋体" w:hAnsi="新宋体" w:eastAsia="新宋体" w:cs="新宋体"/>
          <w:color w:val="auto"/>
          <w:szCs w:val="21"/>
          <w:lang w:val="en-US" w:eastAsia="zh-CN"/>
        </w:rPr>
        <w:t>磋商</w:t>
      </w:r>
      <w:r>
        <w:rPr>
          <w:rFonts w:hint="eastAsia" w:ascii="新宋体" w:hAnsi="新宋体" w:eastAsia="新宋体" w:cs="新宋体"/>
          <w:color w:val="auto"/>
        </w:rPr>
        <w:t>函；</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szCs w:val="21"/>
        </w:rPr>
        <w:t>▲</w:t>
      </w:r>
      <w:r>
        <w:rPr>
          <w:rFonts w:hint="eastAsia" w:ascii="新宋体" w:hAnsi="新宋体" w:eastAsia="新宋体" w:cs="新宋体"/>
          <w:color w:val="auto"/>
          <w:lang w:eastAsia="zh-CN"/>
        </w:rPr>
        <w:t>磋商</w:t>
      </w:r>
      <w:r>
        <w:rPr>
          <w:rFonts w:hint="eastAsia" w:ascii="新宋体" w:hAnsi="新宋体" w:eastAsia="新宋体" w:cs="新宋体"/>
          <w:color w:val="auto"/>
        </w:rPr>
        <w:t xml:space="preserve">声明书 </w:t>
      </w:r>
      <w:r>
        <w:rPr>
          <w:rFonts w:hint="eastAsia" w:ascii="新宋体" w:hAnsi="新宋体" w:eastAsia="新宋体" w:cs="新宋体"/>
          <w:color w:val="auto"/>
          <w:lang w:eastAsia="zh-CN"/>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szCs w:val="21"/>
        </w:rPr>
        <w:t>▲</w:t>
      </w:r>
      <w:r>
        <w:rPr>
          <w:rFonts w:hint="eastAsia" w:ascii="新宋体" w:hAnsi="新宋体" w:eastAsia="新宋体" w:cs="新宋体"/>
          <w:color w:val="auto"/>
          <w:lang w:eastAsia="zh-CN"/>
        </w:rPr>
        <w:t>供应商</w:t>
      </w:r>
      <w:r>
        <w:rPr>
          <w:rFonts w:hint="eastAsia" w:ascii="新宋体" w:hAnsi="新宋体" w:eastAsia="新宋体" w:cs="新宋体"/>
          <w:color w:val="auto"/>
        </w:rPr>
        <w:t xml:space="preserve">有效的营业执照副本内页复印件； </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szCs w:val="21"/>
        </w:rPr>
        <w:t>▲</w:t>
      </w:r>
      <w:r>
        <w:rPr>
          <w:rFonts w:hint="eastAsia" w:ascii="新宋体" w:hAnsi="新宋体" w:eastAsia="新宋体" w:cs="新宋体"/>
          <w:color w:val="auto"/>
          <w:lang w:eastAsia="zh-CN"/>
        </w:rPr>
        <w:t>供应商</w:t>
      </w:r>
      <w:r>
        <w:rPr>
          <w:rFonts w:hint="eastAsia" w:ascii="新宋体" w:hAnsi="新宋体" w:eastAsia="新宋体" w:cs="新宋体"/>
          <w:color w:val="auto"/>
        </w:rPr>
        <w:t>在“信用中国”网站（www.creditchina.gov.cn）、中国政府采购网（www.ccgp.gov.cn）查询的相关供应商主体信用记录（本项目招标公告发布时间后查询结果截图加盖单位公章）</w:t>
      </w:r>
      <w:r>
        <w:rPr>
          <w:rFonts w:hint="eastAsia" w:ascii="新宋体" w:hAnsi="新宋体" w:eastAsia="新宋体" w:cs="新宋体"/>
          <w:color w:val="auto"/>
          <w:lang w:eastAsia="zh-CN"/>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szCs w:val="21"/>
        </w:rPr>
        <w:t>▲</w:t>
      </w:r>
      <w:r>
        <w:rPr>
          <w:rFonts w:hint="eastAsia" w:ascii="新宋体" w:hAnsi="新宋体" w:eastAsia="新宋体" w:cs="新宋体"/>
          <w:color w:val="auto"/>
          <w:lang w:eastAsia="zh-CN"/>
        </w:rPr>
        <w:t>磋商</w:t>
      </w:r>
      <w:r>
        <w:rPr>
          <w:rFonts w:hint="eastAsia" w:ascii="新宋体" w:hAnsi="新宋体" w:eastAsia="新宋体" w:cs="新宋体"/>
          <w:color w:val="auto"/>
        </w:rPr>
        <w:t>保证金缴纳证明（可单独提交）</w:t>
      </w:r>
      <w:r>
        <w:rPr>
          <w:rFonts w:hint="eastAsia" w:ascii="新宋体" w:hAnsi="新宋体" w:eastAsia="新宋体" w:cs="新宋体"/>
          <w:color w:val="auto"/>
          <w:lang w:eastAsia="zh-CN"/>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szCs w:val="21"/>
        </w:rPr>
        <w:t>▲</w:t>
      </w:r>
      <w:r>
        <w:rPr>
          <w:rFonts w:hint="eastAsia" w:ascii="新宋体" w:hAnsi="新宋体" w:eastAsia="新宋体" w:cs="新宋体"/>
          <w:color w:val="auto"/>
        </w:rPr>
        <w:t>法定代表人授权委托书、被授权人身份证复印件</w:t>
      </w:r>
      <w:r>
        <w:rPr>
          <w:rFonts w:hint="eastAsia" w:ascii="新宋体" w:hAnsi="新宋体" w:eastAsia="新宋体" w:cs="新宋体"/>
          <w:color w:val="auto"/>
          <w:lang w:eastAsia="zh-CN"/>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szCs w:val="21"/>
        </w:rPr>
        <w:t>▲</w:t>
      </w:r>
      <w:r>
        <w:rPr>
          <w:rFonts w:hint="eastAsia" w:ascii="新宋体" w:hAnsi="新宋体" w:eastAsia="新宋体" w:cs="新宋体"/>
          <w:color w:val="auto"/>
        </w:rPr>
        <w:t>商务响应表</w:t>
      </w:r>
      <w:r>
        <w:rPr>
          <w:rFonts w:hint="eastAsia" w:ascii="新宋体" w:hAnsi="新宋体" w:eastAsia="新宋体" w:cs="新宋体"/>
          <w:color w:val="auto"/>
          <w:lang w:eastAsia="zh-CN"/>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lang w:eastAsia="zh-CN"/>
        </w:rPr>
        <w:t>供应商</w:t>
      </w:r>
      <w:r>
        <w:rPr>
          <w:rFonts w:hint="eastAsia" w:ascii="新宋体" w:hAnsi="新宋体" w:eastAsia="新宋体" w:cs="新宋体"/>
          <w:color w:val="auto"/>
        </w:rPr>
        <w:t>可结合本项目的评标办法视自身情况自行提交相关证明材料</w:t>
      </w:r>
      <w:r>
        <w:rPr>
          <w:rFonts w:hint="eastAsia" w:ascii="新宋体" w:hAnsi="新宋体" w:eastAsia="新宋体" w:cs="新宋体"/>
          <w:color w:val="auto"/>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color w:val="auto"/>
          <w:szCs w:val="21"/>
        </w:rPr>
      </w:pPr>
      <w:r>
        <w:rPr>
          <w:rFonts w:hint="eastAsia" w:ascii="新宋体" w:hAnsi="新宋体" w:eastAsia="新宋体" w:cs="新宋体"/>
          <w:b/>
          <w:color w:val="auto"/>
          <w:szCs w:val="21"/>
          <w:lang w:val="en-US" w:eastAsia="zh-CN"/>
        </w:rPr>
        <w:t>二、</w:t>
      </w:r>
      <w:r>
        <w:rPr>
          <w:rFonts w:hint="eastAsia" w:ascii="新宋体" w:hAnsi="新宋体" w:eastAsia="新宋体" w:cs="新宋体"/>
          <w:b/>
          <w:color w:val="auto"/>
          <w:szCs w:val="21"/>
        </w:rPr>
        <w:t>报价</w:t>
      </w:r>
      <w:r>
        <w:rPr>
          <w:rFonts w:hint="eastAsia" w:ascii="新宋体" w:hAnsi="新宋体" w:eastAsia="新宋体" w:cs="新宋体"/>
          <w:b/>
          <w:color w:val="auto"/>
          <w:szCs w:val="21"/>
          <w:lang w:eastAsia="zh-CN"/>
        </w:rPr>
        <w:t>部分</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lang w:eastAsia="zh-CN"/>
        </w:rPr>
        <w:t>磋商</w:t>
      </w:r>
      <w:r>
        <w:rPr>
          <w:rFonts w:hint="eastAsia" w:ascii="新宋体" w:hAnsi="新宋体" w:eastAsia="新宋体" w:cs="新宋体"/>
          <w:color w:val="auto"/>
        </w:rPr>
        <w:t>报价明细表；</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rPr>
        <w:t>开标一览表（单独包装、密封递交）；</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新宋体" w:hAnsi="新宋体" w:eastAsia="新宋体" w:cs="新宋体"/>
          <w:color w:val="auto"/>
        </w:rPr>
      </w:pPr>
      <w:r>
        <w:rPr>
          <w:rFonts w:hint="eastAsia" w:ascii="新宋体" w:hAnsi="新宋体" w:eastAsia="新宋体" w:cs="新宋体"/>
          <w:color w:val="auto"/>
          <w:lang w:eastAsia="zh-CN"/>
        </w:rPr>
        <w:t>供应商</w:t>
      </w:r>
      <w:r>
        <w:rPr>
          <w:rFonts w:hint="eastAsia" w:ascii="新宋体" w:hAnsi="新宋体" w:eastAsia="新宋体" w:cs="新宋体"/>
          <w:color w:val="auto"/>
        </w:rPr>
        <w:t>针对报价需要说明的其他文件和说明。</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b/>
          <w:color w:val="auto"/>
          <w:szCs w:val="21"/>
          <w:lang w:eastAsia="zh-CN"/>
        </w:rPr>
      </w:pPr>
      <w:r>
        <w:rPr>
          <w:rFonts w:hint="eastAsia" w:ascii="新宋体" w:hAnsi="新宋体" w:eastAsia="新宋体" w:cs="新宋体"/>
          <w:b/>
          <w:color w:val="auto"/>
          <w:szCs w:val="21"/>
          <w:lang w:val="en-US" w:eastAsia="zh-CN"/>
        </w:rPr>
        <w:t>三、</w:t>
      </w:r>
      <w:r>
        <w:rPr>
          <w:rFonts w:hint="eastAsia" w:ascii="新宋体" w:hAnsi="新宋体" w:eastAsia="新宋体" w:cs="新宋体"/>
          <w:b/>
          <w:color w:val="auto"/>
          <w:szCs w:val="21"/>
        </w:rPr>
        <w:t>技术</w:t>
      </w:r>
      <w:r>
        <w:rPr>
          <w:rFonts w:hint="eastAsia" w:ascii="新宋体" w:hAnsi="新宋体" w:eastAsia="新宋体" w:cs="新宋体"/>
          <w:b/>
          <w:color w:val="auto"/>
          <w:szCs w:val="21"/>
          <w:lang w:eastAsia="zh-CN"/>
        </w:rPr>
        <w:t>部分</w:t>
      </w:r>
    </w:p>
    <w:p>
      <w:pPr>
        <w:pStyle w:val="21"/>
        <w:pageBreakBefore w:val="0"/>
        <w:kinsoku/>
        <w:wordWrap/>
        <w:topLinePunct w:val="0"/>
        <w:autoSpaceDE/>
        <w:autoSpaceDN/>
        <w:bidi w:val="0"/>
        <w:textAlignment w:val="auto"/>
        <w:outlineLvl w:val="9"/>
        <w:rPr>
          <w:rFonts w:hint="eastAsia" w:ascii="宋体" w:hAnsi="宋体" w:eastAsia="宋体"/>
          <w:color w:val="auto"/>
          <w:sz w:val="24"/>
          <w:szCs w:val="24"/>
          <w:highlight w:val="none"/>
        </w:rPr>
      </w:pPr>
    </w:p>
    <w:p>
      <w:pPr>
        <w:pageBreakBefore w:val="0"/>
        <w:kinsoku/>
        <w:wordWrap/>
        <w:topLinePunct w:val="0"/>
        <w:autoSpaceDE/>
        <w:autoSpaceDN/>
        <w:bidi w:val="0"/>
        <w:adjustRightInd w:val="0"/>
        <w:spacing w:line="400" w:lineRule="exact"/>
        <w:textAlignment w:val="auto"/>
        <w:outlineLvl w:val="9"/>
        <w:rPr>
          <w:rFonts w:hint="eastAsia" w:ascii="宋体" w:hAnsi="宋体" w:eastAsia="宋体" w:cs="宋体"/>
          <w:highlight w:val="none"/>
        </w:rPr>
      </w:pPr>
      <w:r>
        <w:rPr>
          <w:rFonts w:hint="eastAsia" w:ascii="宋体" w:hAnsi="宋体" w:eastAsia="宋体" w:cs="宋体"/>
          <w:highlight w:val="none"/>
        </w:rPr>
        <w:br w:type="page"/>
      </w:r>
    </w:p>
    <w:p>
      <w:pPr>
        <w:pStyle w:val="2"/>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一、资格及商务部分</w:t>
      </w:r>
    </w:p>
    <w:p>
      <w:pPr>
        <w:autoSpaceDE w:val="0"/>
        <w:autoSpaceDN w:val="0"/>
        <w:adjustRightInd w:val="0"/>
        <w:spacing w:line="380" w:lineRule="exact"/>
        <w:jc w:val="center"/>
        <w:rPr>
          <w:rFonts w:hint="eastAsia" w:ascii="新宋体" w:hAnsi="新宋体" w:eastAsia="新宋体" w:cs="新宋体"/>
          <w:b/>
          <w:bCs/>
          <w:kern w:val="0"/>
          <w:sz w:val="32"/>
          <w:szCs w:val="32"/>
          <w:u w:val="none"/>
          <w:lang w:val="en-US" w:eastAsia="zh-CN"/>
        </w:rPr>
      </w:pPr>
      <w:r>
        <w:rPr>
          <w:rFonts w:hint="eastAsia" w:ascii="新宋体" w:hAnsi="新宋体" w:eastAsia="新宋体" w:cs="新宋体"/>
          <w:b/>
          <w:bCs/>
          <w:kern w:val="0"/>
          <w:sz w:val="32"/>
          <w:szCs w:val="32"/>
          <w:u w:val="none"/>
          <w:lang w:val="en-US" w:eastAsia="zh-CN"/>
        </w:rPr>
        <w:t>1.磋商函（格式）</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u w:val="single"/>
        </w:rPr>
        <w:t xml:space="preserve">   （</w:t>
      </w:r>
      <w:r>
        <w:rPr>
          <w:rFonts w:hint="eastAsia" w:ascii="新宋体" w:hAnsi="新宋体" w:eastAsia="新宋体" w:cs="新宋体"/>
          <w:b w:val="0"/>
          <w:bCs w:val="0"/>
          <w:kern w:val="0"/>
          <w:sz w:val="21"/>
          <w:szCs w:val="21"/>
          <w:u w:val="single"/>
          <w:lang w:eastAsia="zh-CN"/>
        </w:rPr>
        <w:t>采购人</w:t>
      </w:r>
      <w:r>
        <w:rPr>
          <w:rFonts w:hint="eastAsia" w:ascii="新宋体" w:hAnsi="新宋体" w:eastAsia="新宋体" w:cs="新宋体"/>
          <w:b w:val="0"/>
          <w:bCs w:val="0"/>
          <w:kern w:val="0"/>
          <w:sz w:val="21"/>
          <w:szCs w:val="21"/>
          <w:u w:val="single"/>
        </w:rPr>
        <w:t xml:space="preserve">）         </w:t>
      </w:r>
      <w:r>
        <w:rPr>
          <w:rFonts w:hint="eastAsia" w:ascii="新宋体" w:hAnsi="新宋体" w:eastAsia="新宋体" w:cs="新宋体"/>
          <w:b w:val="0"/>
          <w:bCs w:val="0"/>
          <w:kern w:val="0"/>
          <w:sz w:val="21"/>
          <w:szCs w:val="21"/>
        </w:rPr>
        <w:t>：</w:t>
      </w:r>
    </w:p>
    <w:p>
      <w:pPr>
        <w:keepNext w:val="0"/>
        <w:keepLines w:val="0"/>
        <w:pageBreakBefore w:val="0"/>
        <w:widowControl w:val="0"/>
        <w:kinsoku/>
        <w:wordWrap/>
        <w:overflowPunct/>
        <w:topLinePunct w:val="0"/>
        <w:bidi w:val="0"/>
        <w:snapToGrid/>
        <w:spacing w:line="360" w:lineRule="auto"/>
        <w:ind w:left="0" w:firstLine="420" w:firstLineChars="200"/>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1、根据已收到的</w:t>
      </w:r>
      <w:r>
        <w:rPr>
          <w:rFonts w:hint="eastAsia" w:ascii="新宋体" w:hAnsi="新宋体" w:eastAsia="新宋体" w:cs="新宋体"/>
          <w:b w:val="0"/>
          <w:bCs w:val="0"/>
          <w:kern w:val="0"/>
          <w:sz w:val="21"/>
          <w:szCs w:val="21"/>
          <w:u w:val="single"/>
        </w:rPr>
        <w:t xml:space="preserve">                        </w:t>
      </w:r>
      <w:r>
        <w:rPr>
          <w:rFonts w:hint="eastAsia" w:ascii="新宋体" w:hAnsi="新宋体" w:eastAsia="新宋体" w:cs="新宋体"/>
          <w:b w:val="0"/>
          <w:bCs w:val="0"/>
          <w:kern w:val="0"/>
          <w:sz w:val="21"/>
          <w:szCs w:val="21"/>
        </w:rPr>
        <w:t>项目</w:t>
      </w:r>
      <w:r>
        <w:rPr>
          <w:rFonts w:hint="eastAsia" w:ascii="新宋体" w:hAnsi="新宋体" w:eastAsia="新宋体" w:cs="新宋体"/>
          <w:b w:val="0"/>
          <w:bCs w:val="0"/>
          <w:kern w:val="0"/>
          <w:sz w:val="21"/>
          <w:szCs w:val="21"/>
          <w:u w:val="single"/>
          <w:lang w:val="en-US" w:eastAsia="zh-CN"/>
        </w:rPr>
        <w:t xml:space="preserve">    分标</w:t>
      </w:r>
      <w:r>
        <w:rPr>
          <w:rFonts w:hint="eastAsia" w:ascii="新宋体" w:hAnsi="新宋体" w:eastAsia="新宋体" w:cs="新宋体"/>
          <w:b w:val="0"/>
          <w:bCs w:val="0"/>
          <w:kern w:val="0"/>
          <w:sz w:val="21"/>
          <w:szCs w:val="21"/>
        </w:rPr>
        <w:t>的</w:t>
      </w:r>
      <w:r>
        <w:rPr>
          <w:rFonts w:hint="eastAsia" w:ascii="新宋体" w:hAnsi="新宋体" w:eastAsia="新宋体" w:cs="新宋体"/>
          <w:b w:val="0"/>
          <w:bCs w:val="0"/>
          <w:kern w:val="0"/>
          <w:sz w:val="21"/>
          <w:szCs w:val="21"/>
          <w:lang w:eastAsia="zh-CN"/>
        </w:rPr>
        <w:t>磋商采购文件</w:t>
      </w:r>
      <w:r>
        <w:rPr>
          <w:rFonts w:hint="eastAsia" w:ascii="新宋体" w:hAnsi="新宋体" w:eastAsia="新宋体" w:cs="新宋体"/>
          <w:b w:val="0"/>
          <w:bCs w:val="0"/>
          <w:kern w:val="0"/>
          <w:sz w:val="21"/>
          <w:szCs w:val="21"/>
        </w:rPr>
        <w:t>，遵照《中华人民共和国招标</w:t>
      </w:r>
      <w:r>
        <w:rPr>
          <w:rFonts w:hint="eastAsia" w:ascii="新宋体" w:hAnsi="新宋体" w:eastAsia="新宋体" w:cs="新宋体"/>
          <w:b w:val="0"/>
          <w:bCs w:val="0"/>
          <w:kern w:val="0"/>
          <w:sz w:val="21"/>
          <w:szCs w:val="21"/>
          <w:lang w:eastAsia="zh-CN"/>
        </w:rPr>
        <w:t>磋商</w:t>
      </w:r>
      <w:r>
        <w:rPr>
          <w:rFonts w:hint="eastAsia" w:ascii="新宋体" w:hAnsi="新宋体" w:eastAsia="新宋体" w:cs="新宋体"/>
          <w:b w:val="0"/>
          <w:bCs w:val="0"/>
          <w:kern w:val="0"/>
          <w:sz w:val="21"/>
          <w:szCs w:val="21"/>
        </w:rPr>
        <w:t>法》、《中华人民共和国政府采购法》的规定，我单位经考察现场和研究上述设计项目</w:t>
      </w:r>
      <w:r>
        <w:rPr>
          <w:rFonts w:hint="eastAsia" w:ascii="新宋体" w:hAnsi="新宋体" w:eastAsia="新宋体" w:cs="新宋体"/>
          <w:b w:val="0"/>
          <w:bCs w:val="0"/>
          <w:kern w:val="0"/>
          <w:sz w:val="21"/>
          <w:szCs w:val="21"/>
          <w:lang w:eastAsia="zh-CN"/>
        </w:rPr>
        <w:t>磋商采购文件</w:t>
      </w:r>
      <w:r>
        <w:rPr>
          <w:rFonts w:hint="eastAsia" w:ascii="新宋体" w:hAnsi="新宋体" w:eastAsia="新宋体" w:cs="新宋体"/>
          <w:b w:val="0"/>
          <w:bCs w:val="0"/>
          <w:kern w:val="0"/>
          <w:sz w:val="21"/>
          <w:szCs w:val="21"/>
        </w:rPr>
        <w:t>的</w:t>
      </w:r>
      <w:r>
        <w:rPr>
          <w:rFonts w:hint="eastAsia" w:ascii="新宋体" w:hAnsi="新宋体" w:eastAsia="新宋体" w:cs="新宋体"/>
          <w:b w:val="0"/>
          <w:bCs w:val="0"/>
          <w:kern w:val="0"/>
          <w:sz w:val="21"/>
          <w:szCs w:val="21"/>
          <w:lang w:eastAsia="zh-CN"/>
        </w:rPr>
        <w:t>磋商</w:t>
      </w:r>
      <w:r>
        <w:rPr>
          <w:rFonts w:hint="eastAsia" w:ascii="新宋体" w:hAnsi="新宋体" w:eastAsia="新宋体" w:cs="新宋体"/>
          <w:b w:val="0"/>
          <w:bCs w:val="0"/>
          <w:kern w:val="0"/>
          <w:sz w:val="21"/>
          <w:szCs w:val="21"/>
        </w:rPr>
        <w:t>须知、合同条件、技术规范、图纸和其他有关文件后，我方愿按固定总价包干报价，服务费合计为人民币</w:t>
      </w:r>
      <w:r>
        <w:rPr>
          <w:rFonts w:hint="eastAsia" w:ascii="新宋体" w:hAnsi="新宋体" w:eastAsia="新宋体" w:cs="新宋体"/>
          <w:b w:val="0"/>
          <w:bCs w:val="0"/>
          <w:sz w:val="21"/>
          <w:szCs w:val="21"/>
          <w:u w:val="single"/>
        </w:rPr>
        <w:t>（大写）</w:t>
      </w:r>
      <w:r>
        <w:rPr>
          <w:rFonts w:hint="eastAsia" w:ascii="新宋体" w:hAnsi="新宋体" w:eastAsia="新宋体" w:cs="新宋体"/>
          <w:b w:val="0"/>
          <w:bCs w:val="0"/>
          <w:sz w:val="21"/>
          <w:szCs w:val="21"/>
          <w:u w:val="single"/>
          <w:lang w:val="en-US" w:eastAsia="zh-CN"/>
        </w:rPr>
        <w:t xml:space="preserve">             </w:t>
      </w:r>
      <w:r>
        <w:rPr>
          <w:rFonts w:hint="eastAsia" w:ascii="新宋体" w:hAnsi="新宋体" w:eastAsia="新宋体" w:cs="新宋体"/>
          <w:b w:val="0"/>
          <w:bCs w:val="0"/>
          <w:sz w:val="21"/>
          <w:szCs w:val="21"/>
          <w:u w:val="single"/>
        </w:rPr>
        <w:t>（小写¥</w:t>
      </w:r>
      <w:r>
        <w:rPr>
          <w:rFonts w:hint="eastAsia" w:ascii="新宋体" w:hAnsi="新宋体" w:eastAsia="新宋体" w:cs="新宋体"/>
          <w:b w:val="0"/>
          <w:bCs w:val="0"/>
          <w:sz w:val="21"/>
          <w:szCs w:val="21"/>
          <w:u w:val="single"/>
          <w:lang w:val="en-US" w:eastAsia="zh-CN"/>
        </w:rPr>
        <w:t xml:space="preserve">                  ）</w:t>
      </w:r>
      <w:r>
        <w:rPr>
          <w:rFonts w:hint="eastAsia" w:ascii="新宋体" w:hAnsi="新宋体" w:eastAsia="新宋体" w:cs="新宋体"/>
          <w:b w:val="0"/>
          <w:bCs w:val="0"/>
          <w:sz w:val="21"/>
          <w:szCs w:val="21"/>
        </w:rPr>
        <w:t>；</w:t>
      </w:r>
      <w:r>
        <w:rPr>
          <w:rFonts w:hint="eastAsia" w:ascii="新宋体" w:hAnsi="新宋体" w:eastAsia="新宋体" w:cs="新宋体"/>
          <w:b w:val="0"/>
          <w:bCs w:val="0"/>
          <w:sz w:val="21"/>
          <w:szCs w:val="21"/>
          <w:lang w:val="en-US" w:eastAsia="zh-CN"/>
        </w:rPr>
        <w:t>服务期限</w:t>
      </w:r>
      <w:r>
        <w:rPr>
          <w:rFonts w:hint="eastAsia" w:ascii="新宋体" w:hAnsi="新宋体" w:eastAsia="新宋体" w:cs="新宋体"/>
          <w:b w:val="0"/>
          <w:bCs w:val="0"/>
          <w:sz w:val="21"/>
          <w:szCs w:val="21"/>
        </w:rPr>
        <w:t>：</w:t>
      </w:r>
      <w:r>
        <w:rPr>
          <w:rFonts w:hint="eastAsia" w:ascii="新宋体" w:hAnsi="新宋体" w:eastAsia="新宋体" w:cs="新宋体"/>
          <w:b w:val="0"/>
          <w:bCs w:val="0"/>
          <w:sz w:val="21"/>
          <w:szCs w:val="21"/>
          <w:u w:val="single"/>
          <w:lang w:val="en-US" w:eastAsia="zh-CN"/>
        </w:rPr>
        <w:t xml:space="preserve">             </w:t>
      </w:r>
      <w:r>
        <w:rPr>
          <w:rFonts w:hint="eastAsia" w:ascii="新宋体" w:hAnsi="新宋体" w:eastAsia="新宋体" w:cs="新宋体"/>
          <w:b w:val="0"/>
          <w:bCs w:val="0"/>
          <w:sz w:val="21"/>
          <w:szCs w:val="21"/>
          <w:lang w:val="en-US" w:eastAsia="zh-CN"/>
        </w:rPr>
        <w:t xml:space="preserve"> </w:t>
      </w:r>
      <w:r>
        <w:rPr>
          <w:rFonts w:hint="eastAsia" w:ascii="新宋体" w:hAnsi="新宋体" w:eastAsia="新宋体" w:cs="新宋体"/>
          <w:b w:val="0"/>
          <w:bCs w:val="0"/>
          <w:kern w:val="0"/>
          <w:sz w:val="21"/>
          <w:szCs w:val="21"/>
        </w:rPr>
        <w:t>。如我单位</w:t>
      </w:r>
      <w:r>
        <w:rPr>
          <w:rFonts w:hint="eastAsia" w:ascii="新宋体" w:hAnsi="新宋体" w:eastAsia="新宋体" w:cs="新宋体"/>
          <w:b w:val="0"/>
          <w:bCs w:val="0"/>
          <w:kern w:val="0"/>
          <w:sz w:val="21"/>
          <w:szCs w:val="21"/>
          <w:lang w:eastAsia="zh-CN"/>
        </w:rPr>
        <w:t>成交</w:t>
      </w:r>
      <w:r>
        <w:rPr>
          <w:rFonts w:hint="eastAsia" w:ascii="新宋体" w:hAnsi="新宋体" w:eastAsia="新宋体" w:cs="新宋体"/>
          <w:b w:val="0"/>
          <w:bCs w:val="0"/>
          <w:kern w:val="0"/>
          <w:sz w:val="21"/>
          <w:szCs w:val="21"/>
        </w:rPr>
        <w:t>，该</w:t>
      </w:r>
      <w:r>
        <w:rPr>
          <w:rFonts w:hint="eastAsia" w:ascii="新宋体" w:hAnsi="新宋体" w:eastAsia="新宋体" w:cs="新宋体"/>
          <w:b w:val="0"/>
          <w:bCs w:val="0"/>
          <w:kern w:val="0"/>
          <w:sz w:val="21"/>
          <w:szCs w:val="21"/>
          <w:lang w:eastAsia="zh-CN"/>
        </w:rPr>
        <w:t>磋商报价</w:t>
      </w:r>
      <w:r>
        <w:rPr>
          <w:rFonts w:hint="eastAsia" w:ascii="新宋体" w:hAnsi="新宋体" w:eastAsia="新宋体" w:cs="新宋体"/>
          <w:b w:val="0"/>
          <w:bCs w:val="0"/>
          <w:kern w:val="0"/>
          <w:sz w:val="21"/>
          <w:szCs w:val="21"/>
        </w:rPr>
        <w:t>作为</w:t>
      </w:r>
      <w:r>
        <w:rPr>
          <w:rFonts w:hint="eastAsia" w:ascii="新宋体" w:hAnsi="新宋体" w:eastAsia="新宋体" w:cs="新宋体"/>
          <w:b w:val="0"/>
          <w:bCs w:val="0"/>
          <w:kern w:val="0"/>
          <w:sz w:val="21"/>
          <w:szCs w:val="21"/>
          <w:lang w:eastAsia="zh-CN"/>
        </w:rPr>
        <w:t>成交</w:t>
      </w:r>
      <w:r>
        <w:rPr>
          <w:rFonts w:hint="eastAsia" w:ascii="新宋体" w:hAnsi="新宋体" w:eastAsia="新宋体" w:cs="新宋体"/>
          <w:b w:val="0"/>
          <w:bCs w:val="0"/>
          <w:kern w:val="0"/>
          <w:sz w:val="21"/>
          <w:szCs w:val="21"/>
        </w:rPr>
        <w:t>价计算服务费，并以此签订服务合同，该服务费已包含（本项目招标范围内设计工作的所有内容以及后续相关服务）。质量</w:t>
      </w:r>
      <w:r>
        <w:rPr>
          <w:rFonts w:hint="eastAsia" w:ascii="新宋体" w:hAnsi="新宋体" w:eastAsia="新宋体" w:cs="新宋体"/>
          <w:b w:val="0"/>
          <w:bCs w:val="0"/>
          <w:sz w:val="21"/>
          <w:szCs w:val="21"/>
        </w:rPr>
        <w:t>符合国家规定的标准、政策和现行技术规范、规程要求，通过地方组织的专家审查。</w:t>
      </w:r>
    </w:p>
    <w:p>
      <w:pPr>
        <w:pStyle w:val="12"/>
        <w:keepNext w:val="0"/>
        <w:keepLines w:val="0"/>
        <w:pageBreakBefore w:val="0"/>
        <w:widowControl w:val="0"/>
        <w:kinsoku/>
        <w:wordWrap/>
        <w:overflowPunct/>
        <w:topLinePunct w:val="0"/>
        <w:bidi w:val="0"/>
        <w:snapToGrid/>
        <w:spacing w:line="360" w:lineRule="auto"/>
        <w:ind w:left="0" w:firstLine="420" w:firstLineChars="200"/>
        <w:textAlignment w:val="auto"/>
        <w:outlineLvl w:val="9"/>
        <w:rPr>
          <w:rFonts w:hint="eastAsia" w:ascii="新宋体" w:hAnsi="新宋体" w:eastAsia="新宋体" w:cs="新宋体"/>
          <w:b w:val="0"/>
          <w:bCs w:val="0"/>
          <w:sz w:val="21"/>
          <w:szCs w:val="21"/>
          <w:u w:val="single"/>
        </w:rPr>
      </w:pPr>
      <w:r>
        <w:rPr>
          <w:rFonts w:hint="eastAsia" w:ascii="新宋体" w:hAnsi="新宋体" w:eastAsia="新宋体" w:cs="新宋体"/>
          <w:b w:val="0"/>
          <w:bCs w:val="0"/>
          <w:kern w:val="0"/>
          <w:sz w:val="21"/>
          <w:szCs w:val="21"/>
        </w:rPr>
        <w:t>2、</w:t>
      </w:r>
      <w:r>
        <w:rPr>
          <w:rFonts w:hint="eastAsia" w:ascii="新宋体" w:hAnsi="新宋体" w:eastAsia="新宋体" w:cs="新宋体"/>
          <w:b w:val="0"/>
          <w:bCs w:val="0"/>
          <w:sz w:val="21"/>
          <w:szCs w:val="21"/>
        </w:rPr>
        <w:t>我方承诺未被列入失信被执行人、重大税收违法案件当事人名单、政府采购严重违法失信行为记录名单，并已经具备《中华人民共和国政府采购法》中规定的参加政府采购活动的供应商应当具备的条件：</w:t>
      </w:r>
    </w:p>
    <w:p>
      <w:pPr>
        <w:pStyle w:val="12"/>
        <w:keepNext w:val="0"/>
        <w:keepLines w:val="0"/>
        <w:pageBreakBefore w:val="0"/>
        <w:widowControl w:val="0"/>
        <w:numPr>
          <w:ilvl w:val="0"/>
          <w:numId w:val="18"/>
        </w:numPr>
        <w:kinsoku/>
        <w:wordWrap/>
        <w:overflowPunct/>
        <w:topLinePunct w:val="0"/>
        <w:bidi w:val="0"/>
        <w:snapToGrid/>
        <w:spacing w:line="360" w:lineRule="auto"/>
        <w:ind w:left="0" w:firstLine="420" w:firstLineChars="200"/>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具有独立承担民事责任的能力；</w:t>
      </w:r>
    </w:p>
    <w:p>
      <w:pPr>
        <w:pStyle w:val="12"/>
        <w:keepNext w:val="0"/>
        <w:keepLines w:val="0"/>
        <w:pageBreakBefore w:val="0"/>
        <w:widowControl w:val="0"/>
        <w:numPr>
          <w:ilvl w:val="0"/>
          <w:numId w:val="18"/>
        </w:numPr>
        <w:kinsoku/>
        <w:wordWrap/>
        <w:overflowPunct/>
        <w:topLinePunct w:val="0"/>
        <w:bidi w:val="0"/>
        <w:snapToGrid/>
        <w:spacing w:line="360" w:lineRule="auto"/>
        <w:ind w:left="0" w:firstLine="420" w:firstLineChars="200"/>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具有良好的商业信誉和健全的财务会计制度；</w:t>
      </w:r>
    </w:p>
    <w:p>
      <w:pPr>
        <w:pStyle w:val="12"/>
        <w:keepNext w:val="0"/>
        <w:keepLines w:val="0"/>
        <w:pageBreakBefore w:val="0"/>
        <w:widowControl w:val="0"/>
        <w:numPr>
          <w:ilvl w:val="0"/>
          <w:numId w:val="18"/>
        </w:numPr>
        <w:kinsoku/>
        <w:wordWrap/>
        <w:overflowPunct/>
        <w:topLinePunct w:val="0"/>
        <w:bidi w:val="0"/>
        <w:snapToGrid/>
        <w:spacing w:line="360" w:lineRule="auto"/>
        <w:ind w:left="0" w:firstLine="420" w:firstLineChars="200"/>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具有履行合同所必需的设备和专业技术能力；</w:t>
      </w:r>
    </w:p>
    <w:p>
      <w:pPr>
        <w:pStyle w:val="12"/>
        <w:keepNext w:val="0"/>
        <w:keepLines w:val="0"/>
        <w:pageBreakBefore w:val="0"/>
        <w:widowControl w:val="0"/>
        <w:numPr>
          <w:ilvl w:val="0"/>
          <w:numId w:val="18"/>
        </w:numPr>
        <w:kinsoku/>
        <w:wordWrap/>
        <w:overflowPunct/>
        <w:topLinePunct w:val="0"/>
        <w:bidi w:val="0"/>
        <w:snapToGrid/>
        <w:spacing w:line="360" w:lineRule="auto"/>
        <w:ind w:left="0" w:firstLine="420" w:firstLineChars="200"/>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有依法缴纳税收和社会保障资金的良好记录；</w:t>
      </w:r>
    </w:p>
    <w:p>
      <w:pPr>
        <w:pStyle w:val="12"/>
        <w:keepNext w:val="0"/>
        <w:keepLines w:val="0"/>
        <w:pageBreakBefore w:val="0"/>
        <w:widowControl w:val="0"/>
        <w:numPr>
          <w:ilvl w:val="0"/>
          <w:numId w:val="18"/>
        </w:numPr>
        <w:kinsoku/>
        <w:wordWrap/>
        <w:overflowPunct/>
        <w:topLinePunct w:val="0"/>
        <w:bidi w:val="0"/>
        <w:snapToGrid/>
        <w:spacing w:line="360" w:lineRule="auto"/>
        <w:ind w:left="0" w:firstLine="420" w:firstLineChars="200"/>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参加政府采购活动前三年内，在经营活动中没有重大违法记录；</w:t>
      </w:r>
    </w:p>
    <w:p>
      <w:pPr>
        <w:pStyle w:val="12"/>
        <w:keepNext w:val="0"/>
        <w:keepLines w:val="0"/>
        <w:pageBreakBefore w:val="0"/>
        <w:widowControl w:val="0"/>
        <w:numPr>
          <w:ilvl w:val="0"/>
          <w:numId w:val="18"/>
        </w:numPr>
        <w:kinsoku/>
        <w:wordWrap/>
        <w:overflowPunct/>
        <w:topLinePunct w:val="0"/>
        <w:bidi w:val="0"/>
        <w:snapToGrid/>
        <w:spacing w:line="360" w:lineRule="auto"/>
        <w:ind w:left="0" w:firstLine="420" w:firstLineChars="200"/>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法律、行政法规规定的其他条件。</w:t>
      </w:r>
    </w:p>
    <w:p>
      <w:pPr>
        <w:pStyle w:val="12"/>
        <w:keepNext w:val="0"/>
        <w:keepLines w:val="0"/>
        <w:pageBreakBefore w:val="0"/>
        <w:widowControl w:val="0"/>
        <w:kinsoku/>
        <w:wordWrap/>
        <w:overflowPunct/>
        <w:topLinePunct w:val="0"/>
        <w:bidi w:val="0"/>
        <w:snapToGrid/>
        <w:spacing w:line="360" w:lineRule="auto"/>
        <w:ind w:left="0" w:firstLine="420" w:firstLineChars="200"/>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3、我方同意在</w:t>
      </w:r>
      <w:r>
        <w:rPr>
          <w:rFonts w:hint="eastAsia" w:ascii="新宋体" w:hAnsi="新宋体" w:eastAsia="新宋体" w:cs="新宋体"/>
          <w:b w:val="0"/>
          <w:bCs w:val="0"/>
          <w:sz w:val="21"/>
          <w:szCs w:val="21"/>
          <w:lang w:eastAsia="zh-CN"/>
        </w:rPr>
        <w:t>供应商</w:t>
      </w:r>
      <w:r>
        <w:rPr>
          <w:rFonts w:hint="eastAsia" w:ascii="新宋体" w:hAnsi="新宋体" w:eastAsia="新宋体" w:cs="新宋体"/>
          <w:b w:val="0"/>
          <w:bCs w:val="0"/>
          <w:sz w:val="21"/>
          <w:szCs w:val="21"/>
        </w:rPr>
        <w:t>须知规定的截标日期起遵循本</w:t>
      </w:r>
      <w:r>
        <w:rPr>
          <w:rFonts w:hint="eastAsia" w:ascii="新宋体" w:hAnsi="新宋体" w:eastAsia="新宋体" w:cs="新宋体"/>
          <w:b w:val="0"/>
          <w:bCs w:val="0"/>
          <w:sz w:val="21"/>
          <w:szCs w:val="21"/>
          <w:lang w:eastAsia="zh-CN"/>
        </w:rPr>
        <w:t>响应文件</w:t>
      </w:r>
      <w:r>
        <w:rPr>
          <w:rFonts w:hint="eastAsia" w:ascii="新宋体" w:hAnsi="新宋体" w:eastAsia="新宋体" w:cs="新宋体"/>
          <w:b w:val="0"/>
          <w:bCs w:val="0"/>
          <w:sz w:val="21"/>
          <w:szCs w:val="21"/>
        </w:rPr>
        <w:t>，并在</w:t>
      </w:r>
      <w:r>
        <w:rPr>
          <w:rFonts w:hint="eastAsia" w:ascii="新宋体" w:hAnsi="新宋体" w:eastAsia="新宋体" w:cs="新宋体"/>
          <w:b w:val="0"/>
          <w:bCs w:val="0"/>
          <w:sz w:val="21"/>
          <w:szCs w:val="21"/>
          <w:lang w:eastAsia="zh-CN"/>
        </w:rPr>
        <w:t>供应商</w:t>
      </w:r>
      <w:r>
        <w:rPr>
          <w:rFonts w:hint="eastAsia" w:ascii="新宋体" w:hAnsi="新宋体" w:eastAsia="新宋体" w:cs="新宋体"/>
          <w:b w:val="0"/>
          <w:bCs w:val="0"/>
          <w:sz w:val="21"/>
          <w:szCs w:val="21"/>
        </w:rPr>
        <w:t>须知第</w:t>
      </w:r>
      <w:r>
        <w:rPr>
          <w:rFonts w:hint="eastAsia" w:ascii="新宋体" w:hAnsi="新宋体" w:eastAsia="新宋体" w:cs="新宋体"/>
          <w:b w:val="0"/>
          <w:bCs w:val="0"/>
          <w:sz w:val="21"/>
          <w:szCs w:val="21"/>
          <w:lang w:val="en-US" w:eastAsia="zh-CN"/>
        </w:rPr>
        <w:t>13</w:t>
      </w:r>
      <w:r>
        <w:rPr>
          <w:rFonts w:hint="eastAsia" w:ascii="新宋体" w:hAnsi="新宋体" w:eastAsia="新宋体" w:cs="新宋体"/>
          <w:b w:val="0"/>
          <w:bCs w:val="0"/>
          <w:sz w:val="21"/>
          <w:szCs w:val="21"/>
        </w:rPr>
        <w:t>条规定的有效期满之前均具有约束力，并可随时被接受</w:t>
      </w:r>
      <w:r>
        <w:rPr>
          <w:rFonts w:hint="eastAsia" w:ascii="新宋体" w:hAnsi="新宋体" w:eastAsia="新宋体" w:cs="新宋体"/>
          <w:b w:val="0"/>
          <w:bCs w:val="0"/>
          <w:sz w:val="21"/>
          <w:szCs w:val="21"/>
          <w:lang w:eastAsia="zh-CN"/>
        </w:rPr>
        <w:t>成交</w:t>
      </w:r>
      <w:r>
        <w:rPr>
          <w:rFonts w:hint="eastAsia" w:ascii="新宋体" w:hAnsi="新宋体" w:eastAsia="新宋体" w:cs="新宋体"/>
          <w:b w:val="0"/>
          <w:bCs w:val="0"/>
          <w:sz w:val="21"/>
          <w:szCs w:val="21"/>
        </w:rPr>
        <w:t>。</w:t>
      </w:r>
    </w:p>
    <w:p>
      <w:pPr>
        <w:pStyle w:val="12"/>
        <w:keepNext w:val="0"/>
        <w:keepLines w:val="0"/>
        <w:pageBreakBefore w:val="0"/>
        <w:widowControl w:val="0"/>
        <w:kinsoku/>
        <w:wordWrap/>
        <w:overflowPunct/>
        <w:topLinePunct w:val="0"/>
        <w:bidi w:val="0"/>
        <w:snapToGrid/>
        <w:spacing w:line="360" w:lineRule="auto"/>
        <w:ind w:left="0" w:firstLine="420" w:firstLineChars="200"/>
        <w:textAlignment w:val="auto"/>
        <w:outlineLvl w:val="9"/>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4、同意向贵方提供贵方可能要求的与本</w:t>
      </w:r>
      <w:r>
        <w:rPr>
          <w:rFonts w:hint="eastAsia" w:ascii="新宋体" w:hAnsi="新宋体" w:eastAsia="新宋体" w:cs="新宋体"/>
          <w:b w:val="0"/>
          <w:bCs w:val="0"/>
          <w:sz w:val="21"/>
          <w:szCs w:val="21"/>
          <w:lang w:eastAsia="zh-CN"/>
        </w:rPr>
        <w:t>磋商</w:t>
      </w:r>
      <w:r>
        <w:rPr>
          <w:rFonts w:hint="eastAsia" w:ascii="新宋体" w:hAnsi="新宋体" w:eastAsia="新宋体" w:cs="新宋体"/>
          <w:b w:val="0"/>
          <w:bCs w:val="0"/>
          <w:sz w:val="21"/>
          <w:szCs w:val="21"/>
        </w:rPr>
        <w:t>有关的数据或资料。</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5、我们完全理解贵方不一定要接受最低报价的</w:t>
      </w:r>
      <w:r>
        <w:rPr>
          <w:rFonts w:hint="eastAsia" w:ascii="新宋体" w:hAnsi="新宋体" w:eastAsia="新宋体" w:cs="新宋体"/>
          <w:b w:val="0"/>
          <w:bCs w:val="0"/>
          <w:kern w:val="0"/>
          <w:sz w:val="21"/>
          <w:szCs w:val="21"/>
          <w:lang w:eastAsia="zh-CN"/>
        </w:rPr>
        <w:t>供应商</w:t>
      </w:r>
      <w:r>
        <w:rPr>
          <w:rFonts w:hint="eastAsia" w:ascii="新宋体" w:hAnsi="新宋体" w:eastAsia="新宋体" w:cs="新宋体"/>
          <w:b w:val="0"/>
          <w:bCs w:val="0"/>
          <w:kern w:val="0"/>
          <w:sz w:val="21"/>
          <w:szCs w:val="21"/>
        </w:rPr>
        <w:t>为</w:t>
      </w:r>
      <w:r>
        <w:rPr>
          <w:rFonts w:hint="eastAsia" w:ascii="新宋体" w:hAnsi="新宋体" w:eastAsia="新宋体" w:cs="新宋体"/>
          <w:b w:val="0"/>
          <w:bCs w:val="0"/>
          <w:kern w:val="0"/>
          <w:sz w:val="21"/>
          <w:szCs w:val="21"/>
          <w:lang w:eastAsia="zh-CN"/>
        </w:rPr>
        <w:t>成交</w:t>
      </w:r>
      <w:r>
        <w:rPr>
          <w:rFonts w:hint="eastAsia" w:ascii="新宋体" w:hAnsi="新宋体" w:eastAsia="新宋体" w:cs="新宋体"/>
          <w:b w:val="0"/>
          <w:bCs w:val="0"/>
          <w:kern w:val="0"/>
          <w:sz w:val="21"/>
          <w:szCs w:val="21"/>
        </w:rPr>
        <w:t>人。</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6、除非另外达成协议并生效，你方的</w:t>
      </w:r>
      <w:r>
        <w:rPr>
          <w:rFonts w:hint="eastAsia" w:ascii="新宋体" w:hAnsi="新宋体" w:eastAsia="新宋体" w:cs="新宋体"/>
          <w:b w:val="0"/>
          <w:bCs w:val="0"/>
          <w:kern w:val="0"/>
          <w:sz w:val="21"/>
          <w:szCs w:val="21"/>
          <w:lang w:eastAsia="zh-CN"/>
        </w:rPr>
        <w:t>成交</w:t>
      </w:r>
      <w:r>
        <w:rPr>
          <w:rFonts w:hint="eastAsia" w:ascii="新宋体" w:hAnsi="新宋体" w:eastAsia="新宋体" w:cs="新宋体"/>
          <w:b w:val="0"/>
          <w:bCs w:val="0"/>
          <w:kern w:val="0"/>
          <w:sz w:val="21"/>
          <w:szCs w:val="21"/>
        </w:rPr>
        <w:t>通知书和本</w:t>
      </w:r>
      <w:r>
        <w:rPr>
          <w:rFonts w:hint="eastAsia" w:ascii="新宋体" w:hAnsi="新宋体" w:eastAsia="新宋体" w:cs="新宋体"/>
          <w:b w:val="0"/>
          <w:bCs w:val="0"/>
          <w:kern w:val="0"/>
          <w:sz w:val="21"/>
          <w:szCs w:val="21"/>
          <w:lang w:eastAsia="zh-CN"/>
        </w:rPr>
        <w:t>响应文件</w:t>
      </w:r>
      <w:r>
        <w:rPr>
          <w:rFonts w:hint="eastAsia" w:ascii="新宋体" w:hAnsi="新宋体" w:eastAsia="新宋体" w:cs="新宋体"/>
          <w:b w:val="0"/>
          <w:bCs w:val="0"/>
          <w:kern w:val="0"/>
          <w:sz w:val="21"/>
          <w:szCs w:val="21"/>
        </w:rPr>
        <w:t>将构成约束我们双方的合同。</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7、我方将与本函 一起，提交人民币</w:t>
      </w:r>
      <w:r>
        <w:rPr>
          <w:rFonts w:hint="eastAsia" w:ascii="新宋体" w:hAnsi="新宋体" w:eastAsia="新宋体" w:cs="新宋体"/>
          <w:b w:val="0"/>
          <w:bCs w:val="0"/>
          <w:kern w:val="0"/>
          <w:sz w:val="21"/>
          <w:szCs w:val="21"/>
          <w:lang w:val="en-US" w:eastAsia="zh-CN"/>
        </w:rPr>
        <w:t xml:space="preserve">  </w:t>
      </w:r>
      <w:r>
        <w:rPr>
          <w:rFonts w:hint="eastAsia" w:ascii="新宋体" w:hAnsi="新宋体" w:eastAsia="新宋体" w:cs="新宋体"/>
          <w:b w:val="0"/>
          <w:bCs w:val="0"/>
          <w:kern w:val="0"/>
          <w:sz w:val="21"/>
          <w:szCs w:val="21"/>
          <w:u w:val="single"/>
        </w:rPr>
        <w:t>元</w:t>
      </w:r>
      <w:r>
        <w:rPr>
          <w:rFonts w:hint="eastAsia" w:ascii="新宋体" w:hAnsi="新宋体" w:eastAsia="新宋体" w:cs="新宋体"/>
          <w:b w:val="0"/>
          <w:bCs w:val="0"/>
          <w:kern w:val="0"/>
          <w:sz w:val="21"/>
          <w:szCs w:val="21"/>
        </w:rPr>
        <w:t>作为</w:t>
      </w:r>
      <w:r>
        <w:rPr>
          <w:rFonts w:hint="eastAsia" w:ascii="新宋体" w:hAnsi="新宋体" w:eastAsia="新宋体" w:cs="新宋体"/>
          <w:b w:val="0"/>
          <w:bCs w:val="0"/>
          <w:kern w:val="0"/>
          <w:sz w:val="21"/>
          <w:szCs w:val="21"/>
          <w:lang w:eastAsia="zh-CN"/>
        </w:rPr>
        <w:t>磋商保证金</w:t>
      </w:r>
      <w:r>
        <w:rPr>
          <w:rFonts w:hint="eastAsia" w:ascii="新宋体" w:hAnsi="新宋体" w:eastAsia="新宋体" w:cs="新宋体"/>
          <w:b w:val="0"/>
          <w:bCs w:val="0"/>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8、</w:t>
      </w:r>
      <w:r>
        <w:rPr>
          <w:rFonts w:hint="eastAsia" w:ascii="新宋体" w:hAnsi="新宋体" w:eastAsia="新宋体" w:cs="新宋体"/>
          <w:b w:val="0"/>
          <w:bCs w:val="0"/>
          <w:sz w:val="21"/>
          <w:szCs w:val="21"/>
        </w:rPr>
        <w:t>如我方</w:t>
      </w:r>
      <w:r>
        <w:rPr>
          <w:rFonts w:hint="eastAsia" w:ascii="新宋体" w:hAnsi="新宋体" w:eastAsia="新宋体" w:cs="新宋体"/>
          <w:b w:val="0"/>
          <w:bCs w:val="0"/>
          <w:sz w:val="21"/>
          <w:szCs w:val="21"/>
          <w:lang w:eastAsia="zh-CN"/>
        </w:rPr>
        <w:t>成交</w:t>
      </w:r>
      <w:r>
        <w:rPr>
          <w:rFonts w:hint="eastAsia" w:ascii="新宋体" w:hAnsi="新宋体" w:eastAsia="新宋体" w:cs="新宋体"/>
          <w:b w:val="0"/>
          <w:bCs w:val="0"/>
          <w:sz w:val="21"/>
          <w:szCs w:val="21"/>
        </w:rPr>
        <w:t>，我方承诺在收到</w:t>
      </w:r>
      <w:r>
        <w:rPr>
          <w:rFonts w:hint="eastAsia" w:ascii="新宋体" w:hAnsi="新宋体" w:eastAsia="新宋体" w:cs="新宋体"/>
          <w:b w:val="0"/>
          <w:bCs w:val="0"/>
          <w:sz w:val="21"/>
          <w:szCs w:val="21"/>
          <w:lang w:eastAsia="zh-CN"/>
        </w:rPr>
        <w:t>成交</w:t>
      </w:r>
      <w:r>
        <w:rPr>
          <w:rFonts w:hint="eastAsia" w:ascii="新宋体" w:hAnsi="新宋体" w:eastAsia="新宋体" w:cs="新宋体"/>
          <w:b w:val="0"/>
          <w:bCs w:val="0"/>
          <w:sz w:val="21"/>
          <w:szCs w:val="21"/>
        </w:rPr>
        <w:t>通知书后，在</w:t>
      </w:r>
      <w:r>
        <w:rPr>
          <w:rFonts w:hint="eastAsia" w:ascii="新宋体" w:hAnsi="新宋体" w:eastAsia="新宋体" w:cs="新宋体"/>
          <w:b w:val="0"/>
          <w:bCs w:val="0"/>
          <w:sz w:val="21"/>
          <w:szCs w:val="21"/>
          <w:lang w:eastAsia="zh-CN"/>
        </w:rPr>
        <w:t>成交</w:t>
      </w:r>
      <w:r>
        <w:rPr>
          <w:rFonts w:hint="eastAsia" w:ascii="新宋体" w:hAnsi="新宋体" w:eastAsia="新宋体" w:cs="新宋体"/>
          <w:b w:val="0"/>
          <w:bCs w:val="0"/>
          <w:sz w:val="21"/>
          <w:szCs w:val="21"/>
        </w:rPr>
        <w:t>通知书规定的期限内，根据</w:t>
      </w:r>
      <w:r>
        <w:rPr>
          <w:rFonts w:hint="eastAsia" w:ascii="新宋体" w:hAnsi="新宋体" w:eastAsia="新宋体" w:cs="新宋体"/>
          <w:b w:val="0"/>
          <w:bCs w:val="0"/>
          <w:sz w:val="21"/>
          <w:szCs w:val="21"/>
          <w:lang w:eastAsia="zh-CN"/>
        </w:rPr>
        <w:t>磋商采购文件</w:t>
      </w:r>
      <w:r>
        <w:rPr>
          <w:rFonts w:hint="eastAsia" w:ascii="新宋体" w:hAnsi="新宋体" w:eastAsia="新宋体" w:cs="新宋体"/>
          <w:b w:val="0"/>
          <w:bCs w:val="0"/>
          <w:sz w:val="21"/>
          <w:szCs w:val="21"/>
        </w:rPr>
        <w:t>、我方的</w:t>
      </w:r>
      <w:r>
        <w:rPr>
          <w:rFonts w:hint="eastAsia" w:ascii="新宋体" w:hAnsi="新宋体" w:eastAsia="新宋体" w:cs="新宋体"/>
          <w:b w:val="0"/>
          <w:bCs w:val="0"/>
          <w:sz w:val="21"/>
          <w:szCs w:val="21"/>
          <w:lang w:eastAsia="zh-CN"/>
        </w:rPr>
        <w:t>响应文件</w:t>
      </w:r>
      <w:r>
        <w:rPr>
          <w:rFonts w:hint="eastAsia" w:ascii="新宋体" w:hAnsi="新宋体" w:eastAsia="新宋体" w:cs="新宋体"/>
          <w:b w:val="0"/>
          <w:bCs w:val="0"/>
          <w:sz w:val="21"/>
          <w:szCs w:val="21"/>
        </w:rPr>
        <w:t>及有关澄清承诺书等要求按“合同条款及格式”与采购人订立书面合同，并按照合同约定承担完成合同的责任和义务</w:t>
      </w:r>
      <w:r>
        <w:rPr>
          <w:rFonts w:hint="eastAsia" w:ascii="新宋体" w:hAnsi="新宋体" w:eastAsia="新宋体" w:cs="新宋体"/>
          <w:b w:val="0"/>
          <w:bCs w:val="0"/>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textAlignment w:val="auto"/>
        <w:outlineLvl w:val="9"/>
        <w:rPr>
          <w:rFonts w:hint="eastAsia" w:ascii="新宋体" w:hAnsi="新宋体" w:eastAsia="新宋体" w:cs="新宋体"/>
          <w:b w:val="0"/>
          <w:bCs w:val="0"/>
          <w:kern w:val="0"/>
          <w:sz w:val="21"/>
          <w:szCs w:val="21"/>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lang w:eastAsia="zh-CN"/>
        </w:rPr>
        <w:t>供应商</w:t>
      </w:r>
      <w:r>
        <w:rPr>
          <w:rFonts w:hint="eastAsia" w:ascii="新宋体" w:hAnsi="新宋体" w:eastAsia="新宋体" w:cs="新宋体"/>
          <w:b w:val="0"/>
          <w:bCs w:val="0"/>
          <w:kern w:val="0"/>
          <w:sz w:val="21"/>
          <w:szCs w:val="21"/>
        </w:rPr>
        <w:t>：</w:t>
      </w:r>
      <w:r>
        <w:rPr>
          <w:rFonts w:hint="eastAsia" w:ascii="新宋体" w:hAnsi="新宋体" w:eastAsia="新宋体" w:cs="新宋体"/>
          <w:b w:val="0"/>
          <w:bCs w:val="0"/>
          <w:kern w:val="0"/>
          <w:sz w:val="21"/>
          <w:szCs w:val="21"/>
          <w:u w:val="single"/>
        </w:rPr>
        <w:t xml:space="preserve">（盖公章）                 </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textAlignment w:val="auto"/>
        <w:outlineLvl w:val="9"/>
        <w:rPr>
          <w:rFonts w:hint="default" w:ascii="新宋体" w:hAnsi="新宋体" w:eastAsia="新宋体" w:cs="新宋体"/>
          <w:b w:val="0"/>
          <w:bCs w:val="0"/>
          <w:kern w:val="0"/>
          <w:sz w:val="21"/>
          <w:szCs w:val="21"/>
          <w:u w:val="single"/>
          <w:lang w:val="en-US" w:eastAsia="zh-CN"/>
        </w:rPr>
      </w:pPr>
      <w:r>
        <w:rPr>
          <w:rFonts w:hint="eastAsia" w:ascii="新宋体" w:hAnsi="新宋体" w:eastAsia="新宋体" w:cs="新宋体"/>
          <w:b w:val="0"/>
          <w:bCs w:val="0"/>
          <w:kern w:val="0"/>
          <w:sz w:val="21"/>
          <w:szCs w:val="21"/>
        </w:rPr>
        <w:t>单位地址：</w:t>
      </w:r>
      <w:r>
        <w:rPr>
          <w:rFonts w:hint="eastAsia" w:ascii="新宋体" w:hAnsi="新宋体" w:eastAsia="新宋体" w:cs="新宋体"/>
          <w:b w:val="0"/>
          <w:bCs w:val="0"/>
          <w:kern w:val="0"/>
          <w:sz w:val="21"/>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法定代表人或其授权代理人：</w:t>
      </w:r>
      <w:r>
        <w:rPr>
          <w:rFonts w:hint="eastAsia" w:ascii="新宋体" w:hAnsi="新宋体" w:eastAsia="新宋体" w:cs="新宋体"/>
          <w:b w:val="0"/>
          <w:bCs w:val="0"/>
          <w:kern w:val="0"/>
          <w:sz w:val="21"/>
          <w:szCs w:val="21"/>
          <w:u w:val="single"/>
        </w:rPr>
        <w:t xml:space="preserve">    （签字或盖章）    </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textAlignment w:val="auto"/>
        <w:outlineLvl w:val="9"/>
        <w:rPr>
          <w:rFonts w:hint="default" w:ascii="新宋体" w:hAnsi="新宋体" w:eastAsia="新宋体" w:cs="新宋体"/>
          <w:b w:val="0"/>
          <w:bCs w:val="0"/>
          <w:kern w:val="0"/>
          <w:sz w:val="21"/>
          <w:szCs w:val="21"/>
          <w:u w:val="single"/>
          <w:lang w:val="en-US" w:eastAsia="zh-CN"/>
        </w:rPr>
      </w:pPr>
      <w:r>
        <w:rPr>
          <w:rFonts w:hint="eastAsia" w:ascii="新宋体" w:hAnsi="新宋体" w:eastAsia="新宋体" w:cs="新宋体"/>
          <w:b w:val="0"/>
          <w:bCs w:val="0"/>
          <w:kern w:val="0"/>
          <w:sz w:val="21"/>
          <w:szCs w:val="21"/>
        </w:rPr>
        <w:t>邮政编码：</w:t>
      </w:r>
      <w:r>
        <w:rPr>
          <w:rFonts w:hint="eastAsia" w:ascii="新宋体" w:hAnsi="新宋体" w:eastAsia="新宋体" w:cs="新宋体"/>
          <w:b w:val="0"/>
          <w:bCs w:val="0"/>
          <w:kern w:val="0"/>
          <w:sz w:val="21"/>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电话：</w:t>
      </w:r>
      <w:r>
        <w:rPr>
          <w:rFonts w:hint="eastAsia" w:ascii="新宋体" w:hAnsi="新宋体" w:eastAsia="新宋体" w:cs="新宋体"/>
          <w:b w:val="0"/>
          <w:bCs w:val="0"/>
          <w:i/>
          <w:iCs/>
          <w:kern w:val="0"/>
          <w:sz w:val="21"/>
          <w:szCs w:val="21"/>
          <w:u w:val="single"/>
        </w:rPr>
        <w:t xml:space="preserve">               </w:t>
      </w:r>
      <w:r>
        <w:rPr>
          <w:rFonts w:hint="eastAsia" w:ascii="新宋体" w:hAnsi="新宋体" w:eastAsia="新宋体" w:cs="新宋体"/>
          <w:b w:val="0"/>
          <w:bCs w:val="0"/>
          <w:kern w:val="0"/>
          <w:sz w:val="21"/>
          <w:szCs w:val="21"/>
          <w:u w:val="single"/>
        </w:rPr>
        <w:t xml:space="preserve"> </w:t>
      </w:r>
      <w:r>
        <w:rPr>
          <w:rFonts w:hint="eastAsia" w:ascii="新宋体" w:hAnsi="新宋体" w:eastAsia="新宋体" w:cs="新宋体"/>
          <w:b w:val="0"/>
          <w:bCs w:val="0"/>
          <w:kern w:val="0"/>
          <w:sz w:val="21"/>
          <w:szCs w:val="21"/>
        </w:rPr>
        <w:t xml:space="preserve"> 传真：</w:t>
      </w:r>
      <w:r>
        <w:rPr>
          <w:rFonts w:hint="eastAsia" w:ascii="新宋体" w:hAnsi="新宋体" w:eastAsia="新宋体" w:cs="新宋体"/>
          <w:b w:val="0"/>
          <w:bCs w:val="0"/>
          <w:kern w:val="0"/>
          <w:sz w:val="21"/>
          <w:szCs w:val="21"/>
          <w:u w:val="single"/>
          <w:lang w:val="en-US" w:eastAsia="zh-CN"/>
        </w:rPr>
        <w:t xml:space="preserve">                        </w:t>
      </w:r>
      <w:r>
        <w:rPr>
          <w:rFonts w:hint="eastAsia" w:ascii="新宋体" w:hAnsi="新宋体" w:eastAsia="新宋体" w:cs="新宋体"/>
          <w:b w:val="0"/>
          <w:bCs w:val="0"/>
          <w:kern w:val="0"/>
          <w:sz w:val="21"/>
          <w:szCs w:val="21"/>
          <w:lang w:val="en-US" w:eastAsia="zh-CN"/>
        </w:rPr>
        <w:t xml:space="preserve">  </w:t>
      </w:r>
      <w:r>
        <w:rPr>
          <w:rFonts w:hint="eastAsia" w:ascii="新宋体" w:hAnsi="新宋体" w:eastAsia="新宋体" w:cs="新宋体"/>
          <w:b w:val="0"/>
          <w:bCs w:val="0"/>
          <w:kern w:val="0"/>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textAlignment w:val="auto"/>
        <w:outlineLvl w:val="9"/>
        <w:rPr>
          <w:rFonts w:hint="default" w:ascii="新宋体" w:hAnsi="新宋体" w:eastAsia="新宋体" w:cs="新宋体"/>
          <w:b w:val="0"/>
          <w:bCs w:val="0"/>
          <w:kern w:val="0"/>
          <w:sz w:val="21"/>
          <w:szCs w:val="21"/>
          <w:lang w:val="en-US" w:eastAsia="zh-CN"/>
        </w:rPr>
      </w:pPr>
      <w:r>
        <w:rPr>
          <w:rFonts w:hint="eastAsia" w:ascii="新宋体" w:hAnsi="新宋体" w:eastAsia="新宋体" w:cs="新宋体"/>
          <w:b w:val="0"/>
          <w:bCs w:val="0"/>
          <w:kern w:val="0"/>
          <w:sz w:val="21"/>
          <w:szCs w:val="21"/>
        </w:rPr>
        <w:t>开户行名称 ：</w:t>
      </w:r>
      <w:r>
        <w:rPr>
          <w:rFonts w:hint="eastAsia" w:ascii="新宋体" w:hAnsi="新宋体" w:eastAsia="新宋体" w:cs="新宋体"/>
          <w:b w:val="0"/>
          <w:bCs w:val="0"/>
          <w:kern w:val="0"/>
          <w:sz w:val="21"/>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textAlignment w:val="auto"/>
        <w:outlineLvl w:val="9"/>
        <w:rPr>
          <w:rFonts w:hint="eastAsia" w:ascii="新宋体" w:hAnsi="新宋体" w:eastAsia="新宋体" w:cs="新宋体"/>
          <w:b w:val="0"/>
          <w:bCs w:val="0"/>
          <w:kern w:val="0"/>
          <w:sz w:val="21"/>
          <w:szCs w:val="21"/>
        </w:rPr>
      </w:pPr>
      <w:r>
        <w:rPr>
          <w:rFonts w:hint="eastAsia" w:ascii="新宋体" w:hAnsi="新宋体" w:eastAsia="新宋体" w:cs="新宋体"/>
          <w:b w:val="0"/>
          <w:bCs w:val="0"/>
          <w:kern w:val="0"/>
          <w:sz w:val="21"/>
          <w:szCs w:val="21"/>
        </w:rPr>
        <w:t>银 行帐号：</w:t>
      </w:r>
      <w:r>
        <w:rPr>
          <w:rFonts w:hint="eastAsia" w:ascii="新宋体" w:hAnsi="新宋体" w:eastAsia="新宋体" w:cs="新宋体"/>
          <w:b w:val="0"/>
          <w:bCs w:val="0"/>
          <w:kern w:val="0"/>
          <w:sz w:val="21"/>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textAlignment w:val="auto"/>
        <w:outlineLvl w:val="9"/>
        <w:rPr>
          <w:rFonts w:hint="eastAsia" w:ascii="新宋体" w:hAnsi="新宋体" w:eastAsia="新宋体" w:cs="新宋体"/>
          <w:b w:val="0"/>
          <w:bCs w:val="0"/>
          <w:kern w:val="0"/>
          <w:sz w:val="21"/>
          <w:szCs w:val="21"/>
          <w:lang w:val="en-US" w:eastAsia="zh-CN"/>
        </w:rPr>
      </w:pPr>
      <w:r>
        <w:rPr>
          <w:rFonts w:hint="eastAsia" w:ascii="新宋体" w:hAnsi="新宋体" w:eastAsia="新宋体" w:cs="新宋体"/>
          <w:b w:val="0"/>
          <w:bCs w:val="0"/>
          <w:kern w:val="0"/>
          <w:sz w:val="21"/>
          <w:szCs w:val="21"/>
        </w:rPr>
        <w:t>开户行地址：</w:t>
      </w:r>
      <w:r>
        <w:rPr>
          <w:rFonts w:hint="eastAsia" w:ascii="新宋体" w:hAnsi="新宋体" w:eastAsia="新宋体" w:cs="新宋体"/>
          <w:b w:val="0"/>
          <w:bCs w:val="0"/>
          <w:kern w:val="0"/>
          <w:sz w:val="21"/>
          <w:szCs w:val="21"/>
          <w:u w:val="single"/>
          <w:lang w:val="en-US" w:eastAsia="zh-CN"/>
        </w:rPr>
        <w:t xml:space="preserve">                      </w:t>
      </w:r>
      <w:r>
        <w:rPr>
          <w:rFonts w:hint="eastAsia" w:ascii="新宋体" w:hAnsi="新宋体" w:eastAsia="新宋体" w:cs="新宋体"/>
          <w:b w:val="0"/>
          <w:bCs w:val="0"/>
          <w:kern w:val="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textAlignment w:val="auto"/>
        <w:outlineLvl w:val="9"/>
        <w:rPr>
          <w:rFonts w:hint="eastAsia" w:ascii="宋体" w:hAnsi="宋体"/>
          <w:b w:val="0"/>
          <w:bCs w:val="0"/>
          <w:kern w:val="0"/>
          <w:sz w:val="21"/>
          <w:szCs w:val="21"/>
        </w:rPr>
      </w:pPr>
      <w:r>
        <w:rPr>
          <w:rFonts w:hint="eastAsia" w:ascii="新宋体" w:hAnsi="新宋体" w:eastAsia="新宋体" w:cs="新宋体"/>
          <w:b w:val="0"/>
          <w:bCs w:val="0"/>
          <w:kern w:val="0"/>
          <w:sz w:val="21"/>
          <w:szCs w:val="21"/>
        </w:rPr>
        <w:t>日期：        年   月   日</w:t>
      </w:r>
    </w:p>
    <w:p>
      <w:pPr>
        <w:pageBreakBefore w:val="0"/>
        <w:kinsoku/>
        <w:wordWrap/>
        <w:topLinePunct w:val="0"/>
        <w:autoSpaceDE/>
        <w:autoSpaceDN/>
        <w:bidi w:val="0"/>
        <w:textAlignment w:val="auto"/>
        <w:outlineLvl w:val="9"/>
        <w:rPr>
          <w:rFonts w:ascii="宋体" w:hAnsi="宋体" w:eastAsia="宋体" w:cs="宋体"/>
          <w:b/>
          <w:bCs/>
          <w:sz w:val="28"/>
          <w:szCs w:val="28"/>
          <w:highlight w:val="none"/>
        </w:rPr>
      </w:pPr>
    </w:p>
    <w:p>
      <w:pPr>
        <w:pageBreakBefore w:val="0"/>
        <w:kinsoku/>
        <w:wordWrap/>
        <w:topLinePunct w:val="0"/>
        <w:autoSpaceDE/>
        <w:autoSpaceDN/>
        <w:bidi w:val="0"/>
        <w:textAlignment w:val="auto"/>
        <w:outlineLvl w:val="9"/>
        <w:rPr>
          <w:rFonts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snapToGrid w:val="0"/>
        <w:spacing w:before="120" w:beforeLines="50" w:after="50" w:line="360" w:lineRule="exact"/>
        <w:jc w:val="center"/>
        <w:rPr>
          <w:rFonts w:hint="eastAsia" w:ascii="新宋体" w:hAnsi="新宋体" w:eastAsia="新宋体" w:cs="新宋体"/>
          <w:b/>
          <w:color w:val="auto"/>
          <w:szCs w:val="21"/>
          <w:lang w:eastAsia="zh-CN"/>
        </w:rPr>
      </w:pPr>
      <w:r>
        <w:rPr>
          <w:rFonts w:hint="eastAsia" w:ascii="新宋体" w:hAnsi="新宋体" w:eastAsia="新宋体" w:cs="新宋体"/>
          <w:b/>
          <w:color w:val="auto"/>
          <w:sz w:val="32"/>
          <w:szCs w:val="32"/>
          <w:lang w:val="en-US" w:eastAsia="zh-CN"/>
        </w:rPr>
        <w:t>2.磋商</w:t>
      </w:r>
      <w:r>
        <w:rPr>
          <w:rFonts w:hint="eastAsia" w:ascii="新宋体" w:hAnsi="新宋体" w:eastAsia="新宋体" w:cs="新宋体"/>
          <w:b/>
          <w:color w:val="auto"/>
          <w:sz w:val="32"/>
          <w:szCs w:val="32"/>
        </w:rPr>
        <w:t>声明书</w:t>
      </w:r>
      <w:r>
        <w:rPr>
          <w:rFonts w:hint="eastAsia" w:ascii="新宋体" w:hAnsi="新宋体" w:eastAsia="新宋体" w:cs="新宋体"/>
          <w:b/>
          <w:color w:val="auto"/>
          <w:sz w:val="32"/>
          <w:szCs w:val="32"/>
          <w:lang w:eastAsia="zh-CN"/>
        </w:rPr>
        <w:t>（</w:t>
      </w:r>
      <w:r>
        <w:rPr>
          <w:rFonts w:hint="eastAsia" w:ascii="新宋体" w:hAnsi="新宋体" w:eastAsia="新宋体" w:cs="新宋体"/>
          <w:b/>
          <w:color w:val="auto"/>
          <w:sz w:val="32"/>
          <w:szCs w:val="32"/>
          <w:lang w:val="en-US" w:eastAsia="zh-CN"/>
        </w:rPr>
        <w:t>格式</w:t>
      </w:r>
      <w:r>
        <w:rPr>
          <w:rFonts w:hint="eastAsia" w:ascii="新宋体" w:hAnsi="新宋体" w:eastAsia="新宋体" w:cs="新宋体"/>
          <w:b/>
          <w:color w:val="auto"/>
          <w:sz w:val="32"/>
          <w:szCs w:val="32"/>
          <w:lang w:eastAsia="zh-CN"/>
        </w:rPr>
        <w:t>）</w:t>
      </w:r>
    </w:p>
    <w:p>
      <w:pPr>
        <w:snapToGrid w:val="0"/>
        <w:spacing w:before="120" w:beforeLines="50" w:after="50" w:line="360" w:lineRule="exact"/>
        <w:jc w:val="center"/>
        <w:rPr>
          <w:rFonts w:hint="eastAsia" w:ascii="新宋体" w:hAnsi="新宋体" w:eastAsia="新宋体" w:cs="新宋体"/>
          <w:color w:val="auto"/>
          <w:szCs w:val="21"/>
        </w:rPr>
      </w:pPr>
    </w:p>
    <w:p>
      <w:pPr>
        <w:keepNext w:val="0"/>
        <w:keepLines w:val="0"/>
        <w:pageBreakBefore w:val="0"/>
        <w:widowControl w:val="0"/>
        <w:kinsoku/>
        <w:wordWrap/>
        <w:topLinePunct w:val="0"/>
        <w:autoSpaceDE/>
        <w:autoSpaceDN/>
        <w:bidi w:val="0"/>
        <w:adjustRightInd/>
        <w:snapToGrid w:val="0"/>
        <w:spacing w:line="360" w:lineRule="auto"/>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致：</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rPr>
        <w:t>（采购单位名称）：</w:t>
      </w:r>
    </w:p>
    <w:p>
      <w:pPr>
        <w:keepNext w:val="0"/>
        <w:keepLines w:val="0"/>
        <w:pageBreakBefore w:val="0"/>
        <w:widowControl w:val="0"/>
        <w:kinsoku/>
        <w:wordWrap/>
        <w:topLinePunct w:val="0"/>
        <w:autoSpaceDE/>
        <w:autoSpaceDN/>
        <w:bidi w:val="0"/>
        <w:adjustRightInd/>
        <w:snapToGrid w:val="0"/>
        <w:spacing w:line="360" w:lineRule="auto"/>
        <w:ind w:firstLine="630" w:firstLineChars="300"/>
        <w:jc w:val="left"/>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eastAsia="zh-CN"/>
        </w:rPr>
        <w:t>供应商</w:t>
      </w:r>
      <w:r>
        <w:rPr>
          <w:rFonts w:hint="eastAsia" w:ascii="新宋体" w:hAnsi="新宋体" w:eastAsia="新宋体" w:cs="新宋体"/>
          <w:color w:val="auto"/>
          <w:sz w:val="21"/>
          <w:szCs w:val="21"/>
        </w:rPr>
        <w:t>名称）系中华人民共和国合法企业，经营地址</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w:t>
      </w:r>
    </w:p>
    <w:p>
      <w:pPr>
        <w:keepNext w:val="0"/>
        <w:keepLines w:val="0"/>
        <w:pageBreakBefore w:val="0"/>
        <w:widowControl w:val="0"/>
        <w:kinsoku/>
        <w:wordWrap/>
        <w:topLinePunct w:val="0"/>
        <w:autoSpaceDE/>
        <w:autoSpaceDN/>
        <w:bidi w:val="0"/>
        <w:adjustRightInd/>
        <w:snapToGrid w:val="0"/>
        <w:spacing w:line="360" w:lineRule="auto"/>
        <w:ind w:firstLine="645"/>
        <w:jc w:val="left"/>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我</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rPr>
        <w:t>（姓名）系</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rPr>
        <w:t>（</w:t>
      </w:r>
      <w:r>
        <w:rPr>
          <w:rFonts w:hint="eastAsia" w:ascii="新宋体" w:hAnsi="新宋体" w:eastAsia="新宋体" w:cs="新宋体"/>
          <w:color w:val="auto"/>
          <w:sz w:val="21"/>
          <w:szCs w:val="21"/>
          <w:lang w:eastAsia="zh-CN"/>
        </w:rPr>
        <w:t>供应商</w:t>
      </w:r>
      <w:r>
        <w:rPr>
          <w:rFonts w:hint="eastAsia" w:ascii="新宋体" w:hAnsi="新宋体" w:eastAsia="新宋体" w:cs="新宋体"/>
          <w:color w:val="auto"/>
          <w:sz w:val="21"/>
          <w:szCs w:val="21"/>
        </w:rPr>
        <w:t>名称）的法定代表人，我方愿意参加贵方组织的</w:t>
      </w:r>
      <w:r>
        <w:rPr>
          <w:rFonts w:hint="eastAsia" w:ascii="新宋体" w:hAnsi="新宋体" w:eastAsia="新宋体" w:cs="新宋体"/>
          <w:color w:val="auto"/>
          <w:sz w:val="21"/>
          <w:szCs w:val="21"/>
          <w:u w:val="single"/>
          <w:lang w:val="en-US" w:eastAsia="zh-CN"/>
        </w:rPr>
        <w:t xml:space="preserve">                                        </w:t>
      </w:r>
      <w:r>
        <w:rPr>
          <w:rFonts w:hint="eastAsia" w:ascii="新宋体" w:hAnsi="新宋体" w:eastAsia="新宋体" w:cs="新宋体"/>
          <w:color w:val="auto"/>
          <w:sz w:val="21"/>
          <w:szCs w:val="21"/>
        </w:rPr>
        <w:t>项目的</w:t>
      </w:r>
      <w:r>
        <w:rPr>
          <w:rFonts w:hint="eastAsia" w:ascii="新宋体" w:hAnsi="新宋体" w:eastAsia="新宋体" w:cs="新宋体"/>
          <w:color w:val="auto"/>
          <w:sz w:val="21"/>
          <w:szCs w:val="21"/>
          <w:lang w:eastAsia="zh-CN"/>
        </w:rPr>
        <w:t>磋商</w:t>
      </w:r>
      <w:r>
        <w:rPr>
          <w:rFonts w:hint="eastAsia" w:ascii="新宋体" w:hAnsi="新宋体" w:eastAsia="新宋体" w:cs="新宋体"/>
          <w:color w:val="auto"/>
          <w:sz w:val="21"/>
          <w:szCs w:val="21"/>
        </w:rPr>
        <w:t>，为便于贵方公正、择优地确定中标人及其</w:t>
      </w:r>
      <w:r>
        <w:rPr>
          <w:rFonts w:hint="eastAsia" w:ascii="新宋体" w:hAnsi="新宋体" w:eastAsia="新宋体" w:cs="新宋体"/>
          <w:color w:val="auto"/>
          <w:sz w:val="21"/>
          <w:szCs w:val="21"/>
          <w:lang w:eastAsia="zh-CN"/>
        </w:rPr>
        <w:t>磋商</w:t>
      </w:r>
      <w:r>
        <w:rPr>
          <w:rFonts w:hint="eastAsia" w:ascii="新宋体" w:hAnsi="新宋体" w:eastAsia="新宋体" w:cs="新宋体"/>
          <w:color w:val="auto"/>
          <w:sz w:val="21"/>
          <w:szCs w:val="21"/>
        </w:rPr>
        <w:t>产品和服务，我方就本次</w:t>
      </w:r>
      <w:r>
        <w:rPr>
          <w:rFonts w:hint="eastAsia" w:ascii="新宋体" w:hAnsi="新宋体" w:eastAsia="新宋体" w:cs="新宋体"/>
          <w:color w:val="auto"/>
          <w:sz w:val="21"/>
          <w:szCs w:val="21"/>
          <w:lang w:eastAsia="zh-CN"/>
        </w:rPr>
        <w:t>磋商</w:t>
      </w:r>
      <w:r>
        <w:rPr>
          <w:rFonts w:hint="eastAsia" w:ascii="新宋体" w:hAnsi="新宋体" w:eastAsia="新宋体" w:cs="新宋体"/>
          <w:color w:val="auto"/>
          <w:sz w:val="21"/>
          <w:szCs w:val="21"/>
        </w:rPr>
        <w:t>有关事项郑重声明如下：</w:t>
      </w:r>
    </w:p>
    <w:p>
      <w:pPr>
        <w:keepNext w:val="0"/>
        <w:keepLines w:val="0"/>
        <w:pageBreakBefore w:val="0"/>
        <w:widowControl w:val="0"/>
        <w:kinsoku/>
        <w:wordWrap/>
        <w:topLinePunct w:val="0"/>
        <w:autoSpaceDE/>
        <w:autoSpaceDN/>
        <w:bidi w:val="0"/>
        <w:adjustRightInd/>
        <w:snapToGrid w:val="0"/>
        <w:spacing w:line="360" w:lineRule="auto"/>
        <w:ind w:firstLine="420" w:firstLineChars="200"/>
        <w:jc w:val="left"/>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1.我方向贵方提交的所有</w:t>
      </w:r>
      <w:r>
        <w:rPr>
          <w:rFonts w:hint="eastAsia" w:ascii="新宋体" w:hAnsi="新宋体" w:eastAsia="新宋体" w:cs="新宋体"/>
          <w:color w:val="auto"/>
          <w:sz w:val="21"/>
          <w:szCs w:val="21"/>
          <w:lang w:eastAsia="zh-CN"/>
        </w:rPr>
        <w:t>磋商</w:t>
      </w:r>
      <w:r>
        <w:rPr>
          <w:rFonts w:hint="eastAsia" w:ascii="新宋体" w:hAnsi="新宋体" w:eastAsia="新宋体" w:cs="新宋体"/>
          <w:color w:val="auto"/>
          <w:sz w:val="21"/>
          <w:szCs w:val="21"/>
        </w:rPr>
        <w:t>文件、资料都是准确的和真实的。</w:t>
      </w:r>
    </w:p>
    <w:p>
      <w:pPr>
        <w:keepNext w:val="0"/>
        <w:keepLines w:val="0"/>
        <w:pageBreakBefore w:val="0"/>
        <w:widowControl w:val="0"/>
        <w:kinsoku/>
        <w:wordWrap/>
        <w:topLinePunct w:val="0"/>
        <w:autoSpaceDE/>
        <w:autoSpaceDN/>
        <w:bidi w:val="0"/>
        <w:adjustRightInd/>
        <w:snapToGrid w:val="0"/>
        <w:spacing w:line="360" w:lineRule="auto"/>
        <w:ind w:firstLine="420" w:firstLineChars="200"/>
        <w:jc w:val="left"/>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2.我方不是采购人的附属机构；在获知本项目采购信息后，与采购人聘请的为此项目提供咨询服务的公司及其附属机构没有任何联系。</w:t>
      </w:r>
    </w:p>
    <w:p>
      <w:pPr>
        <w:keepNext w:val="0"/>
        <w:keepLines w:val="0"/>
        <w:pageBreakBefore w:val="0"/>
        <w:widowControl w:val="0"/>
        <w:kinsoku/>
        <w:wordWrap/>
        <w:topLinePunct w:val="0"/>
        <w:autoSpaceDE/>
        <w:autoSpaceDN/>
        <w:bidi w:val="0"/>
        <w:adjustRightInd/>
        <w:snapToGrid w:val="0"/>
        <w:spacing w:line="360" w:lineRule="auto"/>
        <w:ind w:firstLine="420" w:firstLineChars="200"/>
        <w:jc w:val="left"/>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3.我方此次向贵方提供的服务名称为：</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；交付使用时间及地点为：</w:t>
      </w:r>
      <w:r>
        <w:rPr>
          <w:rFonts w:hint="eastAsia" w:ascii="新宋体" w:hAnsi="新宋体" w:eastAsia="新宋体" w:cs="新宋体"/>
          <w:color w:val="auto"/>
          <w:sz w:val="21"/>
          <w:szCs w:val="21"/>
          <w:u w:val="single"/>
        </w:rPr>
        <w:t xml:space="preserve">                            </w:t>
      </w:r>
      <w:r>
        <w:rPr>
          <w:rFonts w:hint="eastAsia" w:ascii="新宋体" w:hAnsi="新宋体" w:eastAsia="新宋体" w:cs="新宋体"/>
          <w:color w:val="auto"/>
          <w:sz w:val="21"/>
          <w:szCs w:val="21"/>
        </w:rPr>
        <w:t>。</w:t>
      </w:r>
    </w:p>
    <w:p>
      <w:pPr>
        <w:keepNext w:val="0"/>
        <w:keepLines w:val="0"/>
        <w:pageBreakBefore w:val="0"/>
        <w:widowControl w:val="0"/>
        <w:kinsoku/>
        <w:wordWrap/>
        <w:topLinePunct w:val="0"/>
        <w:autoSpaceDE/>
        <w:autoSpaceDN/>
        <w:bidi w:val="0"/>
        <w:adjustRightInd/>
        <w:snapToGrid w:val="0"/>
        <w:spacing w:line="360" w:lineRule="auto"/>
        <w:ind w:firstLine="420" w:firstLineChars="200"/>
        <w:jc w:val="left"/>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4.我方诚意提请贵方关注：近期有关该服务售后以及性能等方面的重大决策和事项有：</w:t>
      </w:r>
    </w:p>
    <w:p>
      <w:pPr>
        <w:keepNext w:val="0"/>
        <w:keepLines w:val="0"/>
        <w:pageBreakBefore w:val="0"/>
        <w:widowControl w:val="0"/>
        <w:kinsoku/>
        <w:wordWrap/>
        <w:topLinePunct w:val="0"/>
        <w:autoSpaceDE/>
        <w:autoSpaceDN/>
        <w:bidi w:val="0"/>
        <w:adjustRightInd/>
        <w:snapToGrid w:val="0"/>
        <w:spacing w:line="360" w:lineRule="auto"/>
        <w:ind w:firstLine="420" w:firstLineChars="200"/>
        <w:jc w:val="left"/>
        <w:textAlignment w:val="auto"/>
        <w:rPr>
          <w:rFonts w:hint="eastAsia" w:ascii="新宋体" w:hAnsi="新宋体" w:eastAsia="新宋体" w:cs="新宋体"/>
          <w:color w:val="auto"/>
          <w:sz w:val="21"/>
          <w:szCs w:val="21"/>
          <w:u w:val="single"/>
        </w:rPr>
      </w:pPr>
      <w:r>
        <w:rPr>
          <w:rFonts w:hint="eastAsia" w:ascii="新宋体" w:hAnsi="新宋体" w:eastAsia="新宋体" w:cs="新宋体"/>
          <w:color w:val="auto"/>
          <w:sz w:val="21"/>
          <w:szCs w:val="21"/>
          <w:u w:val="single"/>
        </w:rPr>
        <w:t>　　　　　　　　　　　　　　　　　　　　　　　　　　　</w:t>
      </w:r>
    </w:p>
    <w:p>
      <w:pPr>
        <w:pStyle w:val="11"/>
        <w:keepNext w:val="0"/>
        <w:keepLines w:val="0"/>
        <w:pageBreakBefore w:val="0"/>
        <w:widowControl w:val="0"/>
        <w:kinsoku/>
        <w:wordWrap/>
        <w:topLinePunct w:val="0"/>
        <w:autoSpaceDE/>
        <w:autoSpaceDN/>
        <w:bidi w:val="0"/>
        <w:adjustRightInd/>
        <w:snapToGrid w:val="0"/>
        <w:spacing w:line="360" w:lineRule="auto"/>
        <w:ind w:firstLine="428" w:firstLineChars="200"/>
        <w:jc w:val="left"/>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5.我方及由本人担任法定代表人的其他机构最近三年内被通报或者被处罚的违法行为有：</w:t>
      </w:r>
    </w:p>
    <w:p>
      <w:pPr>
        <w:keepNext w:val="0"/>
        <w:keepLines w:val="0"/>
        <w:pageBreakBefore w:val="0"/>
        <w:widowControl w:val="0"/>
        <w:kinsoku/>
        <w:wordWrap/>
        <w:topLinePunct w:val="0"/>
        <w:autoSpaceDE/>
        <w:autoSpaceDN/>
        <w:bidi w:val="0"/>
        <w:adjustRightInd/>
        <w:snapToGrid w:val="0"/>
        <w:spacing w:line="360" w:lineRule="auto"/>
        <w:ind w:firstLine="420" w:firstLineChars="200"/>
        <w:jc w:val="left"/>
        <w:textAlignment w:val="auto"/>
        <w:rPr>
          <w:rFonts w:hint="eastAsia" w:ascii="新宋体" w:hAnsi="新宋体" w:eastAsia="新宋体" w:cs="新宋体"/>
          <w:color w:val="auto"/>
          <w:sz w:val="21"/>
          <w:szCs w:val="21"/>
          <w:u w:val="single"/>
        </w:rPr>
      </w:pPr>
      <w:r>
        <w:rPr>
          <w:rFonts w:hint="eastAsia" w:ascii="新宋体" w:hAnsi="新宋体" w:eastAsia="新宋体" w:cs="新宋体"/>
          <w:color w:val="auto"/>
          <w:sz w:val="21"/>
          <w:szCs w:val="21"/>
          <w:u w:val="single"/>
        </w:rPr>
        <w:t>　　　　　　　　　　　　　　　　　　　　　　　　　　　</w:t>
      </w:r>
    </w:p>
    <w:p>
      <w:pPr>
        <w:keepNext w:val="0"/>
        <w:keepLines w:val="0"/>
        <w:pageBreakBefore w:val="0"/>
        <w:widowControl w:val="0"/>
        <w:kinsoku/>
        <w:wordWrap/>
        <w:topLinePunct w:val="0"/>
        <w:autoSpaceDE/>
        <w:autoSpaceDN/>
        <w:bidi w:val="0"/>
        <w:adjustRightInd/>
        <w:snapToGrid w:val="0"/>
        <w:spacing w:line="360" w:lineRule="auto"/>
        <w:ind w:firstLine="420" w:firstLineChars="200"/>
        <w:jc w:val="left"/>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6.我方参加政府采购活动前3年内在经营活动中没有重大违法记录。</w:t>
      </w:r>
    </w:p>
    <w:p>
      <w:pPr>
        <w:keepNext w:val="0"/>
        <w:keepLines w:val="0"/>
        <w:pageBreakBefore w:val="0"/>
        <w:widowControl w:val="0"/>
        <w:kinsoku/>
        <w:wordWrap/>
        <w:topLinePunct w:val="0"/>
        <w:autoSpaceDE/>
        <w:autoSpaceDN/>
        <w:bidi w:val="0"/>
        <w:adjustRightInd/>
        <w:snapToGrid w:val="0"/>
        <w:spacing w:line="360" w:lineRule="auto"/>
        <w:ind w:firstLine="420" w:firstLineChars="200"/>
        <w:jc w:val="left"/>
        <w:textAlignment w:val="auto"/>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7.以上事项如有虚假或隐瞒，我方愿意承担一切后果，并不再寻求任何旨在减轻或免除法律责任的辩解。</w:t>
      </w:r>
    </w:p>
    <w:p>
      <w:pPr>
        <w:keepNext w:val="0"/>
        <w:keepLines w:val="0"/>
        <w:pageBreakBefore w:val="0"/>
        <w:widowControl w:val="0"/>
        <w:tabs>
          <w:tab w:val="left" w:pos="7200"/>
        </w:tabs>
        <w:kinsoku/>
        <w:wordWrap/>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rPr>
      </w:pPr>
    </w:p>
    <w:p>
      <w:pPr>
        <w:keepNext w:val="0"/>
        <w:keepLines w:val="0"/>
        <w:pageBreakBefore w:val="0"/>
        <w:widowControl w:val="0"/>
        <w:tabs>
          <w:tab w:val="left" w:pos="7200"/>
        </w:tabs>
        <w:kinsoku/>
        <w:wordWrap/>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rPr>
      </w:pPr>
    </w:p>
    <w:p>
      <w:pPr>
        <w:keepNext w:val="0"/>
        <w:keepLines w:val="0"/>
        <w:pageBreakBefore w:val="0"/>
        <w:widowControl w:val="0"/>
        <w:tabs>
          <w:tab w:val="left" w:pos="7200"/>
        </w:tabs>
        <w:kinsoku/>
        <w:wordWrap/>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u w:val="single"/>
        </w:rPr>
      </w:pPr>
      <w:r>
        <w:rPr>
          <w:rFonts w:hint="eastAsia" w:ascii="新宋体" w:hAnsi="新宋体" w:eastAsia="新宋体" w:cs="新宋体"/>
          <w:b/>
          <w:sz w:val="21"/>
          <w:szCs w:val="21"/>
          <w:highlight w:val="none"/>
        </w:rPr>
        <w:t>法定代表人（负责人）或委托代理人签字：</w:t>
      </w:r>
    </w:p>
    <w:p>
      <w:pPr>
        <w:keepNext w:val="0"/>
        <w:keepLines w:val="0"/>
        <w:pageBreakBefore w:val="0"/>
        <w:widowControl w:val="0"/>
        <w:tabs>
          <w:tab w:val="left" w:pos="7200"/>
        </w:tabs>
        <w:kinsoku/>
        <w:wordWrap/>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rPr>
      </w:pPr>
      <w:r>
        <w:rPr>
          <w:rFonts w:hint="eastAsia" w:ascii="新宋体" w:hAnsi="新宋体" w:eastAsia="新宋体" w:cs="新宋体"/>
          <w:b/>
          <w:sz w:val="21"/>
          <w:szCs w:val="21"/>
          <w:highlight w:val="none"/>
        </w:rPr>
        <w:t>供应商（盖章）：</w:t>
      </w:r>
    </w:p>
    <w:p>
      <w:pPr>
        <w:pStyle w:val="8"/>
        <w:keepNext w:val="0"/>
        <w:keepLines w:val="0"/>
        <w:pageBreakBefore w:val="0"/>
        <w:widowControl w:val="0"/>
        <w:kinsoku/>
        <w:wordWrap/>
        <w:overflowPunct w:val="0"/>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rPr>
      </w:pPr>
      <w:r>
        <w:rPr>
          <w:rFonts w:hint="eastAsia" w:ascii="新宋体" w:hAnsi="新宋体" w:eastAsia="新宋体" w:cs="新宋体"/>
          <w:b/>
          <w:sz w:val="21"/>
          <w:szCs w:val="21"/>
          <w:highlight w:val="none"/>
        </w:rPr>
        <w:t xml:space="preserve"> 年    月    日</w:t>
      </w:r>
    </w:p>
    <w:p>
      <w:pPr>
        <w:rPr>
          <w:rFonts w:hint="eastAsia" w:ascii="新宋体" w:hAnsi="新宋体" w:eastAsia="新宋体" w:cs="新宋体"/>
          <w:b/>
          <w:sz w:val="21"/>
          <w:szCs w:val="21"/>
          <w:highlight w:val="none"/>
        </w:rPr>
      </w:pPr>
      <w:r>
        <w:rPr>
          <w:rFonts w:hint="eastAsia" w:ascii="新宋体" w:hAnsi="新宋体" w:eastAsia="新宋体" w:cs="新宋体"/>
          <w:b/>
          <w:sz w:val="21"/>
          <w:szCs w:val="21"/>
          <w:highlight w:val="none"/>
        </w:rPr>
        <w:br w:type="page"/>
      </w:r>
    </w:p>
    <w:p>
      <w:pPr>
        <w:ind w:left="0" w:leftChars="0" w:firstLine="0" w:firstLineChars="0"/>
        <w:jc w:val="left"/>
        <w:rPr>
          <w:rFonts w:hint="eastAsia" w:ascii="宋体" w:hAnsi="宋体" w:eastAsia="宋体" w:cs="宋体"/>
          <w:b/>
          <w:bCs/>
          <w:sz w:val="28"/>
          <w:highlight w:val="none"/>
        </w:rPr>
      </w:pPr>
      <w:r>
        <w:rPr>
          <w:rFonts w:hint="eastAsia" w:ascii="宋体" w:hAnsi="宋体" w:eastAsia="宋体" w:cs="宋体"/>
          <w:b/>
          <w:bCs/>
          <w:sz w:val="28"/>
          <w:highlight w:val="none"/>
        </w:rPr>
        <w:t xml:space="preserve">3.供应商有效的营业执照副本内页复印件； </w:t>
      </w:r>
    </w:p>
    <w:p>
      <w:pPr>
        <w:ind w:left="0" w:leftChars="0" w:firstLine="0" w:firstLineChars="0"/>
        <w:jc w:val="left"/>
        <w:rPr>
          <w:rFonts w:hint="eastAsia" w:ascii="宋体" w:hAnsi="宋体" w:eastAsia="宋体" w:cs="宋体"/>
          <w:b/>
          <w:bCs/>
          <w:sz w:val="28"/>
          <w:highlight w:val="none"/>
        </w:rPr>
      </w:pPr>
      <w:r>
        <w:rPr>
          <w:rFonts w:hint="eastAsia" w:ascii="宋体" w:hAnsi="宋体" w:eastAsia="宋体" w:cs="宋体"/>
          <w:b/>
          <w:bCs/>
          <w:sz w:val="28"/>
          <w:highlight w:val="none"/>
        </w:rPr>
        <w:t>4.供应商在“信用中国”网站（www.creditchina.gov.cn）、中国政府采购网（www.ccgp.gov.cn）查询的相关供应商主体信用记录（本项目招标公告发布时间后查询结果截图加盖单位公章）；</w:t>
      </w:r>
    </w:p>
    <w:p>
      <w:pPr>
        <w:ind w:left="0" w:leftChars="0" w:firstLine="0" w:firstLineChars="0"/>
        <w:jc w:val="left"/>
        <w:rPr>
          <w:rFonts w:ascii="宋体" w:hAnsi="宋体" w:eastAsia="宋体" w:cs="宋体"/>
          <w:b/>
          <w:bCs/>
          <w:sz w:val="28"/>
          <w:highlight w:val="none"/>
        </w:rPr>
      </w:pPr>
      <w:r>
        <w:rPr>
          <w:rFonts w:hint="eastAsia" w:ascii="宋体" w:hAnsi="宋体" w:eastAsia="宋体" w:cs="宋体"/>
          <w:b/>
          <w:bCs/>
          <w:sz w:val="28"/>
          <w:highlight w:val="none"/>
        </w:rPr>
        <w:t>5.磋商保证金缴纳证明（可单独提交）；</w:t>
      </w:r>
      <w:r>
        <w:rPr>
          <w:rFonts w:ascii="宋体" w:hAnsi="宋体" w:eastAsia="宋体" w:cs="宋体"/>
          <w:b/>
          <w:bCs/>
          <w:sz w:val="28"/>
          <w:highlight w:val="none"/>
        </w:rPr>
        <w:br w:type="page"/>
      </w:r>
    </w:p>
    <w:p>
      <w:pPr>
        <w:snapToGrid w:val="0"/>
        <w:spacing w:before="120" w:beforeLines="50" w:after="50" w:line="440" w:lineRule="exact"/>
        <w:jc w:val="center"/>
        <w:rPr>
          <w:rFonts w:hint="eastAsia" w:ascii="新宋体" w:hAnsi="新宋体" w:eastAsia="新宋体" w:cs="新宋体"/>
          <w:b/>
          <w:color w:val="auto"/>
          <w:szCs w:val="21"/>
          <w:lang w:eastAsia="zh-CN"/>
        </w:rPr>
      </w:pPr>
      <w:r>
        <w:rPr>
          <w:rFonts w:hint="eastAsia" w:ascii="新宋体" w:hAnsi="新宋体" w:eastAsia="新宋体" w:cs="新宋体"/>
          <w:b/>
          <w:color w:val="auto"/>
          <w:sz w:val="32"/>
          <w:szCs w:val="32"/>
          <w:lang w:val="en-US" w:eastAsia="zh-CN"/>
        </w:rPr>
        <w:t>6.</w:t>
      </w:r>
      <w:r>
        <w:rPr>
          <w:rFonts w:hint="eastAsia" w:ascii="新宋体" w:hAnsi="新宋体" w:eastAsia="新宋体" w:cs="新宋体"/>
          <w:b/>
          <w:color w:val="auto"/>
          <w:sz w:val="32"/>
          <w:szCs w:val="32"/>
        </w:rPr>
        <w:t>法定代表人授权委托书</w:t>
      </w:r>
      <w:r>
        <w:rPr>
          <w:rFonts w:hint="eastAsia" w:ascii="新宋体" w:hAnsi="新宋体" w:eastAsia="新宋体" w:cs="新宋体"/>
          <w:b/>
          <w:color w:val="auto"/>
          <w:sz w:val="32"/>
          <w:szCs w:val="32"/>
          <w:lang w:eastAsia="zh-CN"/>
        </w:rPr>
        <w:t>（</w:t>
      </w:r>
      <w:r>
        <w:rPr>
          <w:rFonts w:hint="eastAsia" w:ascii="新宋体" w:hAnsi="新宋体" w:eastAsia="新宋体" w:cs="新宋体"/>
          <w:b/>
          <w:color w:val="auto"/>
          <w:sz w:val="32"/>
          <w:szCs w:val="32"/>
          <w:lang w:val="en-US" w:eastAsia="zh-CN"/>
        </w:rPr>
        <w:t>格式</w:t>
      </w:r>
      <w:r>
        <w:rPr>
          <w:rFonts w:hint="eastAsia" w:ascii="新宋体" w:hAnsi="新宋体" w:eastAsia="新宋体" w:cs="新宋体"/>
          <w:b/>
          <w:color w:val="auto"/>
          <w:sz w:val="32"/>
          <w:szCs w:val="32"/>
          <w:lang w:eastAsia="zh-CN"/>
        </w:rPr>
        <w:t>）</w:t>
      </w:r>
    </w:p>
    <w:p>
      <w:pPr>
        <w:snapToGrid w:val="0"/>
        <w:spacing w:before="120" w:beforeLines="50" w:after="50" w:line="440" w:lineRule="exact"/>
        <w:rPr>
          <w:rFonts w:hint="eastAsia" w:ascii="新宋体" w:hAnsi="新宋体" w:eastAsia="新宋体" w:cs="新宋体"/>
          <w:bCs/>
          <w:color w:val="auto"/>
          <w:szCs w:val="21"/>
        </w:rPr>
      </w:pPr>
    </w:p>
    <w:p>
      <w:pPr>
        <w:snapToGrid w:val="0"/>
        <w:spacing w:before="120" w:beforeLines="50" w:after="50" w:line="440" w:lineRule="exact"/>
        <w:rPr>
          <w:rFonts w:hint="eastAsia" w:ascii="新宋体" w:hAnsi="新宋体" w:eastAsia="新宋体" w:cs="新宋体"/>
          <w:b/>
          <w:bCs/>
          <w:color w:val="auto"/>
          <w:szCs w:val="21"/>
        </w:rPr>
      </w:pPr>
      <w:r>
        <w:rPr>
          <w:rFonts w:hint="eastAsia" w:ascii="新宋体" w:hAnsi="新宋体" w:eastAsia="新宋体" w:cs="新宋体"/>
          <w:bCs/>
          <w:color w:val="auto"/>
          <w:szCs w:val="21"/>
        </w:rPr>
        <w:t>致：</w:t>
      </w:r>
      <w:r>
        <w:rPr>
          <w:rFonts w:hint="eastAsia" w:ascii="新宋体" w:hAnsi="新宋体" w:eastAsia="新宋体" w:cs="新宋体"/>
          <w:color w:val="auto"/>
          <w:szCs w:val="21"/>
          <w:u w:val="single"/>
          <w:lang w:val="en-US" w:eastAsia="zh-CN"/>
        </w:rPr>
        <w:t xml:space="preserve">                        </w:t>
      </w:r>
      <w:r>
        <w:rPr>
          <w:rFonts w:hint="eastAsia" w:ascii="新宋体" w:hAnsi="新宋体" w:eastAsia="新宋体" w:cs="新宋体"/>
          <w:color w:val="auto"/>
          <w:szCs w:val="21"/>
        </w:rPr>
        <w:t>（招标采购单位名称）</w:t>
      </w:r>
      <w:r>
        <w:rPr>
          <w:rFonts w:hint="eastAsia" w:ascii="新宋体" w:hAnsi="新宋体" w:eastAsia="新宋体" w:cs="新宋体"/>
          <w:b/>
          <w:bCs/>
          <w:color w:val="auto"/>
          <w:szCs w:val="21"/>
        </w:rPr>
        <w:t xml:space="preserve"> </w:t>
      </w:r>
      <w:r>
        <w:rPr>
          <w:rFonts w:hint="eastAsia" w:ascii="新宋体" w:hAnsi="新宋体" w:eastAsia="新宋体" w:cs="新宋体"/>
          <w:color w:val="auto"/>
          <w:szCs w:val="21"/>
        </w:rPr>
        <w:t>：</w:t>
      </w:r>
    </w:p>
    <w:p>
      <w:pPr>
        <w:snapToGrid w:val="0"/>
        <w:spacing w:before="120" w:beforeLines="50" w:after="50" w:line="440" w:lineRule="exact"/>
        <w:ind w:firstLine="630" w:firstLineChars="300"/>
        <w:rPr>
          <w:rFonts w:hint="eastAsia" w:ascii="新宋体" w:hAnsi="新宋体" w:eastAsia="新宋体" w:cs="新宋体"/>
          <w:color w:val="auto"/>
          <w:szCs w:val="21"/>
        </w:rPr>
      </w:pPr>
      <w:r>
        <w:rPr>
          <w:rFonts w:hint="eastAsia" w:ascii="新宋体" w:hAnsi="新宋体" w:eastAsia="新宋体" w:cs="新宋体"/>
          <w:color w:val="auto"/>
          <w:szCs w:val="21"/>
        </w:rPr>
        <w:t>我</w:t>
      </w:r>
      <w:r>
        <w:rPr>
          <w:rFonts w:hint="eastAsia" w:ascii="新宋体" w:hAnsi="新宋体" w:eastAsia="新宋体" w:cs="新宋体"/>
          <w:color w:val="auto"/>
          <w:szCs w:val="21"/>
          <w:u w:val="single"/>
          <w:lang w:val="en-US" w:eastAsia="zh-CN"/>
        </w:rPr>
        <w:t xml:space="preserve">                </w:t>
      </w:r>
      <w:r>
        <w:rPr>
          <w:rFonts w:hint="eastAsia" w:ascii="新宋体" w:hAnsi="新宋体" w:eastAsia="新宋体" w:cs="新宋体"/>
          <w:color w:val="auto"/>
          <w:szCs w:val="21"/>
        </w:rPr>
        <w:t>（姓名）系</w:t>
      </w:r>
      <w:r>
        <w:rPr>
          <w:rFonts w:hint="eastAsia" w:ascii="新宋体" w:hAnsi="新宋体" w:eastAsia="新宋体" w:cs="新宋体"/>
          <w:color w:val="auto"/>
          <w:szCs w:val="21"/>
          <w:u w:val="single"/>
          <w:lang w:val="en-US" w:eastAsia="zh-CN"/>
        </w:rPr>
        <w:t xml:space="preserve">                </w:t>
      </w:r>
      <w:r>
        <w:rPr>
          <w:rFonts w:hint="eastAsia" w:ascii="新宋体" w:hAnsi="新宋体" w:eastAsia="新宋体" w:cs="新宋体"/>
          <w:color w:val="auto"/>
          <w:szCs w:val="21"/>
        </w:rPr>
        <w:t>（</w:t>
      </w:r>
      <w:r>
        <w:rPr>
          <w:rFonts w:hint="eastAsia" w:ascii="新宋体" w:hAnsi="新宋体" w:eastAsia="新宋体" w:cs="新宋体"/>
          <w:color w:val="auto"/>
          <w:sz w:val="21"/>
          <w:szCs w:val="21"/>
          <w:lang w:eastAsia="zh-CN"/>
        </w:rPr>
        <w:t>供应商</w:t>
      </w:r>
      <w:r>
        <w:rPr>
          <w:rFonts w:hint="eastAsia" w:ascii="新宋体" w:hAnsi="新宋体" w:eastAsia="新宋体" w:cs="新宋体"/>
          <w:color w:val="auto"/>
          <w:sz w:val="21"/>
          <w:szCs w:val="21"/>
        </w:rPr>
        <w:t>名称</w:t>
      </w:r>
      <w:r>
        <w:rPr>
          <w:rFonts w:hint="eastAsia" w:ascii="新宋体" w:hAnsi="新宋体" w:eastAsia="新宋体" w:cs="新宋体"/>
          <w:color w:val="auto"/>
          <w:szCs w:val="21"/>
        </w:rPr>
        <w:t xml:space="preserve">）的法定代表人，现授权委托本单位在职职工 </w:t>
      </w:r>
      <w:r>
        <w:rPr>
          <w:rFonts w:hint="eastAsia" w:ascii="新宋体" w:hAnsi="新宋体" w:eastAsia="新宋体" w:cs="新宋体"/>
          <w:color w:val="auto"/>
          <w:szCs w:val="21"/>
          <w:u w:val="single"/>
          <w:lang w:val="en-US" w:eastAsia="zh-CN"/>
        </w:rPr>
        <w:t xml:space="preserve">                </w:t>
      </w:r>
      <w:r>
        <w:rPr>
          <w:rFonts w:hint="eastAsia" w:ascii="新宋体" w:hAnsi="新宋体" w:eastAsia="新宋体" w:cs="新宋体"/>
          <w:color w:val="auto"/>
          <w:szCs w:val="21"/>
        </w:rPr>
        <w:t>（姓名）以我方的名义参加</w:t>
      </w:r>
      <w:r>
        <w:rPr>
          <w:rFonts w:hint="eastAsia" w:ascii="新宋体" w:hAnsi="新宋体" w:eastAsia="新宋体" w:cs="新宋体"/>
          <w:color w:val="auto"/>
          <w:szCs w:val="21"/>
          <w:u w:val="single"/>
          <w:lang w:val="en-US" w:eastAsia="zh-CN"/>
        </w:rPr>
        <w:t xml:space="preserve">                </w:t>
      </w:r>
      <w:r>
        <w:rPr>
          <w:rFonts w:hint="eastAsia" w:ascii="新宋体" w:hAnsi="新宋体" w:eastAsia="新宋体" w:cs="新宋体"/>
          <w:color w:val="auto"/>
          <w:szCs w:val="21"/>
        </w:rPr>
        <w:t>项目</w:t>
      </w:r>
      <w:r>
        <w:rPr>
          <w:rFonts w:hint="eastAsia" w:ascii="新宋体" w:hAnsi="新宋体" w:eastAsia="新宋体" w:cs="新宋体"/>
          <w:color w:val="auto"/>
          <w:szCs w:val="21"/>
          <w:u w:val="single"/>
          <w:lang w:val="en-US" w:eastAsia="zh-CN"/>
        </w:rPr>
        <w:t xml:space="preserve">    分标</w:t>
      </w:r>
      <w:r>
        <w:rPr>
          <w:rFonts w:hint="eastAsia" w:ascii="新宋体" w:hAnsi="新宋体" w:eastAsia="新宋体" w:cs="新宋体"/>
          <w:color w:val="auto"/>
          <w:szCs w:val="21"/>
        </w:rPr>
        <w:t>的</w:t>
      </w:r>
      <w:r>
        <w:rPr>
          <w:rFonts w:hint="eastAsia" w:ascii="新宋体" w:hAnsi="新宋体" w:eastAsia="新宋体" w:cs="新宋体"/>
          <w:color w:val="auto"/>
          <w:szCs w:val="21"/>
          <w:lang w:eastAsia="zh-CN"/>
        </w:rPr>
        <w:t>磋商</w:t>
      </w:r>
      <w:r>
        <w:rPr>
          <w:rFonts w:hint="eastAsia" w:ascii="新宋体" w:hAnsi="新宋体" w:eastAsia="新宋体" w:cs="新宋体"/>
          <w:color w:val="auto"/>
          <w:szCs w:val="21"/>
        </w:rPr>
        <w:t>活动，并代表我方全权办理针对上述项目的</w:t>
      </w:r>
      <w:r>
        <w:rPr>
          <w:rFonts w:hint="eastAsia" w:ascii="新宋体" w:hAnsi="新宋体" w:eastAsia="新宋体" w:cs="新宋体"/>
          <w:color w:val="auto"/>
          <w:szCs w:val="21"/>
          <w:lang w:eastAsia="zh-CN"/>
        </w:rPr>
        <w:t>磋商</w:t>
      </w:r>
      <w:r>
        <w:rPr>
          <w:rFonts w:hint="eastAsia" w:ascii="新宋体" w:hAnsi="新宋体" w:eastAsia="新宋体" w:cs="新宋体"/>
          <w:color w:val="auto"/>
          <w:szCs w:val="21"/>
        </w:rPr>
        <w:t>、开标、评标、签约等具体事务和签署相关文件。</w:t>
      </w:r>
    </w:p>
    <w:p>
      <w:pPr>
        <w:snapToGrid w:val="0"/>
        <w:spacing w:before="120" w:beforeLines="50" w:after="50" w:line="440" w:lineRule="exact"/>
        <w:rPr>
          <w:rFonts w:hint="eastAsia" w:ascii="新宋体" w:hAnsi="新宋体" w:eastAsia="新宋体" w:cs="新宋体"/>
          <w:color w:val="auto"/>
          <w:szCs w:val="21"/>
        </w:rPr>
      </w:pPr>
      <w:r>
        <w:rPr>
          <w:rFonts w:hint="eastAsia" w:ascii="新宋体" w:hAnsi="新宋体" w:eastAsia="新宋体" w:cs="新宋体"/>
          <w:color w:val="auto"/>
          <w:szCs w:val="21"/>
        </w:rPr>
        <w:t xml:space="preserve">    我方对被授权人的签名事项负全部责任。</w:t>
      </w:r>
    </w:p>
    <w:p>
      <w:pPr>
        <w:snapToGrid w:val="0"/>
        <w:spacing w:before="120" w:beforeLines="50" w:after="50" w:line="440" w:lineRule="exact"/>
        <w:ind w:firstLine="480"/>
        <w:rPr>
          <w:rFonts w:hint="eastAsia" w:ascii="新宋体" w:hAnsi="新宋体" w:eastAsia="新宋体" w:cs="新宋体"/>
          <w:color w:val="auto"/>
          <w:szCs w:val="21"/>
        </w:rPr>
      </w:pPr>
      <w:r>
        <w:rPr>
          <w:rFonts w:hint="eastAsia" w:ascii="新宋体" w:hAnsi="新宋体" w:eastAsia="新宋体" w:cs="新宋体"/>
          <w:color w:val="auto"/>
          <w:szCs w:val="21"/>
          <w:u w:val="single"/>
        </w:rPr>
        <w:t>在撤销授权的书面通知以前，本授权书一直有效。</w:t>
      </w:r>
      <w:r>
        <w:rPr>
          <w:rFonts w:hint="eastAsia" w:ascii="新宋体" w:hAnsi="新宋体" w:eastAsia="新宋体" w:cs="新宋体"/>
          <w:color w:val="auto"/>
          <w:szCs w:val="21"/>
        </w:rPr>
        <w:t>被授权人在授权书有效期内签署的所有文件不因授权的撤销而失效。</w:t>
      </w:r>
    </w:p>
    <w:p>
      <w:pPr>
        <w:snapToGrid w:val="0"/>
        <w:spacing w:before="120" w:beforeLines="50" w:after="50" w:line="440" w:lineRule="exact"/>
        <w:ind w:firstLine="480"/>
        <w:rPr>
          <w:rFonts w:hint="eastAsia" w:ascii="新宋体" w:hAnsi="新宋体" w:eastAsia="新宋体" w:cs="新宋体"/>
          <w:color w:val="auto"/>
          <w:szCs w:val="21"/>
        </w:rPr>
      </w:pPr>
      <w:r>
        <w:rPr>
          <w:rFonts w:hint="eastAsia" w:ascii="新宋体" w:hAnsi="新宋体" w:eastAsia="新宋体" w:cs="新宋体"/>
          <w:color w:val="auto"/>
          <w:szCs w:val="21"/>
        </w:rPr>
        <w:t>被授权人无转委托权，特此委托。</w:t>
      </w:r>
    </w:p>
    <w:p>
      <w:pPr>
        <w:snapToGrid w:val="0"/>
        <w:spacing w:before="120" w:beforeLines="50" w:after="50" w:line="440" w:lineRule="exact"/>
        <w:rPr>
          <w:rFonts w:hint="eastAsia" w:ascii="新宋体" w:hAnsi="新宋体" w:eastAsia="新宋体" w:cs="新宋体"/>
          <w:color w:val="auto"/>
          <w:szCs w:val="21"/>
          <w:u w:val="single"/>
        </w:rPr>
      </w:pPr>
      <w:r>
        <w:rPr>
          <w:rFonts w:hint="eastAsia" w:ascii="新宋体" w:hAnsi="新宋体" w:eastAsia="新宋体" w:cs="新宋体"/>
          <w:color w:val="auto"/>
          <w:szCs w:val="21"/>
        </w:rPr>
        <w:t>被授权人签名：</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 xml:space="preserve">                 法定代表人签名：</w:t>
      </w:r>
      <w:r>
        <w:rPr>
          <w:rFonts w:hint="eastAsia" w:ascii="新宋体" w:hAnsi="新宋体" w:eastAsia="新宋体" w:cs="新宋体"/>
          <w:color w:val="auto"/>
          <w:szCs w:val="21"/>
          <w:u w:val="single"/>
        </w:rPr>
        <w:t xml:space="preserve">          </w:t>
      </w:r>
    </w:p>
    <w:p>
      <w:pPr>
        <w:snapToGrid w:val="0"/>
        <w:spacing w:before="120" w:beforeLines="50" w:after="50" w:line="440" w:lineRule="exact"/>
        <w:rPr>
          <w:rFonts w:hint="eastAsia" w:ascii="新宋体" w:hAnsi="新宋体" w:eastAsia="新宋体" w:cs="新宋体"/>
          <w:color w:val="auto"/>
          <w:szCs w:val="21"/>
        </w:rPr>
      </w:pPr>
      <w:r>
        <w:rPr>
          <w:rFonts w:hint="eastAsia" w:ascii="新宋体" w:hAnsi="新宋体" w:eastAsia="新宋体" w:cs="新宋体"/>
          <w:color w:val="auto"/>
          <w:szCs w:val="21"/>
        </w:rPr>
        <w:t>所在部门职务：</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 xml:space="preserve">                          职务：</w:t>
      </w:r>
      <w:r>
        <w:rPr>
          <w:rFonts w:hint="eastAsia" w:ascii="新宋体" w:hAnsi="新宋体" w:eastAsia="新宋体" w:cs="新宋体"/>
          <w:color w:val="auto"/>
          <w:szCs w:val="21"/>
          <w:u w:val="single"/>
        </w:rPr>
        <w:t xml:space="preserve">           </w:t>
      </w:r>
    </w:p>
    <w:p>
      <w:pPr>
        <w:snapToGrid w:val="0"/>
        <w:spacing w:before="120" w:beforeLines="50" w:after="50" w:line="440" w:lineRule="exact"/>
        <w:rPr>
          <w:rFonts w:hint="eastAsia" w:ascii="新宋体" w:hAnsi="新宋体" w:eastAsia="新宋体" w:cs="新宋体"/>
          <w:color w:val="auto"/>
          <w:szCs w:val="21"/>
        </w:rPr>
      </w:pPr>
      <w:r>
        <w:rPr>
          <w:rFonts w:hint="eastAsia" w:ascii="新宋体" w:hAnsi="新宋体" w:eastAsia="新宋体" w:cs="新宋体"/>
          <w:color w:val="auto"/>
          <w:szCs w:val="21"/>
        </w:rPr>
        <w:t>被授权人身份证号码：</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 xml:space="preserve">                                   </w:t>
      </w:r>
    </w:p>
    <w:p>
      <w:pPr>
        <w:snapToGrid w:val="0"/>
        <w:spacing w:before="120" w:beforeLines="50" w:after="50" w:line="440" w:lineRule="exact"/>
        <w:rPr>
          <w:rFonts w:hint="eastAsia" w:ascii="新宋体" w:hAnsi="新宋体" w:eastAsia="新宋体" w:cs="新宋体"/>
          <w:b/>
          <w:color w:val="auto"/>
          <w:szCs w:val="21"/>
        </w:rPr>
      </w:pPr>
      <w:r>
        <w:rPr>
          <w:rFonts w:hint="eastAsia" w:ascii="新宋体" w:hAnsi="新宋体" w:eastAsia="新宋体" w:cs="新宋体"/>
          <w:b/>
          <w:color w:val="auto"/>
          <w:szCs w:val="21"/>
        </w:rPr>
        <w:t>被授权人身份证复印：</w:t>
      </w:r>
    </w:p>
    <w:p>
      <w:pPr>
        <w:pStyle w:val="2"/>
        <w:rPr>
          <w:rFonts w:hint="eastAsia" w:ascii="新宋体" w:hAnsi="新宋体" w:eastAsia="新宋体" w:cs="新宋体"/>
          <w:b/>
          <w:color w:val="auto"/>
          <w:szCs w:val="21"/>
        </w:rPr>
      </w:pPr>
    </w:p>
    <w:p>
      <w:pPr>
        <w:rPr>
          <w:rFonts w:hint="eastAsia"/>
        </w:rPr>
      </w:pPr>
    </w:p>
    <w:p>
      <w:pPr>
        <w:snapToGrid w:val="0"/>
        <w:spacing w:before="120" w:beforeLines="50" w:after="50" w:line="440" w:lineRule="exact"/>
        <w:ind w:firstLine="4620" w:firstLineChars="2200"/>
        <w:rPr>
          <w:rFonts w:hint="eastAsia" w:ascii="新宋体" w:hAnsi="新宋体" w:eastAsia="新宋体" w:cs="新宋体"/>
          <w:color w:val="auto"/>
          <w:szCs w:val="21"/>
        </w:rPr>
      </w:pPr>
      <w:r>
        <w:rPr>
          <w:rFonts w:hint="eastAsia" w:ascii="新宋体" w:hAnsi="新宋体" w:eastAsia="新宋体" w:cs="新宋体"/>
          <w:color w:val="auto"/>
          <w:szCs w:val="21"/>
        </w:rPr>
        <w:t xml:space="preserve">  </w:t>
      </w:r>
      <w:r>
        <w:rPr>
          <w:rFonts w:hint="eastAsia" w:ascii="新宋体" w:hAnsi="新宋体" w:eastAsia="新宋体" w:cs="新宋体"/>
          <w:b/>
          <w:sz w:val="21"/>
          <w:szCs w:val="21"/>
          <w:highlight w:val="none"/>
        </w:rPr>
        <w:t>供应商（盖章）</w:t>
      </w:r>
      <w:r>
        <w:rPr>
          <w:rFonts w:hint="eastAsia" w:ascii="新宋体" w:hAnsi="新宋体" w:eastAsia="新宋体" w:cs="新宋体"/>
          <w:color w:val="auto"/>
          <w:szCs w:val="21"/>
        </w:rPr>
        <w:t>：</w:t>
      </w:r>
    </w:p>
    <w:p>
      <w:pPr>
        <w:snapToGrid w:val="0"/>
        <w:spacing w:before="120" w:beforeLines="50" w:after="50" w:line="440" w:lineRule="exact"/>
        <w:jc w:val="center"/>
        <w:rPr>
          <w:rFonts w:hint="eastAsia" w:ascii="新宋体" w:hAnsi="新宋体" w:eastAsia="新宋体" w:cs="新宋体"/>
          <w:color w:val="auto"/>
          <w:szCs w:val="21"/>
        </w:rPr>
      </w:pPr>
      <w:r>
        <w:rPr>
          <w:rFonts w:hint="eastAsia" w:ascii="新宋体" w:hAnsi="新宋体" w:eastAsia="新宋体" w:cs="新宋体"/>
          <w:color w:val="auto"/>
          <w:szCs w:val="21"/>
        </w:rPr>
        <w:t xml:space="preserve">                                        年    月    日</w:t>
      </w:r>
    </w:p>
    <w:p>
      <w:pPr>
        <w:rPr>
          <w:rFonts w:hint="eastAsia"/>
        </w:rPr>
      </w:pPr>
      <w:r>
        <w:rPr>
          <w:rFonts w:hint="eastAsia"/>
        </w:rPr>
        <w:br w:type="page"/>
      </w:r>
    </w:p>
    <w:p>
      <w:pPr>
        <w:snapToGrid w:val="0"/>
        <w:spacing w:before="120" w:beforeLines="50" w:after="50" w:line="440" w:lineRule="exact"/>
        <w:jc w:val="center"/>
        <w:rPr>
          <w:rFonts w:hint="eastAsia" w:ascii="新宋体" w:hAnsi="新宋体" w:eastAsia="新宋体" w:cs="新宋体"/>
          <w:b/>
          <w:color w:val="auto"/>
          <w:sz w:val="32"/>
          <w:szCs w:val="32"/>
        </w:rPr>
      </w:pPr>
      <w:r>
        <w:rPr>
          <w:rFonts w:hint="eastAsia" w:ascii="新宋体" w:hAnsi="新宋体" w:eastAsia="新宋体" w:cs="新宋体"/>
          <w:b/>
          <w:color w:val="auto"/>
          <w:sz w:val="32"/>
          <w:szCs w:val="32"/>
        </w:rPr>
        <w:t>7.商务响应表</w:t>
      </w:r>
    </w:p>
    <w:p>
      <w:pPr>
        <w:pStyle w:val="2"/>
        <w:rPr>
          <w:rFonts w:hint="eastAsia"/>
        </w:rPr>
      </w:pPr>
    </w:p>
    <w:tbl>
      <w:tblPr>
        <w:tblStyle w:val="2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1464"/>
        <w:gridCol w:w="2240"/>
        <w:gridCol w:w="264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94"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center"/>
              <w:textAlignment w:val="auto"/>
              <w:rPr>
                <w:rFonts w:hint="eastAsia" w:ascii="新宋体" w:hAnsi="新宋体" w:eastAsia="新宋体" w:cs="新宋体"/>
                <w:sz w:val="21"/>
                <w:szCs w:val="21"/>
              </w:rPr>
            </w:pPr>
            <w:r>
              <w:rPr>
                <w:rFonts w:hint="eastAsia" w:ascii="新宋体" w:hAnsi="新宋体" w:eastAsia="新宋体" w:cs="新宋体"/>
                <w:sz w:val="21"/>
                <w:szCs w:val="21"/>
              </w:rPr>
              <w:t>序号</w:t>
            </w:r>
          </w:p>
        </w:tc>
        <w:tc>
          <w:tcPr>
            <w:tcW w:w="1464"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center"/>
              <w:textAlignment w:val="auto"/>
              <w:rPr>
                <w:rFonts w:hint="eastAsia" w:ascii="新宋体" w:hAnsi="新宋体" w:eastAsia="新宋体" w:cs="新宋体"/>
                <w:sz w:val="21"/>
                <w:szCs w:val="21"/>
              </w:rPr>
            </w:pPr>
            <w:r>
              <w:rPr>
                <w:rFonts w:hint="eastAsia" w:ascii="新宋体" w:hAnsi="新宋体" w:eastAsia="新宋体" w:cs="新宋体"/>
                <w:sz w:val="21"/>
                <w:szCs w:val="21"/>
              </w:rPr>
              <w:t>商务条款</w:t>
            </w:r>
          </w:p>
        </w:tc>
        <w:tc>
          <w:tcPr>
            <w:tcW w:w="2240"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center"/>
              <w:textAlignment w:val="auto"/>
              <w:rPr>
                <w:rFonts w:hint="eastAsia" w:ascii="新宋体" w:hAnsi="新宋体" w:eastAsia="新宋体" w:cs="新宋体"/>
                <w:sz w:val="21"/>
                <w:szCs w:val="21"/>
              </w:rPr>
            </w:pPr>
            <w:r>
              <w:rPr>
                <w:rFonts w:hint="eastAsia" w:ascii="新宋体" w:hAnsi="新宋体" w:eastAsia="新宋体" w:cs="新宋体"/>
                <w:sz w:val="21"/>
                <w:szCs w:val="21"/>
              </w:rPr>
              <w:t>商务要求</w:t>
            </w:r>
          </w:p>
        </w:tc>
        <w:tc>
          <w:tcPr>
            <w:tcW w:w="2640" w:type="dxa"/>
            <w:tcBorders>
              <w:tl2br w:val="nil"/>
              <w:tr2bl w:val="nil"/>
            </w:tcBorders>
            <w:noWrap w:val="0"/>
            <w:vAlign w:val="top"/>
          </w:tcPr>
          <w:p>
            <w:pPr>
              <w:snapToGrid w:val="0"/>
              <w:spacing w:before="120" w:beforeLines="50"/>
              <w:jc w:val="center"/>
              <w:rPr>
                <w:rFonts w:hint="eastAsia" w:ascii="新宋体" w:hAnsi="新宋体" w:eastAsia="新宋体" w:cs="新宋体"/>
                <w:sz w:val="21"/>
                <w:szCs w:val="21"/>
              </w:rPr>
            </w:pPr>
            <w:r>
              <w:rPr>
                <w:rFonts w:hint="eastAsia" w:ascii="新宋体" w:hAnsi="新宋体" w:eastAsia="新宋体" w:cs="新宋体"/>
                <w:color w:val="auto"/>
                <w:szCs w:val="21"/>
              </w:rPr>
              <w:t>是否响应</w:t>
            </w:r>
          </w:p>
        </w:tc>
        <w:tc>
          <w:tcPr>
            <w:tcW w:w="2640" w:type="dxa"/>
            <w:tcBorders>
              <w:tl2br w:val="nil"/>
              <w:tr2bl w:val="nil"/>
            </w:tcBorders>
            <w:noWrap w:val="0"/>
            <w:vAlign w:val="top"/>
          </w:tcPr>
          <w:p>
            <w:pPr>
              <w:snapToGrid w:val="0"/>
              <w:spacing w:before="120" w:beforeLines="50"/>
              <w:jc w:val="center"/>
              <w:rPr>
                <w:rFonts w:hint="eastAsia" w:ascii="新宋体" w:hAnsi="新宋体" w:eastAsia="新宋体" w:cs="新宋体"/>
                <w:sz w:val="21"/>
                <w:szCs w:val="21"/>
              </w:rPr>
            </w:pPr>
            <w:r>
              <w:rPr>
                <w:rFonts w:hint="eastAsia" w:ascii="新宋体" w:hAnsi="新宋体" w:eastAsia="新宋体" w:cs="新宋体"/>
                <w:color w:val="auto"/>
                <w:szCs w:val="21"/>
                <w:lang w:val="en-US" w:eastAsia="zh-CN"/>
              </w:rPr>
              <w:t>供应商</w:t>
            </w:r>
            <w:r>
              <w:rPr>
                <w:rFonts w:hint="eastAsia" w:ascii="新宋体" w:hAnsi="新宋体" w:eastAsia="新宋体" w:cs="新宋体"/>
                <w:color w:val="auto"/>
                <w:szCs w:val="21"/>
              </w:rPr>
              <w:t>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94"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center"/>
              <w:textAlignment w:val="auto"/>
              <w:rPr>
                <w:rFonts w:hint="eastAsia" w:ascii="新宋体" w:hAnsi="新宋体" w:eastAsia="新宋体" w:cs="新宋体"/>
                <w:sz w:val="21"/>
                <w:szCs w:val="21"/>
              </w:rPr>
            </w:pPr>
            <w:r>
              <w:rPr>
                <w:rFonts w:hint="eastAsia" w:ascii="新宋体" w:hAnsi="新宋体" w:eastAsia="新宋体" w:cs="新宋体"/>
                <w:sz w:val="21"/>
                <w:szCs w:val="21"/>
              </w:rPr>
              <w:t>1</w:t>
            </w:r>
          </w:p>
        </w:tc>
        <w:tc>
          <w:tcPr>
            <w:tcW w:w="1464"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center"/>
              <w:textAlignment w:val="auto"/>
              <w:rPr>
                <w:rFonts w:hint="eastAsia" w:ascii="新宋体" w:hAnsi="新宋体" w:eastAsia="新宋体" w:cs="新宋体"/>
                <w:sz w:val="21"/>
                <w:szCs w:val="21"/>
              </w:rPr>
            </w:pPr>
          </w:p>
        </w:tc>
        <w:tc>
          <w:tcPr>
            <w:tcW w:w="2240"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both"/>
              <w:textAlignment w:val="auto"/>
              <w:rPr>
                <w:rFonts w:hint="eastAsia" w:ascii="新宋体" w:hAnsi="新宋体" w:eastAsia="新宋体" w:cs="新宋体"/>
                <w:sz w:val="21"/>
                <w:szCs w:val="21"/>
              </w:rPr>
            </w:pPr>
          </w:p>
        </w:tc>
        <w:tc>
          <w:tcPr>
            <w:tcW w:w="2640" w:type="dxa"/>
            <w:tcBorders>
              <w:tl2br w:val="nil"/>
              <w:tr2bl w:val="nil"/>
            </w:tcBorders>
            <w:noWrap w:val="0"/>
            <w:vAlign w:val="top"/>
          </w:tcPr>
          <w:p>
            <w:pPr>
              <w:snapToGrid w:val="0"/>
              <w:spacing w:before="120" w:beforeLines="50"/>
              <w:jc w:val="center"/>
              <w:rPr>
                <w:rFonts w:hint="eastAsia" w:ascii="新宋体" w:hAnsi="新宋体" w:eastAsia="新宋体" w:cs="新宋体"/>
                <w:sz w:val="21"/>
                <w:szCs w:val="21"/>
              </w:rPr>
            </w:pPr>
          </w:p>
        </w:tc>
        <w:tc>
          <w:tcPr>
            <w:tcW w:w="2640" w:type="dxa"/>
            <w:tcBorders>
              <w:tl2br w:val="nil"/>
              <w:tr2bl w:val="nil"/>
            </w:tcBorders>
            <w:noWrap w:val="0"/>
            <w:vAlign w:val="top"/>
          </w:tcPr>
          <w:p>
            <w:pPr>
              <w:snapToGrid w:val="0"/>
              <w:spacing w:before="120" w:beforeLines="50"/>
              <w:jc w:val="center"/>
              <w:rPr>
                <w:rFonts w:hint="eastAsia" w:ascii="新宋体" w:hAnsi="新宋体" w:eastAsia="新宋体" w:cs="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94"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center"/>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2</w:t>
            </w:r>
          </w:p>
        </w:tc>
        <w:tc>
          <w:tcPr>
            <w:tcW w:w="1464"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center"/>
              <w:textAlignment w:val="auto"/>
              <w:rPr>
                <w:rFonts w:hint="eastAsia" w:ascii="新宋体" w:hAnsi="新宋体" w:eastAsia="新宋体" w:cs="新宋体"/>
                <w:sz w:val="21"/>
                <w:szCs w:val="21"/>
                <w:highlight w:val="none"/>
              </w:rPr>
            </w:pPr>
          </w:p>
        </w:tc>
        <w:tc>
          <w:tcPr>
            <w:tcW w:w="2240"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both"/>
              <w:textAlignment w:val="auto"/>
              <w:rPr>
                <w:rFonts w:hint="eastAsia" w:ascii="新宋体" w:hAnsi="新宋体" w:eastAsia="新宋体" w:cs="新宋体"/>
                <w:sz w:val="21"/>
                <w:szCs w:val="21"/>
                <w:highlight w:val="none"/>
              </w:rPr>
            </w:pPr>
          </w:p>
        </w:tc>
        <w:tc>
          <w:tcPr>
            <w:tcW w:w="2640" w:type="dxa"/>
            <w:tcBorders>
              <w:tl2br w:val="nil"/>
              <w:tr2bl w:val="nil"/>
            </w:tcBorders>
            <w:noWrap w:val="0"/>
            <w:vAlign w:val="top"/>
          </w:tcPr>
          <w:p>
            <w:pPr>
              <w:snapToGrid w:val="0"/>
              <w:spacing w:before="120" w:beforeLines="50"/>
              <w:jc w:val="center"/>
              <w:rPr>
                <w:rFonts w:hint="eastAsia" w:ascii="新宋体" w:hAnsi="新宋体" w:eastAsia="新宋体" w:cs="新宋体"/>
                <w:sz w:val="21"/>
                <w:szCs w:val="21"/>
                <w:highlight w:val="none"/>
              </w:rPr>
            </w:pPr>
          </w:p>
        </w:tc>
        <w:tc>
          <w:tcPr>
            <w:tcW w:w="2640" w:type="dxa"/>
            <w:tcBorders>
              <w:tl2br w:val="nil"/>
              <w:tr2bl w:val="nil"/>
            </w:tcBorders>
            <w:noWrap w:val="0"/>
            <w:vAlign w:val="top"/>
          </w:tcPr>
          <w:p>
            <w:pPr>
              <w:snapToGrid w:val="0"/>
              <w:spacing w:before="120" w:beforeLines="50"/>
              <w:jc w:val="center"/>
              <w:rPr>
                <w:rFonts w:hint="eastAsia" w:ascii="新宋体" w:hAnsi="新宋体" w:eastAsia="新宋体" w:cs="新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94"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center"/>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3</w:t>
            </w:r>
          </w:p>
        </w:tc>
        <w:tc>
          <w:tcPr>
            <w:tcW w:w="1464"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center"/>
              <w:textAlignment w:val="auto"/>
              <w:rPr>
                <w:rFonts w:hint="eastAsia" w:ascii="新宋体" w:hAnsi="新宋体" w:eastAsia="新宋体" w:cs="新宋体"/>
                <w:sz w:val="21"/>
                <w:szCs w:val="21"/>
                <w:highlight w:val="none"/>
              </w:rPr>
            </w:pPr>
          </w:p>
        </w:tc>
        <w:tc>
          <w:tcPr>
            <w:tcW w:w="2240"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both"/>
              <w:textAlignment w:val="auto"/>
              <w:rPr>
                <w:rFonts w:hint="eastAsia" w:ascii="新宋体" w:hAnsi="新宋体" w:eastAsia="新宋体" w:cs="新宋体"/>
                <w:sz w:val="21"/>
                <w:szCs w:val="21"/>
                <w:highlight w:val="none"/>
              </w:rPr>
            </w:pPr>
          </w:p>
        </w:tc>
        <w:tc>
          <w:tcPr>
            <w:tcW w:w="2640" w:type="dxa"/>
            <w:tcBorders>
              <w:tl2br w:val="nil"/>
              <w:tr2bl w:val="nil"/>
            </w:tcBorders>
            <w:noWrap w:val="0"/>
            <w:vAlign w:val="top"/>
          </w:tcPr>
          <w:p>
            <w:pPr>
              <w:snapToGrid w:val="0"/>
              <w:spacing w:before="120" w:beforeLines="50"/>
              <w:jc w:val="center"/>
              <w:rPr>
                <w:rFonts w:hint="eastAsia" w:ascii="新宋体" w:hAnsi="新宋体" w:eastAsia="新宋体" w:cs="新宋体"/>
                <w:sz w:val="21"/>
                <w:szCs w:val="21"/>
                <w:highlight w:val="none"/>
              </w:rPr>
            </w:pPr>
          </w:p>
        </w:tc>
        <w:tc>
          <w:tcPr>
            <w:tcW w:w="2640" w:type="dxa"/>
            <w:tcBorders>
              <w:tl2br w:val="nil"/>
              <w:tr2bl w:val="nil"/>
            </w:tcBorders>
            <w:noWrap w:val="0"/>
            <w:vAlign w:val="top"/>
          </w:tcPr>
          <w:p>
            <w:pPr>
              <w:snapToGrid w:val="0"/>
              <w:spacing w:before="120" w:beforeLines="50"/>
              <w:jc w:val="center"/>
              <w:rPr>
                <w:rFonts w:hint="eastAsia" w:ascii="新宋体" w:hAnsi="新宋体" w:eastAsia="新宋体" w:cs="新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94"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center"/>
              <w:textAlignment w:val="auto"/>
              <w:rPr>
                <w:rFonts w:hint="eastAsia" w:ascii="新宋体" w:hAnsi="新宋体" w:eastAsia="新宋体" w:cs="新宋体"/>
                <w:sz w:val="21"/>
                <w:szCs w:val="21"/>
              </w:rPr>
            </w:pPr>
            <w:r>
              <w:rPr>
                <w:rFonts w:hint="eastAsia" w:ascii="新宋体" w:hAnsi="新宋体" w:eastAsia="新宋体" w:cs="新宋体"/>
                <w:sz w:val="21"/>
                <w:szCs w:val="21"/>
              </w:rPr>
              <w:t>4</w:t>
            </w:r>
          </w:p>
        </w:tc>
        <w:tc>
          <w:tcPr>
            <w:tcW w:w="1464"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center"/>
              <w:textAlignment w:val="auto"/>
              <w:rPr>
                <w:rFonts w:hint="eastAsia" w:ascii="新宋体" w:hAnsi="新宋体" w:eastAsia="新宋体" w:cs="新宋体"/>
                <w:sz w:val="21"/>
                <w:szCs w:val="21"/>
              </w:rPr>
            </w:pPr>
          </w:p>
        </w:tc>
        <w:tc>
          <w:tcPr>
            <w:tcW w:w="2240"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both"/>
              <w:textAlignment w:val="auto"/>
              <w:rPr>
                <w:rFonts w:hint="eastAsia" w:ascii="新宋体" w:hAnsi="新宋体" w:eastAsia="新宋体" w:cs="新宋体"/>
                <w:sz w:val="21"/>
                <w:szCs w:val="21"/>
              </w:rPr>
            </w:pPr>
          </w:p>
        </w:tc>
        <w:tc>
          <w:tcPr>
            <w:tcW w:w="2640" w:type="dxa"/>
            <w:tcBorders>
              <w:tl2br w:val="nil"/>
              <w:tr2bl w:val="nil"/>
            </w:tcBorders>
            <w:noWrap w:val="0"/>
            <w:vAlign w:val="top"/>
          </w:tcPr>
          <w:p>
            <w:pPr>
              <w:snapToGrid w:val="0"/>
              <w:spacing w:before="120" w:beforeLines="50"/>
              <w:jc w:val="center"/>
              <w:rPr>
                <w:rFonts w:hint="eastAsia" w:ascii="新宋体" w:hAnsi="新宋体" w:eastAsia="新宋体" w:cs="新宋体"/>
                <w:sz w:val="21"/>
                <w:szCs w:val="21"/>
                <w:lang w:eastAsia="zh-CN"/>
              </w:rPr>
            </w:pPr>
          </w:p>
        </w:tc>
        <w:tc>
          <w:tcPr>
            <w:tcW w:w="2640" w:type="dxa"/>
            <w:tcBorders>
              <w:tl2br w:val="nil"/>
              <w:tr2bl w:val="nil"/>
            </w:tcBorders>
            <w:noWrap w:val="0"/>
            <w:vAlign w:val="top"/>
          </w:tcPr>
          <w:p>
            <w:pPr>
              <w:snapToGrid w:val="0"/>
              <w:spacing w:before="120" w:beforeLines="50"/>
              <w:jc w:val="center"/>
              <w:rPr>
                <w:rFonts w:hint="eastAsia" w:ascii="新宋体" w:hAnsi="新宋体" w:eastAsia="新宋体" w:cs="新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94"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center"/>
              <w:textAlignment w:val="auto"/>
              <w:rPr>
                <w:rFonts w:hint="eastAsia" w:ascii="新宋体" w:hAnsi="新宋体" w:eastAsia="新宋体" w:cs="新宋体"/>
                <w:sz w:val="21"/>
                <w:szCs w:val="21"/>
              </w:rPr>
            </w:pPr>
            <w:r>
              <w:rPr>
                <w:rFonts w:hint="eastAsia" w:ascii="新宋体" w:hAnsi="新宋体" w:eastAsia="新宋体" w:cs="新宋体"/>
                <w:sz w:val="21"/>
                <w:szCs w:val="21"/>
              </w:rPr>
              <w:t>5</w:t>
            </w:r>
          </w:p>
        </w:tc>
        <w:tc>
          <w:tcPr>
            <w:tcW w:w="1464"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center"/>
              <w:textAlignment w:val="auto"/>
              <w:rPr>
                <w:rFonts w:hint="eastAsia" w:ascii="新宋体" w:hAnsi="新宋体" w:eastAsia="新宋体" w:cs="新宋体"/>
                <w:sz w:val="21"/>
                <w:szCs w:val="21"/>
                <w:highlight w:val="yellow"/>
              </w:rPr>
            </w:pPr>
          </w:p>
        </w:tc>
        <w:tc>
          <w:tcPr>
            <w:tcW w:w="2240" w:type="dxa"/>
            <w:tcBorders>
              <w:tl2br w:val="nil"/>
              <w:tr2bl w:val="nil"/>
            </w:tcBorders>
            <w:noWrap w:val="0"/>
            <w:vAlign w:val="center"/>
          </w:tcPr>
          <w:p>
            <w:pPr>
              <w:keepNext w:val="0"/>
              <w:keepLines w:val="0"/>
              <w:pageBreakBefore w:val="0"/>
              <w:kinsoku/>
              <w:wordWrap/>
              <w:topLinePunct w:val="0"/>
              <w:autoSpaceDE/>
              <w:autoSpaceDN/>
              <w:bidi w:val="0"/>
              <w:adjustRightInd/>
              <w:spacing w:beforeAutospacing="0" w:line="300" w:lineRule="auto"/>
              <w:jc w:val="both"/>
              <w:textAlignment w:val="auto"/>
              <w:rPr>
                <w:rFonts w:hint="eastAsia" w:ascii="新宋体" w:hAnsi="新宋体" w:eastAsia="新宋体" w:cs="新宋体"/>
                <w:sz w:val="21"/>
                <w:szCs w:val="21"/>
              </w:rPr>
            </w:pPr>
          </w:p>
        </w:tc>
        <w:tc>
          <w:tcPr>
            <w:tcW w:w="2640" w:type="dxa"/>
            <w:tcBorders>
              <w:tl2br w:val="nil"/>
              <w:tr2bl w:val="nil"/>
            </w:tcBorders>
            <w:noWrap w:val="0"/>
            <w:vAlign w:val="top"/>
          </w:tcPr>
          <w:p>
            <w:pPr>
              <w:snapToGrid w:val="0"/>
              <w:spacing w:before="120" w:beforeLines="50"/>
              <w:jc w:val="center"/>
              <w:rPr>
                <w:rFonts w:hint="eastAsia" w:ascii="新宋体" w:hAnsi="新宋体" w:eastAsia="新宋体" w:cs="新宋体"/>
                <w:sz w:val="21"/>
                <w:szCs w:val="21"/>
              </w:rPr>
            </w:pPr>
          </w:p>
        </w:tc>
        <w:tc>
          <w:tcPr>
            <w:tcW w:w="2640" w:type="dxa"/>
            <w:tcBorders>
              <w:tl2br w:val="nil"/>
              <w:tr2bl w:val="nil"/>
            </w:tcBorders>
            <w:noWrap w:val="0"/>
            <w:vAlign w:val="top"/>
          </w:tcPr>
          <w:p>
            <w:pPr>
              <w:snapToGrid w:val="0"/>
              <w:spacing w:before="120" w:beforeLines="50"/>
              <w:jc w:val="center"/>
              <w:rPr>
                <w:rFonts w:hint="eastAsia" w:ascii="新宋体" w:hAnsi="新宋体" w:eastAsia="新宋体" w:cs="新宋体"/>
                <w:sz w:val="21"/>
                <w:szCs w:val="21"/>
              </w:rPr>
            </w:pPr>
          </w:p>
        </w:tc>
      </w:tr>
    </w:tbl>
    <w:p>
      <w:pPr>
        <w:keepNext w:val="0"/>
        <w:keepLines w:val="0"/>
        <w:pageBreakBefore w:val="0"/>
        <w:widowControl w:val="0"/>
        <w:tabs>
          <w:tab w:val="left" w:pos="7200"/>
        </w:tabs>
        <w:kinsoku/>
        <w:wordWrap/>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rPr>
      </w:pPr>
    </w:p>
    <w:p>
      <w:pPr>
        <w:keepNext w:val="0"/>
        <w:keepLines w:val="0"/>
        <w:pageBreakBefore w:val="0"/>
        <w:widowControl w:val="0"/>
        <w:tabs>
          <w:tab w:val="left" w:pos="7200"/>
        </w:tabs>
        <w:kinsoku/>
        <w:wordWrap/>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u w:val="single"/>
        </w:rPr>
      </w:pPr>
      <w:r>
        <w:rPr>
          <w:rFonts w:hint="eastAsia" w:ascii="新宋体" w:hAnsi="新宋体" w:eastAsia="新宋体" w:cs="新宋体"/>
          <w:b/>
          <w:sz w:val="21"/>
          <w:szCs w:val="21"/>
          <w:highlight w:val="none"/>
        </w:rPr>
        <w:t>法定代表人（负责人）或委托代理人签字：</w:t>
      </w:r>
    </w:p>
    <w:p>
      <w:pPr>
        <w:keepNext w:val="0"/>
        <w:keepLines w:val="0"/>
        <w:pageBreakBefore w:val="0"/>
        <w:widowControl w:val="0"/>
        <w:tabs>
          <w:tab w:val="left" w:pos="7200"/>
        </w:tabs>
        <w:kinsoku/>
        <w:wordWrap/>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rPr>
      </w:pPr>
      <w:r>
        <w:rPr>
          <w:rFonts w:hint="eastAsia" w:ascii="新宋体" w:hAnsi="新宋体" w:eastAsia="新宋体" w:cs="新宋体"/>
          <w:b/>
          <w:sz w:val="21"/>
          <w:szCs w:val="21"/>
          <w:highlight w:val="none"/>
        </w:rPr>
        <w:t>供应商（盖章）：</w:t>
      </w:r>
    </w:p>
    <w:p>
      <w:pPr>
        <w:pStyle w:val="8"/>
        <w:keepNext w:val="0"/>
        <w:keepLines w:val="0"/>
        <w:pageBreakBefore w:val="0"/>
        <w:widowControl w:val="0"/>
        <w:kinsoku/>
        <w:wordWrap/>
        <w:overflowPunct w:val="0"/>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rPr>
      </w:pPr>
      <w:r>
        <w:rPr>
          <w:rFonts w:hint="eastAsia" w:ascii="新宋体" w:hAnsi="新宋体" w:eastAsia="新宋体" w:cs="新宋体"/>
          <w:b/>
          <w:sz w:val="21"/>
          <w:szCs w:val="21"/>
          <w:highlight w:val="none"/>
        </w:rPr>
        <w:t xml:space="preserve"> 年    月    日</w:t>
      </w:r>
    </w:p>
    <w:p>
      <w:pPr>
        <w:rPr>
          <w:rFonts w:hint="eastAsia" w:ascii="新宋体" w:hAnsi="新宋体" w:eastAsia="新宋体" w:cs="新宋体"/>
          <w:b/>
          <w:color w:val="auto"/>
          <w:sz w:val="32"/>
          <w:szCs w:val="32"/>
        </w:rPr>
      </w:pPr>
    </w:p>
    <w:p>
      <w:pPr>
        <w:snapToGrid w:val="0"/>
        <w:spacing w:before="120" w:beforeLines="50" w:after="50" w:line="440" w:lineRule="exact"/>
        <w:jc w:val="center"/>
        <w:rPr>
          <w:rFonts w:hint="eastAsia" w:ascii="新宋体" w:hAnsi="新宋体" w:eastAsia="新宋体" w:cs="新宋体"/>
          <w:b/>
          <w:color w:val="auto"/>
          <w:sz w:val="32"/>
          <w:szCs w:val="32"/>
        </w:rPr>
      </w:pPr>
      <w:r>
        <w:rPr>
          <w:rFonts w:hint="eastAsia" w:ascii="新宋体" w:hAnsi="新宋体" w:eastAsia="新宋体" w:cs="新宋体"/>
          <w:b/>
          <w:color w:val="auto"/>
          <w:sz w:val="32"/>
          <w:szCs w:val="32"/>
        </w:rPr>
        <w:t>8.供应商可结合本项目的评标办法视自身情况自行提交相关证明材料。</w:t>
      </w:r>
    </w:p>
    <w:p>
      <w:pPr>
        <w:rPr>
          <w:rFonts w:hint="eastAsia" w:ascii="新宋体" w:hAnsi="新宋体" w:eastAsia="新宋体" w:cs="新宋体"/>
          <w:b/>
          <w:color w:val="auto"/>
          <w:sz w:val="32"/>
          <w:szCs w:val="32"/>
        </w:rPr>
      </w:pPr>
      <w:r>
        <w:rPr>
          <w:rFonts w:hint="eastAsia" w:ascii="新宋体" w:hAnsi="新宋体" w:eastAsia="新宋体" w:cs="新宋体"/>
          <w:b/>
          <w:color w:val="auto"/>
          <w:sz w:val="32"/>
          <w:szCs w:val="32"/>
        </w:rPr>
        <w:br w:type="page"/>
      </w:r>
    </w:p>
    <w:p>
      <w:pPr>
        <w:pStyle w:val="2"/>
        <w:rPr>
          <w:rFonts w:hint="eastAsia" w:ascii="新宋体" w:hAnsi="新宋体" w:eastAsia="新宋体" w:cs="新宋体"/>
          <w:b/>
          <w:bCs/>
          <w:sz w:val="32"/>
          <w:szCs w:val="32"/>
        </w:rPr>
      </w:pPr>
      <w:r>
        <w:rPr>
          <w:rFonts w:hint="eastAsia" w:ascii="新宋体" w:hAnsi="新宋体" w:eastAsia="新宋体" w:cs="新宋体"/>
          <w:b/>
          <w:bCs/>
          <w:sz w:val="32"/>
          <w:szCs w:val="32"/>
          <w:lang w:val="en-US" w:eastAsia="zh-CN"/>
        </w:rPr>
        <w:t>二</w:t>
      </w:r>
      <w:r>
        <w:rPr>
          <w:rFonts w:hint="eastAsia" w:ascii="新宋体" w:hAnsi="新宋体" w:eastAsia="新宋体" w:cs="新宋体"/>
          <w:b/>
          <w:bCs/>
          <w:sz w:val="32"/>
          <w:szCs w:val="32"/>
        </w:rPr>
        <w:t>、</w:t>
      </w:r>
      <w:r>
        <w:rPr>
          <w:rFonts w:hint="eastAsia" w:ascii="新宋体" w:hAnsi="新宋体" w:eastAsia="新宋体" w:cs="新宋体"/>
          <w:b/>
          <w:bCs/>
          <w:sz w:val="32"/>
          <w:szCs w:val="32"/>
          <w:lang w:val="en-US" w:eastAsia="zh-CN"/>
        </w:rPr>
        <w:t>报价</w:t>
      </w:r>
      <w:r>
        <w:rPr>
          <w:rFonts w:hint="eastAsia" w:ascii="新宋体" w:hAnsi="新宋体" w:eastAsia="新宋体" w:cs="新宋体"/>
          <w:b/>
          <w:bCs/>
          <w:sz w:val="32"/>
          <w:szCs w:val="32"/>
        </w:rPr>
        <w:t>部分</w:t>
      </w:r>
    </w:p>
    <w:p>
      <w:pPr>
        <w:pStyle w:val="12"/>
        <w:snapToGrid w:val="0"/>
        <w:spacing w:before="295" w:after="295" w:line="400" w:lineRule="exact"/>
        <w:ind w:left="-2" w:leftChars="-1" w:firstLine="2"/>
        <w:jc w:val="center"/>
        <w:rPr>
          <w:rFonts w:hint="eastAsia" w:ascii="新宋体" w:hAnsi="新宋体" w:eastAsia="新宋体" w:cs="新宋体"/>
          <w:b/>
          <w:color w:val="auto"/>
          <w:lang w:eastAsia="zh-CN"/>
        </w:rPr>
      </w:pPr>
      <w:r>
        <w:rPr>
          <w:rFonts w:hint="eastAsia" w:ascii="新宋体" w:hAnsi="新宋体" w:eastAsia="新宋体" w:cs="新宋体"/>
          <w:b/>
          <w:color w:val="auto"/>
          <w:lang w:val="en-US" w:eastAsia="zh-CN"/>
        </w:rPr>
        <w:t>1.</w:t>
      </w:r>
      <w:r>
        <w:rPr>
          <w:rFonts w:hint="eastAsia" w:ascii="新宋体" w:hAnsi="新宋体" w:eastAsia="新宋体" w:cs="新宋体"/>
          <w:b/>
          <w:color w:val="auto"/>
        </w:rPr>
        <w:t>投标报价明细表</w:t>
      </w:r>
      <w:r>
        <w:rPr>
          <w:rFonts w:hint="eastAsia" w:ascii="新宋体" w:hAnsi="新宋体" w:eastAsia="新宋体" w:cs="新宋体"/>
          <w:b/>
          <w:color w:val="auto"/>
          <w:lang w:eastAsia="zh-CN"/>
        </w:rPr>
        <w:t>（</w:t>
      </w:r>
      <w:r>
        <w:rPr>
          <w:rFonts w:hint="eastAsia" w:ascii="新宋体" w:hAnsi="新宋体" w:eastAsia="新宋体" w:cs="新宋体"/>
          <w:b/>
          <w:color w:val="auto"/>
          <w:lang w:val="en-US" w:eastAsia="zh-CN"/>
        </w:rPr>
        <w:t>格式</w:t>
      </w:r>
      <w:r>
        <w:rPr>
          <w:rFonts w:hint="eastAsia" w:ascii="新宋体" w:hAnsi="新宋体" w:eastAsia="新宋体" w:cs="新宋体"/>
          <w:b/>
          <w:color w:val="auto"/>
          <w:lang w:eastAsia="zh-CN"/>
        </w:rPr>
        <w:t>）</w:t>
      </w:r>
    </w:p>
    <w:p>
      <w:pPr>
        <w:snapToGrid w:val="0"/>
        <w:spacing w:before="50" w:after="50"/>
        <w:rPr>
          <w:rFonts w:hint="eastAsia" w:ascii="新宋体" w:hAnsi="新宋体" w:eastAsia="新宋体" w:cs="新宋体"/>
          <w:color w:val="auto"/>
          <w:szCs w:val="21"/>
          <w:u w:val="single"/>
        </w:rPr>
      </w:pPr>
      <w:r>
        <w:rPr>
          <w:rFonts w:hint="eastAsia" w:ascii="新宋体" w:hAnsi="新宋体" w:eastAsia="新宋体" w:cs="新宋体"/>
          <w:color w:val="auto"/>
          <w:szCs w:val="21"/>
          <w:lang w:val="en-US" w:eastAsia="zh-CN"/>
        </w:rPr>
        <w:t>项目</w:t>
      </w:r>
      <w:r>
        <w:rPr>
          <w:rFonts w:hint="eastAsia" w:ascii="新宋体" w:hAnsi="新宋体" w:eastAsia="新宋体" w:cs="新宋体"/>
          <w:color w:val="auto"/>
          <w:szCs w:val="21"/>
        </w:rPr>
        <w:t>编号：</w:t>
      </w:r>
      <w:r>
        <w:rPr>
          <w:rFonts w:hint="eastAsia" w:ascii="新宋体" w:hAnsi="新宋体" w:eastAsia="新宋体" w:cs="新宋体"/>
          <w:color w:val="auto"/>
          <w:szCs w:val="21"/>
          <w:u w:val="single"/>
        </w:rPr>
        <w:t xml:space="preserve">                </w:t>
      </w:r>
    </w:p>
    <w:p>
      <w:pPr>
        <w:snapToGrid w:val="0"/>
        <w:spacing w:before="50" w:after="50"/>
        <w:rPr>
          <w:rFonts w:hint="eastAsia" w:ascii="新宋体" w:hAnsi="新宋体" w:eastAsia="新宋体" w:cs="新宋体"/>
          <w:color w:val="auto"/>
          <w:szCs w:val="21"/>
        </w:rPr>
      </w:pPr>
      <w:r>
        <w:rPr>
          <w:rFonts w:hint="eastAsia" w:ascii="新宋体" w:hAnsi="新宋体" w:eastAsia="新宋体" w:cs="新宋体"/>
          <w:color w:val="auto"/>
          <w:szCs w:val="21"/>
          <w:lang w:val="en-US" w:eastAsia="zh-CN"/>
        </w:rPr>
        <w:t>供应商</w:t>
      </w:r>
      <w:r>
        <w:rPr>
          <w:rFonts w:hint="eastAsia" w:ascii="新宋体" w:hAnsi="新宋体" w:eastAsia="新宋体" w:cs="新宋体"/>
          <w:color w:val="auto"/>
          <w:szCs w:val="21"/>
        </w:rPr>
        <w:t>名称：</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 xml:space="preserve"> </w:t>
      </w:r>
    </w:p>
    <w:p>
      <w:pPr>
        <w:rPr>
          <w:rFonts w:hint="eastAsia"/>
          <w:lang w:eastAsia="zh-CN"/>
        </w:rPr>
      </w:pPr>
      <w:r>
        <w:rPr>
          <w:rFonts w:hint="eastAsia" w:ascii="新宋体" w:hAnsi="新宋体" w:eastAsia="新宋体" w:cs="新宋体"/>
          <w:color w:val="auto"/>
          <w:szCs w:val="21"/>
          <w:lang w:val="en-US" w:eastAsia="zh-CN"/>
        </w:rPr>
        <w:t>标项：</w:t>
      </w:r>
      <w:r>
        <w:rPr>
          <w:rFonts w:hint="eastAsia" w:ascii="新宋体" w:hAnsi="新宋体" w:eastAsia="新宋体" w:cs="新宋体"/>
          <w:color w:val="auto"/>
          <w:szCs w:val="21"/>
          <w:u w:val="single"/>
          <w:lang w:val="en-US" w:eastAsia="zh-CN"/>
        </w:rPr>
        <w:t xml:space="preserve">    </w:t>
      </w:r>
      <w:r>
        <w:rPr>
          <w:rFonts w:hint="eastAsia" w:ascii="新宋体" w:hAnsi="新宋体" w:eastAsia="新宋体" w:cs="新宋体"/>
          <w:color w:val="auto"/>
          <w:szCs w:val="21"/>
          <w:lang w:val="en-US" w:eastAsia="zh-CN"/>
        </w:rPr>
        <w:t>分标</w:t>
      </w:r>
      <w:r>
        <w:rPr>
          <w:rFonts w:hint="eastAsia" w:ascii="新宋体" w:hAnsi="新宋体" w:eastAsia="新宋体" w:cs="新宋体"/>
          <w:color w:val="auto"/>
          <w:szCs w:val="21"/>
        </w:rPr>
        <w:t xml:space="preserve">       </w:t>
      </w:r>
    </w:p>
    <w:tbl>
      <w:tblPr>
        <w:tblStyle w:val="22"/>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6"/>
        <w:gridCol w:w="2010"/>
        <w:gridCol w:w="1965"/>
        <w:gridCol w:w="680"/>
        <w:gridCol w:w="989"/>
        <w:gridCol w:w="1275"/>
        <w:gridCol w:w="1231"/>
        <w:gridCol w:w="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40" w:lineRule="exact"/>
              <w:jc w:val="center"/>
              <w:rPr>
                <w:rFonts w:hint="eastAsia" w:ascii="新宋体" w:hAnsi="新宋体" w:eastAsia="新宋体" w:cs="新宋体"/>
                <w:color w:val="auto"/>
                <w:szCs w:val="21"/>
              </w:rPr>
            </w:pPr>
            <w:r>
              <w:rPr>
                <w:rFonts w:hint="eastAsia" w:ascii="新宋体" w:hAnsi="新宋体" w:eastAsia="新宋体" w:cs="新宋体"/>
                <w:color w:val="auto"/>
                <w:szCs w:val="21"/>
              </w:rPr>
              <w:t>序号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40" w:lineRule="exact"/>
              <w:jc w:val="center"/>
              <w:rPr>
                <w:rFonts w:hint="eastAsia" w:ascii="新宋体" w:hAnsi="新宋体" w:eastAsia="新宋体" w:cs="新宋体"/>
                <w:color w:val="auto"/>
                <w:szCs w:val="21"/>
                <w:lang w:eastAsia="zh-CN"/>
              </w:rPr>
            </w:pPr>
            <w:r>
              <w:rPr>
                <w:rFonts w:hint="eastAsia" w:ascii="新宋体" w:hAnsi="新宋体" w:eastAsia="新宋体" w:cs="新宋体"/>
                <w:bCs/>
                <w:sz w:val="21"/>
                <w:szCs w:val="21"/>
              </w:rPr>
              <w:t>采购品目名称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40" w:lineRule="exact"/>
              <w:jc w:val="center"/>
              <w:rPr>
                <w:rFonts w:hint="default" w:ascii="新宋体" w:hAnsi="新宋体" w:eastAsia="新宋体" w:cs="新宋体"/>
                <w:bCs/>
                <w:sz w:val="21"/>
                <w:szCs w:val="21"/>
                <w:lang w:val="en-US" w:eastAsia="zh-CN"/>
              </w:rPr>
            </w:pPr>
            <w:r>
              <w:rPr>
                <w:rFonts w:hint="eastAsia" w:ascii="新宋体" w:hAnsi="新宋体" w:eastAsia="新宋体" w:cs="新宋体"/>
                <w:bCs/>
                <w:sz w:val="21"/>
                <w:szCs w:val="21"/>
                <w:lang w:val="en-US" w:eastAsia="zh-CN"/>
              </w:rPr>
              <w:t>技术参数及内容</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40" w:lineRule="exact"/>
              <w:jc w:val="center"/>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数量</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40" w:lineRule="exact"/>
              <w:jc w:val="center"/>
              <w:rPr>
                <w:rFonts w:hint="default"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单位</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40" w:lineRule="exact"/>
              <w:jc w:val="center"/>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单价（元）</w:t>
            </w:r>
          </w:p>
        </w:tc>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40" w:lineRule="exact"/>
              <w:jc w:val="center"/>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rPr>
            </w:pPr>
            <w:r>
              <w:rPr>
                <w:rFonts w:hint="eastAsia" w:ascii="新宋体" w:hAnsi="新宋体" w:eastAsia="新宋体" w:cs="新宋体"/>
                <w:color w:val="auto"/>
                <w:szCs w:val="21"/>
              </w:rPr>
              <w:t>1</w:t>
            </w: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rPr>
            </w:pPr>
          </w:p>
        </w:tc>
        <w:tc>
          <w:tcPr>
            <w:tcW w:w="6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rPr>
            </w:pPr>
          </w:p>
        </w:tc>
        <w:tc>
          <w:tcPr>
            <w:tcW w:w="123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jc w:val="center"/>
        </w:trPr>
        <w:tc>
          <w:tcPr>
            <w:tcW w:w="9236"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jc w:val="center"/>
        </w:trPr>
        <w:tc>
          <w:tcPr>
            <w:tcW w:w="9236"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val="en-US" w:eastAsia="zh-CN"/>
              </w:rPr>
              <w:t xml:space="preserve">交付期限：                    </w:t>
            </w:r>
            <w:r>
              <w:rPr>
                <w:rFonts w:hint="eastAsia" w:ascii="新宋体" w:hAnsi="新宋体" w:eastAsia="新宋体" w:cs="新宋体"/>
                <w:color w:val="auto"/>
                <w:szCs w:val="21"/>
                <w:lang w:eastAsia="zh-CN"/>
              </w:rPr>
              <w:t>。</w:t>
            </w:r>
          </w:p>
        </w:tc>
      </w:tr>
    </w:tbl>
    <w:p>
      <w:pPr>
        <w:snapToGrid w:val="0"/>
        <w:spacing w:before="50" w:after="120" w:afterLines="50" w:line="440" w:lineRule="exact"/>
        <w:jc w:val="left"/>
        <w:rPr>
          <w:rFonts w:hint="eastAsia" w:ascii="新宋体" w:hAnsi="新宋体" w:eastAsia="新宋体" w:cs="新宋体"/>
          <w:color w:val="auto"/>
          <w:szCs w:val="21"/>
        </w:rPr>
      </w:pPr>
      <w:r>
        <w:rPr>
          <w:rFonts w:hint="eastAsia" w:ascii="新宋体" w:hAnsi="新宋体" w:eastAsia="新宋体" w:cs="新宋体"/>
          <w:color w:val="auto"/>
          <w:szCs w:val="21"/>
        </w:rPr>
        <w:t xml:space="preserve">           </w:t>
      </w:r>
    </w:p>
    <w:p>
      <w:pPr>
        <w:snapToGrid w:val="0"/>
        <w:spacing w:before="50" w:after="120" w:afterLines="50" w:line="440" w:lineRule="exact"/>
        <w:jc w:val="left"/>
        <w:rPr>
          <w:rFonts w:hint="eastAsia" w:ascii="新宋体" w:hAnsi="新宋体" w:eastAsia="新宋体" w:cs="新宋体"/>
          <w:color w:val="auto"/>
          <w:szCs w:val="21"/>
        </w:rPr>
      </w:pPr>
      <w:r>
        <w:rPr>
          <w:rFonts w:hint="eastAsia" w:ascii="新宋体" w:hAnsi="新宋体" w:eastAsia="新宋体" w:cs="新宋体"/>
          <w:color w:val="auto"/>
          <w:szCs w:val="21"/>
        </w:rPr>
        <w:t xml:space="preserve">                                   </w:t>
      </w:r>
    </w:p>
    <w:p>
      <w:pPr>
        <w:keepNext w:val="0"/>
        <w:keepLines w:val="0"/>
        <w:pageBreakBefore w:val="0"/>
        <w:widowControl w:val="0"/>
        <w:tabs>
          <w:tab w:val="left" w:pos="7200"/>
        </w:tabs>
        <w:kinsoku/>
        <w:wordWrap/>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u w:val="single"/>
        </w:rPr>
      </w:pPr>
      <w:r>
        <w:rPr>
          <w:rFonts w:hint="eastAsia" w:ascii="新宋体" w:hAnsi="新宋体" w:eastAsia="新宋体" w:cs="新宋体"/>
          <w:b/>
          <w:sz w:val="21"/>
          <w:szCs w:val="21"/>
          <w:highlight w:val="none"/>
        </w:rPr>
        <w:t>法定代表人（负责人）或委托代理人签字：</w:t>
      </w:r>
    </w:p>
    <w:p>
      <w:pPr>
        <w:keepNext w:val="0"/>
        <w:keepLines w:val="0"/>
        <w:pageBreakBefore w:val="0"/>
        <w:widowControl w:val="0"/>
        <w:tabs>
          <w:tab w:val="left" w:pos="7200"/>
        </w:tabs>
        <w:kinsoku/>
        <w:wordWrap/>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rPr>
      </w:pPr>
      <w:r>
        <w:rPr>
          <w:rFonts w:hint="eastAsia" w:ascii="新宋体" w:hAnsi="新宋体" w:eastAsia="新宋体" w:cs="新宋体"/>
          <w:b/>
          <w:sz w:val="21"/>
          <w:szCs w:val="21"/>
          <w:highlight w:val="none"/>
        </w:rPr>
        <w:t>供应商（盖章）：</w:t>
      </w:r>
    </w:p>
    <w:p>
      <w:pPr>
        <w:pStyle w:val="8"/>
        <w:keepNext w:val="0"/>
        <w:keepLines w:val="0"/>
        <w:pageBreakBefore w:val="0"/>
        <w:widowControl w:val="0"/>
        <w:kinsoku/>
        <w:wordWrap/>
        <w:overflowPunct w:val="0"/>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rPr>
      </w:pPr>
      <w:r>
        <w:rPr>
          <w:rFonts w:hint="eastAsia" w:ascii="新宋体" w:hAnsi="新宋体" w:eastAsia="新宋体" w:cs="新宋体"/>
          <w:b/>
          <w:sz w:val="21"/>
          <w:szCs w:val="21"/>
          <w:highlight w:val="none"/>
        </w:rPr>
        <w:t xml:space="preserve"> 年    月    日</w:t>
      </w:r>
    </w:p>
    <w:p>
      <w:pPr>
        <w:snapToGrid w:val="0"/>
        <w:spacing w:before="50" w:after="120" w:afterLines="50"/>
        <w:jc w:val="left"/>
        <w:rPr>
          <w:rFonts w:hint="eastAsia" w:ascii="新宋体" w:hAnsi="新宋体" w:eastAsia="新宋体" w:cs="新宋体"/>
          <w:b/>
          <w:color w:val="auto"/>
          <w:szCs w:val="21"/>
          <w:lang w:eastAsia="zh-CN"/>
        </w:rPr>
      </w:pPr>
    </w:p>
    <w:p>
      <w:pPr>
        <w:rPr>
          <w:rFonts w:hint="eastAsia"/>
          <w:lang w:eastAsia="zh-CN"/>
        </w:rPr>
      </w:pPr>
      <w:r>
        <w:rPr>
          <w:rFonts w:hint="eastAsia"/>
          <w:lang w:eastAsia="zh-CN"/>
        </w:rPr>
        <w:br w:type="page"/>
      </w:r>
    </w:p>
    <w:p>
      <w:pPr>
        <w:snapToGrid w:val="0"/>
        <w:spacing w:before="50" w:after="50"/>
        <w:jc w:val="center"/>
        <w:rPr>
          <w:rFonts w:hint="eastAsia" w:ascii="新宋体" w:hAnsi="新宋体" w:eastAsia="新宋体" w:cs="新宋体"/>
          <w:b/>
          <w:color w:val="auto"/>
          <w:szCs w:val="21"/>
          <w:lang w:val="en-US" w:eastAsia="zh-CN"/>
        </w:rPr>
      </w:pPr>
    </w:p>
    <w:p>
      <w:pPr>
        <w:snapToGrid w:val="0"/>
        <w:spacing w:before="50" w:after="50"/>
        <w:jc w:val="center"/>
        <w:rPr>
          <w:rFonts w:hint="eastAsia" w:ascii="新宋体" w:hAnsi="新宋体" w:eastAsia="新宋体" w:cs="新宋体"/>
          <w:b/>
          <w:color w:val="auto"/>
          <w:szCs w:val="21"/>
        </w:rPr>
      </w:pPr>
      <w:r>
        <w:rPr>
          <w:rFonts w:hint="eastAsia" w:ascii="新宋体" w:hAnsi="新宋体" w:eastAsia="新宋体" w:cs="新宋体"/>
          <w:b/>
          <w:color w:val="auto"/>
          <w:szCs w:val="21"/>
          <w:lang w:val="en-US" w:eastAsia="zh-CN"/>
        </w:rPr>
        <w:t>2.</w:t>
      </w:r>
      <w:r>
        <w:rPr>
          <w:rFonts w:hint="eastAsia" w:ascii="新宋体" w:hAnsi="新宋体" w:eastAsia="新宋体" w:cs="新宋体"/>
          <w:b/>
          <w:color w:val="auto"/>
          <w:szCs w:val="21"/>
        </w:rPr>
        <w:t>开标一览表</w:t>
      </w:r>
    </w:p>
    <w:p>
      <w:pPr>
        <w:snapToGrid w:val="0"/>
        <w:spacing w:before="50" w:after="50"/>
        <w:jc w:val="center"/>
        <w:rPr>
          <w:rFonts w:hint="eastAsia" w:ascii="新宋体" w:hAnsi="新宋体" w:eastAsia="新宋体" w:cs="新宋体"/>
          <w:b/>
          <w:color w:val="auto"/>
          <w:szCs w:val="21"/>
        </w:rPr>
      </w:pPr>
    </w:p>
    <w:p>
      <w:pPr>
        <w:snapToGrid w:val="0"/>
        <w:spacing w:before="50" w:after="50"/>
        <w:rPr>
          <w:rFonts w:hint="eastAsia" w:ascii="新宋体" w:hAnsi="新宋体" w:eastAsia="新宋体" w:cs="新宋体"/>
          <w:color w:val="auto"/>
          <w:szCs w:val="21"/>
          <w:u w:val="single"/>
        </w:rPr>
      </w:pPr>
      <w:r>
        <w:rPr>
          <w:rFonts w:hint="eastAsia" w:ascii="新宋体" w:hAnsi="新宋体" w:eastAsia="新宋体" w:cs="新宋体"/>
          <w:color w:val="auto"/>
          <w:szCs w:val="21"/>
          <w:lang w:val="en-US" w:eastAsia="zh-CN"/>
        </w:rPr>
        <w:t>项目</w:t>
      </w:r>
      <w:r>
        <w:rPr>
          <w:rFonts w:hint="eastAsia" w:ascii="新宋体" w:hAnsi="新宋体" w:eastAsia="新宋体" w:cs="新宋体"/>
          <w:color w:val="auto"/>
          <w:szCs w:val="21"/>
        </w:rPr>
        <w:t>编号：</w:t>
      </w:r>
      <w:r>
        <w:rPr>
          <w:rFonts w:hint="eastAsia" w:ascii="新宋体" w:hAnsi="新宋体" w:eastAsia="新宋体" w:cs="新宋体"/>
          <w:color w:val="auto"/>
          <w:szCs w:val="21"/>
          <w:u w:val="single"/>
        </w:rPr>
        <w:t xml:space="preserve">                </w:t>
      </w:r>
    </w:p>
    <w:p>
      <w:pPr>
        <w:snapToGrid w:val="0"/>
        <w:spacing w:before="50" w:after="50"/>
        <w:rPr>
          <w:rFonts w:hint="eastAsia" w:ascii="新宋体" w:hAnsi="新宋体" w:eastAsia="新宋体" w:cs="新宋体"/>
          <w:color w:val="auto"/>
          <w:szCs w:val="21"/>
        </w:rPr>
      </w:pPr>
      <w:r>
        <w:rPr>
          <w:rFonts w:hint="eastAsia" w:ascii="新宋体" w:hAnsi="新宋体" w:eastAsia="新宋体" w:cs="新宋体"/>
          <w:color w:val="auto"/>
          <w:szCs w:val="21"/>
          <w:lang w:val="en-US" w:eastAsia="zh-CN"/>
        </w:rPr>
        <w:t>供应商</w:t>
      </w:r>
      <w:r>
        <w:rPr>
          <w:rFonts w:hint="eastAsia" w:ascii="新宋体" w:hAnsi="新宋体" w:eastAsia="新宋体" w:cs="新宋体"/>
          <w:color w:val="auto"/>
          <w:szCs w:val="21"/>
        </w:rPr>
        <w:t>名称：</w:t>
      </w:r>
      <w:r>
        <w:rPr>
          <w:rFonts w:hint="eastAsia" w:ascii="新宋体" w:hAnsi="新宋体" w:eastAsia="新宋体" w:cs="新宋体"/>
          <w:color w:val="auto"/>
          <w:szCs w:val="21"/>
          <w:u w:val="single"/>
        </w:rPr>
        <w:t xml:space="preserve">                     </w:t>
      </w:r>
      <w:r>
        <w:rPr>
          <w:rFonts w:hint="eastAsia" w:ascii="新宋体" w:hAnsi="新宋体" w:eastAsia="新宋体" w:cs="新宋体"/>
          <w:color w:val="auto"/>
          <w:szCs w:val="21"/>
        </w:rPr>
        <w:t xml:space="preserve"> </w:t>
      </w:r>
    </w:p>
    <w:p>
      <w:pPr>
        <w:rPr>
          <w:rFonts w:hint="eastAsia"/>
          <w:lang w:eastAsia="zh-CN"/>
        </w:rPr>
      </w:pPr>
      <w:r>
        <w:rPr>
          <w:rFonts w:hint="eastAsia" w:ascii="新宋体" w:hAnsi="新宋体" w:eastAsia="新宋体" w:cs="新宋体"/>
          <w:color w:val="auto"/>
          <w:szCs w:val="21"/>
          <w:lang w:val="en-US" w:eastAsia="zh-CN"/>
        </w:rPr>
        <w:t>标项：</w:t>
      </w:r>
      <w:r>
        <w:rPr>
          <w:rFonts w:hint="eastAsia" w:ascii="新宋体" w:hAnsi="新宋体" w:eastAsia="新宋体" w:cs="新宋体"/>
          <w:color w:val="auto"/>
          <w:szCs w:val="21"/>
          <w:u w:val="single"/>
          <w:lang w:val="en-US" w:eastAsia="zh-CN"/>
        </w:rPr>
        <w:t xml:space="preserve">    </w:t>
      </w:r>
      <w:r>
        <w:rPr>
          <w:rFonts w:hint="eastAsia" w:ascii="新宋体" w:hAnsi="新宋体" w:eastAsia="新宋体" w:cs="新宋体"/>
          <w:color w:val="auto"/>
          <w:szCs w:val="21"/>
          <w:lang w:val="en-US" w:eastAsia="zh-CN"/>
        </w:rPr>
        <w:t>分标</w:t>
      </w:r>
      <w:r>
        <w:rPr>
          <w:rFonts w:hint="eastAsia" w:ascii="新宋体" w:hAnsi="新宋体" w:eastAsia="新宋体" w:cs="新宋体"/>
          <w:color w:val="auto"/>
          <w:szCs w:val="21"/>
        </w:rPr>
        <w:t xml:space="preserve">       </w:t>
      </w:r>
    </w:p>
    <w:tbl>
      <w:tblPr>
        <w:tblStyle w:val="22"/>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6"/>
        <w:gridCol w:w="2010"/>
        <w:gridCol w:w="1965"/>
        <w:gridCol w:w="680"/>
        <w:gridCol w:w="989"/>
        <w:gridCol w:w="1275"/>
        <w:gridCol w:w="1231"/>
        <w:gridCol w:w="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40" w:lineRule="exact"/>
              <w:jc w:val="center"/>
              <w:rPr>
                <w:rFonts w:hint="eastAsia" w:ascii="新宋体" w:hAnsi="新宋体" w:eastAsia="新宋体" w:cs="新宋体"/>
                <w:color w:val="auto"/>
                <w:szCs w:val="21"/>
              </w:rPr>
            </w:pPr>
            <w:r>
              <w:rPr>
                <w:rFonts w:hint="eastAsia" w:ascii="新宋体" w:hAnsi="新宋体" w:eastAsia="新宋体" w:cs="新宋体"/>
                <w:color w:val="auto"/>
                <w:szCs w:val="21"/>
              </w:rPr>
              <w:t>序号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40" w:lineRule="exact"/>
              <w:jc w:val="center"/>
              <w:rPr>
                <w:rFonts w:hint="eastAsia" w:ascii="新宋体" w:hAnsi="新宋体" w:eastAsia="新宋体" w:cs="新宋体"/>
                <w:color w:val="auto"/>
                <w:szCs w:val="21"/>
                <w:lang w:eastAsia="zh-CN"/>
              </w:rPr>
            </w:pPr>
            <w:r>
              <w:rPr>
                <w:rFonts w:hint="eastAsia" w:ascii="新宋体" w:hAnsi="新宋体" w:eastAsia="新宋体" w:cs="新宋体"/>
                <w:bCs/>
                <w:sz w:val="21"/>
                <w:szCs w:val="21"/>
              </w:rPr>
              <w:t>采购品目名称</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40" w:lineRule="exact"/>
              <w:jc w:val="center"/>
              <w:rPr>
                <w:rFonts w:hint="default" w:ascii="新宋体" w:hAnsi="新宋体" w:eastAsia="新宋体" w:cs="新宋体"/>
                <w:bCs/>
                <w:sz w:val="21"/>
                <w:szCs w:val="21"/>
                <w:lang w:val="en-US" w:eastAsia="zh-CN"/>
              </w:rPr>
            </w:pPr>
            <w:r>
              <w:rPr>
                <w:rFonts w:hint="eastAsia" w:ascii="新宋体" w:hAnsi="新宋体" w:eastAsia="新宋体" w:cs="新宋体"/>
                <w:bCs/>
                <w:sz w:val="21"/>
                <w:szCs w:val="21"/>
                <w:lang w:val="en-US" w:eastAsia="zh-CN"/>
              </w:rPr>
              <w:t>技术参数及内容</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40" w:lineRule="exact"/>
              <w:jc w:val="center"/>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数量</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40" w:lineRule="exact"/>
              <w:jc w:val="center"/>
              <w:rPr>
                <w:rFonts w:hint="default"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单位</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40" w:lineRule="exact"/>
              <w:jc w:val="center"/>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单价（元）</w:t>
            </w:r>
          </w:p>
        </w:tc>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440" w:lineRule="exact"/>
              <w:jc w:val="center"/>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rPr>
            </w:pPr>
            <w:r>
              <w:rPr>
                <w:rFonts w:hint="eastAsia" w:ascii="新宋体" w:hAnsi="新宋体" w:eastAsia="新宋体" w:cs="新宋体"/>
                <w:color w:val="auto"/>
                <w:szCs w:val="21"/>
              </w:rPr>
              <w:t>1</w:t>
            </w: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rPr>
            </w:pPr>
          </w:p>
        </w:tc>
        <w:tc>
          <w:tcPr>
            <w:tcW w:w="6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rPr>
            </w:pPr>
          </w:p>
        </w:tc>
        <w:tc>
          <w:tcPr>
            <w:tcW w:w="98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rPr>
            </w:pPr>
          </w:p>
        </w:tc>
        <w:tc>
          <w:tcPr>
            <w:tcW w:w="123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jc w:val="center"/>
        </w:trPr>
        <w:tc>
          <w:tcPr>
            <w:tcW w:w="9236"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jc w:val="center"/>
        </w:trPr>
        <w:tc>
          <w:tcPr>
            <w:tcW w:w="9236"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40" w:lineRule="exact"/>
              <w:jc w:val="left"/>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val="en-US" w:eastAsia="zh-CN"/>
              </w:rPr>
              <w:t xml:space="preserve">交付期限：                    </w:t>
            </w:r>
            <w:r>
              <w:rPr>
                <w:rFonts w:hint="eastAsia" w:ascii="新宋体" w:hAnsi="新宋体" w:eastAsia="新宋体" w:cs="新宋体"/>
                <w:color w:val="auto"/>
                <w:szCs w:val="21"/>
                <w:lang w:eastAsia="zh-CN"/>
              </w:rPr>
              <w:t>。</w:t>
            </w:r>
          </w:p>
        </w:tc>
      </w:tr>
    </w:tbl>
    <w:p>
      <w:pPr>
        <w:rPr>
          <w:rFonts w:hint="eastAsia"/>
          <w:lang w:eastAsia="zh-CN"/>
        </w:rPr>
      </w:pPr>
    </w:p>
    <w:p>
      <w:pPr>
        <w:keepNext w:val="0"/>
        <w:keepLines w:val="0"/>
        <w:pageBreakBefore w:val="0"/>
        <w:widowControl w:val="0"/>
        <w:tabs>
          <w:tab w:val="left" w:pos="7200"/>
        </w:tabs>
        <w:kinsoku/>
        <w:wordWrap/>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u w:val="single"/>
        </w:rPr>
      </w:pPr>
      <w:r>
        <w:rPr>
          <w:rFonts w:hint="eastAsia" w:ascii="新宋体" w:hAnsi="新宋体" w:eastAsia="新宋体" w:cs="新宋体"/>
          <w:b/>
          <w:sz w:val="21"/>
          <w:szCs w:val="21"/>
          <w:highlight w:val="none"/>
        </w:rPr>
        <w:t>法定代表人（负责人）或委托代理人签字：</w:t>
      </w:r>
    </w:p>
    <w:p>
      <w:pPr>
        <w:keepNext w:val="0"/>
        <w:keepLines w:val="0"/>
        <w:pageBreakBefore w:val="0"/>
        <w:widowControl w:val="0"/>
        <w:tabs>
          <w:tab w:val="left" w:pos="7200"/>
        </w:tabs>
        <w:kinsoku/>
        <w:wordWrap/>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rPr>
      </w:pPr>
      <w:r>
        <w:rPr>
          <w:rFonts w:hint="eastAsia" w:ascii="新宋体" w:hAnsi="新宋体" w:eastAsia="新宋体" w:cs="新宋体"/>
          <w:b/>
          <w:sz w:val="21"/>
          <w:szCs w:val="21"/>
          <w:highlight w:val="none"/>
        </w:rPr>
        <w:t>供应商（盖章）：</w:t>
      </w:r>
    </w:p>
    <w:p>
      <w:pPr>
        <w:pStyle w:val="8"/>
        <w:keepNext w:val="0"/>
        <w:keepLines w:val="0"/>
        <w:pageBreakBefore w:val="0"/>
        <w:widowControl w:val="0"/>
        <w:kinsoku/>
        <w:wordWrap/>
        <w:overflowPunct w:val="0"/>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rPr>
      </w:pPr>
      <w:r>
        <w:rPr>
          <w:rFonts w:hint="eastAsia" w:ascii="新宋体" w:hAnsi="新宋体" w:eastAsia="新宋体" w:cs="新宋体"/>
          <w:b/>
          <w:sz w:val="21"/>
          <w:szCs w:val="21"/>
          <w:highlight w:val="none"/>
        </w:rPr>
        <w:t xml:space="preserve"> 年    月    日</w:t>
      </w:r>
    </w:p>
    <w:p>
      <w:pPr>
        <w:pStyle w:val="8"/>
        <w:keepNext w:val="0"/>
        <w:keepLines w:val="0"/>
        <w:pageBreakBefore w:val="0"/>
        <w:widowControl w:val="0"/>
        <w:kinsoku/>
        <w:wordWrap/>
        <w:overflowPunct w:val="0"/>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rPr>
      </w:pPr>
    </w:p>
    <w:p>
      <w:pPr>
        <w:pStyle w:val="8"/>
        <w:keepNext w:val="0"/>
        <w:keepLines w:val="0"/>
        <w:pageBreakBefore w:val="0"/>
        <w:widowControl w:val="0"/>
        <w:kinsoku/>
        <w:wordWrap/>
        <w:overflowPunct w:val="0"/>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rPr>
      </w:pPr>
    </w:p>
    <w:p>
      <w:pPr>
        <w:pStyle w:val="8"/>
        <w:keepNext w:val="0"/>
        <w:keepLines w:val="0"/>
        <w:pageBreakBefore w:val="0"/>
        <w:widowControl w:val="0"/>
        <w:kinsoku/>
        <w:wordWrap/>
        <w:overflowPunct w:val="0"/>
        <w:topLinePunct w:val="0"/>
        <w:autoSpaceDE/>
        <w:autoSpaceDN/>
        <w:bidi w:val="0"/>
        <w:adjustRightInd/>
        <w:spacing w:line="360" w:lineRule="auto"/>
        <w:ind w:left="0" w:leftChars="0" w:firstLine="0" w:firstLineChars="0"/>
        <w:jc w:val="left"/>
        <w:textAlignment w:val="auto"/>
        <w:outlineLvl w:val="9"/>
        <w:rPr>
          <w:rFonts w:hint="eastAsia" w:ascii="新宋体" w:hAnsi="新宋体" w:eastAsia="新宋体" w:cs="新宋体"/>
          <w:b/>
          <w:sz w:val="21"/>
          <w:szCs w:val="21"/>
          <w:highlight w:val="none"/>
        </w:rPr>
      </w:pPr>
      <w:r>
        <w:rPr>
          <w:rFonts w:hint="eastAsia" w:ascii="新宋体" w:hAnsi="新宋体" w:eastAsia="新宋体" w:cs="新宋体"/>
          <w:b/>
          <w:bCs/>
          <w:color w:val="auto"/>
          <w:szCs w:val="21"/>
        </w:rPr>
        <w:t>3.投标人针对报价需要说明的其他文件和说明（格式自拟）</w:t>
      </w:r>
    </w:p>
    <w:p>
      <w:pPr>
        <w:pStyle w:val="10"/>
        <w:rPr>
          <w:rFonts w:ascii="宋体" w:hAnsi="宋体" w:eastAsia="宋体" w:cs="宋体"/>
          <w:highlight w:val="none"/>
        </w:rPr>
      </w:pPr>
    </w:p>
    <w:p>
      <w:pPr>
        <w:rPr>
          <w:rFonts w:ascii="宋体" w:hAnsi="宋体" w:eastAsia="宋体" w:cs="宋体"/>
          <w:spacing w:val="6"/>
          <w:szCs w:val="21"/>
          <w:highlight w:val="none"/>
        </w:rPr>
      </w:pPr>
    </w:p>
    <w:p>
      <w:pPr>
        <w:spacing w:after="50" w:line="400" w:lineRule="exact"/>
        <w:jc w:val="center"/>
        <w:rPr>
          <w:rFonts w:ascii="宋体" w:hAnsi="宋体" w:eastAsia="宋体" w:cs="宋体"/>
          <w:b/>
          <w:bCs/>
          <w:sz w:val="28"/>
          <w:highlight w:val="none"/>
        </w:rPr>
      </w:pPr>
    </w:p>
    <w:p>
      <w:pPr>
        <w:spacing w:after="50" w:line="400" w:lineRule="exact"/>
        <w:rPr>
          <w:rFonts w:ascii="宋体" w:hAnsi="宋体" w:eastAsia="宋体" w:cs="宋体"/>
          <w:szCs w:val="21"/>
          <w:highlight w:val="none"/>
        </w:rPr>
      </w:pPr>
    </w:p>
    <w:p>
      <w:pPr>
        <w:pStyle w:val="2"/>
        <w:rPr>
          <w:rFonts w:hint="eastAsia" w:ascii="新宋体" w:hAnsi="新宋体" w:eastAsia="新宋体" w:cs="新宋体"/>
          <w:b/>
          <w:bCs/>
          <w:sz w:val="32"/>
          <w:szCs w:val="32"/>
        </w:rPr>
      </w:pPr>
      <w:r>
        <w:rPr>
          <w:rFonts w:hint="eastAsia" w:ascii="新宋体" w:hAnsi="新宋体" w:eastAsia="新宋体" w:cs="新宋体"/>
          <w:b/>
          <w:bCs/>
          <w:sz w:val="32"/>
          <w:szCs w:val="32"/>
          <w:lang w:val="en-US" w:eastAsia="zh-CN"/>
        </w:rPr>
        <w:t>三</w:t>
      </w:r>
      <w:r>
        <w:rPr>
          <w:rFonts w:hint="eastAsia" w:ascii="新宋体" w:hAnsi="新宋体" w:eastAsia="新宋体" w:cs="新宋体"/>
          <w:b/>
          <w:bCs/>
          <w:sz w:val="32"/>
          <w:szCs w:val="32"/>
        </w:rPr>
        <w:t>、技术部分</w:t>
      </w:r>
    </w:p>
    <w:p>
      <w:pPr>
        <w:snapToGrid w:val="0"/>
        <w:spacing w:before="50" w:after="120" w:afterLines="50"/>
        <w:jc w:val="center"/>
        <w:rPr>
          <w:rFonts w:hint="eastAsia" w:ascii="新宋体" w:hAnsi="新宋体" w:eastAsia="新宋体" w:cs="新宋体"/>
          <w:b/>
          <w:bCs/>
          <w:color w:val="auto"/>
          <w:szCs w:val="21"/>
          <w:lang w:val="en-US" w:eastAsia="zh-CN"/>
        </w:rPr>
      </w:pPr>
    </w:p>
    <w:p>
      <w:pPr>
        <w:snapToGrid w:val="0"/>
        <w:spacing w:before="50" w:after="120" w:afterLines="50"/>
        <w:jc w:val="center"/>
        <w:rPr>
          <w:rFonts w:hint="eastAsia" w:ascii="新宋体" w:hAnsi="新宋体" w:eastAsia="新宋体" w:cs="新宋体"/>
          <w:b/>
          <w:bCs/>
          <w:color w:val="auto"/>
          <w:szCs w:val="21"/>
          <w:lang w:eastAsia="zh-CN"/>
        </w:rPr>
      </w:pPr>
      <w:r>
        <w:rPr>
          <w:rFonts w:hint="eastAsia" w:ascii="新宋体" w:hAnsi="新宋体" w:eastAsia="新宋体" w:cs="新宋体"/>
          <w:b/>
          <w:bCs/>
          <w:color w:val="auto"/>
          <w:szCs w:val="21"/>
          <w:lang w:val="en-US" w:eastAsia="zh-CN"/>
        </w:rPr>
        <w:t>竞标人根据采购文件要求、评标办法等自行编制技术文件，格式、章节自拟</w:t>
      </w:r>
      <w:r>
        <w:rPr>
          <w:rFonts w:hint="eastAsia" w:ascii="新宋体" w:hAnsi="新宋体" w:eastAsia="新宋体" w:cs="新宋体"/>
          <w:b/>
          <w:bCs/>
          <w:color w:val="auto"/>
          <w:szCs w:val="21"/>
          <w:lang w:eastAsia="zh-CN"/>
        </w:rPr>
        <w:t>。</w:t>
      </w:r>
    </w:p>
    <w:p>
      <w:pPr>
        <w:rPr>
          <w:rFonts w:hint="eastAsia"/>
        </w:rPr>
      </w:pPr>
    </w:p>
    <w:p>
      <w:pPr>
        <w:pStyle w:val="3"/>
        <w:ind w:firstLine="4940" w:firstLineChars="950"/>
        <w:jc w:val="both"/>
        <w:rPr>
          <w:rFonts w:ascii="宋体" w:hAnsi="宋体" w:eastAsia="宋体" w:cs="宋体"/>
          <w:sz w:val="44"/>
          <w:szCs w:val="44"/>
          <w:highlight w:val="none"/>
        </w:rPr>
      </w:pPr>
      <w:r>
        <w:rPr>
          <w:rFonts w:hint="eastAsia" w:ascii="宋体" w:hAnsi="宋体" w:eastAsia="宋体" w:cs="宋体"/>
          <w:szCs w:val="21"/>
          <w:highlight w:val="none"/>
        </w:rPr>
        <w:br w:type="page"/>
      </w:r>
      <w:bookmarkStart w:id="49" w:name="_Toc233189691"/>
    </w:p>
    <w:p>
      <w:pPr>
        <w:pStyle w:val="3"/>
        <w:rPr>
          <w:rFonts w:ascii="宋体" w:hAnsi="宋体" w:eastAsia="宋体" w:cs="宋体"/>
          <w:b/>
          <w:sz w:val="32"/>
          <w:szCs w:val="32"/>
          <w:highlight w:val="none"/>
        </w:rPr>
      </w:pPr>
      <w:bookmarkStart w:id="50" w:name="_Toc18938"/>
      <w:r>
        <w:rPr>
          <w:rFonts w:hint="eastAsia" w:ascii="宋体" w:hAnsi="宋体" w:eastAsia="宋体" w:cs="宋体"/>
          <w:b/>
          <w:sz w:val="32"/>
          <w:szCs w:val="32"/>
          <w:highlight w:val="none"/>
        </w:rPr>
        <w:t>第</w:t>
      </w:r>
      <w:r>
        <w:rPr>
          <w:rFonts w:hint="eastAsia" w:ascii="宋体" w:hAnsi="宋体" w:eastAsia="宋体" w:cs="宋体"/>
          <w:b/>
          <w:sz w:val="32"/>
          <w:szCs w:val="32"/>
          <w:highlight w:val="none"/>
          <w:lang w:val="en-US" w:eastAsia="zh-CN"/>
        </w:rPr>
        <w:t>五</w:t>
      </w:r>
      <w:r>
        <w:rPr>
          <w:rFonts w:hint="eastAsia" w:ascii="宋体" w:hAnsi="宋体" w:eastAsia="宋体" w:cs="宋体"/>
          <w:b/>
          <w:sz w:val="32"/>
          <w:szCs w:val="32"/>
          <w:highlight w:val="none"/>
        </w:rPr>
        <w:t>章 评标办法</w:t>
      </w:r>
      <w:bookmarkEnd w:id="49"/>
      <w:bookmarkEnd w:id="50"/>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outlineLvl w:val="9"/>
        <w:rPr>
          <w:rFonts w:hint="eastAsia" w:ascii="新宋体" w:hAnsi="新宋体" w:eastAsia="新宋体" w:cs="新宋体"/>
          <w:b/>
          <w:bCs/>
          <w:sz w:val="32"/>
          <w:szCs w:val="32"/>
          <w:highlight w:val="none"/>
          <w:shd w:val="clear" w:color="auto" w:fill="FFFFFF"/>
          <w:lang w:val="en-US" w:eastAsia="zh-CN"/>
        </w:rPr>
      </w:pPr>
      <w:r>
        <w:rPr>
          <w:rFonts w:hint="eastAsia" w:ascii="新宋体" w:hAnsi="新宋体" w:eastAsia="新宋体" w:cs="新宋体"/>
          <w:b/>
          <w:bCs/>
          <w:sz w:val="32"/>
          <w:szCs w:val="32"/>
          <w:highlight w:val="none"/>
          <w:shd w:val="clear" w:color="auto" w:fill="FFFFFF"/>
          <w:lang w:val="en-US" w:eastAsia="zh-CN"/>
        </w:rPr>
        <w:t>A分标</w:t>
      </w:r>
    </w:p>
    <w:p>
      <w:pPr>
        <w:spacing w:line="4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一、磋商小组以磋商文件为依据，对响应文件进行评审，对供应商的响应报价、技术文件及商务文件等三部分内容按百分制打分，其中价格分10分，技术分</w:t>
      </w: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0分，商务分</w:t>
      </w:r>
      <w:r>
        <w:rPr>
          <w:rFonts w:hint="eastAsia" w:ascii="新宋体" w:hAnsi="新宋体" w:eastAsia="新宋体" w:cs="新宋体"/>
          <w:sz w:val="21"/>
          <w:szCs w:val="21"/>
          <w:lang w:val="en-US" w:eastAsia="zh-CN"/>
        </w:rPr>
        <w:t>4</w:t>
      </w:r>
      <w:r>
        <w:rPr>
          <w:rFonts w:hint="eastAsia" w:ascii="新宋体" w:hAnsi="新宋体" w:eastAsia="新宋体" w:cs="新宋体"/>
          <w:sz w:val="21"/>
          <w:szCs w:val="21"/>
        </w:rPr>
        <w:t>0分。（评审时，对于带有主观因素的评分，应由评标小组集体讨论定档后在档内各自打分，并要求对畸高畸低的分数做出说明。）</w:t>
      </w:r>
    </w:p>
    <w:p>
      <w:pPr>
        <w:spacing w:line="4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二、评分细则：（按四舍五入取至小数点后四位）</w:t>
      </w:r>
    </w:p>
    <w:p>
      <w:pPr>
        <w:spacing w:line="400" w:lineRule="exact"/>
        <w:ind w:firstLine="420" w:firstLineChars="200"/>
        <w:jc w:val="left"/>
        <w:rPr>
          <w:rFonts w:hint="eastAsia" w:ascii="新宋体" w:hAnsi="新宋体" w:eastAsia="新宋体" w:cs="新宋体"/>
          <w:sz w:val="21"/>
          <w:szCs w:val="21"/>
        </w:rPr>
      </w:pPr>
      <w:r>
        <w:rPr>
          <w:rFonts w:hint="eastAsia" w:ascii="新宋体" w:hAnsi="新宋体" w:eastAsia="新宋体" w:cs="新宋体"/>
          <w:sz w:val="21"/>
          <w:szCs w:val="21"/>
        </w:rPr>
        <w:t>1、价格分…………………………………………………………………………………10分</w:t>
      </w:r>
    </w:p>
    <w:p>
      <w:pPr>
        <w:pStyle w:val="12"/>
        <w:spacing w:line="4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（1）对于非专门面向中小企业的项目，对小型和微型企业产品的价格给予</w:t>
      </w:r>
      <w:r>
        <w:rPr>
          <w:rFonts w:hint="eastAsia" w:ascii="新宋体" w:hAnsi="新宋体" w:eastAsia="新宋体" w:cs="新宋体"/>
          <w:sz w:val="21"/>
          <w:szCs w:val="21"/>
          <w:shd w:val="pct10" w:color="auto" w:fill="FFFFFF"/>
          <w:lang w:val="en-US" w:eastAsia="zh-CN"/>
        </w:rPr>
        <w:t>10</w:t>
      </w:r>
      <w:r>
        <w:rPr>
          <w:rFonts w:hint="eastAsia" w:ascii="新宋体" w:hAnsi="新宋体" w:eastAsia="新宋体" w:cs="新宋体"/>
          <w:sz w:val="21"/>
          <w:szCs w:val="21"/>
          <w:shd w:val="pct10" w:color="auto" w:fill="FFFFFF"/>
        </w:rPr>
        <w:t>%</w:t>
      </w:r>
      <w:r>
        <w:rPr>
          <w:rFonts w:hint="eastAsia" w:ascii="新宋体" w:hAnsi="新宋体" w:eastAsia="新宋体" w:cs="新宋体"/>
          <w:sz w:val="21"/>
          <w:szCs w:val="21"/>
        </w:rPr>
        <w:t>的价格扣除，扣除后的价格为评标价，即评标价＝投标报价×（</w:t>
      </w:r>
      <w:r>
        <w:rPr>
          <w:rFonts w:hint="eastAsia" w:ascii="新宋体" w:hAnsi="新宋体" w:eastAsia="新宋体" w:cs="新宋体"/>
          <w:sz w:val="21"/>
          <w:szCs w:val="21"/>
          <w:lang w:val="en-US" w:eastAsia="zh-CN"/>
        </w:rPr>
        <w:t>6</w:t>
      </w:r>
      <w:r>
        <w:rPr>
          <w:rFonts w:hint="eastAsia" w:ascii="新宋体" w:hAnsi="新宋体" w:eastAsia="新宋体" w:cs="新宋体"/>
          <w:sz w:val="21"/>
          <w:szCs w:val="21"/>
        </w:rPr>
        <w:t>-</w:t>
      </w:r>
      <w:r>
        <w:rPr>
          <w:rFonts w:hint="eastAsia" w:ascii="新宋体" w:hAnsi="新宋体" w:eastAsia="新宋体" w:cs="新宋体"/>
          <w:sz w:val="21"/>
          <w:szCs w:val="21"/>
          <w:shd w:val="pct10" w:color="auto" w:fill="FFFFFF"/>
          <w:lang w:val="en-US" w:eastAsia="zh-CN"/>
        </w:rPr>
        <w:t>10</w:t>
      </w:r>
      <w:r>
        <w:rPr>
          <w:rFonts w:hint="eastAsia" w:ascii="新宋体" w:hAnsi="新宋体" w:eastAsia="新宋体" w:cs="新宋体"/>
          <w:sz w:val="21"/>
          <w:szCs w:val="21"/>
          <w:shd w:val="pct10" w:color="auto" w:fill="FFFFFF"/>
        </w:rPr>
        <w:t>%</w:t>
      </w:r>
      <w:r>
        <w:rPr>
          <w:rFonts w:hint="eastAsia" w:ascii="新宋体" w:hAnsi="新宋体" w:eastAsia="新宋体" w:cs="新宋体"/>
          <w:sz w:val="21"/>
          <w:szCs w:val="21"/>
        </w:rPr>
        <w:t>）；</w:t>
      </w:r>
      <w:r>
        <w:rPr>
          <w:rFonts w:hint="eastAsia" w:ascii="新宋体" w:hAnsi="新宋体" w:eastAsia="新宋体" w:cs="新宋体"/>
          <w:bCs/>
          <w:sz w:val="21"/>
          <w:szCs w:val="21"/>
        </w:rPr>
        <w:t>（以</w:t>
      </w:r>
      <w:r>
        <w:rPr>
          <w:rFonts w:hint="eastAsia" w:ascii="新宋体" w:hAnsi="新宋体" w:eastAsia="新宋体" w:cs="新宋体"/>
          <w:sz w:val="21"/>
          <w:szCs w:val="21"/>
        </w:rPr>
        <w:t>供应商</w:t>
      </w:r>
      <w:r>
        <w:rPr>
          <w:rFonts w:hint="eastAsia" w:ascii="新宋体" w:hAnsi="新宋体" w:eastAsia="新宋体" w:cs="新宋体"/>
          <w:bCs/>
          <w:sz w:val="21"/>
          <w:szCs w:val="21"/>
        </w:rPr>
        <w:t>按第五章“投标文件格式”要求提供的《报价表》和《</w:t>
      </w:r>
      <w:r>
        <w:rPr>
          <w:rFonts w:hint="eastAsia" w:ascii="新宋体" w:hAnsi="新宋体" w:eastAsia="新宋体" w:cs="新宋体"/>
          <w:sz w:val="21"/>
          <w:szCs w:val="21"/>
        </w:rPr>
        <w:t>中小企业声明函</w:t>
      </w:r>
      <w:r>
        <w:rPr>
          <w:rFonts w:hint="eastAsia" w:ascii="新宋体" w:hAnsi="新宋体" w:eastAsia="新宋体" w:cs="新宋体"/>
          <w:bCs/>
          <w:sz w:val="21"/>
          <w:szCs w:val="21"/>
        </w:rPr>
        <w:t>》为评分依据）</w:t>
      </w:r>
    </w:p>
    <w:p>
      <w:pPr>
        <w:pStyle w:val="12"/>
        <w:spacing w:line="4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（2）对大中型企业和其他自然人、法人或者其他组织与小型、微型企业组成联合体，且联合体协议中约定小型、微型企业的协议合同金额占到联合体协议合同总金额30%以上的，给予</w:t>
      </w:r>
      <w:r>
        <w:rPr>
          <w:rFonts w:hint="eastAsia" w:ascii="新宋体" w:hAnsi="新宋体" w:eastAsia="新宋体" w:cs="新宋体"/>
          <w:sz w:val="21"/>
          <w:szCs w:val="21"/>
          <w:shd w:val="pct10" w:color="auto" w:fill="FFFFFF"/>
        </w:rPr>
        <w:t>2%</w:t>
      </w:r>
      <w:r>
        <w:rPr>
          <w:rFonts w:hint="eastAsia" w:ascii="新宋体" w:hAnsi="新宋体" w:eastAsia="新宋体" w:cs="新宋体"/>
          <w:sz w:val="21"/>
          <w:szCs w:val="21"/>
        </w:rPr>
        <w:t>的价格扣除，扣除后的价格为评标价，即评标价＝投标报价×（1-</w:t>
      </w:r>
      <w:r>
        <w:rPr>
          <w:rFonts w:hint="eastAsia" w:ascii="新宋体" w:hAnsi="新宋体" w:eastAsia="新宋体" w:cs="新宋体"/>
          <w:sz w:val="21"/>
          <w:szCs w:val="21"/>
          <w:shd w:val="pct10" w:color="auto" w:fill="FFFFFF"/>
        </w:rPr>
        <w:t>2%</w:t>
      </w:r>
      <w:r>
        <w:rPr>
          <w:rFonts w:hint="eastAsia" w:ascii="新宋体" w:hAnsi="新宋体" w:eastAsia="新宋体" w:cs="新宋体"/>
          <w:sz w:val="21"/>
          <w:szCs w:val="21"/>
        </w:rPr>
        <w:t>）；</w:t>
      </w:r>
      <w:r>
        <w:rPr>
          <w:rFonts w:hint="eastAsia" w:ascii="新宋体" w:hAnsi="新宋体" w:eastAsia="新宋体" w:cs="新宋体"/>
          <w:bCs/>
          <w:sz w:val="21"/>
          <w:szCs w:val="21"/>
        </w:rPr>
        <w:t>（以</w:t>
      </w:r>
      <w:r>
        <w:rPr>
          <w:rFonts w:hint="eastAsia" w:ascii="新宋体" w:hAnsi="新宋体" w:eastAsia="新宋体" w:cs="新宋体"/>
          <w:sz w:val="21"/>
          <w:szCs w:val="21"/>
        </w:rPr>
        <w:t>供应商</w:t>
      </w:r>
      <w:r>
        <w:rPr>
          <w:rFonts w:hint="eastAsia" w:ascii="新宋体" w:hAnsi="新宋体" w:eastAsia="新宋体" w:cs="新宋体"/>
          <w:bCs/>
          <w:sz w:val="21"/>
          <w:szCs w:val="21"/>
        </w:rPr>
        <w:t>按第五章“投标文件格式”要求提供的《报价表》、《中小企业声明函》和《联合体协议书》为评分依据）</w:t>
      </w:r>
    </w:p>
    <w:p>
      <w:pPr>
        <w:pStyle w:val="12"/>
        <w:spacing w:line="4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3）投标产品提供企业按《关于政府采购支持监狱企业发展有关问题的通知》(财库[2014]68号)认定为监狱企业的，在政府采购活动中，监狱企业视同小型、微型企业。（以供应商按第五章“投标文件格式”要求提供的《报价表》和由省级以上监狱管理局、戒毒管理局(含新疆生产建设兵团)出具的属于监狱企业的证明文件为评分依据。</w:t>
      </w:r>
    </w:p>
    <w:p>
      <w:pPr>
        <w:pStyle w:val="12"/>
        <w:spacing w:line="4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供应商按第五章“投标文件格式”要求提供的《报价表》和《残疾人福利性单位声明函》为评分依据）</w:t>
      </w:r>
    </w:p>
    <w:p>
      <w:pPr>
        <w:pStyle w:val="12"/>
        <w:spacing w:line="4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（5）除上述情况外，评标价＝投标报价；</w:t>
      </w:r>
    </w:p>
    <w:p>
      <w:pPr>
        <w:spacing w:line="400" w:lineRule="exact"/>
        <w:ind w:firstLine="420" w:firstLineChars="200"/>
        <w:rPr>
          <w:rFonts w:hint="eastAsia" w:ascii="新宋体" w:hAnsi="新宋体" w:eastAsia="新宋体" w:cs="新宋体"/>
          <w:sz w:val="21"/>
          <w:szCs w:val="21"/>
        </w:rPr>
      </w:pPr>
      <w:r>
        <w:rPr>
          <w:rFonts w:hint="eastAsia" w:ascii="新宋体" w:hAnsi="新宋体" w:eastAsia="新宋体" w:cs="新宋体"/>
          <w:sz w:val="21"/>
          <w:szCs w:val="21"/>
        </w:rPr>
        <w:t>（6）价格分计算公式：</w:t>
      </w:r>
    </w:p>
    <w:p>
      <w:pPr>
        <w:pStyle w:val="11"/>
        <w:spacing w:line="400" w:lineRule="exact"/>
        <w:ind w:firstLine="428" w:firstLineChars="200"/>
        <w:rPr>
          <w:rFonts w:hint="eastAsia" w:ascii="新宋体" w:hAnsi="新宋体" w:eastAsia="新宋体" w:cs="新宋体"/>
          <w:sz w:val="21"/>
          <w:szCs w:val="21"/>
        </w:rPr>
      </w:pPr>
      <w:r>
        <w:rPr>
          <w:rFonts w:hint="eastAsia" w:ascii="新宋体" w:hAnsi="新宋体" w:eastAsia="新宋体" w:cs="新宋体"/>
          <w:sz w:val="21"/>
          <w:szCs w:val="21"/>
        </w:rPr>
        <w:t xml:space="preserve">               　　 供应商最低评标价金额</w:t>
      </w:r>
    </w:p>
    <w:p>
      <w:pPr>
        <w:pStyle w:val="11"/>
        <w:spacing w:line="400" w:lineRule="exact"/>
        <w:ind w:firstLine="420" w:firstLineChars="200"/>
        <w:rPr>
          <w:rFonts w:hint="eastAsia" w:ascii="新宋体" w:hAnsi="新宋体" w:eastAsia="新宋体" w:cs="新宋体"/>
          <w:sz w:val="21"/>
          <w:szCs w:val="21"/>
        </w:rPr>
      </w:pPr>
      <w:r>
        <w:rPr>
          <w:rFonts w:hint="eastAsia" w:ascii="新宋体" w:hAnsi="新宋体" w:eastAsia="新宋体" w:cs="新宋体"/>
          <w:spacing w:val="0"/>
          <w:kern w:val="2"/>
          <w:sz w:val="21"/>
          <w:szCs w:val="21"/>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135255</wp:posOffset>
                </wp:positionV>
                <wp:extent cx="16002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5.5pt;margin-top:10.65pt;height:0pt;width:126pt;z-index:251659264;mso-width-relative:page;mso-height-relative:page;" filled="f" stroked="t" coordsize="21600,21600" o:gfxdata="UEsDBAoAAAAAAIdO4kAAAAAAAAAAAAAAAAAEAAAAZHJzL1BLAwQUAAAACACHTuJAE2cV4NUAAAAJ&#10;AQAADwAAAGRycy9kb3ducmV2LnhtbE2PzU7EMAyE70i8Q2QkLis2aYvQqjTdA9AbFxYQV29j2orG&#10;6TbZH3h6jDjAzR6Pxt9U65Mf1YHmOAS2kC0NKOI2uIE7Cy/PzdUKVEzIDsfAZOGTIqzr87MKSxeO&#10;/ESHTeqUhHAs0UKf0lRqHduePMZlmIjl9h5mj0nWudNuxqOE+1HnxtxojwPLhx4nuuup/djsvYXY&#10;vNKu+Vq0C/NWdIHy3f3jA1p7eZGZW1CJTunPDD/4gg61MG3Dnl1Uo4W8yKRLkiErQInhelWIsP0V&#10;dF3p/w3qb1BLAwQUAAAACACHTuJAB+KvZ+MBAACqAwAADgAAAGRycy9lMm9Eb2MueG1srVPNjtMw&#10;EL4j8Q6W7zRppV1B1HQPrZbLApV2eQDXcRIL22N53CZ9CV4AiRucOHLnbVgeg7H7w7Jc9kAOlscz&#10;881830zmV6M1bKcCanA1n05KzpST0GjX1fz93fWLl5xhFK4RBpyq+V4hv1o8fzYffKVm0INpVGAE&#10;4rAafM37GH1VFCh7ZQVOwCtHzhaCFZHM0BVNEAOhW1PMyvKyGCA0PoBUiPS6Ojj5ETE8BRDaVku1&#10;Arm1ysUDalBGRKKEvfbIF7nbtlUyvmtbVJGZmhPTmE8qQvdNOovFXFRdEL7X8tiCeEoLjzhZoR0V&#10;PUOtRBRsG/Q/UFbLAAhtnEiwxYFIVoRYTMtH2tz2wqvMhaRGfxYd/x+sfLtbB6abms84c8LSwO8/&#10;ff/58cuvH5/pvP/2lc2SSIPHimKXbh0STTm6W38D8gMyB8teuE7lZu/2nhCmKaP4KyUZ6KnUZngD&#10;DcWIbYSs2NgGmyBJCzbmwezPg1FjZJIep5dlSbvDmTz5ClGdEn3A+FqBZelSc6Nd0kxUYneDMTUi&#10;qlNIenZwrY3JczeODTV/dTG7yAkIRjfJmcIwdJulCWwn0ubkL7Miz8OwAFvXHIoYdySdeB4U20Cz&#10;X4eTGDTC3M1x3dKOPLRz9p9fbP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2cV4NUAAAAJAQAA&#10;DwAAAAAAAAABACAAAAAiAAAAZHJzL2Rvd25yZXYueG1sUEsBAhQAFAAAAAgAh07iQAfir2fjAQAA&#10;qgMAAA4AAAAAAAAAAQAgAAAAJAEAAGRycy9lMm9Eb2MueG1sUEsFBgAAAAAGAAYAWQEAAHkFAAAA&#10;AA==&#10;">
                <v:fill on="f" focussize="0,0"/>
                <v:stroke color="#000000" joinstyle="round"/>
                <v:imagedata o:title=""/>
                <o:lock v:ext="edit" aspectratio="f"/>
              </v:line>
            </w:pict>
          </mc:Fallback>
        </mc:AlternateContent>
      </w:r>
      <w:r>
        <w:rPr>
          <w:rFonts w:hint="eastAsia" w:ascii="新宋体" w:hAnsi="新宋体" w:eastAsia="新宋体" w:cs="新宋体"/>
          <w:spacing w:val="0"/>
          <w:kern w:val="2"/>
          <w:sz w:val="21"/>
          <w:szCs w:val="21"/>
        </w:rPr>
        <w:t>某供应商价格分</w:t>
      </w:r>
      <w:r>
        <w:rPr>
          <w:rFonts w:hint="eastAsia" w:ascii="新宋体" w:hAnsi="新宋体" w:eastAsia="新宋体" w:cs="新宋体"/>
          <w:sz w:val="21"/>
          <w:szCs w:val="21"/>
        </w:rPr>
        <w:t xml:space="preserve"> ＝                            ×　</w:t>
      </w:r>
      <w:r>
        <w:rPr>
          <w:rFonts w:hint="eastAsia" w:ascii="新宋体" w:hAnsi="新宋体" w:eastAsia="新宋体" w:cs="新宋体"/>
          <w:sz w:val="21"/>
          <w:szCs w:val="21"/>
          <w:u w:val="single"/>
        </w:rPr>
        <w:t xml:space="preserve"> 10 </w:t>
      </w:r>
      <w:r>
        <w:rPr>
          <w:rFonts w:hint="eastAsia" w:ascii="新宋体" w:hAnsi="新宋体" w:eastAsia="新宋体" w:cs="新宋体"/>
          <w:sz w:val="21"/>
          <w:szCs w:val="21"/>
        </w:rPr>
        <w:t>分</w:t>
      </w:r>
    </w:p>
    <w:p>
      <w:pPr>
        <w:pStyle w:val="11"/>
        <w:spacing w:line="400" w:lineRule="exact"/>
        <w:ind w:firstLine="428" w:firstLineChars="200"/>
        <w:rPr>
          <w:rFonts w:hint="eastAsia" w:ascii="新宋体" w:hAnsi="新宋体" w:eastAsia="新宋体" w:cs="新宋体"/>
          <w:sz w:val="21"/>
          <w:szCs w:val="21"/>
        </w:rPr>
      </w:pPr>
      <w:r>
        <w:rPr>
          <w:rFonts w:hint="eastAsia" w:ascii="新宋体" w:hAnsi="新宋体" w:eastAsia="新宋体" w:cs="新宋体"/>
          <w:sz w:val="21"/>
          <w:szCs w:val="21"/>
        </w:rPr>
        <w:t xml:space="preserve">                   　某供应商评标价金额</w:t>
      </w:r>
    </w:p>
    <w:p>
      <w:pPr>
        <w:spacing w:line="400" w:lineRule="exact"/>
        <w:ind w:firstLine="270" w:firstLineChars="129"/>
        <w:jc w:val="left"/>
        <w:rPr>
          <w:rFonts w:hint="eastAsia" w:ascii="新宋体" w:hAnsi="新宋体" w:eastAsia="新宋体" w:cs="新宋体"/>
          <w:kern w:val="0"/>
          <w:sz w:val="21"/>
          <w:szCs w:val="21"/>
        </w:rPr>
      </w:pPr>
      <w:r>
        <w:rPr>
          <w:rFonts w:hint="eastAsia" w:ascii="新宋体" w:hAnsi="新宋体" w:eastAsia="新宋体" w:cs="新宋体"/>
          <w:kern w:val="0"/>
          <w:sz w:val="21"/>
          <w:szCs w:val="21"/>
        </w:rPr>
        <w:t>（7）投标人不得以低于成本的报价竞标,在评标过程中，评标委员若发现投标人的报价明显低于其他投标报价或者在设有标底时明显低于标底，使得其投标报价可能低于其个别成本的，投标人需作出书面说明并提供相关证明材料。投标人不能合理说明或者不能提供相关证明材料的，由评标委员会认定该投标人以低于成本报价竞争，其投标作废标处理（预算价格的70%为投标最低限价）。</w:t>
      </w:r>
    </w:p>
    <w:p>
      <w:pPr>
        <w:spacing w:line="400" w:lineRule="exact"/>
        <w:ind w:firstLine="270" w:firstLineChars="129"/>
        <w:jc w:val="left"/>
        <w:rPr>
          <w:rFonts w:hint="eastAsia" w:ascii="新宋体" w:hAnsi="新宋体" w:eastAsia="新宋体" w:cs="新宋体"/>
          <w:kern w:val="0"/>
          <w:sz w:val="21"/>
          <w:szCs w:val="21"/>
        </w:rPr>
      </w:pPr>
      <w:r>
        <w:rPr>
          <w:rFonts w:hint="eastAsia" w:ascii="新宋体" w:hAnsi="新宋体" w:eastAsia="新宋体" w:cs="新宋体"/>
          <w:kern w:val="0"/>
          <w:sz w:val="21"/>
          <w:szCs w:val="21"/>
        </w:rPr>
        <w:t>（8）评标价为供应商的磋商报价进行政策性扣除后的价格，评标价只是作为评标时使用。最终成交供应商的成交金额＝磋商报价。</w:t>
      </w:r>
    </w:p>
    <w:p>
      <w:pPr>
        <w:spacing w:line="400" w:lineRule="exact"/>
        <w:ind w:firstLine="2310" w:firstLineChars="1100"/>
        <w:rPr>
          <w:rFonts w:hint="eastAsia" w:ascii="新宋体" w:hAnsi="新宋体" w:eastAsia="新宋体" w:cs="新宋体"/>
          <w:bCs/>
          <w:kern w:val="0"/>
          <w:sz w:val="21"/>
          <w:szCs w:val="21"/>
        </w:rPr>
      </w:pPr>
    </w:p>
    <w:p>
      <w:pPr>
        <w:spacing w:line="400" w:lineRule="exact"/>
        <w:rPr>
          <w:rFonts w:hint="eastAsia" w:ascii="新宋体" w:hAnsi="新宋体" w:eastAsia="新宋体" w:cs="新宋体"/>
          <w:sz w:val="21"/>
          <w:szCs w:val="21"/>
        </w:rPr>
      </w:pPr>
      <w:r>
        <w:rPr>
          <w:rFonts w:hint="eastAsia" w:ascii="新宋体" w:hAnsi="新宋体" w:eastAsia="新宋体" w:cs="新宋体"/>
          <w:sz w:val="21"/>
          <w:szCs w:val="21"/>
        </w:rPr>
        <w:t>2、技术及实施方案分……………………………………………………………</w:t>
      </w:r>
      <w:r>
        <w:rPr>
          <w:rFonts w:hint="eastAsia" w:ascii="新宋体" w:hAnsi="新宋体" w:eastAsia="新宋体" w:cs="新宋体"/>
          <w:sz w:val="21"/>
          <w:szCs w:val="21"/>
          <w:lang w:val="en-US" w:eastAsia="zh-CN"/>
        </w:rPr>
        <w:t>45</w:t>
      </w:r>
      <w:r>
        <w:rPr>
          <w:rFonts w:hint="eastAsia" w:ascii="新宋体" w:hAnsi="新宋体" w:eastAsia="新宋体" w:cs="新宋体"/>
          <w:sz w:val="21"/>
          <w:szCs w:val="21"/>
        </w:rPr>
        <w:t>分</w:t>
      </w:r>
    </w:p>
    <w:p>
      <w:pPr>
        <w:spacing w:line="360" w:lineRule="exact"/>
        <w:ind w:firstLine="420" w:firstLineChars="200"/>
        <w:rPr>
          <w:rFonts w:hint="eastAsia" w:ascii="新宋体" w:hAnsi="新宋体" w:eastAsia="新宋体" w:cs="新宋体"/>
          <w:bCs/>
          <w:kern w:val="0"/>
          <w:sz w:val="21"/>
          <w:szCs w:val="21"/>
        </w:rPr>
      </w:pPr>
      <w:r>
        <w:rPr>
          <w:rFonts w:hint="eastAsia" w:ascii="新宋体" w:hAnsi="新宋体" w:eastAsia="新宋体" w:cs="新宋体"/>
          <w:bCs/>
          <w:kern w:val="0"/>
          <w:sz w:val="21"/>
          <w:szCs w:val="21"/>
        </w:rPr>
        <w:t>（1）系统建设技术方案分（满分</w:t>
      </w:r>
      <w:r>
        <w:rPr>
          <w:rFonts w:hint="eastAsia" w:ascii="新宋体" w:hAnsi="新宋体" w:eastAsia="新宋体" w:cs="新宋体"/>
          <w:bCs/>
          <w:kern w:val="0"/>
          <w:sz w:val="21"/>
          <w:szCs w:val="21"/>
          <w:lang w:val="en-US" w:eastAsia="zh-CN"/>
        </w:rPr>
        <w:t>30</w:t>
      </w:r>
      <w:r>
        <w:rPr>
          <w:rFonts w:hint="eastAsia" w:ascii="新宋体" w:hAnsi="新宋体" w:eastAsia="新宋体" w:cs="新宋体"/>
          <w:bCs/>
          <w:kern w:val="0"/>
          <w:sz w:val="21"/>
          <w:szCs w:val="21"/>
        </w:rPr>
        <w:t>分）</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一档（</w:t>
      </w:r>
      <w:r>
        <w:rPr>
          <w:rFonts w:hint="eastAsia" w:ascii="新宋体" w:hAnsi="新宋体" w:eastAsia="新宋体" w:cs="新宋体"/>
          <w:kern w:val="0"/>
          <w:sz w:val="21"/>
          <w:szCs w:val="21"/>
          <w:lang w:val="en-US" w:eastAsia="zh-CN"/>
        </w:rPr>
        <w:t>10</w:t>
      </w:r>
      <w:r>
        <w:rPr>
          <w:rFonts w:hint="eastAsia" w:ascii="新宋体" w:hAnsi="新宋体" w:eastAsia="新宋体" w:cs="新宋体"/>
          <w:kern w:val="0"/>
          <w:sz w:val="21"/>
          <w:szCs w:val="21"/>
        </w:rPr>
        <w:t>分）：基本满足系统功能需求，能描述分析</w:t>
      </w:r>
      <w:r>
        <w:rPr>
          <w:rFonts w:hint="eastAsia" w:ascii="新宋体" w:hAnsi="新宋体" w:eastAsia="新宋体" w:cs="新宋体"/>
          <w:kern w:val="0"/>
          <w:sz w:val="21"/>
          <w:szCs w:val="21"/>
          <w:lang w:eastAsia="zh-CN"/>
        </w:rPr>
        <w:t>钦北区卫生健康局医疗票据管理平台</w:t>
      </w:r>
      <w:r>
        <w:rPr>
          <w:rFonts w:hint="eastAsia" w:ascii="新宋体" w:hAnsi="新宋体" w:eastAsia="新宋体" w:cs="新宋体"/>
          <w:kern w:val="0"/>
          <w:sz w:val="21"/>
          <w:szCs w:val="21"/>
        </w:rPr>
        <w:t>基础数据、票据管理、开票管理、对账管理、归档管理、报表查询、预交金管理、数据核对、接口管理、系统参数设置十大模块，基本满足建设需求。</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二档（</w:t>
      </w:r>
      <w:r>
        <w:rPr>
          <w:rFonts w:hint="eastAsia" w:ascii="新宋体" w:hAnsi="新宋体" w:eastAsia="新宋体" w:cs="新宋体"/>
          <w:kern w:val="0"/>
          <w:sz w:val="21"/>
          <w:szCs w:val="21"/>
          <w:lang w:val="en-US" w:eastAsia="zh-CN"/>
        </w:rPr>
        <w:t>18</w:t>
      </w:r>
      <w:r>
        <w:rPr>
          <w:rFonts w:hint="eastAsia" w:ascii="新宋体" w:hAnsi="新宋体" w:eastAsia="新宋体" w:cs="新宋体"/>
          <w:kern w:val="0"/>
          <w:sz w:val="21"/>
          <w:szCs w:val="21"/>
        </w:rPr>
        <w:t>分）：在一档基础上，详细阐述</w:t>
      </w:r>
      <w:r>
        <w:rPr>
          <w:rFonts w:hint="eastAsia" w:ascii="新宋体" w:hAnsi="新宋体" w:eastAsia="新宋体" w:cs="新宋体"/>
          <w:kern w:val="0"/>
          <w:sz w:val="21"/>
          <w:szCs w:val="21"/>
          <w:lang w:eastAsia="zh-CN"/>
        </w:rPr>
        <w:t>钦北区卫生健康局医疗票据管理平台</w:t>
      </w:r>
      <w:r>
        <w:rPr>
          <w:rFonts w:hint="eastAsia" w:ascii="新宋体" w:hAnsi="新宋体" w:eastAsia="新宋体" w:cs="新宋体"/>
          <w:kern w:val="0"/>
          <w:sz w:val="21"/>
          <w:szCs w:val="21"/>
        </w:rPr>
        <w:t>管理员业务功能如基础数据、系统管理、接口管理、系统配置等功能模块；票管员模块如票据管理、开票管理、对账管理、归档管理、报表统计、预交金管理、数据核对等功能模块。按照财政部【财综〔 2017 〕 32号】财政电子票据业务规范，医疗财政电子票据作为财政票据的一种，最终需要完成和省级财政票据管理系统的对接</w:t>
      </w:r>
      <w:r>
        <w:rPr>
          <w:rFonts w:hint="eastAsia" w:ascii="新宋体" w:hAnsi="新宋体" w:eastAsia="新宋体" w:cs="新宋体"/>
          <w:kern w:val="0"/>
          <w:sz w:val="21"/>
          <w:szCs w:val="21"/>
          <w:lang w:val="en-US" w:eastAsia="zh-CN"/>
        </w:rPr>
        <w:t>即省级财政监制</w:t>
      </w:r>
      <w:r>
        <w:rPr>
          <w:rFonts w:hint="eastAsia" w:ascii="新宋体" w:hAnsi="新宋体" w:eastAsia="新宋体" w:cs="新宋体"/>
          <w:kern w:val="0"/>
          <w:sz w:val="21"/>
          <w:szCs w:val="21"/>
        </w:rPr>
        <w:t>，</w:t>
      </w:r>
      <w:r>
        <w:rPr>
          <w:rFonts w:hint="eastAsia" w:ascii="新宋体" w:hAnsi="新宋体" w:eastAsia="新宋体" w:cs="新宋体"/>
          <w:kern w:val="0"/>
          <w:sz w:val="21"/>
          <w:szCs w:val="21"/>
          <w:lang w:val="en-US" w:eastAsia="zh-CN"/>
        </w:rPr>
        <w:t>才能生成社会化流转的医疗财政电子票据，</w:t>
      </w:r>
      <w:r>
        <w:rPr>
          <w:rFonts w:hint="eastAsia" w:ascii="新宋体" w:hAnsi="新宋体" w:eastAsia="新宋体" w:cs="新宋体"/>
          <w:kern w:val="0"/>
          <w:sz w:val="21"/>
          <w:szCs w:val="21"/>
        </w:rPr>
        <w:t>提供完整的技术保障方案，系统构架合理，基本满足系统功能需求。（每个功能及其子模块均须提供系统操作界面截图和描述介绍，同时提供省级财政部门财政票据建设案例合同（包括但不限于合同封面页、采购标的物页、合同日期和金额页、签字盖章页及发票），缺少对应材料该档不得分）。</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三档（</w:t>
      </w:r>
      <w:r>
        <w:rPr>
          <w:rFonts w:hint="eastAsia" w:ascii="新宋体" w:hAnsi="新宋体" w:eastAsia="新宋体" w:cs="新宋体"/>
          <w:kern w:val="0"/>
          <w:sz w:val="21"/>
          <w:szCs w:val="21"/>
          <w:lang w:val="en-US" w:eastAsia="zh-CN"/>
        </w:rPr>
        <w:t>30</w:t>
      </w:r>
      <w:r>
        <w:rPr>
          <w:rFonts w:hint="eastAsia" w:ascii="新宋体" w:hAnsi="新宋体" w:eastAsia="新宋体" w:cs="新宋体"/>
          <w:kern w:val="0"/>
          <w:sz w:val="21"/>
          <w:szCs w:val="21"/>
        </w:rPr>
        <w:t>分）：在满足二档基础上，分析医疗机构和采购人的现状，建设内容、建设原则、业务功能架构、网络部署结构、业务流程、系统架构和技术需求，详细阐述系统的业务架构、技术架构、部署结构；合理设计系统多类应用的开发框架、开发语言、开发工具、设计工具、中间件应用和数据存储方式；有一定的质量控制措施，安全和应急保障措施；同时全面考虑系统安全及代码的可靠性，须提供投标人开发或所投的</w:t>
      </w:r>
      <w:r>
        <w:rPr>
          <w:rFonts w:hint="eastAsia" w:ascii="新宋体" w:hAnsi="新宋体" w:eastAsia="新宋体" w:cs="新宋体"/>
          <w:kern w:val="0"/>
          <w:sz w:val="21"/>
          <w:szCs w:val="21"/>
          <w:lang w:eastAsia="zh-CN"/>
        </w:rPr>
        <w:t>钦北区卫生健康局医疗票据管理平台</w:t>
      </w:r>
      <w:r>
        <w:rPr>
          <w:rFonts w:hint="eastAsia" w:ascii="新宋体" w:hAnsi="新宋体" w:eastAsia="新宋体" w:cs="新宋体"/>
          <w:kern w:val="0"/>
          <w:sz w:val="21"/>
          <w:szCs w:val="21"/>
        </w:rPr>
        <w:t>与财政对接的系统满足中国网络安全审查技术与认证中心出具的IT产品信息安全认证证书（提供相关报告及机构认证证书复印件并加盖公章，缺少对应材料该档不得分</w:t>
      </w:r>
      <w:r>
        <w:rPr>
          <w:rFonts w:hint="eastAsia" w:ascii="新宋体" w:hAnsi="新宋体" w:eastAsia="新宋体" w:cs="新宋体"/>
          <w:kern w:val="0"/>
          <w:sz w:val="21"/>
          <w:szCs w:val="21"/>
          <w:lang w:eastAsia="zh-CN"/>
        </w:rPr>
        <w:t>。</w:t>
      </w:r>
      <w:r>
        <w:rPr>
          <w:rFonts w:hint="eastAsia" w:ascii="新宋体" w:hAnsi="新宋体" w:eastAsia="新宋体" w:cs="新宋体"/>
          <w:kern w:val="0"/>
          <w:sz w:val="21"/>
          <w:szCs w:val="21"/>
        </w:rPr>
        <w:t>）。</w:t>
      </w:r>
    </w:p>
    <w:p>
      <w:pPr>
        <w:spacing w:line="360" w:lineRule="exact"/>
        <w:ind w:firstLine="420" w:firstLineChars="200"/>
        <w:rPr>
          <w:rFonts w:hint="eastAsia" w:ascii="新宋体" w:hAnsi="新宋体" w:eastAsia="新宋体" w:cs="新宋体"/>
          <w:bCs/>
          <w:kern w:val="0"/>
          <w:sz w:val="21"/>
          <w:szCs w:val="21"/>
        </w:rPr>
      </w:pPr>
      <w:r>
        <w:rPr>
          <w:rFonts w:hint="eastAsia" w:ascii="新宋体" w:hAnsi="新宋体" w:eastAsia="新宋体" w:cs="新宋体"/>
          <w:bCs/>
          <w:kern w:val="0"/>
          <w:sz w:val="21"/>
          <w:szCs w:val="21"/>
        </w:rPr>
        <w:t>（2）设计实施及培训方案分（满分1</w:t>
      </w:r>
      <w:r>
        <w:rPr>
          <w:rFonts w:hint="eastAsia" w:ascii="新宋体" w:hAnsi="新宋体" w:eastAsia="新宋体" w:cs="新宋体"/>
          <w:bCs/>
          <w:kern w:val="0"/>
          <w:sz w:val="21"/>
          <w:szCs w:val="21"/>
          <w:lang w:val="en-US" w:eastAsia="zh-CN"/>
        </w:rPr>
        <w:t>5</w:t>
      </w:r>
      <w:r>
        <w:rPr>
          <w:rFonts w:hint="eastAsia" w:ascii="新宋体" w:hAnsi="新宋体" w:eastAsia="新宋体" w:cs="新宋体"/>
          <w:bCs/>
          <w:kern w:val="0"/>
          <w:sz w:val="21"/>
          <w:szCs w:val="21"/>
        </w:rPr>
        <w:t>分）</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一档（5分）：方案一般，基本满足建设需求。</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二档（9分）：在一档基础上，能根据采购人管理的要求，充分考虑医疗机构的需求。以预交金等业务为例，提出有针对性的系统设计和实施服务方案。详细阐述票管员模块如票据管理、开票管理、对账管理、归档管理、报表统计、预交金管理、数据核对等功能模块。（每个功能及其子模块均须提供系统操作界面截图和描述介绍，缺少对应材料该档不得分）。同时应充分证明该系统设计符合医疗机构和采购人使用诉求，稳定安全可靠，售后服务及时到位且具备一定软件服务交付能力。【须提供投标人或投标人所用系统开发商的</w:t>
      </w:r>
      <w:r>
        <w:rPr>
          <w:rFonts w:hint="eastAsia" w:ascii="新宋体" w:hAnsi="新宋体" w:eastAsia="新宋体" w:cs="新宋体"/>
          <w:kern w:val="0"/>
          <w:sz w:val="21"/>
          <w:szCs w:val="21"/>
          <w:lang w:eastAsia="zh-CN"/>
        </w:rPr>
        <w:t>综合数据分析监管平台</w:t>
      </w:r>
      <w:r>
        <w:rPr>
          <w:rFonts w:hint="eastAsia" w:ascii="新宋体" w:hAnsi="新宋体" w:eastAsia="新宋体" w:cs="新宋体"/>
          <w:kern w:val="0"/>
          <w:sz w:val="21"/>
          <w:szCs w:val="21"/>
        </w:rPr>
        <w:t>的用户使用证明及合同文件（包括但不限于合同封面页、采购标的物页、合同日期和金额页、签字盖章页及发票）复印件加盖公章，缺少对应材料该档不得分；提供中国软件行业协会颁发的“软件服务商交付能力证书”达到二级或以上交付能力证书，缺少对应材料该档不得分。】。</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三档（1</w:t>
      </w:r>
      <w:r>
        <w:rPr>
          <w:rFonts w:hint="eastAsia" w:ascii="新宋体" w:hAnsi="新宋体" w:eastAsia="新宋体" w:cs="新宋体"/>
          <w:kern w:val="0"/>
          <w:sz w:val="21"/>
          <w:szCs w:val="21"/>
          <w:lang w:val="en-US" w:eastAsia="zh-CN"/>
        </w:rPr>
        <w:t>5</w:t>
      </w:r>
      <w:r>
        <w:rPr>
          <w:rFonts w:hint="eastAsia" w:ascii="新宋体" w:hAnsi="新宋体" w:eastAsia="新宋体" w:cs="新宋体"/>
          <w:kern w:val="0"/>
          <w:sz w:val="21"/>
          <w:szCs w:val="21"/>
        </w:rPr>
        <w:t>分）：在满足二档的基础上，结合做过的实际案例经验，详细分析业务需求，提出合理可行的系统建设优化建议和解决措施，说明系统建设和实施培训过程中存在的关键问题和解决方案，包括系统建设的开发、测试、部署上线，以及财政部、自治区财政厅、归属财政局、采购人和医疗机构本身的要求。同时应充分考虑</w:t>
      </w:r>
      <w:r>
        <w:rPr>
          <w:rFonts w:hint="eastAsia" w:ascii="新宋体" w:hAnsi="新宋体" w:eastAsia="新宋体" w:cs="新宋体"/>
          <w:kern w:val="0"/>
          <w:sz w:val="21"/>
          <w:szCs w:val="21"/>
          <w:lang w:eastAsia="zh-CN"/>
        </w:rPr>
        <w:t>钦北区卫生健康局医疗票据管理平台</w:t>
      </w:r>
      <w:r>
        <w:rPr>
          <w:rFonts w:hint="eastAsia" w:ascii="新宋体" w:hAnsi="新宋体" w:eastAsia="新宋体" w:cs="新宋体"/>
          <w:kern w:val="0"/>
          <w:sz w:val="21"/>
          <w:szCs w:val="21"/>
        </w:rPr>
        <w:t>和广西壮族自治区财政票据电子化管理系统的无缝连接，根据广西壮族自治区财政票据电子化管理系统协调推进工作要求提出对应的设计和实施方案。（为了响应国产化要求，须提供投标人或投标人所用系统开发商的财政票据管理系统与采购人现有的深圳金蝶天燕Apusic应用服务器产品兼容性认证，提供相关报告及机构认证证书复印件并加盖公章，缺少对应材料该档不得分</w:t>
      </w:r>
      <w:r>
        <w:rPr>
          <w:rFonts w:hint="eastAsia" w:ascii="新宋体" w:hAnsi="新宋体" w:eastAsia="新宋体" w:cs="新宋体"/>
          <w:kern w:val="0"/>
          <w:sz w:val="21"/>
          <w:szCs w:val="21"/>
          <w:lang w:eastAsia="zh-CN"/>
        </w:rPr>
        <w:t>。</w:t>
      </w:r>
      <w:r>
        <w:rPr>
          <w:rFonts w:hint="eastAsia" w:ascii="新宋体" w:hAnsi="新宋体" w:eastAsia="新宋体" w:cs="新宋体"/>
          <w:kern w:val="0"/>
          <w:sz w:val="21"/>
          <w:szCs w:val="21"/>
        </w:rPr>
        <w:t>）。</w:t>
      </w:r>
    </w:p>
    <w:p>
      <w:pPr>
        <w:spacing w:line="400" w:lineRule="exact"/>
        <w:rPr>
          <w:rFonts w:hint="eastAsia" w:ascii="新宋体" w:hAnsi="新宋体" w:eastAsia="新宋体" w:cs="新宋体"/>
          <w:sz w:val="21"/>
          <w:szCs w:val="21"/>
        </w:rPr>
      </w:pPr>
      <w:r>
        <w:rPr>
          <w:rFonts w:hint="eastAsia" w:ascii="新宋体" w:hAnsi="新宋体" w:eastAsia="新宋体" w:cs="新宋体"/>
          <w:bCs/>
          <w:sz w:val="21"/>
          <w:szCs w:val="21"/>
        </w:rPr>
        <w:t>3、系统演示分（</w:t>
      </w:r>
      <w:r>
        <w:rPr>
          <w:rFonts w:hint="eastAsia" w:ascii="新宋体" w:hAnsi="新宋体" w:eastAsia="新宋体" w:cs="新宋体"/>
          <w:bCs/>
          <w:sz w:val="21"/>
          <w:szCs w:val="21"/>
          <w:lang w:val="en-US" w:eastAsia="zh-CN"/>
        </w:rPr>
        <w:t>1</w:t>
      </w:r>
      <w:r>
        <w:rPr>
          <w:rFonts w:hint="eastAsia" w:ascii="新宋体" w:hAnsi="新宋体" w:eastAsia="新宋体" w:cs="新宋体"/>
          <w:bCs/>
          <w:sz w:val="21"/>
          <w:szCs w:val="21"/>
        </w:rPr>
        <w:t>0分）</w:t>
      </w:r>
      <w:r>
        <w:rPr>
          <w:rFonts w:hint="eastAsia" w:ascii="新宋体" w:hAnsi="新宋体" w:eastAsia="新宋体" w:cs="新宋体"/>
          <w:sz w:val="21"/>
          <w:szCs w:val="21"/>
        </w:rPr>
        <w:t xml:space="preserve"> </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演示说明：不能提供演示的则演示分为0分。演示时必须提供具备实时动态数据的</w:t>
      </w:r>
      <w:r>
        <w:rPr>
          <w:rFonts w:hint="eastAsia" w:ascii="新宋体" w:hAnsi="新宋体" w:eastAsia="新宋体" w:cs="新宋体"/>
          <w:kern w:val="0"/>
          <w:sz w:val="21"/>
          <w:szCs w:val="21"/>
          <w:lang w:eastAsia="zh-CN"/>
        </w:rPr>
        <w:t>钦北区卫生健康局医疗票据管理平台</w:t>
      </w:r>
      <w:r>
        <w:rPr>
          <w:rFonts w:hint="eastAsia" w:ascii="新宋体" w:hAnsi="新宋体" w:eastAsia="新宋体" w:cs="新宋体"/>
          <w:kern w:val="0"/>
          <w:sz w:val="21"/>
          <w:szCs w:val="21"/>
        </w:rPr>
        <w:t>系统进行演示，不得使用静态页面系统、PPT或截图等方式进行演示，否则视为演示无效得0分。投标人在进行演示时，应先简述系统所含全部功能，并在演示过程中直接指出系统在界面直观友好、操作简便上的特点。</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主要演示：</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1、医疗机构票据申领、票据申退、票据开具及查验、票据审验、票据作废和销毁、单位票据期初库存导入、单位票据印制计划编制上报、单位票据印制计划调整、电子票据单笔和批量入账、开票点管理、系统参数设置、任务调度管理、微信取票小程序功能、接口授权管理功能；</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2、采购人监管分析及统计查询功能，包含：医疗机构用票总览、门诊/住院开票分析、医疗收入统计分析、医疗收费价格监管；</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一档（6分）：简单描述系统功能，业务数据都是已经生成的，无任何实时动态数据演示。</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二档（12分）：在一档的基础上能够详细描述系统功能和业务逻辑，能够提供具备实时动态数据的</w:t>
      </w:r>
      <w:r>
        <w:rPr>
          <w:rFonts w:hint="eastAsia" w:ascii="新宋体" w:hAnsi="新宋体" w:eastAsia="新宋体" w:cs="新宋体"/>
          <w:sz w:val="21"/>
          <w:szCs w:val="21"/>
          <w:lang w:eastAsia="zh-CN"/>
        </w:rPr>
        <w:t>钦北区卫生健康局医疗票据管理平台</w:t>
      </w:r>
      <w:r>
        <w:rPr>
          <w:rFonts w:hint="eastAsia" w:ascii="新宋体" w:hAnsi="新宋体" w:eastAsia="新宋体" w:cs="新宋体"/>
          <w:kern w:val="0"/>
          <w:sz w:val="21"/>
          <w:szCs w:val="21"/>
        </w:rPr>
        <w:t>演示，能演示以下基础数据管理功能：</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演示说明：不能提供演示的则演示分为0分。演示时必须提供具备实时动态数据的医疗电子票据管理平台系统进行演示，不得使用静态页面系统、PPT或截图等方式进行演示，否则视为演示无效得0分。投标人在进行演示时，应先简述系统所含全部功能，并在演示过程中直接指出系统在界面直观友好、操作简便上的特点。</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主要演示：</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1、医疗机构票据申领、票据申退、票据开具及查验、票据审验、票据作废和销毁、单位票据期初库存导入、单位票据印制计划编制上报、单位票据印制计划调整、电子票据单笔和批量入账、开票点管理、系统参数设置、任务调度管理、微信取票小程序功能、接口授权管理功能；</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2、卫健监管分析及统计查询功能，包含：医疗机构用票总览、门诊/住院开票分析、医疗收入统计分析、医疗收费价格监管；</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一档（3分）：简单描述系统功能，业务数据都是已经生成的，无任何实时动态数据演示。</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二档（6分）：在一档的基础上能够详细描述系统功能和业务逻辑，能够提供具备实时动态数据的医疗财政票据电子化管理系统演示，能演示以下基础管理功能：</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1）电子票据记账：按照财政部标准业务流程，财政电子票据需要用票单位进行入账反馈，系统应提供此功能。（1）单位可以通过新增自行选择日期、票据名称、票据代码、票号选择其中一笔或多笔进行汇总记账；（2）对于生成的汇总记账单单位根据实际业务发生选择一笔或多笔进行记账登记，输入对于单据记账会计凭证号码等信息；（3）对于已记账登记的汇总单可以撤销记账。</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2）模板设置：（1）采购人可以自定义界面开票模板；（2）自定义界面提供票据名称、性质、类型及预览基础设置功能；（3）自定义界面采购人可以对每种票据种类设置显示字段，以及字段数值，例如名称、参数类型、扩展信息、是否必填、是否必读、默认值、校验值、显示顺序及显示级别等。</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3）接口授权：卫健医疗电子票据管理平台系统必须提供可视化界面的授权管理，a.接入应用管理，采购人可以设置多个应用接入，方便识别不同医疗机构的接入应用；b.采购人可以根据需要设置启用或者不启用对应的应用接入名称；c.采购人可以对设置的应用接入授权具体接口，严格控制应用接入接口数量；d.采购人对于已经有接入权限的接口可以设置接口字段权限，包含参数标志、是否必填、默认值等。</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4）采购人短信、邮件通知：卫健医疗电子票据管理平台系统应提供短信、邮件自定义格式发送。短信配置可设置运营商、状态是否启用、短信内容自定义配置等信息；邮件配置包括是否可自定义配置、服务地址、端口、邮箱账号、密码、状态是否启用、自定义配置等内容。</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5）系统参数设置：a.基础参数设置，各医疗机构可自定义设置对应的业务流程单据是否启用审核流程，可设置审核流程的单据包括期初库存、票据下发、库存作废、手工开票、退票申请等；可自定义设置库存预警设置，库存预警池设置包括票据类型、预警数量；可自定义设置电子票据清单显示设置，电子票据清单设置应包括票据类型、票据代码、限定数量；可自定义设置预警时间设置，包括审验到期预警天数、汇缴到期预警天数。b.产品参数设置，财政医疗电子票据管理平台可做到界面可视化各类参数设置，其中包括电子票打印次数限制、是否启用电子票换开纸质票年度限制、是否启用电子票换开专用机打票、首页库存预警提示阀值、医保类型值设置、清单明细是否返回、是否开启医保总金额等于票面总金额判断、机打票是否打印清单、是否开启预交金功能、预交金二维码显示规则、预交金退费项描述、预交金退费凭证备注添加凭证代码、票据自动下发（包括开票点票据手动或自动发放方式、开票点单笔下发数额）。</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6）开票点管理：各医疗机构可自行设置多个开票点，每个开票点可以自定义设置收费项目，可以自定义设置票据种类，可设置各医疗机构内不同开票点开具的门诊或住院票据开票单位名称和电子签章可为不相同。</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7）任务调度管理：卫健医疗电子票据管理平台系统必须提供可视化界面的任务调度管理，a.运行报表，应能体现任务数量、调度次数等调度报表可视化内容；b.调度日志，以列表方式展现出每个任务执行情况，包括任务的执行处理器、执行器触发时间、执行结果等；c.任务管理，可自定义新增执行器，包括独立部署基础资料同步、库存预警、医疗日结、同步（开票数据下载）、待办事项刷新、预交金日结、预交金月结、批量上传任务等作业处理器，且包括任务的路由策略、阻塞处理策略、失败处理策略、任务描述等关键指标处理。</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三档（10分）：在完全满足二档的基础上能够详细阐述系统功能和业务逻辑，能够提供具备实时动态数据的医疗财政票据电子化管理系统演示，能演示以下业务处理功能：</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1）单位票据申领功能：以具备实时动态数据的卫健医疗电子票据管理平台系统作为展示系统，可通过用户登录系统，通过新增，填写申领人、联系电话、单位地址、票据编码、票据名称、数量等票据申领信息，通过系统数据上报功能，报送财政票据管理部门，财政票据管理部门进行审核出库后，单位通过系统进行入库确认操作，单位可以根据需要在申领界面查询历史以往数据及申领状态。</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2）单位票据申退功能：以具备实时动态数据的卫健医疗电子票据管理平台系统作为展示系统，1、演示开票点人员对于票管员已经下发入库的票据进行申退，申退给票管员，票管员可以实时根据院内开票情况及时重新分配各个开票点库存；2、演示因为财政出库失误导致票管员已经出库给开票点的入库票据回收给票管员，由票管员核对后申退给财政部门，由财政部门审批备案。</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3）单位票据开具及查验功能：以具备实时动态数据的卫健医疗电子票据管理平台系统作为展示系统，票据管理人员可以在线开具医疗门诊、住院、资金往来、捐赠、非税收入等票据种类，票据管理人员可以根据不同的业务模式，选择使用单笔录入或批量导入开具电子票据，演示医院先签名、财政后签名过程，演示开具出符合财政部规范标准的电子票据，通过互联网在线查验真伪，同时根据业务需要演示电子票据冲红及通过互联网在线查验冲红信息。单位可以根据需要在开具界面查询历史以往数据及电子票据状态。</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4）单位票据审验功能：以具备实时动态数据的卫健医疗电子票据管理平台系统作为展示系统，票管员对于超过审验周期或者按照财政部门要求进行审验的数据，需要上报数据进行审验，数据上报审验票管员可以根据需要自行选择上报截止日期内的审验数据，包含已开票数据、收缴信息、已冲红或作废数据、已冲销数据等，财政部门接收到审验数据后，进行审验，单位可以根据需要在审验界面查询历史以往数据及审验状态。</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5）单位票据作废和销毁功能：以具备实时动态数据的卫健医疗电子票据管理平台系统作为展示系统，展示票管员因为开票点人员失误造成的票据丢失或者开具空白票据后，票管员作废库存，同时对于已经作废的的库存及时上报财政备案。票管员对于开票人员反馈的丢失或者空白票据进行库存作废，作废后通过票据销毁申请，上报财政部门进行审核备案，防止因为信息传递不及时造成的损失，单位可以根据需要在作废或销毁界面查询历史以往数据及财政销毁备案状态。</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（6）演示医疗财政电子票据线下归档入账功能：1：财政电子票据是单位财务收支和会计核算的原始凭证，是财政、审计等部门进行监督检查的重要依据。同时按照【财综〔 2017 〕 32号】业务流程，财政部门、开票医院、患者需分别进行归档。需现场演示将开具的电子票据三方归档。2：患者获取财政电子票据后，并将票据提供至对应报销机构，报销机构对电子票据进行查验，下载电子票据生成报销依据。需现场演示将电子票据提供给报销机构，报销机构财务系统输入电子票据进行查验、下载，生成相关记账凭证。</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7）演示卫健作为监管机构，监管分析大数据利用功能，主要包含a、医疗机构用票总览：以具备实时动态数据的卫健医疗电子票据管理平台通过动态数据展示医疗机构开票量前TOP10，可以按照医疗机构类型分别展示，通过统计分析形成动态数据对比数据，例如开票占比分析、开票趋势分析等；b、门诊/住院开票分析：以具备实时动态数据的卫健医疗电子票据管理平台通过动态数据展示下属医疗机构门诊/住院开票情况，统计分析医疗机构业务科室就诊量排行前TOP10，通过统计分析形成动态数据展示，例如门诊均次费用趋势分析、票面支付信息等;c、医疗收入统计分析: 以具备实时动态数据的卫健医疗电子票据管理平台通过动态数据展示医疗机构收入情况，通过大数据分析利用筛选医疗机构前TOP5名单，通过统计分析形成动态数据对比展示，例如医疗机构药品收入占比TOP5、门诊/住院项目收入占比等；d、医疗收费价格监管：以具备实时动态数据的卫健医疗电子票据管理平台通过动态数据展示医疗机构违规开票收费情况，通过大数据分析利用筛选医疗机构异常收费项目。</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8）演示微信取票小程序功能，a.扫码查票，通过扫码获取或查看电子票据；b.手工查票，可选择票据类型，通过票据代码、票据号码、校验码信息查找电子票；c.预交金，可按住院日期展示各医疗机构的预交金凭证信息；d.票夹，可按开票日期、票据状态信息展示取到的电子票信息并可展示详细电子票据内容；e.自动取票，可通过进入各医疗机构单位后按照真实姓名、用户编码（手机号/就诊卡号/身份证号）自动获取电子票据。</w:t>
      </w:r>
    </w:p>
    <w:p>
      <w:pPr>
        <w:spacing w:line="400" w:lineRule="exact"/>
        <w:rPr>
          <w:rFonts w:hint="eastAsia" w:ascii="新宋体" w:hAnsi="新宋体" w:eastAsia="新宋体" w:cs="新宋体"/>
          <w:sz w:val="21"/>
          <w:szCs w:val="21"/>
        </w:rPr>
      </w:pPr>
      <w:r>
        <w:rPr>
          <w:rFonts w:hint="eastAsia" w:ascii="新宋体" w:hAnsi="新宋体" w:eastAsia="新宋体" w:cs="新宋体"/>
          <w:sz w:val="21"/>
          <w:szCs w:val="21"/>
        </w:rPr>
        <w:t>4、商务分…………………………………………………………………</w:t>
      </w:r>
      <w:r>
        <w:rPr>
          <w:rFonts w:hint="eastAsia" w:ascii="新宋体" w:hAnsi="新宋体" w:eastAsia="新宋体" w:cs="新宋体"/>
          <w:sz w:val="21"/>
          <w:szCs w:val="21"/>
          <w:lang w:val="en-US" w:eastAsia="zh-CN"/>
        </w:rPr>
        <w:t>35</w:t>
      </w:r>
      <w:r>
        <w:rPr>
          <w:rFonts w:hint="eastAsia" w:ascii="新宋体" w:hAnsi="新宋体" w:eastAsia="新宋体" w:cs="新宋体"/>
          <w:sz w:val="21"/>
          <w:szCs w:val="21"/>
        </w:rPr>
        <w:t>分</w:t>
      </w:r>
    </w:p>
    <w:p>
      <w:pPr>
        <w:spacing w:line="400" w:lineRule="exact"/>
        <w:rPr>
          <w:rFonts w:hint="eastAsia" w:ascii="新宋体" w:hAnsi="新宋体" w:eastAsia="新宋体" w:cs="新宋体"/>
          <w:sz w:val="21"/>
          <w:szCs w:val="21"/>
        </w:rPr>
      </w:pPr>
      <w:r>
        <w:rPr>
          <w:rFonts w:hint="eastAsia" w:ascii="新宋体" w:hAnsi="新宋体" w:eastAsia="新宋体" w:cs="新宋体"/>
          <w:sz w:val="21"/>
          <w:szCs w:val="21"/>
        </w:rPr>
        <w:t>（1）售后服务及培训方案分（满分10分）</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一档（3分）：供应商提供的售后服务方案简单，基本满足项目要求。</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二档（6分）：供应商提供的售后服务方案内容完整，可行性较强，售后服务人员组织结构较合理、维护体系较健全的，投入售后服务团队合理配备具备专业知识的技术人员≥3人，其中项目经理≥1人（具有有效的信息系统项目管理师高级资质），安全工程师≥1人（具有有效的国家信息安全测评注册信息安全专业人员证书（CISP）），软件架构师≥1人（具有有效的软件架构师专业人员资格认证证书）（须在响应文件中提供证书持有人在本公司缴纳3个月的社保证明，加盖供应商公章；证书复印件加盖供应商公章）。</w:t>
      </w:r>
    </w:p>
    <w:p>
      <w:pPr>
        <w:spacing w:line="360" w:lineRule="exact"/>
        <w:ind w:firstLine="420" w:firstLineChars="200"/>
        <w:rPr>
          <w:rFonts w:hint="eastAsia" w:ascii="新宋体" w:hAnsi="新宋体" w:eastAsia="新宋体" w:cs="新宋体"/>
          <w:kern w:val="0"/>
          <w:sz w:val="21"/>
          <w:szCs w:val="21"/>
        </w:rPr>
      </w:pPr>
      <w:r>
        <w:rPr>
          <w:rFonts w:hint="eastAsia" w:ascii="新宋体" w:hAnsi="新宋体" w:eastAsia="新宋体" w:cs="新宋体"/>
          <w:kern w:val="0"/>
          <w:sz w:val="21"/>
          <w:szCs w:val="21"/>
        </w:rPr>
        <w:t>三档（10）：在满足二挡的基础上，供应商提供详细的售后服务方案，内容完整可行，售后服务人员组织结构合理、维护体系健全，技术支持保障到位，具有快速的服务及应急相应机制，支持力度高的，配备充足的运维服务人员≥</w:t>
      </w:r>
      <w:r>
        <w:rPr>
          <w:rFonts w:hint="eastAsia" w:ascii="新宋体" w:hAnsi="新宋体" w:eastAsia="新宋体" w:cs="新宋体"/>
          <w:kern w:val="0"/>
          <w:sz w:val="21"/>
          <w:szCs w:val="21"/>
          <w:lang w:val="en-US" w:eastAsia="zh-CN"/>
        </w:rPr>
        <w:t>9</w:t>
      </w:r>
      <w:r>
        <w:rPr>
          <w:rFonts w:hint="eastAsia" w:ascii="新宋体" w:hAnsi="新宋体" w:eastAsia="新宋体" w:cs="新宋体"/>
          <w:kern w:val="0"/>
          <w:sz w:val="21"/>
          <w:szCs w:val="21"/>
        </w:rPr>
        <w:t>人,其中运维工程师≥4人（具有有效的系统集成项目管理工程师证书（中级以上资质）</w:t>
      </w:r>
      <w:r>
        <w:rPr>
          <w:rFonts w:hint="eastAsia" w:ascii="新宋体" w:hAnsi="新宋体" w:eastAsia="新宋体" w:cs="新宋体"/>
          <w:kern w:val="0"/>
          <w:sz w:val="21"/>
          <w:szCs w:val="21"/>
          <w:lang w:eastAsia="zh-CN"/>
        </w:rPr>
        <w:t>，</w:t>
      </w:r>
      <w:r>
        <w:rPr>
          <w:rFonts w:hint="eastAsia" w:ascii="新宋体" w:hAnsi="新宋体" w:eastAsia="新宋体" w:cs="新宋体"/>
          <w:kern w:val="0"/>
          <w:sz w:val="21"/>
          <w:szCs w:val="21"/>
          <w:lang w:val="en-US" w:eastAsia="zh-CN"/>
        </w:rPr>
        <w:t>有效的</w:t>
      </w:r>
      <w:r>
        <w:rPr>
          <w:rFonts w:hint="eastAsia" w:ascii="新宋体" w:hAnsi="新宋体" w:eastAsia="新宋体" w:cs="新宋体"/>
          <w:kern w:val="0"/>
          <w:sz w:val="21"/>
          <w:szCs w:val="21"/>
          <w:lang w:eastAsia="zh-CN"/>
        </w:rPr>
        <w:t>CCIE</w:t>
      </w:r>
      <w:r>
        <w:rPr>
          <w:rFonts w:hint="eastAsia" w:ascii="新宋体" w:hAnsi="新宋体" w:eastAsia="新宋体" w:cs="新宋体"/>
          <w:kern w:val="0"/>
          <w:sz w:val="21"/>
          <w:szCs w:val="21"/>
          <w:lang w:val="en-US" w:eastAsia="zh-CN"/>
        </w:rPr>
        <w:t>证书人员</w:t>
      </w:r>
      <w:r>
        <w:rPr>
          <w:rFonts w:hint="eastAsia" w:ascii="新宋体" w:hAnsi="新宋体" w:eastAsia="新宋体" w:cs="新宋体"/>
          <w:kern w:val="0"/>
          <w:sz w:val="21"/>
          <w:szCs w:val="21"/>
        </w:rPr>
        <w:t>≥</w:t>
      </w:r>
      <w:r>
        <w:rPr>
          <w:rFonts w:hint="eastAsia" w:ascii="新宋体" w:hAnsi="新宋体" w:eastAsia="新宋体" w:cs="新宋体"/>
          <w:kern w:val="0"/>
          <w:sz w:val="21"/>
          <w:szCs w:val="21"/>
          <w:lang w:val="en-US" w:eastAsia="zh-CN"/>
        </w:rPr>
        <w:t>1</w:t>
      </w:r>
      <w:r>
        <w:rPr>
          <w:rFonts w:hint="eastAsia" w:ascii="新宋体" w:hAnsi="新宋体" w:eastAsia="新宋体" w:cs="新宋体"/>
          <w:kern w:val="0"/>
          <w:sz w:val="21"/>
          <w:szCs w:val="21"/>
        </w:rPr>
        <w:t>人</w:t>
      </w:r>
      <w:r>
        <w:rPr>
          <w:rFonts w:hint="eastAsia" w:ascii="新宋体" w:hAnsi="新宋体" w:eastAsia="新宋体" w:cs="新宋体"/>
          <w:kern w:val="0"/>
          <w:sz w:val="21"/>
          <w:szCs w:val="21"/>
          <w:lang w:eastAsia="zh-CN"/>
        </w:rPr>
        <w:t>，</w:t>
      </w:r>
      <w:r>
        <w:rPr>
          <w:rFonts w:hint="eastAsia" w:ascii="新宋体" w:hAnsi="新宋体" w:eastAsia="新宋体" w:cs="新宋体"/>
          <w:kern w:val="0"/>
          <w:sz w:val="21"/>
          <w:szCs w:val="21"/>
          <w:lang w:val="en-US" w:eastAsia="zh-CN"/>
        </w:rPr>
        <w:t>有效的CDA证书人员</w:t>
      </w:r>
      <w:r>
        <w:rPr>
          <w:rFonts w:hint="eastAsia" w:ascii="新宋体" w:hAnsi="新宋体" w:eastAsia="新宋体" w:cs="新宋体"/>
          <w:kern w:val="0"/>
          <w:sz w:val="21"/>
          <w:szCs w:val="21"/>
        </w:rPr>
        <w:t>≥</w:t>
      </w:r>
      <w:r>
        <w:rPr>
          <w:rFonts w:hint="eastAsia" w:ascii="新宋体" w:hAnsi="新宋体" w:eastAsia="新宋体" w:cs="新宋体"/>
          <w:kern w:val="0"/>
          <w:sz w:val="21"/>
          <w:szCs w:val="21"/>
          <w:lang w:val="en-US" w:eastAsia="zh-CN"/>
        </w:rPr>
        <w:t>1</w:t>
      </w:r>
      <w:r>
        <w:rPr>
          <w:rFonts w:hint="eastAsia" w:ascii="新宋体" w:hAnsi="新宋体" w:eastAsia="新宋体" w:cs="新宋体"/>
          <w:kern w:val="0"/>
          <w:sz w:val="21"/>
          <w:szCs w:val="21"/>
        </w:rPr>
        <w:t>人（须在响应文件中提供证书持有人在本公司缴纳3个月的社保证明，加盖供应商公章；证书复印件加盖供应商公章）。</w:t>
      </w:r>
    </w:p>
    <w:p>
      <w:pPr>
        <w:spacing w:line="400" w:lineRule="exact"/>
        <w:jc w:val="left"/>
        <w:rPr>
          <w:rFonts w:hint="eastAsia" w:ascii="新宋体" w:hAnsi="新宋体" w:eastAsia="新宋体" w:cs="新宋体"/>
          <w:sz w:val="21"/>
          <w:szCs w:val="21"/>
        </w:rPr>
      </w:pPr>
      <w:r>
        <w:rPr>
          <w:rFonts w:hint="eastAsia" w:ascii="新宋体" w:hAnsi="新宋体" w:eastAsia="新宋体" w:cs="新宋体"/>
          <w:sz w:val="21"/>
          <w:szCs w:val="21"/>
        </w:rPr>
        <w:t>（2）供应商资质、项目建设人员资质、业绩分…………………………………</w:t>
      </w:r>
      <w:r>
        <w:rPr>
          <w:rFonts w:hint="eastAsia" w:ascii="新宋体" w:hAnsi="新宋体" w:eastAsia="新宋体" w:cs="新宋体"/>
          <w:sz w:val="21"/>
          <w:szCs w:val="21"/>
          <w:lang w:val="en-US" w:eastAsia="zh-CN"/>
        </w:rPr>
        <w:t>25</w:t>
      </w:r>
      <w:r>
        <w:rPr>
          <w:rFonts w:hint="eastAsia" w:ascii="新宋体" w:hAnsi="新宋体" w:eastAsia="新宋体" w:cs="新宋体"/>
          <w:sz w:val="21"/>
          <w:szCs w:val="21"/>
        </w:rPr>
        <w:t>分</w:t>
      </w:r>
    </w:p>
    <w:p>
      <w:pPr>
        <w:pStyle w:val="135"/>
        <w:ind w:right="92" w:firstLine="420" w:firstLineChars="200"/>
        <w:jc w:val="both"/>
        <w:rPr>
          <w:rFonts w:hint="eastAsia" w:ascii="新宋体" w:hAnsi="新宋体" w:eastAsia="新宋体" w:cs="新宋体"/>
          <w:kern w:val="0"/>
          <w:sz w:val="21"/>
          <w:szCs w:val="21"/>
          <w:lang w:val="en-US" w:eastAsia="zh-CN" w:bidi="ar-SA"/>
        </w:rPr>
      </w:pPr>
      <w:bookmarkStart w:id="51" w:name="_Toc254970611"/>
      <w:bookmarkStart w:id="52" w:name="_Toc307410872"/>
      <w:bookmarkStart w:id="53" w:name="_Toc254970752"/>
      <w:bookmarkStart w:id="54" w:name="_Toc484104417"/>
      <w:r>
        <w:rPr>
          <w:rFonts w:hint="eastAsia" w:ascii="新宋体" w:hAnsi="新宋体" w:eastAsia="新宋体" w:cs="新宋体"/>
          <w:kern w:val="0"/>
          <w:sz w:val="21"/>
          <w:szCs w:val="21"/>
          <w:lang w:val="en-US" w:eastAsia="zh-CN" w:bidi="ar-SA"/>
        </w:rPr>
        <w:t>（1）医疗电子票据属于财政电子票据的一种，开票过程需要省级财政票据电子化管理系统验签，供应商具有 2017 年以来省级财政票据电子化建设业绩，满足3个的得3分，满足6个的得8分，满足9个的得10分（不足三个案例不得分），满分10分。（提供合同证明材料）</w:t>
      </w:r>
    </w:p>
    <w:p>
      <w:pPr>
        <w:pStyle w:val="135"/>
        <w:ind w:right="92" w:firstLine="420" w:firstLineChars="200"/>
        <w:jc w:val="both"/>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2）医疗电子票据属于电子票的一种，按照国家电子档案管理要求，需要进行电子档案管理，供应商提供相关电子票夹或电子票据档案管理软件系统软件著作权证书或专利证书的（响应文件提供有效证书复印件，并加盖供应商公章为评标依据，否则不得分），每个得1分，满分2分。</w:t>
      </w:r>
    </w:p>
    <w:p>
      <w:pPr>
        <w:pStyle w:val="135"/>
        <w:ind w:right="92" w:firstLine="420" w:firstLineChars="200"/>
        <w:jc w:val="both"/>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（3）供应商有预交金电子凭证管理软件系统软件著作权证书或专利证书的得2分（响应文件提供有效证书复印件，</w:t>
      </w:r>
      <w:bookmarkStart w:id="55" w:name="_Hlk16677508"/>
      <w:r>
        <w:rPr>
          <w:rFonts w:hint="eastAsia" w:ascii="新宋体" w:hAnsi="新宋体" w:eastAsia="新宋体" w:cs="新宋体"/>
          <w:kern w:val="0"/>
          <w:sz w:val="21"/>
          <w:szCs w:val="21"/>
          <w:lang w:val="en-US" w:eastAsia="zh-CN" w:bidi="ar-SA"/>
        </w:rPr>
        <w:t>并加盖供应商公章为评标依据，否则不得分</w:t>
      </w:r>
      <w:bookmarkEnd w:id="55"/>
      <w:r>
        <w:rPr>
          <w:rFonts w:hint="eastAsia" w:ascii="新宋体" w:hAnsi="新宋体" w:eastAsia="新宋体" w:cs="新宋体"/>
          <w:kern w:val="0"/>
          <w:sz w:val="21"/>
          <w:szCs w:val="21"/>
          <w:lang w:val="en-US" w:eastAsia="zh-CN" w:bidi="ar-SA"/>
        </w:rPr>
        <w:t>），满分2分。</w:t>
      </w:r>
    </w:p>
    <w:p>
      <w:pPr>
        <w:spacing w:line="400" w:lineRule="exact"/>
        <w:ind w:firstLine="420" w:firstLineChars="200"/>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（4）供应商通过CMMI资质认证的得，通过CMMI3级资质认证得1分，通过CMMI4级资质认证得1.5分，通过CMMI5级资质认证得2分（响应文件需提供证书复印件并加盖供应商公章为评标依据，否则不得分），本项满分2分。</w:t>
      </w:r>
    </w:p>
    <w:p>
      <w:pPr>
        <w:spacing w:line="400" w:lineRule="exact"/>
        <w:ind w:firstLine="420" w:firstLineChars="200"/>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（5）供应商有医疗电子票据相关软件系统软件著作权证书或专利证书的，每个得2分，满分6分。（响应文件需提供计算机软件著作权证书或专利证书复印件并加盖供应商公章为评标依据，否则不得分）。</w:t>
      </w:r>
    </w:p>
    <w:p>
      <w:pPr>
        <w:pStyle w:val="135"/>
        <w:spacing w:line="254" w:lineRule="exact"/>
        <w:ind w:firstLine="420" w:firstLineChars="200"/>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（6）供应商提供的系统需按照国家信息系统安全等级保护三级标准设计，提供财政票据相关系统的等保三级证明材料得 3分，无证明材料不得分。</w:t>
      </w:r>
    </w:p>
    <w:p>
      <w:pPr>
        <w:pStyle w:val="12"/>
        <w:spacing w:line="360" w:lineRule="auto"/>
        <w:ind w:firstLine="420" w:firstLineChars="200"/>
        <w:outlineLvl w:val="0"/>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 xml:space="preserve">（三）总得分=1 + 2 + 3 + 4 </w:t>
      </w:r>
      <w:bookmarkEnd w:id="51"/>
      <w:bookmarkEnd w:id="52"/>
      <w:bookmarkEnd w:id="53"/>
      <w:bookmarkEnd w:id="54"/>
    </w:p>
    <w:p>
      <w:pPr>
        <w:pStyle w:val="12"/>
        <w:spacing w:line="380" w:lineRule="exact"/>
        <w:ind w:firstLine="306" w:firstLineChars="146"/>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三、成交候选人推荐原则</w:t>
      </w:r>
    </w:p>
    <w:p>
      <w:pPr>
        <w:pStyle w:val="12"/>
        <w:spacing w:line="400" w:lineRule="exact"/>
        <w:ind w:firstLine="525" w:firstLineChars="250"/>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磋商小组应当根据综合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按照技术指标优劣顺序推荐。</w:t>
      </w:r>
    </w:p>
    <w:p>
      <w:pPr>
        <w:pStyle w:val="12"/>
        <w:spacing w:line="400" w:lineRule="exact"/>
        <w:ind w:firstLine="525" w:firstLineChars="250"/>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磋商小组将根据综合评分得分由高到低排列次序（评审得分相同的，按照最后报价由低到高的顺序推荐。评审得分且最后报价相同的，按照技术指标优劣顺序推荐）并推荐成交候选供应商。采购单位应当确定评标委员会推荐排名第一的成交候选人为成交人。排名第一的成交候选人放弃中标、因不可抗力提出不能履行合同，采购单位可以确定排名第二的成交候选人为成交人。排名第二的成交候选人因前款规定的同样原因不能签订合同的，采购单位可以确定排名第三的成交候选人为成交人，其余以此类推。采购人也可以重新组织采购。</w:t>
      </w:r>
    </w:p>
    <w:p>
      <w:pPr>
        <w:pStyle w:val="4"/>
        <w:rPr>
          <w:rFonts w:hint="default"/>
          <w:lang w:val="en-US" w:eastAsia="zh-CN"/>
        </w:rPr>
      </w:pPr>
    </w:p>
    <w:p>
      <w:pPr>
        <w:rPr>
          <w:rFonts w:hint="default"/>
          <w:lang w:val="en-US" w:eastAsia="zh-CN"/>
        </w:rPr>
      </w:pPr>
      <w:r>
        <w:rPr>
          <w:rFonts w:hint="default"/>
          <w:lang w:val="en-US" w:eastAsia="zh-CN"/>
        </w:rPr>
        <w:br w:type="page"/>
      </w:r>
    </w:p>
    <w:p>
      <w:pPr>
        <w:pStyle w:val="4"/>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B分标</w:t>
      </w:r>
    </w:p>
    <w:p>
      <w:pPr>
        <w:keepNext w:val="0"/>
        <w:keepLines w:val="0"/>
        <w:pageBreakBefore w:val="0"/>
        <w:widowControl w:val="0"/>
        <w:kinsoku/>
        <w:wordWrap/>
        <w:overflowPunct/>
        <w:topLinePunct w:val="0"/>
        <w:bidi w:val="0"/>
        <w:snapToGrid/>
        <w:spacing w:line="300" w:lineRule="auto"/>
        <w:jc w:val="left"/>
        <w:textAlignment w:val="auto"/>
        <w:rPr>
          <w:rFonts w:hint="eastAsia" w:ascii="新宋体" w:hAnsi="新宋体" w:eastAsia="新宋体" w:cs="新宋体"/>
          <w:b/>
          <w:bCs w:val="0"/>
          <w:lang w:val="en-US" w:eastAsia="zh-CN"/>
        </w:rPr>
      </w:pPr>
      <w:r>
        <w:rPr>
          <w:rFonts w:hint="eastAsia" w:ascii="新宋体" w:hAnsi="新宋体" w:eastAsia="新宋体" w:cs="新宋体"/>
          <w:b/>
          <w:bCs w:val="0"/>
          <w:lang w:val="en-US" w:eastAsia="zh-CN"/>
        </w:rPr>
        <w:t>一、评审原则</w:t>
      </w:r>
    </w:p>
    <w:p>
      <w:pPr>
        <w:keepNext w:val="0"/>
        <w:keepLines w:val="0"/>
        <w:pageBreakBefore w:val="0"/>
        <w:widowControl w:val="0"/>
        <w:kinsoku/>
        <w:wordWrap/>
        <w:overflowPunct/>
        <w:topLinePunct w:val="0"/>
        <w:bidi w:val="0"/>
        <w:snapToGrid/>
        <w:spacing w:line="300" w:lineRule="auto"/>
        <w:ind w:firstLine="420" w:firstLineChars="0"/>
        <w:jc w:val="left"/>
        <w:textAlignment w:val="auto"/>
        <w:rPr>
          <w:rFonts w:hint="eastAsia" w:ascii="新宋体" w:hAnsi="新宋体" w:eastAsia="新宋体" w:cs="新宋体"/>
          <w:b w:val="0"/>
          <w:bCs/>
          <w:lang w:val="en-US" w:eastAsia="zh-CN"/>
        </w:rPr>
      </w:pPr>
      <w:r>
        <w:rPr>
          <w:rFonts w:hint="eastAsia" w:ascii="新宋体" w:hAnsi="新宋体" w:eastAsia="新宋体" w:cs="新宋体"/>
          <w:b w:val="0"/>
          <w:bCs/>
          <w:lang w:val="en-US" w:eastAsia="zh-CN"/>
        </w:rPr>
        <w:t>（一）评委组成：本竞争性磋商采购项目的磋商小组由采购人代表和有关技术、经济等方面的专家组成，成员人数应当为3人以上单数。其中，技术、经济等方面的专家不得少于成员总数的三分之二。</w:t>
      </w:r>
    </w:p>
    <w:p>
      <w:pPr>
        <w:keepNext w:val="0"/>
        <w:keepLines w:val="0"/>
        <w:pageBreakBefore w:val="0"/>
        <w:widowControl w:val="0"/>
        <w:kinsoku/>
        <w:wordWrap/>
        <w:overflowPunct/>
        <w:topLinePunct w:val="0"/>
        <w:bidi w:val="0"/>
        <w:snapToGrid/>
        <w:spacing w:line="300" w:lineRule="auto"/>
        <w:ind w:firstLine="420" w:firstLineChars="0"/>
        <w:jc w:val="left"/>
        <w:textAlignment w:val="auto"/>
        <w:rPr>
          <w:rFonts w:hint="eastAsia" w:ascii="新宋体" w:hAnsi="新宋体" w:eastAsia="新宋体" w:cs="新宋体"/>
          <w:b w:val="0"/>
          <w:bCs/>
          <w:lang w:val="en-US" w:eastAsia="zh-CN"/>
        </w:rPr>
      </w:pPr>
      <w:r>
        <w:rPr>
          <w:rFonts w:hint="eastAsia" w:ascii="新宋体" w:hAnsi="新宋体" w:eastAsia="新宋体" w:cs="新宋体"/>
          <w:b w:val="0"/>
          <w:bCs/>
          <w:lang w:val="en-US" w:eastAsia="zh-CN"/>
        </w:rPr>
        <w:t>（二）评审依据：评委将以竞争性磋商采购文件为评标依据，对供应商的磋商报价、服务等内容按百分制打分。</w:t>
      </w:r>
    </w:p>
    <w:p>
      <w:pPr>
        <w:keepNext w:val="0"/>
        <w:keepLines w:val="0"/>
        <w:pageBreakBefore w:val="0"/>
        <w:widowControl w:val="0"/>
        <w:kinsoku/>
        <w:wordWrap/>
        <w:overflowPunct/>
        <w:topLinePunct w:val="0"/>
        <w:bidi w:val="0"/>
        <w:snapToGrid/>
        <w:spacing w:line="300" w:lineRule="auto"/>
        <w:ind w:firstLine="420" w:firstLineChars="0"/>
        <w:jc w:val="left"/>
        <w:textAlignment w:val="auto"/>
        <w:rPr>
          <w:rFonts w:hint="eastAsia" w:ascii="新宋体" w:hAnsi="新宋体" w:eastAsia="新宋体" w:cs="新宋体"/>
          <w:b w:val="0"/>
          <w:bCs/>
          <w:lang w:val="en-US" w:eastAsia="zh-CN"/>
        </w:rPr>
      </w:pPr>
      <w:r>
        <w:rPr>
          <w:rFonts w:hint="eastAsia" w:ascii="新宋体" w:hAnsi="新宋体" w:eastAsia="新宋体" w:cs="新宋体"/>
          <w:b w:val="0"/>
          <w:bCs/>
          <w:lang w:val="en-US" w:eastAsia="zh-CN"/>
        </w:rPr>
        <w:t>（三）评审方式：以封闭方式进行。</w:t>
      </w:r>
    </w:p>
    <w:p>
      <w:pPr>
        <w:keepNext w:val="0"/>
        <w:keepLines w:val="0"/>
        <w:pageBreakBefore w:val="0"/>
        <w:widowControl w:val="0"/>
        <w:kinsoku/>
        <w:wordWrap/>
        <w:overflowPunct/>
        <w:topLinePunct w:val="0"/>
        <w:bidi w:val="0"/>
        <w:snapToGrid/>
        <w:spacing w:line="300" w:lineRule="auto"/>
        <w:ind w:firstLine="420" w:firstLineChars="0"/>
        <w:jc w:val="left"/>
        <w:textAlignment w:val="auto"/>
        <w:rPr>
          <w:rFonts w:hint="default" w:ascii="新宋体" w:hAnsi="新宋体" w:eastAsia="新宋体" w:cs="新宋体"/>
          <w:b w:val="0"/>
          <w:bCs/>
          <w:lang w:val="en-US" w:eastAsia="zh-CN"/>
        </w:rPr>
      </w:pPr>
      <w:r>
        <w:rPr>
          <w:rFonts w:hint="eastAsia" w:ascii="新宋体" w:hAnsi="新宋体" w:eastAsia="新宋体" w:cs="新宋体"/>
          <w:b w:val="0"/>
          <w:bCs/>
          <w:lang w:val="en-US" w:eastAsia="zh-CN"/>
        </w:rPr>
        <w:t>（四）供应商总得分=价格分+技术分+售后服务分+信誉及业绩分+政策功能分。</w:t>
      </w:r>
    </w:p>
    <w:p>
      <w:pPr>
        <w:keepNext w:val="0"/>
        <w:keepLines w:val="0"/>
        <w:pageBreakBefore w:val="0"/>
        <w:widowControl w:val="0"/>
        <w:kinsoku/>
        <w:wordWrap/>
        <w:overflowPunct/>
        <w:topLinePunct w:val="0"/>
        <w:bidi w:val="0"/>
        <w:snapToGrid/>
        <w:spacing w:line="300" w:lineRule="auto"/>
        <w:jc w:val="left"/>
        <w:textAlignment w:val="auto"/>
        <w:rPr>
          <w:rFonts w:hint="default" w:ascii="新宋体" w:hAnsi="新宋体" w:eastAsia="新宋体" w:cs="新宋体"/>
          <w:b/>
          <w:lang w:val="en-US" w:eastAsia="zh-CN"/>
        </w:rPr>
      </w:pPr>
      <w:r>
        <w:rPr>
          <w:rFonts w:hint="eastAsia" w:ascii="新宋体" w:hAnsi="新宋体" w:eastAsia="新宋体" w:cs="新宋体"/>
          <w:b/>
          <w:lang w:val="en-US" w:eastAsia="zh-CN"/>
        </w:rPr>
        <w:t>二、评审方法</w:t>
      </w:r>
    </w:p>
    <w:p>
      <w:pPr>
        <w:keepNext w:val="0"/>
        <w:keepLines w:val="0"/>
        <w:pageBreakBefore w:val="0"/>
        <w:widowControl w:val="0"/>
        <w:kinsoku/>
        <w:wordWrap/>
        <w:overflowPunct/>
        <w:topLinePunct w:val="0"/>
        <w:bidi w:val="0"/>
        <w:snapToGrid/>
        <w:spacing w:line="300" w:lineRule="auto"/>
        <w:ind w:firstLine="411" w:firstLineChars="196"/>
        <w:jc w:val="left"/>
        <w:textAlignment w:val="auto"/>
        <w:rPr>
          <w:rFonts w:hint="eastAsia" w:ascii="新宋体" w:hAnsi="新宋体" w:eastAsia="新宋体" w:cs="新宋体"/>
          <w:b/>
        </w:rPr>
      </w:pPr>
      <w:r>
        <w:rPr>
          <w:rFonts w:hint="eastAsia" w:ascii="新宋体" w:hAnsi="新宋体" w:eastAsia="新宋体" w:cs="新宋体"/>
          <w:b/>
        </w:rPr>
        <w:t>1、价格分………………………………………………………………………………………</w:t>
      </w:r>
      <w:r>
        <w:rPr>
          <w:rFonts w:hint="eastAsia" w:ascii="新宋体" w:hAnsi="新宋体" w:eastAsia="新宋体" w:cs="新宋体"/>
          <w:b/>
          <w:szCs w:val="21"/>
          <w:lang w:val="en-US" w:eastAsia="zh-CN"/>
        </w:rPr>
        <w:t>30</w:t>
      </w:r>
      <w:r>
        <w:rPr>
          <w:rFonts w:hint="eastAsia" w:ascii="新宋体" w:hAnsi="新宋体" w:eastAsia="新宋体" w:cs="新宋体"/>
          <w:b/>
        </w:rPr>
        <w:t>分</w:t>
      </w:r>
    </w:p>
    <w:p>
      <w:pPr>
        <w:pStyle w:val="12"/>
        <w:keepNext w:val="0"/>
        <w:keepLines w:val="0"/>
        <w:pageBreakBefore w:val="0"/>
        <w:widowControl w:val="0"/>
        <w:kinsoku/>
        <w:wordWrap/>
        <w:overflowPunct/>
        <w:topLinePunct w:val="0"/>
        <w:bidi w:val="0"/>
        <w:snapToGrid/>
        <w:spacing w:line="300" w:lineRule="auto"/>
        <w:ind w:firstLine="420" w:firstLineChars="200"/>
        <w:jc w:val="left"/>
        <w:textAlignment w:val="auto"/>
        <w:outlineLvl w:val="0"/>
        <w:rPr>
          <w:rFonts w:hint="eastAsia" w:ascii="新宋体" w:hAnsi="新宋体" w:eastAsia="新宋体" w:cs="新宋体"/>
        </w:rPr>
      </w:pPr>
      <w:bookmarkStart w:id="56" w:name="_Toc23850085"/>
      <w:r>
        <w:rPr>
          <w:rFonts w:hint="eastAsia" w:ascii="新宋体" w:hAnsi="新宋体" w:eastAsia="新宋体" w:cs="新宋体"/>
        </w:rPr>
        <w:t>（1）</w:t>
      </w:r>
      <w:bookmarkEnd w:id="56"/>
      <w:bookmarkStart w:id="57" w:name="_Toc23850087"/>
      <w:r>
        <w:rPr>
          <w:rFonts w:hint="eastAsia" w:ascii="新宋体" w:hAnsi="新宋体" w:eastAsia="新宋体" w:cs="新宋体"/>
        </w:rPr>
        <w:t>投标产品的生产企业根据《政府采购促进中小企业发展暂行办法》（财库〔2020〕46号）的规定为小型和微型企业的,应当按该办法中规定的格式提供《中小企业声明函》。对其投标价给予10%的扣除，扣除后的价格为评标价，即评标价=投标价×（6-10%）；大中型企业与小型、微型企业组成联合体投标，其中小型、微型企业的协议合同金额占到联合体协议合同总金额30%以上的，联合体投标价给予2%的扣除，扣除后的价格为评标价，即评标价=投标价×（2-3%）；除上述情况外，评标价=投标价。</w:t>
      </w:r>
    </w:p>
    <w:p>
      <w:pPr>
        <w:pStyle w:val="12"/>
        <w:keepNext w:val="0"/>
        <w:keepLines w:val="0"/>
        <w:pageBreakBefore w:val="0"/>
        <w:widowControl w:val="0"/>
        <w:kinsoku/>
        <w:wordWrap/>
        <w:overflowPunct/>
        <w:topLinePunct w:val="0"/>
        <w:bidi w:val="0"/>
        <w:snapToGrid/>
        <w:spacing w:line="300" w:lineRule="auto"/>
        <w:ind w:firstLine="420" w:firstLineChars="200"/>
        <w:jc w:val="left"/>
        <w:textAlignment w:val="auto"/>
        <w:outlineLvl w:val="0"/>
        <w:rPr>
          <w:rFonts w:hint="eastAsia" w:ascii="新宋体" w:hAnsi="新宋体" w:eastAsia="新宋体" w:cs="新宋体"/>
        </w:rPr>
      </w:pPr>
      <w:r>
        <w:rPr>
          <w:rFonts w:hint="eastAsia" w:ascii="新宋体" w:hAnsi="新宋体" w:eastAsia="新宋体" w:cs="新宋体"/>
        </w:rPr>
        <w:t>投标产品的生产企业提供企业按《关于政府采购支持监狱企业发展有关问题的通知》(财库[2014]68号)认定为监狱企业的，在政府采购活动中，监狱企业视同小型、微型企业。残疾人福利性单位视同小型、微型企业，其产品在评审时给予相同的价格扣除。监狱企业参加政府采购活动时，应当提供由省级以上监狱管理局、戒毒管理局(含新疆生产建设兵团)出具的属于监狱企业的证明文件。</w:t>
      </w:r>
      <w:bookmarkEnd w:id="57"/>
    </w:p>
    <w:p>
      <w:pPr>
        <w:pStyle w:val="12"/>
        <w:keepNext w:val="0"/>
        <w:keepLines w:val="0"/>
        <w:pageBreakBefore w:val="0"/>
        <w:widowControl w:val="0"/>
        <w:kinsoku/>
        <w:wordWrap/>
        <w:overflowPunct/>
        <w:topLinePunct w:val="0"/>
        <w:bidi w:val="0"/>
        <w:snapToGrid/>
        <w:spacing w:line="300" w:lineRule="auto"/>
        <w:ind w:firstLine="420" w:firstLineChars="200"/>
        <w:jc w:val="left"/>
        <w:textAlignment w:val="auto"/>
        <w:rPr>
          <w:rFonts w:hint="eastAsia" w:ascii="新宋体" w:hAnsi="新宋体" w:eastAsia="新宋体" w:cs="新宋体"/>
        </w:rPr>
      </w:pPr>
      <w:r>
        <w:rPr>
          <w:rFonts w:hint="eastAsia" w:ascii="新宋体" w:hAnsi="新宋体" w:eastAsia="新宋体" w:cs="新宋体"/>
        </w:rPr>
        <w:t>（</w:t>
      </w:r>
      <w:bookmarkStart w:id="58" w:name="_Hlk531078026"/>
      <w:r>
        <w:rPr>
          <w:rFonts w:hint="eastAsia" w:ascii="新宋体" w:hAnsi="新宋体" w:eastAsia="新宋体" w:cs="新宋体"/>
        </w:rPr>
        <w:t>2）以进入评标的最低</w:t>
      </w:r>
      <w:bookmarkEnd w:id="58"/>
      <w:r>
        <w:rPr>
          <w:rFonts w:hint="eastAsia" w:ascii="新宋体" w:hAnsi="新宋体" w:eastAsia="新宋体" w:cs="新宋体"/>
        </w:rPr>
        <w:t>的评标价为</w:t>
      </w:r>
      <w:r>
        <w:rPr>
          <w:rFonts w:hint="eastAsia" w:ascii="新宋体" w:hAnsi="新宋体" w:eastAsia="新宋体" w:cs="新宋体"/>
          <w:lang w:val="en-US" w:eastAsia="zh-CN"/>
        </w:rPr>
        <w:t>30</w:t>
      </w:r>
      <w:r>
        <w:rPr>
          <w:rFonts w:hint="eastAsia" w:ascii="新宋体" w:hAnsi="新宋体" w:eastAsia="新宋体" w:cs="新宋体"/>
        </w:rPr>
        <w:t>分</w:t>
      </w:r>
    </w:p>
    <w:p>
      <w:pPr>
        <w:pStyle w:val="12"/>
        <w:keepNext w:val="0"/>
        <w:keepLines w:val="0"/>
        <w:pageBreakBefore w:val="0"/>
        <w:widowControl w:val="0"/>
        <w:kinsoku/>
        <w:wordWrap/>
        <w:overflowPunct/>
        <w:topLinePunct w:val="0"/>
        <w:bidi w:val="0"/>
        <w:snapToGrid/>
        <w:spacing w:line="300" w:lineRule="auto"/>
        <w:ind w:firstLine="420" w:firstLineChars="200"/>
        <w:jc w:val="left"/>
        <w:textAlignment w:val="auto"/>
        <w:rPr>
          <w:rFonts w:hint="eastAsia" w:ascii="新宋体" w:hAnsi="新宋体" w:eastAsia="新宋体" w:cs="新宋体"/>
        </w:rPr>
      </w:pPr>
      <w:r>
        <w:rPr>
          <w:rFonts w:hint="eastAsia" w:ascii="新宋体" w:hAnsi="新宋体" w:eastAsia="新宋体" w:cs="新宋体"/>
        </w:rPr>
        <w:t xml:space="preserve">（3）某投标供应商价格分 ==  </w:t>
      </w:r>
      <w:r>
        <w:rPr>
          <w:rFonts w:hint="eastAsia" w:ascii="新宋体" w:hAnsi="新宋体" w:eastAsia="新宋体" w:cs="新宋体"/>
        </w:rPr>
        <w:fldChar w:fldCharType="begin"/>
      </w:r>
      <w:r>
        <w:rPr>
          <w:rFonts w:hint="eastAsia" w:ascii="新宋体" w:hAnsi="新宋体" w:eastAsia="新宋体" w:cs="新宋体"/>
        </w:rPr>
        <w:instrText xml:space="preserve"> EQ \F(投标人最低评标价（金额）,某投标人评标价（金额）) </w:instrText>
      </w:r>
      <w:r>
        <w:rPr>
          <w:rFonts w:hint="eastAsia" w:ascii="新宋体" w:hAnsi="新宋体" w:eastAsia="新宋体" w:cs="新宋体"/>
        </w:rPr>
        <w:fldChar w:fldCharType="end"/>
      </w:r>
      <w:r>
        <w:rPr>
          <w:rFonts w:hint="eastAsia" w:ascii="新宋体" w:hAnsi="新宋体" w:eastAsia="新宋体" w:cs="新宋体"/>
        </w:rPr>
        <w:t>×</w:t>
      </w:r>
      <w:r>
        <w:rPr>
          <w:rFonts w:hint="eastAsia" w:ascii="新宋体" w:hAnsi="新宋体" w:eastAsia="新宋体" w:cs="新宋体"/>
          <w:lang w:val="en-US" w:eastAsia="zh-CN"/>
        </w:rPr>
        <w:t>30</w:t>
      </w:r>
      <w:r>
        <w:rPr>
          <w:rFonts w:hint="eastAsia" w:ascii="新宋体" w:hAnsi="新宋体" w:eastAsia="新宋体" w:cs="新宋体"/>
        </w:rPr>
        <w:t>分</w:t>
      </w:r>
    </w:p>
    <w:p>
      <w:pPr>
        <w:keepNext w:val="0"/>
        <w:keepLines w:val="0"/>
        <w:pageBreakBefore w:val="0"/>
        <w:widowControl w:val="0"/>
        <w:kinsoku/>
        <w:wordWrap/>
        <w:overflowPunct/>
        <w:topLinePunct w:val="0"/>
        <w:bidi w:val="0"/>
        <w:snapToGrid/>
        <w:spacing w:line="300" w:lineRule="auto"/>
        <w:ind w:firstLine="411" w:firstLineChars="196"/>
        <w:jc w:val="left"/>
        <w:textAlignment w:val="auto"/>
        <w:rPr>
          <w:rFonts w:hint="eastAsia" w:ascii="新宋体" w:hAnsi="新宋体" w:eastAsia="新宋体" w:cs="新宋体"/>
          <w:b/>
        </w:rPr>
      </w:pPr>
      <w:r>
        <w:rPr>
          <w:rFonts w:hint="eastAsia" w:ascii="新宋体" w:hAnsi="新宋体" w:eastAsia="新宋体" w:cs="新宋体"/>
          <w:b/>
        </w:rPr>
        <w:t>2、技术分………………………………………………………………………………3</w:t>
      </w:r>
      <w:r>
        <w:rPr>
          <w:rFonts w:hint="eastAsia" w:ascii="新宋体" w:hAnsi="新宋体" w:eastAsia="新宋体" w:cs="新宋体"/>
          <w:b/>
          <w:lang w:val="en-US" w:eastAsia="zh-CN"/>
        </w:rPr>
        <w:t>0</w:t>
      </w:r>
      <w:r>
        <w:rPr>
          <w:rFonts w:hint="eastAsia" w:ascii="新宋体" w:hAnsi="新宋体" w:eastAsia="新宋体" w:cs="新宋体"/>
          <w:b/>
        </w:rPr>
        <w:t>分</w:t>
      </w:r>
    </w:p>
    <w:p>
      <w:pPr>
        <w:pStyle w:val="12"/>
        <w:keepNext w:val="0"/>
        <w:keepLines w:val="0"/>
        <w:pageBreakBefore w:val="0"/>
        <w:widowControl w:val="0"/>
        <w:kinsoku/>
        <w:wordWrap/>
        <w:overflowPunct/>
        <w:topLinePunct w:val="0"/>
        <w:bidi w:val="0"/>
        <w:snapToGrid/>
        <w:spacing w:line="300" w:lineRule="auto"/>
        <w:ind w:firstLine="420"/>
        <w:jc w:val="left"/>
        <w:textAlignment w:val="auto"/>
        <w:rPr>
          <w:rFonts w:hint="eastAsia" w:ascii="新宋体" w:hAnsi="新宋体" w:eastAsia="新宋体" w:cs="新宋体"/>
          <w:szCs w:val="24"/>
        </w:rPr>
      </w:pPr>
      <w:bookmarkStart w:id="59" w:name="_Toc298333398"/>
      <w:r>
        <w:rPr>
          <w:rFonts w:hint="eastAsia" w:ascii="新宋体" w:hAnsi="新宋体" w:eastAsia="新宋体" w:cs="新宋体"/>
          <w:szCs w:val="24"/>
        </w:rPr>
        <w:t>（1）基本分（满分10分）</w:t>
      </w:r>
    </w:p>
    <w:p>
      <w:pPr>
        <w:pStyle w:val="12"/>
        <w:keepNext w:val="0"/>
        <w:keepLines w:val="0"/>
        <w:pageBreakBefore w:val="0"/>
        <w:widowControl w:val="0"/>
        <w:kinsoku/>
        <w:wordWrap/>
        <w:overflowPunct/>
        <w:topLinePunct w:val="0"/>
        <w:bidi w:val="0"/>
        <w:snapToGrid/>
        <w:spacing w:line="300" w:lineRule="auto"/>
        <w:ind w:firstLine="420"/>
        <w:jc w:val="left"/>
        <w:textAlignment w:val="auto"/>
        <w:rPr>
          <w:rFonts w:hint="eastAsia" w:ascii="新宋体" w:hAnsi="新宋体" w:eastAsia="新宋体" w:cs="新宋体"/>
          <w:szCs w:val="24"/>
        </w:rPr>
      </w:pPr>
      <w:r>
        <w:rPr>
          <w:rFonts w:hint="eastAsia" w:ascii="新宋体" w:hAnsi="新宋体" w:eastAsia="新宋体" w:cs="新宋体"/>
          <w:szCs w:val="24"/>
        </w:rPr>
        <w:t>投标产品参数完全满足招标文件要求的得10分，一般参数（不带</w:t>
      </w:r>
      <w:r>
        <w:rPr>
          <w:rFonts w:hint="eastAsia" w:ascii="新宋体" w:hAnsi="新宋体" w:eastAsia="新宋体" w:cs="新宋体"/>
          <w:lang w:eastAsia="zh-CN"/>
        </w:rPr>
        <w:t>▲</w:t>
      </w:r>
      <w:r>
        <w:rPr>
          <w:rFonts w:hint="eastAsia" w:ascii="新宋体" w:hAnsi="新宋体" w:eastAsia="新宋体" w:cs="新宋体"/>
          <w:szCs w:val="24"/>
        </w:rPr>
        <w:t>号的条款）有负偏离的每一项扣2分，漏项的每一项扣2分，最多扣完本项分值。</w:t>
      </w:r>
    </w:p>
    <w:p>
      <w:pPr>
        <w:keepNext w:val="0"/>
        <w:keepLines w:val="0"/>
        <w:pageBreakBefore w:val="0"/>
        <w:widowControl w:val="0"/>
        <w:kinsoku/>
        <w:wordWrap/>
        <w:overflowPunct/>
        <w:topLinePunct w:val="0"/>
        <w:bidi w:val="0"/>
        <w:adjustRightInd w:val="0"/>
        <w:snapToGrid/>
        <w:spacing w:line="300" w:lineRule="auto"/>
        <w:ind w:right="-333" w:rightChars="-159" w:firstLine="424" w:firstLineChars="202"/>
        <w:jc w:val="left"/>
        <w:textAlignment w:val="auto"/>
        <w:rPr>
          <w:rFonts w:hint="eastAsia" w:ascii="新宋体" w:hAnsi="新宋体" w:eastAsia="新宋体" w:cs="新宋体"/>
          <w:szCs w:val="21"/>
        </w:rPr>
      </w:pPr>
      <w:r>
        <w:rPr>
          <w:rFonts w:hint="eastAsia" w:ascii="新宋体" w:hAnsi="新宋体" w:eastAsia="新宋体" w:cs="新宋体"/>
        </w:rPr>
        <w:t>（2）货物性能分（满分</w:t>
      </w:r>
      <w:r>
        <w:rPr>
          <w:rFonts w:hint="eastAsia" w:ascii="新宋体" w:hAnsi="新宋体" w:eastAsia="新宋体" w:cs="新宋体"/>
          <w:lang w:val="en-US" w:eastAsia="zh-CN"/>
        </w:rPr>
        <w:t>15</w:t>
      </w:r>
      <w:r>
        <w:rPr>
          <w:rFonts w:hint="eastAsia" w:ascii="新宋体" w:hAnsi="新宋体" w:eastAsia="新宋体" w:cs="新宋体"/>
        </w:rPr>
        <w:t>分）（有负偏离或漏项，货物性能计0分；有正偏离的需提供有效的相关证明文件，如未能提供按无偏离处理）。</w:t>
      </w:r>
    </w:p>
    <w:p>
      <w:pPr>
        <w:pStyle w:val="12"/>
        <w:keepNext w:val="0"/>
        <w:keepLines w:val="0"/>
        <w:pageBreakBefore w:val="0"/>
        <w:widowControl w:val="0"/>
        <w:kinsoku/>
        <w:wordWrap/>
        <w:overflowPunct/>
        <w:topLinePunct w:val="0"/>
        <w:bidi w:val="0"/>
        <w:snapToGrid/>
        <w:spacing w:line="300" w:lineRule="auto"/>
        <w:ind w:firstLine="420"/>
        <w:jc w:val="left"/>
        <w:textAlignment w:val="auto"/>
        <w:rPr>
          <w:rFonts w:hint="eastAsia" w:ascii="新宋体" w:hAnsi="新宋体" w:eastAsia="新宋体" w:cs="新宋体"/>
          <w:szCs w:val="24"/>
        </w:rPr>
      </w:pPr>
      <w:r>
        <w:rPr>
          <w:rFonts w:hint="eastAsia" w:ascii="新宋体" w:hAnsi="新宋体" w:eastAsia="新宋体" w:cs="新宋体"/>
          <w:szCs w:val="24"/>
        </w:rPr>
        <w:t>①投标产品参数满足招标文件要求，无负偏离项，无正偏离的得3分；</w:t>
      </w:r>
    </w:p>
    <w:p>
      <w:pPr>
        <w:pStyle w:val="12"/>
        <w:keepNext w:val="0"/>
        <w:keepLines w:val="0"/>
        <w:pageBreakBefore w:val="0"/>
        <w:widowControl w:val="0"/>
        <w:kinsoku/>
        <w:wordWrap/>
        <w:overflowPunct/>
        <w:topLinePunct w:val="0"/>
        <w:bidi w:val="0"/>
        <w:snapToGrid/>
        <w:spacing w:line="300" w:lineRule="auto"/>
        <w:ind w:firstLine="420"/>
        <w:jc w:val="left"/>
        <w:textAlignment w:val="auto"/>
        <w:rPr>
          <w:rFonts w:hint="eastAsia" w:ascii="新宋体" w:hAnsi="新宋体" w:eastAsia="新宋体" w:cs="新宋体"/>
          <w:szCs w:val="24"/>
        </w:rPr>
      </w:pPr>
      <w:r>
        <w:rPr>
          <w:rFonts w:hint="eastAsia" w:ascii="新宋体" w:hAnsi="新宋体" w:eastAsia="新宋体" w:cs="新宋体"/>
          <w:szCs w:val="24"/>
        </w:rPr>
        <w:t>②投标产品参数满足招标文件要求，无负偏离项，有1-5项参数为正偏离的得</w:t>
      </w:r>
      <w:r>
        <w:rPr>
          <w:rFonts w:hint="eastAsia" w:ascii="新宋体" w:hAnsi="新宋体" w:eastAsia="新宋体" w:cs="新宋体"/>
          <w:szCs w:val="24"/>
          <w:lang w:val="en-US" w:eastAsia="zh-CN"/>
        </w:rPr>
        <w:t>5</w:t>
      </w:r>
      <w:r>
        <w:rPr>
          <w:rFonts w:hint="eastAsia" w:ascii="新宋体" w:hAnsi="新宋体" w:eastAsia="新宋体" w:cs="新宋体"/>
          <w:szCs w:val="24"/>
        </w:rPr>
        <w:t>分；</w:t>
      </w:r>
    </w:p>
    <w:p>
      <w:pPr>
        <w:pStyle w:val="12"/>
        <w:keepNext w:val="0"/>
        <w:keepLines w:val="0"/>
        <w:pageBreakBefore w:val="0"/>
        <w:widowControl w:val="0"/>
        <w:kinsoku/>
        <w:wordWrap/>
        <w:overflowPunct/>
        <w:topLinePunct w:val="0"/>
        <w:bidi w:val="0"/>
        <w:snapToGrid/>
        <w:spacing w:line="300" w:lineRule="auto"/>
        <w:ind w:firstLine="420"/>
        <w:jc w:val="left"/>
        <w:textAlignment w:val="auto"/>
        <w:rPr>
          <w:rFonts w:hint="eastAsia" w:ascii="新宋体" w:hAnsi="新宋体" w:eastAsia="新宋体" w:cs="新宋体"/>
          <w:szCs w:val="24"/>
        </w:rPr>
      </w:pPr>
      <w:r>
        <w:rPr>
          <w:rFonts w:hint="eastAsia" w:ascii="新宋体" w:hAnsi="新宋体" w:eastAsia="新宋体" w:cs="新宋体"/>
          <w:szCs w:val="24"/>
        </w:rPr>
        <w:t>③投标产品参数满足招标文件要求，无负偏离项，有6-10项参数为正偏离的得</w:t>
      </w:r>
      <w:r>
        <w:rPr>
          <w:rFonts w:hint="eastAsia" w:ascii="新宋体" w:hAnsi="新宋体" w:eastAsia="新宋体" w:cs="新宋体"/>
          <w:szCs w:val="24"/>
          <w:lang w:val="en-US" w:eastAsia="zh-CN"/>
        </w:rPr>
        <w:t>10</w:t>
      </w:r>
      <w:r>
        <w:rPr>
          <w:rFonts w:hint="eastAsia" w:ascii="新宋体" w:hAnsi="新宋体" w:eastAsia="新宋体" w:cs="新宋体"/>
          <w:szCs w:val="24"/>
        </w:rPr>
        <w:t>分；</w:t>
      </w:r>
    </w:p>
    <w:p>
      <w:pPr>
        <w:pStyle w:val="12"/>
        <w:keepNext w:val="0"/>
        <w:keepLines w:val="0"/>
        <w:pageBreakBefore w:val="0"/>
        <w:widowControl w:val="0"/>
        <w:kinsoku/>
        <w:wordWrap/>
        <w:overflowPunct/>
        <w:topLinePunct w:val="0"/>
        <w:bidi w:val="0"/>
        <w:snapToGrid/>
        <w:spacing w:line="300" w:lineRule="auto"/>
        <w:ind w:firstLine="420"/>
        <w:jc w:val="left"/>
        <w:textAlignment w:val="auto"/>
        <w:rPr>
          <w:rFonts w:hint="eastAsia" w:ascii="新宋体" w:hAnsi="新宋体" w:eastAsia="新宋体" w:cs="新宋体"/>
          <w:szCs w:val="24"/>
        </w:rPr>
      </w:pPr>
      <w:r>
        <w:rPr>
          <w:rFonts w:hint="eastAsia" w:ascii="新宋体" w:hAnsi="新宋体" w:eastAsia="新宋体" w:cs="新宋体"/>
          <w:szCs w:val="24"/>
        </w:rPr>
        <w:t>④投标产品参数满足招标文件要求，无负偏离项，有11项以上参数为正偏离的得</w:t>
      </w:r>
      <w:r>
        <w:rPr>
          <w:rFonts w:hint="eastAsia" w:ascii="新宋体" w:hAnsi="新宋体" w:eastAsia="新宋体" w:cs="新宋体"/>
          <w:szCs w:val="24"/>
          <w:lang w:val="en-US" w:eastAsia="zh-CN"/>
        </w:rPr>
        <w:t>15</w:t>
      </w:r>
      <w:r>
        <w:rPr>
          <w:rFonts w:hint="eastAsia" w:ascii="新宋体" w:hAnsi="新宋体" w:eastAsia="新宋体" w:cs="新宋体"/>
          <w:szCs w:val="24"/>
        </w:rPr>
        <w:t>分。</w:t>
      </w:r>
    </w:p>
    <w:p>
      <w:pPr>
        <w:keepNext w:val="0"/>
        <w:keepLines w:val="0"/>
        <w:pageBreakBefore w:val="0"/>
        <w:widowControl w:val="0"/>
        <w:kinsoku/>
        <w:wordWrap/>
        <w:overflowPunct/>
        <w:topLinePunct w:val="0"/>
        <w:bidi w:val="0"/>
        <w:adjustRightInd w:val="0"/>
        <w:snapToGrid/>
        <w:spacing w:line="300" w:lineRule="auto"/>
        <w:ind w:right="-333" w:rightChars="-159" w:firstLine="424" w:firstLineChars="202"/>
        <w:jc w:val="left"/>
        <w:textAlignment w:val="auto"/>
        <w:rPr>
          <w:rFonts w:hint="eastAsia" w:ascii="新宋体" w:hAnsi="新宋体" w:eastAsia="新宋体" w:cs="新宋体"/>
          <w:bCs/>
        </w:rPr>
      </w:pPr>
      <w:r>
        <w:rPr>
          <w:rFonts w:hint="eastAsia" w:ascii="新宋体" w:hAnsi="新宋体" w:eastAsia="新宋体" w:cs="新宋体"/>
        </w:rPr>
        <w:t>（3）资料分（</w:t>
      </w:r>
      <w:r>
        <w:rPr>
          <w:rFonts w:hint="eastAsia" w:ascii="新宋体" w:hAnsi="新宋体" w:eastAsia="新宋体" w:cs="新宋体"/>
          <w:bCs/>
        </w:rPr>
        <w:t>满分</w:t>
      </w:r>
      <w:r>
        <w:rPr>
          <w:rFonts w:hint="eastAsia" w:ascii="新宋体" w:hAnsi="新宋体" w:eastAsia="新宋体" w:cs="新宋体"/>
          <w:bCs/>
          <w:lang w:val="en-US" w:eastAsia="zh-CN"/>
        </w:rPr>
        <w:t>5</w:t>
      </w:r>
      <w:r>
        <w:rPr>
          <w:rFonts w:hint="eastAsia" w:ascii="新宋体" w:hAnsi="新宋体" w:eastAsia="新宋体" w:cs="新宋体"/>
          <w:bCs/>
        </w:rPr>
        <w:t>分）</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hint="eastAsia" w:ascii="新宋体" w:hAnsi="新宋体" w:eastAsia="新宋体" w:cs="新宋体"/>
        </w:rPr>
      </w:pPr>
      <w:r>
        <w:rPr>
          <w:rFonts w:hint="eastAsia" w:ascii="新宋体" w:hAnsi="新宋体" w:eastAsia="新宋体" w:cs="新宋体"/>
        </w:rPr>
        <w:t>①提供产品彩页、授权情况、相关证书、检测报告及产品合格证明等</w:t>
      </w:r>
      <w:r>
        <w:rPr>
          <w:rFonts w:hint="eastAsia" w:ascii="新宋体" w:hAnsi="新宋体" w:eastAsia="新宋体" w:cs="新宋体"/>
          <w:szCs w:val="21"/>
        </w:rPr>
        <w:t>方面，得2分</w:t>
      </w:r>
      <w:r>
        <w:rPr>
          <w:rFonts w:hint="eastAsia" w:ascii="新宋体" w:hAnsi="新宋体" w:eastAsia="新宋体" w:cs="新宋体"/>
        </w:rPr>
        <w:t>；</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hint="eastAsia" w:ascii="新宋体" w:hAnsi="新宋体" w:eastAsia="新宋体" w:cs="新宋体"/>
        </w:rPr>
      </w:pPr>
      <w:r>
        <w:rPr>
          <w:rFonts w:hint="eastAsia" w:ascii="新宋体" w:hAnsi="新宋体" w:eastAsia="新宋体" w:cs="新宋体"/>
        </w:rPr>
        <w:t>②提供含有技术参数的产品彩页或有效的文件说明、授权情况、相关证书、检验报告及产品合格证明等</w:t>
      </w:r>
      <w:r>
        <w:rPr>
          <w:rFonts w:hint="eastAsia" w:ascii="新宋体" w:hAnsi="新宋体" w:eastAsia="新宋体" w:cs="新宋体"/>
          <w:szCs w:val="21"/>
        </w:rPr>
        <w:t>方面材料完整，</w:t>
      </w:r>
      <w:r>
        <w:rPr>
          <w:rFonts w:hint="eastAsia" w:ascii="新宋体" w:hAnsi="新宋体" w:eastAsia="新宋体" w:cs="新宋体"/>
        </w:rPr>
        <w:t>得5分；</w:t>
      </w:r>
    </w:p>
    <w:p>
      <w:pPr>
        <w:keepNext w:val="0"/>
        <w:keepLines w:val="0"/>
        <w:pageBreakBefore w:val="0"/>
        <w:widowControl w:val="0"/>
        <w:kinsoku/>
        <w:wordWrap/>
        <w:overflowPunct/>
        <w:topLinePunct w:val="0"/>
        <w:bidi w:val="0"/>
        <w:snapToGrid/>
        <w:spacing w:line="300" w:lineRule="auto"/>
        <w:ind w:firstLine="308" w:firstLineChars="147"/>
        <w:jc w:val="left"/>
        <w:textAlignment w:val="auto"/>
        <w:rPr>
          <w:rFonts w:hint="eastAsia" w:ascii="新宋体" w:hAnsi="新宋体" w:eastAsia="新宋体" w:cs="新宋体"/>
          <w:b/>
        </w:rPr>
      </w:pPr>
      <w:r>
        <w:rPr>
          <w:rFonts w:hint="eastAsia" w:ascii="新宋体" w:hAnsi="新宋体" w:eastAsia="新宋体" w:cs="新宋体"/>
          <w:b/>
        </w:rPr>
        <w:t>3、售后服务分…………………………………………………………………………………</w:t>
      </w:r>
      <w:r>
        <w:rPr>
          <w:rFonts w:hint="eastAsia" w:ascii="新宋体" w:hAnsi="新宋体" w:eastAsia="新宋体" w:cs="新宋体"/>
          <w:b/>
          <w:lang w:val="en-US" w:eastAsia="zh-CN"/>
        </w:rPr>
        <w:t>30</w:t>
      </w:r>
      <w:r>
        <w:rPr>
          <w:rFonts w:hint="eastAsia" w:ascii="新宋体" w:hAnsi="新宋体" w:eastAsia="新宋体" w:cs="新宋体"/>
          <w:b/>
        </w:rPr>
        <w:t>分</w:t>
      </w:r>
      <w:bookmarkEnd w:id="59"/>
    </w:p>
    <w:p>
      <w:pPr>
        <w:pStyle w:val="12"/>
        <w:keepNext w:val="0"/>
        <w:keepLines w:val="0"/>
        <w:pageBreakBefore w:val="0"/>
        <w:widowControl w:val="0"/>
        <w:kinsoku/>
        <w:wordWrap/>
        <w:overflowPunct/>
        <w:topLinePunct w:val="0"/>
        <w:bidi w:val="0"/>
        <w:snapToGrid/>
        <w:spacing w:line="300" w:lineRule="auto"/>
        <w:ind w:firstLine="420" w:firstLineChars="200"/>
        <w:jc w:val="left"/>
        <w:textAlignment w:val="auto"/>
        <w:rPr>
          <w:rFonts w:hint="eastAsia" w:ascii="新宋体" w:hAnsi="新宋体" w:eastAsia="新宋体" w:cs="新宋体"/>
        </w:rPr>
      </w:pPr>
      <w:r>
        <w:rPr>
          <w:rFonts w:hint="eastAsia" w:ascii="新宋体" w:hAnsi="新宋体" w:eastAsia="新宋体" w:cs="新宋体"/>
        </w:rPr>
        <w:t>由评委在打分前根据招标文件售后服务方案等级评定标准，并由评委按此标准各自确定各投标供应商服务方案的等级后，由评委在各档次内打分。</w:t>
      </w:r>
    </w:p>
    <w:p>
      <w:pPr>
        <w:keepNext w:val="0"/>
        <w:keepLines w:val="0"/>
        <w:pageBreakBefore w:val="0"/>
        <w:widowControl w:val="0"/>
        <w:kinsoku/>
        <w:wordWrap/>
        <w:overflowPunct/>
        <w:topLinePunct w:val="0"/>
        <w:bidi w:val="0"/>
        <w:snapToGrid/>
        <w:spacing w:line="300" w:lineRule="auto"/>
        <w:ind w:firstLine="411" w:firstLineChars="196"/>
        <w:jc w:val="left"/>
        <w:textAlignment w:val="auto"/>
        <w:rPr>
          <w:rFonts w:hint="eastAsia" w:ascii="新宋体" w:hAnsi="新宋体" w:eastAsia="新宋体" w:cs="新宋体"/>
        </w:rPr>
      </w:pPr>
      <w:r>
        <w:rPr>
          <w:rFonts w:hint="eastAsia" w:ascii="新宋体" w:hAnsi="新宋体" w:eastAsia="新宋体" w:cs="新宋体"/>
        </w:rPr>
        <w:t>根据各投标人对投标货物的售后服务方案(技术支持、服务情况、服务承诺)的详细程度、合理可行性等进行比较:</w:t>
      </w:r>
    </w:p>
    <w:p>
      <w:pPr>
        <w:keepNext w:val="0"/>
        <w:keepLines w:val="0"/>
        <w:pageBreakBefore w:val="0"/>
        <w:widowControl w:val="0"/>
        <w:kinsoku/>
        <w:wordWrap/>
        <w:overflowPunct/>
        <w:topLinePunct w:val="0"/>
        <w:bidi w:val="0"/>
        <w:snapToGrid/>
        <w:spacing w:line="300" w:lineRule="auto"/>
        <w:ind w:firstLine="411" w:firstLineChars="196"/>
        <w:jc w:val="left"/>
        <w:textAlignment w:val="auto"/>
        <w:rPr>
          <w:rFonts w:hint="eastAsia" w:ascii="新宋体" w:hAnsi="新宋体" w:eastAsia="新宋体" w:cs="新宋体"/>
        </w:rPr>
      </w:pPr>
      <w:r>
        <w:rPr>
          <w:rFonts w:hint="eastAsia" w:ascii="新宋体" w:hAnsi="新宋体" w:eastAsia="新宋体" w:cs="新宋体"/>
        </w:rPr>
        <w:t>一档（</w:t>
      </w:r>
      <w:r>
        <w:rPr>
          <w:rFonts w:hint="eastAsia" w:ascii="新宋体" w:hAnsi="新宋体" w:eastAsia="新宋体" w:cs="新宋体"/>
          <w:color w:val="FF0000"/>
          <w:lang w:val="en-US" w:eastAsia="zh-CN"/>
        </w:rPr>
        <w:t>10</w:t>
      </w:r>
      <w:r>
        <w:rPr>
          <w:rFonts w:hint="eastAsia" w:ascii="新宋体" w:hAnsi="新宋体" w:eastAsia="新宋体" w:cs="新宋体"/>
        </w:rPr>
        <w:t>分）：售后服务方案包含了技术服务队伍、技术培训计划、响应时间、服务承诺等，满足项目需求。</w:t>
      </w:r>
    </w:p>
    <w:p>
      <w:pPr>
        <w:keepNext w:val="0"/>
        <w:keepLines w:val="0"/>
        <w:pageBreakBefore w:val="0"/>
        <w:widowControl w:val="0"/>
        <w:kinsoku/>
        <w:wordWrap/>
        <w:overflowPunct/>
        <w:topLinePunct w:val="0"/>
        <w:bidi w:val="0"/>
        <w:snapToGrid/>
        <w:spacing w:line="300" w:lineRule="auto"/>
        <w:ind w:firstLine="411" w:firstLineChars="196"/>
        <w:jc w:val="left"/>
        <w:textAlignment w:val="auto"/>
        <w:rPr>
          <w:rFonts w:hint="eastAsia" w:ascii="新宋体" w:hAnsi="新宋体" w:eastAsia="新宋体" w:cs="新宋体"/>
        </w:rPr>
      </w:pPr>
      <w:r>
        <w:rPr>
          <w:rFonts w:hint="eastAsia" w:ascii="新宋体" w:hAnsi="新宋体" w:eastAsia="新宋体" w:cs="新宋体"/>
        </w:rPr>
        <w:t>二档（</w:t>
      </w:r>
      <w:r>
        <w:rPr>
          <w:rFonts w:hint="eastAsia" w:ascii="新宋体" w:hAnsi="新宋体" w:eastAsia="新宋体" w:cs="新宋体"/>
          <w:color w:val="FF0000"/>
          <w:lang w:val="en-US" w:eastAsia="zh-CN"/>
        </w:rPr>
        <w:t>15</w:t>
      </w:r>
      <w:r>
        <w:rPr>
          <w:rFonts w:hint="eastAsia" w:ascii="新宋体" w:hAnsi="新宋体" w:eastAsia="新宋体" w:cs="新宋体"/>
        </w:rPr>
        <w:t>分）：售后服务方案包含了技术服务队伍、技术培训计划、服务承诺等，满足项目需求，提供服务保障体系，响应时间优于招标文件要求。</w:t>
      </w:r>
    </w:p>
    <w:p>
      <w:pPr>
        <w:keepNext w:val="0"/>
        <w:keepLines w:val="0"/>
        <w:pageBreakBefore w:val="0"/>
        <w:widowControl w:val="0"/>
        <w:kinsoku/>
        <w:wordWrap/>
        <w:overflowPunct/>
        <w:topLinePunct w:val="0"/>
        <w:bidi w:val="0"/>
        <w:snapToGrid/>
        <w:spacing w:line="300" w:lineRule="auto"/>
        <w:ind w:firstLine="411" w:firstLineChars="196"/>
        <w:jc w:val="left"/>
        <w:textAlignment w:val="auto"/>
        <w:rPr>
          <w:rFonts w:hint="eastAsia" w:ascii="新宋体" w:hAnsi="新宋体" w:eastAsia="新宋体" w:cs="新宋体"/>
        </w:rPr>
      </w:pPr>
      <w:r>
        <w:rPr>
          <w:rFonts w:hint="eastAsia" w:ascii="新宋体" w:hAnsi="新宋体" w:eastAsia="新宋体" w:cs="新宋体"/>
        </w:rPr>
        <w:t>三档（</w:t>
      </w:r>
      <w:r>
        <w:rPr>
          <w:rFonts w:hint="eastAsia" w:ascii="新宋体" w:hAnsi="新宋体" w:eastAsia="新宋体" w:cs="新宋体"/>
          <w:lang w:val="en-US" w:eastAsia="zh-CN"/>
        </w:rPr>
        <w:t>20</w:t>
      </w:r>
      <w:r>
        <w:rPr>
          <w:rFonts w:hint="eastAsia" w:ascii="新宋体" w:hAnsi="新宋体" w:eastAsia="新宋体" w:cs="新宋体"/>
          <w:color w:val="FF0000"/>
        </w:rPr>
        <w:t xml:space="preserve"> </w:t>
      </w:r>
      <w:r>
        <w:rPr>
          <w:rFonts w:hint="eastAsia" w:ascii="新宋体" w:hAnsi="新宋体" w:eastAsia="新宋体" w:cs="新宋体"/>
        </w:rPr>
        <w:t>分）：售后服务方案包含了技术服务队伍、技术培训计划、服务承诺等，满足项目需求，提供服务保障体系，响应时间优于招标文件要求，提供服务流程（包括故障处理、上门维护、紧急维护、重要服务、电话维护、主动巡检等），提供应急预案，提供技术服务表单（包括客户服务报告、客户服务质量考核评估、服务满意度调查单、电话回访记录单等）整体方案符合用户需求，可行性高。</w:t>
      </w:r>
    </w:p>
    <w:p>
      <w:pPr>
        <w:keepNext w:val="0"/>
        <w:keepLines w:val="0"/>
        <w:pageBreakBefore w:val="0"/>
        <w:widowControl w:val="0"/>
        <w:kinsoku/>
        <w:wordWrap/>
        <w:overflowPunct/>
        <w:topLinePunct w:val="0"/>
        <w:bidi w:val="0"/>
        <w:snapToGrid/>
        <w:spacing w:line="300" w:lineRule="auto"/>
        <w:ind w:firstLine="411" w:firstLineChars="196"/>
        <w:jc w:val="left"/>
        <w:textAlignment w:val="auto"/>
        <w:rPr>
          <w:rFonts w:hint="eastAsia" w:ascii="新宋体" w:hAnsi="新宋体" w:eastAsia="新宋体" w:cs="新宋体"/>
        </w:rPr>
      </w:pPr>
      <w:r>
        <w:rPr>
          <w:rFonts w:hint="eastAsia" w:ascii="新宋体" w:hAnsi="新宋体" w:eastAsia="新宋体" w:cs="新宋体"/>
        </w:rPr>
        <w:t>四档（</w:t>
      </w:r>
      <w:r>
        <w:rPr>
          <w:rFonts w:hint="eastAsia" w:ascii="新宋体" w:hAnsi="新宋体" w:eastAsia="新宋体" w:cs="新宋体"/>
          <w:lang w:val="en-US" w:eastAsia="zh-CN"/>
        </w:rPr>
        <w:t>30</w:t>
      </w:r>
      <w:r>
        <w:rPr>
          <w:rFonts w:hint="eastAsia" w:ascii="新宋体" w:hAnsi="新宋体" w:eastAsia="新宋体" w:cs="新宋体"/>
        </w:rPr>
        <w:t>分）：售后服务方案包含了技术服务队伍、技术培训计划、服务承诺等，满足项目需求，提供服务保障体系，响应时间优于招标文件要求，提供服务流程（包括故障处理、上门维护、紧急维护、重要服务、电话维护、主动巡检等），产品的售后服务机构，提供应急预案，提供技术服务表单（包括客户服务报告、客户服务质量考核评估、服务满意度调查单、电话回访记录单等）整体方案优于用户需求，可行性较高。</w:t>
      </w:r>
    </w:p>
    <w:p>
      <w:pPr>
        <w:keepNext w:val="0"/>
        <w:keepLines w:val="0"/>
        <w:pageBreakBefore w:val="0"/>
        <w:widowControl w:val="0"/>
        <w:kinsoku/>
        <w:wordWrap/>
        <w:overflowPunct/>
        <w:topLinePunct w:val="0"/>
        <w:bidi w:val="0"/>
        <w:snapToGrid/>
        <w:spacing w:line="300" w:lineRule="auto"/>
        <w:ind w:firstLine="404" w:firstLineChars="200"/>
        <w:jc w:val="left"/>
        <w:textAlignment w:val="auto"/>
        <w:rPr>
          <w:rFonts w:hint="eastAsia" w:ascii="新宋体" w:hAnsi="新宋体" w:eastAsia="新宋体" w:cs="新宋体"/>
          <w:b/>
          <w:bCs/>
          <w:spacing w:val="-4"/>
          <w:szCs w:val="21"/>
        </w:rPr>
      </w:pPr>
      <w:r>
        <w:rPr>
          <w:rFonts w:hint="eastAsia" w:ascii="新宋体" w:hAnsi="新宋体" w:eastAsia="新宋体" w:cs="新宋体"/>
          <w:b/>
          <w:bCs/>
          <w:spacing w:val="-4"/>
        </w:rPr>
        <w:t>4、</w:t>
      </w:r>
      <w:r>
        <w:rPr>
          <w:rFonts w:hint="eastAsia" w:ascii="新宋体" w:hAnsi="新宋体" w:eastAsia="新宋体" w:cs="新宋体"/>
          <w:b/>
        </w:rPr>
        <w:t>信誉及业绩分……………………………………………………………………………………4分</w:t>
      </w:r>
    </w:p>
    <w:p>
      <w:pPr>
        <w:pStyle w:val="12"/>
        <w:keepNext w:val="0"/>
        <w:keepLines w:val="0"/>
        <w:pageBreakBefore w:val="0"/>
        <w:widowControl w:val="0"/>
        <w:kinsoku/>
        <w:wordWrap/>
        <w:overflowPunct/>
        <w:topLinePunct w:val="0"/>
        <w:bidi w:val="0"/>
        <w:snapToGrid/>
        <w:spacing w:line="300" w:lineRule="auto"/>
        <w:ind w:firstLine="420" w:firstLineChars="200"/>
        <w:jc w:val="left"/>
        <w:textAlignment w:val="auto"/>
        <w:rPr>
          <w:rFonts w:hint="eastAsia" w:ascii="新宋体" w:hAnsi="新宋体" w:eastAsia="新宋体" w:cs="新宋体"/>
        </w:rPr>
      </w:pPr>
      <w:r>
        <w:rPr>
          <w:rFonts w:hint="eastAsia" w:ascii="新宋体" w:hAnsi="新宋体" w:eastAsia="新宋体" w:cs="新宋体"/>
        </w:rPr>
        <w:t>（1）投标供应商或投标产品的生产企业通过ISO系列质量体系认证（每有一项得1分，满分3分）</w:t>
      </w:r>
    </w:p>
    <w:p>
      <w:pPr>
        <w:pStyle w:val="12"/>
        <w:keepNext w:val="0"/>
        <w:keepLines w:val="0"/>
        <w:pageBreakBefore w:val="0"/>
        <w:widowControl w:val="0"/>
        <w:kinsoku/>
        <w:wordWrap/>
        <w:overflowPunct/>
        <w:topLinePunct w:val="0"/>
        <w:bidi w:val="0"/>
        <w:snapToGrid/>
        <w:spacing w:line="300" w:lineRule="auto"/>
        <w:ind w:firstLine="420" w:firstLineChars="200"/>
        <w:jc w:val="left"/>
        <w:textAlignment w:val="auto"/>
        <w:rPr>
          <w:rFonts w:hint="eastAsia" w:ascii="新宋体" w:hAnsi="新宋体" w:eastAsia="新宋体" w:cs="新宋体"/>
        </w:rPr>
      </w:pPr>
      <w:r>
        <w:rPr>
          <w:rFonts w:hint="eastAsia" w:ascii="新宋体" w:hAnsi="新宋体" w:eastAsia="新宋体" w:cs="新宋体"/>
        </w:rPr>
        <w:t>（2）</w:t>
      </w:r>
      <w:commentRangeStart w:id="12"/>
      <w:r>
        <w:rPr>
          <w:rFonts w:hint="eastAsia" w:ascii="新宋体" w:hAnsi="新宋体" w:eastAsia="新宋体" w:cs="新宋体"/>
        </w:rPr>
        <w:t>投标供应商近三年内所取得同类项目的</w:t>
      </w:r>
      <w:commentRangeEnd w:id="12"/>
      <w:r>
        <w:commentReference w:id="12"/>
      </w:r>
      <w:r>
        <w:rPr>
          <w:rFonts w:hint="eastAsia" w:ascii="新宋体" w:hAnsi="新宋体" w:eastAsia="新宋体" w:cs="新宋体"/>
        </w:rPr>
        <w:t>业绩每项得0.5分,需提供合同或中标通知书（复印件加盖公章）（满分1分）</w:t>
      </w:r>
    </w:p>
    <w:p>
      <w:pPr>
        <w:pStyle w:val="12"/>
        <w:keepNext w:val="0"/>
        <w:keepLines w:val="0"/>
        <w:pageBreakBefore w:val="0"/>
        <w:widowControl w:val="0"/>
        <w:kinsoku/>
        <w:wordWrap/>
        <w:overflowPunct/>
        <w:topLinePunct w:val="0"/>
        <w:bidi w:val="0"/>
        <w:snapToGrid/>
        <w:spacing w:line="300" w:lineRule="auto"/>
        <w:ind w:firstLine="420" w:firstLineChars="200"/>
        <w:jc w:val="left"/>
        <w:textAlignment w:val="auto"/>
        <w:rPr>
          <w:rFonts w:hint="eastAsia" w:ascii="新宋体" w:hAnsi="新宋体" w:eastAsia="新宋体" w:cs="新宋体"/>
          <w:b/>
        </w:rPr>
      </w:pPr>
      <w:r>
        <w:rPr>
          <w:rFonts w:hint="eastAsia" w:ascii="新宋体" w:hAnsi="新宋体" w:eastAsia="新宋体" w:cs="新宋体"/>
          <w:b/>
        </w:rPr>
        <w:t>5、政策功能分(节能、环保) ………………………………………………………………………</w:t>
      </w:r>
      <w:r>
        <w:rPr>
          <w:rFonts w:hint="eastAsia" w:ascii="新宋体" w:hAnsi="新宋体" w:eastAsia="新宋体" w:cs="新宋体"/>
          <w:b/>
          <w:lang w:val="en-US" w:eastAsia="zh-CN"/>
        </w:rPr>
        <w:t>6</w:t>
      </w:r>
      <w:r>
        <w:rPr>
          <w:rFonts w:hint="eastAsia" w:ascii="新宋体" w:hAnsi="新宋体" w:eastAsia="新宋体" w:cs="新宋体"/>
          <w:b/>
        </w:rPr>
        <w:t>分</w:t>
      </w:r>
    </w:p>
    <w:p>
      <w:pPr>
        <w:keepNext w:val="0"/>
        <w:keepLines w:val="0"/>
        <w:pageBreakBefore w:val="0"/>
        <w:widowControl w:val="0"/>
        <w:kinsoku/>
        <w:wordWrap/>
        <w:overflowPunct/>
        <w:topLinePunct w:val="0"/>
        <w:bidi w:val="0"/>
        <w:snapToGrid/>
        <w:spacing w:line="300" w:lineRule="auto"/>
        <w:ind w:firstLine="315" w:firstLineChars="150"/>
        <w:jc w:val="left"/>
        <w:textAlignment w:val="auto"/>
        <w:rPr>
          <w:rFonts w:hint="eastAsia" w:ascii="新宋体" w:hAnsi="新宋体" w:eastAsia="新宋体" w:cs="新宋体"/>
          <w:bCs/>
          <w:szCs w:val="21"/>
        </w:rPr>
      </w:pPr>
      <w:r>
        <w:rPr>
          <w:rFonts w:hint="eastAsia" w:ascii="新宋体" w:hAnsi="新宋体" w:eastAsia="新宋体" w:cs="新宋体"/>
          <w:bCs/>
          <w:szCs w:val="21"/>
        </w:rPr>
        <w:t>（1）除强制采购节能产品外，其他产品属于财政部规定优先采购的产品（能提供国家确定的认证机构出具的、处于有效期之内的节能产品认证证书的产品），每项得</w:t>
      </w:r>
      <w:r>
        <w:rPr>
          <w:rFonts w:hint="eastAsia" w:ascii="新宋体" w:hAnsi="新宋体" w:eastAsia="新宋体" w:cs="新宋体"/>
          <w:bCs/>
          <w:szCs w:val="21"/>
          <w:lang w:val="en-US" w:eastAsia="zh-CN"/>
        </w:rPr>
        <w:t>1</w:t>
      </w:r>
      <w:r>
        <w:rPr>
          <w:rFonts w:hint="eastAsia" w:ascii="新宋体" w:hAnsi="新宋体" w:eastAsia="新宋体" w:cs="新宋体"/>
          <w:bCs/>
          <w:szCs w:val="21"/>
        </w:rPr>
        <w:t>分；（满分1分）</w:t>
      </w:r>
    </w:p>
    <w:p>
      <w:pPr>
        <w:keepNext w:val="0"/>
        <w:keepLines w:val="0"/>
        <w:pageBreakBefore w:val="0"/>
        <w:widowControl w:val="0"/>
        <w:kinsoku/>
        <w:wordWrap/>
        <w:overflowPunct/>
        <w:topLinePunct w:val="0"/>
        <w:bidi w:val="0"/>
        <w:snapToGrid/>
        <w:spacing w:line="300" w:lineRule="auto"/>
        <w:ind w:firstLine="315" w:firstLineChars="150"/>
        <w:jc w:val="left"/>
        <w:textAlignment w:val="auto"/>
        <w:rPr>
          <w:rFonts w:hint="eastAsia" w:ascii="新宋体" w:hAnsi="新宋体" w:eastAsia="新宋体" w:cs="新宋体"/>
          <w:bCs/>
          <w:szCs w:val="21"/>
        </w:rPr>
      </w:pPr>
      <w:r>
        <w:rPr>
          <w:rFonts w:hint="eastAsia" w:ascii="新宋体" w:hAnsi="新宋体" w:eastAsia="新宋体" w:cs="新宋体"/>
          <w:bCs/>
          <w:szCs w:val="21"/>
        </w:rPr>
        <w:t>（2）属于财政部规定优先采购的产品（能提供国家确定的认证机构出具的、处于有效期之内的环境标志产品认证证书的产品），每项得</w:t>
      </w:r>
      <w:r>
        <w:rPr>
          <w:rFonts w:hint="eastAsia" w:ascii="新宋体" w:hAnsi="新宋体" w:eastAsia="新宋体" w:cs="新宋体"/>
          <w:bCs/>
          <w:szCs w:val="21"/>
          <w:lang w:val="en-US" w:eastAsia="zh-CN"/>
        </w:rPr>
        <w:t>1</w:t>
      </w:r>
      <w:r>
        <w:rPr>
          <w:rFonts w:hint="eastAsia" w:ascii="新宋体" w:hAnsi="新宋体" w:eastAsia="新宋体" w:cs="新宋体"/>
          <w:bCs/>
          <w:szCs w:val="21"/>
        </w:rPr>
        <w:t>分；（满分1分）非节能、环保产品的不得分；</w:t>
      </w:r>
    </w:p>
    <w:p>
      <w:pPr>
        <w:keepNext w:val="0"/>
        <w:keepLines w:val="0"/>
        <w:pageBreakBefore w:val="0"/>
        <w:widowControl w:val="0"/>
        <w:kinsoku/>
        <w:wordWrap/>
        <w:overflowPunct/>
        <w:topLinePunct w:val="0"/>
        <w:bidi w:val="0"/>
        <w:snapToGrid/>
        <w:spacing w:line="300" w:lineRule="auto"/>
        <w:ind w:firstLine="315" w:firstLineChars="150"/>
        <w:jc w:val="left"/>
        <w:textAlignment w:val="auto"/>
        <w:rPr>
          <w:rFonts w:hint="eastAsia" w:ascii="新宋体" w:hAnsi="新宋体" w:eastAsia="新宋体" w:cs="新宋体"/>
          <w:bCs/>
          <w:szCs w:val="21"/>
        </w:rPr>
      </w:pPr>
      <w:r>
        <w:rPr>
          <w:rFonts w:hint="eastAsia" w:ascii="新宋体" w:hAnsi="新宋体" w:eastAsia="新宋体" w:cs="新宋体"/>
          <w:bCs/>
          <w:szCs w:val="21"/>
        </w:rPr>
        <w:t xml:space="preserve">（3）认定为使用广西工业产品80%以上的得1分。 </w:t>
      </w:r>
    </w:p>
    <w:p>
      <w:pPr>
        <w:pStyle w:val="12"/>
        <w:keepNext w:val="0"/>
        <w:keepLines w:val="0"/>
        <w:pageBreakBefore w:val="0"/>
        <w:widowControl w:val="0"/>
        <w:kinsoku/>
        <w:wordWrap/>
        <w:overflowPunct/>
        <w:topLinePunct w:val="0"/>
        <w:bidi w:val="0"/>
        <w:snapToGrid/>
        <w:spacing w:line="300" w:lineRule="auto"/>
        <w:ind w:firstLine="420" w:firstLineChars="200"/>
        <w:jc w:val="left"/>
        <w:textAlignment w:val="auto"/>
        <w:rPr>
          <w:rFonts w:hint="eastAsia" w:ascii="新宋体" w:hAnsi="新宋体" w:eastAsia="新宋体" w:cs="新宋体"/>
          <w:b/>
        </w:rPr>
      </w:pPr>
      <w:r>
        <w:rPr>
          <w:rFonts w:hint="eastAsia" w:ascii="新宋体" w:hAnsi="新宋体" w:eastAsia="新宋体" w:cs="新宋体"/>
          <w:bCs/>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投标文件中提供生产企业的工商营业执照复印件和广西工业产品声明函原件。</w:t>
      </w:r>
    </w:p>
    <w:p>
      <w:pPr>
        <w:pStyle w:val="12"/>
        <w:keepNext w:val="0"/>
        <w:keepLines w:val="0"/>
        <w:pageBreakBefore w:val="0"/>
        <w:widowControl w:val="0"/>
        <w:kinsoku/>
        <w:wordWrap/>
        <w:overflowPunct/>
        <w:topLinePunct w:val="0"/>
        <w:bidi w:val="0"/>
        <w:snapToGrid/>
        <w:spacing w:line="300" w:lineRule="auto"/>
        <w:jc w:val="left"/>
        <w:textAlignment w:val="auto"/>
        <w:rPr>
          <w:rFonts w:hint="eastAsia" w:ascii="新宋体" w:hAnsi="新宋体" w:eastAsia="新宋体" w:cs="新宋体"/>
        </w:rPr>
      </w:pPr>
    </w:p>
    <w:p>
      <w:pPr>
        <w:pStyle w:val="12"/>
        <w:keepNext w:val="0"/>
        <w:keepLines w:val="0"/>
        <w:pageBreakBefore w:val="0"/>
        <w:widowControl w:val="0"/>
        <w:kinsoku/>
        <w:wordWrap/>
        <w:overflowPunct/>
        <w:topLinePunct w:val="0"/>
        <w:bidi w:val="0"/>
        <w:snapToGrid/>
        <w:spacing w:line="300" w:lineRule="auto"/>
        <w:ind w:firstLine="411" w:firstLineChars="196"/>
        <w:jc w:val="left"/>
        <w:textAlignment w:val="auto"/>
        <w:rPr>
          <w:rFonts w:hint="eastAsia" w:ascii="新宋体" w:hAnsi="新宋体" w:eastAsia="新宋体" w:cs="新宋体"/>
          <w:b/>
          <w:lang w:eastAsia="zh-CN"/>
        </w:rPr>
      </w:pPr>
      <w:r>
        <w:rPr>
          <w:rFonts w:hint="eastAsia" w:ascii="新宋体" w:hAnsi="新宋体" w:eastAsia="新宋体" w:cs="新宋体"/>
          <w:b/>
        </w:rPr>
        <w:t>总得分 =1 + 2 + 3 + 4 + 5</w:t>
      </w:r>
    </w:p>
    <w:p>
      <w:pPr>
        <w:pStyle w:val="12"/>
        <w:keepNext w:val="0"/>
        <w:keepLines w:val="0"/>
        <w:pageBreakBefore w:val="0"/>
        <w:widowControl w:val="0"/>
        <w:kinsoku/>
        <w:wordWrap/>
        <w:overflowPunct/>
        <w:topLinePunct w:val="0"/>
        <w:bidi w:val="0"/>
        <w:snapToGrid/>
        <w:spacing w:line="300" w:lineRule="auto"/>
        <w:textAlignment w:val="auto"/>
        <w:rPr>
          <w:rFonts w:hint="eastAsia" w:ascii="新宋体" w:hAnsi="新宋体" w:eastAsia="新宋体" w:cs="新宋体"/>
          <w:b/>
          <w:bCs/>
          <w:kern w:val="0"/>
          <w:sz w:val="21"/>
          <w:szCs w:val="21"/>
          <w:lang w:val="en-US" w:eastAsia="zh-CN" w:bidi="ar-SA"/>
        </w:rPr>
      </w:pPr>
      <w:r>
        <w:rPr>
          <w:rFonts w:hint="eastAsia" w:ascii="新宋体" w:hAnsi="新宋体" w:eastAsia="新宋体" w:cs="新宋体"/>
          <w:b/>
          <w:bCs/>
          <w:kern w:val="0"/>
          <w:sz w:val="21"/>
          <w:szCs w:val="21"/>
          <w:lang w:val="en-US" w:eastAsia="zh-CN" w:bidi="ar-SA"/>
        </w:rPr>
        <w:t>三、成交候选人推荐原则</w:t>
      </w:r>
    </w:p>
    <w:p>
      <w:pPr>
        <w:pStyle w:val="12"/>
        <w:keepNext w:val="0"/>
        <w:keepLines w:val="0"/>
        <w:pageBreakBefore w:val="0"/>
        <w:widowControl w:val="0"/>
        <w:kinsoku/>
        <w:wordWrap/>
        <w:overflowPunct/>
        <w:topLinePunct w:val="0"/>
        <w:bidi w:val="0"/>
        <w:snapToGrid/>
        <w:spacing w:line="300" w:lineRule="auto"/>
        <w:ind w:firstLine="525" w:firstLineChars="250"/>
        <w:textAlignment w:val="auto"/>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磋商小组应当根据综合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按照技术指标优劣顺序推荐。</w:t>
      </w:r>
    </w:p>
    <w:p>
      <w:pPr>
        <w:pStyle w:val="12"/>
        <w:keepNext w:val="0"/>
        <w:keepLines w:val="0"/>
        <w:pageBreakBefore w:val="0"/>
        <w:widowControl w:val="0"/>
        <w:kinsoku/>
        <w:wordWrap/>
        <w:overflowPunct/>
        <w:topLinePunct w:val="0"/>
        <w:bidi w:val="0"/>
        <w:snapToGrid/>
        <w:spacing w:line="300" w:lineRule="auto"/>
        <w:ind w:firstLine="525" w:firstLineChars="250"/>
        <w:textAlignment w:val="auto"/>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磋商小组将根据综合评分得分由高到低排列次序（评审得分相同的，按照最后报价由低到高的顺序推荐。评审得分且最后报价相同的，按照技术指标优劣顺序推荐）并推荐成交候选供应商。采购单位应当确定评标委员会推荐排名第一的成交候选人为成交人。排名第一的成交候选人放弃中标、因不可抗力提出不能履行合同，采购单位可以确定排名第二的成交候选人为成交人。排名第二的成交候选人因前款规定的同样原因不能签订合同的，采购单位可以确定排名第三的成交候选人为成交人，其余以此类推。采购人也可以重新组织采购。</w:t>
      </w:r>
    </w:p>
    <w:p>
      <w:pPr>
        <w:rPr>
          <w:rFonts w:hint="default"/>
          <w:lang w:val="en-US" w:eastAsia="zh-CN"/>
        </w:rPr>
      </w:pPr>
    </w:p>
    <w:sectPr>
      <w:headerReference r:id="rId11" w:type="default"/>
      <w:headerReference r:id="rId12" w:type="even"/>
      <w:pgSz w:w="11906" w:h="16838"/>
      <w:pgMar w:top="1304" w:right="1134" w:bottom="1134" w:left="1304"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我们仍未知道那天所看见花的名字。" w:date="2021-10-08T15:16:28Z" w:initials="">
    <w:p w14:paraId="7D925081">
      <w:pPr>
        <w:widowControl/>
        <w:spacing w:line="276" w:lineRule="auto"/>
        <w:rPr>
          <w:rFonts w:ascii="宋体" w:hAnsi="宋体"/>
          <w:color w:val="auto"/>
          <w:szCs w:val="21"/>
        </w:rPr>
      </w:pPr>
      <w:r>
        <w:rPr>
          <w:rFonts w:hint="eastAsia" w:ascii="宋体" w:hAnsi="宋体" w:cs="微软雅黑"/>
          <w:color w:val="auto"/>
          <w:kern w:val="0"/>
          <w:szCs w:val="21"/>
        </w:rPr>
        <w:t>★</w:t>
      </w:r>
      <w:r>
        <w:rPr>
          <w:rFonts w:hint="eastAsia" w:ascii="宋体" w:hAnsi="宋体"/>
          <w:color w:val="auto"/>
          <w:szCs w:val="21"/>
        </w:rPr>
        <w:t>硬件规格：</w:t>
      </w:r>
    </w:p>
    <w:p w14:paraId="4C362E03">
      <w:pPr>
        <w:widowControl/>
        <w:spacing w:line="276" w:lineRule="auto"/>
        <w:rPr>
          <w:rFonts w:ascii="宋体" w:hAnsi="宋体"/>
          <w:color w:val="auto"/>
          <w:szCs w:val="21"/>
        </w:rPr>
      </w:pPr>
      <w:r>
        <w:rPr>
          <w:rFonts w:hint="eastAsia" w:ascii="宋体" w:hAnsi="宋体"/>
          <w:color w:val="auto"/>
          <w:szCs w:val="21"/>
        </w:rPr>
        <w:t>1、规格：2U的机架式服务器，可以放入42U标准机柜；</w:t>
      </w:r>
    </w:p>
    <w:p w14:paraId="24D71FB7">
      <w:pPr>
        <w:widowControl/>
        <w:jc w:val="left"/>
        <w:rPr>
          <w:color w:val="auto"/>
        </w:rPr>
      </w:pPr>
      <w:r>
        <w:rPr>
          <w:rFonts w:hint="eastAsia" w:ascii="宋体" w:hAnsi="宋体"/>
          <w:color w:val="auto"/>
          <w:szCs w:val="21"/>
        </w:rPr>
        <w:t>2、处理器：配置≥2颗1</w:t>
      </w:r>
      <w:r>
        <w:rPr>
          <w:rFonts w:ascii="宋体" w:hAnsi="宋体"/>
          <w:color w:val="auto"/>
          <w:szCs w:val="21"/>
        </w:rPr>
        <w:t>2</w:t>
      </w:r>
      <w:r>
        <w:rPr>
          <w:rFonts w:hint="eastAsia" w:ascii="宋体" w:hAnsi="宋体"/>
          <w:color w:val="auto"/>
          <w:szCs w:val="21"/>
        </w:rPr>
        <w:t xml:space="preserve">核CPU </w:t>
      </w:r>
      <w:r>
        <w:rPr>
          <w:rFonts w:ascii="宋体" w:hAnsi="宋体"/>
          <w:color w:val="auto"/>
          <w:szCs w:val="21"/>
        </w:rPr>
        <w:t xml:space="preserve">Silver 4214R </w:t>
      </w:r>
      <w:r>
        <w:rPr>
          <w:rFonts w:hint="eastAsia" w:ascii="宋体" w:hAnsi="宋体"/>
          <w:color w:val="auto"/>
          <w:szCs w:val="21"/>
        </w:rPr>
        <w:t>处理器，主频≥2.</w:t>
      </w:r>
      <w:r>
        <w:rPr>
          <w:rFonts w:ascii="宋体" w:hAnsi="宋体"/>
          <w:color w:val="auto"/>
          <w:szCs w:val="21"/>
        </w:rPr>
        <w:t xml:space="preserve">4 </w:t>
      </w:r>
      <w:r>
        <w:rPr>
          <w:rFonts w:hint="eastAsia" w:ascii="宋体" w:hAnsi="宋体"/>
          <w:color w:val="auto"/>
          <w:szCs w:val="21"/>
        </w:rPr>
        <w:t>GHZ，或优于此配置；</w:t>
      </w:r>
    </w:p>
    <w:p w14:paraId="6C9E38C0">
      <w:pPr>
        <w:widowControl/>
        <w:spacing w:line="276" w:lineRule="auto"/>
        <w:rPr>
          <w:rFonts w:ascii="宋体" w:hAnsi="宋体"/>
          <w:color w:val="auto"/>
          <w:szCs w:val="21"/>
        </w:rPr>
      </w:pPr>
      <w:r>
        <w:rPr>
          <w:rFonts w:hint="eastAsia" w:ascii="宋体" w:hAnsi="宋体"/>
          <w:color w:val="auto"/>
          <w:szCs w:val="21"/>
        </w:rPr>
        <w:t>3、内存：配置≥</w:t>
      </w:r>
      <w:r>
        <w:rPr>
          <w:rFonts w:ascii="宋体" w:hAnsi="宋体"/>
          <w:color w:val="auto"/>
          <w:szCs w:val="21"/>
        </w:rPr>
        <w:t>4*32</w:t>
      </w:r>
      <w:r>
        <w:rPr>
          <w:rFonts w:hint="eastAsia" w:ascii="宋体" w:hAnsi="宋体"/>
          <w:color w:val="auto"/>
          <w:szCs w:val="21"/>
        </w:rPr>
        <w:t xml:space="preserve">GB </w:t>
      </w:r>
      <w:r>
        <w:rPr>
          <w:rFonts w:ascii="宋体" w:hAnsi="宋体"/>
          <w:color w:val="auto"/>
          <w:szCs w:val="21"/>
        </w:rPr>
        <w:t xml:space="preserve"> </w:t>
      </w:r>
      <w:r>
        <w:rPr>
          <w:rFonts w:hint="eastAsia" w:ascii="宋体" w:hAnsi="宋体"/>
          <w:color w:val="auto"/>
          <w:szCs w:val="21"/>
        </w:rPr>
        <w:t>DDR4内存；内存插槽数量≥24个，最大内存可扩展至768GB；</w:t>
      </w:r>
    </w:p>
    <w:p w14:paraId="504F35E7">
      <w:pPr>
        <w:widowControl/>
        <w:spacing w:line="276" w:lineRule="auto"/>
        <w:rPr>
          <w:rFonts w:ascii="宋体" w:hAnsi="宋体"/>
          <w:color w:val="auto"/>
          <w:szCs w:val="21"/>
        </w:rPr>
      </w:pPr>
      <w:r>
        <w:rPr>
          <w:rFonts w:hint="eastAsia" w:ascii="宋体" w:hAnsi="宋体"/>
          <w:color w:val="auto"/>
          <w:szCs w:val="21"/>
        </w:rPr>
        <w:t>4、硬盘：配置≥</w:t>
      </w:r>
      <w:r>
        <w:rPr>
          <w:rFonts w:ascii="宋体" w:hAnsi="宋体"/>
          <w:color w:val="auto"/>
          <w:szCs w:val="21"/>
        </w:rPr>
        <w:t>2</w:t>
      </w:r>
      <w:r>
        <w:rPr>
          <w:rFonts w:hint="eastAsia" w:ascii="宋体" w:hAnsi="宋体"/>
          <w:color w:val="auto"/>
          <w:szCs w:val="21"/>
        </w:rPr>
        <w:t>块</w:t>
      </w:r>
      <w:r>
        <w:rPr>
          <w:rFonts w:ascii="宋体" w:hAnsi="宋体"/>
          <w:color w:val="auto"/>
          <w:szCs w:val="21"/>
        </w:rPr>
        <w:t>6</w:t>
      </w:r>
      <w:r>
        <w:rPr>
          <w:rFonts w:hint="eastAsia" w:ascii="宋体" w:hAnsi="宋体"/>
          <w:color w:val="auto"/>
          <w:szCs w:val="21"/>
        </w:rPr>
        <w:t>T SATA数据盘、≥</w:t>
      </w:r>
      <w:r>
        <w:rPr>
          <w:rFonts w:ascii="宋体" w:hAnsi="宋体"/>
          <w:color w:val="auto"/>
          <w:szCs w:val="21"/>
        </w:rPr>
        <w:t>2</w:t>
      </w:r>
      <w:r>
        <w:rPr>
          <w:rFonts w:hint="eastAsia" w:ascii="宋体" w:hAnsi="宋体"/>
          <w:color w:val="auto"/>
          <w:szCs w:val="21"/>
        </w:rPr>
        <w:t>块128G SSD系统盘（不占用前置硬盘槽）、≥2块9</w:t>
      </w:r>
      <w:r>
        <w:rPr>
          <w:rFonts w:ascii="宋体" w:hAnsi="宋体"/>
          <w:color w:val="auto"/>
          <w:szCs w:val="21"/>
        </w:rPr>
        <w:t>6</w:t>
      </w:r>
      <w:r>
        <w:rPr>
          <w:rFonts w:hint="eastAsia" w:ascii="宋体" w:hAnsi="宋体"/>
          <w:color w:val="auto"/>
          <w:szCs w:val="21"/>
        </w:rPr>
        <w:t>0G SSD缓存盘，支持热插拔SAS/SATA硬盘，兼容2.5英寸和3.5英寸硬盘，配备≥</w:t>
      </w:r>
      <w:r>
        <w:rPr>
          <w:rFonts w:ascii="宋体" w:hAnsi="宋体"/>
          <w:color w:val="auto"/>
          <w:szCs w:val="21"/>
        </w:rPr>
        <w:t>12</w:t>
      </w:r>
      <w:r>
        <w:rPr>
          <w:rFonts w:hint="eastAsia" w:ascii="宋体" w:hAnsi="宋体"/>
          <w:color w:val="auto"/>
          <w:szCs w:val="21"/>
        </w:rPr>
        <w:t xml:space="preserve">个2.5/3.5寸硬盘槽； </w:t>
      </w:r>
    </w:p>
    <w:p w14:paraId="13286F7E">
      <w:pPr>
        <w:widowControl/>
        <w:spacing w:line="276" w:lineRule="auto"/>
        <w:rPr>
          <w:rFonts w:ascii="宋体" w:hAnsi="宋体"/>
          <w:color w:val="auto"/>
          <w:szCs w:val="21"/>
        </w:rPr>
      </w:pPr>
      <w:r>
        <w:rPr>
          <w:rFonts w:hint="eastAsia" w:ascii="宋体" w:hAnsi="宋体"/>
          <w:color w:val="auto"/>
          <w:szCs w:val="21"/>
        </w:rPr>
        <w:t>5、设备最多支持≥</w:t>
      </w:r>
      <w:r>
        <w:rPr>
          <w:rFonts w:ascii="宋体" w:hAnsi="宋体"/>
          <w:color w:val="auto"/>
          <w:szCs w:val="21"/>
        </w:rPr>
        <w:t>5</w:t>
      </w:r>
      <w:r>
        <w:rPr>
          <w:rFonts w:hint="eastAsia" w:ascii="宋体" w:hAnsi="宋体"/>
          <w:color w:val="auto"/>
          <w:szCs w:val="21"/>
        </w:rPr>
        <w:t>个PCIe扩展插槽，配备≥6个GE端口和2个10GE端口；</w:t>
      </w:r>
    </w:p>
    <w:p w14:paraId="65D87F37">
      <w:pPr>
        <w:widowControl/>
        <w:spacing w:line="276" w:lineRule="auto"/>
        <w:rPr>
          <w:rFonts w:ascii="宋体" w:hAnsi="宋体"/>
          <w:color w:val="auto"/>
          <w:szCs w:val="21"/>
        </w:rPr>
      </w:pPr>
      <w:r>
        <w:rPr>
          <w:rFonts w:hint="eastAsia" w:ascii="宋体" w:hAnsi="宋体"/>
          <w:color w:val="auto"/>
          <w:szCs w:val="21"/>
        </w:rPr>
        <w:t>6、RAID功能：支持</w:t>
      </w:r>
      <w:r>
        <w:rPr>
          <w:rFonts w:ascii="宋体" w:hAnsi="宋体"/>
          <w:color w:val="auto"/>
          <w:szCs w:val="21"/>
        </w:rPr>
        <w:t>JBOD/RAID0/RAID1/RAID10</w:t>
      </w:r>
      <w:r>
        <w:rPr>
          <w:rFonts w:hint="eastAsia" w:ascii="宋体" w:hAnsi="宋体"/>
          <w:color w:val="auto"/>
          <w:szCs w:val="21"/>
        </w:rPr>
        <w:t>；</w:t>
      </w:r>
    </w:p>
    <w:p w14:paraId="0E3861B9">
      <w:pPr>
        <w:widowControl/>
        <w:spacing w:line="276" w:lineRule="auto"/>
        <w:rPr>
          <w:rFonts w:ascii="宋体" w:hAnsi="宋体"/>
          <w:color w:val="auto"/>
          <w:szCs w:val="21"/>
        </w:rPr>
      </w:pPr>
      <w:r>
        <w:rPr>
          <w:rFonts w:hint="eastAsia" w:ascii="宋体" w:hAnsi="宋体"/>
          <w:color w:val="auto"/>
          <w:szCs w:val="21"/>
        </w:rPr>
        <w:t>7、包含3年硬件免费保修服务；</w:t>
      </w:r>
    </w:p>
    <w:p w14:paraId="2DA05A07">
      <w:pPr>
        <w:wordWrap w:val="0"/>
        <w:rPr>
          <w:rFonts w:ascii="宋体" w:hAnsi="宋体"/>
          <w:color w:val="auto"/>
          <w:szCs w:val="21"/>
        </w:rPr>
      </w:pPr>
      <w:r>
        <w:rPr>
          <w:rFonts w:ascii="宋体" w:hAnsi="宋体"/>
          <w:color w:val="auto"/>
          <w:szCs w:val="21"/>
        </w:rPr>
        <w:t>8、</w:t>
      </w:r>
      <w:r>
        <w:rPr>
          <w:rFonts w:hint="eastAsia" w:ascii="宋体" w:hAnsi="宋体"/>
          <w:color w:val="auto"/>
          <w:szCs w:val="21"/>
        </w:rPr>
        <w:t>配置冗余交流双电源；</w:t>
      </w:r>
    </w:p>
    <w:p w14:paraId="23104CF4">
      <w:pPr>
        <w:rPr>
          <w:rFonts w:ascii="宋体" w:hAnsi="宋体"/>
          <w:color w:val="auto"/>
          <w:szCs w:val="21"/>
        </w:rPr>
      </w:pPr>
      <w:r>
        <w:rPr>
          <w:rFonts w:ascii="宋体" w:hAnsi="宋体"/>
          <w:color w:val="auto"/>
          <w:szCs w:val="21"/>
        </w:rPr>
        <w:t>9</w:t>
      </w:r>
      <w:r>
        <w:rPr>
          <w:rFonts w:hint="eastAsia" w:ascii="宋体" w:hAnsi="宋体"/>
          <w:color w:val="auto"/>
          <w:szCs w:val="21"/>
        </w:rPr>
        <w:t>、冷却系统：配置热插拔系统风扇；</w:t>
      </w:r>
    </w:p>
    <w:p w14:paraId="2F8A3D28">
      <w:pPr>
        <w:rPr>
          <w:rFonts w:ascii="宋体" w:hAnsi="宋体"/>
          <w:color w:val="auto"/>
          <w:szCs w:val="21"/>
        </w:rPr>
      </w:pPr>
      <w:r>
        <w:rPr>
          <w:rFonts w:ascii="宋体" w:hAnsi="宋体"/>
          <w:color w:val="auto"/>
          <w:szCs w:val="21"/>
        </w:rPr>
        <w:t>10</w:t>
      </w:r>
      <w:r>
        <w:rPr>
          <w:rFonts w:hint="eastAsia" w:ascii="宋体" w:hAnsi="宋体"/>
          <w:color w:val="auto"/>
          <w:szCs w:val="21"/>
        </w:rPr>
        <w:t>、导轨类型：配置</w:t>
      </w:r>
      <w:r>
        <w:rPr>
          <w:rFonts w:ascii="宋体" w:hAnsi="宋体"/>
          <w:color w:val="auto"/>
          <w:szCs w:val="21"/>
        </w:rPr>
        <w:t>滑动导轨</w:t>
      </w:r>
      <w:r>
        <w:rPr>
          <w:rFonts w:hint="eastAsia" w:ascii="宋体" w:hAnsi="宋体"/>
          <w:color w:val="auto"/>
          <w:szCs w:val="21"/>
        </w:rPr>
        <w:t>；</w:t>
      </w:r>
    </w:p>
    <w:p w14:paraId="764E1495">
      <w:pPr>
        <w:rPr>
          <w:rFonts w:ascii="宋体" w:hAnsi="宋体"/>
          <w:color w:val="auto"/>
          <w:szCs w:val="21"/>
        </w:rPr>
      </w:pPr>
      <w:r>
        <w:rPr>
          <w:rFonts w:ascii="宋体" w:hAnsi="宋体"/>
          <w:color w:val="auto"/>
          <w:szCs w:val="21"/>
        </w:rPr>
        <w:t>11、BMC功能</w:t>
      </w:r>
      <w:r>
        <w:rPr>
          <w:rFonts w:hint="eastAsia" w:ascii="宋体" w:hAnsi="宋体"/>
          <w:color w:val="auto"/>
          <w:szCs w:val="21"/>
        </w:rPr>
        <w:t>：</w:t>
      </w:r>
      <w:r>
        <w:rPr>
          <w:rFonts w:ascii="宋体" w:hAnsi="宋体"/>
          <w:color w:val="auto"/>
          <w:szCs w:val="21"/>
        </w:rPr>
        <w:t>标配BMC诊断模块，可实现对CPU/内存/硬盘/网卡/风扇/温度/电源等关键部件的故障诊断</w:t>
      </w:r>
    </w:p>
    <w:p w14:paraId="7FD40E48">
      <w:pPr>
        <w:pStyle w:val="9"/>
      </w:pPr>
      <w:r>
        <w:rPr>
          <w:rFonts w:hint="eastAsia" w:ascii="宋体" w:hAnsi="宋体" w:cs="微软雅黑"/>
          <w:color w:val="auto"/>
          <w:kern w:val="0"/>
          <w:szCs w:val="21"/>
        </w:rPr>
        <w:t>★</w:t>
      </w:r>
      <w:r>
        <w:rPr>
          <w:rFonts w:ascii="宋体" w:hAnsi="宋体"/>
          <w:color w:val="auto"/>
          <w:szCs w:val="21"/>
        </w:rPr>
        <w:t>12</w:t>
      </w:r>
      <w:r>
        <w:rPr>
          <w:rFonts w:hint="eastAsia" w:ascii="宋体" w:hAnsi="宋体"/>
          <w:color w:val="auto"/>
          <w:szCs w:val="21"/>
        </w:rPr>
        <w:t>、为了保证平台的兼容性和稳定性，要求与 “计算服务器虚拟化软件”、 “</w:t>
      </w:r>
      <w:r>
        <w:rPr>
          <w:rFonts w:hint="eastAsia" w:ascii="宋体" w:hAnsi="宋体" w:cs="宋体"/>
          <w:color w:val="auto"/>
          <w:szCs w:val="21"/>
        </w:rPr>
        <w:t>存储虚拟化软件</w:t>
      </w:r>
      <w:r>
        <w:rPr>
          <w:rFonts w:hint="eastAsia" w:ascii="宋体" w:hAnsi="宋体"/>
          <w:color w:val="auto"/>
          <w:szCs w:val="21"/>
        </w:rPr>
        <w:t>”、“网络虚拟化软件”为同一品牌；</w:t>
      </w:r>
    </w:p>
  </w:comment>
  <w:comment w:id="1" w:author="我们仍未知道那天所看见花的名字。" w:date="2021-10-08T15:16:40Z" w:initials="">
    <w:p w14:paraId="5DB66BF5">
      <w:pPr>
        <w:pStyle w:val="9"/>
      </w:pPr>
      <w:r>
        <w:rPr>
          <w:rFonts w:hint="eastAsia" w:ascii="新宋体" w:hAnsi="新宋体" w:eastAsia="新宋体" w:cs="新宋体"/>
          <w:color w:val="auto"/>
          <w:kern w:val="0"/>
          <w:szCs w:val="21"/>
          <w:lang w:bidi="ar"/>
        </w:rPr>
        <w:t>1.单进单出，高频在线式UPS，塔式安装，功率10KVA/8KW</w:t>
      </w:r>
      <w:r>
        <w:rPr>
          <w:rFonts w:hint="eastAsia" w:ascii="新宋体" w:hAnsi="新宋体" w:eastAsia="新宋体" w:cs="新宋体"/>
          <w:color w:val="auto"/>
          <w:kern w:val="0"/>
          <w:szCs w:val="21"/>
          <w:lang w:bidi="ar"/>
        </w:rPr>
        <w:br w:type="textWrapping"/>
      </w:r>
      <w:r>
        <w:rPr>
          <w:rFonts w:hint="eastAsia" w:ascii="新宋体" w:hAnsi="新宋体" w:eastAsia="新宋体" w:cs="新宋体"/>
          <w:color w:val="auto"/>
          <w:kern w:val="0"/>
          <w:szCs w:val="21"/>
          <w:lang w:bidi="ar"/>
        </w:rPr>
        <w:t>2.铅酸免维护蓄电池</w:t>
      </w:r>
      <w:r>
        <w:rPr>
          <w:rFonts w:hint="eastAsia" w:ascii="新宋体" w:hAnsi="新宋体" w:eastAsia="新宋体" w:cs="新宋体"/>
          <w:color w:val="auto"/>
          <w:kern w:val="0"/>
          <w:szCs w:val="21"/>
          <w:lang w:eastAsia="zh-CN" w:bidi="ar"/>
        </w:rPr>
        <w:t>，容量：12V100AH</w:t>
      </w:r>
      <w:r>
        <w:rPr>
          <w:rFonts w:hint="eastAsia" w:ascii="新宋体" w:hAnsi="新宋体" w:eastAsia="新宋体" w:cs="新宋体"/>
          <w:color w:val="auto"/>
          <w:kern w:val="0"/>
          <w:szCs w:val="21"/>
          <w:lang w:bidi="ar"/>
        </w:rPr>
        <w:br w:type="textWrapping"/>
      </w:r>
      <w:r>
        <w:rPr>
          <w:rFonts w:hint="eastAsia" w:ascii="新宋体" w:hAnsi="新宋体" w:eastAsia="新宋体" w:cs="新宋体"/>
          <w:color w:val="auto"/>
          <w:kern w:val="0"/>
          <w:szCs w:val="21"/>
          <w:lang w:bidi="ar"/>
        </w:rPr>
        <w:t>3.电池柜</w:t>
      </w:r>
      <w:r>
        <w:rPr>
          <w:rFonts w:hint="eastAsia" w:ascii="新宋体" w:hAnsi="新宋体" w:eastAsia="新宋体" w:cs="新宋体"/>
          <w:color w:val="auto"/>
          <w:kern w:val="0"/>
          <w:szCs w:val="21"/>
          <w:lang w:bidi="ar"/>
        </w:rPr>
        <w:br w:type="textWrapping"/>
      </w:r>
      <w:r>
        <w:rPr>
          <w:rFonts w:hint="eastAsia" w:ascii="新宋体" w:hAnsi="新宋体" w:eastAsia="新宋体" w:cs="新宋体"/>
          <w:color w:val="auto"/>
          <w:kern w:val="0"/>
          <w:szCs w:val="21"/>
          <w:lang w:bidi="ar"/>
        </w:rPr>
        <w:t>4.运费、送货费、搬运费、安装调试费</w:t>
      </w:r>
    </w:p>
  </w:comment>
  <w:comment w:id="2" w:author="我们仍未知道那天所看见花的名字。" w:date="2021-10-08T15:16:58Z" w:initials="">
    <w:p w14:paraId="3EF63CB1">
      <w:pPr>
        <w:widowControl/>
        <w:spacing w:line="360" w:lineRule="atLeast"/>
        <w:jc w:val="left"/>
        <w:rPr>
          <w:rFonts w:ascii="宋体" w:hAnsi="宋体" w:eastAsia="宋体" w:cs="宋体"/>
          <w:color w:val="auto"/>
          <w:szCs w:val="21"/>
        </w:rPr>
      </w:pPr>
      <w:r>
        <w:rPr>
          <w:rFonts w:hint="eastAsia" w:ascii="宋体" w:hAnsi="宋体" w:eastAsia="宋体" w:cs="宋体"/>
          <w:color w:val="auto"/>
          <w:szCs w:val="21"/>
        </w:rPr>
        <w:t>★1、虚拟化软件非OEM或贴牌产品，禁止借用第三方软件的整合，以保证功能的可靠性和安全性；</w:t>
      </w:r>
    </w:p>
    <w:p w14:paraId="7F3266B8">
      <w:pPr>
        <w:widowControl/>
        <w:spacing w:line="360" w:lineRule="atLeast"/>
        <w:jc w:val="left"/>
        <w:rPr>
          <w:rFonts w:ascii="宋体" w:hAnsi="宋体" w:eastAsia="宋体" w:cs="宋体"/>
          <w:color w:val="auto"/>
          <w:szCs w:val="21"/>
        </w:rPr>
      </w:pPr>
      <w:r>
        <w:rPr>
          <w:rFonts w:hint="eastAsia" w:ascii="宋体" w:hAnsi="宋体" w:eastAsia="宋体" w:cs="宋体"/>
          <w:color w:val="auto"/>
          <w:szCs w:val="21"/>
        </w:rPr>
        <w:t>2、虚拟机可以实现物理机的全部功能，如具有自己的资源（内存、CPU、网卡、存储），可以指定单独的IP地址、MAC地址等；</w:t>
      </w:r>
    </w:p>
    <w:p w14:paraId="50CD7434">
      <w:pPr>
        <w:widowControl/>
        <w:spacing w:line="360" w:lineRule="atLeast"/>
        <w:jc w:val="left"/>
        <w:rPr>
          <w:rFonts w:ascii="宋体" w:hAnsi="宋体" w:eastAsia="宋体" w:cs="宋体"/>
          <w:color w:val="auto"/>
          <w:szCs w:val="21"/>
        </w:rPr>
      </w:pPr>
      <w:r>
        <w:rPr>
          <w:rFonts w:ascii="宋体" w:hAnsi="宋体" w:eastAsia="宋体" w:cs="宋体"/>
          <w:color w:val="auto"/>
          <w:szCs w:val="21"/>
        </w:rPr>
        <w:t>3</w:t>
      </w:r>
      <w:r>
        <w:rPr>
          <w:rFonts w:hint="eastAsia" w:ascii="宋体" w:hAnsi="宋体" w:eastAsia="宋体" w:cs="宋体"/>
          <w:color w:val="auto"/>
          <w:szCs w:val="21"/>
        </w:rPr>
        <w:t>、</w:t>
      </w:r>
      <w:r>
        <w:rPr>
          <w:rFonts w:hint="eastAsia" w:ascii="Times New Roman" w:hAnsi="Times New Roman" w:eastAsia="宋体" w:cs="Times New Roman"/>
          <w:color w:val="auto"/>
        </w:rPr>
        <w:t xml:space="preserve"> </w:t>
      </w:r>
      <w:r>
        <w:rPr>
          <w:rFonts w:hint="eastAsia" w:ascii="宋体" w:hAnsi="宋体" w:eastAsia="宋体" w:cs="宋体"/>
          <w:color w:val="auto"/>
          <w:szCs w:val="21"/>
        </w:rPr>
        <w:t>虚拟化软件应基于KVM开发，可维护性好，部署时无需绑定安装OpenStack相关组件；</w:t>
      </w:r>
    </w:p>
    <w:p w14:paraId="6117635A">
      <w:pPr>
        <w:widowControl/>
        <w:spacing w:line="360" w:lineRule="atLeast"/>
        <w:jc w:val="left"/>
        <w:rPr>
          <w:rFonts w:ascii="宋体" w:hAnsi="宋体" w:eastAsia="宋体" w:cs="宋体"/>
          <w:color w:val="auto"/>
          <w:szCs w:val="21"/>
        </w:rPr>
      </w:pPr>
      <w:r>
        <w:rPr>
          <w:rFonts w:ascii="宋体" w:hAnsi="宋体" w:eastAsia="宋体" w:cs="宋体"/>
          <w:color w:val="auto"/>
          <w:szCs w:val="21"/>
        </w:rPr>
        <w:t>4</w:t>
      </w:r>
      <w:r>
        <w:rPr>
          <w:rFonts w:hint="eastAsia" w:ascii="宋体" w:hAnsi="宋体" w:eastAsia="宋体" w:cs="宋体"/>
          <w:color w:val="auto"/>
          <w:szCs w:val="21"/>
        </w:rPr>
        <w:t>、</w:t>
      </w:r>
      <w:r>
        <w:rPr>
          <w:rFonts w:hint="eastAsia" w:ascii="Times New Roman" w:hAnsi="Times New Roman" w:eastAsia="宋体" w:cs="Times New Roman"/>
          <w:color w:val="auto"/>
        </w:rPr>
        <w:t xml:space="preserve"> </w:t>
      </w:r>
      <w:r>
        <w:rPr>
          <w:rFonts w:hint="eastAsia" w:ascii="宋体" w:hAnsi="宋体" w:eastAsia="宋体" w:cs="宋体"/>
          <w:color w:val="auto"/>
          <w:szCs w:val="21"/>
        </w:rPr>
        <w:t>支持配置动态资源扩展功能，系统支持自动评估虚拟机的性能，当虚拟机性能不足时自动为虚拟机添加CPU和内存资源，确保业务持续高效运行；</w:t>
      </w:r>
    </w:p>
    <w:p w14:paraId="0EF87C5F">
      <w:pPr>
        <w:widowControl/>
        <w:spacing w:line="360" w:lineRule="atLeast"/>
        <w:jc w:val="left"/>
        <w:rPr>
          <w:rFonts w:ascii="Times New Roman" w:hAnsi="Times New Roman" w:eastAsia="宋体" w:cs="Times New Roman"/>
          <w:b/>
          <w:bCs/>
          <w:color w:val="auto"/>
        </w:rPr>
      </w:pPr>
      <w:r>
        <w:rPr>
          <w:rFonts w:hint="eastAsia" w:ascii="宋体" w:hAnsi="宋体" w:eastAsia="宋体" w:cs="宋体"/>
          <w:color w:val="auto"/>
          <w:szCs w:val="21"/>
        </w:rPr>
        <w:t>★</w:t>
      </w:r>
      <w:r>
        <w:rPr>
          <w:rFonts w:ascii="宋体" w:hAnsi="宋体" w:eastAsia="宋体" w:cs="宋体"/>
          <w:color w:val="auto"/>
          <w:szCs w:val="21"/>
        </w:rPr>
        <w:t>5</w:t>
      </w:r>
      <w:r>
        <w:rPr>
          <w:rFonts w:hint="eastAsia" w:ascii="宋体" w:hAnsi="宋体" w:eastAsia="宋体" w:cs="宋体"/>
          <w:color w:val="auto"/>
          <w:szCs w:val="21"/>
        </w:rPr>
        <w:t>、</w:t>
      </w:r>
      <w:r>
        <w:rPr>
          <w:rFonts w:hint="eastAsia" w:ascii="Times New Roman" w:hAnsi="Times New Roman" w:eastAsia="宋体" w:cs="Times New Roman"/>
          <w:color w:val="auto"/>
          <w:szCs w:val="21"/>
        </w:rPr>
        <w:t>支持虚拟机卡死及蓝屏的检测功能并实现自动重启，无需人工干预减少运维工作量</w:t>
      </w:r>
      <w:r>
        <w:rPr>
          <w:rFonts w:hint="eastAsia" w:ascii="Times New Roman" w:hAnsi="Times New Roman" w:eastAsia="宋体" w:cs="Times New Roman"/>
          <w:b/>
          <w:bCs/>
          <w:color w:val="auto"/>
          <w:szCs w:val="21"/>
        </w:rPr>
        <w:t>（需提供产品功能截图，并加盖投标人公章）</w:t>
      </w:r>
    </w:p>
    <w:p w14:paraId="4FAA040B">
      <w:pPr>
        <w:widowControl/>
        <w:spacing w:line="360" w:lineRule="atLeast"/>
        <w:jc w:val="left"/>
        <w:rPr>
          <w:rFonts w:ascii="宋体" w:hAnsi="宋体" w:eastAsia="宋体" w:cs="宋体"/>
          <w:b/>
          <w:color w:val="auto"/>
          <w:szCs w:val="21"/>
        </w:rPr>
      </w:pPr>
      <w:r>
        <w:rPr>
          <w:rFonts w:hint="eastAsia" w:ascii="Times New Roman" w:hAnsi="Times New Roman" w:eastAsia="宋体" w:cs="Times New Roman"/>
          <w:color w:val="auto"/>
        </w:rPr>
        <w:t>6、为了更好的保护数据，需要支持设置定期自动备份，支持用户灵活配置备份策略，备份文件保留时间最高可以达到15年；</w:t>
      </w:r>
    </w:p>
    <w:p w14:paraId="7A8317F7">
      <w:pPr>
        <w:widowControl/>
        <w:spacing w:line="360" w:lineRule="atLeast"/>
        <w:jc w:val="left"/>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7</w:t>
      </w:r>
      <w:r>
        <w:rPr>
          <w:rFonts w:hint="eastAsia" w:ascii="宋体" w:hAnsi="宋体" w:eastAsia="宋体" w:cs="宋体"/>
          <w:color w:val="auto"/>
          <w:szCs w:val="21"/>
        </w:rPr>
        <w:t>、每个虚拟机都可以安装独立的操作系统，为获得良好的兼容性操作系统支持需要包括Windows、 Linux，并且支持国产操作系统包括：红旗linux、中标麒麟、中标普华等</w:t>
      </w:r>
      <w:r>
        <w:rPr>
          <w:rFonts w:hint="eastAsia" w:ascii="宋体" w:hAnsi="宋体" w:eastAsia="宋体" w:cs="宋体"/>
          <w:b/>
          <w:color w:val="auto"/>
          <w:szCs w:val="21"/>
        </w:rPr>
        <w:t>（需提供产品功能截图，并加盖投标人公章）</w:t>
      </w:r>
      <w:r>
        <w:rPr>
          <w:rFonts w:hint="eastAsia" w:ascii="宋体" w:hAnsi="宋体" w:eastAsia="宋体" w:cs="宋体"/>
          <w:color w:val="auto"/>
          <w:szCs w:val="21"/>
        </w:rPr>
        <w:t>；</w:t>
      </w:r>
    </w:p>
    <w:p w14:paraId="3BE329BD">
      <w:pPr>
        <w:widowControl/>
        <w:spacing w:line="360" w:lineRule="atLeast"/>
        <w:jc w:val="left"/>
        <w:rPr>
          <w:rFonts w:ascii="宋体" w:hAnsi="宋体" w:eastAsia="宋体" w:cs="宋体"/>
          <w:color w:val="auto"/>
          <w:szCs w:val="21"/>
        </w:rPr>
      </w:pPr>
      <w:r>
        <w:rPr>
          <w:rFonts w:ascii="宋体" w:hAnsi="宋体" w:eastAsia="宋体" w:cs="宋体"/>
          <w:color w:val="auto"/>
          <w:szCs w:val="21"/>
        </w:rPr>
        <w:t>8</w:t>
      </w:r>
      <w:r>
        <w:rPr>
          <w:rFonts w:hint="eastAsia" w:ascii="Times New Roman" w:hAnsi="Times New Roman" w:eastAsia="宋体" w:cs="Times New Roman"/>
          <w:color w:val="auto"/>
        </w:rPr>
        <w:t>、</w:t>
      </w:r>
      <w:r>
        <w:rPr>
          <w:rFonts w:hint="eastAsia" w:ascii="宋体" w:hAnsi="宋体" w:eastAsia="宋体" w:cs="宋体"/>
          <w:color w:val="auto"/>
          <w:szCs w:val="21"/>
        </w:rPr>
        <w:t>具有合理的内存调度机制，支持内存回收机制，实现虚拟化平台内存资源的动态复用，并支持手动设置内存超配机制，能够实现内存的过量使用，保证内存资源的充分利用；</w:t>
      </w:r>
    </w:p>
    <w:p w14:paraId="30C278A2">
      <w:pPr>
        <w:widowControl/>
        <w:spacing w:line="360" w:lineRule="atLeast"/>
        <w:jc w:val="left"/>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9</w:t>
      </w:r>
      <w:r>
        <w:rPr>
          <w:rFonts w:hint="eastAsia" w:ascii="宋体" w:hAnsi="宋体" w:eastAsia="宋体" w:cs="宋体"/>
          <w:color w:val="auto"/>
          <w:szCs w:val="21"/>
        </w:rPr>
        <w:t>、支持一键还原已删除的虚拟机，可恢复至少</w:t>
      </w:r>
      <w:r>
        <w:rPr>
          <w:rFonts w:ascii="宋体" w:hAnsi="宋体" w:eastAsia="宋体" w:cs="宋体"/>
          <w:color w:val="auto"/>
          <w:szCs w:val="21"/>
        </w:rPr>
        <w:t>25</w:t>
      </w:r>
      <w:r>
        <w:rPr>
          <w:rFonts w:hint="eastAsia" w:ascii="宋体" w:hAnsi="宋体" w:eastAsia="宋体" w:cs="宋体"/>
          <w:color w:val="auto"/>
          <w:szCs w:val="21"/>
        </w:rPr>
        <w:t>天内已删除的虚拟机</w:t>
      </w:r>
      <w:r>
        <w:rPr>
          <w:rFonts w:hint="eastAsia" w:ascii="宋体" w:hAnsi="宋体" w:eastAsia="宋体" w:cs="宋体"/>
          <w:b/>
          <w:color w:val="auto"/>
          <w:szCs w:val="21"/>
        </w:rPr>
        <w:t>（需提供产品功能截图，并加盖投标人公章）</w:t>
      </w:r>
      <w:r>
        <w:rPr>
          <w:rFonts w:hint="eastAsia" w:ascii="宋体" w:hAnsi="宋体" w:eastAsia="宋体" w:cs="宋体"/>
          <w:b/>
          <w:bCs/>
          <w:color w:val="auto"/>
          <w:szCs w:val="21"/>
        </w:rPr>
        <w:t>；</w:t>
      </w:r>
    </w:p>
    <w:p w14:paraId="7771257B">
      <w:pPr>
        <w:widowControl/>
        <w:spacing w:line="360" w:lineRule="atLeast"/>
        <w:jc w:val="left"/>
        <w:rPr>
          <w:rFonts w:ascii="宋体" w:hAnsi="宋体" w:eastAsia="宋体" w:cs="宋体"/>
          <w:color w:val="auto"/>
          <w:szCs w:val="21"/>
        </w:rPr>
      </w:pPr>
      <w:r>
        <w:rPr>
          <w:rFonts w:ascii="宋体" w:hAnsi="宋体" w:eastAsia="宋体" w:cs="宋体"/>
          <w:color w:val="auto"/>
          <w:szCs w:val="21"/>
        </w:rPr>
        <w:t>10</w:t>
      </w:r>
      <w:r>
        <w:rPr>
          <w:rFonts w:hint="eastAsia" w:ascii="宋体" w:hAnsi="宋体" w:eastAsia="宋体" w:cs="宋体"/>
          <w:color w:val="auto"/>
          <w:szCs w:val="21"/>
        </w:rPr>
        <w:t>、为尽可能保障数据中心断电场景下的业务，支持UPS联动，并在市电断电通过UPS临时供应电量，当UPS电量过低时，按照虚拟机优先级先将不重要的虚拟机进行软关机；</w:t>
      </w:r>
    </w:p>
    <w:p w14:paraId="27801AE3">
      <w:pPr>
        <w:widowControl/>
        <w:spacing w:line="360" w:lineRule="atLeast"/>
        <w:jc w:val="left"/>
        <w:rPr>
          <w:rFonts w:ascii="宋体" w:hAnsi="宋体" w:eastAsia="宋体" w:cs="宋体"/>
          <w:color w:val="auto"/>
          <w:szCs w:val="21"/>
        </w:rPr>
      </w:pPr>
      <w:r>
        <w:rPr>
          <w:rFonts w:ascii="宋体" w:hAnsi="宋体" w:eastAsia="宋体" w:cs="宋体"/>
          <w:color w:val="auto"/>
          <w:szCs w:val="21"/>
        </w:rPr>
        <w:t>11</w:t>
      </w:r>
      <w:r>
        <w:rPr>
          <w:rFonts w:hint="eastAsia" w:ascii="宋体" w:hAnsi="宋体" w:eastAsia="宋体" w:cs="宋体"/>
          <w:color w:val="auto"/>
          <w:szCs w:val="21"/>
        </w:rPr>
        <w:t>、支持在线的带存储的虚拟机迁移功能，可以在不停机状态下和非共享存储的环境中，实现虚拟机在集群内的不同物理机和上迁移，保障业务连续性；</w:t>
      </w:r>
    </w:p>
    <w:p w14:paraId="71FD13FC">
      <w:pPr>
        <w:widowControl/>
        <w:spacing w:line="360" w:lineRule="atLeast"/>
        <w:jc w:val="left"/>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2</w:t>
      </w:r>
      <w:r>
        <w:rPr>
          <w:rFonts w:hint="eastAsia" w:ascii="宋体" w:hAnsi="宋体" w:eastAsia="宋体" w:cs="宋体"/>
          <w:color w:val="auto"/>
          <w:szCs w:val="21"/>
        </w:rPr>
        <w:t>、支持在管理界面提供基础的命令行功能，通过命令行可以进行基础的排障操作，简化用户运维操作；</w:t>
      </w:r>
    </w:p>
    <w:p w14:paraId="745A1E4B">
      <w:pPr>
        <w:widowControl/>
        <w:spacing w:line="360" w:lineRule="atLeast"/>
        <w:jc w:val="left"/>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3</w:t>
      </w:r>
      <w:r>
        <w:rPr>
          <w:rFonts w:hint="eastAsia" w:ascii="宋体" w:hAnsi="宋体" w:eastAsia="宋体" w:cs="宋体"/>
          <w:color w:val="auto"/>
          <w:szCs w:val="21"/>
        </w:rPr>
        <w:t>、支持无代理跨物理主机的虚拟机USB映射，需要使用USB KEY时，无需在虚拟机上安装客户端插件，且虚拟机迁移到其它物理主机后，仍能正常使用迁移前所在物理主机上的USB资源，对于业务的自适应能力、使用便捷性更佳</w:t>
      </w:r>
      <w:r>
        <w:rPr>
          <w:rFonts w:hint="eastAsia" w:ascii="宋体" w:hAnsi="宋体" w:eastAsia="宋体" w:cs="宋体"/>
          <w:b/>
          <w:color w:val="auto"/>
          <w:szCs w:val="21"/>
        </w:rPr>
        <w:t>（需提供产品功能截图，并加盖投标人公章）</w:t>
      </w:r>
      <w:r>
        <w:rPr>
          <w:rFonts w:hint="eastAsia" w:ascii="宋体" w:hAnsi="宋体" w:eastAsia="宋体" w:cs="宋体"/>
          <w:b/>
          <w:bCs/>
          <w:color w:val="auto"/>
          <w:szCs w:val="21"/>
        </w:rPr>
        <w:t>；</w:t>
      </w:r>
    </w:p>
    <w:p w14:paraId="5BB31778">
      <w:pPr>
        <w:widowControl/>
        <w:spacing w:line="360" w:lineRule="atLeast"/>
        <w:jc w:val="left"/>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14</w:t>
      </w:r>
      <w:r>
        <w:rPr>
          <w:rFonts w:hint="eastAsia" w:ascii="宋体" w:hAnsi="宋体" w:eastAsia="宋体" w:cs="宋体"/>
          <w:color w:val="auto"/>
          <w:szCs w:val="21"/>
        </w:rPr>
        <w:t>、支持纳管第三方主流虚拟化平台，提供对Vmware平台上的虚拟机进行管理；</w:t>
      </w:r>
      <w:r>
        <w:rPr>
          <w:rFonts w:hint="eastAsia" w:ascii="宋体" w:hAnsi="宋体" w:eastAsia="宋体" w:cs="宋体"/>
          <w:b/>
          <w:color w:val="auto"/>
          <w:szCs w:val="21"/>
        </w:rPr>
        <w:t>（需提供产品功能截图，并加盖投标人公章）</w:t>
      </w:r>
    </w:p>
    <w:p w14:paraId="23656DEE">
      <w:pPr>
        <w:widowControl/>
        <w:spacing w:line="360" w:lineRule="atLeast"/>
        <w:jc w:val="left"/>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bidi="ar"/>
        </w:rPr>
        <w:t>1</w:t>
      </w:r>
      <w:r>
        <w:rPr>
          <w:rFonts w:ascii="宋体" w:hAnsi="宋体" w:eastAsia="宋体" w:cs="宋体"/>
          <w:color w:val="auto"/>
          <w:szCs w:val="21"/>
          <w:lang w:bidi="ar"/>
        </w:rPr>
        <w:t>5</w:t>
      </w:r>
      <w:r>
        <w:rPr>
          <w:rFonts w:hint="eastAsia" w:ascii="宋体" w:hAnsi="宋体" w:eastAsia="宋体" w:cs="宋体"/>
          <w:color w:val="auto"/>
          <w:szCs w:val="21"/>
          <w:lang w:bidi="ar"/>
        </w:rPr>
        <w:t>、支</w:t>
      </w:r>
      <w:r>
        <w:rPr>
          <w:rFonts w:hint="eastAsia" w:ascii="宋体" w:hAnsi="宋体" w:eastAsia="宋体" w:cs="宋体"/>
          <w:color w:val="auto"/>
          <w:szCs w:val="21"/>
        </w:rPr>
        <w:t>持双向迁移，可将VMware虚拟机在运行状态下迁移到超融合平台上，也可将超融合平台上的虚拟机在运行状态下迁移到VMware vCenter的集群中；</w:t>
      </w:r>
      <w:r>
        <w:rPr>
          <w:rFonts w:hint="eastAsia" w:ascii="宋体" w:hAnsi="宋体" w:eastAsia="宋体" w:cs="宋体"/>
          <w:b/>
          <w:color w:val="auto"/>
          <w:szCs w:val="21"/>
        </w:rPr>
        <w:t>（需提供产品功能截图，并加盖投标人公章）</w:t>
      </w:r>
      <w:r>
        <w:rPr>
          <w:rFonts w:ascii="宋体" w:hAnsi="宋体" w:eastAsia="宋体" w:cs="宋体"/>
          <w:color w:val="auto"/>
          <w:szCs w:val="21"/>
        </w:rPr>
        <w:t xml:space="preserve"> </w:t>
      </w:r>
    </w:p>
    <w:p w14:paraId="50FF63BA">
      <w:pPr>
        <w:widowControl/>
        <w:jc w:val="left"/>
        <w:textAlignment w:val="center"/>
        <w:rPr>
          <w:rFonts w:ascii="宋体" w:hAnsi="宋体" w:eastAsia="宋体" w:cs="宋体"/>
          <w:b/>
          <w:bCs/>
          <w:color w:val="auto"/>
          <w:szCs w:val="21"/>
        </w:rPr>
      </w:pPr>
      <w:r>
        <w:rPr>
          <w:rFonts w:hint="eastAsia" w:ascii="宋体" w:hAnsi="宋体" w:eastAsia="宋体" w:cs="宋体"/>
          <w:color w:val="auto"/>
          <w:szCs w:val="21"/>
        </w:rPr>
        <w:t>★1</w:t>
      </w:r>
      <w:r>
        <w:rPr>
          <w:rFonts w:ascii="宋体" w:hAnsi="宋体" w:eastAsia="宋体" w:cs="宋体"/>
          <w:color w:val="auto"/>
          <w:szCs w:val="21"/>
        </w:rPr>
        <w:t>6</w:t>
      </w:r>
      <w:r>
        <w:rPr>
          <w:rFonts w:hint="eastAsia" w:ascii="宋体" w:hAnsi="宋体" w:eastAsia="宋体" w:cs="宋体"/>
          <w:color w:val="auto"/>
          <w:szCs w:val="21"/>
        </w:rPr>
        <w:t>、支持平台中的集群资源环境一键检测，对硬件健康、平台底层的虚拟化的运行状态和配置，进行多个维度进行检查，提供快速定位问题功能，确保系统最佳状态</w:t>
      </w:r>
      <w:r>
        <w:rPr>
          <w:rFonts w:hint="eastAsia" w:ascii="宋体" w:hAnsi="宋体" w:eastAsia="宋体" w:cs="宋体"/>
          <w:b/>
          <w:color w:val="auto"/>
          <w:szCs w:val="21"/>
        </w:rPr>
        <w:t>（需提供产品功能截图，并加盖投标人公章）</w:t>
      </w:r>
      <w:r>
        <w:rPr>
          <w:rFonts w:hint="eastAsia" w:ascii="宋体" w:hAnsi="宋体" w:eastAsia="宋体" w:cs="宋体"/>
          <w:b/>
          <w:bCs/>
          <w:color w:val="auto"/>
          <w:szCs w:val="21"/>
        </w:rPr>
        <w:t>；</w:t>
      </w:r>
    </w:p>
    <w:p w14:paraId="61174D15">
      <w:pPr>
        <w:pStyle w:val="9"/>
      </w:pPr>
      <w:r>
        <w:rPr>
          <w:rFonts w:hint="eastAsia" w:ascii="宋体" w:hAnsi="宋体" w:eastAsia="宋体" w:cs="新宋体"/>
          <w:color w:val="auto"/>
          <w:kern w:val="0"/>
          <w:szCs w:val="21"/>
          <w:lang w:bidi="ar"/>
        </w:rPr>
        <w:t>1</w:t>
      </w:r>
      <w:r>
        <w:rPr>
          <w:rFonts w:ascii="宋体" w:hAnsi="宋体" w:eastAsia="宋体" w:cs="新宋体"/>
          <w:color w:val="auto"/>
          <w:kern w:val="0"/>
          <w:szCs w:val="21"/>
          <w:lang w:bidi="ar"/>
        </w:rPr>
        <w:t>7</w:t>
      </w:r>
      <w:r>
        <w:rPr>
          <w:rFonts w:hint="eastAsia" w:ascii="宋体" w:hAnsi="宋体" w:eastAsia="宋体" w:cs="新宋体"/>
          <w:color w:val="auto"/>
          <w:kern w:val="0"/>
          <w:szCs w:val="21"/>
          <w:lang w:bidi="ar"/>
        </w:rPr>
        <w:t>、为了保证平台的兼容性和稳定性，要求与“超融合一体机”、 “计算服务器虚拟化软件”、 “网络虚拟化软件”、为同一品牌。</w:t>
      </w:r>
    </w:p>
  </w:comment>
  <w:comment w:id="3" w:author="我们仍未知道那天所看见花的名字。" w:date="2021-10-08T15:17:19Z" w:initials="">
    <w:p w14:paraId="73945077">
      <w:pPr>
        <w:rPr>
          <w:rFonts w:ascii="宋体" w:hAnsi="宋体"/>
          <w:b/>
          <w:bCs/>
          <w:color w:val="auto"/>
          <w:kern w:val="0"/>
          <w:szCs w:val="21"/>
        </w:rPr>
      </w:pPr>
      <w:r>
        <w:rPr>
          <w:rFonts w:hint="eastAsia" w:ascii="宋体" w:hAnsi="宋体"/>
          <w:color w:val="auto"/>
          <w:kern w:val="0"/>
          <w:szCs w:val="21"/>
        </w:rPr>
        <w:t>★1、支持存储虚拟化功能，无需安装额外的软件，在一个统一的管理平台上使用License激活的方式即可开通使用，本次授权虚拟存储容量5PB或者按照服务器CPU颗数授权，存储虚拟化与计算虚拟化通过统一平台进行管理，减少底层开销，提升性能；</w:t>
      </w:r>
      <w:r>
        <w:rPr>
          <w:rFonts w:hint="eastAsia" w:ascii="宋体" w:hAnsi="宋体"/>
          <w:b/>
          <w:bCs/>
          <w:color w:val="auto"/>
          <w:kern w:val="0"/>
          <w:szCs w:val="21"/>
        </w:rPr>
        <w:t>（需提供产品功能截图，并加盖投标人公章）</w:t>
      </w:r>
    </w:p>
    <w:p w14:paraId="7B641C32">
      <w:pPr>
        <w:rPr>
          <w:rFonts w:ascii="宋体" w:hAnsi="宋体"/>
          <w:color w:val="auto"/>
          <w:kern w:val="0"/>
          <w:szCs w:val="21"/>
        </w:rPr>
      </w:pPr>
      <w:r>
        <w:rPr>
          <w:rFonts w:hint="eastAsia" w:ascii="宋体" w:hAnsi="宋体"/>
          <w:color w:val="auto"/>
          <w:kern w:val="0"/>
          <w:szCs w:val="21"/>
        </w:rPr>
        <w:t>2、采用分布式架构设计，支持为虚拟磁盘配置不同的存储策略以满足特定场景的需求, 如系统盘和数据盘选择高性能策略, 备份盘选择低性能策略；·</w:t>
      </w:r>
    </w:p>
    <w:p w14:paraId="14B365DE">
      <w:pPr>
        <w:rPr>
          <w:rFonts w:ascii="宋体" w:hAnsi="宋体"/>
          <w:color w:val="auto"/>
          <w:kern w:val="0"/>
          <w:szCs w:val="21"/>
        </w:rPr>
      </w:pPr>
      <w:r>
        <w:rPr>
          <w:rFonts w:hint="eastAsia" w:ascii="宋体" w:hAnsi="宋体"/>
          <w:color w:val="auto"/>
          <w:kern w:val="0"/>
          <w:szCs w:val="21"/>
        </w:rPr>
        <w:t>★3、支持存储分卷功能，以物理主机为单位划分为不同的存储卷，如高性能卷，大容量卷，全闪存卷等，可使对存储性能和容量要求不同的业务运行在不同的存储卷上；</w:t>
      </w:r>
      <w:r>
        <w:rPr>
          <w:rFonts w:hint="eastAsia" w:ascii="宋体" w:hAnsi="宋体"/>
          <w:b/>
          <w:bCs/>
          <w:color w:val="auto"/>
          <w:kern w:val="0"/>
          <w:szCs w:val="21"/>
        </w:rPr>
        <w:t>（需提供产品功能截图，并加盖投标人公章）</w:t>
      </w:r>
    </w:p>
    <w:p w14:paraId="7E276A19">
      <w:pPr>
        <w:rPr>
          <w:rFonts w:ascii="宋体" w:hAnsi="宋体"/>
          <w:color w:val="auto"/>
          <w:kern w:val="0"/>
          <w:szCs w:val="21"/>
        </w:rPr>
      </w:pPr>
      <w:r>
        <w:rPr>
          <w:rFonts w:hint="eastAsia" w:ascii="宋体" w:hAnsi="宋体"/>
          <w:color w:val="auto"/>
          <w:kern w:val="0"/>
          <w:szCs w:val="21"/>
        </w:rPr>
        <w:t>4、虚拟存储集群支持iSCSI接口的访问，允许外部物理主机通过标准的iSCSI接口访问虚拟存储，实现Server SAN和IP SAN的融合，能够使存储资源的利用率发挥到最大价值；</w:t>
      </w:r>
    </w:p>
    <w:p w14:paraId="54AA1770">
      <w:pPr>
        <w:rPr>
          <w:rFonts w:ascii="宋体" w:hAnsi="宋体"/>
          <w:color w:val="auto"/>
          <w:kern w:val="0"/>
          <w:szCs w:val="21"/>
        </w:rPr>
      </w:pPr>
      <w:r>
        <w:rPr>
          <w:rFonts w:hint="eastAsia" w:ascii="宋体" w:hAnsi="宋体"/>
          <w:color w:val="auto"/>
          <w:kern w:val="0"/>
          <w:szCs w:val="21"/>
        </w:rPr>
        <w:t>5、支持多副本冗余功能，支持2个或以上副本，副本互斥地保存在集群的不同节点，单个主机或者磁盘故障，确保数据依旧正常访问，支持定时备份策略；</w:t>
      </w:r>
    </w:p>
    <w:p w14:paraId="6EC4256C">
      <w:pPr>
        <w:rPr>
          <w:rFonts w:ascii="宋体" w:hAnsi="宋体"/>
          <w:b/>
          <w:bCs/>
          <w:color w:val="auto"/>
          <w:kern w:val="0"/>
          <w:szCs w:val="21"/>
        </w:rPr>
      </w:pPr>
      <w:bookmarkStart w:id="60" w:name="_Hlk34141718"/>
      <w:r>
        <w:rPr>
          <w:rFonts w:hint="eastAsia" w:ascii="宋体" w:hAnsi="宋体"/>
          <w:color w:val="auto"/>
          <w:szCs w:val="21"/>
        </w:rPr>
        <w:t>★</w:t>
      </w:r>
      <w:r>
        <w:rPr>
          <w:rFonts w:hint="eastAsia" w:ascii="宋体" w:hAnsi="宋体"/>
          <w:color w:val="auto"/>
          <w:kern w:val="0"/>
          <w:szCs w:val="21"/>
        </w:rPr>
        <w:t>6、支持数据自动重建机制，当主机或者磁盘故障后，自动利用集群内空闲磁盘空间，将故障数据重新恢复，重建速度最高可达30min/TB，快速恢复副本的完整性和冗余度，确保用户数据的可靠性和安全性</w:t>
      </w:r>
      <w:r>
        <w:rPr>
          <w:rFonts w:hint="eastAsia" w:ascii="宋体" w:hAnsi="宋体"/>
          <w:b/>
          <w:bCs/>
          <w:color w:val="auto"/>
          <w:kern w:val="0"/>
          <w:szCs w:val="21"/>
        </w:rPr>
        <w:t>（需提供产品功能截图，并加盖投标人公章）</w:t>
      </w:r>
    </w:p>
    <w:bookmarkEnd w:id="60"/>
    <w:p w14:paraId="5B9B2112">
      <w:pPr>
        <w:rPr>
          <w:rFonts w:ascii="宋体" w:hAnsi="宋体"/>
          <w:b/>
          <w:bCs/>
          <w:color w:val="auto"/>
          <w:kern w:val="0"/>
          <w:szCs w:val="21"/>
        </w:rPr>
      </w:pPr>
      <w:r>
        <w:rPr>
          <w:rFonts w:hint="eastAsia" w:ascii="宋体" w:hAnsi="宋体"/>
          <w:color w:val="auto"/>
          <w:kern w:val="0"/>
          <w:szCs w:val="21"/>
        </w:rPr>
        <w:t>7、在可视化的WEB管理平台上，可以查看虚拟分布式存储对应的容量大小、容量使用率、实时的IOPS读写次数、IOPS读写数据量等信息，方便为IT管理做为有效的决策依据；</w:t>
      </w:r>
    </w:p>
    <w:p w14:paraId="6B0B0257">
      <w:pPr>
        <w:rPr>
          <w:rFonts w:ascii="宋体" w:hAnsi="宋体"/>
          <w:color w:val="auto"/>
          <w:kern w:val="0"/>
          <w:szCs w:val="21"/>
        </w:rPr>
      </w:pPr>
      <w:r>
        <w:rPr>
          <w:rFonts w:hint="eastAsia" w:ascii="宋体" w:hAnsi="宋体"/>
          <w:color w:val="auto"/>
          <w:kern w:val="0"/>
          <w:szCs w:val="21"/>
        </w:rPr>
        <w:t>8、支持智能预测硬盘寿命，并预估硬盘剩余可使用时间，进行实时预警，提醒用户在寿命到期之前可实现在对业务无影响的情况下安全更换硬盘；</w:t>
      </w:r>
    </w:p>
    <w:p w14:paraId="0F7E3A60">
      <w:pPr>
        <w:rPr>
          <w:rFonts w:ascii="宋体" w:hAnsi="宋体"/>
          <w:b/>
          <w:bCs/>
          <w:color w:val="auto"/>
          <w:kern w:val="0"/>
          <w:szCs w:val="21"/>
        </w:rPr>
      </w:pPr>
      <w:r>
        <w:rPr>
          <w:rFonts w:hint="eastAsia" w:ascii="宋体" w:hAnsi="宋体"/>
          <w:color w:val="auto"/>
          <w:kern w:val="0"/>
          <w:szCs w:val="21"/>
        </w:rPr>
        <w:t>★9、支持条带化功能，实现性能提升效果，并且支持以虚拟磁盘为单位设置不同的条带数；</w:t>
      </w:r>
      <w:r>
        <w:rPr>
          <w:rFonts w:hint="eastAsia" w:ascii="宋体" w:hAnsi="宋体"/>
          <w:b/>
          <w:bCs/>
          <w:color w:val="auto"/>
          <w:kern w:val="0"/>
          <w:szCs w:val="21"/>
        </w:rPr>
        <w:t>（需提供产品功能截图，并加盖投标人公章）</w:t>
      </w:r>
    </w:p>
    <w:p w14:paraId="2F60687E">
      <w:pPr>
        <w:rPr>
          <w:rFonts w:ascii="宋体" w:hAnsi="宋体"/>
          <w:b/>
          <w:bCs/>
          <w:color w:val="auto"/>
          <w:kern w:val="0"/>
          <w:szCs w:val="21"/>
        </w:rPr>
      </w:pPr>
      <w:r>
        <w:rPr>
          <w:rFonts w:hint="eastAsia" w:ascii="宋体" w:hAnsi="宋体"/>
          <w:color w:val="auto"/>
          <w:kern w:val="0"/>
          <w:szCs w:val="21"/>
        </w:rPr>
        <w:t>★1</w:t>
      </w:r>
      <w:r>
        <w:rPr>
          <w:rFonts w:ascii="宋体" w:hAnsi="宋体"/>
          <w:color w:val="auto"/>
          <w:kern w:val="0"/>
          <w:szCs w:val="21"/>
        </w:rPr>
        <w:t>0</w:t>
      </w:r>
      <w:r>
        <w:rPr>
          <w:rFonts w:hint="eastAsia" w:ascii="宋体" w:hAnsi="宋体"/>
          <w:color w:val="auto"/>
          <w:kern w:val="0"/>
          <w:szCs w:val="21"/>
        </w:rPr>
        <w:t>、支持数据重建智能保护业务性能，可以对数据重建速度进行智能限速，避免数据重建过程中IO性能占用导致对业务的性能造成影响；</w:t>
      </w:r>
      <w:r>
        <w:rPr>
          <w:rFonts w:hint="eastAsia" w:ascii="宋体" w:hAnsi="宋体"/>
          <w:b/>
          <w:bCs/>
          <w:color w:val="auto"/>
          <w:kern w:val="0"/>
          <w:szCs w:val="21"/>
        </w:rPr>
        <w:t>（需提供产品功能截图，并加盖投标人公章）</w:t>
      </w:r>
    </w:p>
    <w:p w14:paraId="6B691445">
      <w:pPr>
        <w:rPr>
          <w:rFonts w:ascii="宋体" w:hAnsi="宋体"/>
          <w:color w:val="auto"/>
          <w:szCs w:val="21"/>
        </w:rPr>
      </w:pPr>
      <w:r>
        <w:rPr>
          <w:rFonts w:hint="eastAsia" w:ascii="宋体" w:hAnsi="宋体"/>
          <w:color w:val="auto"/>
          <w:szCs w:val="21"/>
        </w:rPr>
        <w:t>11、为了便于部署关键业务系统，虚拟存储可支持Oracle RAC，支持共享盘，及共享块设备，支持向导式安装，降低部署复杂度；</w:t>
      </w:r>
    </w:p>
    <w:p w14:paraId="48197D34">
      <w:pPr>
        <w:pStyle w:val="9"/>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、支持坏道修复功能，发现坏道后，主动修复坏道区域的数据，及时恢复数据副本的冗余性；当硬盘的坏道数过多，系统能自动将该盘的数据迁移至其他健康的硬盘上，保障数据的安全；</w:t>
      </w:r>
      <w:r>
        <w:rPr>
          <w:rFonts w:hint="eastAsia" w:ascii="新宋体" w:hAnsi="新宋体" w:eastAsia="新宋体" w:cs="新宋体"/>
          <w:color w:val="auto"/>
          <w:kern w:val="0"/>
          <w:szCs w:val="21"/>
          <w:lang w:bidi="ar"/>
        </w:rPr>
        <w:t>1</w:t>
      </w:r>
      <w:r>
        <w:rPr>
          <w:rFonts w:ascii="新宋体" w:hAnsi="新宋体" w:eastAsia="新宋体" w:cs="新宋体"/>
          <w:color w:val="auto"/>
          <w:kern w:val="0"/>
          <w:szCs w:val="21"/>
          <w:lang w:bidi="ar"/>
        </w:rPr>
        <w:t>3</w:t>
      </w:r>
      <w:r>
        <w:rPr>
          <w:rFonts w:hint="eastAsia" w:ascii="新宋体" w:hAnsi="新宋体" w:eastAsia="新宋体" w:cs="新宋体"/>
          <w:color w:val="auto"/>
          <w:kern w:val="0"/>
          <w:szCs w:val="21"/>
          <w:lang w:bidi="ar"/>
        </w:rPr>
        <w:t>、为了保证平台的兼容性和稳定性，要求与“超融合一体机”、 “计算服务器虚拟化软件”、 “网络虚拟化软件”、为同一品牌。</w:t>
      </w:r>
    </w:p>
  </w:comment>
  <w:comment w:id="4" w:author="我们仍未知道那天所看见花的名字。" w:date="2021-10-08T15:17:39Z" w:initials="">
    <w:p w14:paraId="5C0F54C8">
      <w:pPr>
        <w:rPr>
          <w:color w:val="auto"/>
        </w:rPr>
      </w:pPr>
      <w:r>
        <w:rPr>
          <w:rFonts w:hint="eastAsia"/>
          <w:color w:val="auto"/>
        </w:rPr>
        <w:t>1、</w:t>
      </w:r>
      <w:r>
        <w:rPr>
          <w:color w:val="auto"/>
        </w:rPr>
        <w:t xml:space="preserve">采用纯软件定义架构，通过标准的X86服务器与二层交换机即可搭建云平台，不绑定特定的硬件设备  </w:t>
      </w:r>
    </w:p>
    <w:p w14:paraId="72281DEE">
      <w:pPr>
        <w:rPr>
          <w:color w:val="auto"/>
        </w:rPr>
      </w:pPr>
      <w:r>
        <w:rPr>
          <w:color w:val="auto"/>
        </w:rPr>
        <w:t>2</w:t>
      </w:r>
      <w:r>
        <w:rPr>
          <w:rFonts w:hint="eastAsia"/>
          <w:color w:val="auto"/>
        </w:rPr>
        <w:t>、</w:t>
      </w:r>
      <w:r>
        <w:rPr>
          <w:color w:val="auto"/>
        </w:rPr>
        <w:t xml:space="preserve">云平台采用冗余架构设计，避免出现单点故障 </w:t>
      </w:r>
    </w:p>
    <w:p w14:paraId="45880529">
      <w:pPr>
        <w:rPr>
          <w:color w:val="auto"/>
        </w:rPr>
      </w:pPr>
      <w:r>
        <w:rPr>
          <w:color w:val="auto"/>
        </w:rPr>
        <w:t>3</w:t>
      </w:r>
      <w:r>
        <w:rPr>
          <w:rFonts w:hint="eastAsia"/>
          <w:color w:val="auto"/>
        </w:rPr>
        <w:t>、</w:t>
      </w:r>
      <w:r>
        <w:rPr>
          <w:color w:val="auto"/>
        </w:rPr>
        <w:t>支持主备切换，当主SCP发生故障时，能够切换到备SCP，保障云平台稳定运行</w:t>
      </w:r>
    </w:p>
    <w:p w14:paraId="6EFA5EF7">
      <w:pPr>
        <w:rPr>
          <w:color w:val="auto"/>
        </w:rPr>
      </w:pPr>
      <w:r>
        <w:rPr>
          <w:color w:val="auto"/>
        </w:rPr>
        <w:t>4</w:t>
      </w:r>
      <w:r>
        <w:rPr>
          <w:rFonts w:hint="eastAsia"/>
          <w:color w:val="auto"/>
        </w:rPr>
        <w:t>、</w:t>
      </w:r>
      <w:r>
        <w:rPr>
          <w:color w:val="auto"/>
        </w:rPr>
        <w:t>支持平台管理员查看整体资源使用情况，包括CPU、内存、磁盘、物理主机、云主机资源使用情况等</w:t>
      </w:r>
    </w:p>
    <w:p w14:paraId="1650262D">
      <w:pPr>
        <w:rPr>
          <w:color w:val="auto"/>
        </w:rPr>
      </w:pPr>
      <w:r>
        <w:rPr>
          <w:color w:val="auto"/>
        </w:rPr>
        <w:t>5</w:t>
      </w:r>
      <w:r>
        <w:rPr>
          <w:rFonts w:hint="eastAsia"/>
          <w:color w:val="auto"/>
        </w:rPr>
        <w:t>、</w:t>
      </w:r>
      <w:r>
        <w:rPr>
          <w:color w:val="auto"/>
        </w:rPr>
        <w:t>虚拟化内核基于KVM底层开发，可维护性好，部署时无需绑定安装OpenStack相关组件</w:t>
      </w:r>
    </w:p>
    <w:p w14:paraId="4F9F6265">
      <w:pPr>
        <w:rPr>
          <w:color w:val="auto"/>
        </w:rPr>
      </w:pPr>
      <w:r>
        <w:rPr>
          <w:color w:val="auto"/>
        </w:rPr>
        <w:t>6</w:t>
      </w:r>
      <w:r>
        <w:rPr>
          <w:rFonts w:hint="eastAsia"/>
          <w:color w:val="auto"/>
        </w:rPr>
        <w:t>、</w:t>
      </w:r>
      <w:r>
        <w:rPr>
          <w:color w:val="auto"/>
        </w:rPr>
        <w:t>支持定义多资源池、跨地域的多集群管理，支持不低于20000台云主机的管理规模</w:t>
      </w:r>
    </w:p>
    <w:p w14:paraId="0B915EB6">
      <w:pPr>
        <w:rPr>
          <w:color w:val="auto"/>
        </w:rPr>
      </w:pPr>
      <w:r>
        <w:rPr>
          <w:rFonts w:hint="eastAsia"/>
          <w:color w:val="auto"/>
        </w:rPr>
        <w:t>7、</w:t>
      </w:r>
      <w:r>
        <w:rPr>
          <w:color w:val="auto"/>
        </w:rPr>
        <w:t xml:space="preserve">提供包含正版授权的主流操作系统镜像服务，至少支持Windows、Centos、ubuntu操作系统及其不同版本 </w:t>
      </w:r>
    </w:p>
    <w:p w14:paraId="7B2A1B4B">
      <w:pPr>
        <w:rPr>
          <w:color w:val="auto"/>
        </w:rPr>
      </w:pPr>
      <w:r>
        <w:rPr>
          <w:rFonts w:hint="eastAsia"/>
          <w:color w:val="auto"/>
        </w:rPr>
        <w:t>8、</w:t>
      </w:r>
      <w:r>
        <w:rPr>
          <w:color w:val="auto"/>
        </w:rPr>
        <w:t>支持单台或批量创建虚拟机，可自定义云主机的规格性能，包括CPU、内存、磁盘、网卡等，云主机的规格包括1核1 GB、2核4 GB、4 核 8GB、8 核16GB、16核32GB、32核64GB等典型规格实例，可在512核1T范围内定义任意规格的云主机</w:t>
      </w:r>
    </w:p>
    <w:p w14:paraId="0AA57896">
      <w:pPr>
        <w:rPr>
          <w:color w:val="auto"/>
        </w:rPr>
      </w:pPr>
      <w:r>
        <w:rPr>
          <w:rFonts w:hint="eastAsia"/>
          <w:color w:val="auto"/>
        </w:rPr>
        <w:t>9、</w:t>
      </w:r>
      <w:r>
        <w:rPr>
          <w:color w:val="auto"/>
        </w:rPr>
        <w:t xml:space="preserve">支持为云主机配置不同存储性能的磁盘，使用ISO镜像创建的云主机，可自定义系统盘大小 </w:t>
      </w:r>
    </w:p>
    <w:p w14:paraId="745B5130">
      <w:pPr>
        <w:rPr>
          <w:color w:val="auto"/>
        </w:rPr>
      </w:pPr>
      <w:r>
        <w:rPr>
          <w:color w:val="auto"/>
        </w:rPr>
        <w:t>10</w:t>
      </w:r>
      <w:r>
        <w:rPr>
          <w:rFonts w:hint="eastAsia"/>
          <w:color w:val="auto"/>
        </w:rPr>
        <w:t>、</w:t>
      </w:r>
      <w:r>
        <w:rPr>
          <w:color w:val="auto"/>
        </w:rPr>
        <w:t>支持创建云主机时指定IP、主机密码、hostname，运行位置</w:t>
      </w:r>
    </w:p>
    <w:p w14:paraId="33D61FA5">
      <w:pPr>
        <w:rPr>
          <w:color w:val="auto"/>
        </w:rPr>
      </w:pPr>
      <w:r>
        <w:rPr>
          <w:color w:val="auto"/>
        </w:rPr>
        <w:t>11</w:t>
      </w:r>
      <w:r>
        <w:rPr>
          <w:rFonts w:hint="eastAsia"/>
          <w:color w:val="auto"/>
        </w:rPr>
        <w:t>、</w:t>
      </w:r>
      <w:r>
        <w:rPr>
          <w:color w:val="auto"/>
        </w:rPr>
        <w:t>支持创建云主机时设置使用时长，在云主机使用时长到期后可进行延期操作</w:t>
      </w:r>
    </w:p>
    <w:p w14:paraId="227B77C0">
      <w:pPr>
        <w:rPr>
          <w:color w:val="auto"/>
        </w:rPr>
      </w:pPr>
      <w:r>
        <w:rPr>
          <w:color w:val="auto"/>
        </w:rPr>
        <w:t>12</w:t>
      </w:r>
      <w:r>
        <w:rPr>
          <w:rFonts w:hint="eastAsia"/>
          <w:color w:val="auto"/>
        </w:rPr>
        <w:t>、</w:t>
      </w:r>
      <w:r>
        <w:rPr>
          <w:color w:val="auto"/>
        </w:rPr>
        <w:t>支持对云主机进行全生命周期的管理，包括开机、关机、重启、关闭电源、重启电源、克隆、批量克隆、创建快照、迁移、设置IP、密码设置、导出云主机、分配、回收、挂载光驱等操作</w:t>
      </w:r>
    </w:p>
    <w:p w14:paraId="12691712">
      <w:pPr>
        <w:rPr>
          <w:color w:val="auto"/>
        </w:rPr>
      </w:pPr>
      <w:r>
        <w:rPr>
          <w:rFonts w:hint="eastAsia"/>
          <w:color w:val="auto"/>
        </w:rPr>
        <w:t>1</w:t>
      </w:r>
      <w:r>
        <w:rPr>
          <w:color w:val="auto"/>
        </w:rPr>
        <w:t>3</w:t>
      </w:r>
      <w:r>
        <w:rPr>
          <w:rFonts w:hint="eastAsia"/>
          <w:color w:val="auto"/>
        </w:rPr>
        <w:t>、</w:t>
      </w:r>
      <w:r>
        <w:rPr>
          <w:color w:val="auto"/>
        </w:rPr>
        <w:t>支持HA功能，当物理主机发生故障时，该物理服务器上的虚拟机可自动迁移到集群内其他正常运行的物理主机上，保障业务连续性，可设置HA检测敏感度</w:t>
      </w:r>
    </w:p>
    <w:p w14:paraId="21882EC2">
      <w:pPr>
        <w:rPr>
          <w:color w:val="auto"/>
        </w:rPr>
      </w:pPr>
      <w:r>
        <w:rPr>
          <w:rFonts w:hint="eastAsia"/>
          <w:color w:val="auto"/>
        </w:rPr>
        <w:t>1</w:t>
      </w:r>
      <w:r>
        <w:rPr>
          <w:color w:val="auto"/>
        </w:rPr>
        <w:t>4</w:t>
      </w:r>
      <w:r>
        <w:rPr>
          <w:rFonts w:hint="eastAsia"/>
          <w:color w:val="auto"/>
        </w:rPr>
        <w:t>、</w:t>
      </w:r>
      <w:r>
        <w:rPr>
          <w:color w:val="auto"/>
        </w:rPr>
        <w:t>支持管理员自定义虚拟网络拓扑，以“所画即所得”的方式部署网络组件并进行网络配置</w:t>
      </w:r>
    </w:p>
    <w:p w14:paraId="0DDC58F6">
      <w:pPr>
        <w:rPr>
          <w:color w:val="auto"/>
        </w:rPr>
      </w:pPr>
      <w:r>
        <w:rPr>
          <w:color w:val="auto"/>
        </w:rPr>
        <w:t>15</w:t>
      </w:r>
      <w:r>
        <w:rPr>
          <w:rFonts w:hint="eastAsia"/>
          <w:color w:val="auto"/>
        </w:rPr>
        <w:t>、</w:t>
      </w:r>
      <w:r>
        <w:rPr>
          <w:color w:val="auto"/>
        </w:rPr>
        <w:t>支持分布式防火墙，基于对虚拟机IP地址和端口的监测进行东西向流量隔离控制，提供实现虚拟机之间的微隔离，为数据中心提供3-4层的防护，并能够展示拦截日志</w:t>
      </w:r>
      <w:r>
        <w:rPr>
          <w:rFonts w:hint="eastAsia"/>
          <w:color w:val="auto"/>
        </w:rPr>
        <w:t>，</w:t>
      </w:r>
      <w:r>
        <w:rPr>
          <w:color w:val="auto"/>
        </w:rPr>
        <w:t>支持“数据直通ByPass”功能，方便快速进行问题定位</w:t>
      </w:r>
    </w:p>
    <w:p w14:paraId="5D927E4A">
      <w:pPr>
        <w:rPr>
          <w:color w:val="auto"/>
        </w:rPr>
      </w:pPr>
      <w:r>
        <w:rPr>
          <w:rFonts w:hint="eastAsia"/>
          <w:color w:val="auto"/>
        </w:rPr>
        <w:t>1</w:t>
      </w:r>
      <w:r>
        <w:rPr>
          <w:color w:val="auto"/>
        </w:rPr>
        <w:t>6</w:t>
      </w:r>
      <w:r>
        <w:rPr>
          <w:rFonts w:hint="eastAsia"/>
          <w:color w:val="auto"/>
        </w:rPr>
        <w:t>、</w:t>
      </w:r>
      <w:r>
        <w:rPr>
          <w:color w:val="auto"/>
        </w:rPr>
        <w:t xml:space="preserve">支持以可视化的方式展示云平台可靠性，包括硬件可靠性、平台可靠性、业务可靠性三个层面，对CPU、内存、存储、多副本状态、数据重建状态等进行监控，对异常情况进行告警展示，方便平台管理员掌握云平台的整体情况 </w:t>
      </w:r>
    </w:p>
    <w:p w14:paraId="006B542F">
      <w:pPr>
        <w:rPr>
          <w:color w:val="auto"/>
        </w:rPr>
      </w:pPr>
      <w:r>
        <w:rPr>
          <w:rFonts w:hint="eastAsia"/>
          <w:color w:val="auto"/>
        </w:rPr>
        <w:t>1</w:t>
      </w:r>
      <w:r>
        <w:rPr>
          <w:color w:val="auto"/>
        </w:rPr>
        <w:t>7</w:t>
      </w:r>
      <w:r>
        <w:rPr>
          <w:rFonts w:hint="eastAsia"/>
          <w:color w:val="auto"/>
        </w:rPr>
        <w:t>、</w:t>
      </w:r>
      <w:r>
        <w:rPr>
          <w:rFonts w:hint="eastAsia" w:ascii="宋体" w:hAnsi="宋体"/>
          <w:color w:val="auto"/>
          <w:kern w:val="0"/>
          <w:szCs w:val="21"/>
        </w:rPr>
        <w:t>支持业务整体可靠性指标的集中展示，包括业务可靠性、平台可靠性和硬件可靠性，方便管理员能直观地掌握整个数据中心的可靠性状态；</w:t>
      </w:r>
      <w:r>
        <w:rPr>
          <w:color w:val="auto"/>
        </w:rPr>
        <w:t xml:space="preserve"> </w:t>
      </w:r>
    </w:p>
    <w:p w14:paraId="7D652330">
      <w:pPr>
        <w:rPr>
          <w:color w:val="auto"/>
        </w:rPr>
      </w:pPr>
      <w:r>
        <w:rPr>
          <w:color w:val="auto"/>
        </w:rPr>
        <w:t>18</w:t>
      </w:r>
      <w:r>
        <w:rPr>
          <w:rFonts w:hint="eastAsia"/>
          <w:color w:val="auto"/>
        </w:rPr>
        <w:t>、支持扩展容灾功能，提</w:t>
      </w:r>
      <w:r>
        <w:rPr>
          <w:color w:val="auto"/>
        </w:rPr>
        <w:t>供虚拟机级别的容灾保护，支持创建容灾策略，自定义本地备份和异地容灾方式，选择备份/容灾的频率，异地容灾RPO可达秒级</w:t>
      </w:r>
    </w:p>
    <w:p w14:paraId="16D93C6B">
      <w:pPr>
        <w:rPr>
          <w:color w:val="auto"/>
        </w:rPr>
      </w:pPr>
      <w:r>
        <w:rPr>
          <w:rFonts w:hint="eastAsia"/>
          <w:color w:val="auto"/>
        </w:rPr>
        <w:t>1</w:t>
      </w:r>
      <w:r>
        <w:rPr>
          <w:color w:val="auto"/>
        </w:rPr>
        <w:t>9</w:t>
      </w:r>
      <w:r>
        <w:rPr>
          <w:rFonts w:hint="eastAsia"/>
          <w:color w:val="auto"/>
        </w:rPr>
        <w:t>、支持扩展容灾功能，</w:t>
      </w:r>
      <w:r>
        <w:rPr>
          <w:color w:val="auto"/>
        </w:rPr>
        <w:t>提供容灾可靠性大屏，实时展示云主机容灾状态、主备站点状态、链路状态等</w:t>
      </w:r>
    </w:p>
    <w:p w14:paraId="60687FC0">
      <w:pPr>
        <w:rPr>
          <w:color w:val="auto"/>
        </w:rPr>
      </w:pPr>
      <w:r>
        <w:rPr>
          <w:color w:val="auto"/>
        </w:rPr>
        <w:t>20</w:t>
      </w:r>
      <w:r>
        <w:rPr>
          <w:rFonts w:hint="eastAsia"/>
          <w:color w:val="auto"/>
        </w:rPr>
        <w:t>、支持扩展容灾功能，</w:t>
      </w:r>
      <w:r>
        <w:rPr>
          <w:color w:val="auto"/>
        </w:rPr>
        <w:t>支持不影响业务系统的容灾演练，可通过容灾演练验证容灾系统的可靠性，并在演练结束后导出演练报表</w:t>
      </w:r>
    </w:p>
    <w:p w14:paraId="5D6C2083">
      <w:pPr>
        <w:rPr>
          <w:color w:val="auto"/>
        </w:rPr>
      </w:pPr>
      <w:r>
        <w:rPr>
          <w:color w:val="auto"/>
        </w:rPr>
        <w:t>21</w:t>
      </w:r>
      <w:r>
        <w:rPr>
          <w:rFonts w:hint="eastAsia"/>
          <w:color w:val="auto"/>
        </w:rPr>
        <w:t>、</w:t>
      </w:r>
      <w:r>
        <w:rPr>
          <w:color w:val="auto"/>
        </w:rPr>
        <w:t>支持硬件一键检测功能，可对CPU、内存、硬盘、网卡、raid卡、外置存储进行一键检测，显示风险项及解决建议</w:t>
      </w:r>
    </w:p>
    <w:p w14:paraId="33C504B3">
      <w:pPr>
        <w:rPr>
          <w:color w:val="auto"/>
        </w:rPr>
      </w:pPr>
      <w:r>
        <w:rPr>
          <w:rFonts w:hint="eastAsia"/>
          <w:color w:val="auto"/>
        </w:rPr>
        <w:t>2</w:t>
      </w:r>
      <w:r>
        <w:rPr>
          <w:color w:val="auto"/>
        </w:rPr>
        <w:t>2</w:t>
      </w:r>
      <w:r>
        <w:rPr>
          <w:rFonts w:hint="eastAsia"/>
          <w:color w:val="auto"/>
        </w:rPr>
        <w:t>、</w:t>
      </w:r>
      <w:r>
        <w:rPr>
          <w:color w:val="auto"/>
        </w:rPr>
        <w:t>支持对VMware集群的统一纳管，对VMware虚拟机进行新建、删除、开关机、远程登录控制台等操作</w:t>
      </w:r>
    </w:p>
    <w:p w14:paraId="1E3A3B0B">
      <w:pPr>
        <w:rPr>
          <w:color w:val="auto"/>
        </w:rPr>
      </w:pPr>
      <w:r>
        <w:rPr>
          <w:color w:val="auto"/>
        </w:rPr>
        <w:t xml:space="preserve">支持编辑VMware虚拟机的CPU、内存、磁盘、网络 </w:t>
      </w:r>
    </w:p>
    <w:p w14:paraId="62CA265F">
      <w:pPr>
        <w:rPr>
          <w:color w:val="auto"/>
        </w:rPr>
      </w:pPr>
      <w:r>
        <w:rPr>
          <w:rFonts w:hint="eastAsia"/>
          <w:color w:val="auto"/>
        </w:rPr>
        <w:t>2</w:t>
      </w:r>
      <w:r>
        <w:rPr>
          <w:color w:val="auto"/>
        </w:rPr>
        <w:t>3</w:t>
      </w:r>
      <w:r>
        <w:rPr>
          <w:rFonts w:hint="eastAsia"/>
          <w:color w:val="auto"/>
        </w:rPr>
        <w:t>、</w:t>
      </w:r>
      <w:r>
        <w:rPr>
          <w:color w:val="auto"/>
        </w:rPr>
        <w:t>支持VMware与云平台的双向迁移，可将VMware虚拟机在运行状态下迁移到云平台，也可将云平台上的VMware虚拟机在运行状态下迁移到VMware vCenter中</w:t>
      </w:r>
    </w:p>
    <w:p w14:paraId="74A33127">
      <w:pPr>
        <w:rPr>
          <w:color w:val="auto"/>
        </w:rPr>
      </w:pPr>
      <w:r>
        <w:rPr>
          <w:rFonts w:hint="eastAsia"/>
          <w:color w:val="auto"/>
        </w:rPr>
        <w:t>2</w:t>
      </w:r>
      <w:r>
        <w:rPr>
          <w:color w:val="auto"/>
        </w:rPr>
        <w:t>4</w:t>
      </w:r>
      <w:r>
        <w:rPr>
          <w:rFonts w:hint="eastAsia"/>
          <w:color w:val="auto"/>
        </w:rPr>
        <w:t>、</w:t>
      </w:r>
      <w:r>
        <w:rPr>
          <w:color w:val="auto"/>
        </w:rPr>
        <w:t>支持将删除的云主机、网络资源、备份文件放入回收站，保留30天，可对回收站中的数据进行还原、彻底删除操作，在彻底删除操作时可选择对数据进行擦除，满足等保要求</w:t>
      </w:r>
    </w:p>
    <w:p w14:paraId="6690322A">
      <w:pPr>
        <w:rPr>
          <w:color w:val="auto"/>
        </w:rPr>
      </w:pPr>
      <w:r>
        <w:rPr>
          <w:color w:val="auto"/>
        </w:rPr>
        <w:t>25</w:t>
      </w:r>
      <w:r>
        <w:rPr>
          <w:rFonts w:hint="eastAsia"/>
          <w:color w:val="auto"/>
        </w:rPr>
        <w:t>、</w:t>
      </w:r>
      <w:r>
        <w:rPr>
          <w:color w:val="auto"/>
        </w:rPr>
        <w:t xml:space="preserve">提供标准的OpenStack API，满足集成或者二次开发的需求 </w:t>
      </w:r>
    </w:p>
    <w:p w14:paraId="3A1F339F">
      <w:pPr>
        <w:rPr>
          <w:color w:val="auto"/>
        </w:rPr>
      </w:pPr>
      <w:r>
        <w:rPr>
          <w:rFonts w:hint="eastAsia"/>
          <w:color w:val="auto"/>
        </w:rPr>
        <w:t>2</w:t>
      </w:r>
      <w:r>
        <w:rPr>
          <w:color w:val="auto"/>
        </w:rPr>
        <w:t>6</w:t>
      </w:r>
      <w:r>
        <w:rPr>
          <w:rFonts w:hint="eastAsia"/>
          <w:color w:val="auto"/>
        </w:rPr>
        <w:t>、</w:t>
      </w:r>
      <w:r>
        <w:rPr>
          <w:color w:val="auto"/>
        </w:rPr>
        <w:t>支持平台定制功能，可自定义平台名称、简介、logo等</w:t>
      </w:r>
    </w:p>
    <w:p w14:paraId="38DA1844">
      <w:pPr>
        <w:rPr>
          <w:rFonts w:ascii="宋体" w:hAnsi="宋体"/>
          <w:color w:val="auto"/>
          <w:kern w:val="0"/>
          <w:szCs w:val="21"/>
        </w:rPr>
      </w:pPr>
      <w:r>
        <w:rPr>
          <w:rFonts w:hint="eastAsia"/>
          <w:color w:val="auto"/>
        </w:rPr>
        <w:t>2</w:t>
      </w:r>
      <w:r>
        <w:rPr>
          <w:color w:val="auto"/>
        </w:rPr>
        <w:t>7</w:t>
      </w:r>
      <w:r>
        <w:rPr>
          <w:rFonts w:hint="eastAsia"/>
          <w:color w:val="auto"/>
        </w:rPr>
        <w:t>、</w:t>
      </w:r>
      <w:r>
        <w:rPr>
          <w:rFonts w:hint="eastAsia" w:ascii="宋体" w:hAnsi="宋体"/>
          <w:color w:val="auto"/>
          <w:kern w:val="0"/>
          <w:szCs w:val="21"/>
        </w:rPr>
        <w:t>云计算管理平台，和底层资源池部分的（计算虚拟化、存储虚拟化、网络虚拟化）均为同一厂商品牌提供，并支持扩展同一品牌的网络功能虚拟化、虚拟应用防火墙、虚拟应用负载均衡等功能组件，以保障平台的扩展性和兼容性</w:t>
      </w:r>
    </w:p>
    <w:p w14:paraId="303A3636">
      <w:pPr>
        <w:pStyle w:val="9"/>
      </w:pPr>
      <w:r>
        <w:rPr>
          <w:rFonts w:ascii="宋体" w:hAnsi="宋体"/>
          <w:b/>
          <w:bCs/>
          <w:color w:val="auto"/>
          <w:szCs w:val="21"/>
        </w:rPr>
        <w:t>28</w:t>
      </w:r>
      <w:r>
        <w:rPr>
          <w:rFonts w:hint="eastAsia" w:ascii="宋体" w:hAnsi="宋体"/>
          <w:b/>
          <w:bCs/>
          <w:color w:val="auto"/>
          <w:szCs w:val="21"/>
        </w:rPr>
        <w:t>．为了保证平台的兼容性和稳定性，要求与“超融合一体机”、 “计算服务器虚拟化软件”、 “网络虚拟化软件”</w:t>
      </w:r>
      <w:r>
        <w:rPr>
          <w:rFonts w:hint="eastAsia" w:ascii="宋体" w:hAnsi="宋体" w:cs="宋体"/>
          <w:b/>
          <w:bCs/>
          <w:color w:val="auto"/>
          <w:szCs w:val="21"/>
        </w:rPr>
        <w:t>、</w:t>
      </w:r>
      <w:r>
        <w:rPr>
          <w:rFonts w:hint="eastAsia" w:ascii="宋体" w:hAnsi="宋体"/>
          <w:b/>
          <w:bCs/>
          <w:color w:val="auto"/>
          <w:szCs w:val="21"/>
        </w:rPr>
        <w:t>“</w:t>
      </w:r>
      <w:r>
        <w:rPr>
          <w:rFonts w:hint="eastAsia"/>
          <w:b/>
          <w:bCs/>
          <w:color w:val="auto"/>
        </w:rPr>
        <w:t>存储虚拟化软件</w:t>
      </w:r>
      <w:r>
        <w:rPr>
          <w:rFonts w:hint="eastAsia" w:ascii="宋体" w:hAnsi="宋体"/>
          <w:b/>
          <w:bCs/>
          <w:color w:val="auto"/>
          <w:szCs w:val="21"/>
        </w:rPr>
        <w:t>”为同一品牌；</w:t>
      </w:r>
    </w:p>
  </w:comment>
  <w:comment w:id="5" w:author="我们仍未知道那天所看见花的名字。" w:date="2021-10-08T15:17:55Z" w:initials="">
    <w:p w14:paraId="6E3F7D96">
      <w:pPr>
        <w:widowControl/>
        <w:jc w:val="left"/>
        <w:textAlignment w:val="center"/>
        <w:rPr>
          <w:rFonts w:hint="eastAsia" w:ascii="新宋体" w:hAnsi="新宋体" w:eastAsia="新宋体" w:cs="新宋体"/>
          <w:color w:val="auto"/>
          <w:kern w:val="0"/>
          <w:szCs w:val="21"/>
          <w:lang w:bidi="ar"/>
        </w:rPr>
      </w:pPr>
      <w:r>
        <w:rPr>
          <w:rFonts w:hint="eastAsia" w:ascii="新宋体" w:hAnsi="新宋体" w:eastAsia="新宋体" w:cs="新宋体"/>
          <w:color w:val="auto"/>
          <w:kern w:val="0"/>
          <w:szCs w:val="21"/>
          <w:lang w:val="en-US" w:eastAsia="zh-CN" w:bidi="ar"/>
        </w:rPr>
        <w:t>1.</w:t>
      </w:r>
      <w:r>
        <w:rPr>
          <w:rFonts w:hint="eastAsia" w:ascii="新宋体" w:hAnsi="新宋体" w:eastAsia="新宋体" w:cs="新宋体"/>
          <w:color w:val="auto"/>
          <w:kern w:val="0"/>
          <w:szCs w:val="21"/>
          <w:lang w:bidi="ar"/>
        </w:rPr>
        <w:t>42U机柜</w:t>
      </w:r>
    </w:p>
    <w:p w14:paraId="0BDC3138">
      <w:pPr>
        <w:widowControl/>
        <w:numPr>
          <w:ilvl w:val="0"/>
          <w:numId w:val="0"/>
        </w:numPr>
        <w:jc w:val="left"/>
        <w:textAlignment w:val="center"/>
        <w:rPr>
          <w:rFonts w:hint="eastAsia" w:ascii="新宋体" w:hAnsi="新宋体" w:eastAsia="新宋体" w:cs="新宋体"/>
          <w:color w:val="auto"/>
          <w:kern w:val="0"/>
          <w:szCs w:val="21"/>
          <w:lang w:bidi="ar"/>
        </w:rPr>
      </w:pPr>
      <w:r>
        <w:rPr>
          <w:rFonts w:hint="eastAsia" w:ascii="新宋体" w:hAnsi="新宋体" w:eastAsia="新宋体" w:cs="新宋体"/>
          <w:color w:val="auto"/>
          <w:kern w:val="0"/>
          <w:szCs w:val="21"/>
          <w:lang w:val="en-US" w:eastAsia="zh-CN" w:bidi="ar"/>
        </w:rPr>
        <w:t>2.尺寸：</w:t>
      </w:r>
      <w:r>
        <w:rPr>
          <w:rFonts w:hint="eastAsia" w:ascii="新宋体" w:hAnsi="新宋体" w:eastAsia="新宋体" w:cs="新宋体"/>
          <w:color w:val="auto"/>
          <w:kern w:val="0"/>
          <w:szCs w:val="21"/>
          <w:lang w:bidi="ar"/>
        </w:rPr>
        <w:t>600x1000x2000，前后网孔</w:t>
      </w:r>
    </w:p>
    <w:p w14:paraId="3B8C29F5">
      <w:pPr>
        <w:pStyle w:val="9"/>
      </w:pPr>
      <w:r>
        <w:rPr>
          <w:rFonts w:hint="eastAsia" w:ascii="新宋体" w:hAnsi="新宋体" w:eastAsia="新宋体" w:cs="新宋体"/>
          <w:color w:val="auto"/>
          <w:kern w:val="0"/>
          <w:szCs w:val="21"/>
          <w:lang w:val="en-US" w:eastAsia="zh-CN" w:bidi="ar"/>
        </w:rPr>
        <w:t>3.</w:t>
      </w:r>
      <w:r>
        <w:rPr>
          <w:rFonts w:hint="eastAsia" w:ascii="新宋体" w:hAnsi="新宋体" w:eastAsia="新宋体" w:cs="新宋体"/>
          <w:color w:val="auto"/>
          <w:kern w:val="0"/>
          <w:szCs w:val="21"/>
          <w:lang w:bidi="ar"/>
        </w:rPr>
        <w:t>带pdu 8口插排</w:t>
      </w:r>
    </w:p>
  </w:comment>
  <w:comment w:id="6" w:author="我们仍未知道那天所看见花的名字。" w:date="2021-10-08T15:18:30Z" w:initials="">
    <w:p w14:paraId="45CE2153">
      <w:pPr>
        <w:pStyle w:val="41"/>
        <w:widowControl/>
        <w:spacing w:line="360" w:lineRule="atLeast"/>
        <w:ind w:firstLine="0" w:firstLineChars="0"/>
        <w:rPr>
          <w:rFonts w:ascii="宋体" w:hAnsi="宋体" w:cs="宋体"/>
          <w:color w:val="auto"/>
          <w:szCs w:val="21"/>
        </w:rPr>
      </w:pPr>
      <w:r>
        <w:rPr>
          <w:rFonts w:hint="eastAsia" w:ascii="宋体" w:hAnsi="宋体" w:cs="宋体"/>
          <w:color w:val="auto"/>
          <w:szCs w:val="21"/>
        </w:rPr>
        <w:t>★1、支持扩展同一品牌的网络功能虚拟化、虚拟下一代防火墙、虚拟应用交付、虚拟VPN等功能组件，并支持统一管理，以保障平台的扩展性和兼容性</w:t>
      </w:r>
      <w:r>
        <w:rPr>
          <w:rFonts w:hint="eastAsia" w:ascii="宋体" w:hAnsi="宋体" w:cs="宋体"/>
          <w:b/>
          <w:color w:val="auto"/>
          <w:szCs w:val="21"/>
        </w:rPr>
        <w:t>（需提供产品功能截图，并加盖投标人公章）；</w:t>
      </w:r>
    </w:p>
    <w:p w14:paraId="6A64269C">
      <w:pPr>
        <w:pStyle w:val="41"/>
        <w:widowControl/>
        <w:spacing w:line="360" w:lineRule="atLeast"/>
        <w:ind w:firstLine="0" w:firstLineChars="0"/>
        <w:rPr>
          <w:rFonts w:ascii="宋体" w:hAnsi="宋体" w:cs="宋体"/>
          <w:color w:val="auto"/>
          <w:szCs w:val="21"/>
        </w:rPr>
      </w:pPr>
      <w:r>
        <w:rPr>
          <w:rFonts w:hint="eastAsia" w:ascii="宋体" w:hAnsi="宋体" w:cs="宋体"/>
          <w:color w:val="auto"/>
          <w:szCs w:val="21"/>
        </w:rPr>
        <w:t>2、支持创建分布式虚拟防火墙，基于虚拟机构建安全防火墙，当虚拟机在不同的物理节点之间迁移时，安全策略仍然生效</w:t>
      </w:r>
      <w:r>
        <w:rPr>
          <w:rFonts w:hint="eastAsia"/>
          <w:color w:val="auto"/>
          <w:szCs w:val="21"/>
        </w:rPr>
        <w:t>；</w:t>
      </w:r>
    </w:p>
    <w:p w14:paraId="547A39A7">
      <w:pPr>
        <w:pStyle w:val="41"/>
        <w:widowControl/>
        <w:spacing w:line="360" w:lineRule="atLeast"/>
        <w:ind w:firstLine="0" w:firstLineChars="0"/>
        <w:rPr>
          <w:rFonts w:ascii="宋体" w:hAnsi="宋体" w:cs="宋体"/>
          <w:color w:val="auto"/>
          <w:szCs w:val="21"/>
        </w:rPr>
      </w:pPr>
      <w:r>
        <w:rPr>
          <w:rFonts w:hint="eastAsia" w:ascii="宋体" w:hAnsi="宋体" w:cs="宋体"/>
          <w:color w:val="auto"/>
          <w:szCs w:val="21"/>
        </w:rPr>
        <w:t>★3、支持对数据库</w:t>
      </w:r>
      <w:r>
        <w:rPr>
          <w:rFonts w:ascii="宋体" w:hAnsi="宋体" w:cs="宋体"/>
          <w:color w:val="auto"/>
          <w:szCs w:val="21"/>
        </w:rPr>
        <w:t>O</w:t>
      </w:r>
      <w:r>
        <w:rPr>
          <w:rFonts w:hint="eastAsia" w:ascii="宋体" w:hAnsi="宋体" w:cs="宋体"/>
          <w:color w:val="auto"/>
          <w:szCs w:val="21"/>
        </w:rPr>
        <w:t>racle、</w:t>
      </w:r>
      <w:r>
        <w:rPr>
          <w:rFonts w:ascii="宋体" w:hAnsi="宋体" w:cs="宋体"/>
          <w:color w:val="auto"/>
          <w:szCs w:val="21"/>
        </w:rPr>
        <w:t>SQL</w:t>
      </w:r>
      <w:r>
        <w:rPr>
          <w:rFonts w:hint="eastAsia" w:ascii="宋体" w:hAnsi="宋体" w:cs="宋体"/>
          <w:color w:val="auto"/>
          <w:szCs w:val="21"/>
        </w:rPr>
        <w:t>server及中间件Weblogic监控，实现对数据库的语句的故障定位排错，执行时延分析</w:t>
      </w:r>
      <w:r>
        <w:rPr>
          <w:rFonts w:hint="eastAsia" w:ascii="宋体" w:hAnsi="宋体" w:cs="宋体"/>
          <w:b/>
          <w:color w:val="auto"/>
          <w:szCs w:val="21"/>
        </w:rPr>
        <w:t>（需提供产品功能截图，并加盖投标人公章）；</w:t>
      </w:r>
    </w:p>
    <w:p w14:paraId="012920D9">
      <w:pPr>
        <w:pStyle w:val="41"/>
        <w:widowControl/>
        <w:spacing w:line="360" w:lineRule="atLeast"/>
        <w:ind w:firstLine="0" w:firstLineChars="0"/>
        <w:rPr>
          <w:rFonts w:ascii="宋体" w:hAnsi="宋体" w:cs="宋体"/>
          <w:color w:val="auto"/>
          <w:szCs w:val="21"/>
        </w:rPr>
      </w:pPr>
      <w:r>
        <w:rPr>
          <w:rFonts w:hint="eastAsia" w:ascii="宋体" w:hAnsi="宋体" w:cs="宋体"/>
          <w:color w:val="auto"/>
          <w:szCs w:val="21"/>
        </w:rPr>
        <w:t>4、主动探测业务系统，实时监控业务可用性，监控策略包括HTTP、FTP、POP3、SMTP、自定义端口协议等，当业务出现故障时，支持多种方式（短信、邮箱）告知管理员进行排障；</w:t>
      </w:r>
    </w:p>
    <w:p w14:paraId="32F27C20">
      <w:pPr>
        <w:pStyle w:val="41"/>
        <w:widowControl/>
        <w:spacing w:line="360" w:lineRule="atLeast"/>
        <w:ind w:firstLine="0" w:firstLineChars="0"/>
        <w:rPr>
          <w:rFonts w:ascii="宋体" w:hAnsi="宋体" w:cs="宋体"/>
          <w:color w:val="auto"/>
          <w:szCs w:val="21"/>
        </w:rPr>
      </w:pPr>
      <w:r>
        <w:rPr>
          <w:rFonts w:hint="eastAsia" w:ascii="宋体" w:hAnsi="宋体" w:cs="宋体"/>
          <w:color w:val="auto"/>
          <w:szCs w:val="21"/>
        </w:rPr>
        <w:t>5、提供虚拟机报表功能，可以导出TOPN的虚拟机进行1年以内的性能分析与趋势分析报表；</w:t>
      </w:r>
    </w:p>
    <w:p w14:paraId="22206506">
      <w:pPr>
        <w:pStyle w:val="41"/>
        <w:widowControl/>
        <w:spacing w:line="360" w:lineRule="atLeast"/>
        <w:ind w:firstLine="0" w:firstLineChars="0"/>
        <w:rPr>
          <w:rFonts w:ascii="宋体" w:hAnsi="宋体" w:cs="宋体"/>
          <w:b/>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、分布式防火墙提供实时拦截日志显示，以及支持“数据直通ByPass”功能，出现问题快速定位问题</w:t>
      </w:r>
      <w:r>
        <w:rPr>
          <w:rFonts w:hint="eastAsia" w:ascii="宋体" w:hAnsi="宋体" w:cs="宋体"/>
          <w:b/>
          <w:color w:val="auto"/>
          <w:szCs w:val="21"/>
        </w:rPr>
        <w:t>（需提供产品功能截图，并加盖投标人公章）；</w:t>
      </w:r>
    </w:p>
    <w:p w14:paraId="59342C04">
      <w:pPr>
        <w:pStyle w:val="41"/>
        <w:widowControl/>
        <w:spacing w:line="360" w:lineRule="atLeast"/>
        <w:ind w:firstLine="0" w:firstLineChars="0"/>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、支持配置虚拟路由器3000台或者无限制，虚拟路由器支持HA功能，当虚拟路由器运行的主机出现故障时，可以实现故障自动恢复，保障业务的高可靠性</w:t>
      </w:r>
      <w:r>
        <w:rPr>
          <w:rFonts w:hint="eastAsia" w:ascii="宋体" w:hAnsi="宋体" w:cs="宋体"/>
          <w:b/>
          <w:color w:val="auto"/>
          <w:szCs w:val="21"/>
        </w:rPr>
        <w:t>；</w:t>
      </w:r>
    </w:p>
    <w:p w14:paraId="65CF05BB">
      <w:pPr>
        <w:pStyle w:val="41"/>
        <w:widowControl/>
        <w:spacing w:line="360" w:lineRule="atLeast"/>
        <w:ind w:firstLine="0" w:firstLineChars="0"/>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、为满足用户使用ipv6地址的需求，支持为虚拟机配置ipv6地址，并可通过ipv6地址访问该业务；</w:t>
      </w:r>
    </w:p>
    <w:p w14:paraId="09AD4EC8">
      <w:pPr>
        <w:pStyle w:val="41"/>
        <w:widowControl/>
        <w:spacing w:line="360" w:lineRule="atLeast"/>
        <w:ind w:firstLine="0" w:firstLineChars="0"/>
        <w:rPr>
          <w:rFonts w:ascii="宋体" w:hAnsi="宋体" w:cs="宋体"/>
          <w:b/>
          <w:color w:val="auto"/>
          <w:szCs w:val="21"/>
        </w:rPr>
      </w:pPr>
      <w:r>
        <w:rPr>
          <w:rFonts w:hint="eastAsia" w:ascii="宋体" w:hAnsi="宋体" w:cs="宋体"/>
          <w:color w:val="auto"/>
          <w:szCs w:val="21"/>
        </w:rPr>
        <w:t>★</w:t>
      </w:r>
      <w:r>
        <w:rPr>
          <w:rFonts w:ascii="宋体" w:hAnsi="宋体" w:cs="宋体"/>
          <w:color w:val="auto"/>
          <w:szCs w:val="21"/>
        </w:rPr>
        <w:t>9</w:t>
      </w:r>
      <w:r>
        <w:rPr>
          <w:rFonts w:hint="eastAsia" w:ascii="宋体" w:hAnsi="宋体" w:cs="宋体"/>
          <w:color w:val="auto"/>
          <w:szCs w:val="21"/>
        </w:rPr>
        <w:t>、在管理平台上可以通过拖拽虚拟设备图标和连线就能完成网络拓扑的构建，快速的实现整个业务逻辑，并且可以连接、开启、关闭虚拟网络设备，支持对整个平台虚拟设备实现统一的管理，提升运维管理的工作效率</w:t>
      </w:r>
      <w:r>
        <w:rPr>
          <w:rFonts w:hint="eastAsia" w:ascii="宋体" w:hAnsi="宋体" w:cs="宋体"/>
          <w:b/>
          <w:color w:val="auto"/>
          <w:szCs w:val="21"/>
        </w:rPr>
        <w:t>（需提供产品功能截图，并加盖投标人公章）；</w:t>
      </w:r>
    </w:p>
    <w:p w14:paraId="34AA0342">
      <w:pPr>
        <w:autoSpaceDE w:val="0"/>
        <w:autoSpaceDN w:val="0"/>
        <w:adjustRightInd w:val="0"/>
        <w:spacing w:line="360" w:lineRule="atLeast"/>
        <w:jc w:val="left"/>
        <w:rPr>
          <w:rFonts w:cs="AppleSystemUIFont" w:asciiTheme="majorEastAsia" w:hAnsiTheme="majorEastAsia" w:eastAsiaTheme="majorEastAsia"/>
          <w:color w:val="auto"/>
          <w:kern w:val="0"/>
          <w:szCs w:val="21"/>
        </w:rPr>
      </w:pPr>
      <w:r>
        <w:rPr>
          <w:rFonts w:hint="eastAsia" w:cs="AppleSystemUIFont" w:asciiTheme="majorEastAsia" w:hAnsiTheme="majorEastAsia" w:eastAsiaTheme="majorEastAsia"/>
          <w:color w:val="auto"/>
          <w:kern w:val="0"/>
          <w:szCs w:val="21"/>
        </w:rPr>
        <w:t>1</w:t>
      </w:r>
      <w:r>
        <w:rPr>
          <w:rFonts w:cs="AppleSystemUIFont" w:asciiTheme="majorEastAsia" w:hAnsiTheme="majorEastAsia" w:eastAsiaTheme="majorEastAsia"/>
          <w:color w:val="auto"/>
          <w:kern w:val="0"/>
          <w:szCs w:val="21"/>
        </w:rPr>
        <w:t>0</w:t>
      </w:r>
      <w:r>
        <w:rPr>
          <w:rFonts w:hint="eastAsia" w:cs="AppleSystemUIFont" w:asciiTheme="majorEastAsia" w:hAnsiTheme="majorEastAsia" w:eastAsiaTheme="majorEastAsia"/>
          <w:color w:val="auto"/>
          <w:kern w:val="0"/>
          <w:szCs w:val="21"/>
        </w:rPr>
        <w:t>、</w:t>
      </w:r>
      <w:r>
        <w:rPr>
          <w:rFonts w:cs="AppleSystemUIFont" w:asciiTheme="majorEastAsia" w:hAnsiTheme="majorEastAsia" w:eastAsiaTheme="majorEastAsia"/>
          <w:color w:val="auto"/>
          <w:kern w:val="0"/>
          <w:szCs w:val="21"/>
        </w:rPr>
        <w:t>通过License激活的方式，实现网络虚拟化功能（分布式虚拟交换机、虚拟路由器、虚拟应用防火墙、虚拟应用负载均衡），支持Vxlan网络和现有的Vlan网络对接，实现虚拟化平台与原有网络的兼容性</w:t>
      </w:r>
    </w:p>
    <w:p w14:paraId="17FB2F28">
      <w:pPr>
        <w:autoSpaceDE w:val="0"/>
        <w:autoSpaceDN w:val="0"/>
        <w:adjustRightInd w:val="0"/>
        <w:spacing w:line="360" w:lineRule="atLeast"/>
        <w:jc w:val="left"/>
        <w:rPr>
          <w:rFonts w:cs="AppleSystemUIFont" w:asciiTheme="majorEastAsia" w:hAnsiTheme="majorEastAsia" w:eastAsiaTheme="majorEastAsia"/>
          <w:color w:val="auto"/>
          <w:kern w:val="0"/>
          <w:szCs w:val="21"/>
        </w:rPr>
      </w:pPr>
      <w:r>
        <w:rPr>
          <w:rFonts w:cs="AppleSystemUIFont" w:asciiTheme="majorEastAsia" w:hAnsiTheme="majorEastAsia" w:eastAsiaTheme="majorEastAsia"/>
          <w:color w:val="auto"/>
          <w:kern w:val="0"/>
          <w:szCs w:val="21"/>
        </w:rPr>
        <w:t>支持链路聚合，为网络中的每个虚拟机提供内置的网络故障切换和负载均衡能力，实现更高的硬件可用性和容错能力</w:t>
      </w:r>
      <w:r>
        <w:rPr>
          <w:rFonts w:hint="eastAsia" w:cs="AppleSystemUIFont" w:asciiTheme="majorEastAsia" w:hAnsiTheme="majorEastAsia" w:eastAsiaTheme="majorEastAsia"/>
          <w:color w:val="auto"/>
          <w:kern w:val="0"/>
          <w:szCs w:val="21"/>
        </w:rPr>
        <w:t>；</w:t>
      </w:r>
    </w:p>
    <w:p w14:paraId="63EF074B">
      <w:pPr>
        <w:autoSpaceDE w:val="0"/>
        <w:autoSpaceDN w:val="0"/>
        <w:adjustRightInd w:val="0"/>
        <w:spacing w:line="360" w:lineRule="atLeast"/>
        <w:jc w:val="left"/>
        <w:rPr>
          <w:rFonts w:cs="AppleSystemUIFont" w:asciiTheme="majorEastAsia" w:hAnsiTheme="majorEastAsia" w:eastAsiaTheme="majorEastAsia"/>
          <w:color w:val="auto"/>
          <w:kern w:val="0"/>
          <w:szCs w:val="21"/>
        </w:rPr>
      </w:pPr>
      <w:r>
        <w:rPr>
          <w:rFonts w:hint="eastAsia" w:cs="AppleSystemUIFont" w:asciiTheme="majorEastAsia" w:hAnsiTheme="majorEastAsia" w:eastAsiaTheme="majorEastAsia"/>
          <w:color w:val="auto"/>
          <w:kern w:val="0"/>
          <w:szCs w:val="21"/>
        </w:rPr>
        <w:t>1</w:t>
      </w:r>
      <w:r>
        <w:rPr>
          <w:rFonts w:cs="AppleSystemUIFont" w:asciiTheme="majorEastAsia" w:hAnsiTheme="majorEastAsia" w:eastAsiaTheme="majorEastAsia"/>
          <w:color w:val="auto"/>
          <w:kern w:val="0"/>
          <w:szCs w:val="21"/>
        </w:rPr>
        <w:t>1</w:t>
      </w:r>
      <w:r>
        <w:rPr>
          <w:rFonts w:hint="eastAsia" w:cs="AppleSystemUIFont" w:asciiTheme="majorEastAsia" w:hAnsiTheme="majorEastAsia" w:eastAsiaTheme="majorEastAsia"/>
          <w:color w:val="auto"/>
          <w:kern w:val="0"/>
          <w:szCs w:val="21"/>
        </w:rPr>
        <w:t>、</w:t>
      </w:r>
      <w:r>
        <w:rPr>
          <w:rFonts w:cs="AppleSystemUIFont" w:asciiTheme="majorEastAsia" w:hAnsiTheme="majorEastAsia" w:eastAsiaTheme="majorEastAsia"/>
          <w:color w:val="auto"/>
          <w:kern w:val="0"/>
          <w:szCs w:val="21"/>
        </w:rPr>
        <w:t>可以支持手动指定路由器运行在固定的物理主机上，可以自动将路由器规划到高性能和高网络吞吐的物理主机上</w:t>
      </w:r>
      <w:r>
        <w:rPr>
          <w:rFonts w:hint="eastAsia" w:cs="AppleSystemUIFont" w:asciiTheme="majorEastAsia" w:hAnsiTheme="majorEastAsia" w:eastAsiaTheme="majorEastAsia"/>
          <w:color w:val="auto"/>
          <w:kern w:val="0"/>
          <w:szCs w:val="21"/>
        </w:rPr>
        <w:t>；</w:t>
      </w:r>
    </w:p>
    <w:p w14:paraId="0CF71677">
      <w:pPr>
        <w:autoSpaceDE w:val="0"/>
        <w:autoSpaceDN w:val="0"/>
        <w:adjustRightInd w:val="0"/>
        <w:spacing w:line="360" w:lineRule="atLeast"/>
        <w:jc w:val="left"/>
        <w:rPr>
          <w:rFonts w:cs="AppleSystemUIFont" w:asciiTheme="majorEastAsia" w:hAnsiTheme="majorEastAsia" w:eastAsiaTheme="majorEastAsia"/>
          <w:color w:val="auto"/>
          <w:kern w:val="0"/>
          <w:szCs w:val="21"/>
        </w:rPr>
      </w:pPr>
      <w:r>
        <w:rPr>
          <w:rFonts w:hint="eastAsia" w:cs="AppleSystemUIFont" w:asciiTheme="majorEastAsia" w:hAnsiTheme="majorEastAsia" w:eastAsiaTheme="majorEastAsia"/>
          <w:color w:val="auto"/>
          <w:kern w:val="0"/>
          <w:szCs w:val="21"/>
        </w:rPr>
        <w:t>1</w:t>
      </w:r>
      <w:r>
        <w:rPr>
          <w:rFonts w:cs="AppleSystemUIFont" w:asciiTheme="majorEastAsia" w:hAnsiTheme="majorEastAsia" w:eastAsiaTheme="majorEastAsia"/>
          <w:color w:val="auto"/>
          <w:kern w:val="0"/>
          <w:szCs w:val="21"/>
        </w:rPr>
        <w:t>2</w:t>
      </w:r>
      <w:r>
        <w:rPr>
          <w:rFonts w:hint="eastAsia" w:cs="AppleSystemUIFont" w:asciiTheme="majorEastAsia" w:hAnsiTheme="majorEastAsia" w:eastAsiaTheme="majorEastAsia"/>
          <w:color w:val="auto"/>
          <w:kern w:val="0"/>
          <w:szCs w:val="21"/>
        </w:rPr>
        <w:t>、</w:t>
      </w:r>
      <w:r>
        <w:rPr>
          <w:rFonts w:cs="AppleSystemUIFont" w:asciiTheme="majorEastAsia" w:hAnsiTheme="majorEastAsia" w:eastAsiaTheme="majorEastAsia"/>
          <w:color w:val="auto"/>
          <w:kern w:val="0"/>
          <w:szCs w:val="21"/>
        </w:rPr>
        <w:t>提供虚拟路由器、虚拟交换机等设备的连通性探测功能，方便在虚拟化环境中，进行相应的故障排除和恢复，能够定位到出现故障的虚拟网络设备，方便快速排查问题保障业务的高连续性</w:t>
      </w:r>
      <w:r>
        <w:rPr>
          <w:rFonts w:hint="eastAsia" w:cs="AppleSystemUIFont" w:asciiTheme="majorEastAsia" w:hAnsiTheme="majorEastAsia" w:eastAsiaTheme="majorEastAsia"/>
          <w:color w:val="auto"/>
          <w:kern w:val="0"/>
          <w:szCs w:val="21"/>
        </w:rPr>
        <w:t>；</w:t>
      </w:r>
    </w:p>
    <w:p w14:paraId="19CF08E1">
      <w:pPr>
        <w:widowControl/>
        <w:jc w:val="left"/>
        <w:textAlignment w:val="center"/>
        <w:rPr>
          <w:rFonts w:ascii="新宋体" w:hAnsi="新宋体" w:eastAsia="新宋体" w:cs="新宋体"/>
          <w:color w:val="auto"/>
          <w:kern w:val="0"/>
          <w:szCs w:val="21"/>
          <w:lang w:bidi="ar"/>
        </w:rPr>
      </w:pPr>
      <w:r>
        <w:rPr>
          <w:rFonts w:cs="AppleExternalUIFontSimplifiedCh" w:asciiTheme="majorEastAsia" w:hAnsiTheme="majorEastAsia" w:eastAsiaTheme="majorEastAsia"/>
          <w:color w:val="auto"/>
          <w:kern w:val="0"/>
          <w:szCs w:val="21"/>
        </w:rPr>
        <w:t>13</w:t>
      </w:r>
      <w:r>
        <w:rPr>
          <w:rFonts w:hint="eastAsia" w:cs="AppleExternalUIFontSimplifiedCh" w:asciiTheme="majorEastAsia" w:hAnsiTheme="majorEastAsia" w:eastAsiaTheme="majorEastAsia"/>
          <w:color w:val="auto"/>
          <w:kern w:val="0"/>
          <w:szCs w:val="21"/>
        </w:rPr>
        <w:t>、支持</w:t>
      </w:r>
      <w:r>
        <w:rPr>
          <w:rFonts w:cs="AppleSystemUIFont" w:asciiTheme="majorEastAsia" w:hAnsiTheme="majorEastAsia" w:eastAsiaTheme="majorEastAsia"/>
          <w:color w:val="auto"/>
          <w:kern w:val="0"/>
          <w:szCs w:val="21"/>
        </w:rPr>
        <w:t>ACL</w:t>
      </w:r>
      <w:r>
        <w:rPr>
          <w:rFonts w:hint="eastAsia" w:cs="AppleExternalUIFontSimplifiedCh" w:asciiTheme="majorEastAsia" w:hAnsiTheme="majorEastAsia" w:eastAsiaTheme="majorEastAsia"/>
          <w:color w:val="auto"/>
          <w:kern w:val="0"/>
          <w:szCs w:val="21"/>
        </w:rPr>
        <w:t>功能，通过</w:t>
      </w:r>
      <w:r>
        <w:rPr>
          <w:rFonts w:cs="AppleSystemUIFont" w:asciiTheme="majorEastAsia" w:hAnsiTheme="majorEastAsia" w:eastAsiaTheme="majorEastAsia"/>
          <w:color w:val="auto"/>
          <w:kern w:val="0"/>
          <w:szCs w:val="21"/>
        </w:rPr>
        <w:t>ACL</w:t>
      </w:r>
      <w:r>
        <w:rPr>
          <w:rFonts w:hint="eastAsia" w:cs="AppleExternalUIFontSimplifiedCh" w:asciiTheme="majorEastAsia" w:hAnsiTheme="majorEastAsia" w:eastAsiaTheme="majorEastAsia"/>
          <w:color w:val="auto"/>
          <w:kern w:val="0"/>
          <w:szCs w:val="21"/>
        </w:rPr>
        <w:t>来控制虚拟机之间的网络访问能力，进而保障部署在虚拟机上的业务资源的安全性；支持根据报文的源和目的</w:t>
      </w:r>
      <w:r>
        <w:rPr>
          <w:rFonts w:cs="AppleSystemUIFont" w:asciiTheme="majorEastAsia" w:hAnsiTheme="majorEastAsia" w:eastAsiaTheme="majorEastAsia"/>
          <w:color w:val="auto"/>
          <w:kern w:val="0"/>
          <w:szCs w:val="21"/>
        </w:rPr>
        <w:t>IP</w:t>
      </w:r>
      <w:r>
        <w:rPr>
          <w:rFonts w:hint="eastAsia" w:cs="AppleExternalUIFontSimplifiedCh" w:asciiTheme="majorEastAsia" w:hAnsiTheme="majorEastAsia" w:eastAsiaTheme="majorEastAsia"/>
          <w:color w:val="auto"/>
          <w:kern w:val="0"/>
          <w:szCs w:val="21"/>
        </w:rPr>
        <w:t>地址信息、源和目的</w:t>
      </w:r>
      <w:r>
        <w:rPr>
          <w:rFonts w:cs="AppleSystemUIFont" w:asciiTheme="majorEastAsia" w:hAnsiTheme="majorEastAsia" w:eastAsiaTheme="majorEastAsia"/>
          <w:color w:val="auto"/>
          <w:kern w:val="0"/>
          <w:szCs w:val="21"/>
        </w:rPr>
        <w:t>IP</w:t>
      </w:r>
      <w:r>
        <w:rPr>
          <w:rFonts w:hint="eastAsia" w:cs="AppleExternalUIFontSimplifiedCh" w:asciiTheme="majorEastAsia" w:hAnsiTheme="majorEastAsia" w:eastAsiaTheme="majorEastAsia"/>
          <w:color w:val="auto"/>
          <w:kern w:val="0"/>
          <w:szCs w:val="21"/>
        </w:rPr>
        <w:t>地址及源和目的端口制定匹配规则；</w:t>
      </w:r>
    </w:p>
    <w:p w14:paraId="4BF33033">
      <w:pPr>
        <w:pStyle w:val="9"/>
      </w:pPr>
      <w:r>
        <w:rPr>
          <w:rFonts w:hint="eastAsia" w:ascii="新宋体" w:hAnsi="新宋体" w:eastAsia="新宋体" w:cs="新宋体"/>
          <w:color w:val="auto"/>
          <w:kern w:val="0"/>
          <w:szCs w:val="21"/>
          <w:lang w:bidi="ar"/>
        </w:rPr>
        <w:t>1</w:t>
      </w:r>
      <w:r>
        <w:rPr>
          <w:rFonts w:ascii="新宋体" w:hAnsi="新宋体" w:eastAsia="新宋体" w:cs="新宋体"/>
          <w:color w:val="auto"/>
          <w:kern w:val="0"/>
          <w:szCs w:val="21"/>
          <w:lang w:bidi="ar"/>
        </w:rPr>
        <w:t>4</w:t>
      </w:r>
      <w:r>
        <w:rPr>
          <w:rFonts w:hint="eastAsia" w:ascii="新宋体" w:hAnsi="新宋体" w:eastAsia="新宋体" w:cs="新宋体"/>
          <w:color w:val="auto"/>
          <w:kern w:val="0"/>
          <w:szCs w:val="21"/>
          <w:lang w:bidi="ar"/>
        </w:rPr>
        <w:t>、为了保证平台的兼容性和稳定性，要求与“超融合一体机”、 “计算服务器虚拟化软件”、 “虚拟存储软件”为同一品牌。</w:t>
      </w:r>
    </w:p>
  </w:comment>
  <w:comment w:id="7" w:author="我们仍未知道那天所看见花的名字。" w:date="2021-10-08T15:18:43Z" w:initials="">
    <w:p w14:paraId="3CCE6C9D">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1. ★</w:t>
      </w:r>
      <w:r>
        <w:rPr>
          <w:rFonts w:ascii="新宋体" w:hAnsi="新宋体" w:eastAsia="新宋体" w:cs="新宋体"/>
          <w:color w:val="auto"/>
          <w:kern w:val="0"/>
          <w:szCs w:val="21"/>
          <w:lang w:bidi="ar"/>
        </w:rPr>
        <w:t>12</w:t>
      </w:r>
      <w:r>
        <w:rPr>
          <w:rFonts w:hint="eastAsia" w:ascii="新宋体" w:hAnsi="新宋体" w:eastAsia="新宋体" w:cs="新宋体"/>
          <w:color w:val="auto"/>
          <w:kern w:val="0"/>
          <w:szCs w:val="21"/>
          <w:lang w:bidi="ar"/>
        </w:rPr>
        <w:t>个万兆光口，</w:t>
      </w:r>
      <w:r>
        <w:rPr>
          <w:rFonts w:ascii="新宋体" w:hAnsi="新宋体" w:eastAsia="新宋体" w:cs="新宋体"/>
          <w:color w:val="auto"/>
          <w:kern w:val="0"/>
          <w:szCs w:val="21"/>
          <w:lang w:bidi="ar"/>
        </w:rPr>
        <w:t>12</w:t>
      </w:r>
      <w:r>
        <w:rPr>
          <w:rFonts w:hint="eastAsia" w:ascii="新宋体" w:hAnsi="新宋体" w:eastAsia="新宋体" w:cs="新宋体"/>
          <w:color w:val="auto"/>
          <w:kern w:val="0"/>
          <w:szCs w:val="21"/>
          <w:lang w:bidi="ar"/>
        </w:rPr>
        <w:t>个千兆电口</w:t>
      </w:r>
    </w:p>
    <w:p w14:paraId="1D404BDC">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2. 工作温度：0°C～40°C，存储温度：-40°C～70°C</w:t>
      </w:r>
    </w:p>
    <w:p w14:paraId="726C751A">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3．交换性能：1.2</w:t>
      </w:r>
      <w:r>
        <w:rPr>
          <w:rFonts w:ascii="新宋体" w:hAnsi="新宋体" w:eastAsia="新宋体" w:cs="新宋体"/>
          <w:color w:val="auto"/>
          <w:kern w:val="0"/>
          <w:szCs w:val="21"/>
          <w:lang w:bidi="ar"/>
        </w:rPr>
        <w:t>8</w:t>
      </w:r>
      <w:r>
        <w:rPr>
          <w:rFonts w:hint="eastAsia" w:ascii="新宋体" w:hAnsi="新宋体" w:eastAsia="新宋体" w:cs="新宋体"/>
          <w:color w:val="auto"/>
          <w:kern w:val="0"/>
          <w:szCs w:val="21"/>
          <w:lang w:bidi="ar"/>
        </w:rPr>
        <w:t>Tbps/12.</w:t>
      </w:r>
      <w:r>
        <w:rPr>
          <w:rFonts w:ascii="新宋体" w:hAnsi="新宋体" w:eastAsia="新宋体" w:cs="新宋体"/>
          <w:color w:val="auto"/>
          <w:kern w:val="0"/>
          <w:szCs w:val="21"/>
          <w:lang w:bidi="ar"/>
        </w:rPr>
        <w:t>8</w:t>
      </w:r>
      <w:r>
        <w:rPr>
          <w:rFonts w:hint="eastAsia" w:ascii="新宋体" w:hAnsi="新宋体" w:eastAsia="新宋体" w:cs="新宋体"/>
          <w:color w:val="auto"/>
          <w:kern w:val="0"/>
          <w:szCs w:val="21"/>
          <w:lang w:bidi="ar"/>
        </w:rPr>
        <w:t>Tbps，包转发率：4</w:t>
      </w:r>
      <w:r>
        <w:rPr>
          <w:rFonts w:ascii="新宋体" w:hAnsi="新宋体" w:eastAsia="新宋体" w:cs="新宋体"/>
          <w:color w:val="auto"/>
          <w:kern w:val="0"/>
          <w:szCs w:val="21"/>
          <w:lang w:bidi="ar"/>
        </w:rPr>
        <w:t>8</w:t>
      </w:r>
      <w:r>
        <w:rPr>
          <w:rFonts w:hint="eastAsia" w:ascii="新宋体" w:hAnsi="新宋体" w:eastAsia="新宋体" w:cs="新宋体"/>
          <w:color w:val="auto"/>
          <w:kern w:val="0"/>
          <w:szCs w:val="21"/>
          <w:lang w:bidi="ar"/>
        </w:rPr>
        <w:t>0Mpps</w:t>
      </w:r>
    </w:p>
    <w:p w14:paraId="41F47106">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4、支持胖瘦一体化，支持智能交换机和普通交换机两种工作模式，可以根据不同的组网需要，随时灵活的进行切换</w:t>
      </w:r>
    </w:p>
    <w:p w14:paraId="710517A8">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5、可通过配置静态IP地址，DHCP Option43方式，DNS域名等方式发现控制器平台</w:t>
      </w:r>
    </w:p>
    <w:p w14:paraId="74E979AE">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6、支持通过控制器平台一键替换“按钮”即可完成故障设备替换</w:t>
      </w:r>
    </w:p>
    <w:p w14:paraId="28F60945">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7、支持STP、RSTP、MSTP协议，支持IGMP v1/v2/v3 Snooping</w:t>
      </w:r>
    </w:p>
    <w:p w14:paraId="7D0926CA">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8、支持IEEE 802.3az 标准的 EEE节能技术：当EEE使能时，从而大幅度的减小端口在该阶段的功耗，达到了节能的目的。</w:t>
      </w:r>
    </w:p>
    <w:p w14:paraId="090117C9">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9、支持32K MAC地址，支持MAC地址自动学习</w:t>
      </w:r>
    </w:p>
    <w:p w14:paraId="34C96323">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10、 支持M-LAG技术，跨设备链路聚合，配对的设备有独立的控制平面（提供截图证明材料）；</w:t>
      </w:r>
    </w:p>
    <w:p w14:paraId="61F32360">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11、 支持通过控制器平台查看交换机端口负载情况（提供平台功能截图证明）；</w:t>
      </w:r>
    </w:p>
    <w:p w14:paraId="2AF42867">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12、支持防网关ARP欺骗，管理员分级管理，支持防止DOS、ARP攻击功能</w:t>
      </w:r>
    </w:p>
    <w:p w14:paraId="2D834C3D">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13、支持通过APP进行远程管理，并且可以修改交换机网络配置；</w:t>
      </w:r>
    </w:p>
    <w:p w14:paraId="40AA3A7A">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14、支持通过在控制器平台的Web页面对交换机进行可视化管理查看，包括交换机的端口状态及配置、vlan信息；</w:t>
      </w:r>
    </w:p>
    <w:p w14:paraId="3C7E288D">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15、★支持通过控制器平台图形化操作对交换机端口状态的开启与关闭（提供平台功能截图证明）；</w:t>
      </w:r>
    </w:p>
    <w:p w14:paraId="68A82D0E">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16、 支持安全状态页面中统计显示联动事件次数及详情；</w:t>
      </w:r>
    </w:p>
    <w:p w14:paraId="102116AA">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17、支持终端的MAC与交换机端口变更检测（）；</w:t>
      </w:r>
    </w:p>
    <w:p w14:paraId="6BCA6773">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18、支持交换机端口终端类型变更后，通过APP、短信告警；</w:t>
      </w:r>
    </w:p>
    <w:p w14:paraId="62C67F92">
      <w:pPr>
        <w:pStyle w:val="9"/>
      </w:pPr>
      <w:r>
        <w:rPr>
          <w:rFonts w:hint="eastAsia" w:ascii="新宋体" w:hAnsi="新宋体" w:eastAsia="新宋体" w:cs="新宋体"/>
          <w:color w:val="auto"/>
          <w:kern w:val="0"/>
          <w:szCs w:val="21"/>
          <w:lang w:bidi="ar"/>
        </w:rPr>
        <w:t>19、支持通过控制器平台查看交换机面板端口工作状态，通过端口颜色显示状态即可判断端口是否在线工作；</w:t>
      </w:r>
    </w:p>
  </w:comment>
  <w:comment w:id="8" w:author="我们仍未知道那天所看见花的名字。" w:date="2021-10-08T15:18:59Z" w:initials="">
    <w:p w14:paraId="56CD1AB0">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一、★性能参数：</w:t>
      </w:r>
    </w:p>
    <w:p w14:paraId="23C41D97">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1、性能指标：网络层吞吐量≥</w:t>
      </w:r>
      <w:r>
        <w:rPr>
          <w:rFonts w:ascii="新宋体" w:hAnsi="新宋体" w:eastAsia="新宋体" w:cs="新宋体"/>
          <w:color w:val="auto"/>
          <w:kern w:val="0"/>
          <w:szCs w:val="21"/>
          <w:lang w:bidi="ar"/>
        </w:rPr>
        <w:t>3</w:t>
      </w:r>
      <w:r>
        <w:rPr>
          <w:rFonts w:hint="eastAsia" w:ascii="新宋体" w:hAnsi="新宋体" w:eastAsia="新宋体" w:cs="新宋体"/>
          <w:color w:val="auto"/>
          <w:kern w:val="0"/>
          <w:szCs w:val="21"/>
          <w:lang w:bidi="ar"/>
        </w:rPr>
        <w:t>Gbps，应用层吞吐量≥6</w:t>
      </w:r>
      <w:r>
        <w:rPr>
          <w:rFonts w:ascii="新宋体" w:hAnsi="新宋体" w:eastAsia="新宋体" w:cs="新宋体"/>
          <w:color w:val="auto"/>
          <w:kern w:val="0"/>
          <w:szCs w:val="21"/>
          <w:lang w:bidi="ar"/>
        </w:rPr>
        <w:t>0</w:t>
      </w:r>
      <w:r>
        <w:rPr>
          <w:rFonts w:hint="eastAsia" w:ascii="新宋体" w:hAnsi="新宋体" w:eastAsia="新宋体" w:cs="新宋体"/>
          <w:color w:val="auto"/>
          <w:kern w:val="0"/>
          <w:szCs w:val="21"/>
          <w:lang w:bidi="ar"/>
        </w:rPr>
        <w:t>0Mbps； 并发连接数≥1</w:t>
      </w:r>
      <w:r>
        <w:rPr>
          <w:rFonts w:ascii="新宋体" w:hAnsi="新宋体" w:eastAsia="新宋体" w:cs="新宋体"/>
          <w:color w:val="auto"/>
          <w:kern w:val="0"/>
          <w:szCs w:val="21"/>
          <w:lang w:bidi="ar"/>
        </w:rPr>
        <w:t>0</w:t>
      </w:r>
      <w:r>
        <w:rPr>
          <w:rFonts w:hint="eastAsia" w:ascii="新宋体" w:hAnsi="新宋体" w:eastAsia="新宋体" w:cs="新宋体"/>
          <w:color w:val="auto"/>
          <w:kern w:val="0"/>
          <w:szCs w:val="21"/>
          <w:lang w:bidi="ar"/>
        </w:rPr>
        <w:t>0W，新建连接数≥</w:t>
      </w:r>
      <w:r>
        <w:rPr>
          <w:rFonts w:ascii="新宋体" w:hAnsi="新宋体" w:eastAsia="新宋体" w:cs="新宋体"/>
          <w:color w:val="auto"/>
          <w:kern w:val="0"/>
          <w:szCs w:val="21"/>
          <w:lang w:bidi="ar"/>
        </w:rPr>
        <w:t>3</w:t>
      </w:r>
      <w:r>
        <w:rPr>
          <w:rFonts w:hint="eastAsia" w:ascii="新宋体" w:hAnsi="新宋体" w:eastAsia="新宋体" w:cs="新宋体"/>
          <w:color w:val="auto"/>
          <w:kern w:val="0"/>
          <w:szCs w:val="21"/>
          <w:lang w:bidi="ar"/>
        </w:rPr>
        <w:t>W；</w:t>
      </w:r>
    </w:p>
    <w:p w14:paraId="755A5DD2">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2、硬件指标：1U规格；存储≥SSD 64G；单电源；标配≥</w:t>
      </w:r>
      <w:r>
        <w:rPr>
          <w:rFonts w:ascii="新宋体" w:hAnsi="新宋体" w:eastAsia="新宋体" w:cs="新宋体"/>
          <w:color w:val="auto"/>
          <w:kern w:val="0"/>
          <w:szCs w:val="21"/>
          <w:lang w:bidi="ar"/>
        </w:rPr>
        <w:t>6</w:t>
      </w:r>
      <w:r>
        <w:rPr>
          <w:rFonts w:hint="eastAsia" w:ascii="新宋体" w:hAnsi="新宋体" w:eastAsia="新宋体" w:cs="新宋体"/>
          <w:color w:val="auto"/>
          <w:kern w:val="0"/>
          <w:szCs w:val="21"/>
          <w:lang w:bidi="ar"/>
        </w:rPr>
        <w:t>个千兆电口；</w:t>
      </w:r>
    </w:p>
    <w:p w14:paraId="6A901B58">
      <w:pPr>
        <w:widowControl/>
        <w:jc w:val="left"/>
        <w:textAlignment w:val="center"/>
        <w:rPr>
          <w:rFonts w:ascii="新宋体" w:hAnsi="新宋体" w:eastAsia="新宋体" w:cs="新宋体"/>
          <w:color w:val="auto"/>
          <w:kern w:val="0"/>
          <w:szCs w:val="21"/>
          <w:lang w:bidi="ar"/>
        </w:rPr>
      </w:pPr>
      <w:r>
        <w:rPr>
          <w:rFonts w:ascii="新宋体" w:hAnsi="新宋体" w:eastAsia="新宋体" w:cs="新宋体"/>
          <w:color w:val="auto"/>
          <w:kern w:val="0"/>
          <w:szCs w:val="21"/>
          <w:lang w:bidi="ar"/>
        </w:rPr>
        <w:t xml:space="preserve"> </w:t>
      </w:r>
    </w:p>
    <w:p w14:paraId="7E406484">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二、功能参数：</w:t>
      </w:r>
    </w:p>
    <w:p w14:paraId="25281EEF">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 xml:space="preserve">1、支持RIPv1/v2，OSPFv2/v3，BGP等动态路由协议；支持静态路由，ECMP等价路由；支持多播/组播路由协议； </w:t>
      </w:r>
    </w:p>
    <w:p w14:paraId="550203E0">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 xml:space="preserve">2、支持多链路出站负载，支持基于源/目的IP、源/目的端口、协议、ISP、应用类型以及国家/地域来进行选路的策略路由选路功能； </w:t>
      </w:r>
    </w:p>
    <w:p w14:paraId="05B1156C">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 xml:space="preserve">3、支持IPv4／v6 NAT地址转换，支持源目的地址转换，目的地址转换和双向地址转换；支持NAT64、NAT46 地址转换； </w:t>
      </w:r>
    </w:p>
    <w:p w14:paraId="04917985">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 xml:space="preserve">4、访问控制规则支持模拟策略匹配，输入源目的IP、端口、协议五元组信息，模拟策略匹配方式，给出最可能的匹配结果，方便排查故障，或环境部署前的调试； </w:t>
      </w:r>
    </w:p>
    <w:p w14:paraId="735E5283">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5、能够识别管控的应用类型超过1200种，应用识别规则总数超过3000条；支持基于应用类型，网站类型，文件类型进行带宽分配和流量控制，支持基于时间、认证用户和VLAN进行流量控制；</w:t>
      </w:r>
    </w:p>
    <w:p w14:paraId="575A28EA">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6、★设备具备独立的入侵防护漏洞规则特征库，特征总数在7000条以上；支持同防火墙访问控制规则进行联动，可以针对检测到的攻击源IP进行联动封锁，支持自定义封锁时间； （提供产品界面截图并加盖投标人公章）</w:t>
      </w:r>
    </w:p>
    <w:p w14:paraId="02955881">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 xml:space="preserve">7、支持Land、Smurf、Fraggle、WinNuke、Ping of Death、Tear Drop、IP Spoofing攻击防护，支持SYN Flood、IPv4和IPv6 ICMP Flood、UDP Flood、DNS Flood、ARP Flood攻击防护，支持IP地址扫描，端口扫描防护，支持ARP欺骗防护功能、支持IP协议异常报文检测和TCP协议异常报文检测； </w:t>
      </w:r>
    </w:p>
    <w:p w14:paraId="308342F2">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8、支持对常见应用服务（HTTP、FTP、SSH、SMTP、IMAP、POP3、 RDP、Rlogin、SMB、Telnet）和数据库软件（MySQL、Oracle、MSSQL）的口令暴力破解防护功能；</w:t>
      </w:r>
    </w:p>
    <w:p w14:paraId="384D5C84">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 xml:space="preserve">9、具备对常见网络协议(SSH、FTP、RDP、VNC、Netbios) 和数据库(MySQL、Oracle、MSSQL)的弱密码扫描功能; </w:t>
      </w:r>
    </w:p>
    <w:p w14:paraId="0A720BC0">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10、★设备具备独立的热门威胁库，支持木马、勒索软件、蠕虫、挖矿病毒等种类，特征总数在50万条以上；支持恶意域名重定向功能，用于DNS代理服务器场景下定位内网感染僵尸网络病毒的真实主机IP地址；支持对终端已被种植了远控木马或者病毒等恶意软件进行检测，并且能够对检测到的恶意软件行为进行深入的分析，展示和外部命令控制服务器的交互行为和其他可疑行为（提供产品界面截图并加盖投标人公章）</w:t>
      </w:r>
    </w:p>
    <w:p w14:paraId="1CBB5AEC">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11、支持业务安全和用户安全的风险展示；支持全网实时热点事件展示；支持在同一个界面对全网所有服务器和主机的安全状况进行风险评估，支持对当前所有业务的安全防护状态进行动态保护；</w:t>
      </w:r>
    </w:p>
    <w:p w14:paraId="3E9032CC">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 xml:space="preserve">12、支持资产的自动发现以及资产脆弱性和服务器开放端口的自动识别，支持包含敏感数据业务的识别；支持对检测到的攻击行为按照IP地址的地理位置信息进行威胁信息动态展示，实时监测和展示最新的攻击威胁信息； </w:t>
      </w:r>
    </w:p>
    <w:p w14:paraId="612D500D">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 xml:space="preserve">13、支持自动生成安全风险报表，报表内容体现被保护对象的整体安全等级，发现漏洞情况以及遭受到攻击的漏洞统计，具备有效攻击行为次数统计和攻击举证； </w:t>
      </w:r>
    </w:p>
    <w:p w14:paraId="7A4C7136">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14、★支持抵御SQL注入、XSS攻击、网页木马、网站扫描、WEBSHELL、跨站请求伪造、系统命令注入、文件包含攻击、目录遍历攻击、信息泄露攻击、WEB整站系统漏洞等攻击；（提供产品界面截图并加盖投标人公章）</w:t>
      </w:r>
    </w:p>
    <w:p w14:paraId="1D366926">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 xml:space="preserve">15、支持企业安全能力图谱，可展示设备对资产防护的有效性，对当前的风险预测、风险防御、风险检测能力进行展示，并对当前资产安全状态进行评级；同时展示当前设备的安全能力等级，展示每日安全能力的更新情况； </w:t>
      </w:r>
    </w:p>
    <w:p w14:paraId="0562625B">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 xml:space="preserve">16、可扩展支持接入统一的安全监测平台，通过安全监测平台可以实时看到每台安全设备的详细安全状态信息，包括安全评分级别、最近有效事件、有效事件趋势、用户安全统计、服务器安全统计和攻击来源统计； </w:t>
      </w:r>
    </w:p>
    <w:p w14:paraId="670B4197">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 xml:space="preserve">17、可提供最新的威胁情报信息，能够对新爆发的流行高危漏洞进行预警和自动检测，发现问题后支持一键生成防护规则； </w:t>
      </w:r>
    </w:p>
    <w:p w14:paraId="3D5D4AA7">
      <w:pPr>
        <w:widowControl/>
        <w:jc w:val="left"/>
        <w:textAlignment w:val="center"/>
        <w:rPr>
          <w:rFonts w:ascii="新宋体" w:hAnsi="新宋体" w:eastAsia="新宋体" w:cs="新宋体"/>
          <w:color w:val="auto"/>
          <w:kern w:val="0"/>
          <w:szCs w:val="21"/>
          <w:lang w:bidi="ar"/>
        </w:rPr>
      </w:pPr>
      <w:r>
        <w:rPr>
          <w:rFonts w:hint="eastAsia" w:ascii="新宋体" w:hAnsi="新宋体" w:eastAsia="新宋体" w:cs="新宋体"/>
          <w:color w:val="auto"/>
          <w:kern w:val="0"/>
          <w:szCs w:val="21"/>
          <w:lang w:bidi="ar"/>
        </w:rPr>
        <w:t>18、★支持采用无特征AI检测技术对恶意勒索病毒及挖矿病毒等热点病毒进行检测，给出基于AI技术的病毒检测报告；（提供产品界面截图并加盖投标人公章）</w:t>
      </w:r>
    </w:p>
    <w:p w14:paraId="4B2D004E">
      <w:pPr>
        <w:pStyle w:val="9"/>
      </w:pPr>
      <w:r>
        <w:rPr>
          <w:rFonts w:hint="eastAsia" w:ascii="新宋体" w:hAnsi="新宋体" w:eastAsia="新宋体" w:cs="新宋体"/>
          <w:color w:val="auto"/>
          <w:kern w:val="0"/>
          <w:szCs w:val="21"/>
          <w:lang w:bidi="ar"/>
        </w:rPr>
        <w:t>19、支持对企业所有的网站提供保护情况的总览，包括哪些网站当前保护措施不足，哪些网站在有效保护中，当前的漏洞、恶意扫描、web攻击及篡改事件发生的总体情况，同时风险要可定位到某个网站，并可以对网站面临的威胁给出处理方式；</w:t>
      </w:r>
    </w:p>
  </w:comment>
  <w:comment w:id="9" w:author="我们仍未知道那天所看见花的名字。" w:date="2021-10-08T15:09:54Z" w:initials="">
    <w:p w14:paraId="6A5A40AA">
      <w:pPr>
        <w:pStyle w:val="9"/>
        <w:rPr>
          <w:rFonts w:hint="eastAsia" w:eastAsiaTheme="minorEastAsia"/>
          <w:lang w:val="en-US" w:eastAsia="zh-CN"/>
        </w:rPr>
      </w:pPr>
      <w:r>
        <w:rPr>
          <w:rFonts w:hint="eastAsia"/>
          <w:lang w:val="en-US" w:eastAsia="zh-CN"/>
        </w:rPr>
        <w:t>工作日</w:t>
      </w:r>
    </w:p>
  </w:comment>
  <w:comment w:id="10" w:author="我们仍未知道那天所看见花的名字。" w:date="2021-10-08T15:20:15Z" w:initials="">
    <w:p w14:paraId="67486983">
      <w:pPr>
        <w:pStyle w:val="9"/>
        <w:rPr>
          <w:rFonts w:hint="eastAsia" w:eastAsiaTheme="minorEastAsia"/>
          <w:lang w:val="en-US" w:eastAsia="zh-CN"/>
        </w:rPr>
      </w:pPr>
      <w:r>
        <w:rPr>
          <w:rFonts w:hint="eastAsia"/>
          <w:lang w:val="en-US" w:eastAsia="zh-CN"/>
        </w:rPr>
        <w:t>删除</w:t>
      </w:r>
    </w:p>
  </w:comment>
  <w:comment w:id="11" w:author="我们仍未知道那天所看见花的名字。" w:date="2021-10-08T14:59:12Z" w:initials="">
    <w:p w14:paraId="51106C6D">
      <w:pPr>
        <w:keepNext w:val="0"/>
        <w:keepLines w:val="0"/>
        <w:widowControl/>
        <w:suppressLineNumbers w:val="0"/>
        <w:jc w:val="left"/>
      </w:pPr>
      <w:r>
        <w:rPr>
          <w:rFonts w:hint="eastAsia" w:ascii="新宋体" w:hAnsi="新宋体" w:eastAsia="新宋体" w:cs="新宋体"/>
          <w:sz w:val="21"/>
          <w:szCs w:val="21"/>
        </w:rPr>
        <w:t>合同签订后1</w:t>
      </w:r>
      <w:r>
        <w:rPr>
          <w:rFonts w:hint="eastAsia" w:ascii="新宋体" w:hAnsi="新宋体" w:eastAsia="新宋体" w:cs="新宋体"/>
          <w:sz w:val="21"/>
          <w:szCs w:val="21"/>
          <w:lang w:val="en-US" w:eastAsia="zh-CN"/>
        </w:rPr>
        <w:t>0</w:t>
      </w:r>
      <w:r>
        <w:rPr>
          <w:rFonts w:hint="eastAsia" w:ascii="新宋体" w:hAnsi="新宋体" w:eastAsia="新宋体" w:cs="新宋体"/>
          <w:sz w:val="21"/>
          <w:szCs w:val="21"/>
        </w:rPr>
        <w:t>个工作日内</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甲方向乙方支付合同金额的</w:t>
      </w:r>
      <w:r>
        <w:rPr>
          <w:rFonts w:hint="eastAsia" w:ascii="新宋体" w:hAnsi="新宋体" w:eastAsia="新宋体" w:cs="新宋体"/>
          <w:sz w:val="21"/>
          <w:szCs w:val="21"/>
          <w:lang w:val="en-US" w:eastAsia="zh-CN"/>
        </w:rPr>
        <w:t>50</w:t>
      </w:r>
      <w:r>
        <w:rPr>
          <w:rFonts w:hint="eastAsia" w:ascii="新宋体" w:hAnsi="新宋体" w:eastAsia="新宋体" w:cs="新宋体"/>
          <w:sz w:val="21"/>
          <w:szCs w:val="21"/>
        </w:rPr>
        <w:t>%</w:t>
      </w:r>
      <w:r>
        <w:rPr>
          <w:rFonts w:hint="eastAsia" w:ascii="新宋体" w:hAnsi="新宋体" w:eastAsia="新宋体" w:cs="新宋体"/>
          <w:sz w:val="21"/>
          <w:szCs w:val="21"/>
          <w:lang w:eastAsia="zh-CN"/>
        </w:rPr>
        <w:t>；</w:t>
      </w:r>
      <w:r>
        <w:rPr>
          <w:rFonts w:hint="eastAsia" w:ascii="新宋体" w:hAnsi="新宋体" w:eastAsia="新宋体" w:cs="新宋体"/>
          <w:bCs/>
          <w:snapToGrid w:val="0"/>
          <w:kern w:val="0"/>
          <w:sz w:val="21"/>
          <w:szCs w:val="21"/>
        </w:rPr>
        <w:t>项目</w:t>
      </w:r>
      <w:r>
        <w:rPr>
          <w:rFonts w:hint="eastAsia" w:ascii="宋体" w:hAnsi="宋体" w:eastAsia="宋体" w:cs="宋体"/>
          <w:color w:val="000000"/>
          <w:kern w:val="0"/>
          <w:sz w:val="20"/>
          <w:szCs w:val="20"/>
          <w:lang w:val="en-US" w:eastAsia="zh-CN" w:bidi="ar"/>
        </w:rPr>
        <w:t>安装调试验收后</w:t>
      </w:r>
      <w:r>
        <w:rPr>
          <w:rFonts w:hint="eastAsia" w:ascii="新宋体" w:hAnsi="新宋体" w:eastAsia="新宋体" w:cs="新宋体"/>
          <w:bCs/>
          <w:snapToGrid w:val="0"/>
          <w:kern w:val="0"/>
          <w:sz w:val="21"/>
          <w:szCs w:val="21"/>
        </w:rPr>
        <w:t>1</w:t>
      </w:r>
      <w:r>
        <w:rPr>
          <w:rFonts w:hint="eastAsia" w:ascii="新宋体" w:hAnsi="新宋体" w:eastAsia="新宋体" w:cs="新宋体"/>
          <w:bCs/>
          <w:snapToGrid w:val="0"/>
          <w:kern w:val="0"/>
          <w:sz w:val="21"/>
          <w:szCs w:val="21"/>
          <w:lang w:val="en-US" w:eastAsia="zh-CN"/>
        </w:rPr>
        <w:t>0</w:t>
      </w:r>
      <w:r>
        <w:rPr>
          <w:rFonts w:hint="eastAsia" w:ascii="新宋体" w:hAnsi="新宋体" w:eastAsia="新宋体" w:cs="新宋体"/>
          <w:bCs/>
          <w:snapToGrid w:val="0"/>
          <w:kern w:val="0"/>
          <w:sz w:val="21"/>
          <w:szCs w:val="21"/>
        </w:rPr>
        <w:t>个工作日内</w:t>
      </w:r>
      <w:r>
        <w:rPr>
          <w:rFonts w:hint="eastAsia" w:ascii="新宋体" w:hAnsi="新宋体" w:eastAsia="新宋体" w:cs="新宋体"/>
          <w:sz w:val="21"/>
          <w:szCs w:val="21"/>
        </w:rPr>
        <w:t>，甲方向乙方支付合同金额的45%</w:t>
      </w:r>
      <w:r>
        <w:rPr>
          <w:rFonts w:hint="eastAsia" w:ascii="新宋体" w:hAnsi="新宋体" w:eastAsia="新宋体" w:cs="新宋体"/>
          <w:sz w:val="21"/>
          <w:szCs w:val="21"/>
          <w:lang w:eastAsia="zh-CN"/>
        </w:rPr>
        <w:t>；</w:t>
      </w:r>
      <w:r>
        <w:rPr>
          <w:rFonts w:hint="eastAsia" w:ascii="新宋体" w:hAnsi="新宋体" w:eastAsia="新宋体" w:cs="新宋体"/>
          <w:sz w:val="21"/>
          <w:szCs w:val="21"/>
        </w:rPr>
        <w:t>剩余5%作为质保金在质保期满后</w:t>
      </w:r>
      <w:r>
        <w:rPr>
          <w:rFonts w:hint="eastAsia" w:ascii="新宋体" w:hAnsi="新宋体" w:eastAsia="新宋体" w:cs="新宋体"/>
          <w:sz w:val="21"/>
          <w:szCs w:val="21"/>
          <w:lang w:val="en-US" w:eastAsia="zh-CN"/>
        </w:rPr>
        <w:t>10</w:t>
      </w:r>
      <w:r>
        <w:rPr>
          <w:rFonts w:hint="eastAsia" w:ascii="新宋体" w:hAnsi="新宋体" w:eastAsia="新宋体" w:cs="新宋体"/>
          <w:sz w:val="21"/>
          <w:szCs w:val="21"/>
        </w:rPr>
        <w:t>个工作日内支付。</w:t>
      </w:r>
    </w:p>
  </w:comment>
  <w:comment w:id="12" w:author="我们仍未知道那天所看见花的名字。" w:date="2021-10-08T15:14:17Z" w:initials="">
    <w:p w14:paraId="2C5B38A5">
      <w:pPr>
        <w:keepNext w:val="0"/>
        <w:keepLines w:val="0"/>
        <w:widowControl/>
        <w:suppressLineNumbers w:val="0"/>
        <w:jc w:val="left"/>
      </w:pPr>
      <w:r>
        <w:rPr>
          <w:rFonts w:hint="eastAsia" w:ascii="宋体" w:hAnsi="宋体" w:eastAsia="宋体" w:cs="宋体"/>
          <w:color w:val="000000"/>
          <w:kern w:val="0"/>
          <w:sz w:val="20"/>
          <w:szCs w:val="20"/>
          <w:lang w:val="en-US" w:eastAsia="zh-CN" w:bidi="ar"/>
        </w:rPr>
        <w:t>投标人自 2019 年以来完成过信息化项目案例的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D40E48" w15:done="0"/>
  <w15:commentEx w15:paraId="5DB66BF5" w15:done="0"/>
  <w15:commentEx w15:paraId="61174D15" w15:done="0"/>
  <w15:commentEx w15:paraId="48197D34" w15:done="0"/>
  <w15:commentEx w15:paraId="303A3636" w15:done="0"/>
  <w15:commentEx w15:paraId="3B8C29F5" w15:done="0"/>
  <w15:commentEx w15:paraId="4BF33033" w15:done="0"/>
  <w15:commentEx w15:paraId="62C67F92" w15:done="0"/>
  <w15:commentEx w15:paraId="4B2D004E" w15:done="0"/>
  <w15:commentEx w15:paraId="6A5A40AA" w15:done="0"/>
  <w15:commentEx w15:paraId="67486983" w15:done="0"/>
  <w15:commentEx w15:paraId="51106C6D" w15:done="0"/>
  <w15:commentEx w15:paraId="2C5B38A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Consolas">
    <w:panose1 w:val="020B0609020204030204"/>
    <w:charset w:val="00"/>
    <w:family w:val="auto"/>
    <w:pitch w:val="default"/>
    <w:sig w:usb0="E00006FF" w:usb1="0000FCFF" w:usb2="00000001" w:usb3="00000000" w:csb0="6000019F" w:csb1="DFD7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方正大标宋简体">
    <w:altName w:val="宋体"/>
    <w:panose1 w:val="03000509000000000000"/>
    <w:charset w:val="86"/>
    <w:family w:val="script"/>
    <w:pitch w:val="default"/>
    <w:sig w:usb0="00000000" w:usb1="00000000" w:usb2="00000010"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AppleSystemUIFont">
    <w:altName w:val="Calibri"/>
    <w:panose1 w:val="00000000000000000000"/>
    <w:charset w:val="00"/>
    <w:family w:val="auto"/>
    <w:pitch w:val="default"/>
    <w:sig w:usb0="00000000" w:usb1="00000000" w:usb2="00000000" w:usb3="00000000" w:csb0="00000001" w:csb1="00000000"/>
  </w:font>
  <w:font w:name="AppleExternalUIFontSimplifiedCh">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6039" w:yAlign="center"/>
      <w:rPr>
        <w:rFonts w:ascii="宋体" w:hAnsi="宋体"/>
      </w:rPr>
    </w:pPr>
    <w:r>
      <w:rPr>
        <w:rFonts w:hint="eastAsia" w:ascii="宋体" w:hAnsi="宋体"/>
      </w:rPr>
      <w:fldChar w:fldCharType="begin"/>
    </w:r>
    <w:r>
      <w:rPr>
        <w:rFonts w:hint="eastAsia" w:ascii="宋体" w:hAnsi="宋体"/>
      </w:rPr>
      <w:instrText xml:space="preserve">PAGE  </w:instrText>
    </w:r>
    <w:r>
      <w:rPr>
        <w:rFonts w:hint="eastAsia" w:ascii="宋体" w:hAnsi="宋体"/>
      </w:rPr>
      <w:fldChar w:fldCharType="separate"/>
    </w:r>
    <w:r>
      <w:rPr>
        <w:rFonts w:ascii="宋体" w:hAnsi="宋体"/>
      </w:rPr>
      <w:t>47</w:t>
    </w:r>
    <w:r>
      <w:rPr>
        <w:rFonts w:hint="eastAsia" w:ascii="宋体" w:hAnsi="宋体"/>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6039" w:yAlign="center"/>
      <w:rPr>
        <w:rFonts w:ascii="宋体" w:hAnsi="宋体"/>
      </w:rPr>
    </w:pPr>
    <w:r>
      <w:rPr>
        <w:rFonts w:hint="eastAsia" w:ascii="宋体" w:hAnsi="宋体"/>
      </w:rPr>
      <w:fldChar w:fldCharType="begin"/>
    </w:r>
    <w:r>
      <w:rPr>
        <w:rFonts w:hint="eastAsia" w:ascii="宋体" w:hAnsi="宋体"/>
      </w:rPr>
      <w:instrText xml:space="preserve">PAGE  </w:instrText>
    </w:r>
    <w:r>
      <w:rPr>
        <w:rFonts w:hint="eastAsia" w:ascii="宋体" w:hAnsi="宋体"/>
      </w:rPr>
      <w:fldChar w:fldCharType="separate"/>
    </w:r>
    <w:r>
      <w:rPr>
        <w:rFonts w:ascii="宋体" w:hAnsi="宋体"/>
      </w:rPr>
      <w:t>47</w:t>
    </w:r>
    <w:r>
      <w:rPr>
        <w:rFonts w:hint="eastAsia" w:ascii="宋体" w:hAnsi="宋体"/>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ind w:firstLine="8280" w:firstLineChars="4600"/>
      <w:jc w:val="left"/>
      <w:rPr>
        <w:rFonts w:ascii="宋体" w:hAnsi="宋体" w:cs="宋体"/>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rFonts w:hint="eastAsia"/>
        <w:lang w:eastAsia="zh-CN"/>
      </w:rPr>
      <w:t>钦州</w:t>
    </w:r>
    <w:r>
      <w:rPr>
        <w:rFonts w:hint="eastAsia"/>
      </w:rPr>
      <w:t>学院</w:t>
    </w:r>
    <w:r>
      <w:rPr>
        <w:rFonts w:hint="eastAsia"/>
        <w:lang w:eastAsia="zh-CN"/>
      </w:rPr>
      <w:t>钦州</w:t>
    </w:r>
    <w:r>
      <w:rPr>
        <w:rFonts w:hint="eastAsia"/>
      </w:rPr>
      <w:t>市</w:t>
    </w:r>
    <w:r>
      <w:rPr>
        <w:rFonts w:hint="eastAsia"/>
        <w:lang w:eastAsia="zh-CN"/>
      </w:rPr>
      <w:t>钦州</w:t>
    </w:r>
    <w:r>
      <w:rPr>
        <w:rFonts w:hint="eastAsia"/>
      </w:rPr>
      <w:t>学院北校区地质灾害一期BP12地质灾害点治理工程项目</w:t>
    </w:r>
    <w:r>
      <w:rPr>
        <w:rFonts w:hint="eastAsia" w:ascii="宋体" w:hAnsi="宋体"/>
        <w:bCs/>
        <w:szCs w:val="21"/>
      </w:rPr>
      <w:t>（</w:t>
    </w:r>
    <w:r>
      <w:rPr>
        <w:rFonts w:ascii="宋体" w:hAnsi="宋体"/>
        <w:bCs/>
        <w:kern w:val="0"/>
      </w:rPr>
      <w:t>WZZC2015-J1-0156-KL</w:t>
    </w:r>
    <w:r>
      <w:rPr>
        <w:rFonts w:hint="eastAsia" w:ascii="宋体" w:hAnsi="宋体"/>
        <w:bCs/>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6F58D"/>
    <w:multiLevelType w:val="singleLevel"/>
    <w:tmpl w:val="A736F58D"/>
    <w:lvl w:ilvl="0" w:tentative="0">
      <w:start w:val="2"/>
      <w:numFmt w:val="chineseCounting"/>
      <w:suff w:val="space"/>
      <w:lvlText w:val="第%1章"/>
      <w:lvlJc w:val="left"/>
      <w:rPr>
        <w:rFonts w:hint="eastAsia"/>
      </w:rPr>
    </w:lvl>
  </w:abstractNum>
  <w:abstractNum w:abstractNumId="1">
    <w:nsid w:val="C573ED00"/>
    <w:multiLevelType w:val="singleLevel"/>
    <w:tmpl w:val="C573ED00"/>
    <w:lvl w:ilvl="0" w:tentative="0">
      <w:start w:val="1"/>
      <w:numFmt w:val="chineseCounting"/>
      <w:suff w:val="nothing"/>
      <w:lvlText w:val="第%1条、"/>
      <w:lvlJc w:val="left"/>
      <w:pPr>
        <w:tabs>
          <w:tab w:val="left" w:pos="0"/>
        </w:tabs>
        <w:ind w:left="0" w:firstLine="0"/>
      </w:pPr>
      <w:rPr>
        <w:rFonts w:hint="eastAsia"/>
      </w:rPr>
    </w:lvl>
  </w:abstractNum>
  <w:abstractNum w:abstractNumId="2">
    <w:nsid w:val="E4084543"/>
    <w:multiLevelType w:val="singleLevel"/>
    <w:tmpl w:val="E4084543"/>
    <w:lvl w:ilvl="0" w:tentative="0">
      <w:start w:val="1"/>
      <w:numFmt w:val="decimal"/>
      <w:lvlText w:val="%1."/>
      <w:lvlJc w:val="left"/>
      <w:pPr>
        <w:ind w:left="425" w:hanging="425"/>
      </w:pPr>
      <w:rPr>
        <w:rFonts w:hint="default"/>
      </w:rPr>
    </w:lvl>
  </w:abstractNum>
  <w:abstractNum w:abstractNumId="3">
    <w:nsid w:val="FED98836"/>
    <w:multiLevelType w:val="singleLevel"/>
    <w:tmpl w:val="FED98836"/>
    <w:lvl w:ilvl="0" w:tentative="0">
      <w:start w:val="1"/>
      <w:numFmt w:val="decimal"/>
      <w:lvlText w:val="%1."/>
      <w:lvlJc w:val="left"/>
      <w:pPr>
        <w:ind w:left="425" w:hanging="425"/>
      </w:pPr>
      <w:rPr>
        <w:rFonts w:hint="default"/>
      </w:rPr>
    </w:lvl>
  </w:abstractNum>
  <w:abstractNum w:abstractNumId="4">
    <w:nsid w:val="05D43864"/>
    <w:multiLevelType w:val="multilevel"/>
    <w:tmpl w:val="05D43864"/>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885992"/>
    <w:multiLevelType w:val="multilevel"/>
    <w:tmpl w:val="09885992"/>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E620792"/>
    <w:multiLevelType w:val="multilevel"/>
    <w:tmpl w:val="0E620792"/>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F8D0094"/>
    <w:multiLevelType w:val="singleLevel"/>
    <w:tmpl w:val="0F8D0094"/>
    <w:lvl w:ilvl="0" w:tentative="0">
      <w:start w:val="1"/>
      <w:numFmt w:val="decimal"/>
      <w:lvlText w:val="%1."/>
      <w:lvlJc w:val="left"/>
      <w:pPr>
        <w:ind w:left="425" w:hanging="425"/>
      </w:pPr>
      <w:rPr>
        <w:rFonts w:hint="default"/>
      </w:rPr>
    </w:lvl>
  </w:abstractNum>
  <w:abstractNum w:abstractNumId="8">
    <w:nsid w:val="17D20059"/>
    <w:multiLevelType w:val="multilevel"/>
    <w:tmpl w:val="17D20059"/>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DB25BC0"/>
    <w:multiLevelType w:val="multilevel"/>
    <w:tmpl w:val="1DB25BC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2706B13"/>
    <w:multiLevelType w:val="multilevel"/>
    <w:tmpl w:val="22706B13"/>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1">
    <w:nsid w:val="22B364E5"/>
    <w:multiLevelType w:val="multilevel"/>
    <w:tmpl w:val="22B364E5"/>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DBE0598"/>
    <w:multiLevelType w:val="multilevel"/>
    <w:tmpl w:val="2DBE0598"/>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9C1DF32"/>
    <w:multiLevelType w:val="singleLevel"/>
    <w:tmpl w:val="39C1DF32"/>
    <w:lvl w:ilvl="0" w:tentative="0">
      <w:start w:val="7"/>
      <w:numFmt w:val="chineseCounting"/>
      <w:suff w:val="nothing"/>
      <w:lvlText w:val="%1、"/>
      <w:lvlJc w:val="left"/>
      <w:rPr>
        <w:rFonts w:hint="eastAsia"/>
      </w:rPr>
    </w:lvl>
  </w:abstractNum>
  <w:abstractNum w:abstractNumId="14">
    <w:nsid w:val="4A1963E7"/>
    <w:multiLevelType w:val="multilevel"/>
    <w:tmpl w:val="4A1963E7"/>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112556B"/>
    <w:multiLevelType w:val="multilevel"/>
    <w:tmpl w:val="5112556B"/>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23F263D"/>
    <w:multiLevelType w:val="singleLevel"/>
    <w:tmpl w:val="523F263D"/>
    <w:lvl w:ilvl="0" w:tentative="0">
      <w:start w:val="1"/>
      <w:numFmt w:val="decimal"/>
      <w:lvlText w:val="%1."/>
      <w:lvlJc w:val="left"/>
      <w:pPr>
        <w:ind w:left="425" w:hanging="425"/>
      </w:pPr>
      <w:rPr>
        <w:rFonts w:hint="default"/>
      </w:rPr>
    </w:lvl>
  </w:abstractNum>
  <w:abstractNum w:abstractNumId="17">
    <w:nsid w:val="7F374162"/>
    <w:multiLevelType w:val="multilevel"/>
    <w:tmpl w:val="7F374162"/>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2"/>
  </w:num>
  <w:num w:numId="3">
    <w:abstractNumId w:val="7"/>
  </w:num>
  <w:num w:numId="4">
    <w:abstractNumId w:val="0"/>
  </w:num>
  <w:num w:numId="5">
    <w:abstractNumId w:val="1"/>
  </w:num>
  <w:num w:numId="6">
    <w:abstractNumId w:val="5"/>
  </w:num>
  <w:num w:numId="7">
    <w:abstractNumId w:val="8"/>
  </w:num>
  <w:num w:numId="8">
    <w:abstractNumId w:val="6"/>
  </w:num>
  <w:num w:numId="9">
    <w:abstractNumId w:val="17"/>
  </w:num>
  <w:num w:numId="10">
    <w:abstractNumId w:val="14"/>
  </w:num>
  <w:num w:numId="11">
    <w:abstractNumId w:val="4"/>
  </w:num>
  <w:num w:numId="12">
    <w:abstractNumId w:val="9"/>
  </w:num>
  <w:num w:numId="13">
    <w:abstractNumId w:val="12"/>
  </w:num>
  <w:num w:numId="14">
    <w:abstractNumId w:val="15"/>
  </w:num>
  <w:num w:numId="15">
    <w:abstractNumId w:val="10"/>
  </w:num>
  <w:num w:numId="16">
    <w:abstractNumId w:val="16"/>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我们仍未知道那天所看见花的名字。">
    <w15:presenceInfo w15:providerId="WPS Office" w15:userId="3961387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667EF"/>
    <w:rsid w:val="00017DA0"/>
    <w:rsid w:val="00021575"/>
    <w:rsid w:val="00025226"/>
    <w:rsid w:val="000676CA"/>
    <w:rsid w:val="000E7420"/>
    <w:rsid w:val="00111022"/>
    <w:rsid w:val="00114432"/>
    <w:rsid w:val="001163EF"/>
    <w:rsid w:val="00145174"/>
    <w:rsid w:val="00155567"/>
    <w:rsid w:val="00177CEA"/>
    <w:rsid w:val="00182B65"/>
    <w:rsid w:val="001A3F0F"/>
    <w:rsid w:val="001A45A1"/>
    <w:rsid w:val="001D107C"/>
    <w:rsid w:val="00214FA6"/>
    <w:rsid w:val="002202A2"/>
    <w:rsid w:val="00223BEE"/>
    <w:rsid w:val="00246A70"/>
    <w:rsid w:val="00276CA3"/>
    <w:rsid w:val="002815C5"/>
    <w:rsid w:val="002A6242"/>
    <w:rsid w:val="002D092A"/>
    <w:rsid w:val="002E2D78"/>
    <w:rsid w:val="002F18BD"/>
    <w:rsid w:val="0030527B"/>
    <w:rsid w:val="00332E72"/>
    <w:rsid w:val="00341EBC"/>
    <w:rsid w:val="0034291C"/>
    <w:rsid w:val="00345BC7"/>
    <w:rsid w:val="003538A8"/>
    <w:rsid w:val="003710A7"/>
    <w:rsid w:val="00385F86"/>
    <w:rsid w:val="00386FAF"/>
    <w:rsid w:val="0039570B"/>
    <w:rsid w:val="003A7188"/>
    <w:rsid w:val="003D1563"/>
    <w:rsid w:val="004057C2"/>
    <w:rsid w:val="0042490B"/>
    <w:rsid w:val="004408C5"/>
    <w:rsid w:val="0045367F"/>
    <w:rsid w:val="00454166"/>
    <w:rsid w:val="00460138"/>
    <w:rsid w:val="00461700"/>
    <w:rsid w:val="00462FE8"/>
    <w:rsid w:val="004806A1"/>
    <w:rsid w:val="004814CC"/>
    <w:rsid w:val="00481CE3"/>
    <w:rsid w:val="00496F95"/>
    <w:rsid w:val="004A00D2"/>
    <w:rsid w:val="004C5EE3"/>
    <w:rsid w:val="004D7F24"/>
    <w:rsid w:val="004F1801"/>
    <w:rsid w:val="00522357"/>
    <w:rsid w:val="00536FDD"/>
    <w:rsid w:val="00544990"/>
    <w:rsid w:val="00545B7E"/>
    <w:rsid w:val="0057567C"/>
    <w:rsid w:val="005A407A"/>
    <w:rsid w:val="005B6215"/>
    <w:rsid w:val="005C6017"/>
    <w:rsid w:val="005D2C79"/>
    <w:rsid w:val="005E6BCA"/>
    <w:rsid w:val="005F0752"/>
    <w:rsid w:val="00612BBC"/>
    <w:rsid w:val="00626BD7"/>
    <w:rsid w:val="00626DE8"/>
    <w:rsid w:val="00632255"/>
    <w:rsid w:val="006646EE"/>
    <w:rsid w:val="006655E6"/>
    <w:rsid w:val="00666DFD"/>
    <w:rsid w:val="00681E9D"/>
    <w:rsid w:val="0068626D"/>
    <w:rsid w:val="0069140C"/>
    <w:rsid w:val="006A329B"/>
    <w:rsid w:val="006C7378"/>
    <w:rsid w:val="006D5F5B"/>
    <w:rsid w:val="006D602D"/>
    <w:rsid w:val="006D7508"/>
    <w:rsid w:val="00701A3C"/>
    <w:rsid w:val="00702F73"/>
    <w:rsid w:val="0070749E"/>
    <w:rsid w:val="007621DD"/>
    <w:rsid w:val="00764F8F"/>
    <w:rsid w:val="00770509"/>
    <w:rsid w:val="00792741"/>
    <w:rsid w:val="007C13DA"/>
    <w:rsid w:val="007D708E"/>
    <w:rsid w:val="00803587"/>
    <w:rsid w:val="00815365"/>
    <w:rsid w:val="00834020"/>
    <w:rsid w:val="00837599"/>
    <w:rsid w:val="008466E7"/>
    <w:rsid w:val="00854756"/>
    <w:rsid w:val="0086056A"/>
    <w:rsid w:val="0089488C"/>
    <w:rsid w:val="008B0DD9"/>
    <w:rsid w:val="008B1FC1"/>
    <w:rsid w:val="008B72BC"/>
    <w:rsid w:val="008C2DD2"/>
    <w:rsid w:val="009120B0"/>
    <w:rsid w:val="00914B53"/>
    <w:rsid w:val="009334FC"/>
    <w:rsid w:val="009530F7"/>
    <w:rsid w:val="00954503"/>
    <w:rsid w:val="0095790E"/>
    <w:rsid w:val="00964702"/>
    <w:rsid w:val="0097163A"/>
    <w:rsid w:val="00990253"/>
    <w:rsid w:val="00991598"/>
    <w:rsid w:val="009B0D71"/>
    <w:rsid w:val="009B47DC"/>
    <w:rsid w:val="009C4343"/>
    <w:rsid w:val="009E676F"/>
    <w:rsid w:val="00A0139E"/>
    <w:rsid w:val="00A02632"/>
    <w:rsid w:val="00A0395F"/>
    <w:rsid w:val="00A05226"/>
    <w:rsid w:val="00A604C2"/>
    <w:rsid w:val="00A6159A"/>
    <w:rsid w:val="00A628CC"/>
    <w:rsid w:val="00A90972"/>
    <w:rsid w:val="00A97C6D"/>
    <w:rsid w:val="00AA4B4A"/>
    <w:rsid w:val="00AA74F6"/>
    <w:rsid w:val="00AB5405"/>
    <w:rsid w:val="00B17513"/>
    <w:rsid w:val="00B17F43"/>
    <w:rsid w:val="00B30247"/>
    <w:rsid w:val="00B335AA"/>
    <w:rsid w:val="00B42492"/>
    <w:rsid w:val="00B54BC1"/>
    <w:rsid w:val="00B613D1"/>
    <w:rsid w:val="00BC6777"/>
    <w:rsid w:val="00BD0C50"/>
    <w:rsid w:val="00BE72CD"/>
    <w:rsid w:val="00C00D70"/>
    <w:rsid w:val="00C1157F"/>
    <w:rsid w:val="00C22E4B"/>
    <w:rsid w:val="00C56BFB"/>
    <w:rsid w:val="00C85AD5"/>
    <w:rsid w:val="00CC45AD"/>
    <w:rsid w:val="00CD24FE"/>
    <w:rsid w:val="00D31B2C"/>
    <w:rsid w:val="00D3274D"/>
    <w:rsid w:val="00D343A6"/>
    <w:rsid w:val="00D409C3"/>
    <w:rsid w:val="00D807F6"/>
    <w:rsid w:val="00D80A95"/>
    <w:rsid w:val="00D915C7"/>
    <w:rsid w:val="00D9425F"/>
    <w:rsid w:val="00E140A9"/>
    <w:rsid w:val="00E3781F"/>
    <w:rsid w:val="00E6062C"/>
    <w:rsid w:val="00E76E43"/>
    <w:rsid w:val="00E76E8C"/>
    <w:rsid w:val="00E7709C"/>
    <w:rsid w:val="00E97C12"/>
    <w:rsid w:val="00EA726B"/>
    <w:rsid w:val="00EB4EF6"/>
    <w:rsid w:val="00ED7B4F"/>
    <w:rsid w:val="00EF4301"/>
    <w:rsid w:val="00EF483C"/>
    <w:rsid w:val="00EF4DD0"/>
    <w:rsid w:val="00F03038"/>
    <w:rsid w:val="00F116A8"/>
    <w:rsid w:val="00F164FE"/>
    <w:rsid w:val="00F44666"/>
    <w:rsid w:val="00F745F4"/>
    <w:rsid w:val="00F83E01"/>
    <w:rsid w:val="00F91DD3"/>
    <w:rsid w:val="00F92C30"/>
    <w:rsid w:val="00FB2A9B"/>
    <w:rsid w:val="00FB6688"/>
    <w:rsid w:val="00FC66A6"/>
    <w:rsid w:val="00FD67BE"/>
    <w:rsid w:val="00FF37F5"/>
    <w:rsid w:val="04AF2D16"/>
    <w:rsid w:val="04C700DD"/>
    <w:rsid w:val="08E202E7"/>
    <w:rsid w:val="09EB00B0"/>
    <w:rsid w:val="0A585694"/>
    <w:rsid w:val="0B212561"/>
    <w:rsid w:val="0B4D7211"/>
    <w:rsid w:val="0BC03139"/>
    <w:rsid w:val="0D765726"/>
    <w:rsid w:val="0DEC13C1"/>
    <w:rsid w:val="0F1E4AD4"/>
    <w:rsid w:val="104A1CE7"/>
    <w:rsid w:val="12B85E75"/>
    <w:rsid w:val="130601A4"/>
    <w:rsid w:val="139E1C17"/>
    <w:rsid w:val="13A91801"/>
    <w:rsid w:val="146D088F"/>
    <w:rsid w:val="14B850C1"/>
    <w:rsid w:val="15B40805"/>
    <w:rsid w:val="1A202458"/>
    <w:rsid w:val="1D2375C9"/>
    <w:rsid w:val="1DF61FAC"/>
    <w:rsid w:val="1ECF116D"/>
    <w:rsid w:val="22202BBF"/>
    <w:rsid w:val="22570708"/>
    <w:rsid w:val="23296C09"/>
    <w:rsid w:val="24D657F1"/>
    <w:rsid w:val="250667EF"/>
    <w:rsid w:val="25A1333D"/>
    <w:rsid w:val="26051B3E"/>
    <w:rsid w:val="26D735C8"/>
    <w:rsid w:val="28B00723"/>
    <w:rsid w:val="28CD3190"/>
    <w:rsid w:val="2A1878C5"/>
    <w:rsid w:val="2AD74E9D"/>
    <w:rsid w:val="2B7D30A2"/>
    <w:rsid w:val="2C4328F1"/>
    <w:rsid w:val="2C496179"/>
    <w:rsid w:val="2DFA12B6"/>
    <w:rsid w:val="2E07524A"/>
    <w:rsid w:val="2E2F448F"/>
    <w:rsid w:val="2E9B4573"/>
    <w:rsid w:val="2F644AA4"/>
    <w:rsid w:val="30A20F7D"/>
    <w:rsid w:val="31EB283A"/>
    <w:rsid w:val="34A60C58"/>
    <w:rsid w:val="357872ED"/>
    <w:rsid w:val="36D96503"/>
    <w:rsid w:val="385B4557"/>
    <w:rsid w:val="38B1460A"/>
    <w:rsid w:val="3A27777F"/>
    <w:rsid w:val="3AF463BF"/>
    <w:rsid w:val="3D5E1A3E"/>
    <w:rsid w:val="41645267"/>
    <w:rsid w:val="435E0BAC"/>
    <w:rsid w:val="438C6220"/>
    <w:rsid w:val="43DF3763"/>
    <w:rsid w:val="45233B39"/>
    <w:rsid w:val="4583597D"/>
    <w:rsid w:val="458E2061"/>
    <w:rsid w:val="459975C2"/>
    <w:rsid w:val="46B12795"/>
    <w:rsid w:val="46D769D6"/>
    <w:rsid w:val="47986732"/>
    <w:rsid w:val="47AC548E"/>
    <w:rsid w:val="482702CA"/>
    <w:rsid w:val="48F73A29"/>
    <w:rsid w:val="4AEB3962"/>
    <w:rsid w:val="4B266E2B"/>
    <w:rsid w:val="4BE25277"/>
    <w:rsid w:val="4C50416F"/>
    <w:rsid w:val="4C74170A"/>
    <w:rsid w:val="4C9B1483"/>
    <w:rsid w:val="4D2364BF"/>
    <w:rsid w:val="4EC438DB"/>
    <w:rsid w:val="4EE904D5"/>
    <w:rsid w:val="4F5176DC"/>
    <w:rsid w:val="4F9647DE"/>
    <w:rsid w:val="50B95EFD"/>
    <w:rsid w:val="50CB798D"/>
    <w:rsid w:val="54633131"/>
    <w:rsid w:val="54C06CEB"/>
    <w:rsid w:val="56982551"/>
    <w:rsid w:val="57123402"/>
    <w:rsid w:val="572E338D"/>
    <w:rsid w:val="5735277B"/>
    <w:rsid w:val="57922E89"/>
    <w:rsid w:val="58D90137"/>
    <w:rsid w:val="58E21350"/>
    <w:rsid w:val="5A883F23"/>
    <w:rsid w:val="5AF0291D"/>
    <w:rsid w:val="5B75572E"/>
    <w:rsid w:val="5C3D240D"/>
    <w:rsid w:val="5D57560A"/>
    <w:rsid w:val="60787342"/>
    <w:rsid w:val="620D4E90"/>
    <w:rsid w:val="636F19AD"/>
    <w:rsid w:val="638B47D8"/>
    <w:rsid w:val="640C0156"/>
    <w:rsid w:val="65677CCC"/>
    <w:rsid w:val="65A01DD4"/>
    <w:rsid w:val="674A73B9"/>
    <w:rsid w:val="68BE2CBD"/>
    <w:rsid w:val="6DF82AF4"/>
    <w:rsid w:val="6E671A42"/>
    <w:rsid w:val="70702940"/>
    <w:rsid w:val="70BF4B3E"/>
    <w:rsid w:val="719639F8"/>
    <w:rsid w:val="727542BA"/>
    <w:rsid w:val="734B6237"/>
    <w:rsid w:val="739F7DA9"/>
    <w:rsid w:val="79AC19BD"/>
    <w:rsid w:val="79C63A33"/>
    <w:rsid w:val="7BD55A46"/>
    <w:rsid w:val="7D014072"/>
    <w:rsid w:val="7DC14B51"/>
    <w:rsid w:val="7DED2E1F"/>
    <w:rsid w:val="7F187893"/>
    <w:rsid w:val="7FDB2F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0"/>
    <w:pPr>
      <w:keepNext/>
      <w:widowControl/>
      <w:jc w:val="center"/>
      <w:outlineLvl w:val="0"/>
    </w:pPr>
    <w:rPr>
      <w:rFonts w:ascii="黑体" w:eastAsia="黑体"/>
      <w:kern w:val="0"/>
      <w:sz w:val="52"/>
      <w:szCs w:val="20"/>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link w:val="42"/>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44"/>
    <w:semiHidden/>
    <w:unhideWhenUsed/>
    <w:qFormat/>
    <w:uiPriority w:val="0"/>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adjustRightInd w:val="0"/>
      <w:textAlignment w:val="baseline"/>
    </w:pPr>
    <w:rPr>
      <w:rFonts w:ascii="宋体"/>
      <w:kern w:val="0"/>
      <w:sz w:val="24"/>
      <w:szCs w:val="21"/>
    </w:rPr>
  </w:style>
  <w:style w:type="paragraph" w:styleId="8">
    <w:name w:val="Normal Indent"/>
    <w:basedOn w:val="1"/>
    <w:qFormat/>
    <w:uiPriority w:val="0"/>
    <w:pPr>
      <w:ind w:firstLine="420"/>
    </w:pPr>
    <w:rPr>
      <w:szCs w:val="20"/>
    </w:rPr>
  </w:style>
  <w:style w:type="paragraph" w:styleId="9">
    <w:name w:val="annotation text"/>
    <w:basedOn w:val="1"/>
    <w:link w:val="39"/>
    <w:qFormat/>
    <w:uiPriority w:val="0"/>
    <w:pPr>
      <w:jc w:val="left"/>
    </w:pPr>
  </w:style>
  <w:style w:type="paragraph" w:styleId="10">
    <w:name w:val="Body Text"/>
    <w:basedOn w:val="1"/>
    <w:qFormat/>
    <w:uiPriority w:val="0"/>
    <w:rPr>
      <w:rFonts w:ascii="金山简黑体" w:hAnsi="Courier New" w:eastAsia="金山简黑体"/>
      <w:b/>
      <w:spacing w:val="-8"/>
      <w:sz w:val="44"/>
      <w:szCs w:val="20"/>
    </w:rPr>
  </w:style>
  <w:style w:type="paragraph" w:styleId="11">
    <w:name w:val="Body Text Indent"/>
    <w:basedOn w:val="1"/>
    <w:qFormat/>
    <w:uiPriority w:val="0"/>
    <w:pPr>
      <w:spacing w:line="440" w:lineRule="exact"/>
      <w:ind w:firstLine="419" w:firstLineChars="196"/>
    </w:pPr>
    <w:rPr>
      <w:rFonts w:ascii="宋体" w:hAnsi="宋体" w:cs="Courier New"/>
      <w:spacing w:val="2"/>
    </w:rPr>
  </w:style>
  <w:style w:type="paragraph" w:styleId="12">
    <w:name w:val="Plain Text"/>
    <w:basedOn w:val="1"/>
    <w:next w:val="1"/>
    <w:link w:val="37"/>
    <w:qFormat/>
    <w:uiPriority w:val="0"/>
    <w:rPr>
      <w:rFonts w:ascii="宋体" w:hAnsi="Courier New"/>
      <w:szCs w:val="20"/>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line="420" w:lineRule="exact"/>
      <w:ind w:firstLine="409" w:firstLineChars="195"/>
    </w:pPr>
  </w:style>
  <w:style w:type="paragraph" w:styleId="15">
    <w:name w:val="Balloon Text"/>
    <w:basedOn w:val="1"/>
    <w:link w:val="36"/>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8">
    <w:name w:val="toc 2"/>
    <w:basedOn w:val="1"/>
    <w:next w:val="1"/>
    <w:qFormat/>
    <w:uiPriority w:val="0"/>
    <w:pPr>
      <w:tabs>
        <w:tab w:val="right" w:leader="dot" w:pos="9185"/>
      </w:tabs>
      <w:adjustRightInd w:val="0"/>
      <w:spacing w:line="360" w:lineRule="auto"/>
      <w:ind w:firstLine="70" w:firstLineChars="33"/>
      <w:textAlignment w:val="baseline"/>
    </w:pPr>
    <w:rPr>
      <w:rFonts w:ascii="宋体" w:hAnsi="宋体"/>
      <w:b/>
      <w:bCs/>
      <w:kern w:val="0"/>
      <w:szCs w:val="20"/>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annotation subject"/>
    <w:basedOn w:val="9"/>
    <w:next w:val="9"/>
    <w:link w:val="40"/>
    <w:qFormat/>
    <w:uiPriority w:val="0"/>
    <w:rPr>
      <w:b/>
      <w:bCs/>
    </w:rPr>
  </w:style>
  <w:style w:type="paragraph" w:styleId="21">
    <w:name w:val="Body Text First Indent 2"/>
    <w:basedOn w:val="1"/>
    <w:unhideWhenUsed/>
    <w:qFormat/>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qFormat/>
    <w:uiPriority w:val="0"/>
    <w:rPr>
      <w:color w:val="3177FD"/>
      <w:u w:val="none"/>
    </w:rPr>
  </w:style>
  <w:style w:type="character" w:styleId="27">
    <w:name w:val="HTML Definition"/>
    <w:basedOn w:val="24"/>
    <w:qFormat/>
    <w:uiPriority w:val="0"/>
    <w:rPr>
      <w:i/>
      <w:iCs/>
    </w:rPr>
  </w:style>
  <w:style w:type="character" w:styleId="28">
    <w:name w:val="Hyperlink"/>
    <w:qFormat/>
    <w:uiPriority w:val="0"/>
    <w:rPr>
      <w:color w:val="0000FF"/>
      <w:u w:val="single"/>
    </w:rPr>
  </w:style>
  <w:style w:type="character" w:styleId="29">
    <w:name w:val="HTML Code"/>
    <w:basedOn w:val="24"/>
    <w:qFormat/>
    <w:uiPriority w:val="0"/>
    <w:rPr>
      <w:rFonts w:hint="default" w:ascii="Consolas" w:hAnsi="Consolas" w:eastAsia="Consolas" w:cs="Consolas"/>
      <w:sz w:val="21"/>
      <w:szCs w:val="21"/>
    </w:rPr>
  </w:style>
  <w:style w:type="character" w:styleId="30">
    <w:name w:val="annotation reference"/>
    <w:basedOn w:val="24"/>
    <w:qFormat/>
    <w:uiPriority w:val="0"/>
    <w:rPr>
      <w:sz w:val="21"/>
      <w:szCs w:val="21"/>
    </w:rPr>
  </w:style>
  <w:style w:type="character" w:styleId="31">
    <w:name w:val="HTML Keyboard"/>
    <w:basedOn w:val="24"/>
    <w:qFormat/>
    <w:uiPriority w:val="0"/>
    <w:rPr>
      <w:rFonts w:hint="default" w:ascii="Consolas" w:hAnsi="Consolas" w:eastAsia="Consolas" w:cs="Consolas"/>
      <w:sz w:val="21"/>
      <w:szCs w:val="21"/>
    </w:rPr>
  </w:style>
  <w:style w:type="character" w:styleId="32">
    <w:name w:val="HTML Sample"/>
    <w:basedOn w:val="24"/>
    <w:qFormat/>
    <w:uiPriority w:val="0"/>
    <w:rPr>
      <w:rFonts w:ascii="Consolas" w:hAnsi="Consolas" w:eastAsia="Consolas" w:cs="Consolas"/>
      <w:sz w:val="21"/>
      <w:szCs w:val="21"/>
    </w:rPr>
  </w:style>
  <w:style w:type="paragraph" w:customStyle="1" w:styleId="33">
    <w:name w:val="表格文字"/>
    <w:basedOn w:val="1"/>
    <w:qFormat/>
    <w:uiPriority w:val="0"/>
    <w:pPr>
      <w:spacing w:before="25" w:after="25"/>
      <w:jc w:val="left"/>
    </w:pPr>
    <w:rPr>
      <w:rFonts w:ascii="Times New Roman" w:hAnsi="Times New Roman" w:eastAsia="宋体" w:cs="Times New Roman"/>
      <w:bCs/>
      <w:spacing w:val="10"/>
      <w:kern w:val="0"/>
      <w:sz w:val="24"/>
    </w:rPr>
  </w:style>
  <w:style w:type="paragraph" w:customStyle="1" w:styleId="34">
    <w:name w:val="正文段"/>
    <w:basedOn w:val="1"/>
    <w:qFormat/>
    <w:uiPriority w:val="0"/>
    <w:pPr>
      <w:widowControl/>
      <w:snapToGrid w:val="0"/>
      <w:spacing w:afterLines="50"/>
      <w:ind w:firstLine="200" w:firstLineChars="200"/>
    </w:pPr>
    <w:rPr>
      <w:kern w:val="0"/>
      <w:sz w:val="24"/>
      <w:szCs w:val="20"/>
    </w:rPr>
  </w:style>
  <w:style w:type="paragraph" w:customStyle="1" w:styleId="35">
    <w:name w:val="1"/>
    <w:basedOn w:val="1"/>
    <w:next w:val="12"/>
    <w:qFormat/>
    <w:uiPriority w:val="0"/>
    <w:rPr>
      <w:rFonts w:ascii="宋体" w:hAnsi="Courier New"/>
      <w:szCs w:val="20"/>
    </w:rPr>
  </w:style>
  <w:style w:type="character" w:customStyle="1" w:styleId="36">
    <w:name w:val="批注框文本 Char"/>
    <w:basedOn w:val="24"/>
    <w:link w:val="15"/>
    <w:qFormat/>
    <w:uiPriority w:val="0"/>
    <w:rPr>
      <w:kern w:val="2"/>
      <w:sz w:val="18"/>
      <w:szCs w:val="18"/>
    </w:rPr>
  </w:style>
  <w:style w:type="character" w:customStyle="1" w:styleId="37">
    <w:name w:val="纯文本 Char"/>
    <w:link w:val="12"/>
    <w:qFormat/>
    <w:locked/>
    <w:uiPriority w:val="0"/>
    <w:rPr>
      <w:rFonts w:ascii="宋体" w:hAnsi="Courier New"/>
      <w:kern w:val="2"/>
      <w:sz w:val="21"/>
    </w:rPr>
  </w:style>
  <w:style w:type="character" w:customStyle="1" w:styleId="38">
    <w:name w:val="纯文本 Char1"/>
    <w:basedOn w:val="24"/>
    <w:semiHidden/>
    <w:qFormat/>
    <w:locked/>
    <w:uiPriority w:val="0"/>
    <w:rPr>
      <w:rFonts w:ascii="宋体" w:hAnsi="Courier New" w:eastAsia="宋体" w:cs="Times New Roman"/>
      <w:kern w:val="2"/>
      <w:sz w:val="21"/>
    </w:rPr>
  </w:style>
  <w:style w:type="character" w:customStyle="1" w:styleId="39">
    <w:name w:val="批注文字 Char"/>
    <w:basedOn w:val="24"/>
    <w:link w:val="9"/>
    <w:qFormat/>
    <w:uiPriority w:val="0"/>
    <w:rPr>
      <w:kern w:val="2"/>
      <w:sz w:val="21"/>
      <w:szCs w:val="24"/>
    </w:rPr>
  </w:style>
  <w:style w:type="character" w:customStyle="1" w:styleId="40">
    <w:name w:val="批注主题 Char"/>
    <w:basedOn w:val="39"/>
    <w:link w:val="20"/>
    <w:qFormat/>
    <w:uiPriority w:val="0"/>
    <w:rPr>
      <w:b/>
      <w:bCs/>
    </w:rPr>
  </w:style>
  <w:style w:type="paragraph" w:styleId="41">
    <w:name w:val="List Paragraph"/>
    <w:basedOn w:val="1"/>
    <w:unhideWhenUsed/>
    <w:qFormat/>
    <w:uiPriority w:val="99"/>
    <w:pPr>
      <w:ind w:firstLine="420" w:firstLineChars="200"/>
    </w:pPr>
  </w:style>
  <w:style w:type="character" w:customStyle="1" w:styleId="42">
    <w:name w:val="标题 3 Char"/>
    <w:basedOn w:val="24"/>
    <w:link w:val="5"/>
    <w:semiHidden/>
    <w:qFormat/>
    <w:uiPriority w:val="0"/>
    <w:rPr>
      <w:b/>
      <w:bCs/>
      <w:kern w:val="2"/>
      <w:sz w:val="32"/>
      <w:szCs w:val="32"/>
    </w:rPr>
  </w:style>
  <w:style w:type="character" w:customStyle="1" w:styleId="43">
    <w:name w:val="标题 4 Char"/>
    <w:basedOn w:val="24"/>
    <w:link w:val="6"/>
    <w:semiHidden/>
    <w:qFormat/>
    <w:uiPriority w:val="0"/>
    <w:rPr>
      <w:rFonts w:asciiTheme="majorHAnsi" w:hAnsiTheme="majorHAnsi" w:eastAsiaTheme="majorEastAsia" w:cstheme="majorBidi"/>
      <w:b/>
      <w:bCs/>
      <w:kern w:val="2"/>
      <w:sz w:val="28"/>
      <w:szCs w:val="28"/>
    </w:rPr>
  </w:style>
  <w:style w:type="character" w:customStyle="1" w:styleId="44">
    <w:name w:val="标题 5 Char"/>
    <w:basedOn w:val="24"/>
    <w:link w:val="7"/>
    <w:semiHidden/>
    <w:qFormat/>
    <w:uiPriority w:val="0"/>
    <w:rPr>
      <w:b/>
      <w:bCs/>
      <w:kern w:val="2"/>
      <w:sz w:val="28"/>
      <w:szCs w:val="28"/>
    </w:rPr>
  </w:style>
  <w:style w:type="character" w:customStyle="1" w:styleId="45">
    <w:name w:val="正文文本 (19)_"/>
    <w:link w:val="46"/>
    <w:qFormat/>
    <w:uiPriority w:val="0"/>
    <w:rPr>
      <w:rFonts w:ascii="MingLiU" w:hAnsi="MingLiU" w:eastAsia="MingLiU" w:cs="MingLiU"/>
      <w:b/>
      <w:bCs/>
      <w:spacing w:val="10"/>
      <w:sz w:val="22"/>
      <w:shd w:val="clear" w:color="auto" w:fill="FFFFFF"/>
    </w:rPr>
  </w:style>
  <w:style w:type="paragraph" w:customStyle="1" w:styleId="46">
    <w:name w:val="正文文本 (19)"/>
    <w:basedOn w:val="1"/>
    <w:link w:val="45"/>
    <w:qFormat/>
    <w:uiPriority w:val="0"/>
    <w:pPr>
      <w:shd w:val="clear" w:color="auto" w:fill="FFFFFF"/>
      <w:spacing w:line="559" w:lineRule="exact"/>
      <w:jc w:val="left"/>
    </w:pPr>
    <w:rPr>
      <w:rFonts w:ascii="MingLiU" w:hAnsi="MingLiU" w:eastAsia="MingLiU" w:cs="MingLiU"/>
      <w:b/>
      <w:bCs/>
      <w:spacing w:val="10"/>
      <w:kern w:val="0"/>
      <w:sz w:val="22"/>
      <w:szCs w:val="20"/>
    </w:rPr>
  </w:style>
  <w:style w:type="character" w:customStyle="1" w:styleId="47">
    <w:name w:val="目录 (2) + 间距 0 pt"/>
    <w:qFormat/>
    <w:uiPriority w:val="0"/>
    <w:rPr>
      <w:rFonts w:ascii="MingLiU" w:hAnsi="MingLiU" w:eastAsia="MingLiU" w:cs="MingLiU"/>
      <w:color w:val="000000"/>
      <w:spacing w:val="0"/>
      <w:w w:val="100"/>
      <w:position w:val="0"/>
      <w:sz w:val="22"/>
      <w:szCs w:val="22"/>
      <w:u w:val="none"/>
      <w:lang w:val="zh-CN" w:eastAsia="zh-CN"/>
    </w:rPr>
  </w:style>
  <w:style w:type="character" w:customStyle="1" w:styleId="48">
    <w:name w:val="页眉 Char"/>
    <w:link w:val="17"/>
    <w:qFormat/>
    <w:uiPriority w:val="99"/>
    <w:rPr>
      <w:kern w:val="2"/>
      <w:sz w:val="18"/>
      <w:szCs w:val="18"/>
    </w:rPr>
  </w:style>
  <w:style w:type="character" w:customStyle="1" w:styleId="49">
    <w:name w:val="标题 #8_"/>
    <w:link w:val="50"/>
    <w:qFormat/>
    <w:uiPriority w:val="0"/>
    <w:rPr>
      <w:rFonts w:ascii="MingLiU" w:hAnsi="MingLiU" w:eastAsia="MingLiU" w:cs="MingLiU"/>
      <w:b/>
      <w:bCs/>
      <w:spacing w:val="10"/>
      <w:sz w:val="22"/>
      <w:shd w:val="clear" w:color="auto" w:fill="FFFFFF"/>
    </w:rPr>
  </w:style>
  <w:style w:type="paragraph" w:customStyle="1" w:styleId="50">
    <w:name w:val="标题 #8"/>
    <w:basedOn w:val="1"/>
    <w:link w:val="49"/>
    <w:qFormat/>
    <w:uiPriority w:val="0"/>
    <w:pPr>
      <w:shd w:val="clear" w:color="auto" w:fill="FFFFFF"/>
      <w:spacing w:before="120" w:after="420" w:line="0" w:lineRule="atLeast"/>
      <w:jc w:val="left"/>
      <w:outlineLvl w:val="7"/>
    </w:pPr>
    <w:rPr>
      <w:rFonts w:ascii="MingLiU" w:hAnsi="MingLiU" w:eastAsia="MingLiU" w:cs="MingLiU"/>
      <w:b/>
      <w:bCs/>
      <w:spacing w:val="10"/>
      <w:kern w:val="0"/>
      <w:sz w:val="22"/>
      <w:szCs w:val="20"/>
    </w:rPr>
  </w:style>
  <w:style w:type="character" w:customStyle="1" w:styleId="51">
    <w:name w:val="正文文本 (2) + 间距 2 pt1"/>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52">
    <w:name w:val="正文文本 (2) + 间距 7 pt"/>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53">
    <w:name w:val="标题 #7 (4) + 间距 7 pt"/>
    <w:qFormat/>
    <w:uiPriority w:val="0"/>
    <w:rPr>
      <w:rFonts w:ascii="MingLiU" w:hAnsi="MingLiU" w:eastAsia="MingLiU"/>
      <w:color w:val="000000"/>
      <w:spacing w:val="140"/>
      <w:w w:val="100"/>
      <w:position w:val="0"/>
      <w:sz w:val="26"/>
      <w:szCs w:val="26"/>
      <w:lang w:val="zh-CN" w:eastAsia="zh-CN" w:bidi="ar-SA"/>
    </w:rPr>
  </w:style>
  <w:style w:type="character" w:customStyle="1" w:styleId="54">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55">
    <w:name w:val="标题 #7_"/>
    <w:link w:val="56"/>
    <w:qFormat/>
    <w:locked/>
    <w:uiPriority w:val="0"/>
    <w:rPr>
      <w:rFonts w:ascii="MingLiU" w:hAnsi="MingLiU" w:eastAsia="MingLiU"/>
      <w:spacing w:val="30"/>
      <w:sz w:val="26"/>
      <w:szCs w:val="26"/>
      <w:shd w:val="clear" w:color="auto" w:fill="FFFFFF"/>
    </w:rPr>
  </w:style>
  <w:style w:type="paragraph" w:customStyle="1" w:styleId="56">
    <w:name w:val="标题 #7"/>
    <w:basedOn w:val="1"/>
    <w:link w:val="55"/>
    <w:qFormat/>
    <w:uiPriority w:val="0"/>
    <w:pPr>
      <w:shd w:val="clear" w:color="auto" w:fill="FFFFFF"/>
      <w:spacing w:before="540" w:after="540" w:line="240" w:lineRule="atLeast"/>
      <w:jc w:val="center"/>
      <w:outlineLvl w:val="6"/>
    </w:pPr>
    <w:rPr>
      <w:rFonts w:ascii="MingLiU" w:hAnsi="MingLiU" w:eastAsia="MingLiU"/>
      <w:spacing w:val="30"/>
      <w:kern w:val="0"/>
      <w:sz w:val="26"/>
      <w:szCs w:val="26"/>
    </w:rPr>
  </w:style>
  <w:style w:type="character" w:customStyle="1" w:styleId="57">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58">
    <w:name w:val="样式 宋体 小四 加粗 黑色"/>
    <w:qFormat/>
    <w:uiPriority w:val="0"/>
    <w:rPr>
      <w:rFonts w:ascii="宋体" w:hAnsi="宋体"/>
      <w:b/>
      <w:bCs/>
      <w:color w:val="000000"/>
      <w:sz w:val="24"/>
    </w:rPr>
  </w:style>
  <w:style w:type="character" w:customStyle="1" w:styleId="59">
    <w:name w:val="标题 #8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60">
    <w:name w:val="标题 #7 (4)_"/>
    <w:link w:val="61"/>
    <w:qFormat/>
    <w:locked/>
    <w:uiPriority w:val="0"/>
    <w:rPr>
      <w:rFonts w:ascii="MingLiU" w:hAnsi="MingLiU" w:eastAsia="MingLiU"/>
      <w:sz w:val="26"/>
      <w:szCs w:val="26"/>
      <w:shd w:val="clear" w:color="auto" w:fill="FFFFFF"/>
    </w:rPr>
  </w:style>
  <w:style w:type="paragraph" w:customStyle="1" w:styleId="61">
    <w:name w:val="标题 #7 (4)"/>
    <w:basedOn w:val="1"/>
    <w:link w:val="60"/>
    <w:qFormat/>
    <w:uiPriority w:val="0"/>
    <w:pPr>
      <w:shd w:val="clear" w:color="auto" w:fill="FFFFFF"/>
      <w:spacing w:after="1020" w:line="240" w:lineRule="atLeast"/>
      <w:jc w:val="left"/>
      <w:outlineLvl w:val="6"/>
    </w:pPr>
    <w:rPr>
      <w:rFonts w:ascii="MingLiU" w:hAnsi="MingLiU" w:eastAsia="MingLiU"/>
      <w:kern w:val="0"/>
      <w:sz w:val="26"/>
      <w:szCs w:val="26"/>
    </w:rPr>
  </w:style>
  <w:style w:type="character" w:customStyle="1" w:styleId="62">
    <w:name w:val="标题 #7 (5)_"/>
    <w:link w:val="63"/>
    <w:qFormat/>
    <w:locked/>
    <w:uiPriority w:val="0"/>
    <w:rPr>
      <w:rFonts w:ascii="MingLiU" w:hAnsi="MingLiU" w:eastAsia="MingLiU"/>
      <w:spacing w:val="50"/>
      <w:sz w:val="30"/>
      <w:szCs w:val="30"/>
      <w:shd w:val="clear" w:color="auto" w:fill="FFFFFF"/>
    </w:rPr>
  </w:style>
  <w:style w:type="paragraph" w:customStyle="1" w:styleId="63">
    <w:name w:val="标题 #7 (5)"/>
    <w:basedOn w:val="1"/>
    <w:link w:val="62"/>
    <w:qFormat/>
    <w:uiPriority w:val="0"/>
    <w:pPr>
      <w:shd w:val="clear" w:color="auto" w:fill="FFFFFF"/>
      <w:spacing w:line="559" w:lineRule="exact"/>
      <w:jc w:val="left"/>
      <w:outlineLvl w:val="6"/>
    </w:pPr>
    <w:rPr>
      <w:rFonts w:ascii="MingLiU" w:hAnsi="MingLiU" w:eastAsia="MingLiU"/>
      <w:spacing w:val="50"/>
      <w:kern w:val="0"/>
      <w:sz w:val="30"/>
      <w:szCs w:val="30"/>
    </w:rPr>
  </w:style>
  <w:style w:type="character" w:customStyle="1" w:styleId="64">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65">
    <w:name w:val="正文文本 (42)_"/>
    <w:link w:val="66"/>
    <w:qFormat/>
    <w:locked/>
    <w:uiPriority w:val="0"/>
    <w:rPr>
      <w:rFonts w:ascii="MingLiU" w:hAnsi="MingLiU" w:eastAsia="MingLiU"/>
      <w:b/>
      <w:bCs/>
      <w:shd w:val="clear" w:color="auto" w:fill="FFFFFF"/>
    </w:rPr>
  </w:style>
  <w:style w:type="paragraph" w:customStyle="1" w:styleId="66">
    <w:name w:val="正文文本 (42)1"/>
    <w:basedOn w:val="1"/>
    <w:link w:val="65"/>
    <w:qFormat/>
    <w:uiPriority w:val="0"/>
    <w:pPr>
      <w:shd w:val="clear" w:color="auto" w:fill="FFFFFF"/>
      <w:spacing w:line="398" w:lineRule="exact"/>
      <w:jc w:val="distribute"/>
    </w:pPr>
    <w:rPr>
      <w:rFonts w:ascii="MingLiU" w:hAnsi="MingLiU" w:eastAsia="MingLiU"/>
      <w:b/>
      <w:bCs/>
      <w:kern w:val="0"/>
      <w:sz w:val="20"/>
      <w:szCs w:val="20"/>
    </w:rPr>
  </w:style>
  <w:style w:type="character" w:customStyle="1" w:styleId="67">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68">
    <w:name w:val="正文文本 (14)_"/>
    <w:link w:val="69"/>
    <w:qFormat/>
    <w:uiPriority w:val="0"/>
    <w:rPr>
      <w:rFonts w:ascii="MingLiU" w:hAnsi="MingLiU" w:eastAsia="MingLiU" w:cs="MingLiU"/>
      <w:sz w:val="18"/>
      <w:szCs w:val="18"/>
      <w:shd w:val="clear" w:color="auto" w:fill="FFFFFF"/>
    </w:rPr>
  </w:style>
  <w:style w:type="paragraph" w:customStyle="1" w:styleId="69">
    <w:name w:val="正文文本 (14)"/>
    <w:basedOn w:val="1"/>
    <w:link w:val="68"/>
    <w:qFormat/>
    <w:uiPriority w:val="0"/>
    <w:pPr>
      <w:shd w:val="clear" w:color="auto" w:fill="FFFFFF"/>
      <w:spacing w:before="300" w:line="300" w:lineRule="exact"/>
      <w:jc w:val="distribute"/>
    </w:pPr>
    <w:rPr>
      <w:rFonts w:ascii="MingLiU" w:hAnsi="MingLiU" w:eastAsia="MingLiU" w:cs="MingLiU"/>
      <w:kern w:val="0"/>
      <w:sz w:val="18"/>
      <w:szCs w:val="18"/>
    </w:rPr>
  </w:style>
  <w:style w:type="character" w:customStyle="1" w:styleId="70">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71">
    <w:name w:val="标题 #7 (5) + 间距 0 pt"/>
    <w:qFormat/>
    <w:uiPriority w:val="0"/>
    <w:rPr>
      <w:rFonts w:ascii="MingLiU" w:hAnsi="MingLiU" w:eastAsia="MingLiU"/>
      <w:color w:val="000000"/>
      <w:spacing w:val="0"/>
      <w:w w:val="100"/>
      <w:position w:val="0"/>
      <w:sz w:val="30"/>
      <w:szCs w:val="30"/>
      <w:lang w:val="zh-CN" w:eastAsia="zh-CN" w:bidi="ar-SA"/>
    </w:rPr>
  </w:style>
  <w:style w:type="character" w:customStyle="1" w:styleId="72">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73">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74">
    <w:name w:val="正文文本 (2)_"/>
    <w:link w:val="75"/>
    <w:qFormat/>
    <w:uiPriority w:val="0"/>
    <w:rPr>
      <w:rFonts w:ascii="MingLiU" w:hAnsi="MingLiU" w:eastAsia="MingLiU" w:cs="MingLiU"/>
      <w:spacing w:val="20"/>
      <w:sz w:val="22"/>
      <w:shd w:val="clear" w:color="auto" w:fill="FFFFFF"/>
    </w:rPr>
  </w:style>
  <w:style w:type="paragraph" w:customStyle="1" w:styleId="75">
    <w:name w:val="正文文本 (2)4"/>
    <w:basedOn w:val="1"/>
    <w:link w:val="74"/>
    <w:qFormat/>
    <w:uiPriority w:val="0"/>
    <w:pPr>
      <w:shd w:val="clear" w:color="auto" w:fill="FFFFFF"/>
      <w:spacing w:before="300" w:line="439" w:lineRule="exact"/>
      <w:jc w:val="distribute"/>
    </w:pPr>
    <w:rPr>
      <w:rFonts w:ascii="MingLiU" w:hAnsi="MingLiU" w:eastAsia="MingLiU" w:cs="MingLiU"/>
      <w:spacing w:val="20"/>
      <w:kern w:val="0"/>
      <w:sz w:val="22"/>
      <w:szCs w:val="20"/>
    </w:rPr>
  </w:style>
  <w:style w:type="character" w:customStyle="1" w:styleId="76">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77">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78">
    <w:name w:val="正文文本 (42)"/>
    <w:qFormat/>
    <w:uiPriority w:val="0"/>
    <w:rPr>
      <w:rFonts w:ascii="MingLiU" w:hAnsi="MingLiU" w:eastAsia="MingLiU"/>
      <w:b/>
      <w:bCs/>
      <w:color w:val="000000"/>
      <w:spacing w:val="0"/>
      <w:w w:val="100"/>
      <w:position w:val="0"/>
      <w:u w:val="single"/>
      <w:lang w:val="zh-CN" w:eastAsia="zh-CN" w:bidi="ar-SA"/>
    </w:rPr>
  </w:style>
  <w:style w:type="paragraph" w:customStyle="1" w:styleId="79">
    <w:name w:val="样式7"/>
    <w:basedOn w:val="1"/>
    <w:qFormat/>
    <w:uiPriority w:val="0"/>
    <w:pPr>
      <w:spacing w:line="480" w:lineRule="exact"/>
      <w:jc w:val="center"/>
    </w:pPr>
    <w:rPr>
      <w:rFonts w:eastAsia="方正大标宋简体"/>
      <w:spacing w:val="6"/>
      <w:sz w:val="44"/>
    </w:rPr>
  </w:style>
  <w:style w:type="paragraph" w:customStyle="1" w:styleId="8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p16"/>
    <w:basedOn w:val="1"/>
    <w:qFormat/>
    <w:uiPriority w:val="0"/>
    <w:pPr>
      <w:widowControl/>
    </w:pPr>
    <w:rPr>
      <w:rFonts w:ascii="宋体" w:hAnsi="宋体" w:cs="宋体"/>
      <w:kern w:val="0"/>
      <w:szCs w:val="21"/>
    </w:rPr>
  </w:style>
  <w:style w:type="paragraph" w:customStyle="1" w:styleId="82">
    <w:name w:val="标题 4_0"/>
    <w:basedOn w:val="83"/>
    <w:next w:val="80"/>
    <w:unhideWhenUsed/>
    <w:qFormat/>
    <w:uiPriority w:val="0"/>
    <w:pPr>
      <w:keepNext/>
      <w:keepLines/>
      <w:spacing w:line="360" w:lineRule="auto"/>
      <w:outlineLvl w:val="3"/>
    </w:pPr>
    <w:rPr>
      <w:rFonts w:ascii="Arial" w:hAnsi="Arial" w:cs="Times New Roman"/>
      <w:b/>
      <w:bCs/>
      <w:sz w:val="28"/>
      <w:szCs w:val="28"/>
    </w:rPr>
  </w:style>
  <w:style w:type="paragraph" w:customStyle="1" w:styleId="83">
    <w:name w:val="正文_0"/>
    <w:next w:val="1"/>
    <w:qFormat/>
    <w:uiPriority w:val="0"/>
    <w:pPr>
      <w:widowControl w:val="0"/>
      <w:jc w:val="both"/>
    </w:pPr>
    <w:rPr>
      <w:rFonts w:ascii="Calibri" w:hAnsi="宋体" w:eastAsia="宋体" w:cs="宋体"/>
      <w:sz w:val="21"/>
      <w:lang w:val="en-US" w:eastAsia="zh-CN" w:bidi="ar-SA"/>
    </w:rPr>
  </w:style>
  <w:style w:type="paragraph" w:customStyle="1" w:styleId="8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85">
    <w:name w:val="ant-select-tree-checkbox"/>
    <w:basedOn w:val="24"/>
    <w:qFormat/>
    <w:uiPriority w:val="0"/>
  </w:style>
  <w:style w:type="character" w:customStyle="1" w:styleId="86">
    <w:name w:val="ant-radio+*"/>
    <w:basedOn w:val="24"/>
    <w:qFormat/>
    <w:uiPriority w:val="0"/>
  </w:style>
  <w:style w:type="character" w:customStyle="1" w:styleId="87">
    <w:name w:val="ant-input12"/>
    <w:basedOn w:val="24"/>
    <w:qFormat/>
    <w:uiPriority w:val="0"/>
  </w:style>
  <w:style w:type="character" w:customStyle="1" w:styleId="88">
    <w:name w:val="ant-tree-iconele"/>
    <w:basedOn w:val="24"/>
    <w:qFormat/>
    <w:uiPriority w:val="0"/>
  </w:style>
  <w:style w:type="character" w:customStyle="1" w:styleId="89">
    <w:name w:val="ant-select-tree-switcher"/>
    <w:basedOn w:val="24"/>
    <w:qFormat/>
    <w:uiPriority w:val="0"/>
  </w:style>
  <w:style w:type="character" w:customStyle="1" w:styleId="90">
    <w:name w:val="ant-select-tree-iconele"/>
    <w:basedOn w:val="24"/>
    <w:qFormat/>
    <w:uiPriority w:val="0"/>
  </w:style>
  <w:style w:type="character" w:customStyle="1" w:styleId="91">
    <w:name w:val="ant-tree-switcher"/>
    <w:basedOn w:val="24"/>
    <w:qFormat/>
    <w:uiPriority w:val="0"/>
  </w:style>
  <w:style w:type="character" w:customStyle="1" w:styleId="92">
    <w:name w:val="ant-tree-icon_loading"/>
    <w:basedOn w:val="24"/>
    <w:qFormat/>
    <w:uiPriority w:val="0"/>
    <w:rPr>
      <w:shd w:val="clear" w:fill="FFFFFF"/>
    </w:rPr>
  </w:style>
  <w:style w:type="character" w:customStyle="1" w:styleId="93">
    <w:name w:val="ant-tree-checkbox2"/>
    <w:basedOn w:val="24"/>
    <w:qFormat/>
    <w:uiPriority w:val="0"/>
  </w:style>
  <w:style w:type="character" w:customStyle="1" w:styleId="94">
    <w:name w:val="ant-transfer-list-search-action"/>
    <w:basedOn w:val="24"/>
    <w:qFormat/>
    <w:uiPriority w:val="0"/>
  </w:style>
  <w:style w:type="paragraph" w:customStyle="1" w:styleId="95">
    <w:name w:val="_Style 94"/>
    <w:basedOn w:val="1"/>
    <w:next w:val="1"/>
    <w:qFormat/>
    <w:uiPriority w:val="0"/>
    <w:pPr>
      <w:pBdr>
        <w:bottom w:val="single" w:color="auto" w:sz="6" w:space="1"/>
      </w:pBdr>
      <w:jc w:val="center"/>
    </w:pPr>
    <w:rPr>
      <w:rFonts w:ascii="Arial" w:eastAsia="宋体"/>
      <w:vanish/>
      <w:sz w:val="16"/>
    </w:rPr>
  </w:style>
  <w:style w:type="paragraph" w:customStyle="1" w:styleId="96">
    <w:name w:val="_Style 95"/>
    <w:basedOn w:val="1"/>
    <w:next w:val="1"/>
    <w:qFormat/>
    <w:uiPriority w:val="0"/>
    <w:pPr>
      <w:pBdr>
        <w:top w:val="single" w:color="auto" w:sz="6" w:space="1"/>
      </w:pBdr>
      <w:jc w:val="center"/>
    </w:pPr>
    <w:rPr>
      <w:rFonts w:ascii="Arial" w:eastAsia="宋体"/>
      <w:vanish/>
      <w:sz w:val="16"/>
    </w:rPr>
  </w:style>
  <w:style w:type="character" w:customStyle="1" w:styleId="97">
    <w:name w:val="text5"/>
    <w:basedOn w:val="24"/>
    <w:qFormat/>
    <w:uiPriority w:val="0"/>
    <w:rPr>
      <w:strike/>
    </w:rPr>
  </w:style>
  <w:style w:type="character" w:customStyle="1" w:styleId="98">
    <w:name w:val="ant-radio+*1"/>
    <w:basedOn w:val="24"/>
    <w:qFormat/>
    <w:uiPriority w:val="0"/>
  </w:style>
  <w:style w:type="character" w:customStyle="1" w:styleId="99">
    <w:name w:val="last-of-type"/>
    <w:basedOn w:val="24"/>
    <w:qFormat/>
    <w:uiPriority w:val="0"/>
    <w:rPr>
      <w:color w:val="FF4A44"/>
      <w:sz w:val="27"/>
      <w:szCs w:val="27"/>
    </w:rPr>
  </w:style>
  <w:style w:type="character" w:customStyle="1" w:styleId="100">
    <w:name w:val="ant-badge-status-dot"/>
    <w:basedOn w:val="24"/>
    <w:qFormat/>
    <w:uiPriority w:val="0"/>
    <w:rPr>
      <w:shd w:val="clear" w:fill="FFFFFF"/>
    </w:rPr>
  </w:style>
  <w:style w:type="character" w:customStyle="1" w:styleId="101">
    <w:name w:val="edui-clickable2"/>
    <w:basedOn w:val="24"/>
    <w:qFormat/>
    <w:uiPriority w:val="0"/>
    <w:rPr>
      <w:color w:val="0000FF"/>
      <w:u w:val="single"/>
    </w:rPr>
  </w:style>
  <w:style w:type="character" w:customStyle="1" w:styleId="102">
    <w:name w:val="info-content"/>
    <w:basedOn w:val="24"/>
    <w:qFormat/>
    <w:uiPriority w:val="0"/>
    <w:rPr>
      <w:color w:val="808080"/>
    </w:rPr>
  </w:style>
  <w:style w:type="character" w:customStyle="1" w:styleId="103">
    <w:name w:val="last-child4"/>
    <w:basedOn w:val="24"/>
    <w:qFormat/>
    <w:uiPriority w:val="0"/>
  </w:style>
  <w:style w:type="character" w:customStyle="1" w:styleId="104">
    <w:name w:val="last-child5"/>
    <w:basedOn w:val="24"/>
    <w:qFormat/>
    <w:uiPriority w:val="0"/>
  </w:style>
  <w:style w:type="character" w:customStyle="1" w:styleId="105">
    <w:name w:val="last-child6"/>
    <w:basedOn w:val="24"/>
    <w:qFormat/>
    <w:uiPriority w:val="0"/>
  </w:style>
  <w:style w:type="character" w:customStyle="1" w:styleId="106">
    <w:name w:val="last-child7"/>
    <w:basedOn w:val="24"/>
    <w:qFormat/>
    <w:uiPriority w:val="0"/>
  </w:style>
  <w:style w:type="character" w:customStyle="1" w:styleId="107">
    <w:name w:val="hover10"/>
    <w:basedOn w:val="24"/>
    <w:qFormat/>
    <w:uiPriority w:val="0"/>
    <w:rPr>
      <w:color w:val="3177FD"/>
    </w:rPr>
  </w:style>
  <w:style w:type="character" w:customStyle="1" w:styleId="108">
    <w:name w:val="current"/>
    <w:basedOn w:val="24"/>
    <w:qFormat/>
    <w:uiPriority w:val="0"/>
    <w:rPr>
      <w:color w:val="00C1DE"/>
    </w:rPr>
  </w:style>
  <w:style w:type="character" w:customStyle="1" w:styleId="109">
    <w:name w:val="current1"/>
    <w:basedOn w:val="24"/>
    <w:qFormat/>
    <w:uiPriority w:val="0"/>
    <w:rPr>
      <w:color w:val="00C1DE"/>
    </w:rPr>
  </w:style>
  <w:style w:type="character" w:customStyle="1" w:styleId="110">
    <w:name w:val="ant-input56"/>
    <w:basedOn w:val="24"/>
    <w:qFormat/>
    <w:uiPriority w:val="0"/>
  </w:style>
  <w:style w:type="character" w:customStyle="1" w:styleId="111">
    <w:name w:val="first-child4"/>
    <w:basedOn w:val="24"/>
    <w:qFormat/>
    <w:uiPriority w:val="0"/>
  </w:style>
  <w:style w:type="character" w:customStyle="1" w:styleId="112">
    <w:name w:val="edui-unclickable"/>
    <w:basedOn w:val="24"/>
    <w:qFormat/>
    <w:uiPriority w:val="0"/>
    <w:rPr>
      <w:color w:val="808080"/>
    </w:rPr>
  </w:style>
  <w:style w:type="character" w:customStyle="1" w:styleId="113">
    <w:name w:val="tag-type"/>
    <w:basedOn w:val="24"/>
    <w:qFormat/>
    <w:uiPriority w:val="0"/>
    <w:rPr>
      <w:color w:val="FFFFFF"/>
      <w:sz w:val="18"/>
      <w:szCs w:val="18"/>
      <w:shd w:val="clear" w:fill="317FFD"/>
    </w:rPr>
  </w:style>
  <w:style w:type="character" w:customStyle="1" w:styleId="114">
    <w:name w:val="tag-type1"/>
    <w:basedOn w:val="24"/>
    <w:qFormat/>
    <w:uiPriority w:val="0"/>
    <w:rPr>
      <w:color w:val="FFFFFF"/>
      <w:sz w:val="18"/>
      <w:szCs w:val="18"/>
      <w:shd w:val="clear" w:fill="317FFD"/>
    </w:rPr>
  </w:style>
  <w:style w:type="character" w:customStyle="1" w:styleId="115">
    <w:name w:val="ant-select-tree-checkbox2"/>
    <w:basedOn w:val="24"/>
    <w:qFormat/>
    <w:uiPriority w:val="0"/>
  </w:style>
  <w:style w:type="character" w:customStyle="1" w:styleId="116">
    <w:name w:val="change-camera-place"/>
    <w:basedOn w:val="24"/>
    <w:qFormat/>
    <w:uiPriority w:val="0"/>
    <w:rPr>
      <w:color w:val="3177FD"/>
    </w:rPr>
  </w:style>
  <w:style w:type="character" w:customStyle="1" w:styleId="117">
    <w:name w:val="label2"/>
    <w:basedOn w:val="24"/>
    <w:qFormat/>
    <w:uiPriority w:val="0"/>
  </w:style>
  <w:style w:type="character" w:customStyle="1" w:styleId="118">
    <w:name w:val="content10"/>
    <w:basedOn w:val="24"/>
    <w:qFormat/>
    <w:uiPriority w:val="0"/>
  </w:style>
  <w:style w:type="character" w:customStyle="1" w:styleId="119">
    <w:name w:val="info-label"/>
    <w:basedOn w:val="24"/>
    <w:qFormat/>
    <w:uiPriority w:val="0"/>
    <w:rPr>
      <w:b/>
      <w:bCs/>
    </w:rPr>
  </w:style>
  <w:style w:type="character" w:customStyle="1" w:styleId="120">
    <w:name w:val="last-child3"/>
    <w:basedOn w:val="24"/>
    <w:qFormat/>
    <w:uiPriority w:val="0"/>
  </w:style>
  <w:style w:type="character" w:customStyle="1" w:styleId="121">
    <w:name w:val="label"/>
    <w:basedOn w:val="24"/>
    <w:qFormat/>
    <w:uiPriority w:val="0"/>
  </w:style>
  <w:style w:type="character" w:customStyle="1" w:styleId="122">
    <w:name w:val="ant-input55"/>
    <w:basedOn w:val="24"/>
    <w:qFormat/>
    <w:uiPriority w:val="0"/>
  </w:style>
  <w:style w:type="character" w:customStyle="1" w:styleId="123">
    <w:name w:val="first-child5"/>
    <w:basedOn w:val="24"/>
    <w:qFormat/>
    <w:uiPriority w:val="0"/>
  </w:style>
  <w:style w:type="character" w:customStyle="1" w:styleId="124">
    <w:name w:val="last-child"/>
    <w:basedOn w:val="24"/>
    <w:qFormat/>
    <w:uiPriority w:val="0"/>
  </w:style>
  <w:style w:type="character" w:customStyle="1" w:styleId="125">
    <w:name w:val="last-child1"/>
    <w:basedOn w:val="24"/>
    <w:qFormat/>
    <w:uiPriority w:val="0"/>
  </w:style>
  <w:style w:type="character" w:customStyle="1" w:styleId="126">
    <w:name w:val="last-child2"/>
    <w:basedOn w:val="24"/>
    <w:qFormat/>
    <w:uiPriority w:val="0"/>
  </w:style>
  <w:style w:type="character" w:customStyle="1" w:styleId="127">
    <w:name w:val="ant-input"/>
    <w:basedOn w:val="24"/>
    <w:qFormat/>
    <w:uiPriority w:val="0"/>
  </w:style>
  <w:style w:type="character" w:customStyle="1" w:styleId="128">
    <w:name w:val="ant-input54"/>
    <w:basedOn w:val="24"/>
    <w:qFormat/>
    <w:uiPriority w:val="0"/>
  </w:style>
  <w:style w:type="character" w:customStyle="1" w:styleId="129">
    <w:name w:val="ant-tree-checkbox"/>
    <w:basedOn w:val="24"/>
    <w:qFormat/>
    <w:uiPriority w:val="0"/>
  </w:style>
  <w:style w:type="character" w:customStyle="1" w:styleId="130">
    <w:name w:val="hover11"/>
    <w:basedOn w:val="24"/>
    <w:qFormat/>
    <w:uiPriority w:val="0"/>
    <w:rPr>
      <w:color w:val="3177FD"/>
    </w:rPr>
  </w:style>
  <w:style w:type="character" w:customStyle="1" w:styleId="131">
    <w:name w:val="content"/>
    <w:basedOn w:val="24"/>
    <w:qFormat/>
    <w:uiPriority w:val="0"/>
  </w:style>
  <w:style w:type="character" w:customStyle="1" w:styleId="132">
    <w:name w:val="hover7"/>
    <w:basedOn w:val="24"/>
    <w:qFormat/>
    <w:uiPriority w:val="0"/>
    <w:rPr>
      <w:color w:val="3177FD"/>
    </w:rPr>
  </w:style>
  <w:style w:type="character" w:customStyle="1" w:styleId="133">
    <w:name w:val="ant-badge-status-dot2"/>
    <w:basedOn w:val="24"/>
    <w:qFormat/>
    <w:uiPriority w:val="0"/>
    <w:rPr>
      <w:shd w:val="clear" w:fill="FFFFFF"/>
    </w:rPr>
  </w:style>
  <w:style w:type="character" w:customStyle="1" w:styleId="134">
    <w:name w:val="ant-input50"/>
    <w:basedOn w:val="24"/>
    <w:qFormat/>
    <w:uiPriority w:val="0"/>
  </w:style>
  <w:style w:type="paragraph" w:customStyle="1" w:styleId="13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88EC5-659B-4206-99DF-C7328E10E09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4301</Words>
  <Characters>24517</Characters>
  <Lines>204</Lines>
  <Paragraphs>57</Paragraphs>
  <TotalTime>29</TotalTime>
  <ScaleCrop>false</ScaleCrop>
  <LinksUpToDate>false</LinksUpToDate>
  <CharactersWithSpaces>28761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2018-05-03T03:38:00Z</dcterms:created>
  <dc:creator>白</dc:creator>
  <cp:lastModifiedBy>罗</cp:lastModifiedBy>
  <cp:lastPrinted>2021-08-20T02:20:00Z</cp:lastPrinted>
  <dcterms:modified xsi:type="dcterms:W3CDTF">2021-10-08T09:45:40Z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6D3720FBDB294185918408FA89E49C82</vt:lpwstr>
  </property>
</Properties>
</file>