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b w:val="0"/>
          <w:bCs w:val="0"/>
          <w:color w:val="auto"/>
          <w:kern w:val="2"/>
          <w:sz w:val="21"/>
          <w:szCs w:val="24"/>
          <w:highlight w:val="none"/>
          <w:lang w:val="zh-CN"/>
        </w:rPr>
        <w:id w:val="22798034"/>
        <w:docPartObj>
          <w:docPartGallery w:val="Table of Contents"/>
          <w:docPartUnique/>
        </w:docPartObj>
      </w:sdtPr>
      <w:sdtEndPr>
        <w:rPr>
          <w:rFonts w:asciiTheme="minorHAnsi" w:hAnsiTheme="minorHAnsi" w:eastAsiaTheme="minorEastAsia" w:cstheme="minorBidi"/>
          <w:b w:val="0"/>
          <w:bCs w:val="0"/>
          <w:color w:val="auto"/>
          <w:kern w:val="2"/>
          <w:sz w:val="21"/>
          <w:szCs w:val="24"/>
          <w:highlight w:val="none"/>
          <w:lang w:val="en-US"/>
        </w:rPr>
      </w:sdtEndPr>
      <w:sdtContent>
        <w:p>
          <w:pPr>
            <w:pStyle w:val="30"/>
            <w:jc w:val="center"/>
            <w:rPr>
              <w:color w:val="auto"/>
              <w:highlight w:val="none"/>
            </w:rPr>
          </w:pPr>
          <w:r>
            <w:rPr>
              <w:color w:val="auto"/>
              <w:sz w:val="36"/>
              <w:szCs w:val="36"/>
              <w:highlight w:val="none"/>
              <w:lang w:val="zh-CN"/>
            </w:rPr>
            <w:t>目</w:t>
          </w:r>
          <w:r>
            <w:rPr>
              <w:rFonts w:hint="eastAsia"/>
              <w:color w:val="auto"/>
              <w:sz w:val="36"/>
              <w:szCs w:val="36"/>
              <w:highlight w:val="none"/>
              <w:lang w:val="zh-CN"/>
            </w:rPr>
            <w:t xml:space="preserve">  </w:t>
          </w:r>
          <w:r>
            <w:rPr>
              <w:color w:val="auto"/>
              <w:sz w:val="36"/>
              <w:szCs w:val="36"/>
              <w:highlight w:val="none"/>
              <w:lang w:val="zh-CN"/>
            </w:rPr>
            <w:t>录</w:t>
          </w:r>
        </w:p>
        <w:p>
          <w:pPr>
            <w:pStyle w:val="11"/>
            <w:tabs>
              <w:tab w:val="right" w:leader="dot" w:pos="9730"/>
            </w:tabs>
            <w:rPr>
              <w:sz w:val="28"/>
              <w:szCs w:val="28"/>
              <w:highlight w:val="none"/>
            </w:rPr>
          </w:pPr>
          <w:r>
            <w:rPr>
              <w:sz w:val="28"/>
              <w:szCs w:val="28"/>
              <w:highlight w:val="none"/>
            </w:rPr>
            <w:fldChar w:fldCharType="begin"/>
          </w:r>
          <w:r>
            <w:rPr>
              <w:sz w:val="28"/>
              <w:szCs w:val="28"/>
              <w:highlight w:val="none"/>
            </w:rPr>
            <w:instrText xml:space="preserve"> TOC \o "1-3" \h \z \u </w:instrText>
          </w:r>
          <w:r>
            <w:rPr>
              <w:sz w:val="28"/>
              <w:szCs w:val="28"/>
              <w:highlight w:val="none"/>
            </w:rPr>
            <w:fldChar w:fldCharType="separate"/>
          </w:r>
          <w:r>
            <w:rPr>
              <w:highlight w:val="none"/>
            </w:rPr>
            <w:fldChar w:fldCharType="begin"/>
          </w:r>
          <w:r>
            <w:rPr>
              <w:highlight w:val="none"/>
            </w:rPr>
            <w:instrText xml:space="preserve"> HYPERLINK \l "_Toc6923304" </w:instrText>
          </w:r>
          <w:r>
            <w:rPr>
              <w:highlight w:val="none"/>
            </w:rPr>
            <w:fldChar w:fldCharType="separate"/>
          </w:r>
          <w:r>
            <w:rPr>
              <w:rStyle w:val="19"/>
              <w:rFonts w:hint="eastAsia" w:ascii="宋体" w:hAnsi="宋体" w:eastAsia="宋体" w:cs="宋体"/>
              <w:color w:val="auto"/>
              <w:sz w:val="28"/>
              <w:szCs w:val="28"/>
              <w:highlight w:val="none"/>
            </w:rPr>
            <w:t>第一章</w:t>
          </w:r>
          <w:r>
            <w:rPr>
              <w:rStyle w:val="19"/>
              <w:rFonts w:ascii="宋体" w:hAnsi="宋体" w:eastAsia="宋体" w:cs="宋体"/>
              <w:color w:val="auto"/>
              <w:sz w:val="28"/>
              <w:szCs w:val="28"/>
              <w:highlight w:val="none"/>
            </w:rPr>
            <w:t xml:space="preserve">  </w:t>
          </w:r>
          <w:r>
            <w:rPr>
              <w:rStyle w:val="19"/>
              <w:rFonts w:hint="eastAsia" w:ascii="宋体" w:hAnsi="宋体" w:eastAsia="宋体" w:cs="宋体"/>
              <w:color w:val="auto"/>
              <w:sz w:val="28"/>
              <w:szCs w:val="28"/>
              <w:highlight w:val="none"/>
            </w:rPr>
            <w:t>竞争性谈判公告</w:t>
          </w:r>
          <w:r>
            <w:rPr>
              <w:sz w:val="28"/>
              <w:szCs w:val="28"/>
              <w:highlight w:val="none"/>
            </w:rPr>
            <w:tab/>
          </w:r>
          <w:r>
            <w:rPr>
              <w:sz w:val="28"/>
              <w:szCs w:val="28"/>
              <w:highlight w:val="none"/>
            </w:rPr>
            <w:fldChar w:fldCharType="begin"/>
          </w:r>
          <w:r>
            <w:rPr>
              <w:sz w:val="28"/>
              <w:szCs w:val="28"/>
              <w:highlight w:val="none"/>
            </w:rPr>
            <w:instrText xml:space="preserve"> PAGEREF _Toc6923304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1"/>
            <w:tabs>
              <w:tab w:val="right" w:leader="dot" w:pos="9730"/>
            </w:tabs>
            <w:rPr>
              <w:sz w:val="28"/>
              <w:szCs w:val="28"/>
              <w:highlight w:val="none"/>
            </w:rPr>
          </w:pPr>
          <w:r>
            <w:rPr>
              <w:highlight w:val="none"/>
            </w:rPr>
            <w:fldChar w:fldCharType="begin"/>
          </w:r>
          <w:r>
            <w:rPr>
              <w:highlight w:val="none"/>
            </w:rPr>
            <w:instrText xml:space="preserve"> HYPERLINK \l "_Toc6923305" </w:instrText>
          </w:r>
          <w:r>
            <w:rPr>
              <w:highlight w:val="none"/>
            </w:rPr>
            <w:fldChar w:fldCharType="separate"/>
          </w:r>
          <w:r>
            <w:rPr>
              <w:rStyle w:val="19"/>
              <w:rFonts w:hint="eastAsia" w:ascii="宋体" w:hAnsi="宋体" w:eastAsia="宋体" w:cs="宋体"/>
              <w:color w:val="auto"/>
              <w:sz w:val="28"/>
              <w:szCs w:val="28"/>
              <w:highlight w:val="none"/>
            </w:rPr>
            <w:t>第二章</w:t>
          </w:r>
          <w:r>
            <w:rPr>
              <w:rStyle w:val="19"/>
              <w:rFonts w:ascii="宋体" w:hAnsi="宋体" w:eastAsia="宋体" w:cs="宋体"/>
              <w:color w:val="auto"/>
              <w:sz w:val="28"/>
              <w:szCs w:val="28"/>
              <w:highlight w:val="none"/>
            </w:rPr>
            <w:t xml:space="preserve">  </w:t>
          </w:r>
          <w:r>
            <w:rPr>
              <w:rStyle w:val="19"/>
              <w:rFonts w:hint="eastAsia" w:ascii="宋体" w:hAnsi="宋体" w:eastAsia="宋体" w:cs="宋体"/>
              <w:color w:val="auto"/>
              <w:sz w:val="28"/>
              <w:szCs w:val="28"/>
              <w:highlight w:val="none"/>
            </w:rPr>
            <w:t>谈判供应商须知</w:t>
          </w:r>
          <w:r>
            <w:rPr>
              <w:sz w:val="28"/>
              <w:szCs w:val="28"/>
              <w:highlight w:val="none"/>
            </w:rPr>
            <w:tab/>
          </w:r>
          <w:r>
            <w:rPr>
              <w:sz w:val="28"/>
              <w:szCs w:val="28"/>
              <w:highlight w:val="none"/>
            </w:rPr>
            <w:fldChar w:fldCharType="begin"/>
          </w:r>
          <w:r>
            <w:rPr>
              <w:sz w:val="28"/>
              <w:szCs w:val="28"/>
              <w:highlight w:val="none"/>
            </w:rPr>
            <w:instrText xml:space="preserve"> PAGEREF _Toc6923305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1"/>
            <w:tabs>
              <w:tab w:val="right" w:leader="dot" w:pos="9730"/>
            </w:tabs>
            <w:rPr>
              <w:sz w:val="28"/>
              <w:szCs w:val="28"/>
              <w:highlight w:val="none"/>
            </w:rPr>
          </w:pPr>
          <w:r>
            <w:rPr>
              <w:highlight w:val="none"/>
            </w:rPr>
            <w:fldChar w:fldCharType="begin"/>
          </w:r>
          <w:r>
            <w:rPr>
              <w:highlight w:val="none"/>
            </w:rPr>
            <w:instrText xml:space="preserve"> HYPERLINK \l "_Toc6923306" </w:instrText>
          </w:r>
          <w:r>
            <w:rPr>
              <w:highlight w:val="none"/>
            </w:rPr>
            <w:fldChar w:fldCharType="separate"/>
          </w:r>
          <w:r>
            <w:rPr>
              <w:rStyle w:val="19"/>
              <w:rFonts w:hint="eastAsia" w:ascii="宋体" w:hAnsi="宋体" w:eastAsia="宋体" w:cs="宋体"/>
              <w:color w:val="auto"/>
              <w:sz w:val="28"/>
              <w:szCs w:val="28"/>
              <w:highlight w:val="none"/>
            </w:rPr>
            <w:t>第三章</w:t>
          </w:r>
          <w:r>
            <w:rPr>
              <w:rStyle w:val="19"/>
              <w:rFonts w:ascii="宋体" w:hAnsi="宋体" w:eastAsia="宋体" w:cs="宋体"/>
              <w:color w:val="auto"/>
              <w:sz w:val="28"/>
              <w:szCs w:val="28"/>
              <w:highlight w:val="none"/>
            </w:rPr>
            <w:t xml:space="preserve">  </w:t>
          </w:r>
          <w:r>
            <w:rPr>
              <w:rStyle w:val="19"/>
              <w:rFonts w:hint="eastAsia" w:ascii="宋体" w:hAnsi="宋体" w:eastAsia="宋体" w:cs="宋体"/>
              <w:color w:val="auto"/>
              <w:sz w:val="28"/>
              <w:szCs w:val="28"/>
              <w:highlight w:val="none"/>
            </w:rPr>
            <w:t>采购项目需求</w:t>
          </w:r>
          <w:r>
            <w:rPr>
              <w:sz w:val="28"/>
              <w:szCs w:val="28"/>
              <w:highlight w:val="none"/>
            </w:rPr>
            <w:tab/>
          </w:r>
          <w:r>
            <w:rPr>
              <w:sz w:val="28"/>
              <w:szCs w:val="28"/>
              <w:highlight w:val="none"/>
            </w:rPr>
            <w:fldChar w:fldCharType="begin"/>
          </w:r>
          <w:r>
            <w:rPr>
              <w:sz w:val="28"/>
              <w:szCs w:val="28"/>
              <w:highlight w:val="none"/>
            </w:rPr>
            <w:instrText xml:space="preserve"> PAGEREF _Toc6923306 \h </w:instrText>
          </w:r>
          <w:r>
            <w:rPr>
              <w:sz w:val="28"/>
              <w:szCs w:val="28"/>
              <w:highlight w:val="none"/>
            </w:rPr>
            <w:fldChar w:fldCharType="separate"/>
          </w:r>
          <w:r>
            <w:rPr>
              <w:sz w:val="28"/>
              <w:szCs w:val="28"/>
              <w:highlight w:val="none"/>
            </w:rPr>
            <w:t>11</w:t>
          </w:r>
          <w:r>
            <w:rPr>
              <w:sz w:val="28"/>
              <w:szCs w:val="28"/>
              <w:highlight w:val="none"/>
            </w:rPr>
            <w:fldChar w:fldCharType="end"/>
          </w:r>
          <w:r>
            <w:rPr>
              <w:sz w:val="28"/>
              <w:szCs w:val="28"/>
              <w:highlight w:val="none"/>
            </w:rPr>
            <w:fldChar w:fldCharType="end"/>
          </w:r>
        </w:p>
        <w:p>
          <w:pPr>
            <w:pStyle w:val="11"/>
            <w:tabs>
              <w:tab w:val="right" w:leader="dot" w:pos="9730"/>
            </w:tabs>
            <w:rPr>
              <w:sz w:val="28"/>
              <w:szCs w:val="28"/>
              <w:highlight w:val="none"/>
            </w:rPr>
          </w:pPr>
          <w:r>
            <w:rPr>
              <w:highlight w:val="none"/>
            </w:rPr>
            <w:fldChar w:fldCharType="begin"/>
          </w:r>
          <w:r>
            <w:rPr>
              <w:highlight w:val="none"/>
            </w:rPr>
            <w:instrText xml:space="preserve"> HYPERLINK \l "_Toc6923307" </w:instrText>
          </w:r>
          <w:r>
            <w:rPr>
              <w:highlight w:val="none"/>
            </w:rPr>
            <w:fldChar w:fldCharType="separate"/>
          </w:r>
          <w:r>
            <w:rPr>
              <w:rStyle w:val="19"/>
              <w:rFonts w:hint="eastAsia" w:ascii="宋体" w:hAnsi="宋体" w:eastAsia="宋体" w:cs="宋体"/>
              <w:color w:val="auto"/>
              <w:sz w:val="28"/>
              <w:szCs w:val="28"/>
              <w:highlight w:val="none"/>
            </w:rPr>
            <w:t>第四章</w:t>
          </w:r>
          <w:r>
            <w:rPr>
              <w:rStyle w:val="19"/>
              <w:rFonts w:ascii="宋体" w:hAnsi="宋体" w:eastAsia="宋体" w:cs="宋体"/>
              <w:color w:val="auto"/>
              <w:sz w:val="28"/>
              <w:szCs w:val="28"/>
              <w:highlight w:val="none"/>
            </w:rPr>
            <w:t xml:space="preserve">  </w:t>
          </w:r>
          <w:r>
            <w:rPr>
              <w:rStyle w:val="19"/>
              <w:rFonts w:hint="eastAsia" w:ascii="宋体" w:hAnsi="宋体" w:eastAsia="宋体" w:cs="宋体"/>
              <w:color w:val="auto"/>
              <w:sz w:val="28"/>
              <w:szCs w:val="28"/>
              <w:highlight w:val="none"/>
            </w:rPr>
            <w:t>竞争性谈判响应文件格式</w:t>
          </w:r>
          <w:r>
            <w:rPr>
              <w:sz w:val="28"/>
              <w:szCs w:val="28"/>
              <w:highlight w:val="none"/>
            </w:rPr>
            <w:tab/>
          </w:r>
          <w:r>
            <w:rPr>
              <w:sz w:val="28"/>
              <w:szCs w:val="28"/>
              <w:highlight w:val="none"/>
            </w:rPr>
            <w:fldChar w:fldCharType="begin"/>
          </w:r>
          <w:r>
            <w:rPr>
              <w:sz w:val="28"/>
              <w:szCs w:val="28"/>
              <w:highlight w:val="none"/>
            </w:rPr>
            <w:instrText xml:space="preserve"> PAGEREF _Toc6923307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pPr>
            <w:pStyle w:val="11"/>
            <w:tabs>
              <w:tab w:val="right" w:leader="dot" w:pos="9730"/>
            </w:tabs>
            <w:rPr>
              <w:sz w:val="28"/>
              <w:szCs w:val="28"/>
              <w:highlight w:val="none"/>
            </w:rPr>
          </w:pPr>
          <w:r>
            <w:rPr>
              <w:highlight w:val="none"/>
            </w:rPr>
            <w:fldChar w:fldCharType="begin"/>
          </w:r>
          <w:r>
            <w:rPr>
              <w:highlight w:val="none"/>
            </w:rPr>
            <w:instrText xml:space="preserve"> HYPERLINK \l "_Toc6923326" </w:instrText>
          </w:r>
          <w:r>
            <w:rPr>
              <w:highlight w:val="none"/>
            </w:rPr>
            <w:fldChar w:fldCharType="separate"/>
          </w:r>
          <w:r>
            <w:rPr>
              <w:rStyle w:val="19"/>
              <w:rFonts w:hint="eastAsia" w:ascii="宋体" w:hAnsi="宋体" w:eastAsia="宋体" w:cs="宋体"/>
              <w:color w:val="auto"/>
              <w:sz w:val="28"/>
              <w:szCs w:val="28"/>
              <w:highlight w:val="none"/>
            </w:rPr>
            <w:t>第五章</w:t>
          </w:r>
          <w:r>
            <w:rPr>
              <w:rStyle w:val="19"/>
              <w:rFonts w:ascii="宋体" w:hAnsi="宋体" w:eastAsia="宋体" w:cs="宋体"/>
              <w:color w:val="auto"/>
              <w:sz w:val="28"/>
              <w:szCs w:val="28"/>
              <w:highlight w:val="none"/>
            </w:rPr>
            <w:t xml:space="preserve">  </w:t>
          </w:r>
          <w:r>
            <w:rPr>
              <w:rStyle w:val="19"/>
              <w:rFonts w:hint="eastAsia" w:ascii="宋体" w:hAnsi="宋体" w:eastAsia="宋体" w:cs="宋体"/>
              <w:color w:val="auto"/>
              <w:sz w:val="28"/>
              <w:szCs w:val="28"/>
              <w:highlight w:val="none"/>
            </w:rPr>
            <w:t>合同主要条款</w:t>
          </w:r>
          <w:r>
            <w:rPr>
              <w:sz w:val="28"/>
              <w:szCs w:val="28"/>
              <w:highlight w:val="none"/>
            </w:rPr>
            <w:tab/>
          </w:r>
          <w:r>
            <w:rPr>
              <w:sz w:val="28"/>
              <w:szCs w:val="28"/>
              <w:highlight w:val="none"/>
            </w:rPr>
            <w:fldChar w:fldCharType="begin"/>
          </w:r>
          <w:r>
            <w:rPr>
              <w:sz w:val="28"/>
              <w:szCs w:val="28"/>
              <w:highlight w:val="none"/>
            </w:rPr>
            <w:instrText xml:space="preserve"> PAGEREF _Toc6923326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pPr>
            <w:pStyle w:val="11"/>
            <w:tabs>
              <w:tab w:val="right" w:leader="dot" w:pos="9730"/>
            </w:tabs>
            <w:rPr>
              <w:sz w:val="28"/>
              <w:szCs w:val="28"/>
              <w:highlight w:val="none"/>
            </w:rPr>
          </w:pPr>
          <w:r>
            <w:rPr>
              <w:highlight w:val="none"/>
            </w:rPr>
            <w:fldChar w:fldCharType="begin"/>
          </w:r>
          <w:r>
            <w:rPr>
              <w:highlight w:val="none"/>
            </w:rPr>
            <w:instrText xml:space="preserve"> HYPERLINK \l "_Toc6923329" </w:instrText>
          </w:r>
          <w:r>
            <w:rPr>
              <w:highlight w:val="none"/>
            </w:rPr>
            <w:fldChar w:fldCharType="separate"/>
          </w:r>
          <w:r>
            <w:rPr>
              <w:rStyle w:val="19"/>
              <w:rFonts w:hint="eastAsia" w:ascii="宋体" w:hAnsi="宋体" w:eastAsia="宋体" w:cs="宋体"/>
              <w:color w:val="auto"/>
              <w:sz w:val="28"/>
              <w:szCs w:val="28"/>
              <w:highlight w:val="none"/>
            </w:rPr>
            <w:t>第六章</w:t>
          </w:r>
          <w:r>
            <w:rPr>
              <w:rStyle w:val="19"/>
              <w:rFonts w:ascii="宋体" w:hAnsi="宋体" w:eastAsia="宋体" w:cs="宋体"/>
              <w:color w:val="auto"/>
              <w:sz w:val="28"/>
              <w:szCs w:val="28"/>
              <w:highlight w:val="none"/>
            </w:rPr>
            <w:t xml:space="preserve">  </w:t>
          </w:r>
          <w:r>
            <w:rPr>
              <w:rStyle w:val="19"/>
              <w:rFonts w:hint="eastAsia" w:ascii="宋体" w:hAnsi="宋体" w:eastAsia="宋体" w:cs="宋体"/>
              <w:color w:val="auto"/>
              <w:sz w:val="28"/>
              <w:szCs w:val="28"/>
              <w:highlight w:val="none"/>
            </w:rPr>
            <w:t>评定标准</w:t>
          </w:r>
          <w:r>
            <w:rPr>
              <w:sz w:val="28"/>
              <w:szCs w:val="28"/>
              <w:highlight w:val="none"/>
            </w:rPr>
            <w:tab/>
          </w:r>
          <w:r>
            <w:rPr>
              <w:sz w:val="28"/>
              <w:szCs w:val="28"/>
              <w:highlight w:val="none"/>
            </w:rPr>
            <w:fldChar w:fldCharType="begin"/>
          </w:r>
          <w:r>
            <w:rPr>
              <w:sz w:val="28"/>
              <w:szCs w:val="28"/>
              <w:highlight w:val="none"/>
            </w:rPr>
            <w:instrText xml:space="preserve"> PAGEREF _Toc6923329 \h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rPr>
              <w:highlight w:val="none"/>
            </w:rPr>
          </w:pPr>
          <w:r>
            <w:rPr>
              <w:sz w:val="28"/>
              <w:szCs w:val="28"/>
              <w:highlight w:val="none"/>
            </w:rPr>
            <w:fldChar w:fldCharType="end"/>
          </w:r>
        </w:p>
      </w:sdtContent>
    </w:sdt>
    <w:p>
      <w:pPr>
        <w:spacing w:line="600" w:lineRule="exact"/>
        <w:rPr>
          <w:rFonts w:ascii="宋体" w:hAnsi="宋体" w:eastAsia="宋体" w:cs="宋体"/>
          <w:sz w:val="24"/>
          <w:highlight w:val="none"/>
        </w:rPr>
      </w:pPr>
    </w:p>
    <w:p>
      <w:pPr>
        <w:rPr>
          <w:rFonts w:ascii="宋体" w:hAnsi="宋体" w:eastAsia="宋体" w:cs="宋体"/>
          <w:sz w:val="24"/>
          <w:highlight w:val="none"/>
        </w:rPr>
      </w:pPr>
    </w:p>
    <w:p>
      <w:pPr>
        <w:rPr>
          <w:rFonts w:ascii="宋体" w:hAnsi="宋体" w:eastAsia="宋体" w:cs="宋体"/>
          <w:sz w:val="24"/>
          <w:highlight w:val="none"/>
        </w:rPr>
      </w:pPr>
    </w:p>
    <w:p>
      <w:pPr>
        <w:pStyle w:val="23"/>
        <w:tabs>
          <w:tab w:val="right" w:leader="dot" w:pos="8306"/>
        </w:tabs>
        <w:spacing w:line="360" w:lineRule="auto"/>
        <w:rPr>
          <w:rFonts w:ascii="宋体" w:hAnsi="宋体" w:eastAsia="宋体" w:cs="宋体"/>
          <w:sz w:val="24"/>
          <w:szCs w:val="24"/>
          <w:highlight w:val="none"/>
        </w:rPr>
        <w:sectPr>
          <w:pgSz w:w="11906" w:h="16838"/>
          <w:pgMar w:top="1100" w:right="1083" w:bottom="1077" w:left="1083" w:header="851" w:footer="992" w:gutter="0"/>
          <w:pgNumType w:start="1"/>
          <w:cols w:space="0" w:num="1"/>
          <w:docGrid w:type="lines" w:linePitch="312" w:charSpace="0"/>
        </w:sectPr>
      </w:pPr>
    </w:p>
    <w:p>
      <w:pPr>
        <w:pStyle w:val="3"/>
        <w:spacing w:after="120" w:line="400" w:lineRule="exact"/>
        <w:jc w:val="center"/>
        <w:rPr>
          <w:rFonts w:ascii="宋体" w:hAnsi="宋体" w:eastAsia="宋体" w:cs="宋体"/>
          <w:highlight w:val="none"/>
        </w:rPr>
      </w:pPr>
      <w:bookmarkStart w:id="0" w:name="_Toc6923304"/>
      <w:bookmarkStart w:id="1" w:name="_Toc6903"/>
      <w:bookmarkStart w:id="2" w:name="_Toc27397"/>
      <w:bookmarkStart w:id="3" w:name="_Toc18654"/>
      <w:bookmarkStart w:id="4" w:name="_Toc8306"/>
      <w:bookmarkStart w:id="5" w:name="_Toc405905872"/>
      <w:r>
        <w:rPr>
          <w:rFonts w:hint="eastAsia" w:ascii="宋体" w:hAnsi="宋体" w:eastAsia="宋体" w:cs="宋体"/>
          <w:highlight w:val="none"/>
        </w:rPr>
        <w:t>第一章  竞争性谈判公告</w:t>
      </w:r>
      <w:bookmarkEnd w:id="0"/>
      <w:bookmarkEnd w:id="1"/>
      <w:bookmarkEnd w:id="2"/>
      <w:bookmarkEnd w:id="3"/>
      <w:bookmarkEnd w:id="4"/>
      <w:bookmarkEnd w:id="5"/>
    </w:p>
    <w:p>
      <w:pPr>
        <w:tabs>
          <w:tab w:val="left" w:pos="9639"/>
          <w:tab w:val="left" w:pos="9746"/>
        </w:tabs>
        <w:adjustRightInd w:val="0"/>
        <w:snapToGrid w:val="0"/>
        <w:spacing w:line="360" w:lineRule="auto"/>
        <w:jc w:val="center"/>
        <w:rPr>
          <w:rFonts w:hint="eastAsia" w:ascii="宋体" w:hAnsi="宋体" w:eastAsiaTheme="minorEastAsia"/>
          <w:b/>
          <w:sz w:val="28"/>
          <w:szCs w:val="28"/>
          <w:highlight w:val="none"/>
          <w:lang w:eastAsia="zh-CN"/>
        </w:rPr>
      </w:pPr>
      <w:bookmarkStart w:id="6" w:name="_Toc16087"/>
      <w:bookmarkStart w:id="7" w:name="_Toc30130"/>
      <w:bookmarkStart w:id="8" w:name="_Toc3509"/>
      <w:bookmarkStart w:id="9" w:name="_Toc16567"/>
      <w:bookmarkStart w:id="10" w:name="_Toc6923305"/>
      <w:r>
        <w:rPr>
          <w:rFonts w:hint="eastAsia" w:ascii="宋体" w:hAnsi="宋体"/>
          <w:b/>
          <w:sz w:val="28"/>
          <w:szCs w:val="28"/>
          <w:highlight w:val="none"/>
        </w:rPr>
        <w:t>天勤工程咨询有限公司关于</w:t>
      </w:r>
      <w:r>
        <w:rPr>
          <w:rFonts w:hint="eastAsia" w:ascii="宋体" w:hAnsi="宋体"/>
          <w:b/>
          <w:sz w:val="28"/>
          <w:szCs w:val="28"/>
          <w:highlight w:val="none"/>
          <w:lang w:eastAsia="zh-CN"/>
        </w:rPr>
        <w:t>无人机智能化执法系统采购（重）</w:t>
      </w:r>
    </w:p>
    <w:p>
      <w:pPr>
        <w:tabs>
          <w:tab w:val="left" w:pos="9639"/>
          <w:tab w:val="left" w:pos="9746"/>
        </w:tabs>
        <w:adjustRightInd w:val="0"/>
        <w:snapToGrid w:val="0"/>
        <w:spacing w:line="360" w:lineRule="auto"/>
        <w:jc w:val="center"/>
        <w:rPr>
          <w:rFonts w:ascii="宋体" w:hAnsi="宋体"/>
          <w:b/>
          <w:sz w:val="30"/>
          <w:szCs w:val="30"/>
          <w:highlight w:val="none"/>
        </w:rPr>
      </w:pPr>
      <w:r>
        <w:rPr>
          <w:rFonts w:hint="eastAsia" w:ascii="宋体" w:hAnsi="宋体"/>
          <w:b/>
          <w:sz w:val="28"/>
          <w:szCs w:val="28"/>
          <w:highlight w:val="none"/>
        </w:rPr>
        <w:t>（项目编号：</w:t>
      </w:r>
      <w:r>
        <w:rPr>
          <w:rFonts w:hint="eastAsia" w:ascii="宋体" w:hAnsi="宋体"/>
          <w:b/>
          <w:sz w:val="28"/>
          <w:szCs w:val="28"/>
          <w:highlight w:val="none"/>
          <w:lang w:eastAsia="zh-CN"/>
        </w:rPr>
        <w:t>BHZC2020-J1-00035-TQBH</w:t>
      </w:r>
      <w:r>
        <w:rPr>
          <w:rFonts w:hint="eastAsia" w:ascii="宋体" w:hAnsi="宋体"/>
          <w:b/>
          <w:sz w:val="28"/>
          <w:szCs w:val="28"/>
          <w:highlight w:val="none"/>
        </w:rPr>
        <w:t>（重））竞争性谈判采购公告</w:t>
      </w:r>
    </w:p>
    <w:p>
      <w:pPr>
        <w:pBdr>
          <w:top w:val="single" w:color="auto" w:sz="4" w:space="1"/>
          <w:left w:val="single" w:color="auto" w:sz="4" w:space="4"/>
          <w:bottom w:val="single" w:color="auto" w:sz="4" w:space="1"/>
          <w:right w:val="single" w:color="auto" w:sz="4" w:space="4"/>
        </w:pBdr>
        <w:spacing w:line="420" w:lineRule="exact"/>
        <w:ind w:firstLine="240" w:firstLineChars="1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s="宋体"/>
          <w:sz w:val="24"/>
          <w:highlight w:val="none"/>
        </w:rPr>
      </w:pPr>
      <w:r>
        <w:rPr>
          <w:rFonts w:hint="eastAsia" w:ascii="宋体" w:hAnsi="宋体" w:cs="宋体"/>
          <w:sz w:val="24"/>
          <w:highlight w:val="none"/>
          <w:u w:val="single"/>
          <w:lang w:eastAsia="zh-CN"/>
        </w:rPr>
        <w:t>无人机智能化执法系统采购（重）</w:t>
      </w:r>
      <w:r>
        <w:rPr>
          <w:rFonts w:hint="eastAsia" w:ascii="宋体" w:hAnsi="宋体" w:cs="宋体"/>
          <w:sz w:val="24"/>
          <w:highlight w:val="none"/>
        </w:rPr>
        <w:t>的潜在供应商应在：</w:t>
      </w:r>
      <w:r>
        <w:rPr>
          <w:rFonts w:hint="eastAsia" w:ascii="宋体" w:hAnsi="宋体" w:cs="宋体"/>
          <w:sz w:val="24"/>
          <w:highlight w:val="none"/>
          <w:u w:val="single"/>
        </w:rPr>
        <w:t>登录政采云平台（网址：http://www.zcygov.cn）免费下载电子文件</w:t>
      </w:r>
      <w:r>
        <w:rPr>
          <w:rFonts w:hint="eastAsia" w:ascii="宋体" w:hAnsi="宋体" w:cs="宋体"/>
          <w:sz w:val="24"/>
          <w:highlight w:val="none"/>
        </w:rPr>
        <w:t>，并于</w:t>
      </w:r>
      <w:r>
        <w:rPr>
          <w:rFonts w:hint="eastAsia" w:ascii="宋体" w:hAnsi="宋体" w:cs="宋体"/>
          <w:sz w:val="24"/>
          <w:highlight w:val="none"/>
          <w:u w:val="single"/>
        </w:rPr>
        <w:t xml:space="preserve"> 2020年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 xml:space="preserve">月 </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 xml:space="preserve"> 时</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 xml:space="preserve">分  </w:t>
      </w:r>
      <w:r>
        <w:rPr>
          <w:rFonts w:hint="eastAsia" w:ascii="宋体" w:hAnsi="宋体" w:cs="宋体"/>
          <w:bCs/>
          <w:sz w:val="24"/>
          <w:highlight w:val="none"/>
        </w:rPr>
        <w:t>（北京时间）前提交响应文件</w:t>
      </w:r>
      <w:r>
        <w:rPr>
          <w:rFonts w:hint="eastAsia" w:ascii="宋体" w:hAnsi="宋体" w:cs="宋体"/>
          <w:sz w:val="24"/>
          <w:highlight w:val="none"/>
        </w:rPr>
        <w:t>。</w:t>
      </w:r>
    </w:p>
    <w:p>
      <w:pPr>
        <w:pStyle w:val="4"/>
        <w:spacing w:after="0" w:line="320" w:lineRule="exact"/>
        <w:rPr>
          <w:rFonts w:ascii="宋体" w:hAnsi="宋体" w:eastAsia="宋体" w:cs="宋体"/>
          <w:bCs w:val="0"/>
          <w:sz w:val="21"/>
          <w:szCs w:val="21"/>
          <w:highlight w:val="none"/>
        </w:rPr>
      </w:pPr>
      <w:bookmarkStart w:id="11" w:name="_Toc35393629"/>
      <w:bookmarkStart w:id="12" w:name="_Toc28359089"/>
      <w:bookmarkStart w:id="13" w:name="_Toc28359012"/>
      <w:bookmarkStart w:id="14" w:name="_Toc35393798"/>
    </w:p>
    <w:p>
      <w:pPr>
        <w:pStyle w:val="4"/>
        <w:spacing w:after="0" w:line="320" w:lineRule="exact"/>
        <w:rPr>
          <w:rFonts w:ascii="宋体" w:hAnsi="宋体" w:eastAsia="宋体" w:cs="宋体"/>
          <w:bCs w:val="0"/>
          <w:sz w:val="24"/>
          <w:szCs w:val="24"/>
          <w:highlight w:val="none"/>
        </w:rPr>
      </w:pPr>
      <w:r>
        <w:rPr>
          <w:rFonts w:hint="eastAsia" w:ascii="宋体" w:hAnsi="宋体" w:eastAsia="宋体" w:cs="宋体"/>
          <w:bCs w:val="0"/>
          <w:sz w:val="24"/>
          <w:szCs w:val="24"/>
          <w:highlight w:val="none"/>
        </w:rPr>
        <w:t>一、项目基本情况</w:t>
      </w:r>
      <w:bookmarkEnd w:id="11"/>
      <w:bookmarkEnd w:id="12"/>
      <w:bookmarkEnd w:id="13"/>
      <w:bookmarkEnd w:id="14"/>
    </w:p>
    <w:p>
      <w:pPr>
        <w:spacing w:line="320" w:lineRule="exact"/>
        <w:ind w:firstLine="480" w:firstLineChars="200"/>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BHZC2020-J1-00035-TQBH（重）</w:t>
      </w:r>
      <w:r>
        <w:rPr>
          <w:rFonts w:hint="eastAsia" w:ascii="宋体" w:hAnsi="宋体" w:cs="宋体"/>
          <w:sz w:val="24"/>
          <w:highlight w:val="none"/>
        </w:rPr>
        <w:t xml:space="preserve">    采购计划编号：</w:t>
      </w:r>
      <w:r>
        <w:rPr>
          <w:rFonts w:hint="eastAsia" w:ascii="宋体" w:hAnsi="宋体" w:cs="宋体"/>
          <w:sz w:val="24"/>
          <w:highlight w:val="none"/>
          <w:lang w:val="en-US" w:eastAsia="zh-CN"/>
        </w:rPr>
        <w:t>202010260022</w:t>
      </w:r>
      <w:r>
        <w:rPr>
          <w:rFonts w:hint="eastAsia" w:ascii="宋体" w:hAnsi="宋体" w:cs="宋体"/>
          <w:sz w:val="24"/>
          <w:highlight w:val="none"/>
        </w:rPr>
        <w:t xml:space="preserve"> </w:t>
      </w:r>
    </w:p>
    <w:p>
      <w:pPr>
        <w:spacing w:line="320" w:lineRule="exact"/>
        <w:ind w:firstLine="480" w:firstLineChars="200"/>
        <w:rPr>
          <w:rFonts w:hint="eastAsia" w:ascii="宋体" w:hAnsi="宋体" w:cs="宋体" w:eastAsiaTheme="minorEastAsia"/>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无人机智能化执法系统采购（重）</w:t>
      </w:r>
    </w:p>
    <w:p>
      <w:pPr>
        <w:spacing w:line="320" w:lineRule="exact"/>
        <w:ind w:firstLine="480" w:firstLineChars="200"/>
        <w:rPr>
          <w:rFonts w:ascii="宋体" w:hAnsi="宋体" w:cs="宋体"/>
          <w:sz w:val="24"/>
          <w:highlight w:val="none"/>
        </w:rPr>
      </w:pPr>
      <w:r>
        <w:rPr>
          <w:rFonts w:hint="eastAsia" w:ascii="宋体" w:hAnsi="宋体" w:cs="宋体"/>
          <w:sz w:val="24"/>
          <w:highlight w:val="none"/>
        </w:rPr>
        <w:t>采购方式：</w:t>
      </w: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竞争性谈判 □竞争性磋商 </w:t>
      </w:r>
      <w:r>
        <w:rPr>
          <w:rFonts w:hint="eastAsia" w:ascii="宋体" w:hAnsi="宋体" w:eastAsia="宋体" w:cs="宋体"/>
          <w:sz w:val="24"/>
          <w:highlight w:val="none"/>
        </w:rPr>
        <w:sym w:font="Wingdings 2" w:char="00A3"/>
      </w:r>
      <w:r>
        <w:rPr>
          <w:rFonts w:hint="eastAsia" w:ascii="宋体" w:hAnsi="宋体" w:eastAsia="宋体" w:cs="宋体"/>
          <w:sz w:val="24"/>
          <w:highlight w:val="none"/>
        </w:rPr>
        <w:t>询价</w:t>
      </w:r>
    </w:p>
    <w:p>
      <w:pPr>
        <w:spacing w:line="320" w:lineRule="exact"/>
        <w:ind w:firstLine="480" w:firstLineChars="200"/>
        <w:rPr>
          <w:rFonts w:ascii="宋体" w:hAnsi="宋体" w:cs="宋体"/>
          <w:sz w:val="24"/>
          <w:highlight w:val="none"/>
        </w:rPr>
      </w:pPr>
      <w:r>
        <w:rPr>
          <w:rFonts w:hint="eastAsia" w:ascii="宋体" w:hAnsi="宋体" w:cs="宋体"/>
          <w:sz w:val="24"/>
          <w:highlight w:val="none"/>
        </w:rPr>
        <w:t>预算金额：399071.00元</w:t>
      </w:r>
    </w:p>
    <w:p>
      <w:pPr>
        <w:spacing w:line="320" w:lineRule="exact"/>
        <w:ind w:firstLine="480" w:firstLineChars="200"/>
        <w:rPr>
          <w:rFonts w:hint="eastAsia" w:ascii="宋体" w:hAnsi="宋体" w:cs="宋体" w:eastAsiaTheme="minorEastAsia"/>
          <w:sz w:val="24"/>
          <w:highlight w:val="none"/>
          <w:lang w:val="en-US" w:eastAsia="zh-CN"/>
        </w:rPr>
      </w:pPr>
      <w:r>
        <w:rPr>
          <w:rFonts w:hint="eastAsia" w:ascii="宋体" w:hAnsi="宋体" w:cs="宋体"/>
          <w:sz w:val="24"/>
          <w:highlight w:val="none"/>
        </w:rPr>
        <w:t>最高限价：</w:t>
      </w:r>
      <w:r>
        <w:rPr>
          <w:rFonts w:hint="eastAsia" w:ascii="宋体" w:hAnsi="宋体" w:cs="宋体"/>
          <w:sz w:val="24"/>
          <w:highlight w:val="none"/>
          <w:lang w:eastAsia="zh-CN"/>
        </w:rPr>
        <w:t>无</w:t>
      </w:r>
    </w:p>
    <w:p>
      <w:pPr>
        <w:spacing w:line="320" w:lineRule="exact"/>
        <w:ind w:firstLine="480" w:firstLineChars="200"/>
        <w:rPr>
          <w:rFonts w:ascii="宋体" w:hAnsi="宋体" w:cs="宋体"/>
          <w:sz w:val="24"/>
          <w:highlight w:val="none"/>
        </w:rPr>
      </w:pPr>
      <w:r>
        <w:rPr>
          <w:rFonts w:hint="eastAsia" w:ascii="宋体" w:hAnsi="宋体" w:cs="宋体"/>
          <w:sz w:val="24"/>
          <w:highlight w:val="none"/>
        </w:rPr>
        <w:t>采购需求：</w:t>
      </w:r>
      <w:r>
        <w:rPr>
          <w:rFonts w:hint="eastAsia" w:ascii="宋体" w:hAnsi="宋体" w:cs="宋体"/>
          <w:sz w:val="24"/>
          <w:highlight w:val="none"/>
          <w:lang w:eastAsia="zh-CN"/>
        </w:rPr>
        <w:t>无人机智能化执法系统采购（重）</w:t>
      </w:r>
      <w:r>
        <w:rPr>
          <w:rFonts w:hint="eastAsia" w:ascii="宋体" w:hAnsi="宋体" w:cs="宋体"/>
          <w:sz w:val="24"/>
          <w:highlight w:val="none"/>
        </w:rPr>
        <w:t>，如需进一步了解详细内容，具体详见竞争性谈判文件。</w:t>
      </w:r>
    </w:p>
    <w:p>
      <w:pPr>
        <w:spacing w:line="320" w:lineRule="exact"/>
        <w:ind w:firstLine="480" w:firstLineChars="200"/>
        <w:rPr>
          <w:rFonts w:ascii="宋体" w:hAnsi="宋体" w:cs="宋体"/>
          <w:sz w:val="24"/>
          <w:highlight w:val="none"/>
        </w:rPr>
      </w:pPr>
      <w:r>
        <w:rPr>
          <w:rFonts w:hint="eastAsia" w:ascii="宋体" w:hAnsi="宋体" w:cs="宋体"/>
          <w:sz w:val="24"/>
          <w:highlight w:val="none"/>
        </w:rPr>
        <w:t>合同履行期限：</w:t>
      </w:r>
      <w:bookmarkStart w:id="15" w:name="_Toc35393799"/>
      <w:bookmarkStart w:id="16" w:name="_Toc28359013"/>
      <w:bookmarkStart w:id="17" w:name="_Toc28359090"/>
      <w:bookmarkStart w:id="18" w:name="_Toc35393630"/>
      <w:r>
        <w:rPr>
          <w:rFonts w:hint="eastAsia" w:ascii="宋体" w:hAnsi="宋体" w:cs="宋体"/>
          <w:sz w:val="24"/>
          <w:highlight w:val="none"/>
        </w:rPr>
        <w:t>自签订合同之日起</w:t>
      </w:r>
      <w:r>
        <w:rPr>
          <w:rFonts w:hint="eastAsia" w:ascii="宋体" w:hAnsi="宋体" w:cs="宋体"/>
          <w:color w:val="auto"/>
          <w:sz w:val="24"/>
          <w:highlight w:val="none"/>
          <w:lang w:val="en-US" w:eastAsia="zh-CN"/>
        </w:rPr>
        <w:t>20</w:t>
      </w:r>
      <w:r>
        <w:rPr>
          <w:rFonts w:hint="eastAsia" w:ascii="宋体" w:hAnsi="宋体" w:cs="宋体"/>
          <w:sz w:val="24"/>
          <w:highlight w:val="none"/>
        </w:rPr>
        <w:t>日历天内交货</w:t>
      </w:r>
    </w:p>
    <w:p>
      <w:pPr>
        <w:pStyle w:val="4"/>
        <w:spacing w:before="0" w:after="0" w:line="400" w:lineRule="exact"/>
        <w:rPr>
          <w:rFonts w:ascii="宋体" w:hAnsi="宋体" w:eastAsia="宋体" w:cs="宋体"/>
          <w:bCs w:val="0"/>
          <w:sz w:val="24"/>
          <w:szCs w:val="24"/>
          <w:highlight w:val="none"/>
        </w:rPr>
      </w:pPr>
      <w:r>
        <w:rPr>
          <w:rFonts w:hint="eastAsia" w:ascii="宋体" w:hAnsi="宋体" w:eastAsia="宋体" w:cs="宋体"/>
          <w:bCs w:val="0"/>
          <w:sz w:val="24"/>
          <w:szCs w:val="24"/>
          <w:highlight w:val="none"/>
        </w:rPr>
        <w:t>二、申请人的资格要求：</w:t>
      </w:r>
      <w:bookmarkEnd w:id="15"/>
      <w:bookmarkEnd w:id="16"/>
      <w:bookmarkEnd w:id="17"/>
      <w:bookmarkEnd w:id="18"/>
    </w:p>
    <w:p>
      <w:pPr>
        <w:adjustRightInd w:val="0"/>
        <w:snapToGrid w:val="0"/>
        <w:spacing w:line="400" w:lineRule="exact"/>
        <w:ind w:firstLine="480" w:firstLineChars="200"/>
        <w:rPr>
          <w:rFonts w:asciiTheme="minorEastAsia" w:hAnsiTheme="minorEastAsia"/>
          <w:sz w:val="24"/>
          <w:highlight w:val="none"/>
        </w:rPr>
      </w:pPr>
      <w:bookmarkStart w:id="19" w:name="_Toc28359091"/>
      <w:bookmarkStart w:id="20" w:name="_Toc28359014"/>
      <w:bookmarkStart w:id="21" w:name="_Toc35393800"/>
      <w:bookmarkStart w:id="22" w:name="_Toc35393631"/>
      <w:r>
        <w:rPr>
          <w:rFonts w:hint="eastAsia" w:asciiTheme="minorEastAsia" w:hAnsiTheme="minorEastAsia"/>
          <w:sz w:val="24"/>
          <w:highlight w:val="none"/>
        </w:rPr>
        <w:t>1、具备《中华人民共和国政府采购法》第二十二条第一款规定的条件；</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2、国内注册（指按国家有关规定要求注册的），生产或经营本次招标采购内容，具备法人资格的供应商；</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4、落实政府采购政策：①政府采购促进中小企业发展；②政府采购促进残疾人就业政策；③政府采购支持监狱企业发展；④节能产品、环境标志产品依据品目清单和认证证书实施政府优先采购和强制采购。（财库〔2019〕9号）</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5、</w:t>
      </w:r>
      <w:r>
        <w:rPr>
          <w:rFonts w:asciiTheme="minorEastAsia" w:hAnsiTheme="minorEastAsia"/>
          <w:sz w:val="24"/>
          <w:highlight w:val="none"/>
        </w:rPr>
        <w:t>本项目不接受联合体竞标。</w:t>
      </w:r>
    </w:p>
    <w:p>
      <w:pPr>
        <w:adjustRightInd w:val="0"/>
        <w:snapToGrid w:val="0"/>
        <w:spacing w:line="360" w:lineRule="exact"/>
        <w:rPr>
          <w:rFonts w:ascii="宋体" w:hAnsi="宋体" w:cs="宋体"/>
          <w:b/>
          <w:bCs/>
          <w:sz w:val="24"/>
          <w:highlight w:val="none"/>
        </w:rPr>
      </w:pPr>
      <w:r>
        <w:rPr>
          <w:rFonts w:hint="eastAsia" w:ascii="宋体" w:hAnsi="宋体" w:eastAsia="宋体" w:cs="宋体"/>
          <w:b/>
          <w:bCs/>
          <w:sz w:val="24"/>
          <w:highlight w:val="none"/>
        </w:rPr>
        <w:t>三、</w:t>
      </w:r>
      <w:r>
        <w:rPr>
          <w:rFonts w:hint="eastAsia" w:ascii="宋体" w:hAnsi="宋体" w:cs="宋体"/>
          <w:b/>
          <w:bCs/>
          <w:sz w:val="24"/>
          <w:highlight w:val="none"/>
        </w:rPr>
        <w:t>获取采购文件</w:t>
      </w:r>
      <w:bookmarkEnd w:id="19"/>
      <w:bookmarkEnd w:id="20"/>
      <w:bookmarkEnd w:id="21"/>
      <w:bookmarkEnd w:id="22"/>
    </w:p>
    <w:p>
      <w:pPr>
        <w:spacing w:line="400" w:lineRule="exact"/>
        <w:ind w:firstLine="539"/>
        <w:rPr>
          <w:rFonts w:ascii="宋体" w:hAnsi="宋体" w:cs="宋体"/>
          <w:sz w:val="24"/>
          <w:highlight w:val="none"/>
        </w:rPr>
      </w:pPr>
      <w:r>
        <w:rPr>
          <w:rFonts w:hint="eastAsia" w:ascii="宋体" w:hAnsi="宋体" w:cs="宋体"/>
          <w:sz w:val="24"/>
          <w:highlight w:val="none"/>
        </w:rPr>
        <w:t>获取采购文件时间：2020年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日至2020年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  。</w:t>
      </w:r>
    </w:p>
    <w:p>
      <w:pPr>
        <w:spacing w:line="400" w:lineRule="exact"/>
        <w:ind w:firstLine="539"/>
        <w:rPr>
          <w:rFonts w:ascii="宋体" w:hAnsi="宋体" w:eastAsia="宋体" w:cs="宋体"/>
          <w:sz w:val="24"/>
          <w:highlight w:val="none"/>
        </w:rPr>
      </w:pPr>
      <w:r>
        <w:rPr>
          <w:rFonts w:hint="eastAsia" w:ascii="宋体" w:hAnsi="宋体" w:cs="宋体"/>
          <w:sz w:val="24"/>
          <w:highlight w:val="none"/>
        </w:rPr>
        <w:t>获取地点：</w:t>
      </w:r>
      <w:r>
        <w:rPr>
          <w:rFonts w:hint="eastAsia" w:ascii="宋体" w:hAnsi="宋体" w:eastAsia="宋体" w:cs="宋体"/>
          <w:sz w:val="24"/>
          <w:highlight w:val="none"/>
        </w:rPr>
        <w:t>政采云平台（https://www.zcygov.cn/）</w:t>
      </w:r>
    </w:p>
    <w:p>
      <w:pPr>
        <w:spacing w:line="400" w:lineRule="exact"/>
        <w:ind w:firstLine="539"/>
        <w:rPr>
          <w:rFonts w:ascii="宋体" w:hAnsi="宋体" w:cs="宋体"/>
          <w:sz w:val="24"/>
          <w:highlight w:val="none"/>
        </w:rPr>
      </w:pPr>
      <w:r>
        <w:rPr>
          <w:rFonts w:hint="eastAsia" w:ascii="宋体" w:hAnsi="宋体" w:cs="宋体"/>
          <w:sz w:val="24"/>
          <w:highlight w:val="none"/>
        </w:rPr>
        <w:t>获取方式：</w:t>
      </w:r>
      <w:r>
        <w:rPr>
          <w:rFonts w:hint="eastAsia" w:ascii="宋体" w:hAnsi="宋体" w:eastAsia="宋体" w:cs="宋体"/>
          <w:sz w:val="24"/>
          <w:highlight w:val="none"/>
        </w:rPr>
        <w:t>供应商登录政采云平台（https://www.zcygov.cn/）在线自行下载采购文件</w:t>
      </w:r>
      <w:r>
        <w:rPr>
          <w:rFonts w:hint="eastAsia" w:ascii="宋体" w:hAnsi="宋体" w:cs="宋体"/>
          <w:sz w:val="24"/>
          <w:highlight w:val="none"/>
        </w:rPr>
        <w:t>，如在操作过程中遇到问题或需技术支持，请致电政采云客服热线：400-881-7190。</w:t>
      </w:r>
    </w:p>
    <w:p>
      <w:pPr>
        <w:spacing w:line="400" w:lineRule="exact"/>
        <w:ind w:firstLine="540"/>
        <w:rPr>
          <w:rFonts w:ascii="宋体" w:hAnsi="宋体" w:cs="宋体"/>
          <w:sz w:val="24"/>
          <w:highlight w:val="none"/>
        </w:rPr>
      </w:pPr>
      <w:r>
        <w:rPr>
          <w:rFonts w:hint="eastAsia" w:ascii="宋体" w:hAnsi="宋体" w:cs="宋体"/>
          <w:sz w:val="24"/>
          <w:highlight w:val="none"/>
        </w:rPr>
        <w:t>（注：1.供应商获取采购文件时应当填写完整准确的单位名称;2.已获取采购文件的供应商不等于符合本项目的供应商资格；3.供应商未</w:t>
      </w:r>
      <w:r>
        <w:rPr>
          <w:rFonts w:hint="eastAsia" w:ascii="宋体" w:hAnsi="宋体" w:eastAsia="宋体" w:cs="宋体"/>
          <w:sz w:val="24"/>
          <w:highlight w:val="none"/>
        </w:rPr>
        <w:t>在政采云平台</w:t>
      </w:r>
      <w:r>
        <w:rPr>
          <w:rFonts w:hint="eastAsia" w:ascii="宋体" w:hAnsi="宋体" w:cs="宋体"/>
          <w:sz w:val="24"/>
          <w:highlight w:val="none"/>
        </w:rPr>
        <w:t>获取本项目采购文件的，代理机构将拒收谈判响应文件）。</w:t>
      </w:r>
    </w:p>
    <w:p>
      <w:pPr>
        <w:spacing w:line="360" w:lineRule="auto"/>
        <w:ind w:firstLine="540"/>
        <w:rPr>
          <w:rFonts w:ascii="宋体" w:hAnsi="宋体" w:cs="宋体"/>
          <w:sz w:val="24"/>
          <w:highlight w:val="none"/>
        </w:rPr>
      </w:pPr>
      <w:r>
        <w:rPr>
          <w:rFonts w:hint="eastAsia" w:ascii="宋体" w:hAnsi="宋体" w:eastAsia="宋体" w:cs="宋体"/>
          <w:sz w:val="24"/>
          <w:highlight w:val="none"/>
        </w:rPr>
        <w:t>售价：免费获取</w:t>
      </w:r>
    </w:p>
    <w:p>
      <w:pPr>
        <w:pStyle w:val="4"/>
        <w:spacing w:before="0" w:after="0" w:line="400" w:lineRule="exact"/>
        <w:rPr>
          <w:rFonts w:ascii="宋体" w:hAnsi="宋体" w:eastAsia="宋体" w:cs="宋体"/>
          <w:bCs w:val="0"/>
          <w:sz w:val="24"/>
          <w:szCs w:val="24"/>
          <w:highlight w:val="none"/>
        </w:rPr>
      </w:pPr>
      <w:bookmarkStart w:id="23" w:name="_Toc28359092"/>
      <w:bookmarkStart w:id="24" w:name="_Toc35393801"/>
      <w:bookmarkStart w:id="25" w:name="_Toc35393632"/>
      <w:bookmarkStart w:id="26" w:name="_Toc28359015"/>
      <w:r>
        <w:rPr>
          <w:rFonts w:hint="eastAsia" w:ascii="宋体" w:hAnsi="宋体" w:eastAsia="宋体" w:cs="宋体"/>
          <w:bCs w:val="0"/>
          <w:sz w:val="24"/>
          <w:szCs w:val="24"/>
          <w:highlight w:val="none"/>
        </w:rPr>
        <w:t>四、响应文件提交</w:t>
      </w:r>
      <w:bookmarkEnd w:id="23"/>
      <w:bookmarkEnd w:id="24"/>
      <w:bookmarkEnd w:id="25"/>
      <w:bookmarkEnd w:id="26"/>
    </w:p>
    <w:p>
      <w:pPr>
        <w:spacing w:line="400" w:lineRule="exact"/>
        <w:ind w:firstLine="480" w:firstLineChars="200"/>
        <w:rPr>
          <w:rFonts w:ascii="宋体" w:hAnsi="宋体" w:cs="宋体"/>
          <w:bCs/>
          <w:sz w:val="24"/>
          <w:highlight w:val="none"/>
        </w:rPr>
      </w:pPr>
      <w:r>
        <w:rPr>
          <w:rFonts w:hint="eastAsia" w:ascii="宋体" w:hAnsi="宋体" w:cs="宋体"/>
          <w:sz w:val="24"/>
          <w:highlight w:val="none"/>
        </w:rPr>
        <w:t>截止时间：</w:t>
      </w:r>
      <w:r>
        <w:rPr>
          <w:rFonts w:hint="eastAsia" w:ascii="宋体" w:hAnsi="宋体" w:cs="宋体"/>
          <w:sz w:val="24"/>
          <w:highlight w:val="none"/>
          <w:u w:val="single"/>
        </w:rPr>
        <w:t xml:space="preserve"> 2020年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时</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bCs/>
          <w:sz w:val="24"/>
          <w:highlight w:val="none"/>
        </w:rPr>
        <w:t>（北京时间）</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地 点：天勤工程咨询有限公司（北海市广东路109号瀚宇国际大厦1幢6楼608-612室）</w:t>
      </w:r>
    </w:p>
    <w:p>
      <w:pPr>
        <w:pStyle w:val="4"/>
        <w:spacing w:before="0" w:after="0" w:line="400" w:lineRule="exact"/>
        <w:rPr>
          <w:rFonts w:ascii="宋体" w:hAnsi="宋体" w:eastAsia="宋体" w:cs="宋体"/>
          <w:bCs w:val="0"/>
          <w:sz w:val="24"/>
          <w:szCs w:val="24"/>
          <w:highlight w:val="none"/>
        </w:rPr>
      </w:pPr>
      <w:bookmarkStart w:id="27" w:name="_Toc35393633"/>
      <w:bookmarkStart w:id="28" w:name="_Toc28359016"/>
      <w:bookmarkStart w:id="29" w:name="_Toc35393802"/>
      <w:bookmarkStart w:id="30" w:name="_Toc28359093"/>
      <w:r>
        <w:rPr>
          <w:rFonts w:hint="eastAsia" w:ascii="宋体" w:hAnsi="宋体" w:eastAsia="宋体" w:cs="宋体"/>
          <w:bCs w:val="0"/>
          <w:sz w:val="24"/>
          <w:szCs w:val="24"/>
          <w:highlight w:val="none"/>
        </w:rPr>
        <w:t>五、开 启</w:t>
      </w:r>
      <w:bookmarkEnd w:id="27"/>
      <w:bookmarkEnd w:id="28"/>
      <w:bookmarkEnd w:id="29"/>
      <w:bookmarkEnd w:id="30"/>
    </w:p>
    <w:p>
      <w:pPr>
        <w:spacing w:line="400" w:lineRule="exact"/>
        <w:ind w:firstLine="480" w:firstLineChars="200"/>
        <w:rPr>
          <w:rFonts w:ascii="宋体" w:hAnsi="宋体" w:cs="宋体"/>
          <w:bCs/>
          <w:sz w:val="24"/>
          <w:highlight w:val="none"/>
          <w:u w:val="single"/>
        </w:rPr>
      </w:pPr>
      <w:r>
        <w:rPr>
          <w:rFonts w:hint="eastAsia" w:ascii="宋体" w:hAnsi="宋体" w:cs="宋体"/>
          <w:sz w:val="24"/>
          <w:highlight w:val="none"/>
        </w:rPr>
        <w:t>时 间：</w:t>
      </w:r>
      <w:r>
        <w:rPr>
          <w:rFonts w:hint="eastAsia" w:ascii="宋体" w:hAnsi="宋体" w:cs="宋体"/>
          <w:sz w:val="24"/>
          <w:highlight w:val="none"/>
          <w:u w:val="single"/>
        </w:rPr>
        <w:t>2020年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时</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分后</w:t>
      </w:r>
      <w:r>
        <w:rPr>
          <w:rFonts w:hint="eastAsia" w:ascii="宋体" w:hAnsi="宋体" w:cs="宋体"/>
          <w:bCs/>
          <w:sz w:val="24"/>
          <w:highlight w:val="none"/>
        </w:rPr>
        <w:t>（北京时间）</w:t>
      </w:r>
    </w:p>
    <w:p>
      <w:pPr>
        <w:adjustRightInd w:val="0"/>
        <w:snapToGrid w:val="0"/>
        <w:spacing w:line="400" w:lineRule="exact"/>
        <w:ind w:firstLine="480" w:firstLineChars="200"/>
        <w:rPr>
          <w:rFonts w:ascii="宋体" w:hAnsi="宋体" w:cs="宋体"/>
          <w:sz w:val="24"/>
          <w:highlight w:val="none"/>
        </w:rPr>
      </w:pPr>
      <w:r>
        <w:rPr>
          <w:rFonts w:hint="eastAsia" w:ascii="宋体" w:hAnsi="宋体" w:cs="宋体"/>
          <w:kern w:val="0"/>
          <w:sz w:val="24"/>
          <w:highlight w:val="none"/>
        </w:rPr>
        <w:t>地 点：</w:t>
      </w:r>
      <w:r>
        <w:rPr>
          <w:rFonts w:hint="eastAsia" w:ascii="宋体" w:hAnsi="宋体" w:cs="宋体"/>
          <w:sz w:val="24"/>
          <w:highlight w:val="none"/>
        </w:rPr>
        <w:t>天勤工程咨询有限公司（北海市广东路109号瀚宇国际大厦1幢6楼608-612室）</w:t>
      </w:r>
    </w:p>
    <w:p>
      <w:pPr>
        <w:pStyle w:val="4"/>
        <w:spacing w:before="0" w:after="0" w:line="400" w:lineRule="exact"/>
        <w:rPr>
          <w:rFonts w:ascii="宋体" w:hAnsi="宋体" w:eastAsia="宋体" w:cs="宋体"/>
          <w:bCs w:val="0"/>
          <w:sz w:val="24"/>
          <w:szCs w:val="24"/>
          <w:highlight w:val="none"/>
        </w:rPr>
      </w:pPr>
      <w:bookmarkStart w:id="31" w:name="_Toc35393803"/>
      <w:bookmarkStart w:id="32" w:name="_Toc28359094"/>
      <w:bookmarkStart w:id="33" w:name="_Toc28359017"/>
      <w:bookmarkStart w:id="34" w:name="_Toc35393634"/>
      <w:r>
        <w:rPr>
          <w:rFonts w:hint="eastAsia" w:ascii="宋体" w:hAnsi="宋体" w:eastAsia="宋体" w:cs="宋体"/>
          <w:bCs w:val="0"/>
          <w:sz w:val="24"/>
          <w:szCs w:val="24"/>
          <w:highlight w:val="none"/>
        </w:rPr>
        <w:t>六、公告期限</w:t>
      </w:r>
      <w:bookmarkEnd w:id="31"/>
      <w:bookmarkEnd w:id="32"/>
      <w:bookmarkEnd w:id="33"/>
      <w:bookmarkEnd w:id="34"/>
    </w:p>
    <w:p>
      <w:pPr>
        <w:spacing w:line="400" w:lineRule="exact"/>
        <w:ind w:firstLine="480" w:firstLineChars="200"/>
        <w:rPr>
          <w:rFonts w:ascii="宋体" w:hAnsi="宋体" w:eastAsia="宋体" w:cs="宋体"/>
          <w:sz w:val="24"/>
          <w:highlight w:val="none"/>
        </w:rPr>
      </w:pPr>
      <w:r>
        <w:rPr>
          <w:rFonts w:hint="eastAsia" w:ascii="宋体" w:hAnsi="宋体" w:cs="宋体"/>
          <w:kern w:val="0"/>
          <w:sz w:val="24"/>
          <w:highlight w:val="none"/>
        </w:rPr>
        <w:t>自本公告发布之日起3个工作日。</w:t>
      </w:r>
    </w:p>
    <w:p>
      <w:pPr>
        <w:pStyle w:val="4"/>
        <w:spacing w:before="0" w:after="0" w:line="400" w:lineRule="exact"/>
        <w:rPr>
          <w:rFonts w:ascii="宋体" w:hAnsi="宋体" w:eastAsia="宋体" w:cs="宋体"/>
          <w:bCs w:val="0"/>
          <w:sz w:val="24"/>
          <w:szCs w:val="24"/>
          <w:highlight w:val="none"/>
        </w:rPr>
      </w:pPr>
      <w:r>
        <w:rPr>
          <w:rFonts w:hint="eastAsia" w:ascii="宋体" w:hAnsi="宋体" w:eastAsia="宋体" w:cs="宋体"/>
          <w:bCs w:val="0"/>
          <w:sz w:val="24"/>
          <w:szCs w:val="24"/>
          <w:highlight w:val="none"/>
        </w:rPr>
        <w:t>七、其它事项：</w:t>
      </w:r>
    </w:p>
    <w:p>
      <w:pPr>
        <w:widowControl/>
        <w:spacing w:line="400" w:lineRule="exact"/>
        <w:ind w:firstLine="480" w:firstLineChars="200"/>
        <w:jc w:val="left"/>
        <w:rPr>
          <w:rFonts w:ascii="宋体" w:hAnsi="宋体" w:cs="宋体"/>
          <w:sz w:val="24"/>
          <w:highlight w:val="none"/>
        </w:rPr>
      </w:pPr>
      <w:r>
        <w:rPr>
          <w:rFonts w:hint="eastAsia" w:ascii="宋体" w:hAnsi="宋体" w:eastAsia="宋体" w:cs="宋体"/>
          <w:kern w:val="0"/>
          <w:sz w:val="24"/>
          <w:highlight w:val="none"/>
          <w:lang w:bidi="ar"/>
        </w:rPr>
        <w:t>谈判供应商的谈判代表参加谈判，法定代表人(负责人)或委托代理人必须持有效证件[法定代表人(负责人)凭身份证或委托代理人凭法人授权委托书原件和身份证]依时到达指定地点等候当面谈判。</w:t>
      </w:r>
    </w:p>
    <w:p>
      <w:pPr>
        <w:pStyle w:val="4"/>
        <w:spacing w:before="0" w:after="0" w:line="400" w:lineRule="exact"/>
        <w:rPr>
          <w:rFonts w:ascii="宋体" w:hAnsi="宋体" w:eastAsia="宋体" w:cs="宋体"/>
          <w:bCs w:val="0"/>
          <w:sz w:val="24"/>
          <w:szCs w:val="24"/>
          <w:highlight w:val="none"/>
        </w:rPr>
      </w:pPr>
      <w:bookmarkStart w:id="35" w:name="_Toc28359095"/>
      <w:bookmarkStart w:id="36" w:name="_Toc35393636"/>
      <w:bookmarkStart w:id="37" w:name="_Toc35393805"/>
      <w:bookmarkStart w:id="38" w:name="_Toc28359018"/>
      <w:r>
        <w:rPr>
          <w:rFonts w:hint="eastAsia" w:ascii="宋体" w:hAnsi="宋体" w:eastAsia="宋体" w:cs="宋体"/>
          <w:bCs w:val="0"/>
          <w:sz w:val="24"/>
          <w:szCs w:val="24"/>
          <w:highlight w:val="none"/>
        </w:rPr>
        <w:t>八、网上公告媒体查询：</w:t>
      </w:r>
    </w:p>
    <w:p>
      <w:pPr>
        <w:widowControl/>
        <w:spacing w:line="400" w:lineRule="exact"/>
        <w:ind w:firstLine="480" w:firstLineChars="200"/>
        <w:rPr>
          <w:rFonts w:ascii="宋体" w:hAnsi="宋体" w:cs="宋体"/>
          <w:sz w:val="24"/>
          <w:highlight w:val="none"/>
        </w:rPr>
      </w:pPr>
      <w:r>
        <w:rPr>
          <w:rFonts w:hint="eastAsia" w:ascii="宋体" w:hAnsi="宋体" w:cs="宋体"/>
          <w:kern w:val="0"/>
          <w:sz w:val="24"/>
          <w:highlight w:val="none"/>
          <w:lang w:bidi="ar"/>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19"/>
          <w:rFonts w:hint="eastAsia" w:ascii="宋体" w:hAnsi="宋体" w:cs="宋体"/>
          <w:color w:val="auto"/>
          <w:sz w:val="24"/>
          <w:highlight w:val="none"/>
        </w:rPr>
        <w:t>www.ccgp.gov.cn</w:t>
      </w:r>
      <w:r>
        <w:rPr>
          <w:rStyle w:val="19"/>
          <w:rFonts w:hint="eastAsia" w:ascii="宋体" w:hAnsi="宋体" w:cs="宋体"/>
          <w:color w:val="auto"/>
          <w:sz w:val="24"/>
          <w:highlight w:val="none"/>
        </w:rPr>
        <w:fldChar w:fldCharType="end"/>
      </w:r>
      <w:r>
        <w:rPr>
          <w:rFonts w:hint="eastAsia" w:ascii="宋体" w:hAnsi="宋体" w:cs="宋体"/>
          <w:kern w:val="0"/>
          <w:sz w:val="24"/>
          <w:highlight w:val="none"/>
          <w:lang w:bidi="ar"/>
        </w:rPr>
        <w:t>）、广西壮族自治区政府采购（http://zfcg.gxzf.gov.cn/home.html）</w:t>
      </w:r>
    </w:p>
    <w:p>
      <w:pPr>
        <w:pStyle w:val="4"/>
        <w:spacing w:before="0" w:after="0" w:line="400" w:lineRule="exact"/>
        <w:rPr>
          <w:rFonts w:ascii="宋体" w:hAnsi="宋体" w:eastAsia="宋体" w:cs="宋体"/>
          <w:bCs w:val="0"/>
          <w:sz w:val="24"/>
          <w:szCs w:val="24"/>
          <w:highlight w:val="none"/>
        </w:rPr>
      </w:pPr>
      <w:r>
        <w:rPr>
          <w:rFonts w:hint="eastAsia" w:ascii="宋体" w:hAnsi="宋体" w:eastAsia="宋体" w:cs="宋体"/>
          <w:bCs w:val="0"/>
          <w:sz w:val="24"/>
          <w:szCs w:val="24"/>
          <w:highlight w:val="none"/>
        </w:rPr>
        <w:t>九、凡对本次采购提出询问，请按以下方式联系。</w:t>
      </w:r>
      <w:bookmarkEnd w:id="35"/>
      <w:bookmarkEnd w:id="36"/>
      <w:bookmarkEnd w:id="37"/>
      <w:bookmarkEnd w:id="38"/>
      <w:bookmarkStart w:id="39" w:name="_Toc28359096"/>
      <w:bookmarkStart w:id="40" w:name="_Toc35393806"/>
      <w:bookmarkStart w:id="41" w:name="_Toc28359019"/>
      <w:bookmarkStart w:id="42" w:name="_Toc35393637"/>
    </w:p>
    <w:p>
      <w:pPr>
        <w:pStyle w:val="4"/>
        <w:spacing w:before="20" w:after="0" w:line="400" w:lineRule="exact"/>
        <w:ind w:firstLine="720" w:firstLineChars="300"/>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bookmarkEnd w:id="39"/>
      <w:bookmarkEnd w:id="40"/>
      <w:bookmarkEnd w:id="41"/>
      <w:bookmarkEnd w:id="42"/>
    </w:p>
    <w:p>
      <w:pPr>
        <w:spacing w:line="400" w:lineRule="exact"/>
        <w:ind w:left="1079" w:leftChars="371" w:hanging="300" w:hangingChars="125"/>
        <w:jc w:val="left"/>
        <w:rPr>
          <w:rFonts w:ascii="宋体" w:hAnsi="宋体" w:cs="宋体"/>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　北海市行政执法指挥中心　</w:t>
      </w:r>
    </w:p>
    <w:p>
      <w:pPr>
        <w:spacing w:line="400" w:lineRule="exact"/>
        <w:ind w:left="1079" w:leftChars="371" w:hanging="300" w:hangingChars="125"/>
        <w:jc w:val="left"/>
        <w:rPr>
          <w:rFonts w:hint="eastAsia" w:ascii="宋体" w:hAnsi="宋体" w:cs="宋体"/>
          <w:sz w:val="24"/>
          <w:highlight w:val="none"/>
          <w:u w:val="single"/>
          <w:lang w:val="en-US" w:eastAsia="zh-CN"/>
        </w:rPr>
      </w:pPr>
      <w:r>
        <w:rPr>
          <w:rFonts w:hint="eastAsia" w:ascii="宋体" w:hAnsi="宋体" w:cs="宋体"/>
          <w:sz w:val="24"/>
          <w:highlight w:val="none"/>
        </w:rPr>
        <w:t>地    址：</w:t>
      </w:r>
      <w:r>
        <w:rPr>
          <w:rFonts w:hint="eastAsia" w:ascii="宋体" w:hAnsi="宋体" w:cs="宋体"/>
          <w:sz w:val="24"/>
          <w:highlight w:val="none"/>
          <w:u w:val="single"/>
          <w:lang w:eastAsia="zh-CN"/>
        </w:rPr>
        <w:t>四川路</w:t>
      </w:r>
      <w:r>
        <w:rPr>
          <w:rFonts w:hint="eastAsia" w:ascii="宋体" w:hAnsi="宋体" w:cs="宋体"/>
          <w:sz w:val="24"/>
          <w:highlight w:val="none"/>
          <w:u w:val="single"/>
          <w:lang w:val="en-US" w:eastAsia="zh-CN"/>
        </w:rPr>
        <w:t>58号电信大院内</w:t>
      </w:r>
    </w:p>
    <w:p>
      <w:pPr>
        <w:spacing w:line="400" w:lineRule="exact"/>
        <w:ind w:left="1079" w:leftChars="371" w:hanging="300" w:hangingChars="125"/>
        <w:jc w:val="left"/>
        <w:rPr>
          <w:rFonts w:ascii="宋体" w:hAnsi="宋体" w:cs="宋体"/>
          <w:kern w:val="0"/>
          <w:sz w:val="24"/>
          <w:highlight w:val="none"/>
          <w:u w:val="single"/>
          <w:lang w:bidi="ar"/>
        </w:rPr>
      </w:pPr>
      <w:r>
        <w:rPr>
          <w:rFonts w:hint="eastAsia" w:ascii="宋体" w:hAnsi="宋体" w:cs="宋体"/>
          <w:sz w:val="24"/>
          <w:highlight w:val="none"/>
        </w:rPr>
        <w:t>联系人：</w:t>
      </w:r>
      <w:r>
        <w:rPr>
          <w:rFonts w:hint="eastAsia" w:ascii="宋体" w:hAnsi="宋体" w:cs="宋体"/>
          <w:sz w:val="24"/>
          <w:highlight w:val="none"/>
          <w:u w:val="single"/>
          <w:lang w:eastAsia="zh-CN"/>
        </w:rPr>
        <w:t>李主任</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0779-3203519</w:t>
      </w:r>
      <w:r>
        <w:rPr>
          <w:rFonts w:hint="eastAsia" w:ascii="宋体" w:hAnsi="宋体" w:cs="宋体"/>
          <w:sz w:val="24"/>
          <w:highlight w:val="none"/>
          <w:u w:val="single"/>
        </w:rPr>
        <w:t xml:space="preserve"> </w:t>
      </w:r>
      <w:bookmarkStart w:id="173" w:name="_GoBack"/>
      <w:bookmarkEnd w:id="173"/>
    </w:p>
    <w:p>
      <w:pPr>
        <w:spacing w:line="400" w:lineRule="exact"/>
        <w:ind w:firstLine="720" w:firstLineChars="300"/>
        <w:rPr>
          <w:rFonts w:ascii="宋体" w:hAnsi="宋体" w:cs="宋体"/>
          <w:sz w:val="24"/>
          <w:highlight w:val="none"/>
        </w:rPr>
      </w:pPr>
      <w:r>
        <w:rPr>
          <w:rFonts w:hint="eastAsia" w:ascii="宋体" w:hAnsi="宋体" w:cs="宋体"/>
          <w:sz w:val="24"/>
          <w:highlight w:val="none"/>
        </w:rPr>
        <w:t>2.采购代理机构信息</w:t>
      </w:r>
    </w:p>
    <w:p>
      <w:pPr>
        <w:spacing w:line="400" w:lineRule="exact"/>
        <w:ind w:left="1079" w:leftChars="371" w:hanging="300" w:hangingChars="125"/>
        <w:jc w:val="left"/>
        <w:rPr>
          <w:rFonts w:ascii="宋体" w:hAnsi="宋体" w:cs="宋体"/>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　天勤工程咨询有限公司　</w:t>
      </w:r>
    </w:p>
    <w:p>
      <w:pPr>
        <w:spacing w:line="400" w:lineRule="exact"/>
        <w:ind w:left="1079" w:leftChars="371" w:hanging="300" w:hangingChars="125"/>
        <w:jc w:val="left"/>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北海市广东路109号瀚宇国际大厦1幢6楼608-612室</w:t>
      </w:r>
    </w:p>
    <w:p>
      <w:pPr>
        <w:spacing w:line="400" w:lineRule="exact"/>
        <w:ind w:left="1079" w:leftChars="371" w:hanging="300" w:hangingChars="125"/>
        <w:jc w:val="left"/>
        <w:rPr>
          <w:rFonts w:ascii="宋体" w:hAnsi="宋体" w:cs="宋体"/>
          <w:kern w:val="0"/>
          <w:sz w:val="24"/>
          <w:highlight w:val="none"/>
          <w:u w:val="single"/>
          <w:lang w:bidi="ar"/>
        </w:rPr>
      </w:pPr>
      <w:bookmarkStart w:id="43" w:name="_Toc35393639"/>
      <w:bookmarkStart w:id="44" w:name="_Toc28359021"/>
      <w:bookmarkStart w:id="45" w:name="_Toc28359098"/>
      <w:bookmarkStart w:id="46" w:name="_Toc35393808"/>
      <w:r>
        <w:rPr>
          <w:rFonts w:hint="eastAsia" w:ascii="宋体" w:hAnsi="宋体" w:cs="宋体"/>
          <w:sz w:val="24"/>
          <w:highlight w:val="none"/>
        </w:rPr>
        <w:t>联系人：</w:t>
      </w:r>
      <w:r>
        <w:rPr>
          <w:rFonts w:hint="eastAsia" w:ascii="宋体" w:hAnsi="宋体" w:cs="宋体"/>
          <w:sz w:val="24"/>
          <w:highlight w:val="none"/>
          <w:u w:val="single"/>
        </w:rPr>
        <w:t>凌雨</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0779-3205762  </w:t>
      </w:r>
      <w:bookmarkEnd w:id="43"/>
      <w:bookmarkEnd w:id="44"/>
      <w:bookmarkEnd w:id="45"/>
      <w:bookmarkEnd w:id="46"/>
    </w:p>
    <w:p>
      <w:pPr>
        <w:spacing w:line="400" w:lineRule="exact"/>
        <w:ind w:firstLine="480" w:firstLineChars="200"/>
        <w:rPr>
          <w:rFonts w:ascii="宋体" w:hAnsi="宋体"/>
          <w:sz w:val="24"/>
          <w:highlight w:val="none"/>
        </w:rPr>
      </w:pPr>
      <w:r>
        <w:rPr>
          <w:rFonts w:hint="eastAsia" w:ascii="宋体" w:hAnsi="宋体" w:cs="宋体"/>
          <w:kern w:val="0"/>
          <w:sz w:val="24"/>
          <w:highlight w:val="none"/>
          <w:lang w:bidi="ar"/>
        </w:rPr>
        <w:t xml:space="preserve">   </w:t>
      </w: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监督部门</w:t>
      </w:r>
    </w:p>
    <w:p>
      <w:pPr>
        <w:spacing w:line="400" w:lineRule="exact"/>
        <w:ind w:firstLine="720" w:firstLineChars="300"/>
        <w:rPr>
          <w:rFonts w:ascii="宋体" w:hAnsi="宋体"/>
          <w:sz w:val="24"/>
          <w:highlight w:val="none"/>
        </w:rPr>
      </w:pPr>
      <w:r>
        <w:rPr>
          <w:rFonts w:hint="eastAsia" w:ascii="宋体" w:hAnsi="宋体"/>
          <w:sz w:val="24"/>
          <w:highlight w:val="none"/>
        </w:rPr>
        <w:t>名 称：</w:t>
      </w:r>
      <w:r>
        <w:rPr>
          <w:rFonts w:hint="eastAsia" w:ascii="宋体" w:hAnsi="宋体"/>
          <w:sz w:val="24"/>
          <w:highlight w:val="none"/>
          <w:u w:val="single"/>
        </w:rPr>
        <w:t>北海市财政局</w:t>
      </w:r>
    </w:p>
    <w:p>
      <w:pPr>
        <w:spacing w:line="400" w:lineRule="exact"/>
        <w:ind w:firstLine="720" w:firstLineChars="300"/>
        <w:rPr>
          <w:rFonts w:ascii="宋体" w:hAnsi="宋体"/>
          <w:sz w:val="24"/>
          <w:highlight w:val="none"/>
          <w:u w:val="single"/>
        </w:rPr>
      </w:pPr>
      <w:r>
        <w:rPr>
          <w:rFonts w:hint="eastAsia" w:ascii="宋体" w:hAnsi="宋体"/>
          <w:sz w:val="24"/>
          <w:highlight w:val="none"/>
        </w:rPr>
        <w:t>电 话：</w:t>
      </w:r>
      <w:r>
        <w:rPr>
          <w:rFonts w:hint="eastAsia" w:ascii="宋体" w:hAnsi="宋体"/>
          <w:sz w:val="24"/>
          <w:highlight w:val="none"/>
          <w:u w:val="single"/>
        </w:rPr>
        <w:t>0779-3063975</w:t>
      </w:r>
    </w:p>
    <w:p>
      <w:pPr>
        <w:widowControl/>
        <w:spacing w:line="320" w:lineRule="exact"/>
        <w:jc w:val="left"/>
        <w:rPr>
          <w:rFonts w:ascii="宋体" w:hAnsi="宋体" w:cs="宋体"/>
          <w:kern w:val="0"/>
          <w:sz w:val="24"/>
          <w:highlight w:val="none"/>
          <w:lang w:bidi="ar"/>
        </w:rPr>
      </w:pPr>
    </w:p>
    <w:p>
      <w:pPr>
        <w:snapToGrid w:val="0"/>
        <w:spacing w:line="320" w:lineRule="exact"/>
        <w:ind w:firstLine="3600" w:firstLineChars="1500"/>
        <w:rPr>
          <w:rFonts w:ascii="宋体" w:hAnsi="宋体" w:cs="宋体"/>
          <w:kern w:val="0"/>
          <w:sz w:val="24"/>
          <w:highlight w:val="none"/>
        </w:rPr>
      </w:pPr>
      <w:r>
        <w:rPr>
          <w:rFonts w:hint="eastAsia" w:ascii="宋体" w:hAnsi="宋体" w:cs="宋体"/>
          <w:kern w:val="0"/>
          <w:sz w:val="24"/>
          <w:highlight w:val="none"/>
        </w:rPr>
        <w:t xml:space="preserve">                              天勤工程咨询有限公司</w:t>
      </w:r>
    </w:p>
    <w:p>
      <w:pPr>
        <w:snapToGrid w:val="0"/>
        <w:spacing w:line="32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                                                         2020 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p>
    <w:p>
      <w:pPr>
        <w:pStyle w:val="3"/>
        <w:spacing w:after="120" w:line="500" w:lineRule="exact"/>
        <w:ind w:firstLine="2209" w:firstLineChars="500"/>
        <w:rPr>
          <w:rFonts w:ascii="宋体" w:hAnsi="宋体" w:eastAsia="宋体" w:cs="宋体"/>
          <w:highlight w:val="none"/>
        </w:rPr>
      </w:pPr>
      <w:r>
        <w:rPr>
          <w:rFonts w:hint="eastAsia" w:ascii="宋体" w:hAnsi="宋体" w:eastAsia="宋体" w:cs="宋体"/>
          <w:highlight w:val="none"/>
        </w:rPr>
        <w:t>第二章  谈判供应商须知</w:t>
      </w:r>
      <w:bookmarkEnd w:id="6"/>
      <w:bookmarkEnd w:id="7"/>
      <w:bookmarkEnd w:id="8"/>
      <w:bookmarkEnd w:id="9"/>
      <w:bookmarkEnd w:id="10"/>
      <w:bookmarkStart w:id="47" w:name="_Toc29730"/>
    </w:p>
    <w:p>
      <w:pPr>
        <w:jc w:val="center"/>
        <w:rPr>
          <w:b/>
          <w:sz w:val="30"/>
          <w:szCs w:val="30"/>
          <w:highlight w:val="none"/>
        </w:rPr>
      </w:pPr>
      <w:r>
        <w:rPr>
          <w:rFonts w:hint="eastAsia"/>
          <w:b/>
          <w:sz w:val="30"/>
          <w:szCs w:val="30"/>
          <w:highlight w:val="none"/>
        </w:rPr>
        <w:t>谈判供应商须知前附表</w:t>
      </w:r>
      <w:bookmarkEnd w:id="47"/>
    </w:p>
    <w:tbl>
      <w:tblPr>
        <w:tblStyle w:val="1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00"/>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序号</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条款号</w:t>
            </w:r>
          </w:p>
        </w:tc>
        <w:tc>
          <w:tcPr>
            <w:tcW w:w="7707"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1</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p>
        </w:tc>
        <w:tc>
          <w:tcPr>
            <w:tcW w:w="7707" w:type="dxa"/>
            <w:vAlign w:val="center"/>
          </w:tcPr>
          <w:p>
            <w:pPr>
              <w:pStyle w:val="22"/>
              <w:adjustRightInd w:val="0"/>
              <w:snapToGrid w:val="0"/>
              <w:spacing w:line="320" w:lineRule="exact"/>
              <w:rPr>
                <w:rFonts w:hint="eastAsia" w:hAnsi="宋体" w:eastAsia="宋体" w:cs="宋体"/>
                <w:sz w:val="24"/>
                <w:szCs w:val="24"/>
                <w:highlight w:val="none"/>
                <w:lang w:eastAsia="zh-CN"/>
              </w:rPr>
            </w:pPr>
            <w:r>
              <w:rPr>
                <w:rFonts w:hint="eastAsia" w:hAnsi="宋体" w:eastAsia="宋体" w:cs="宋体"/>
                <w:sz w:val="24"/>
                <w:szCs w:val="24"/>
                <w:highlight w:val="none"/>
              </w:rPr>
              <w:t>项目名称：</w:t>
            </w:r>
            <w:r>
              <w:rPr>
                <w:rFonts w:hint="eastAsia" w:hAnsi="宋体" w:eastAsia="宋体" w:cs="宋体"/>
                <w:sz w:val="24"/>
                <w:szCs w:val="24"/>
                <w:highlight w:val="none"/>
                <w:lang w:eastAsia="zh-CN"/>
              </w:rPr>
              <w:t>无人机智能化执法系统采购（重）</w:t>
            </w:r>
          </w:p>
          <w:p>
            <w:pPr>
              <w:pStyle w:val="22"/>
              <w:adjustRightInd w:val="0"/>
              <w:snapToGrid w:val="0"/>
              <w:spacing w:line="320" w:lineRule="exact"/>
              <w:rPr>
                <w:rFonts w:hAnsi="宋体" w:eastAsia="宋体" w:cs="宋体"/>
                <w:sz w:val="24"/>
                <w:szCs w:val="24"/>
                <w:highlight w:val="none"/>
              </w:rPr>
            </w:pPr>
            <w:r>
              <w:rPr>
                <w:rFonts w:hint="eastAsia" w:hAnsi="宋体" w:eastAsia="宋体" w:cs="宋体"/>
                <w:sz w:val="24"/>
                <w:szCs w:val="24"/>
                <w:highlight w:val="none"/>
              </w:rPr>
              <w:t>项目编号：</w:t>
            </w:r>
            <w:r>
              <w:rPr>
                <w:rFonts w:hint="eastAsia" w:hAnsi="宋体" w:eastAsia="宋体" w:cs="宋体"/>
                <w:sz w:val="24"/>
                <w:szCs w:val="24"/>
                <w:highlight w:val="none"/>
                <w:lang w:eastAsia="zh-CN"/>
              </w:rPr>
              <w:t>BHZC2020-J1-00035-TQBH（重）</w:t>
            </w:r>
            <w:r>
              <w:rPr>
                <w:rFonts w:hint="eastAsia" w:hAnsi="宋体" w:eastAsia="宋体" w:cs="宋体"/>
                <w:sz w:val="24"/>
                <w:szCs w:val="24"/>
                <w:highlight w:val="none"/>
              </w:rPr>
              <w:t xml:space="preserve">  </w:t>
            </w:r>
          </w:p>
          <w:p>
            <w:pPr>
              <w:pStyle w:val="8"/>
              <w:rPr>
                <w:rFonts w:hAnsi="宋体" w:cs="宋体"/>
                <w:sz w:val="24"/>
                <w:szCs w:val="24"/>
                <w:highlight w:val="none"/>
              </w:rPr>
            </w:pPr>
            <w:r>
              <w:rPr>
                <w:rFonts w:hint="eastAsia" w:hAnsi="宋体" w:eastAsia="宋体" w:cs="宋体"/>
                <w:sz w:val="24"/>
                <w:szCs w:val="24"/>
                <w:highlight w:val="none"/>
              </w:rPr>
              <w:t>采购预算：</w:t>
            </w:r>
            <w:r>
              <w:rPr>
                <w:rFonts w:hint="eastAsia" w:hAnsi="宋体" w:cs="宋体"/>
                <w:sz w:val="24"/>
                <w:szCs w:val="24"/>
                <w:highlight w:val="none"/>
              </w:rPr>
              <w:t>399071.00元</w:t>
            </w:r>
          </w:p>
          <w:p>
            <w:pPr>
              <w:spacing w:line="320" w:lineRule="exact"/>
              <w:rPr>
                <w:rFonts w:ascii="宋体" w:hAnsi="宋体" w:cs="宋体"/>
                <w:sz w:val="24"/>
                <w:highlight w:val="none"/>
              </w:rPr>
            </w:pPr>
            <w:r>
              <w:rPr>
                <w:rFonts w:hint="eastAsia" w:ascii="宋体" w:hAnsi="宋体" w:cs="宋体"/>
                <w:sz w:val="24"/>
                <w:highlight w:val="none"/>
              </w:rPr>
              <w:t>合同履行期限：自签订合同之日起</w:t>
            </w:r>
            <w:r>
              <w:rPr>
                <w:rFonts w:hint="eastAsia" w:ascii="宋体" w:hAnsi="宋体" w:cs="宋体"/>
                <w:sz w:val="24"/>
                <w:highlight w:val="none"/>
                <w:lang w:val="en-US" w:eastAsia="zh-CN"/>
              </w:rPr>
              <w:t>20</w:t>
            </w:r>
            <w:r>
              <w:rPr>
                <w:rFonts w:hint="eastAsia" w:ascii="宋体" w:hAnsi="宋体" w:cs="宋体"/>
                <w:sz w:val="24"/>
                <w:highlight w:val="none"/>
              </w:rPr>
              <w:t>日历天内交货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2</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p>
        </w:tc>
        <w:tc>
          <w:tcPr>
            <w:tcW w:w="7707" w:type="dxa"/>
            <w:vAlign w:val="center"/>
          </w:tcPr>
          <w:p>
            <w:pPr>
              <w:adjustRightInd w:val="0"/>
              <w:snapToGrid w:val="0"/>
              <w:spacing w:line="400" w:lineRule="exact"/>
              <w:rPr>
                <w:rFonts w:asciiTheme="minorEastAsia" w:hAnsiTheme="minorEastAsia"/>
                <w:sz w:val="24"/>
                <w:highlight w:val="none"/>
              </w:rPr>
            </w:pPr>
            <w:r>
              <w:rPr>
                <w:rFonts w:hint="eastAsia" w:asciiTheme="minorEastAsia" w:hAnsiTheme="minorEastAsia"/>
                <w:sz w:val="24"/>
                <w:highlight w:val="none"/>
              </w:rPr>
              <w:t>供应商资格：</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1、具备《中华人民共和国政府采购法》第二十二条第一款规定的条件；</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2、国内注册（指按国家有关规定要求注册的），生产或经营本次招标采购内容，具备法人资格的供应商；</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4、落实政府采购政策需满足的资格要求：①政府采购促进中小企业发展；②政府采购促进残疾人就业政策；③政府采购支持监狱企业发展；④节能产品、环境标志产品依据品目清单和认证证书实施政府优先采购和强制采购。（财库〔2019〕9号）</w:t>
            </w:r>
          </w:p>
          <w:p>
            <w:pPr>
              <w:adjustRightInd w:val="0"/>
              <w:snapToGrid w:val="0"/>
              <w:spacing w:line="400" w:lineRule="exact"/>
              <w:ind w:firstLine="480" w:firstLineChars="200"/>
              <w:rPr>
                <w:rFonts w:ascii="宋体" w:hAnsi="宋体" w:eastAsia="宋体" w:cs="宋体"/>
                <w:bCs/>
                <w:sz w:val="24"/>
                <w:highlight w:val="none"/>
              </w:rPr>
            </w:pPr>
            <w:r>
              <w:rPr>
                <w:rFonts w:hint="eastAsia" w:asciiTheme="minorEastAsia" w:hAnsiTheme="minorEastAsia"/>
                <w:sz w:val="24"/>
                <w:highlight w:val="none"/>
              </w:rPr>
              <w:t>5、</w:t>
            </w:r>
            <w:r>
              <w:rPr>
                <w:rFonts w:asciiTheme="minorEastAsia" w:hAnsiTheme="minorEastAsia"/>
                <w:sz w:val="24"/>
                <w:highlight w:val="none"/>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3</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p>
        </w:tc>
        <w:tc>
          <w:tcPr>
            <w:tcW w:w="7707" w:type="dxa"/>
            <w:vAlign w:val="center"/>
          </w:tcPr>
          <w:p>
            <w:pPr>
              <w:adjustRightInd w:val="0"/>
              <w:snapToGrid w:val="0"/>
              <w:spacing w:line="320" w:lineRule="exact"/>
              <w:rPr>
                <w:rFonts w:ascii="宋体" w:hAnsi="宋体" w:eastAsia="宋体" w:cs="宋体"/>
                <w:sz w:val="24"/>
                <w:highlight w:val="none"/>
              </w:rPr>
            </w:pPr>
            <w:r>
              <w:rPr>
                <w:rFonts w:hint="eastAsia" w:ascii="宋体" w:hAnsi="宋体" w:eastAsia="宋体" w:cs="宋体"/>
                <w:sz w:val="24"/>
                <w:highlight w:val="none"/>
              </w:rPr>
              <w:t>报价：谈判供应商可就《采购需求》中所有的货物内容作完整唯一报价。</w:t>
            </w:r>
          </w:p>
          <w:p>
            <w:pPr>
              <w:adjustRightInd w:val="0"/>
              <w:snapToGrid w:val="0"/>
              <w:spacing w:line="320" w:lineRule="exact"/>
              <w:rPr>
                <w:rFonts w:ascii="宋体" w:hAnsi="宋体" w:eastAsia="宋体" w:cs="宋体"/>
                <w:sz w:val="24"/>
                <w:highlight w:val="none"/>
              </w:rPr>
            </w:pPr>
            <w:r>
              <w:rPr>
                <w:rFonts w:hint="eastAsia" w:ascii="宋体" w:hAnsi="宋体" w:eastAsia="宋体" w:cs="宋体"/>
                <w:sz w:val="24"/>
                <w:highlight w:val="none"/>
              </w:rPr>
              <w:t>谈判供应商的单价报价及总价报价均不能超控制价。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4</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p>
        </w:tc>
        <w:tc>
          <w:tcPr>
            <w:tcW w:w="7707" w:type="dxa"/>
            <w:vAlign w:val="center"/>
          </w:tcPr>
          <w:p>
            <w:pPr>
              <w:pStyle w:val="8"/>
              <w:adjustRightInd w:val="0"/>
              <w:snapToGrid w:val="0"/>
              <w:spacing w:line="320" w:lineRule="exact"/>
              <w:rPr>
                <w:rFonts w:hAnsi="宋体" w:eastAsia="宋体" w:cs="宋体"/>
                <w:sz w:val="24"/>
                <w:szCs w:val="24"/>
                <w:highlight w:val="none"/>
              </w:rPr>
            </w:pPr>
            <w:r>
              <w:rPr>
                <w:rFonts w:hint="eastAsia" w:hAnsi="宋体" w:eastAsia="宋体" w:cs="宋体"/>
                <w:sz w:val="24"/>
                <w:szCs w:val="24"/>
                <w:highlight w:val="none"/>
              </w:rPr>
              <w:t>响应文件：正本一份，副本贰份。投标文件电子版一份（以u盘形式递交）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5</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p>
        </w:tc>
        <w:tc>
          <w:tcPr>
            <w:tcW w:w="7707" w:type="dxa"/>
            <w:vAlign w:val="center"/>
          </w:tcPr>
          <w:p>
            <w:pPr>
              <w:pStyle w:val="22"/>
              <w:adjustRightInd w:val="0"/>
              <w:snapToGrid w:val="0"/>
              <w:spacing w:line="320" w:lineRule="exact"/>
              <w:rPr>
                <w:rFonts w:hAnsi="宋体" w:eastAsia="宋体" w:cs="宋体"/>
                <w:b/>
                <w:bCs/>
                <w:sz w:val="24"/>
                <w:szCs w:val="24"/>
                <w:highlight w:val="none"/>
              </w:rPr>
            </w:pPr>
            <w:r>
              <w:rPr>
                <w:rFonts w:hint="eastAsia" w:hAnsi="宋体" w:eastAsia="宋体" w:cs="宋体"/>
                <w:b/>
                <w:sz w:val="24"/>
                <w:szCs w:val="24"/>
                <w:highlight w:val="none"/>
              </w:rPr>
              <w:t>响应文件递交截止时间：2020年</w:t>
            </w:r>
            <w:r>
              <w:rPr>
                <w:rFonts w:hint="eastAsia" w:hAnsi="宋体" w:eastAsia="宋体" w:cs="宋体"/>
                <w:b/>
                <w:sz w:val="24"/>
                <w:szCs w:val="24"/>
                <w:highlight w:val="none"/>
                <w:lang w:val="en-US" w:eastAsia="zh-CN"/>
              </w:rPr>
              <w:t>12</w:t>
            </w:r>
            <w:r>
              <w:rPr>
                <w:rFonts w:hint="eastAsia" w:hAnsi="宋体" w:eastAsia="宋体" w:cs="宋体"/>
                <w:b/>
                <w:sz w:val="24"/>
                <w:szCs w:val="24"/>
                <w:highlight w:val="none"/>
              </w:rPr>
              <w:t>月</w:t>
            </w:r>
            <w:r>
              <w:rPr>
                <w:rFonts w:hint="eastAsia" w:hAnsi="宋体" w:eastAsia="宋体" w:cs="宋体"/>
                <w:b/>
                <w:sz w:val="24"/>
                <w:szCs w:val="24"/>
                <w:highlight w:val="none"/>
                <w:lang w:val="en-US" w:eastAsia="zh-CN"/>
              </w:rPr>
              <w:t>1</w:t>
            </w:r>
            <w:r>
              <w:rPr>
                <w:rFonts w:hint="eastAsia" w:hAnsi="宋体" w:eastAsia="宋体" w:cs="宋体"/>
                <w:b/>
                <w:sz w:val="24"/>
                <w:szCs w:val="24"/>
                <w:highlight w:val="none"/>
              </w:rPr>
              <w:t>日</w:t>
            </w:r>
            <w:r>
              <w:rPr>
                <w:rFonts w:hint="eastAsia" w:hAnsi="宋体" w:eastAsia="宋体" w:cs="宋体"/>
                <w:b/>
                <w:sz w:val="24"/>
                <w:szCs w:val="24"/>
                <w:highlight w:val="none"/>
                <w:lang w:val="en-US" w:eastAsia="zh-CN"/>
              </w:rPr>
              <w:t>9</w:t>
            </w:r>
            <w:r>
              <w:rPr>
                <w:rFonts w:hint="eastAsia" w:hAnsi="宋体" w:eastAsia="宋体" w:cs="宋体"/>
                <w:b/>
                <w:sz w:val="24"/>
                <w:szCs w:val="24"/>
                <w:highlight w:val="none"/>
              </w:rPr>
              <w:t>时</w:t>
            </w:r>
            <w:r>
              <w:rPr>
                <w:rFonts w:hint="eastAsia" w:hAnsi="宋体" w:eastAsia="宋体" w:cs="宋体"/>
                <w:b/>
                <w:sz w:val="24"/>
                <w:szCs w:val="24"/>
                <w:highlight w:val="none"/>
                <w:lang w:val="en-US" w:eastAsia="zh-CN"/>
              </w:rPr>
              <w:t>30</w:t>
            </w:r>
            <w:r>
              <w:rPr>
                <w:rFonts w:hint="eastAsia" w:hAnsi="宋体" w:eastAsia="宋体" w:cs="宋体"/>
                <w:b/>
                <w:sz w:val="24"/>
                <w:szCs w:val="24"/>
                <w:highlight w:val="none"/>
              </w:rPr>
              <w:t>分</w:t>
            </w:r>
            <w:r>
              <w:rPr>
                <w:rFonts w:hint="eastAsia" w:hAnsi="宋体" w:eastAsia="宋体" w:cs="宋体"/>
                <w:b/>
                <w:bCs/>
                <w:sz w:val="24"/>
                <w:szCs w:val="24"/>
                <w:highlight w:val="none"/>
              </w:rPr>
              <w:t>。</w:t>
            </w:r>
          </w:p>
          <w:p>
            <w:pPr>
              <w:pStyle w:val="8"/>
              <w:adjustRightInd w:val="0"/>
              <w:snapToGrid w:val="0"/>
              <w:spacing w:line="320" w:lineRule="exact"/>
              <w:rPr>
                <w:rFonts w:hAnsi="宋体" w:eastAsia="宋体" w:cs="宋体"/>
                <w:sz w:val="24"/>
                <w:szCs w:val="24"/>
                <w:highlight w:val="none"/>
              </w:rPr>
            </w:pPr>
            <w:r>
              <w:rPr>
                <w:rFonts w:hint="eastAsia" w:hAnsi="宋体" w:eastAsia="宋体" w:cs="宋体"/>
                <w:sz w:val="24"/>
                <w:szCs w:val="24"/>
                <w:highlight w:val="none"/>
              </w:rPr>
              <w:t>地址：天勤工程咨询有限公司（北海市广东路109号瀚宇国际大厦1幢6楼608-612室）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6</w:t>
            </w:r>
          </w:p>
        </w:tc>
        <w:tc>
          <w:tcPr>
            <w:tcW w:w="1000" w:type="dxa"/>
            <w:vAlign w:val="center"/>
          </w:tcPr>
          <w:p>
            <w:pPr>
              <w:pStyle w:val="8"/>
              <w:adjustRightInd w:val="0"/>
              <w:snapToGrid w:val="0"/>
              <w:spacing w:line="320" w:lineRule="exact"/>
              <w:jc w:val="center"/>
              <w:rPr>
                <w:rFonts w:hAnsi="宋体" w:eastAsia="宋体" w:cs="宋体"/>
                <w:sz w:val="24"/>
                <w:szCs w:val="24"/>
                <w:highlight w:val="none"/>
              </w:rPr>
            </w:pPr>
          </w:p>
        </w:tc>
        <w:tc>
          <w:tcPr>
            <w:tcW w:w="7707" w:type="dxa"/>
            <w:vAlign w:val="center"/>
          </w:tcPr>
          <w:p>
            <w:pPr>
              <w:pStyle w:val="22"/>
              <w:adjustRightInd w:val="0"/>
              <w:snapToGrid w:val="0"/>
              <w:spacing w:line="320" w:lineRule="exact"/>
              <w:rPr>
                <w:rFonts w:hAnsi="宋体" w:eastAsia="宋体" w:cs="宋体"/>
                <w:sz w:val="24"/>
                <w:szCs w:val="24"/>
                <w:highlight w:val="none"/>
              </w:rPr>
            </w:pPr>
            <w:r>
              <w:rPr>
                <w:rFonts w:hint="eastAsia" w:hAnsi="宋体" w:eastAsia="宋体" w:cs="宋体"/>
                <w:sz w:val="24"/>
                <w:szCs w:val="24"/>
                <w:highlight w:val="none"/>
              </w:rPr>
              <w:t>响应文件有效期：响应文件递交截止日期后</w:t>
            </w:r>
            <w:r>
              <w:rPr>
                <w:rFonts w:hint="eastAsia" w:hAnsi="宋体" w:eastAsia="宋体" w:cs="宋体"/>
                <w:sz w:val="24"/>
                <w:szCs w:val="24"/>
                <w:highlight w:val="none"/>
                <w:u w:val="single"/>
              </w:rPr>
              <w:t>60</w:t>
            </w:r>
            <w:r>
              <w:rPr>
                <w:rFonts w:hint="eastAsia" w:hAnsi="宋体" w:eastAsia="宋体" w:cs="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7</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p>
        </w:tc>
        <w:tc>
          <w:tcPr>
            <w:tcW w:w="7707" w:type="dxa"/>
            <w:vAlign w:val="center"/>
          </w:tcPr>
          <w:p>
            <w:pPr>
              <w:pStyle w:val="22"/>
              <w:rPr>
                <w:rFonts w:hint="eastAsia" w:hAnsi="宋体" w:eastAsia="宋体" w:cs="宋体"/>
                <w:b/>
                <w:bCs/>
                <w:sz w:val="24"/>
                <w:szCs w:val="24"/>
                <w:highlight w:val="none"/>
                <w:lang w:eastAsia="zh-CN"/>
              </w:rPr>
            </w:pPr>
            <w:r>
              <w:rPr>
                <w:rFonts w:hint="eastAsia" w:hAnsi="宋体" w:eastAsia="宋体" w:cs="宋体"/>
                <w:b/>
                <w:bCs/>
                <w:sz w:val="24"/>
                <w:szCs w:val="24"/>
                <w:highlight w:val="none"/>
              </w:rPr>
              <w:t>谈判时间：2020年</w:t>
            </w:r>
            <w:r>
              <w:rPr>
                <w:rFonts w:hint="eastAsia" w:hAnsi="宋体" w:eastAsia="宋体" w:cs="宋体"/>
                <w:b/>
                <w:bCs/>
                <w:sz w:val="24"/>
                <w:szCs w:val="24"/>
                <w:highlight w:val="none"/>
                <w:lang w:val="en-US" w:eastAsia="zh-CN"/>
              </w:rPr>
              <w:t>12</w:t>
            </w:r>
            <w:r>
              <w:rPr>
                <w:rFonts w:hint="eastAsia" w:hAnsi="宋体" w:eastAsia="宋体" w:cs="宋体"/>
                <w:b/>
                <w:bCs/>
                <w:sz w:val="24"/>
                <w:szCs w:val="24"/>
                <w:highlight w:val="none"/>
              </w:rPr>
              <w:t>月</w:t>
            </w:r>
            <w:r>
              <w:rPr>
                <w:rFonts w:hint="eastAsia" w:hAnsi="宋体" w:eastAsia="宋体" w:cs="宋体"/>
                <w:b/>
                <w:bCs/>
                <w:sz w:val="24"/>
                <w:szCs w:val="24"/>
                <w:highlight w:val="none"/>
                <w:lang w:val="en-US" w:eastAsia="zh-CN"/>
              </w:rPr>
              <w:t>1</w:t>
            </w:r>
            <w:r>
              <w:rPr>
                <w:rFonts w:hint="eastAsia" w:hAnsi="宋体" w:eastAsia="宋体" w:cs="宋体"/>
                <w:b/>
                <w:bCs/>
                <w:sz w:val="24"/>
                <w:szCs w:val="24"/>
                <w:highlight w:val="none"/>
              </w:rPr>
              <w:t>日</w:t>
            </w:r>
            <w:r>
              <w:rPr>
                <w:rFonts w:hint="eastAsia" w:hAnsi="宋体" w:eastAsia="宋体" w:cs="宋体"/>
                <w:b/>
                <w:bCs/>
                <w:sz w:val="24"/>
                <w:szCs w:val="24"/>
                <w:highlight w:val="none"/>
                <w:lang w:val="en-US" w:eastAsia="zh-CN"/>
              </w:rPr>
              <w:t>9</w:t>
            </w:r>
            <w:r>
              <w:rPr>
                <w:rFonts w:hint="eastAsia" w:hAnsi="宋体" w:eastAsia="宋体" w:cs="宋体"/>
                <w:b/>
                <w:bCs/>
                <w:sz w:val="24"/>
                <w:szCs w:val="24"/>
                <w:highlight w:val="none"/>
              </w:rPr>
              <w:t>时</w:t>
            </w:r>
            <w:r>
              <w:rPr>
                <w:rFonts w:hint="eastAsia" w:hAnsi="宋体" w:eastAsia="宋体" w:cs="宋体"/>
                <w:b/>
                <w:bCs/>
                <w:sz w:val="24"/>
                <w:szCs w:val="24"/>
                <w:highlight w:val="none"/>
                <w:lang w:val="en-US" w:eastAsia="zh-CN"/>
              </w:rPr>
              <w:t>30</w:t>
            </w:r>
            <w:r>
              <w:rPr>
                <w:rFonts w:hint="eastAsia" w:hAnsi="宋体" w:eastAsia="宋体" w:cs="宋体"/>
                <w:b/>
                <w:bCs/>
                <w:sz w:val="24"/>
                <w:szCs w:val="24"/>
                <w:highlight w:val="none"/>
              </w:rPr>
              <w:t>分</w:t>
            </w:r>
          </w:p>
          <w:p>
            <w:pPr>
              <w:pStyle w:val="22"/>
              <w:adjustRightInd w:val="0"/>
              <w:snapToGrid w:val="0"/>
              <w:spacing w:line="320" w:lineRule="exact"/>
              <w:rPr>
                <w:rFonts w:hAnsi="宋体" w:eastAsia="宋体" w:cs="宋体"/>
                <w:sz w:val="24"/>
                <w:szCs w:val="24"/>
                <w:highlight w:val="none"/>
              </w:rPr>
            </w:pPr>
            <w:r>
              <w:rPr>
                <w:rFonts w:hint="eastAsia" w:hAnsi="宋体" w:eastAsia="宋体" w:cs="宋体"/>
                <w:b/>
                <w:bCs/>
                <w:sz w:val="24"/>
                <w:szCs w:val="24"/>
                <w:highlight w:val="none"/>
              </w:rPr>
              <w:t>谈判地点：</w:t>
            </w:r>
            <w:r>
              <w:rPr>
                <w:rFonts w:hint="eastAsia" w:hAnsi="宋体" w:eastAsia="宋体" w:cs="宋体"/>
                <w:sz w:val="24"/>
                <w:szCs w:val="24"/>
                <w:highlight w:val="none"/>
              </w:rPr>
              <w:t>天勤工程咨询有限公司（北海市广东路109号瀚宇国际大厦1幢6楼608-612室）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vAlign w:val="center"/>
          </w:tcPr>
          <w:p>
            <w:pPr>
              <w:pStyle w:val="22"/>
              <w:adjustRightInd w:val="0"/>
              <w:snapToGrid w:val="0"/>
              <w:spacing w:line="320" w:lineRule="exact"/>
              <w:jc w:val="center"/>
              <w:rPr>
                <w:rFonts w:hAnsi="宋体" w:eastAsia="宋体" w:cs="宋体"/>
                <w:sz w:val="24"/>
                <w:szCs w:val="24"/>
                <w:highlight w:val="none"/>
              </w:rPr>
            </w:pPr>
            <w:r>
              <w:rPr>
                <w:rFonts w:hint="eastAsia" w:hAnsi="宋体" w:eastAsia="宋体" w:cs="宋体"/>
                <w:sz w:val="24"/>
                <w:szCs w:val="24"/>
                <w:highlight w:val="none"/>
              </w:rPr>
              <w:t>8</w:t>
            </w:r>
          </w:p>
        </w:tc>
        <w:tc>
          <w:tcPr>
            <w:tcW w:w="1000" w:type="dxa"/>
            <w:vAlign w:val="center"/>
          </w:tcPr>
          <w:p>
            <w:pPr>
              <w:pStyle w:val="22"/>
              <w:adjustRightInd w:val="0"/>
              <w:snapToGrid w:val="0"/>
              <w:spacing w:line="320" w:lineRule="exact"/>
              <w:jc w:val="center"/>
              <w:rPr>
                <w:rFonts w:hAnsi="宋体" w:eastAsia="宋体" w:cs="宋体"/>
                <w:sz w:val="24"/>
                <w:szCs w:val="24"/>
                <w:highlight w:val="none"/>
              </w:rPr>
            </w:pPr>
          </w:p>
        </w:tc>
        <w:tc>
          <w:tcPr>
            <w:tcW w:w="7707" w:type="dxa"/>
            <w:vAlign w:val="center"/>
          </w:tcPr>
          <w:p>
            <w:pPr>
              <w:pStyle w:val="22"/>
              <w:adjustRightInd w:val="0"/>
              <w:snapToGrid w:val="0"/>
              <w:spacing w:line="320" w:lineRule="exact"/>
              <w:rPr>
                <w:rFonts w:hAnsi="宋体" w:eastAsia="宋体" w:cs="宋体"/>
                <w:sz w:val="24"/>
                <w:szCs w:val="24"/>
                <w:highlight w:val="none"/>
              </w:rPr>
            </w:pPr>
            <w:r>
              <w:rPr>
                <w:rFonts w:hint="eastAsia" w:hAnsi="宋体" w:eastAsia="宋体" w:cs="宋体"/>
                <w:sz w:val="24"/>
                <w:szCs w:val="24"/>
                <w:highlight w:val="none"/>
              </w:rPr>
              <w:t>评定标准：最低价成交法（详细见第六章）</w:t>
            </w:r>
          </w:p>
        </w:tc>
      </w:tr>
    </w:tbl>
    <w:p>
      <w:pPr>
        <w:rPr>
          <w:rFonts w:ascii="宋体" w:hAnsi="宋体" w:eastAsia="宋体" w:cs="宋体"/>
          <w:sz w:val="24"/>
          <w:highlight w:val="none"/>
        </w:rPr>
        <w:sectPr>
          <w:footerReference r:id="rId3" w:type="default"/>
          <w:pgSz w:w="11906" w:h="16838"/>
          <w:pgMar w:top="1100" w:right="1083" w:bottom="1077" w:left="1083" w:header="851" w:footer="992" w:gutter="0"/>
          <w:pgNumType w:start="1"/>
          <w:cols w:space="0" w:num="1"/>
          <w:docGrid w:type="lines" w:linePitch="312" w:charSpace="0"/>
        </w:sectPr>
      </w:pPr>
    </w:p>
    <w:p>
      <w:pPr>
        <w:pStyle w:val="8"/>
        <w:jc w:val="center"/>
        <w:rPr>
          <w:b/>
          <w:bCs/>
          <w:sz w:val="24"/>
          <w:szCs w:val="24"/>
          <w:highlight w:val="none"/>
        </w:rPr>
      </w:pPr>
      <w:bookmarkStart w:id="48" w:name="_Toc13167"/>
      <w:r>
        <w:rPr>
          <w:rFonts w:hint="eastAsia"/>
          <w:b/>
          <w:bCs/>
          <w:sz w:val="24"/>
          <w:szCs w:val="24"/>
          <w:highlight w:val="none"/>
        </w:rPr>
        <w:t>谈判供应商须知</w:t>
      </w:r>
      <w:bookmarkEnd w:id="48"/>
    </w:p>
    <w:p>
      <w:pPr>
        <w:adjustRightInd w:val="0"/>
        <w:snapToGrid w:val="0"/>
        <w:spacing w:line="360" w:lineRule="exact"/>
        <w:ind w:firstLine="482" w:firstLineChars="200"/>
        <w:rPr>
          <w:rFonts w:ascii="宋体" w:hAnsi="宋体" w:eastAsia="宋体" w:cs="宋体"/>
          <w:b/>
          <w:sz w:val="24"/>
          <w:highlight w:val="none"/>
        </w:rPr>
      </w:pPr>
    </w:p>
    <w:p>
      <w:pPr>
        <w:adjustRightInd w:val="0"/>
        <w:snapToGrid w:val="0"/>
        <w:spacing w:line="360" w:lineRule="exact"/>
        <w:ind w:firstLine="482" w:firstLineChars="200"/>
        <w:rPr>
          <w:rFonts w:ascii="宋体" w:hAnsi="宋体" w:eastAsia="宋体" w:cs="宋体"/>
          <w:b/>
          <w:sz w:val="24"/>
          <w:highlight w:val="none"/>
        </w:rPr>
      </w:pPr>
      <w:bookmarkStart w:id="49" w:name="_Toc14125"/>
      <w:r>
        <w:rPr>
          <w:rFonts w:hint="eastAsia" w:ascii="宋体" w:hAnsi="宋体" w:eastAsia="宋体" w:cs="宋体"/>
          <w:b/>
          <w:sz w:val="24"/>
          <w:highlight w:val="none"/>
        </w:rPr>
        <w:t>一.总　则</w:t>
      </w:r>
      <w:bookmarkEnd w:id="49"/>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 适用范围</w:t>
      </w:r>
    </w:p>
    <w:p>
      <w:pPr>
        <w:pStyle w:val="8"/>
        <w:adjustRightInd w:val="0"/>
        <w:snapToGrid w:val="0"/>
        <w:spacing w:line="360" w:lineRule="exact"/>
        <w:ind w:firstLine="470" w:firstLineChars="196"/>
        <w:rPr>
          <w:rFonts w:hint="eastAsia" w:hAnsi="宋体" w:eastAsia="宋体" w:cs="宋体"/>
          <w:sz w:val="24"/>
          <w:szCs w:val="24"/>
          <w:highlight w:val="none"/>
          <w:lang w:eastAsia="zh-CN"/>
        </w:rPr>
      </w:pPr>
      <w:r>
        <w:rPr>
          <w:rFonts w:hint="eastAsia" w:hAnsi="宋体" w:eastAsia="宋体" w:cs="宋体"/>
          <w:sz w:val="24"/>
          <w:szCs w:val="24"/>
          <w:highlight w:val="none"/>
        </w:rPr>
        <w:t>1.1项目名称：</w:t>
      </w:r>
      <w:r>
        <w:rPr>
          <w:rFonts w:hint="eastAsia" w:hAnsi="宋体" w:eastAsia="宋体" w:cs="宋体"/>
          <w:sz w:val="24"/>
          <w:szCs w:val="24"/>
          <w:highlight w:val="none"/>
          <w:lang w:eastAsia="zh-CN"/>
        </w:rPr>
        <w:t>无人机智能化执法系统采购（重）</w:t>
      </w:r>
    </w:p>
    <w:p>
      <w:pPr>
        <w:pStyle w:val="22"/>
        <w:adjustRightInd w:val="0"/>
        <w:snapToGrid w:val="0"/>
        <w:spacing w:line="320" w:lineRule="exact"/>
        <w:ind w:firstLine="960" w:firstLineChars="400"/>
        <w:rPr>
          <w:rFonts w:hAnsi="宋体" w:eastAsia="宋体" w:cs="宋体"/>
          <w:sz w:val="24"/>
          <w:szCs w:val="24"/>
          <w:highlight w:val="none"/>
        </w:rPr>
      </w:pPr>
      <w:r>
        <w:rPr>
          <w:rFonts w:hint="eastAsia" w:hAnsi="宋体" w:eastAsia="宋体" w:cs="宋体"/>
          <w:sz w:val="24"/>
          <w:szCs w:val="24"/>
          <w:highlight w:val="none"/>
        </w:rPr>
        <w:t>项目编号：</w:t>
      </w:r>
      <w:r>
        <w:rPr>
          <w:rFonts w:hint="eastAsia" w:hAnsi="宋体" w:eastAsia="宋体" w:cs="宋体"/>
          <w:sz w:val="24"/>
          <w:szCs w:val="24"/>
          <w:highlight w:val="none"/>
          <w:lang w:eastAsia="zh-CN"/>
        </w:rPr>
        <w:t>BHZC2020-J1-00035-TQBH（重）</w:t>
      </w:r>
      <w:r>
        <w:rPr>
          <w:rFonts w:hint="eastAsia" w:hAnsi="宋体" w:eastAsia="宋体" w:cs="宋体"/>
          <w:sz w:val="24"/>
          <w:szCs w:val="24"/>
          <w:highlight w:val="none"/>
        </w:rPr>
        <w:t xml:space="preserve">  </w:t>
      </w:r>
    </w:p>
    <w:p>
      <w:pPr>
        <w:pStyle w:val="8"/>
        <w:adjustRightInd w:val="0"/>
        <w:snapToGrid w:val="0"/>
        <w:spacing w:line="360" w:lineRule="exact"/>
        <w:ind w:firstLine="950" w:firstLineChars="396"/>
        <w:rPr>
          <w:rFonts w:hAnsi="宋体" w:eastAsia="宋体" w:cs="宋体"/>
          <w:sz w:val="24"/>
          <w:szCs w:val="24"/>
          <w:highlight w:val="none"/>
        </w:rPr>
      </w:pPr>
      <w:r>
        <w:rPr>
          <w:rFonts w:hint="eastAsia" w:hAnsi="宋体" w:eastAsia="宋体" w:cs="宋体"/>
          <w:sz w:val="24"/>
          <w:szCs w:val="24"/>
          <w:highlight w:val="none"/>
        </w:rPr>
        <w:t>本文件仅适用于本文件中所叙述的货物类政府采购项目。</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 定义</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2.1“采购人”是指：北海市行政执法指挥中心</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2.2“采购代理机构”是指：天勤工程咨询有限公司</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2.3“谈判供应商”是指响应本文件要求，参加谈判的法人或者其他组织和自然人。如果该供应商在本次谈判中成交,即成为“成交供应商”。</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2.4“货物”是指各种形态和种类的物品，包括原材料、燃料、设备、产品等。</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2.5“竞争性谈判响应文件”是指：供应商根据本文件要求，编制包含报价、技术和服务等所有内容的文件。</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2.6“谈判保证金”根据《中华人民共和国政府采购法》第三条，《中华人民共和国政府采购法实施条例》第三十三条，财政部《政府采购非招标采购方式管理办法》第十四条、第二十条、第五十四条的规定，谈判保证金，是政府采购竞争性谈判采购项目的谈判供应商，依照竞争性谈判文件的规定，向采购人或采购代理机构交纳一笔款项，以这笔款项担保竞争性谈判供应商在谈判活动中不发生违法违规、违反程序或者不诚信的行为，如果发生了违法违规、违反程序或者不诚信的行为，则无权要求退还谈判保证金，如果没有发生违法违规、违反程序或者不诚信行为，采购人或采购代理机构应当退还谈判保证金。</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2.7“▲”系指实质性要求条款。</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3. 谈判供应商的基本条件</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3.1谈判供应商资格：具备《中华人民共和国政府采购法》第二十二条</w:t>
      </w:r>
      <w:r>
        <w:rPr>
          <w:rFonts w:hint="eastAsia" w:ascii="宋体" w:hAnsi="宋体" w:eastAsia="宋体" w:cs="宋体"/>
          <w:kern w:val="0"/>
          <w:sz w:val="24"/>
          <w:highlight w:val="none"/>
        </w:rPr>
        <w:t>【（一）具有独立承当民事责任的能力；（二）具有良好的商业信誉和健全的财务制度；（三）具有履行合同所必需的设备和专业技术能力；（四）有依法缴纳税收和社会保障资金的良好记录；（五）参加政府采购活动前三年内，在经营活动中没有重大的违法记录；（六）法律、行政法规规定的其他条件。】</w:t>
      </w:r>
      <w:r>
        <w:rPr>
          <w:rFonts w:hint="eastAsia" w:ascii="宋体" w:hAnsi="宋体" w:eastAsia="宋体" w:cs="宋体"/>
          <w:sz w:val="24"/>
          <w:highlight w:val="none"/>
        </w:rPr>
        <w:t>所规定的条件，且承诺履行谈判文件的各项规定</w:t>
      </w:r>
      <w:r>
        <w:rPr>
          <w:rFonts w:hint="eastAsia" w:ascii="宋体" w:hAnsi="宋体" w:eastAsia="宋体" w:cs="宋体"/>
          <w:kern w:val="0"/>
          <w:sz w:val="24"/>
          <w:highlight w:val="none"/>
        </w:rPr>
        <w:t>的供应商</w:t>
      </w:r>
      <w:r>
        <w:rPr>
          <w:rFonts w:hint="eastAsia" w:ascii="宋体" w:hAnsi="宋体" w:eastAsia="宋体" w:cs="宋体"/>
          <w:sz w:val="24"/>
          <w:highlight w:val="none"/>
        </w:rPr>
        <w:t>。</w:t>
      </w:r>
    </w:p>
    <w:p>
      <w:pPr>
        <w:adjustRightInd w:val="0"/>
        <w:snapToGrid w:val="0"/>
        <w:spacing w:line="4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3.2其中：</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1、具备《中华人民共和国政府采购法》第二十二条第一款规定的条件；</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2、国内注册（指按国家有关规定要求注册的），生产或经营本次招标采购内容，具备法人资格的供应商；</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p>
    <w:p>
      <w:pPr>
        <w:adjustRightInd w:val="0"/>
        <w:snapToGrid w:val="0"/>
        <w:spacing w:line="400" w:lineRule="exact"/>
        <w:ind w:firstLine="480" w:firstLineChars="200"/>
        <w:rPr>
          <w:rFonts w:asciiTheme="minorEastAsia" w:hAnsiTheme="minorEastAsia"/>
          <w:sz w:val="24"/>
          <w:highlight w:val="none"/>
        </w:rPr>
      </w:pPr>
      <w:r>
        <w:rPr>
          <w:rFonts w:hint="eastAsia" w:asciiTheme="minorEastAsia" w:hAnsiTheme="minorEastAsia"/>
          <w:sz w:val="24"/>
          <w:highlight w:val="none"/>
        </w:rPr>
        <w:t>4、落实政府采购政策需满足的资格要求：①政府采购促进中小企业发展；②政府采购促进残疾人就业政策；③政府采购支持监狱企业发展；④节能产品、环境标志产品依据品目清单和认证证书实施政府优先采购和强制采购。（财库〔2019〕9号）</w:t>
      </w:r>
    </w:p>
    <w:p>
      <w:pPr>
        <w:adjustRightInd w:val="0"/>
        <w:snapToGrid w:val="0"/>
        <w:spacing w:line="360" w:lineRule="exact"/>
        <w:ind w:firstLine="480" w:firstLineChars="200"/>
        <w:jc w:val="left"/>
        <w:rPr>
          <w:rFonts w:asciiTheme="minorEastAsia" w:hAnsiTheme="minorEastAsia"/>
          <w:sz w:val="24"/>
          <w:highlight w:val="none"/>
        </w:rPr>
      </w:pPr>
      <w:r>
        <w:rPr>
          <w:rFonts w:hint="eastAsia" w:asciiTheme="minorEastAsia" w:hAnsiTheme="minorEastAsia"/>
          <w:sz w:val="24"/>
          <w:highlight w:val="none"/>
        </w:rPr>
        <w:t>5、</w:t>
      </w:r>
      <w:r>
        <w:rPr>
          <w:rFonts w:asciiTheme="minorEastAsia" w:hAnsiTheme="minorEastAsia"/>
          <w:sz w:val="24"/>
          <w:highlight w:val="none"/>
        </w:rPr>
        <w:t>本项目不接受联合体竞标。</w:t>
      </w:r>
    </w:p>
    <w:p>
      <w:pPr>
        <w:adjustRightInd w:val="0"/>
        <w:snapToGrid w:val="0"/>
        <w:spacing w:line="360" w:lineRule="exact"/>
        <w:ind w:firstLine="482" w:firstLineChars="200"/>
        <w:jc w:val="left"/>
        <w:rPr>
          <w:rFonts w:ascii="宋体" w:hAnsi="宋体" w:eastAsia="宋体" w:cs="宋体"/>
          <w:b/>
          <w:sz w:val="24"/>
          <w:highlight w:val="none"/>
        </w:rPr>
      </w:pPr>
      <w:r>
        <w:rPr>
          <w:rFonts w:hint="eastAsia" w:ascii="宋体" w:hAnsi="宋体" w:eastAsia="宋体" w:cs="宋体"/>
          <w:b/>
          <w:sz w:val="24"/>
          <w:highlight w:val="none"/>
        </w:rPr>
        <w:t>注：特别说明：</w:t>
      </w:r>
    </w:p>
    <w:p>
      <w:pPr>
        <w:adjustRightInd w:val="0"/>
        <w:snapToGrid w:val="0"/>
        <w:spacing w:line="360" w:lineRule="exact"/>
        <w:ind w:firstLine="480" w:firstLineChars="200"/>
        <w:jc w:val="left"/>
        <w:rPr>
          <w:rFonts w:ascii="宋体" w:hAnsi="宋体" w:eastAsia="宋体" w:cs="宋体"/>
          <w:kern w:val="0"/>
          <w:sz w:val="24"/>
          <w:highlight w:val="none"/>
        </w:rPr>
      </w:pPr>
      <w:r>
        <w:rPr>
          <w:rFonts w:hint="eastAsia" w:ascii="宋体" w:hAnsi="宋体" w:eastAsia="宋体" w:cs="宋体"/>
          <w:sz w:val="24"/>
          <w:highlight w:val="none"/>
        </w:rPr>
        <w:t>▲1.</w:t>
      </w:r>
      <w:r>
        <w:rPr>
          <w:rFonts w:hint="eastAsia" w:ascii="宋体" w:hAnsi="宋体" w:eastAsia="宋体" w:cs="宋体"/>
          <w:kern w:val="0"/>
          <w:sz w:val="24"/>
          <w:highlight w:val="none"/>
        </w:rPr>
        <w:t>多家供应商参加谈判，相同品牌产品只能由一家供应商参加，如果有多家代理商参加相同品牌产品谈判的，应当作为一个供应商计算。谈判时，取其中通过资格审查后的报价最低一家为有效供应商；当报价相同时，则以技术标最优一家为有效供应商；均相同时，由谈判小组集体决定。</w:t>
      </w:r>
    </w:p>
    <w:p>
      <w:pPr>
        <w:adjustRightInd w:val="0"/>
        <w:snapToGrid w:val="0"/>
        <w:spacing w:line="360" w:lineRule="exact"/>
        <w:ind w:firstLine="240" w:firstLineChars="100"/>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  多家代理商或经销商参加谈判，如其中两家或两家以上供应商存在分级代理或代销关系，且提供的是其所代理品牌产品的，谈判时，谈判小组按上述规定确定其中一家为有效供应商。</w:t>
      </w:r>
    </w:p>
    <w:p>
      <w:pPr>
        <w:pStyle w:val="8"/>
        <w:adjustRightInd w:val="0"/>
        <w:snapToGrid w:val="0"/>
        <w:spacing w:line="360" w:lineRule="exact"/>
        <w:ind w:left="2" w:leftChars="1" w:firstLine="480" w:firstLineChars="200"/>
        <w:rPr>
          <w:rFonts w:hAnsi="宋体" w:eastAsia="宋体" w:cs="宋体"/>
          <w:sz w:val="24"/>
          <w:szCs w:val="24"/>
          <w:highlight w:val="none"/>
        </w:rPr>
      </w:pPr>
      <w:r>
        <w:rPr>
          <w:rFonts w:hint="eastAsia" w:hAnsi="宋体" w:eastAsia="宋体" w:cs="宋体"/>
          <w:sz w:val="24"/>
          <w:szCs w:val="24"/>
          <w:highlight w:val="none"/>
        </w:rPr>
        <w:t>▲2.谈判响应供应商所使用的资格、信誉、荣誉、业绩与企业认证必须为本法人所拥有。谈判响应供应商所使用的采购项目实施人员必须为本法人员工（或必须为本法人或控股公司正式员工）。</w:t>
      </w:r>
    </w:p>
    <w:p>
      <w:pPr>
        <w:pStyle w:val="8"/>
        <w:adjustRightInd w:val="0"/>
        <w:snapToGrid w:val="0"/>
        <w:spacing w:line="360" w:lineRule="exact"/>
        <w:ind w:left="2" w:leftChars="1" w:firstLine="480" w:firstLineChars="200"/>
        <w:rPr>
          <w:rFonts w:hAnsi="宋体" w:eastAsia="宋体" w:cs="宋体"/>
          <w:sz w:val="24"/>
          <w:szCs w:val="24"/>
          <w:highlight w:val="none"/>
        </w:rPr>
      </w:pPr>
      <w:r>
        <w:rPr>
          <w:rFonts w:hint="eastAsia" w:hAnsi="宋体" w:eastAsia="宋体" w:cs="宋体"/>
          <w:sz w:val="24"/>
          <w:szCs w:val="24"/>
          <w:highlight w:val="none"/>
        </w:rPr>
        <w:t>▲3.谈判响应供应商应仔细阅读谈判文件的所有内容，按照谈判文件的要求提交谈判响应文件，并对所提供的全部资料的真实性承担法律责任。</w:t>
      </w:r>
    </w:p>
    <w:p>
      <w:pPr>
        <w:pStyle w:val="8"/>
        <w:adjustRightInd w:val="0"/>
        <w:snapToGrid w:val="0"/>
        <w:spacing w:line="360" w:lineRule="exact"/>
        <w:ind w:left="2" w:leftChars="1" w:firstLine="480" w:firstLineChars="200"/>
        <w:rPr>
          <w:rFonts w:hAnsi="宋体" w:eastAsia="宋体" w:cs="宋体"/>
          <w:sz w:val="24"/>
          <w:szCs w:val="24"/>
          <w:highlight w:val="none"/>
        </w:rPr>
      </w:pPr>
      <w:r>
        <w:rPr>
          <w:rFonts w:hint="eastAsia" w:hAnsi="宋体" w:eastAsia="宋体" w:cs="宋体"/>
          <w:sz w:val="24"/>
          <w:szCs w:val="24"/>
          <w:highlight w:val="none"/>
        </w:rPr>
        <w:t>▲4.谈判响应供应商在竞争性谈判采购活动中提供任何虚假材料,其谈判或成交无效，并报监管部门查处。</w:t>
      </w:r>
    </w:p>
    <w:p>
      <w:pPr>
        <w:adjustRightInd w:val="0"/>
        <w:snapToGrid w:val="0"/>
        <w:spacing w:line="360" w:lineRule="exact"/>
        <w:ind w:firstLine="472" w:firstLineChars="196"/>
        <w:rPr>
          <w:rFonts w:ascii="宋体" w:hAnsi="宋体" w:eastAsia="宋体" w:cs="宋体"/>
          <w:b/>
          <w:sz w:val="24"/>
          <w:highlight w:val="none"/>
        </w:rPr>
      </w:pPr>
      <w:r>
        <w:rPr>
          <w:rFonts w:hint="eastAsia" w:ascii="宋体" w:hAnsi="宋体" w:eastAsia="宋体" w:cs="宋体"/>
          <w:b/>
          <w:sz w:val="24"/>
          <w:highlight w:val="none"/>
        </w:rPr>
        <w:t>4. 谈判费用、竞争性谈判公告、竞争性谈判文件的澄清和修改</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4.1谈判费用：谈判供应商应自行承担所有与编写和提交竞争性谈判响应文件有关的费用，不论谈判结果如何，采购人和采购代理机构在任何情况下无义务和责任承担此类费用。</w:t>
      </w:r>
    </w:p>
    <w:p>
      <w:pPr>
        <w:pStyle w:val="8"/>
        <w:adjustRightInd w:val="0"/>
        <w:snapToGrid w:val="0"/>
        <w:spacing w:line="360" w:lineRule="exact"/>
        <w:ind w:firstLine="420"/>
        <w:rPr>
          <w:rFonts w:hAnsi="宋体" w:eastAsia="宋体" w:cs="宋体"/>
          <w:sz w:val="24"/>
          <w:szCs w:val="24"/>
          <w:highlight w:val="none"/>
        </w:rPr>
      </w:pPr>
      <w:r>
        <w:rPr>
          <w:rFonts w:hint="eastAsia" w:hAnsi="宋体" w:eastAsia="宋体" w:cs="宋体"/>
          <w:sz w:val="24"/>
          <w:szCs w:val="24"/>
          <w:highlight w:val="none"/>
        </w:rPr>
        <w:t>4.2</w:t>
      </w:r>
      <w:r>
        <w:rPr>
          <w:rFonts w:hint="eastAsia" w:hAnsi="宋体" w:eastAsia="宋体" w:cs="宋体"/>
          <w:b/>
          <w:sz w:val="24"/>
          <w:szCs w:val="24"/>
          <w:highlight w:val="none"/>
        </w:rPr>
        <w:t>竞争性谈判公告</w:t>
      </w:r>
      <w:r>
        <w:rPr>
          <w:rFonts w:hint="eastAsia" w:hAnsi="宋体" w:eastAsia="宋体" w:cs="宋体"/>
          <w:sz w:val="24"/>
          <w:szCs w:val="24"/>
          <w:highlight w:val="none"/>
        </w:rPr>
        <w:t>：见</w:t>
      </w:r>
      <w:r>
        <w:rPr>
          <w:rFonts w:hint="eastAsia" w:hAnsi="宋体" w:eastAsia="宋体" w:cs="宋体"/>
          <w:b/>
          <w:bCs/>
          <w:sz w:val="24"/>
          <w:szCs w:val="24"/>
          <w:highlight w:val="none"/>
          <w:u w:val="single"/>
        </w:rPr>
        <w:t>2020年</w:t>
      </w:r>
      <w:r>
        <w:rPr>
          <w:rFonts w:hint="eastAsia" w:hAnsi="宋体" w:eastAsia="宋体" w:cs="宋体"/>
          <w:b/>
          <w:bCs/>
          <w:sz w:val="24"/>
          <w:szCs w:val="24"/>
          <w:highlight w:val="none"/>
          <w:u w:val="single"/>
          <w:lang w:val="en-US" w:eastAsia="zh-CN"/>
        </w:rPr>
        <w:t>11</w:t>
      </w:r>
      <w:r>
        <w:rPr>
          <w:rFonts w:hint="eastAsia" w:hAnsi="宋体" w:eastAsia="宋体" w:cs="宋体"/>
          <w:b/>
          <w:bCs/>
          <w:sz w:val="24"/>
          <w:szCs w:val="24"/>
          <w:highlight w:val="none"/>
          <w:u w:val="single"/>
        </w:rPr>
        <w:t>月</w:t>
      </w:r>
      <w:r>
        <w:rPr>
          <w:rFonts w:hint="eastAsia" w:hAnsi="宋体" w:eastAsia="宋体" w:cs="宋体"/>
          <w:b/>
          <w:bCs/>
          <w:sz w:val="24"/>
          <w:szCs w:val="24"/>
          <w:highlight w:val="none"/>
          <w:u w:val="single"/>
          <w:lang w:val="en-US" w:eastAsia="zh-CN"/>
        </w:rPr>
        <w:t>25</w:t>
      </w:r>
      <w:r>
        <w:rPr>
          <w:rFonts w:hint="eastAsia" w:hAnsi="宋体" w:eastAsia="宋体" w:cs="宋体"/>
          <w:b/>
          <w:bCs/>
          <w:sz w:val="24"/>
          <w:szCs w:val="24"/>
          <w:highlight w:val="none"/>
          <w:u w:val="single"/>
        </w:rPr>
        <w:t>日</w:t>
      </w:r>
      <w:r>
        <w:rPr>
          <w:rFonts w:hint="eastAsia" w:hAnsi="宋体" w:eastAsia="宋体" w:cs="宋体"/>
          <w:sz w:val="24"/>
          <w:szCs w:val="24"/>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eastAsia="宋体" w:cs="宋体"/>
          <w:sz w:val="24"/>
          <w:szCs w:val="24"/>
          <w:highlight w:val="none"/>
        </w:rPr>
        <w:t>www.ccgp.gov.cn</w:t>
      </w:r>
      <w:r>
        <w:rPr>
          <w:rFonts w:hint="eastAsia" w:hAnsi="宋体" w:eastAsia="宋体" w:cs="宋体"/>
          <w:sz w:val="24"/>
          <w:szCs w:val="24"/>
          <w:highlight w:val="none"/>
        </w:rPr>
        <w:fldChar w:fldCharType="end"/>
      </w:r>
      <w:r>
        <w:rPr>
          <w:rFonts w:hint="eastAsia" w:hAnsi="宋体" w:eastAsia="宋体" w:cs="宋体"/>
          <w:sz w:val="24"/>
          <w:szCs w:val="24"/>
          <w:highlight w:val="none"/>
        </w:rPr>
        <w:t>） 、广西壮族自治区政府采购网（http://zfcg.gxzf.gov.cn/）。</w:t>
      </w:r>
    </w:p>
    <w:p>
      <w:pPr>
        <w:adjustRightInd w:val="0"/>
        <w:snapToGrid w:val="0"/>
        <w:spacing w:line="360" w:lineRule="exact"/>
        <w:ind w:firstLine="482" w:firstLineChars="200"/>
        <w:rPr>
          <w:rFonts w:ascii="宋体" w:hAnsi="宋体" w:eastAsia="宋体" w:cs="宋体"/>
          <w:sz w:val="24"/>
          <w:highlight w:val="none"/>
        </w:rPr>
      </w:pPr>
      <w:r>
        <w:rPr>
          <w:rFonts w:hint="eastAsia" w:ascii="宋体" w:hAnsi="宋体" w:eastAsia="宋体" w:cs="宋体"/>
          <w:b/>
          <w:bCs/>
          <w:sz w:val="24"/>
          <w:highlight w:val="none"/>
        </w:rPr>
        <w:t>4.3</w:t>
      </w:r>
      <w:r>
        <w:rPr>
          <w:rFonts w:hint="eastAsia" w:ascii="宋体" w:hAnsi="宋体" w:eastAsia="宋体" w:cs="宋体"/>
          <w:sz w:val="24"/>
          <w:highlight w:val="none"/>
        </w:rPr>
        <w:t>竞争性谈判文件的澄清和修改：</w:t>
      </w:r>
    </w:p>
    <w:p>
      <w:pPr>
        <w:pStyle w:val="8"/>
        <w:adjustRightInd w:val="0"/>
        <w:snapToGrid w:val="0"/>
        <w:spacing w:line="360" w:lineRule="exact"/>
        <w:ind w:firstLine="420"/>
        <w:rPr>
          <w:rFonts w:hAnsi="宋体" w:eastAsia="宋体" w:cs="宋体"/>
          <w:sz w:val="24"/>
          <w:szCs w:val="24"/>
          <w:highlight w:val="none"/>
        </w:rPr>
      </w:pPr>
      <w:r>
        <w:rPr>
          <w:rFonts w:hint="eastAsia" w:hAnsi="宋体" w:eastAsia="宋体" w:cs="宋体"/>
          <w:sz w:val="24"/>
          <w:szCs w:val="24"/>
          <w:highlight w:val="none"/>
        </w:rPr>
        <w:t>4.3.1谈判供应商应认真审核《采购需求》中的技术参数、配置及要求，如发现表中技术参数、配置有误或要求不合理的，谈判供应商必须在规定的时间前要求澄清，否则，由此产生的后果由谈判供应商负责。</w:t>
      </w:r>
    </w:p>
    <w:p>
      <w:pPr>
        <w:pStyle w:val="8"/>
        <w:adjustRightInd w:val="0"/>
        <w:snapToGrid w:val="0"/>
        <w:spacing w:line="360" w:lineRule="exact"/>
        <w:ind w:firstLine="420"/>
        <w:rPr>
          <w:rFonts w:hAnsi="宋体" w:eastAsia="宋体" w:cs="宋体"/>
          <w:sz w:val="24"/>
          <w:szCs w:val="24"/>
          <w:highlight w:val="none"/>
        </w:rPr>
      </w:pPr>
      <w:r>
        <w:rPr>
          <w:rFonts w:hint="eastAsia" w:hAnsi="宋体" w:eastAsia="宋体" w:cs="宋体"/>
          <w:sz w:val="24"/>
          <w:szCs w:val="24"/>
          <w:highlight w:val="none"/>
        </w:rPr>
        <w:t>4.3.2任何要求澄清竞争性谈判文件的谈判供应商，均应在响应文件递交截止日期三日前的正常工作时间以传真等书面形式通知采购代理机构，同时认定其他澄清方式为无效。采购代理机构将以书面形式予以答复。</w:t>
      </w:r>
    </w:p>
    <w:p>
      <w:pPr>
        <w:adjustRightInd w:val="0"/>
        <w:snapToGrid w:val="0"/>
        <w:spacing w:line="360" w:lineRule="exact"/>
        <w:ind w:firstLine="420"/>
        <w:jc w:val="left"/>
        <w:rPr>
          <w:rFonts w:ascii="宋体" w:hAnsi="宋体" w:eastAsia="宋体" w:cs="宋体"/>
          <w:sz w:val="24"/>
          <w:highlight w:val="none"/>
        </w:rPr>
      </w:pPr>
      <w:r>
        <w:rPr>
          <w:rFonts w:hint="eastAsia" w:ascii="宋体" w:hAnsi="宋体" w:eastAsia="宋体" w:cs="宋体"/>
          <w:sz w:val="24"/>
          <w:highlight w:val="none"/>
        </w:rPr>
        <w:t>4.3.3采购代理机构对已发出的谈判文件进行必要澄清或者修改的，在竞争性谈判文件要求提交竞争性谈判响应文件截止时间三个工作日前（不足三个工作日顺延），在中国政府采购网（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eastAsia="宋体" w:cs="宋体"/>
          <w:sz w:val="24"/>
          <w:highlight w:val="none"/>
        </w:rPr>
        <w:t>www.ccgp.gov.cn</w:t>
      </w:r>
      <w:r>
        <w:rPr>
          <w:rFonts w:hint="eastAsia" w:ascii="宋体" w:hAnsi="宋体" w:eastAsia="宋体" w:cs="宋体"/>
          <w:sz w:val="24"/>
          <w:highlight w:val="none"/>
        </w:rPr>
        <w:fldChar w:fldCharType="end"/>
      </w:r>
      <w:r>
        <w:rPr>
          <w:rFonts w:hint="eastAsia" w:ascii="宋体" w:hAnsi="宋体" w:eastAsia="宋体" w:cs="宋体"/>
          <w:sz w:val="24"/>
          <w:highlight w:val="none"/>
        </w:rPr>
        <w:t>） 、广西壮族自治区政府采购网（http://zfcg.gxzf.gov.cn/）上发布更正公告，并以书面形式通知所有竞争性谈判文件收受人。该澄清或者修改的内容为竞争性谈判文件的组成部分。</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4.3.4采购代理机构可视具体情况，延长响应文件递交截止时间和谈判时间。采购代理机构至少在竞争性谈判文件要求提交竞争性谈判响应文件的截止时间一日前，将变更时间书面通知所有竞争性谈判文件收受人，并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eastAsia="宋体" w:cs="宋体"/>
          <w:sz w:val="24"/>
          <w:highlight w:val="none"/>
        </w:rPr>
        <w:t>www.ccgp.gov.cn</w:t>
      </w:r>
      <w:r>
        <w:rPr>
          <w:rFonts w:hint="eastAsia" w:ascii="宋体" w:hAnsi="宋体" w:eastAsia="宋体" w:cs="宋体"/>
          <w:sz w:val="24"/>
          <w:highlight w:val="none"/>
        </w:rPr>
        <w:fldChar w:fldCharType="end"/>
      </w:r>
      <w:r>
        <w:rPr>
          <w:rFonts w:hint="eastAsia" w:ascii="宋体" w:hAnsi="宋体" w:eastAsia="宋体" w:cs="宋体"/>
          <w:sz w:val="24"/>
          <w:highlight w:val="none"/>
        </w:rPr>
        <w:t>） 、广西壮族自治区政府采购网（http://zfcg.gxzf.gov.cn/）上发布变更公告。</w:t>
      </w:r>
    </w:p>
    <w:p>
      <w:pPr>
        <w:adjustRightInd w:val="0"/>
        <w:snapToGrid w:val="0"/>
        <w:spacing w:line="360" w:lineRule="exact"/>
        <w:ind w:firstLine="482" w:firstLineChars="200"/>
        <w:rPr>
          <w:rFonts w:ascii="宋体" w:hAnsi="宋体" w:eastAsia="宋体" w:cs="宋体"/>
          <w:b/>
          <w:sz w:val="24"/>
          <w:highlight w:val="none"/>
        </w:rPr>
      </w:pPr>
      <w:bookmarkStart w:id="50" w:name="_Toc2416"/>
      <w:r>
        <w:rPr>
          <w:rFonts w:hint="eastAsia" w:ascii="宋体" w:hAnsi="宋体" w:eastAsia="宋体" w:cs="宋体"/>
          <w:b/>
          <w:sz w:val="24"/>
          <w:highlight w:val="none"/>
        </w:rPr>
        <w:t>二.竞争性谈判响应文件的编制</w:t>
      </w:r>
      <w:bookmarkEnd w:id="50"/>
    </w:p>
    <w:p>
      <w:pPr>
        <w:adjustRightInd w:val="0"/>
        <w:snapToGrid w:val="0"/>
        <w:spacing w:line="360" w:lineRule="exact"/>
        <w:ind w:firstLine="470" w:firstLineChars="196"/>
        <w:rPr>
          <w:rFonts w:ascii="宋体" w:hAnsi="宋体" w:eastAsia="宋体" w:cs="宋体"/>
          <w:sz w:val="24"/>
          <w:highlight w:val="none"/>
        </w:rPr>
      </w:pPr>
      <w:r>
        <w:rPr>
          <w:rFonts w:hint="eastAsia" w:ascii="宋体" w:hAnsi="宋体" w:eastAsia="宋体" w:cs="宋体"/>
          <w:sz w:val="24"/>
          <w:highlight w:val="none"/>
        </w:rPr>
        <w:t>5.竞争性谈判响应文件编制基本要求</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5.1谈判供应商应当按照竞争性谈判文件的要求编制响应文件并装订和封装。</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5.2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5.3谈判供应商应认真阅读、并充分理解本文件的全部内容（包括所有的澄清、更改、补充、答疑等内容），承诺并履行本文件中各项条款规定及要求。</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5.4竞争性谈判响应文件必须按本文件的全部内容，包括所有的澄清、更改、补充、答疑等内容及附件进行编制。</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5.5如因谈判供应商只填写和提供了本文件要求的部分内容和附件，而给谈判小组评审造成困难，其可能导致的结果和责任由谈判供应商自行承担。</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5.6竞争性谈判响应文件的组成：竞争性谈判响应文件应分为价格文件和商务技术文件两个部分组成（要求装订成一本）。</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5.6.1价格文件</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▲（1）报价表</w:t>
      </w:r>
      <w:r>
        <w:rPr>
          <w:rFonts w:hint="eastAsia" w:ascii="宋体" w:hAnsi="宋体" w:eastAsia="宋体" w:cs="宋体"/>
          <w:b/>
          <w:sz w:val="24"/>
          <w:highlight w:val="none"/>
        </w:rPr>
        <w:t>（必须提供）；</w:t>
      </w:r>
    </w:p>
    <w:p>
      <w:pPr>
        <w:adjustRightInd w:val="0"/>
        <w:snapToGrid w:val="0"/>
        <w:spacing w:line="360" w:lineRule="exact"/>
        <w:ind w:firstLine="482" w:firstLineChars="200"/>
        <w:rPr>
          <w:rFonts w:ascii="宋体" w:hAnsi="宋体" w:eastAsia="宋体" w:cs="宋体"/>
          <w:sz w:val="24"/>
          <w:highlight w:val="none"/>
        </w:rPr>
      </w:pPr>
      <w:r>
        <w:rPr>
          <w:rFonts w:hint="eastAsia" w:ascii="宋体" w:hAnsi="宋体" w:eastAsia="宋体" w:cs="宋体"/>
          <w:b/>
          <w:sz w:val="24"/>
          <w:highlight w:val="none"/>
        </w:rPr>
        <w:t>5.6.2 商务技术文件</w:t>
      </w:r>
      <w:r>
        <w:rPr>
          <w:rFonts w:hint="eastAsia" w:ascii="宋体" w:hAnsi="宋体" w:eastAsia="宋体" w:cs="宋体"/>
          <w:sz w:val="24"/>
          <w:highlight w:val="none"/>
        </w:rPr>
        <w:t xml:space="preserve">（应该有的必须提供,如未提供,谈判小组有权拒绝其竞争性谈判响应文件） </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▲（1）谈判书</w:t>
      </w:r>
      <w:r>
        <w:rPr>
          <w:rFonts w:hint="eastAsia" w:ascii="宋体" w:hAnsi="宋体" w:eastAsia="宋体" w:cs="宋体"/>
          <w:b/>
          <w:sz w:val="24"/>
          <w:highlight w:val="none"/>
        </w:rPr>
        <w:t>（必须提供）；</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▲（2）商务、技术响应、偏离情况说明表</w:t>
      </w:r>
      <w:r>
        <w:rPr>
          <w:rFonts w:hint="eastAsia" w:ascii="宋体" w:hAnsi="宋体" w:eastAsia="宋体" w:cs="宋体"/>
          <w:b/>
          <w:sz w:val="24"/>
          <w:highlight w:val="none"/>
        </w:rPr>
        <w:t>（必须提供）；</w:t>
      </w:r>
    </w:p>
    <w:p>
      <w:pPr>
        <w:adjustRightInd w:val="0"/>
        <w:snapToGrid w:val="0"/>
        <w:spacing w:line="360" w:lineRule="exact"/>
        <w:ind w:firstLine="240" w:firstLineChars="100"/>
        <w:jc w:val="left"/>
        <w:rPr>
          <w:rFonts w:ascii="宋体" w:hAnsi="宋体" w:eastAsia="宋体" w:cs="宋体"/>
          <w:sz w:val="24"/>
          <w:highlight w:val="none"/>
        </w:rPr>
      </w:pPr>
      <w:r>
        <w:rPr>
          <w:rFonts w:hint="eastAsia" w:ascii="宋体" w:hAnsi="宋体" w:eastAsia="宋体" w:cs="宋体"/>
          <w:sz w:val="24"/>
          <w:highlight w:val="none"/>
        </w:rPr>
        <w:t>▲（3）法定代表人(负责人)授权委托书原件和委托代理人身份证复印件（</w:t>
      </w:r>
      <w:r>
        <w:rPr>
          <w:rFonts w:hint="eastAsia" w:ascii="宋体" w:hAnsi="宋体" w:eastAsia="宋体" w:cs="宋体"/>
          <w:b/>
          <w:sz w:val="24"/>
          <w:highlight w:val="none"/>
        </w:rPr>
        <w:t>委托代理时</w:t>
      </w:r>
      <w:r>
        <w:rPr>
          <w:rFonts w:hint="eastAsia" w:ascii="宋体" w:hAnsi="宋体" w:eastAsia="宋体" w:cs="宋体"/>
          <w:b/>
          <w:bCs/>
          <w:sz w:val="24"/>
          <w:highlight w:val="none"/>
        </w:rPr>
        <w:t>必须提供</w:t>
      </w:r>
      <w:r>
        <w:rPr>
          <w:rFonts w:hint="eastAsia" w:ascii="宋体" w:hAnsi="宋体" w:eastAsia="宋体" w:cs="宋体"/>
          <w:sz w:val="24"/>
          <w:highlight w:val="none"/>
        </w:rPr>
        <w:t>）；</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▲（4）法定代表人(负责人)身份证复印件</w:t>
      </w:r>
      <w:r>
        <w:rPr>
          <w:rFonts w:hint="eastAsia" w:ascii="宋体" w:hAnsi="宋体" w:eastAsia="宋体" w:cs="宋体"/>
          <w:b/>
          <w:sz w:val="24"/>
          <w:highlight w:val="none"/>
        </w:rPr>
        <w:t>【法定代表人(负责人)参加谈判时，必须提供】；</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▲（5）有效的营业执照等证明文件复印件</w:t>
      </w:r>
      <w:r>
        <w:rPr>
          <w:rFonts w:hint="eastAsia" w:ascii="宋体" w:hAnsi="宋体" w:eastAsia="宋体" w:cs="宋体"/>
          <w:b/>
          <w:sz w:val="24"/>
          <w:highlight w:val="none"/>
        </w:rPr>
        <w:t>（必须提供）</w:t>
      </w:r>
      <w:r>
        <w:rPr>
          <w:rFonts w:hint="eastAsia" w:ascii="宋体" w:hAnsi="宋体" w:eastAsia="宋体" w:cs="宋体"/>
          <w:sz w:val="24"/>
          <w:highlight w:val="none"/>
        </w:rPr>
        <w:t>；</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 xml:space="preserve">▲（6) </w:t>
      </w:r>
      <w:r>
        <w:rPr>
          <w:rFonts w:hint="eastAsia" w:asciiTheme="minorEastAsia" w:hAnsiTheme="minorEastAsia"/>
          <w:sz w:val="24"/>
          <w:highlight w:val="none"/>
        </w:rPr>
        <w:t>2019年财务报告或财务报表（</w:t>
      </w:r>
      <w:r>
        <w:rPr>
          <w:rFonts w:hint="eastAsia" w:ascii="宋体" w:hAnsi="宋体"/>
          <w:sz w:val="24"/>
          <w:highlight w:val="none"/>
        </w:rPr>
        <w:t>2020 年 1 月 1 日后成立的公司按照实际提供成立至今的月度财务报表复印件</w:t>
      </w:r>
      <w:r>
        <w:rPr>
          <w:rFonts w:hint="eastAsia" w:asciiTheme="minorEastAsia" w:hAnsiTheme="minorEastAsia"/>
          <w:sz w:val="24"/>
          <w:highlight w:val="none"/>
        </w:rPr>
        <w:t>）</w:t>
      </w:r>
      <w:r>
        <w:rPr>
          <w:rFonts w:hint="eastAsia" w:ascii="宋体" w:hAnsi="宋体" w:eastAsia="宋体" w:cs="宋体"/>
          <w:b/>
          <w:sz w:val="24"/>
          <w:highlight w:val="none"/>
        </w:rPr>
        <w:t>（格式自拟，必须提供）</w:t>
      </w:r>
      <w:r>
        <w:rPr>
          <w:rFonts w:hint="eastAsia" w:ascii="宋体" w:hAnsi="宋体" w:eastAsia="宋体" w:cs="宋体"/>
          <w:sz w:val="24"/>
          <w:highlight w:val="none"/>
        </w:rPr>
        <w:t>；</w:t>
      </w:r>
    </w:p>
    <w:p>
      <w:pPr>
        <w:adjustRightInd w:val="0"/>
        <w:snapToGrid w:val="0"/>
        <w:spacing w:line="360" w:lineRule="exact"/>
        <w:ind w:firstLine="240" w:firstLineChars="100"/>
        <w:jc w:val="left"/>
        <w:rPr>
          <w:rFonts w:ascii="宋体" w:hAnsi="宋体" w:eastAsia="宋体" w:cs="宋体"/>
          <w:b/>
          <w:sz w:val="24"/>
          <w:highlight w:val="none"/>
        </w:rPr>
      </w:pPr>
      <w:r>
        <w:rPr>
          <w:rFonts w:hint="eastAsia" w:ascii="宋体" w:hAnsi="宋体" w:eastAsia="宋体" w:cs="宋体"/>
          <w:sz w:val="24"/>
          <w:highlight w:val="none"/>
        </w:rPr>
        <w:t>▲（7）</w:t>
      </w:r>
      <w:r>
        <w:rPr>
          <w:rFonts w:hint="eastAsia" w:ascii="宋体" w:hAnsi="宋体" w:eastAsia="宋体" w:cs="Times New Roman"/>
          <w:sz w:val="24"/>
          <w:highlight w:val="none"/>
        </w:rPr>
        <w:t>谈判供应商2020年4月份以来连续三个月的</w:t>
      </w:r>
      <w:r>
        <w:rPr>
          <w:rFonts w:hint="eastAsia" w:ascii="宋体" w:hAnsi="宋体" w:eastAsia="宋体" w:cs="宋体"/>
          <w:sz w:val="24"/>
          <w:highlight w:val="none"/>
        </w:rPr>
        <w:t>依法缴纳税费或依法免缴税费的证明</w:t>
      </w:r>
      <w:r>
        <w:rPr>
          <w:rFonts w:hint="eastAsia" w:ascii="宋体" w:hAnsi="宋体" w:eastAsia="宋体" w:cs="宋体"/>
          <w:b/>
          <w:sz w:val="24"/>
          <w:highlight w:val="none"/>
        </w:rPr>
        <w:t>（复印件，原件备查，格式自拟，必须提供），</w:t>
      </w:r>
      <w:r>
        <w:rPr>
          <w:rFonts w:hint="eastAsia" w:ascii="宋体" w:hAnsi="宋体" w:eastAsia="宋体" w:cs="宋体"/>
          <w:sz w:val="24"/>
          <w:highlight w:val="none"/>
        </w:rPr>
        <w:t>无纳税记录的，应提供由谈判供应商所在地主管国税、地税部门出具的《依法纳税或依法免税证明》</w:t>
      </w:r>
      <w:r>
        <w:rPr>
          <w:rFonts w:hint="eastAsia" w:ascii="宋体" w:hAnsi="宋体" w:eastAsia="宋体" w:cs="宋体"/>
          <w:b/>
          <w:sz w:val="24"/>
          <w:highlight w:val="none"/>
        </w:rPr>
        <w:t>（格式自拟，复印件，原件备查）</w:t>
      </w:r>
      <w:r>
        <w:rPr>
          <w:rFonts w:hint="eastAsia" w:ascii="宋体" w:hAnsi="宋体" w:eastAsia="宋体" w:cs="宋体"/>
          <w:sz w:val="24"/>
          <w:highlight w:val="none"/>
        </w:rPr>
        <w:t>；</w:t>
      </w:r>
    </w:p>
    <w:p>
      <w:pPr>
        <w:adjustRightInd w:val="0"/>
        <w:snapToGrid w:val="0"/>
        <w:spacing w:line="360" w:lineRule="exact"/>
        <w:ind w:firstLine="240" w:firstLineChars="100"/>
        <w:jc w:val="left"/>
        <w:rPr>
          <w:rFonts w:ascii="宋体" w:hAnsi="宋体" w:eastAsia="宋体" w:cs="宋体"/>
          <w:b/>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（8）</w:t>
      </w:r>
      <w:r>
        <w:rPr>
          <w:rFonts w:hint="eastAsia" w:ascii="宋体" w:hAnsi="宋体" w:eastAsia="宋体" w:cs="Times New Roman"/>
          <w:sz w:val="24"/>
          <w:highlight w:val="none"/>
        </w:rPr>
        <w:t>谈判供应商2020年4月份以来连续三个月的</w:t>
      </w:r>
      <w:r>
        <w:rPr>
          <w:rFonts w:hint="eastAsia" w:ascii="宋体" w:hAnsi="宋体" w:eastAsia="宋体" w:cs="宋体"/>
          <w:sz w:val="24"/>
          <w:highlight w:val="none"/>
        </w:rPr>
        <w:t>依法缴纳社保费的缴费凭证（</w:t>
      </w:r>
      <w:r>
        <w:rPr>
          <w:rFonts w:hint="eastAsia" w:ascii="宋体" w:hAnsi="宋体" w:eastAsia="宋体" w:cs="宋体"/>
          <w:b/>
          <w:sz w:val="24"/>
          <w:highlight w:val="none"/>
        </w:rPr>
        <w:t>复印件，原件备查，格式自拟）（必须提供），</w:t>
      </w:r>
      <w:r>
        <w:rPr>
          <w:rFonts w:hint="eastAsia" w:ascii="宋体" w:hAnsi="宋体" w:eastAsia="宋体" w:cs="宋体"/>
          <w:sz w:val="24"/>
          <w:highlight w:val="none"/>
        </w:rPr>
        <w:t>无缴费记录的，应提供由谈判供应商所在地社保部门出具的《依法缴纳或依法免缴社保费证明》</w:t>
      </w:r>
      <w:r>
        <w:rPr>
          <w:rFonts w:hint="eastAsia" w:ascii="宋体" w:hAnsi="宋体" w:eastAsia="宋体" w:cs="宋体"/>
          <w:b/>
          <w:sz w:val="24"/>
          <w:highlight w:val="none"/>
        </w:rPr>
        <w:t>（格式自拟，复印件，必须提供，原件备查）</w:t>
      </w:r>
      <w:r>
        <w:rPr>
          <w:rFonts w:hint="eastAsia" w:ascii="宋体" w:hAnsi="宋体" w:eastAsia="宋体" w:cs="宋体"/>
          <w:sz w:val="24"/>
          <w:highlight w:val="none"/>
        </w:rPr>
        <w:t>；</w:t>
      </w:r>
    </w:p>
    <w:p>
      <w:pPr>
        <w:adjustRightInd w:val="0"/>
        <w:snapToGrid w:val="0"/>
        <w:spacing w:line="360" w:lineRule="exact"/>
        <w:ind w:firstLine="240" w:firstLineChars="100"/>
        <w:jc w:val="left"/>
        <w:rPr>
          <w:rFonts w:hint="eastAsia" w:ascii="宋体" w:hAnsi="宋体" w:eastAsia="宋体" w:cs="宋体"/>
          <w:b/>
          <w:sz w:val="24"/>
          <w:highlight w:val="none"/>
        </w:rPr>
      </w:pPr>
      <w:r>
        <w:rPr>
          <w:rFonts w:hint="eastAsia" w:ascii="宋体" w:hAnsi="宋体" w:eastAsia="宋体" w:cs="宋体"/>
          <w:sz w:val="24"/>
          <w:highlight w:val="none"/>
        </w:rPr>
        <w:t>▲（9）谈判供应商</w:t>
      </w:r>
      <w:r>
        <w:rPr>
          <w:rFonts w:hint="eastAsia" w:ascii="宋体" w:hAnsi="宋体" w:eastAsia="宋体" w:cs="宋体"/>
          <w:kern w:val="0"/>
          <w:sz w:val="24"/>
          <w:highlight w:val="none"/>
        </w:rPr>
        <w:t>参加政府采购活动前三年内在经营活动中没有重大违法记录的书面声明</w:t>
      </w:r>
      <w:r>
        <w:rPr>
          <w:rFonts w:hint="eastAsia" w:ascii="宋体" w:hAnsi="宋体" w:eastAsia="宋体" w:cs="宋体"/>
          <w:b/>
          <w:sz w:val="24"/>
          <w:highlight w:val="none"/>
        </w:rPr>
        <w:t>（必须提供）；</w:t>
      </w:r>
    </w:p>
    <w:p>
      <w:pPr>
        <w:pStyle w:val="2"/>
        <w:ind w:firstLine="241" w:firstLineChars="100"/>
        <w:rPr>
          <w:rFonts w:hint="eastAsia" w:eastAsia="宋体"/>
          <w:highlight w:val="none"/>
          <w:lang w:val="en-US" w:eastAsia="zh-CN"/>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谈判供应商为本次货物经销商时，需提供厂家</w:t>
      </w:r>
      <w:r>
        <w:rPr>
          <w:rFonts w:hint="eastAsia" w:ascii="宋体" w:hAnsi="宋体" w:cs="宋体"/>
          <w:color w:val="auto"/>
          <w:sz w:val="24"/>
          <w:highlight w:val="none"/>
          <w:lang w:eastAsia="zh-CN"/>
        </w:rPr>
        <w:t>授权的经销商资格证书或厂家授权的委托书，并提供厂家承诺委派</w:t>
      </w:r>
      <w:r>
        <w:rPr>
          <w:rFonts w:hint="eastAsia" w:ascii="宋体" w:hAnsi="宋体" w:cs="宋体"/>
          <w:color w:val="auto"/>
          <w:sz w:val="24"/>
          <w:highlight w:val="none"/>
          <w:lang w:val="en-US" w:eastAsia="zh-CN"/>
        </w:rPr>
        <w:t>3人以上取得UTC或AOPA证书持证教员对采购人进行培训，签订合同前需出具原件</w:t>
      </w:r>
      <w:r>
        <w:rPr>
          <w:rFonts w:hint="eastAsia" w:ascii="宋体" w:hAnsi="宋体" w:eastAsia="宋体" w:cs="宋体"/>
          <w:b/>
          <w:sz w:val="24"/>
          <w:highlight w:val="none"/>
        </w:rPr>
        <w:t>（格式自拟，复印件，原件备查）</w:t>
      </w:r>
      <w:r>
        <w:rPr>
          <w:rFonts w:hint="eastAsia" w:ascii="宋体" w:hAnsi="宋体" w:eastAsia="宋体" w:cs="宋体"/>
          <w:sz w:val="24"/>
          <w:highlight w:val="none"/>
        </w:rPr>
        <w:t>；</w:t>
      </w:r>
      <w:r>
        <w:rPr>
          <w:rFonts w:hint="eastAsia" w:ascii="宋体" w:hAnsi="宋体" w:eastAsia="宋体" w:cs="宋体"/>
          <w:kern w:val="0"/>
          <w:sz w:val="24"/>
          <w:highlight w:val="none"/>
          <w:lang w:eastAsia="zh-CN"/>
        </w:rPr>
        <w:t>谈判供应商为本次货物的生产厂家时，需提供生产许可证，并承诺</w:t>
      </w:r>
      <w:r>
        <w:rPr>
          <w:rFonts w:hint="eastAsia" w:ascii="宋体" w:hAnsi="宋体" w:cs="宋体"/>
          <w:color w:val="auto"/>
          <w:sz w:val="24"/>
          <w:highlight w:val="none"/>
          <w:lang w:eastAsia="zh-CN"/>
        </w:rPr>
        <w:t>委派</w:t>
      </w:r>
      <w:r>
        <w:rPr>
          <w:rFonts w:hint="eastAsia" w:ascii="宋体" w:hAnsi="宋体" w:cs="宋体"/>
          <w:color w:val="auto"/>
          <w:sz w:val="24"/>
          <w:highlight w:val="none"/>
          <w:lang w:val="en-US" w:eastAsia="zh-CN"/>
        </w:rPr>
        <w:t>3人以上取得UTC或AOPA证书持证教员对采购人进行培训，签订合同前需出具原件</w:t>
      </w:r>
      <w:r>
        <w:rPr>
          <w:rFonts w:hint="eastAsia" w:ascii="宋体" w:hAnsi="宋体" w:eastAsia="宋体" w:cs="宋体"/>
          <w:b/>
          <w:sz w:val="24"/>
          <w:highlight w:val="none"/>
        </w:rPr>
        <w:t>（格式自拟，复印件，原件备查）</w:t>
      </w:r>
      <w:r>
        <w:rPr>
          <w:rFonts w:hint="eastAsia" w:ascii="宋体" w:hAnsi="宋体" w:eastAsia="宋体" w:cs="宋体"/>
          <w:b/>
          <w:sz w:val="24"/>
          <w:highlight w:val="none"/>
          <w:lang w:eastAsia="zh-CN"/>
        </w:rPr>
        <w:t>。</w:t>
      </w:r>
    </w:p>
    <w:p>
      <w:pPr>
        <w:adjustRightInd w:val="0"/>
        <w:snapToGrid w:val="0"/>
        <w:spacing w:line="360" w:lineRule="exact"/>
        <w:ind w:firstLine="241" w:firstLineChars="100"/>
        <w:jc w:val="left"/>
        <w:rPr>
          <w:rFonts w:ascii="宋体" w:hAnsi="宋体" w:eastAsia="宋体" w:cs="宋体"/>
          <w:b/>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11</w:t>
      </w:r>
      <w:r>
        <w:rPr>
          <w:rFonts w:hint="eastAsia" w:ascii="宋体" w:hAnsi="宋体" w:eastAsia="宋体" w:cs="宋体"/>
          <w:kern w:val="0"/>
          <w:sz w:val="24"/>
          <w:highlight w:val="none"/>
        </w:rPr>
        <w:t>）具备履行合同所必需的设备和专业技术能力的证明材料</w:t>
      </w:r>
      <w:r>
        <w:rPr>
          <w:rFonts w:hint="eastAsia" w:ascii="宋体" w:hAnsi="宋体" w:eastAsia="宋体" w:cs="宋体"/>
          <w:b/>
          <w:kern w:val="0"/>
          <w:sz w:val="24"/>
          <w:highlight w:val="none"/>
        </w:rPr>
        <w:t>（格式自拟，必须提供）；</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）具备法律、行政法规规定的其他条件的证明材料</w:t>
      </w:r>
      <w:r>
        <w:rPr>
          <w:rFonts w:hint="eastAsia" w:ascii="宋体" w:hAnsi="宋体" w:eastAsia="宋体" w:cs="宋体"/>
          <w:b/>
          <w:sz w:val="24"/>
          <w:highlight w:val="none"/>
        </w:rPr>
        <w:t>（如有规定,则必须提供）；</w:t>
      </w:r>
    </w:p>
    <w:p>
      <w:pPr>
        <w:adjustRightInd w:val="0"/>
        <w:snapToGrid w:val="0"/>
        <w:spacing w:line="360" w:lineRule="exact"/>
        <w:ind w:firstLine="240" w:firstLineChars="100"/>
        <w:rPr>
          <w:rFonts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）售后服务承诺书（内容可以是提供的切实可行的售后服务和优惠承诺）</w:t>
      </w:r>
      <w:r>
        <w:rPr>
          <w:rFonts w:hint="eastAsia" w:ascii="宋体" w:hAnsi="宋体" w:eastAsia="宋体" w:cs="宋体"/>
          <w:b/>
          <w:sz w:val="24"/>
          <w:highlight w:val="none"/>
        </w:rPr>
        <w:t>（格式自拟，必须提供）</w:t>
      </w:r>
      <w:r>
        <w:rPr>
          <w:rFonts w:hint="eastAsia" w:ascii="宋体" w:hAnsi="宋体" w:eastAsia="宋体" w:cs="宋体"/>
          <w:sz w:val="24"/>
          <w:highlight w:val="none"/>
        </w:rPr>
        <w:t>；</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）中小企业声明函</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）质量保证措施；</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）谈判供应商认为需要提供的有关资料。</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Theme="minorEastAsia" w:hAnsiTheme="minorEastAsia"/>
          <w:sz w:val="24"/>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和中国政府采购网查询相关供应商主体信用记录，同时须将查询结果截图加盖单位公章。</w:t>
      </w:r>
      <w:r>
        <w:rPr>
          <w:rFonts w:hint="eastAsia" w:ascii="宋体" w:hAnsi="宋体" w:eastAsia="宋体" w:cs="宋体"/>
          <w:b/>
          <w:sz w:val="24"/>
          <w:highlight w:val="none"/>
        </w:rPr>
        <w:t>（必须提供）</w:t>
      </w:r>
    </w:p>
    <w:p>
      <w:pPr>
        <w:pStyle w:val="8"/>
        <w:adjustRightInd w:val="0"/>
        <w:snapToGrid w:val="0"/>
        <w:spacing w:line="400" w:lineRule="exact"/>
        <w:ind w:left="103" w:leftChars="49" w:firstLine="359" w:firstLineChars="149"/>
        <w:jc w:val="left"/>
        <w:rPr>
          <w:rFonts w:hAnsi="宋体" w:eastAsia="宋体" w:cs="宋体"/>
          <w:b/>
          <w:sz w:val="24"/>
          <w:szCs w:val="24"/>
          <w:highlight w:val="none"/>
        </w:rPr>
      </w:pPr>
      <w:r>
        <w:rPr>
          <w:rFonts w:hint="eastAsia" w:hAnsi="宋体" w:eastAsia="宋体" w:cs="宋体"/>
          <w:b/>
          <w:sz w:val="24"/>
          <w:szCs w:val="24"/>
          <w:highlight w:val="none"/>
        </w:rPr>
        <w:t>特别说明：（1）谈判文件要求提供的的各种复印件，须加盖谈判供应商印章，否则其无效（含正、副本，正本与副本不一致的，以正本为准）。</w:t>
      </w:r>
    </w:p>
    <w:p>
      <w:pPr>
        <w:adjustRightInd w:val="0"/>
        <w:snapToGrid w:val="0"/>
        <w:spacing w:line="40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（2）谈判文件要求“必须提供”的证明等材料，谈判供应商必须全部提供，缺一不可，否则谈判无效。</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6. 计量单位</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6.1除技术要求中另有规定外，本文件所要求使用的计量单位均应采用国家法定计量单位。</w:t>
      </w:r>
    </w:p>
    <w:p>
      <w:pPr>
        <w:adjustRightInd w:val="0"/>
        <w:snapToGrid w:val="0"/>
        <w:spacing w:line="360" w:lineRule="exact"/>
        <w:ind w:firstLine="482" w:firstLineChars="200"/>
        <w:rPr>
          <w:rFonts w:ascii="宋体" w:hAnsi="宋体" w:eastAsia="宋体" w:cs="宋体"/>
          <w:b/>
          <w:sz w:val="24"/>
          <w:highlight w:val="none"/>
        </w:rPr>
      </w:pPr>
      <w:bookmarkStart w:id="51" w:name="_Toc21213"/>
      <w:r>
        <w:rPr>
          <w:rFonts w:hint="eastAsia" w:ascii="宋体" w:hAnsi="宋体" w:eastAsia="宋体" w:cs="宋体"/>
          <w:b/>
          <w:sz w:val="24"/>
          <w:highlight w:val="none"/>
        </w:rPr>
        <w:t>三.报价要求</w:t>
      </w:r>
      <w:bookmarkEnd w:id="51"/>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7.1对于本文件中未列明，而谈判供应商认为必需的费用也需列入总报价。在合同实施时，采购人将不予支付成交供应商没有列入的项目费用，并认为此项目的费用已包括在总报价中。</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7.2成交供应商负责本项目所需货物的制造、运输、售后服务等全部工作。</w:t>
      </w:r>
    </w:p>
    <w:p>
      <w:pPr>
        <w:pStyle w:val="8"/>
        <w:adjustRightInd w:val="0"/>
        <w:snapToGrid w:val="0"/>
        <w:spacing w:line="360" w:lineRule="exact"/>
        <w:ind w:firstLine="420"/>
        <w:rPr>
          <w:rFonts w:hAnsi="宋体" w:eastAsia="宋体" w:cs="宋体"/>
          <w:spacing w:val="-4"/>
          <w:sz w:val="24"/>
          <w:szCs w:val="24"/>
          <w:highlight w:val="none"/>
        </w:rPr>
      </w:pPr>
      <w:r>
        <w:rPr>
          <w:rFonts w:hint="eastAsia" w:hAnsi="宋体" w:eastAsia="宋体" w:cs="宋体"/>
          <w:sz w:val="24"/>
          <w:szCs w:val="24"/>
          <w:highlight w:val="none"/>
        </w:rPr>
        <w:t>7.3</w:t>
      </w:r>
      <w:r>
        <w:rPr>
          <w:rFonts w:hint="eastAsia" w:hAnsi="宋体" w:eastAsia="宋体" w:cs="宋体"/>
          <w:spacing w:val="-4"/>
          <w:sz w:val="24"/>
          <w:szCs w:val="24"/>
          <w:highlight w:val="none"/>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7.4报价：谈判供应商可就《采购需求》中所有的货物和服务内容作完整唯一报价，也可对某个分标或几个分标的货物和服务内容按分标分别作完整唯一报价。</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7.5</w:t>
      </w:r>
      <w:r>
        <w:rPr>
          <w:rFonts w:hint="eastAsia" w:hAnsi="宋体" w:eastAsia="宋体" w:cs="宋体"/>
          <w:spacing w:val="-4"/>
          <w:sz w:val="24"/>
          <w:highlight w:val="none"/>
        </w:rPr>
        <w:t>谈判供应商的报价中单价和总价均不能超控制价中的单价及总价，否则谈判无效。</w:t>
      </w:r>
    </w:p>
    <w:p>
      <w:pPr>
        <w:adjustRightInd w:val="0"/>
        <w:snapToGrid w:val="0"/>
        <w:spacing w:line="360" w:lineRule="exact"/>
        <w:ind w:firstLine="482" w:firstLineChars="200"/>
        <w:rPr>
          <w:rFonts w:ascii="宋体" w:hAnsi="宋体" w:eastAsia="宋体" w:cs="宋体"/>
          <w:b/>
          <w:sz w:val="24"/>
          <w:highlight w:val="none"/>
        </w:rPr>
      </w:pPr>
      <w:bookmarkStart w:id="52" w:name="_Toc27625"/>
      <w:r>
        <w:rPr>
          <w:rFonts w:hint="eastAsia" w:ascii="宋体" w:hAnsi="宋体" w:eastAsia="宋体" w:cs="宋体"/>
          <w:b/>
          <w:sz w:val="24"/>
          <w:highlight w:val="none"/>
        </w:rPr>
        <w:t>四.竞争性谈判响应文件的份数、封装和递交</w:t>
      </w:r>
      <w:bookmarkEnd w:id="52"/>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8. 竞争性谈判响应文件的份数和封装</w:t>
      </w:r>
    </w:p>
    <w:p>
      <w:pPr>
        <w:pStyle w:val="8"/>
        <w:adjustRightInd w:val="0"/>
        <w:snapToGrid w:val="0"/>
        <w:spacing w:line="360" w:lineRule="exact"/>
        <w:ind w:firstLine="420"/>
        <w:rPr>
          <w:rFonts w:hAnsi="宋体" w:eastAsia="宋体" w:cs="宋体"/>
          <w:sz w:val="24"/>
          <w:szCs w:val="24"/>
          <w:highlight w:val="none"/>
        </w:rPr>
      </w:pPr>
      <w:r>
        <w:rPr>
          <w:rFonts w:hint="eastAsia" w:hAnsi="宋体" w:eastAsia="宋体" w:cs="宋体"/>
          <w:sz w:val="24"/>
          <w:szCs w:val="24"/>
          <w:highlight w:val="none"/>
        </w:rPr>
        <w:t>8.1谈判供应商应将竞争性谈判响应文件中“价格文件”和“商务技术文件”装订成一本（两文件相隔之间用封面标识，封面写明“价格文件”、“商务技术文件”字样）。</w:t>
      </w:r>
    </w:p>
    <w:p>
      <w:pPr>
        <w:pStyle w:val="8"/>
        <w:adjustRightInd w:val="0"/>
        <w:snapToGrid w:val="0"/>
        <w:spacing w:line="360" w:lineRule="exact"/>
        <w:ind w:firstLine="420"/>
        <w:rPr>
          <w:rFonts w:hAnsi="宋体" w:eastAsia="宋体" w:cs="宋体"/>
          <w:sz w:val="24"/>
          <w:szCs w:val="24"/>
          <w:highlight w:val="none"/>
        </w:rPr>
      </w:pPr>
      <w:r>
        <w:rPr>
          <w:rFonts w:hint="eastAsia" w:hAnsi="宋体" w:eastAsia="宋体" w:cs="宋体"/>
          <w:sz w:val="24"/>
          <w:szCs w:val="24"/>
          <w:highlight w:val="none"/>
        </w:rPr>
        <w:t>谈判供应商将竞争性谈判响应文件按正、副本分别装订成册，在每个正、副本封面上标明“正本”或“副本”，以及项目名称、项目编号、</w:t>
      </w:r>
      <w:r>
        <w:rPr>
          <w:rFonts w:hint="eastAsia" w:hAnsi="宋体" w:eastAsia="宋体" w:cs="宋体"/>
          <w:bCs/>
          <w:sz w:val="24"/>
          <w:szCs w:val="24"/>
          <w:highlight w:val="none"/>
        </w:rPr>
        <w:t>所竞分标号</w:t>
      </w:r>
      <w:r>
        <w:rPr>
          <w:rFonts w:hint="eastAsia" w:hAnsi="宋体" w:eastAsia="宋体" w:cs="宋体"/>
          <w:sz w:val="24"/>
          <w:szCs w:val="24"/>
          <w:highlight w:val="none"/>
        </w:rPr>
        <w:t xml:space="preserve">、谈判供应商名称等内容。 </w:t>
      </w:r>
    </w:p>
    <w:p>
      <w:pPr>
        <w:adjustRightInd w:val="0"/>
        <w:snapToGrid w:val="0"/>
        <w:spacing w:line="360" w:lineRule="exact"/>
        <w:ind w:firstLine="480" w:firstLineChars="200"/>
        <w:rPr>
          <w:rFonts w:ascii="宋体" w:hAnsi="宋体" w:eastAsia="宋体" w:cs="宋体"/>
          <w:b/>
          <w:sz w:val="24"/>
          <w:highlight w:val="none"/>
        </w:rPr>
      </w:pPr>
      <w:r>
        <w:rPr>
          <w:rFonts w:hint="eastAsia" w:ascii="宋体" w:hAnsi="宋体" w:eastAsia="宋体" w:cs="宋体"/>
          <w:sz w:val="24"/>
          <w:highlight w:val="none"/>
        </w:rPr>
        <w:t>8.2谈判供应商应将竞争性谈判响应文件正、副本（正本一份，副本贰份）及投标文件电子版（以u盘形式）装入到一个竞争性谈判响应文件袋内，封装并加以密封</w:t>
      </w:r>
      <w:r>
        <w:rPr>
          <w:rFonts w:hint="eastAsia" w:ascii="宋体" w:hAnsi="宋体" w:eastAsia="宋体" w:cs="宋体"/>
          <w:b/>
          <w:sz w:val="24"/>
          <w:highlight w:val="none"/>
        </w:rPr>
        <w:t>（竞争性谈判响应文件袋无明显缝隙露出袋内文件表述内容为合格）。</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文件袋外层封面上应写明：</w:t>
      </w:r>
    </w:p>
    <w:p>
      <w:pPr>
        <w:adjustRightInd w:val="0"/>
        <w:snapToGrid w:val="0"/>
        <w:spacing w:line="360" w:lineRule="exact"/>
        <w:ind w:firstLine="480" w:firstLineChars="200"/>
        <w:rPr>
          <w:rFonts w:ascii="宋体" w:hAnsi="宋体" w:eastAsia="宋体" w:cs="宋体"/>
          <w:bCs/>
          <w:sz w:val="24"/>
          <w:highlight w:val="none"/>
        </w:rPr>
      </w:pPr>
      <w:r>
        <w:rPr>
          <w:rFonts w:hint="eastAsia" w:ascii="宋体" w:hAnsi="宋体" w:eastAsia="宋体" w:cs="宋体"/>
          <w:sz w:val="24"/>
          <w:highlight w:val="none"/>
        </w:rPr>
        <w:t>（1）项目名称</w:t>
      </w:r>
      <w:r>
        <w:rPr>
          <w:rFonts w:hint="eastAsia" w:ascii="宋体" w:hAnsi="宋体" w:eastAsia="宋体" w:cs="宋体"/>
          <w:bCs/>
          <w:sz w:val="24"/>
          <w:highlight w:val="none"/>
        </w:rPr>
        <w:t>：</w:t>
      </w:r>
    </w:p>
    <w:p>
      <w:pPr>
        <w:adjustRightInd w:val="0"/>
        <w:snapToGrid w:val="0"/>
        <w:spacing w:line="360" w:lineRule="exact"/>
        <w:ind w:firstLine="480" w:firstLineChars="200"/>
        <w:rPr>
          <w:rFonts w:ascii="宋体" w:hAnsi="宋体" w:eastAsia="宋体" w:cs="宋体"/>
          <w:bCs/>
          <w:sz w:val="24"/>
          <w:highlight w:val="none"/>
        </w:rPr>
      </w:pPr>
      <w:r>
        <w:rPr>
          <w:rFonts w:hint="eastAsia" w:ascii="宋体" w:hAnsi="宋体" w:eastAsia="宋体" w:cs="宋体"/>
          <w:sz w:val="24"/>
          <w:highlight w:val="none"/>
        </w:rPr>
        <w:t>（2）项目编号</w:t>
      </w:r>
      <w:r>
        <w:rPr>
          <w:rFonts w:hint="eastAsia" w:ascii="宋体" w:hAnsi="宋体" w:eastAsia="宋体" w:cs="宋体"/>
          <w:bCs/>
          <w:sz w:val="24"/>
          <w:highlight w:val="none"/>
        </w:rPr>
        <w:t>：</w:t>
      </w:r>
    </w:p>
    <w:p>
      <w:pPr>
        <w:adjustRightInd w:val="0"/>
        <w:snapToGrid w:val="0"/>
        <w:spacing w:line="360" w:lineRule="exact"/>
        <w:ind w:firstLine="480" w:firstLineChars="200"/>
        <w:rPr>
          <w:rFonts w:ascii="宋体" w:hAnsi="宋体" w:eastAsia="宋体" w:cs="宋体"/>
          <w:bCs/>
          <w:sz w:val="24"/>
          <w:highlight w:val="none"/>
        </w:rPr>
      </w:pPr>
      <w:r>
        <w:rPr>
          <w:rFonts w:hint="eastAsia" w:ascii="宋体" w:hAnsi="宋体" w:eastAsia="宋体" w:cs="宋体"/>
          <w:bCs/>
          <w:sz w:val="24"/>
          <w:highlight w:val="none"/>
        </w:rPr>
        <w:t xml:space="preserve">（3）所竞分标号： </w:t>
      </w:r>
    </w:p>
    <w:p>
      <w:pPr>
        <w:pStyle w:val="5"/>
        <w:adjustRightInd w:val="0"/>
        <w:snapToGrid w:val="0"/>
        <w:spacing w:line="360" w:lineRule="exact"/>
        <w:ind w:firstLine="480" w:firstLineChars="200"/>
        <w:rPr>
          <w:rFonts w:ascii="宋体" w:hAnsi="宋体" w:eastAsia="宋体" w:cs="宋体"/>
          <w:bCs/>
          <w:sz w:val="24"/>
          <w:szCs w:val="24"/>
          <w:highlight w:val="none"/>
        </w:rPr>
      </w:pPr>
      <w:r>
        <w:rPr>
          <w:rFonts w:hint="eastAsia" w:ascii="宋体" w:hAnsi="宋体" w:eastAsia="宋体" w:cs="宋体"/>
          <w:sz w:val="24"/>
          <w:szCs w:val="24"/>
          <w:highlight w:val="none"/>
        </w:rPr>
        <w:t>（4）谈判供应商名称</w:t>
      </w:r>
      <w:r>
        <w:rPr>
          <w:rFonts w:hint="eastAsia" w:ascii="宋体" w:hAnsi="宋体" w:eastAsia="宋体" w:cs="宋体"/>
          <w:bCs/>
          <w:sz w:val="24"/>
          <w:szCs w:val="24"/>
          <w:highlight w:val="none"/>
        </w:rPr>
        <w:t>：</w:t>
      </w:r>
    </w:p>
    <w:p>
      <w:pPr>
        <w:pStyle w:val="5"/>
        <w:adjustRightInd w:val="0"/>
        <w:snapToGrid w:val="0"/>
        <w:spacing w:line="3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（5）（截标时才能启封）</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9. 竞争性谈判响应文件的递交</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9.1所有竞争性谈判响应文件应于竞争性谈判文件中规定的时间前递交到采购代理机构开标室。</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9.2竞争性谈判响应文件从响应文件递交截止日期后</w:t>
      </w:r>
      <w:r>
        <w:rPr>
          <w:rFonts w:hint="eastAsia" w:ascii="宋体" w:hAnsi="宋体" w:eastAsia="宋体" w:cs="宋体"/>
          <w:sz w:val="24"/>
          <w:highlight w:val="none"/>
          <w:u w:val="single"/>
        </w:rPr>
        <w:t>60</w:t>
      </w:r>
      <w:r>
        <w:rPr>
          <w:rFonts w:hint="eastAsia" w:ascii="宋体" w:hAnsi="宋体" w:eastAsia="宋体" w:cs="宋体"/>
          <w:sz w:val="24"/>
          <w:highlight w:val="none"/>
        </w:rPr>
        <w:t>天内有效。</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10.迟交的竞争性谈判响应文件</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10.1在本文件要求竞争性谈判响应文件提交截止时间后送达的竞争性谈判响应文件为无效文件，采购代理机构将拒收。</w:t>
      </w:r>
    </w:p>
    <w:p>
      <w:pPr>
        <w:adjustRightInd w:val="0"/>
        <w:snapToGrid w:val="0"/>
        <w:spacing w:line="360" w:lineRule="exact"/>
        <w:ind w:firstLine="480" w:firstLineChars="200"/>
        <w:rPr>
          <w:rFonts w:ascii="宋体" w:hAnsi="宋体" w:eastAsia="宋体" w:cs="宋体"/>
          <w:b/>
          <w:bCs/>
          <w:sz w:val="24"/>
          <w:highlight w:val="none"/>
        </w:rPr>
      </w:pPr>
      <w:r>
        <w:rPr>
          <w:rFonts w:hint="eastAsia" w:ascii="宋体" w:hAnsi="宋体" w:eastAsia="宋体" w:cs="宋体"/>
          <w:sz w:val="24"/>
          <w:highlight w:val="none"/>
        </w:rPr>
        <w:t>11.谈判保证金应用人民币：</w:t>
      </w:r>
      <w:r>
        <w:rPr>
          <w:rFonts w:hint="eastAsia" w:ascii="宋体" w:hAnsi="宋体" w:eastAsia="宋体" w:cs="宋体"/>
          <w:bCs/>
          <w:sz w:val="24"/>
          <w:highlight w:val="none"/>
        </w:rPr>
        <w:t>本项目不收取谈判保证金。</w:t>
      </w:r>
    </w:p>
    <w:p>
      <w:pPr>
        <w:adjustRightInd w:val="0"/>
        <w:snapToGrid w:val="0"/>
        <w:spacing w:line="360" w:lineRule="exact"/>
        <w:ind w:firstLine="482" w:firstLineChars="200"/>
        <w:rPr>
          <w:rFonts w:ascii="宋体" w:hAnsi="宋体" w:eastAsia="宋体" w:cs="宋体"/>
          <w:b/>
          <w:sz w:val="24"/>
          <w:highlight w:val="none"/>
        </w:rPr>
      </w:pPr>
      <w:bookmarkStart w:id="53" w:name="_Toc24320"/>
      <w:r>
        <w:rPr>
          <w:rFonts w:hint="eastAsia" w:ascii="宋体" w:hAnsi="宋体" w:eastAsia="宋体" w:cs="宋体"/>
          <w:b/>
          <w:sz w:val="24"/>
          <w:highlight w:val="none"/>
        </w:rPr>
        <w:t>五.谈判程序及评定标准</w:t>
      </w:r>
      <w:bookmarkEnd w:id="53"/>
    </w:p>
    <w:p>
      <w:pPr>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在谈判正式开始前由谈判小组对竞争性谈判文件进行确认，认可竞争性谈判文件的内容符合法律法规的规定、不存在歧视性或排他性内容。</w:t>
      </w:r>
    </w:p>
    <w:p>
      <w:pPr>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未实质性响应竞争性谈判文件的竞争性谈判响应文件按无效处理，谈判小组应当告知有关供应商。</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12.1第一轮谈判</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谈判时间及地点: 详见本须知前附表第8项规定。</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与单一供应商分别进行谈判，给予所有参加谈判的供应商平等的谈判机会。</w:t>
      </w:r>
    </w:p>
    <w:p>
      <w:pPr>
        <w:tabs>
          <w:tab w:val="left" w:pos="540"/>
        </w:tabs>
        <w:adjustRightInd w:val="0"/>
        <w:snapToGrid w:val="0"/>
        <w:spacing w:line="360" w:lineRule="exact"/>
        <w:ind w:firstLine="464" w:firstLineChars="200"/>
        <w:jc w:val="left"/>
        <w:rPr>
          <w:rFonts w:ascii="宋体" w:hAnsi="宋体" w:eastAsia="宋体" w:cs="宋体"/>
          <w:spacing w:val="-4"/>
          <w:sz w:val="24"/>
          <w:highlight w:val="none"/>
        </w:rPr>
      </w:pPr>
      <w:r>
        <w:rPr>
          <w:rFonts w:hint="eastAsia" w:ascii="宋体" w:hAnsi="宋体" w:eastAsia="宋体" w:cs="宋体"/>
          <w:spacing w:val="-4"/>
          <w:sz w:val="24"/>
          <w:highlight w:val="none"/>
        </w:rPr>
        <w:t>谈判评审在严格保密的情况下进行，谈判的任何一方不得透露与谈判有关的其他供应商的技术资料、价格和其他信息。采购代理机构对谈判过程和重要谈判内容进行记录，谈判双方在记录上签字确认。</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谈判后，供应商根据谈判小组统一整理的书面谈判记录要求做出书面承诺，并由其法定代表人或授权代表签字或者加盖公章</w:t>
      </w:r>
      <w:r>
        <w:rPr>
          <w:rFonts w:hint="eastAsia" w:ascii="宋体" w:hAnsi="宋体" w:eastAsia="宋体" w:cs="宋体"/>
          <w:kern w:val="0"/>
          <w:sz w:val="24"/>
          <w:highlight w:val="none"/>
        </w:rPr>
        <w:t>后按时密封递交</w:t>
      </w:r>
      <w:r>
        <w:rPr>
          <w:rFonts w:hint="eastAsia" w:ascii="宋体" w:hAnsi="宋体" w:eastAsia="宋体" w:cs="宋体"/>
          <w:sz w:val="24"/>
          <w:highlight w:val="none"/>
        </w:rPr>
        <w:t>。</w:t>
      </w:r>
    </w:p>
    <w:p>
      <w:pPr>
        <w:tabs>
          <w:tab w:val="left" w:pos="540"/>
        </w:tabs>
        <w:adjustRightInd w:val="0"/>
        <w:snapToGrid w:val="0"/>
        <w:spacing w:line="360" w:lineRule="exact"/>
        <w:ind w:firstLine="464" w:firstLineChars="200"/>
        <w:jc w:val="left"/>
        <w:rPr>
          <w:rFonts w:ascii="宋体" w:hAnsi="宋体" w:eastAsia="宋体" w:cs="宋体"/>
          <w:spacing w:val="-4"/>
          <w:sz w:val="24"/>
          <w:highlight w:val="none"/>
        </w:rPr>
      </w:pPr>
      <w:r>
        <w:rPr>
          <w:rFonts w:hint="eastAsia" w:ascii="宋体" w:hAnsi="宋体" w:eastAsia="宋体" w:cs="宋体"/>
          <w:spacing w:val="-4"/>
          <w:sz w:val="24"/>
          <w:highlight w:val="none"/>
        </w:rPr>
        <w:t>当谈判小组一致确定供应商的竞争性谈判响应文件符合竞争性谈判文件要求，无需再谈判的，谈判小组按竞争性谈判文件设定的12.4、12.6程序和评定标准确定成交候选人。第一轮谈判后竞争性谈判文件有实质性变动或仍需谈判的，谈判小组对竞争性谈判文件变动或提出谈判意见后进行第二轮谈判。</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12.2竞争性谈判文件变动</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⑴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对竞争性谈判文件作出的实质性变动是竞争性谈判文件的有效组成部分，谈判小组应当及时以书面形式同时通知所有参加谈判的供应商，并要求供应商做出书面响应。</w:t>
      </w:r>
    </w:p>
    <w:p>
      <w:pPr>
        <w:tabs>
          <w:tab w:val="left" w:pos="540"/>
        </w:tabs>
        <w:adjustRightInd w:val="0"/>
        <w:snapToGrid w:val="0"/>
        <w:spacing w:line="360" w:lineRule="exact"/>
        <w:ind w:firstLine="360" w:firstLineChars="150"/>
        <w:jc w:val="left"/>
        <w:rPr>
          <w:rFonts w:ascii="宋体" w:hAnsi="宋体" w:eastAsia="宋体" w:cs="宋体"/>
          <w:sz w:val="24"/>
          <w:highlight w:val="none"/>
        </w:rPr>
      </w:pPr>
      <w:r>
        <w:rPr>
          <w:rFonts w:hint="eastAsia" w:ascii="宋体" w:hAnsi="宋体" w:eastAsia="宋体" w:cs="宋体"/>
          <w:sz w:val="24"/>
          <w:highlight w:val="none"/>
        </w:rPr>
        <w:t>⑵供应商应当按照竞争性谈判文件的变动情况和谈判小组的要求重新提交竞争性谈判响应文件，并由其法定代表人或授权代表签字或者加盖公章后密封递交。由授权代表（委托代理人）签字的，应当附法定代表人授权书。供应商为自然人的，应当由本人签字并附身份证明。逾时不交的，视同放弃谈判。重新提交的响应文件与竞争性谈判响应文件同具法律效力。</w:t>
      </w:r>
    </w:p>
    <w:p>
      <w:pPr>
        <w:adjustRightInd w:val="0"/>
        <w:snapToGrid w:val="0"/>
        <w:spacing w:line="360" w:lineRule="exact"/>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12.3第二轮谈判</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kern w:val="0"/>
          <w:sz w:val="24"/>
          <w:highlight w:val="none"/>
        </w:rPr>
        <w:t>谈判小组集中就</w:t>
      </w:r>
      <w:r>
        <w:rPr>
          <w:rFonts w:hint="eastAsia" w:ascii="宋体" w:hAnsi="宋体" w:eastAsia="宋体" w:cs="宋体"/>
          <w:sz w:val="24"/>
          <w:highlight w:val="none"/>
        </w:rPr>
        <w:t>重新提交的响应文件或</w:t>
      </w:r>
      <w:r>
        <w:rPr>
          <w:rFonts w:hint="eastAsia" w:ascii="宋体" w:hAnsi="宋体" w:eastAsia="宋体" w:cs="宋体"/>
          <w:kern w:val="0"/>
          <w:sz w:val="24"/>
          <w:highlight w:val="none"/>
        </w:rPr>
        <w:t>谈判小组</w:t>
      </w:r>
      <w:r>
        <w:rPr>
          <w:rFonts w:hint="eastAsia" w:ascii="宋体" w:hAnsi="宋体" w:eastAsia="宋体" w:cs="宋体"/>
          <w:sz w:val="24"/>
          <w:highlight w:val="none"/>
        </w:rPr>
        <w:t>提出的谈判意见</w:t>
      </w:r>
      <w:r>
        <w:rPr>
          <w:rFonts w:hint="eastAsia" w:ascii="宋体" w:hAnsi="宋体" w:eastAsia="宋体" w:cs="宋体"/>
          <w:kern w:val="0"/>
          <w:sz w:val="24"/>
          <w:highlight w:val="none"/>
        </w:rPr>
        <w:t>与单一响应供应商分别进行谈判。</w:t>
      </w:r>
      <w:r>
        <w:rPr>
          <w:rFonts w:hint="eastAsia" w:ascii="宋体" w:hAnsi="宋体" w:eastAsia="宋体" w:cs="宋体"/>
          <w:sz w:val="24"/>
          <w:highlight w:val="none"/>
        </w:rPr>
        <w:t>采购代理机构对谈判过程和重要谈判内容进行记录，谈判双方在记录上签字确认。</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谈判后，供应商根据谈判小组统一整理的书面谈判记录要求做出书面承诺，并由其法定代表人或授权代表签字或者加盖公章</w:t>
      </w:r>
      <w:r>
        <w:rPr>
          <w:rFonts w:hint="eastAsia" w:ascii="宋体" w:hAnsi="宋体" w:eastAsia="宋体" w:cs="宋体"/>
          <w:kern w:val="0"/>
          <w:sz w:val="24"/>
          <w:highlight w:val="none"/>
        </w:rPr>
        <w:t>后按时密封递交</w:t>
      </w:r>
      <w:r>
        <w:rPr>
          <w:rFonts w:hint="eastAsia" w:ascii="宋体" w:hAnsi="宋体" w:eastAsia="宋体" w:cs="宋体"/>
          <w:sz w:val="24"/>
          <w:highlight w:val="none"/>
        </w:rPr>
        <w:t>。</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当谈判小组一致确定供应商的竞争性谈判响应文件符合竞争性谈判文件要求，无需再谈判的，谈判小组按竞争性谈判文件设定的12.4、12.6程序和评定标准确定成交候选人。第二轮谈判后竞争性谈判文件仍有实质性变动的或仍需谈判的，谈判小组对竞争性谈判文件变动或提出谈判意见后进行第三轮谈判。以此类推。</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12.4最后报价</w:t>
      </w:r>
    </w:p>
    <w:p>
      <w:pPr>
        <w:tabs>
          <w:tab w:val="left" w:pos="540"/>
        </w:tabs>
        <w:adjustRightInd w:val="0"/>
        <w:snapToGrid w:val="0"/>
        <w:spacing w:line="360" w:lineRule="exact"/>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谈判结束后，谈判小组要求所有继续参加谈判的供应商在规定时间内提交最后报价。继续参加谈判的供应商</w:t>
      </w:r>
      <w:r>
        <w:rPr>
          <w:rFonts w:hint="eastAsia" w:ascii="宋体" w:hAnsi="宋体" w:eastAsia="宋体" w:cs="宋体"/>
          <w:sz w:val="24"/>
          <w:highlight w:val="none"/>
        </w:rPr>
        <w:t>作最后报价，由其法定代表人或授权代表签字或者加盖公章</w:t>
      </w:r>
      <w:r>
        <w:rPr>
          <w:rFonts w:hint="eastAsia" w:ascii="宋体" w:hAnsi="宋体" w:eastAsia="宋体" w:cs="宋体"/>
          <w:kern w:val="0"/>
          <w:sz w:val="24"/>
          <w:highlight w:val="none"/>
        </w:rPr>
        <w:t>后密封递交</w:t>
      </w:r>
      <w:r>
        <w:rPr>
          <w:rFonts w:hint="eastAsia" w:ascii="宋体" w:hAnsi="宋体" w:eastAsia="宋体" w:cs="宋体"/>
          <w:sz w:val="24"/>
          <w:highlight w:val="none"/>
        </w:rPr>
        <w:t>谈判小组，谈判小组</w:t>
      </w:r>
      <w:r>
        <w:rPr>
          <w:rFonts w:hint="eastAsia" w:ascii="宋体" w:hAnsi="宋体" w:eastAsia="宋体" w:cs="宋体"/>
          <w:kern w:val="0"/>
          <w:sz w:val="24"/>
          <w:highlight w:val="none"/>
        </w:rPr>
        <w:t>从质量和服务均能满</w:t>
      </w:r>
      <w:r>
        <w:rPr>
          <w:rFonts w:hint="eastAsia" w:ascii="宋体" w:hAnsi="宋体" w:eastAsia="宋体" w:cs="宋体"/>
          <w:bCs/>
          <w:sz w:val="24"/>
          <w:highlight w:val="none"/>
        </w:rPr>
        <w:t>足竞争性谈判文件</w:t>
      </w:r>
      <w:r>
        <w:rPr>
          <w:rFonts w:hint="eastAsia" w:ascii="宋体" w:hAnsi="宋体" w:eastAsia="宋体" w:cs="宋体"/>
          <w:kern w:val="0"/>
          <w:sz w:val="24"/>
          <w:highlight w:val="none"/>
        </w:rPr>
        <w:t>实质性响应要求的供应商中，按照最后报价由低到高的顺序提出3名以上成交候选人，</w:t>
      </w:r>
      <w:r>
        <w:rPr>
          <w:rFonts w:hint="eastAsia" w:ascii="宋体" w:hAnsi="宋体" w:eastAsia="宋体" w:cs="宋体"/>
          <w:bCs/>
          <w:sz w:val="24"/>
          <w:highlight w:val="none"/>
        </w:rPr>
        <w:t>最后报价相同时，由谈判小组根据</w:t>
      </w:r>
      <w:r>
        <w:rPr>
          <w:rFonts w:hint="eastAsia" w:ascii="宋体" w:hAnsi="宋体" w:eastAsia="宋体" w:cs="宋体"/>
          <w:sz w:val="24"/>
          <w:highlight w:val="none"/>
        </w:rPr>
        <w:t>竞争性谈判</w:t>
      </w:r>
      <w:r>
        <w:rPr>
          <w:rFonts w:hint="eastAsia" w:ascii="宋体" w:hAnsi="宋体" w:eastAsia="宋体" w:cs="宋体"/>
          <w:bCs/>
          <w:sz w:val="24"/>
          <w:highlight w:val="none"/>
        </w:rPr>
        <w:t>响应文件中技术、服务、合同条款情况集体讨论确定排序，按确定排序由低到高的原则推荐成交候选人，</w:t>
      </w:r>
      <w:r>
        <w:rPr>
          <w:rFonts w:hint="eastAsia" w:ascii="宋体" w:hAnsi="宋体" w:eastAsia="宋体" w:cs="宋体"/>
          <w:kern w:val="0"/>
          <w:sz w:val="24"/>
          <w:highlight w:val="none"/>
        </w:rPr>
        <w:t>并编写评审报告。最后报价是供应商</w:t>
      </w:r>
      <w:r>
        <w:rPr>
          <w:rFonts w:hint="eastAsia" w:ascii="宋体" w:hAnsi="宋体" w:eastAsia="宋体" w:cs="宋体"/>
          <w:sz w:val="24"/>
          <w:highlight w:val="none"/>
        </w:rPr>
        <w:t>竞争性谈判</w:t>
      </w:r>
      <w:r>
        <w:rPr>
          <w:rFonts w:hint="eastAsia" w:ascii="宋体" w:hAnsi="宋体" w:eastAsia="宋体" w:cs="宋体"/>
          <w:kern w:val="0"/>
          <w:sz w:val="24"/>
          <w:highlight w:val="none"/>
        </w:rPr>
        <w:t>响应文件的有效组成部分。</w:t>
      </w:r>
    </w:p>
    <w:p>
      <w:pPr>
        <w:adjustRightInd w:val="0"/>
        <w:snapToGrid w:val="0"/>
        <w:spacing w:line="360" w:lineRule="exact"/>
        <w:ind w:firstLine="360" w:firstLineChars="150"/>
        <w:jc w:val="left"/>
        <w:rPr>
          <w:rFonts w:ascii="宋体" w:hAnsi="宋体" w:eastAsia="宋体" w:cs="宋体"/>
          <w:kern w:val="0"/>
          <w:sz w:val="24"/>
          <w:highlight w:val="none"/>
        </w:rPr>
      </w:pPr>
      <w:r>
        <w:rPr>
          <w:rFonts w:hint="eastAsia" w:ascii="宋体" w:hAnsi="宋体" w:eastAsia="宋体" w:cs="宋体"/>
          <w:kern w:val="0"/>
          <w:sz w:val="24"/>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540"/>
        </w:tabs>
        <w:adjustRightInd w:val="0"/>
        <w:snapToGrid w:val="0"/>
        <w:spacing w:line="360" w:lineRule="exact"/>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12.5谈判供应商的报价均超过了政府采购预算，采购人不能支付的，谈判活动终止。</w:t>
      </w:r>
    </w:p>
    <w:p>
      <w:pPr>
        <w:pStyle w:val="8"/>
        <w:adjustRightInd w:val="0"/>
        <w:snapToGrid w:val="0"/>
        <w:spacing w:line="360" w:lineRule="exact"/>
        <w:ind w:firstLine="420"/>
        <w:rPr>
          <w:rFonts w:hAnsi="宋体" w:eastAsia="宋体" w:cs="宋体"/>
          <w:b/>
          <w:sz w:val="24"/>
          <w:szCs w:val="24"/>
          <w:highlight w:val="none"/>
        </w:rPr>
      </w:pPr>
      <w:r>
        <w:rPr>
          <w:rFonts w:hint="eastAsia" w:hAnsi="宋体" w:eastAsia="宋体" w:cs="宋体"/>
          <w:sz w:val="24"/>
          <w:szCs w:val="24"/>
          <w:highlight w:val="none"/>
        </w:rPr>
        <w:t>12.6本采购项目的评审依据为竞争性谈判文件和竞争性谈判响应文件，采用的评定标准为：</w:t>
      </w:r>
      <w:r>
        <w:rPr>
          <w:rFonts w:hint="eastAsia" w:hAnsi="宋体" w:eastAsia="宋体" w:cs="宋体"/>
          <w:b/>
          <w:kern w:val="0"/>
          <w:sz w:val="24"/>
          <w:szCs w:val="24"/>
          <w:highlight w:val="none"/>
        </w:rPr>
        <w:t>质量和服务均能满足</w:t>
      </w:r>
      <w:r>
        <w:rPr>
          <w:rFonts w:hint="eastAsia" w:hAnsi="宋体" w:eastAsia="宋体" w:cs="宋体"/>
          <w:b/>
          <w:sz w:val="24"/>
          <w:szCs w:val="24"/>
          <w:highlight w:val="none"/>
        </w:rPr>
        <w:t>竞争性谈判文件</w:t>
      </w:r>
      <w:r>
        <w:rPr>
          <w:rFonts w:hint="eastAsia" w:hAnsi="宋体" w:eastAsia="宋体" w:cs="宋体"/>
          <w:b/>
          <w:kern w:val="0"/>
          <w:sz w:val="24"/>
          <w:szCs w:val="24"/>
          <w:highlight w:val="none"/>
        </w:rPr>
        <w:t>实质性响应要求的供应商中按最后报价最低的原则确定成交供应商</w:t>
      </w:r>
      <w:r>
        <w:rPr>
          <w:rFonts w:hint="eastAsia" w:hAnsi="宋体" w:eastAsia="宋体" w:cs="宋体"/>
          <w:b/>
          <w:sz w:val="24"/>
          <w:szCs w:val="24"/>
          <w:highlight w:val="none"/>
        </w:rPr>
        <w:t>。</w:t>
      </w:r>
    </w:p>
    <w:p>
      <w:pPr>
        <w:pStyle w:val="8"/>
        <w:adjustRightInd w:val="0"/>
        <w:snapToGrid w:val="0"/>
        <w:spacing w:line="360" w:lineRule="exact"/>
        <w:ind w:firstLine="482" w:firstLineChars="200"/>
        <w:rPr>
          <w:rFonts w:hAnsi="宋体" w:eastAsia="宋体" w:cs="宋体"/>
          <w:sz w:val="24"/>
          <w:szCs w:val="24"/>
          <w:highlight w:val="none"/>
        </w:rPr>
      </w:pPr>
      <w:bookmarkStart w:id="54" w:name="_Toc12410"/>
      <w:r>
        <w:rPr>
          <w:rFonts w:hint="eastAsia" w:hAnsi="宋体" w:eastAsia="宋体" w:cs="宋体"/>
          <w:b/>
          <w:sz w:val="24"/>
          <w:szCs w:val="24"/>
          <w:highlight w:val="none"/>
        </w:rPr>
        <w:t>六.无效谈判条款</w:t>
      </w:r>
      <w:bookmarkEnd w:id="54"/>
    </w:p>
    <w:p>
      <w:pPr>
        <w:adjustRightInd w:val="0"/>
        <w:snapToGrid w:val="0"/>
        <w:spacing w:line="360" w:lineRule="exact"/>
        <w:ind w:firstLine="420"/>
        <w:jc w:val="left"/>
        <w:rPr>
          <w:rFonts w:ascii="宋体" w:hAnsi="宋体" w:eastAsia="宋体" w:cs="宋体"/>
          <w:b/>
          <w:sz w:val="24"/>
          <w:highlight w:val="none"/>
        </w:rPr>
      </w:pPr>
      <w:r>
        <w:rPr>
          <w:rFonts w:hint="eastAsia" w:ascii="宋体" w:hAnsi="宋体" w:eastAsia="宋体" w:cs="宋体"/>
          <w:b/>
          <w:sz w:val="24"/>
          <w:highlight w:val="none"/>
        </w:rPr>
        <w:t>13.1谈判响应文件如有下列情况之一，在评审中按照无效谈判处理：</w:t>
      </w:r>
    </w:p>
    <w:p>
      <w:pPr>
        <w:adjustRightInd w:val="0"/>
        <w:snapToGrid w:val="0"/>
        <w:spacing w:line="360" w:lineRule="exact"/>
        <w:ind w:firstLine="241" w:firstLineChars="100"/>
        <w:jc w:val="left"/>
        <w:rPr>
          <w:rFonts w:ascii="宋体" w:hAnsi="宋体" w:eastAsia="宋体" w:cs="宋体"/>
          <w:b/>
          <w:sz w:val="24"/>
          <w:highlight w:val="none"/>
        </w:rPr>
      </w:pPr>
      <w:r>
        <w:rPr>
          <w:rFonts w:hint="eastAsia" w:ascii="宋体" w:hAnsi="宋体" w:eastAsia="宋体" w:cs="宋体"/>
          <w:b/>
          <w:sz w:val="24"/>
          <w:highlight w:val="none"/>
        </w:rPr>
        <w:t>（1）未按照谈判文件规定要求密封、签署、盖章的；</w:t>
      </w:r>
    </w:p>
    <w:p>
      <w:pPr>
        <w:adjustRightInd w:val="0"/>
        <w:snapToGrid w:val="0"/>
        <w:spacing w:line="360" w:lineRule="exact"/>
        <w:ind w:firstLine="241" w:firstLineChars="100"/>
        <w:jc w:val="left"/>
        <w:rPr>
          <w:rFonts w:ascii="宋体" w:hAnsi="宋体" w:eastAsia="宋体" w:cs="宋体"/>
          <w:b/>
          <w:sz w:val="24"/>
          <w:highlight w:val="none"/>
        </w:rPr>
      </w:pPr>
      <w:r>
        <w:rPr>
          <w:rFonts w:hint="eastAsia" w:ascii="宋体" w:hAnsi="宋体" w:eastAsia="宋体" w:cs="宋体"/>
          <w:b/>
          <w:sz w:val="24"/>
          <w:highlight w:val="none"/>
        </w:rPr>
        <w:t>（2）不具备谈判文件中规定资格要求的；</w:t>
      </w:r>
    </w:p>
    <w:p>
      <w:pPr>
        <w:adjustRightInd w:val="0"/>
        <w:snapToGrid w:val="0"/>
        <w:spacing w:line="360" w:lineRule="exact"/>
        <w:ind w:firstLine="241" w:firstLineChars="100"/>
        <w:jc w:val="left"/>
        <w:rPr>
          <w:rFonts w:ascii="宋体" w:hAnsi="宋体" w:eastAsia="宋体" w:cs="宋体"/>
          <w:b/>
          <w:sz w:val="24"/>
          <w:highlight w:val="none"/>
        </w:rPr>
      </w:pPr>
      <w:r>
        <w:rPr>
          <w:rFonts w:hint="eastAsia" w:ascii="宋体" w:hAnsi="宋体" w:eastAsia="宋体" w:cs="宋体"/>
          <w:b/>
          <w:sz w:val="24"/>
          <w:highlight w:val="none"/>
        </w:rPr>
        <w:t>（3）不符合法律、法规的；</w:t>
      </w:r>
    </w:p>
    <w:p>
      <w:pPr>
        <w:adjustRightInd w:val="0"/>
        <w:snapToGrid w:val="0"/>
        <w:spacing w:line="360" w:lineRule="exact"/>
        <w:ind w:firstLine="241" w:firstLineChars="100"/>
        <w:jc w:val="left"/>
        <w:rPr>
          <w:rFonts w:ascii="宋体" w:hAnsi="宋体" w:eastAsia="宋体" w:cs="宋体"/>
          <w:b/>
          <w:sz w:val="24"/>
          <w:highlight w:val="none"/>
        </w:rPr>
      </w:pPr>
      <w:r>
        <w:rPr>
          <w:rFonts w:hint="eastAsia" w:ascii="宋体" w:hAnsi="宋体" w:eastAsia="宋体" w:cs="宋体"/>
          <w:b/>
          <w:sz w:val="24"/>
          <w:highlight w:val="none"/>
        </w:rPr>
        <w:t>（4）不符合谈判文件中规定的实质性要求并且在谈判规定的时间内无法说明和补充的。</w:t>
      </w:r>
    </w:p>
    <w:p>
      <w:pPr>
        <w:adjustRightInd w:val="0"/>
        <w:snapToGrid w:val="0"/>
        <w:spacing w:line="360" w:lineRule="exact"/>
        <w:ind w:firstLine="241" w:firstLineChars="100"/>
        <w:jc w:val="left"/>
        <w:rPr>
          <w:rFonts w:ascii="宋体" w:hAnsi="宋体" w:eastAsia="宋体" w:cs="宋体"/>
          <w:b/>
          <w:sz w:val="24"/>
          <w:highlight w:val="none"/>
        </w:rPr>
      </w:pPr>
      <w:r>
        <w:rPr>
          <w:rFonts w:hint="eastAsia" w:ascii="宋体" w:hAnsi="宋体" w:eastAsia="宋体" w:cs="宋体"/>
          <w:b/>
          <w:sz w:val="24"/>
          <w:highlight w:val="none"/>
        </w:rPr>
        <w:t>（5）谈判响应文件的报价中出现品种、规格不符合采购人的采购需求的。</w:t>
      </w:r>
    </w:p>
    <w:p>
      <w:pPr>
        <w:pStyle w:val="8"/>
        <w:adjustRightInd w:val="0"/>
        <w:snapToGrid w:val="0"/>
        <w:spacing w:line="360" w:lineRule="exact"/>
        <w:ind w:firstLine="472" w:firstLineChars="196"/>
        <w:rPr>
          <w:rFonts w:hAnsi="宋体" w:eastAsia="宋体" w:cs="宋体"/>
          <w:b/>
          <w:sz w:val="24"/>
          <w:szCs w:val="24"/>
          <w:highlight w:val="none"/>
        </w:rPr>
      </w:pPr>
      <w:r>
        <w:rPr>
          <w:rFonts w:hint="eastAsia" w:hAnsi="宋体" w:eastAsia="宋体" w:cs="宋体"/>
          <w:b/>
          <w:sz w:val="24"/>
          <w:szCs w:val="24"/>
          <w:highlight w:val="none"/>
        </w:rPr>
        <w:t>13.2废止条款</w:t>
      </w:r>
    </w:p>
    <w:p>
      <w:pPr>
        <w:pStyle w:val="8"/>
        <w:adjustRightInd w:val="0"/>
        <w:snapToGrid w:val="0"/>
        <w:spacing w:line="360" w:lineRule="exact"/>
        <w:ind w:firstLine="472" w:firstLineChars="196"/>
        <w:rPr>
          <w:rFonts w:hAnsi="宋体" w:eastAsia="宋体" w:cs="宋体"/>
          <w:sz w:val="24"/>
          <w:szCs w:val="24"/>
          <w:highlight w:val="none"/>
        </w:rPr>
      </w:pPr>
      <w:r>
        <w:rPr>
          <w:rFonts w:hint="eastAsia" w:hAnsi="宋体" w:eastAsia="宋体" w:cs="宋体"/>
          <w:b/>
          <w:sz w:val="24"/>
          <w:szCs w:val="24"/>
          <w:highlight w:val="none"/>
        </w:rPr>
        <w:t>谈判采购项目出现下列情形之一的，谈判予以废止：</w:t>
      </w:r>
    </w:p>
    <w:p>
      <w:pPr>
        <w:adjustRightInd w:val="0"/>
        <w:snapToGrid w:val="0"/>
        <w:spacing w:line="360" w:lineRule="exact"/>
        <w:ind w:left="420" w:leftChars="200" w:firstLine="5" w:firstLineChars="2"/>
        <w:jc w:val="left"/>
        <w:rPr>
          <w:rFonts w:ascii="宋体" w:hAnsi="宋体" w:eastAsia="宋体" w:cs="宋体"/>
          <w:b/>
          <w:bCs/>
          <w:sz w:val="24"/>
          <w:highlight w:val="none"/>
        </w:rPr>
      </w:pPr>
      <w:r>
        <w:rPr>
          <w:rFonts w:hint="eastAsia" w:ascii="宋体" w:hAnsi="宋体" w:eastAsia="宋体" w:cs="宋体"/>
          <w:b/>
          <w:sz w:val="24"/>
          <w:highlight w:val="none"/>
        </w:rPr>
        <w:t>⑴出现影响采购公正的违法、违规行为的；</w:t>
      </w:r>
    </w:p>
    <w:p>
      <w:pPr>
        <w:pStyle w:val="8"/>
        <w:adjustRightInd w:val="0"/>
        <w:snapToGrid w:val="0"/>
        <w:spacing w:line="360" w:lineRule="exact"/>
        <w:ind w:firstLine="420"/>
        <w:rPr>
          <w:rFonts w:hAnsi="宋体" w:eastAsia="宋体" w:cs="宋体"/>
          <w:b/>
          <w:sz w:val="24"/>
          <w:szCs w:val="24"/>
          <w:highlight w:val="none"/>
        </w:rPr>
      </w:pPr>
      <w:r>
        <w:rPr>
          <w:rFonts w:hint="eastAsia" w:hAnsi="宋体" w:eastAsia="宋体" w:cs="宋体"/>
          <w:b/>
          <w:sz w:val="24"/>
          <w:szCs w:val="24"/>
          <w:highlight w:val="none"/>
        </w:rPr>
        <w:t>⑵谈判供应商的最终报价均超过了采购预算，采购人不能支付的；</w:t>
      </w:r>
    </w:p>
    <w:p>
      <w:pPr>
        <w:pStyle w:val="8"/>
        <w:adjustRightInd w:val="0"/>
        <w:snapToGrid w:val="0"/>
        <w:spacing w:line="360" w:lineRule="exact"/>
        <w:ind w:firstLine="420"/>
        <w:rPr>
          <w:rFonts w:hAnsi="宋体" w:eastAsia="宋体" w:cs="宋体"/>
          <w:b/>
          <w:sz w:val="24"/>
          <w:szCs w:val="24"/>
          <w:highlight w:val="none"/>
        </w:rPr>
      </w:pPr>
      <w:r>
        <w:rPr>
          <w:rFonts w:hint="eastAsia" w:hAnsi="宋体" w:eastAsia="宋体" w:cs="宋体"/>
          <w:b/>
          <w:sz w:val="24"/>
          <w:szCs w:val="24"/>
          <w:highlight w:val="none"/>
        </w:rPr>
        <w:t>⑶因重大变故，采购任务取消的。</w:t>
      </w:r>
    </w:p>
    <w:p>
      <w:pPr>
        <w:adjustRightInd w:val="0"/>
        <w:snapToGrid w:val="0"/>
        <w:spacing w:line="360" w:lineRule="exact"/>
        <w:ind w:firstLine="482" w:firstLineChars="200"/>
        <w:rPr>
          <w:rFonts w:ascii="宋体" w:hAnsi="宋体" w:eastAsia="宋体" w:cs="宋体"/>
          <w:b/>
          <w:sz w:val="24"/>
          <w:highlight w:val="none"/>
        </w:rPr>
      </w:pPr>
      <w:bookmarkStart w:id="55" w:name="_Toc19324"/>
      <w:r>
        <w:rPr>
          <w:rFonts w:hint="eastAsia" w:ascii="宋体" w:hAnsi="宋体" w:eastAsia="宋体" w:cs="宋体"/>
          <w:b/>
          <w:sz w:val="24"/>
          <w:highlight w:val="none"/>
        </w:rPr>
        <w:t>七.确定成交供应商办法</w:t>
      </w:r>
      <w:bookmarkEnd w:id="55"/>
    </w:p>
    <w:p>
      <w:pPr>
        <w:adjustRightInd w:val="0"/>
        <w:snapToGrid w:val="0"/>
        <w:spacing w:line="360" w:lineRule="exact"/>
        <w:ind w:firstLine="600" w:firstLineChars="250"/>
        <w:jc w:val="left"/>
        <w:rPr>
          <w:rFonts w:ascii="宋体" w:hAnsi="宋体" w:eastAsia="宋体" w:cs="宋体"/>
          <w:kern w:val="0"/>
          <w:sz w:val="24"/>
          <w:highlight w:val="none"/>
        </w:rPr>
      </w:pPr>
      <w:r>
        <w:rPr>
          <w:rFonts w:hint="eastAsia" w:ascii="宋体" w:hAnsi="宋体" w:eastAsia="宋体" w:cs="宋体"/>
          <w:kern w:val="0"/>
          <w:sz w:val="24"/>
          <w:highlight w:val="none"/>
        </w:rPr>
        <w:t>14.1 根据以下原则确定成交供应商：</w:t>
      </w:r>
    </w:p>
    <w:p>
      <w:pPr>
        <w:adjustRightInd w:val="0"/>
        <w:snapToGrid w:val="0"/>
        <w:spacing w:line="360" w:lineRule="exact"/>
        <w:ind w:firstLine="600" w:firstLineChars="250"/>
        <w:jc w:val="left"/>
        <w:rPr>
          <w:rFonts w:ascii="宋体" w:hAnsi="宋体" w:eastAsia="宋体" w:cs="宋体"/>
          <w:kern w:val="0"/>
          <w:sz w:val="24"/>
          <w:highlight w:val="none"/>
        </w:rPr>
      </w:pPr>
      <w:r>
        <w:rPr>
          <w:rFonts w:hint="eastAsia" w:ascii="宋体" w:hAnsi="宋体" w:eastAsia="宋体" w:cs="宋体"/>
          <w:kern w:val="0"/>
          <w:sz w:val="24"/>
          <w:highlight w:val="none"/>
        </w:rPr>
        <w:t>14.2质量和服务均能满足</w:t>
      </w:r>
      <w:r>
        <w:rPr>
          <w:rFonts w:hint="eastAsia" w:ascii="宋体" w:hAnsi="宋体" w:eastAsia="宋体" w:cs="宋体"/>
          <w:sz w:val="24"/>
          <w:highlight w:val="none"/>
        </w:rPr>
        <w:t>竞争性谈判文件</w:t>
      </w:r>
      <w:r>
        <w:rPr>
          <w:rFonts w:hint="eastAsia" w:ascii="宋体" w:hAnsi="宋体" w:eastAsia="宋体" w:cs="宋体"/>
          <w:kern w:val="0"/>
          <w:sz w:val="24"/>
          <w:highlight w:val="none"/>
        </w:rPr>
        <w:t>实质性响应要求的供应商中按最后报价最低的原则确定成交供应商。</w:t>
      </w:r>
    </w:p>
    <w:p>
      <w:pPr>
        <w:pStyle w:val="8"/>
        <w:adjustRightInd w:val="0"/>
        <w:snapToGrid w:val="0"/>
        <w:spacing w:line="360" w:lineRule="exact"/>
        <w:ind w:firstLine="472" w:firstLineChars="196"/>
        <w:rPr>
          <w:rFonts w:hAnsi="宋体" w:eastAsia="宋体" w:cs="宋体"/>
          <w:b/>
          <w:sz w:val="24"/>
          <w:szCs w:val="24"/>
          <w:highlight w:val="none"/>
        </w:rPr>
      </w:pPr>
      <w:bookmarkStart w:id="56" w:name="_Toc23831"/>
      <w:r>
        <w:rPr>
          <w:rFonts w:hint="eastAsia" w:hAnsi="宋体" w:eastAsia="宋体" w:cs="宋体"/>
          <w:b/>
          <w:sz w:val="24"/>
          <w:szCs w:val="24"/>
          <w:highlight w:val="none"/>
        </w:rPr>
        <w:t>八.成交公告</w:t>
      </w:r>
      <w:bookmarkEnd w:id="56"/>
    </w:p>
    <w:p>
      <w:pPr>
        <w:pStyle w:val="8"/>
        <w:adjustRightInd w:val="0"/>
        <w:snapToGrid w:val="0"/>
        <w:spacing w:line="360" w:lineRule="exact"/>
        <w:ind w:firstLine="420"/>
        <w:rPr>
          <w:rFonts w:hAnsi="宋体" w:eastAsia="宋体" w:cs="宋体"/>
          <w:sz w:val="24"/>
          <w:szCs w:val="24"/>
          <w:highlight w:val="none"/>
        </w:rPr>
      </w:pPr>
      <w:r>
        <w:rPr>
          <w:rFonts w:hint="eastAsia" w:hAnsi="宋体" w:eastAsia="宋体" w:cs="宋体"/>
          <w:sz w:val="24"/>
          <w:szCs w:val="24"/>
          <w:highlight w:val="none"/>
        </w:rPr>
        <w:t>15.1采购代理机构在评审结束后2个工作日内将谈判评审报告送采购人确认，</w:t>
      </w:r>
      <w:r>
        <w:rPr>
          <w:rFonts w:hint="eastAsia" w:hAnsi="宋体" w:eastAsia="宋体" w:cs="宋体"/>
          <w:kern w:val="0"/>
          <w:sz w:val="24"/>
          <w:szCs w:val="24"/>
          <w:highlight w:val="none"/>
        </w:rPr>
        <w:t>采购人</w:t>
      </w:r>
      <w:r>
        <w:rPr>
          <w:rFonts w:hint="eastAsia" w:hAnsi="宋体" w:eastAsia="宋体" w:cs="宋体"/>
          <w:sz w:val="24"/>
          <w:szCs w:val="24"/>
          <w:highlight w:val="none"/>
        </w:rPr>
        <w:t>确认后，成交公告将在中国政府采购网（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eastAsia="宋体" w:cs="宋体"/>
          <w:sz w:val="24"/>
          <w:szCs w:val="24"/>
          <w:highlight w:val="none"/>
        </w:rPr>
        <w:t>www.ccgp.gov.cn</w:t>
      </w:r>
      <w:r>
        <w:rPr>
          <w:rFonts w:hint="eastAsia" w:hAnsi="宋体" w:eastAsia="宋体" w:cs="宋体"/>
          <w:sz w:val="24"/>
          <w:szCs w:val="24"/>
          <w:highlight w:val="none"/>
        </w:rPr>
        <w:fldChar w:fldCharType="end"/>
      </w:r>
      <w:r>
        <w:rPr>
          <w:rFonts w:hint="eastAsia" w:hAnsi="宋体" w:eastAsia="宋体" w:cs="宋体"/>
          <w:sz w:val="24"/>
          <w:szCs w:val="24"/>
          <w:highlight w:val="none"/>
        </w:rPr>
        <w:t>） 、广西壮族自治区政府采购网（http://zfcg.gxzf.gov.cn/）上发布，</w:t>
      </w:r>
      <w:r>
        <w:rPr>
          <w:rFonts w:hint="eastAsia" w:hAnsi="宋体" w:eastAsia="宋体" w:cs="宋体"/>
          <w:kern w:val="0"/>
          <w:sz w:val="24"/>
          <w:szCs w:val="24"/>
          <w:highlight w:val="none"/>
        </w:rPr>
        <w:t>同时向成交供应商发出成交通知书</w:t>
      </w:r>
      <w:r>
        <w:rPr>
          <w:rFonts w:hint="eastAsia" w:hAnsi="宋体" w:eastAsia="宋体" w:cs="宋体"/>
          <w:sz w:val="24"/>
          <w:szCs w:val="24"/>
          <w:highlight w:val="none"/>
        </w:rPr>
        <w:t>。</w:t>
      </w:r>
    </w:p>
    <w:p>
      <w:pPr>
        <w:pStyle w:val="8"/>
        <w:adjustRightInd w:val="0"/>
        <w:snapToGrid w:val="0"/>
        <w:spacing w:line="360" w:lineRule="exact"/>
        <w:ind w:left="105" w:firstLine="315"/>
        <w:rPr>
          <w:rFonts w:hAnsi="宋体" w:eastAsia="宋体" w:cs="宋体"/>
          <w:bCs/>
          <w:sz w:val="24"/>
          <w:szCs w:val="24"/>
          <w:highlight w:val="none"/>
        </w:rPr>
      </w:pPr>
      <w:r>
        <w:rPr>
          <w:rFonts w:hint="eastAsia" w:hAnsi="宋体" w:eastAsia="宋体" w:cs="宋体"/>
          <w:sz w:val="24"/>
          <w:szCs w:val="24"/>
          <w:highlight w:val="none"/>
        </w:rPr>
        <w:t>15.2谈判供应商如对成交公告有异议，可</w:t>
      </w:r>
      <w:r>
        <w:rPr>
          <w:rFonts w:hint="eastAsia" w:hAnsi="宋体" w:eastAsia="宋体" w:cs="宋体"/>
          <w:bCs/>
          <w:sz w:val="24"/>
          <w:szCs w:val="24"/>
          <w:highlight w:val="none"/>
        </w:rPr>
        <w:t>以在成交公告期满之日起七个工作日内以书面形式向采购代理机构提出质疑。采购代理机构将在收到</w:t>
      </w:r>
      <w:r>
        <w:rPr>
          <w:rFonts w:hint="eastAsia" w:hAnsi="宋体" w:eastAsia="宋体" w:cs="宋体"/>
          <w:sz w:val="24"/>
          <w:szCs w:val="24"/>
          <w:highlight w:val="none"/>
        </w:rPr>
        <w:t>谈判供应商</w:t>
      </w:r>
      <w:r>
        <w:rPr>
          <w:rFonts w:hint="eastAsia" w:hAnsi="宋体" w:eastAsia="宋体" w:cs="宋体"/>
          <w:bCs/>
          <w:sz w:val="24"/>
          <w:szCs w:val="24"/>
          <w:highlight w:val="none"/>
        </w:rPr>
        <w:t>的书面质疑后七个工作日内做出答复，但答复的内容不得涉及商业秘密。</w:t>
      </w:r>
    </w:p>
    <w:p>
      <w:pPr>
        <w:pStyle w:val="8"/>
        <w:adjustRightInd w:val="0"/>
        <w:snapToGrid w:val="0"/>
        <w:spacing w:line="360" w:lineRule="exact"/>
        <w:ind w:firstLine="420"/>
        <w:rPr>
          <w:rFonts w:hAnsi="宋体" w:eastAsia="宋体" w:cs="宋体"/>
          <w:bCs/>
          <w:spacing w:val="-4"/>
          <w:sz w:val="24"/>
          <w:szCs w:val="24"/>
          <w:highlight w:val="none"/>
        </w:rPr>
      </w:pPr>
      <w:r>
        <w:rPr>
          <w:rFonts w:hint="eastAsia" w:hAnsi="宋体" w:eastAsia="宋体" w:cs="宋体"/>
          <w:sz w:val="24"/>
          <w:szCs w:val="24"/>
          <w:highlight w:val="none"/>
        </w:rPr>
        <w:t>15.3</w:t>
      </w:r>
      <w:r>
        <w:rPr>
          <w:rFonts w:hint="eastAsia" w:hAnsi="宋体" w:eastAsia="宋体" w:cs="宋体"/>
          <w:bCs/>
          <w:spacing w:val="-4"/>
          <w:sz w:val="24"/>
          <w:szCs w:val="24"/>
          <w:highlight w:val="none"/>
        </w:rPr>
        <w:t>质疑</w:t>
      </w:r>
      <w:r>
        <w:rPr>
          <w:rFonts w:hint="eastAsia" w:hAnsi="宋体" w:eastAsia="宋体" w:cs="宋体"/>
          <w:spacing w:val="-4"/>
          <w:sz w:val="24"/>
          <w:szCs w:val="24"/>
          <w:highlight w:val="none"/>
        </w:rPr>
        <w:t>谈判供应商</w:t>
      </w:r>
      <w:r>
        <w:rPr>
          <w:rFonts w:hint="eastAsia" w:hAnsi="宋体" w:eastAsia="宋体" w:cs="宋体"/>
          <w:bCs/>
          <w:spacing w:val="-4"/>
          <w:sz w:val="24"/>
          <w:szCs w:val="24"/>
          <w:highlight w:val="none"/>
        </w:rPr>
        <w:t>必须首先经过质疑程序，在对采购代理机构的答复</w:t>
      </w:r>
      <w:r>
        <w:rPr>
          <w:rFonts w:hint="eastAsia" w:hAnsi="宋体" w:eastAsia="宋体" w:cs="宋体"/>
          <w:bCs/>
          <w:spacing w:val="-4"/>
          <w:sz w:val="24"/>
          <w:szCs w:val="24"/>
          <w:highlight w:val="none"/>
        </w:rPr>
        <w:tab/>
      </w:r>
      <w:r>
        <w:rPr>
          <w:rFonts w:hint="eastAsia" w:hAnsi="宋体" w:eastAsia="宋体" w:cs="宋体"/>
          <w:bCs/>
          <w:spacing w:val="-4"/>
          <w:sz w:val="24"/>
          <w:szCs w:val="24"/>
          <w:highlight w:val="none"/>
        </w:rPr>
        <w:t>不满意或者采购代理机构未在规定的时间内做出答复的，可以在答复期满后十五个工作日内书面向本级政府采购监督管理部门投诉。</w:t>
      </w:r>
    </w:p>
    <w:p>
      <w:pPr>
        <w:pStyle w:val="8"/>
        <w:adjustRightInd w:val="0"/>
        <w:snapToGrid w:val="0"/>
        <w:spacing w:line="360" w:lineRule="exact"/>
        <w:ind w:firstLine="480" w:firstLineChars="200"/>
        <w:rPr>
          <w:rFonts w:hAnsi="宋体" w:eastAsia="宋体" w:cs="宋体"/>
          <w:bCs/>
          <w:sz w:val="24"/>
          <w:szCs w:val="24"/>
          <w:highlight w:val="none"/>
        </w:rPr>
      </w:pPr>
      <w:r>
        <w:rPr>
          <w:rFonts w:hint="eastAsia" w:hAnsi="宋体" w:eastAsia="宋体" w:cs="宋体"/>
          <w:bCs/>
          <w:sz w:val="24"/>
          <w:szCs w:val="24"/>
          <w:highlight w:val="none"/>
        </w:rPr>
        <w:t>质疑联系部门及电话为：天勤工程咨询有限公司      0779-3205762</w:t>
      </w:r>
    </w:p>
    <w:p>
      <w:pPr>
        <w:pStyle w:val="8"/>
        <w:adjustRightInd w:val="0"/>
        <w:snapToGrid w:val="0"/>
        <w:spacing w:line="360" w:lineRule="exact"/>
        <w:ind w:firstLine="480" w:firstLineChars="200"/>
        <w:rPr>
          <w:rFonts w:hAnsi="宋体" w:eastAsia="宋体" w:cs="宋体"/>
          <w:bCs/>
          <w:sz w:val="24"/>
          <w:szCs w:val="24"/>
          <w:highlight w:val="none"/>
        </w:rPr>
      </w:pPr>
      <w:r>
        <w:rPr>
          <w:rFonts w:hint="eastAsia" w:hAnsi="宋体" w:eastAsia="宋体" w:cs="宋体"/>
          <w:bCs/>
          <w:sz w:val="24"/>
          <w:szCs w:val="24"/>
          <w:highlight w:val="none"/>
        </w:rPr>
        <w:t>投诉联系部门及电话为：北海市财政局              0779-3063975</w:t>
      </w:r>
    </w:p>
    <w:p>
      <w:pPr>
        <w:adjustRightInd w:val="0"/>
        <w:snapToGrid w:val="0"/>
        <w:spacing w:line="360" w:lineRule="exact"/>
        <w:ind w:left="-61" w:leftChars="-29" w:firstLine="723" w:firstLineChars="300"/>
        <w:rPr>
          <w:rFonts w:ascii="宋体" w:hAnsi="宋体" w:eastAsia="宋体" w:cs="宋体"/>
          <w:b/>
          <w:spacing w:val="4"/>
          <w:sz w:val="24"/>
          <w:highlight w:val="none"/>
        </w:rPr>
      </w:pPr>
      <w:bookmarkStart w:id="57" w:name="_Toc3474"/>
      <w:r>
        <w:rPr>
          <w:rFonts w:hint="eastAsia" w:ascii="宋体" w:hAnsi="宋体" w:eastAsia="宋体" w:cs="宋体"/>
          <w:b/>
          <w:bCs/>
          <w:sz w:val="24"/>
          <w:highlight w:val="none"/>
        </w:rPr>
        <w:t>九.</w:t>
      </w:r>
      <w:r>
        <w:rPr>
          <w:rFonts w:hint="eastAsia" w:ascii="宋体" w:hAnsi="宋体" w:eastAsia="宋体" w:cs="宋体"/>
          <w:b/>
          <w:spacing w:val="4"/>
          <w:sz w:val="24"/>
          <w:highlight w:val="none"/>
        </w:rPr>
        <w:t>质量保证金</w:t>
      </w:r>
      <w:bookmarkEnd w:id="57"/>
      <w:r>
        <w:rPr>
          <w:rFonts w:hint="eastAsia" w:ascii="宋体" w:hAnsi="宋体" w:eastAsia="宋体" w:cs="宋体"/>
          <w:b/>
          <w:spacing w:val="4"/>
          <w:sz w:val="24"/>
          <w:highlight w:val="none"/>
        </w:rPr>
        <w:t>：</w:t>
      </w:r>
    </w:p>
    <w:p>
      <w:pPr>
        <w:snapToGrid w:val="0"/>
        <w:spacing w:line="360" w:lineRule="exact"/>
        <w:ind w:left="-61" w:leftChars="-29" w:firstLine="588" w:firstLineChars="245"/>
        <w:rPr>
          <w:rFonts w:ascii="宋体" w:hAnsi="宋体" w:eastAsia="宋体" w:cs="宋体"/>
          <w:spacing w:val="4"/>
          <w:sz w:val="24"/>
          <w:highlight w:val="none"/>
        </w:rPr>
      </w:pPr>
      <w:r>
        <w:rPr>
          <w:rFonts w:hint="eastAsia" w:ascii="宋体" w:hAnsi="宋体" w:eastAsia="宋体" w:cs="宋体"/>
          <w:bCs/>
          <w:sz w:val="24"/>
          <w:highlight w:val="none"/>
        </w:rPr>
        <w:t>1.</w:t>
      </w:r>
      <w:r>
        <w:rPr>
          <w:rFonts w:hint="eastAsia" w:asciiTheme="minorEastAsia" w:hAnsiTheme="minorEastAsia"/>
          <w:bCs/>
          <w:sz w:val="24"/>
          <w:highlight w:val="none"/>
        </w:rPr>
        <w:t>货物验收合格并交付正常使用后，质量保证金由采购人收取，质量保证金为合同金额的3%，待质量保证期过后采购人在五个工作日内一次性无息返还给成交供应商。</w:t>
      </w:r>
    </w:p>
    <w:p>
      <w:pPr>
        <w:snapToGrid w:val="0"/>
        <w:spacing w:line="360" w:lineRule="exact"/>
        <w:ind w:left="-61" w:leftChars="-29" w:firstLine="607" w:firstLineChars="245"/>
        <w:rPr>
          <w:rFonts w:ascii="宋体" w:hAnsi="宋体" w:eastAsia="宋体" w:cs="宋体"/>
          <w:sz w:val="24"/>
          <w:highlight w:val="none"/>
        </w:rPr>
      </w:pPr>
      <w:r>
        <w:rPr>
          <w:rFonts w:hint="eastAsia" w:ascii="宋体" w:hAnsi="宋体" w:eastAsia="宋体" w:cs="宋体"/>
          <w:spacing w:val="4"/>
          <w:sz w:val="24"/>
          <w:highlight w:val="none"/>
        </w:rPr>
        <w:t>2.质量保证金因其他原因被扣除，数额不足合同金额的</w:t>
      </w:r>
      <w:r>
        <w:rPr>
          <w:rFonts w:hint="eastAsia" w:ascii="宋体" w:hAnsi="宋体" w:eastAsia="宋体" w:cs="宋体"/>
          <w:spacing w:val="4"/>
          <w:sz w:val="24"/>
          <w:highlight w:val="none"/>
          <w:u w:val="single"/>
        </w:rPr>
        <w:t>3</w:t>
      </w:r>
      <w:r>
        <w:rPr>
          <w:rFonts w:hint="eastAsia" w:ascii="宋体" w:hAnsi="宋体" w:eastAsia="宋体" w:cs="宋体"/>
          <w:spacing w:val="4"/>
          <w:sz w:val="24"/>
          <w:highlight w:val="none"/>
        </w:rPr>
        <w:t>%的，乙方应及时补足。</w:t>
      </w:r>
    </w:p>
    <w:p>
      <w:pPr>
        <w:adjustRightInd w:val="0"/>
        <w:snapToGrid w:val="0"/>
        <w:spacing w:line="360" w:lineRule="exact"/>
        <w:ind w:firstLine="482" w:firstLineChars="200"/>
        <w:rPr>
          <w:rFonts w:ascii="宋体" w:hAnsi="宋体" w:eastAsia="宋体" w:cs="宋体"/>
          <w:b/>
          <w:sz w:val="24"/>
          <w:highlight w:val="none"/>
        </w:rPr>
      </w:pPr>
      <w:bookmarkStart w:id="58" w:name="_Toc25775"/>
      <w:r>
        <w:rPr>
          <w:rFonts w:hint="eastAsia" w:ascii="宋体" w:hAnsi="宋体" w:eastAsia="宋体" w:cs="宋体"/>
          <w:b/>
          <w:sz w:val="24"/>
          <w:highlight w:val="none"/>
        </w:rPr>
        <w:t>十.签订合同</w:t>
      </w:r>
      <w:bookmarkEnd w:id="58"/>
    </w:p>
    <w:p>
      <w:pPr>
        <w:adjustRightInd w:val="0"/>
        <w:snapToGrid w:val="0"/>
        <w:spacing w:line="360" w:lineRule="exact"/>
        <w:ind w:left="105" w:leftChars="50" w:firstLine="420" w:firstLineChars="175"/>
        <w:rPr>
          <w:rFonts w:ascii="宋体" w:hAnsi="宋体" w:eastAsia="宋体" w:cs="宋体"/>
          <w:sz w:val="24"/>
          <w:highlight w:val="none"/>
        </w:rPr>
      </w:pPr>
      <w:r>
        <w:rPr>
          <w:rFonts w:hint="eastAsia" w:ascii="宋体" w:hAnsi="宋体" w:eastAsia="宋体" w:cs="宋体"/>
          <w:sz w:val="24"/>
          <w:highlight w:val="none"/>
        </w:rPr>
        <w:t>17.1成交供应商自成交通知书发出之日起   日内与采购人签订政府采购合同。</w:t>
      </w:r>
    </w:p>
    <w:p>
      <w:pPr>
        <w:adjustRightInd w:val="0"/>
        <w:snapToGrid w:val="0"/>
        <w:spacing w:line="360" w:lineRule="exact"/>
        <w:ind w:firstLine="540" w:firstLineChars="225"/>
        <w:rPr>
          <w:rFonts w:ascii="宋体" w:hAnsi="宋体" w:eastAsia="宋体" w:cs="宋体"/>
          <w:sz w:val="24"/>
          <w:highlight w:val="none"/>
        </w:rPr>
      </w:pPr>
      <w:r>
        <w:rPr>
          <w:rFonts w:hint="eastAsia" w:ascii="宋体" w:hAnsi="宋体" w:eastAsia="宋体" w:cs="宋体"/>
          <w:sz w:val="24"/>
          <w:highlight w:val="none"/>
        </w:rPr>
        <w:t>17.2</w:t>
      </w:r>
      <w:r>
        <w:rPr>
          <w:rFonts w:hint="eastAsia" w:ascii="宋体" w:hAnsi="宋体" w:eastAsia="宋体" w:cs="宋体"/>
          <w:kern w:val="0"/>
          <w:sz w:val="24"/>
          <w:highlight w:val="none"/>
        </w:rPr>
        <w:t>成交供应商拒绝签订政府采购合同的</w:t>
      </w:r>
      <w:r>
        <w:rPr>
          <w:rFonts w:hint="eastAsia" w:ascii="宋体" w:hAnsi="宋体" w:eastAsia="宋体" w:cs="宋体"/>
          <w:sz w:val="24"/>
          <w:highlight w:val="none"/>
        </w:rPr>
        <w:t>，采购人可以根据谈判评审报告确定成交供应商之后排名第一的成交候选人</w:t>
      </w:r>
      <w:r>
        <w:rPr>
          <w:rFonts w:hint="eastAsia" w:ascii="宋体" w:hAnsi="宋体" w:eastAsia="宋体" w:cs="宋体"/>
          <w:kern w:val="0"/>
          <w:sz w:val="24"/>
          <w:highlight w:val="none"/>
        </w:rPr>
        <w:t>作为</w:t>
      </w:r>
      <w:r>
        <w:rPr>
          <w:rFonts w:hint="eastAsia" w:ascii="宋体" w:hAnsi="宋体" w:eastAsia="宋体" w:cs="宋体"/>
          <w:sz w:val="24"/>
          <w:highlight w:val="none"/>
        </w:rPr>
        <w:t>成交供应商</w:t>
      </w:r>
      <w:r>
        <w:rPr>
          <w:rFonts w:hint="eastAsia" w:ascii="宋体" w:hAnsi="宋体" w:eastAsia="宋体" w:cs="宋体"/>
          <w:kern w:val="0"/>
          <w:sz w:val="24"/>
          <w:highlight w:val="none"/>
        </w:rPr>
        <w:t>并签订政府采购合同，也可以重新开展采购活动。拒绝签订政府采购合同的成交供应商不得参加该项目重新开展的采购活动。</w:t>
      </w:r>
    </w:p>
    <w:p>
      <w:pPr>
        <w:adjustRightInd w:val="0"/>
        <w:snapToGrid w:val="0"/>
        <w:spacing w:line="360" w:lineRule="exact"/>
        <w:ind w:firstLine="480" w:firstLineChars="200"/>
        <w:rPr>
          <w:rFonts w:ascii="宋体" w:hAnsi="宋体" w:eastAsia="宋体" w:cs="宋体"/>
          <w:kern w:val="0"/>
          <w:sz w:val="24"/>
          <w:highlight w:val="none"/>
        </w:rPr>
      </w:pPr>
      <w:r>
        <w:rPr>
          <w:rFonts w:hint="eastAsia" w:ascii="宋体" w:hAnsi="宋体" w:eastAsia="宋体" w:cs="宋体"/>
          <w:bCs/>
          <w:sz w:val="24"/>
          <w:highlight w:val="none"/>
        </w:rPr>
        <w:t>17.3</w:t>
      </w:r>
      <w:r>
        <w:rPr>
          <w:rFonts w:hint="eastAsia" w:ascii="宋体" w:hAnsi="宋体" w:eastAsia="宋体" w:cs="宋体"/>
          <w:kern w:val="0"/>
          <w:sz w:val="24"/>
          <w:highlight w:val="none"/>
        </w:rPr>
        <w:t>成交供应商拒绝签订政府采购合同的，给采购人造成其损失的，还应当赔偿损失，并作为不良行为记录在案。</w:t>
      </w:r>
    </w:p>
    <w:p>
      <w:pPr>
        <w:adjustRightInd w:val="0"/>
        <w:snapToGrid w:val="0"/>
        <w:spacing w:line="360" w:lineRule="exact"/>
        <w:ind w:firstLine="482" w:firstLineChars="200"/>
        <w:rPr>
          <w:rFonts w:ascii="宋体" w:hAnsi="宋体" w:eastAsia="宋体" w:cs="宋体"/>
          <w:b/>
          <w:sz w:val="24"/>
          <w:highlight w:val="none"/>
        </w:rPr>
      </w:pPr>
      <w:bookmarkStart w:id="59" w:name="_Toc7263"/>
      <w:r>
        <w:rPr>
          <w:rFonts w:hint="eastAsia" w:ascii="宋体" w:hAnsi="宋体" w:eastAsia="宋体" w:cs="宋体"/>
          <w:b/>
          <w:sz w:val="24"/>
          <w:highlight w:val="none"/>
        </w:rPr>
        <w:t>十一、适用法律</w:t>
      </w:r>
      <w:bookmarkEnd w:id="59"/>
    </w:p>
    <w:p>
      <w:pPr>
        <w:adjustRightInd w:val="0"/>
        <w:snapToGrid w:val="0"/>
        <w:spacing w:line="360" w:lineRule="exact"/>
        <w:ind w:firstLine="600" w:firstLineChars="250"/>
        <w:rPr>
          <w:rFonts w:ascii="宋体" w:hAnsi="宋体" w:eastAsia="宋体" w:cs="宋体"/>
          <w:sz w:val="24"/>
          <w:highlight w:val="none"/>
        </w:rPr>
      </w:pPr>
      <w:r>
        <w:rPr>
          <w:rFonts w:hint="eastAsia" w:ascii="宋体" w:hAnsi="宋体" w:eastAsia="宋体" w:cs="宋体"/>
          <w:sz w:val="24"/>
          <w:highlight w:val="none"/>
        </w:rPr>
        <w:t>18.采购当事人的一切活动均适用于《中华人民共和国政府采购法》、《中华人民共和国政府采购法实施条例》和《政府采购非招标采购方式管理办法》等相关规定。最终谈判结束后，谈判小组不得再与谈判供应商进行任何形式的商谈。</w:t>
      </w:r>
    </w:p>
    <w:p>
      <w:pPr>
        <w:adjustRightInd w:val="0"/>
        <w:snapToGrid w:val="0"/>
        <w:spacing w:line="360" w:lineRule="exact"/>
        <w:ind w:firstLine="482" w:firstLineChars="200"/>
        <w:rPr>
          <w:rFonts w:ascii="宋体" w:hAnsi="宋体" w:eastAsia="宋体" w:cs="宋体"/>
          <w:b/>
          <w:sz w:val="24"/>
          <w:highlight w:val="none"/>
        </w:rPr>
      </w:pPr>
      <w:bookmarkStart w:id="60" w:name="_Toc6700"/>
      <w:r>
        <w:rPr>
          <w:rFonts w:hint="eastAsia" w:ascii="宋体" w:hAnsi="宋体" w:eastAsia="宋体" w:cs="宋体"/>
          <w:b/>
          <w:sz w:val="24"/>
          <w:highlight w:val="none"/>
        </w:rPr>
        <w:t>十二、其他事项</w:t>
      </w:r>
      <w:bookmarkEnd w:id="60"/>
    </w:p>
    <w:p>
      <w:pPr>
        <w:pStyle w:val="8"/>
        <w:adjustRightInd w:val="0"/>
        <w:snapToGrid w:val="0"/>
        <w:spacing w:line="360" w:lineRule="exact"/>
        <w:ind w:firstLine="480" w:firstLineChars="200"/>
        <w:rPr>
          <w:rFonts w:hAnsi="宋体"/>
          <w:spacing w:val="-4"/>
          <w:sz w:val="24"/>
          <w:highlight w:val="none"/>
        </w:rPr>
      </w:pPr>
      <w:r>
        <w:rPr>
          <w:rFonts w:hint="eastAsia" w:hAnsi="宋体" w:eastAsia="宋体" w:cs="宋体"/>
          <w:sz w:val="24"/>
          <w:highlight w:val="none"/>
        </w:rPr>
        <w:t>19.1采</w:t>
      </w:r>
      <w:r>
        <w:rPr>
          <w:rFonts w:hint="eastAsia" w:hAnsi="宋体" w:eastAsia="宋体" w:cs="宋体"/>
          <w:bCs/>
          <w:sz w:val="24"/>
          <w:highlight w:val="none"/>
        </w:rPr>
        <w:t>购代理服务费的收取</w:t>
      </w:r>
      <w:r>
        <w:rPr>
          <w:rFonts w:hint="eastAsia" w:hAnsi="宋体" w:eastAsia="宋体" w:cs="宋体"/>
          <w:b/>
          <w:sz w:val="24"/>
          <w:highlight w:val="none"/>
        </w:rPr>
        <w:t>。</w:t>
      </w:r>
      <w:r>
        <w:rPr>
          <w:rFonts w:hint="eastAsia" w:hAnsi="宋体"/>
          <w:spacing w:val="-4"/>
          <w:sz w:val="24"/>
          <w:highlight w:val="none"/>
        </w:rPr>
        <w:t>采购代理机构按《委托代理协议书》约定向成交供应商收取招标代理服务费。领取成交通知书前，成交供应商应向采购代理机构一次性付清招标代理服务费。代理服务收费标准，按照发改价格〔2015〕299号文件规定及桂价费(2011)534号文件规定“货物类”标准收费，不足3000元按3000元收取。</w:t>
      </w:r>
    </w:p>
    <w:p>
      <w:pPr>
        <w:pStyle w:val="8"/>
        <w:adjustRightInd w:val="0"/>
        <w:snapToGrid w:val="0"/>
        <w:spacing w:line="360" w:lineRule="exact"/>
        <w:ind w:firstLine="482" w:firstLineChars="200"/>
        <w:rPr>
          <w:rFonts w:hAnsi="宋体" w:eastAsia="宋体" w:cs="宋体"/>
          <w:bCs/>
          <w:sz w:val="24"/>
          <w:szCs w:val="24"/>
          <w:highlight w:val="none"/>
        </w:rPr>
      </w:pPr>
      <w:r>
        <w:rPr>
          <w:rFonts w:hint="eastAsia" w:hAnsi="宋体" w:eastAsia="宋体" w:cs="宋体"/>
          <w:b/>
          <w:sz w:val="24"/>
          <w:szCs w:val="24"/>
          <w:highlight w:val="none"/>
        </w:rPr>
        <w:t>19.2.解释权</w:t>
      </w:r>
    </w:p>
    <w:p>
      <w:pPr>
        <w:pStyle w:val="8"/>
        <w:adjustRightInd w:val="0"/>
        <w:snapToGrid w:val="0"/>
        <w:spacing w:line="360" w:lineRule="exact"/>
        <w:ind w:firstLine="464" w:firstLineChars="200"/>
        <w:rPr>
          <w:rFonts w:hAnsi="宋体" w:eastAsia="宋体" w:cs="宋体"/>
          <w:spacing w:val="-4"/>
          <w:sz w:val="24"/>
          <w:szCs w:val="24"/>
          <w:highlight w:val="none"/>
        </w:rPr>
      </w:pPr>
      <w:r>
        <w:rPr>
          <w:rFonts w:hint="eastAsia" w:hAnsi="宋体" w:eastAsia="宋体" w:cs="宋体"/>
          <w:spacing w:val="-4"/>
          <w:sz w:val="24"/>
          <w:szCs w:val="24"/>
          <w:highlight w:val="none"/>
        </w:rPr>
        <w:t>本</w:t>
      </w:r>
      <w:r>
        <w:rPr>
          <w:rFonts w:hint="eastAsia" w:hAnsi="宋体" w:eastAsia="宋体" w:cs="宋体"/>
          <w:sz w:val="24"/>
          <w:szCs w:val="24"/>
          <w:highlight w:val="none"/>
        </w:rPr>
        <w:t>竞争性谈判文件解</w:t>
      </w:r>
      <w:r>
        <w:rPr>
          <w:rFonts w:hint="eastAsia" w:hAnsi="宋体" w:eastAsia="宋体" w:cs="宋体"/>
          <w:spacing w:val="-4"/>
          <w:sz w:val="24"/>
          <w:szCs w:val="24"/>
          <w:highlight w:val="none"/>
        </w:rPr>
        <w:t>释权属采购代理机构。</w:t>
      </w:r>
    </w:p>
    <w:p>
      <w:pPr>
        <w:pStyle w:val="8"/>
        <w:adjustRightInd w:val="0"/>
        <w:snapToGrid w:val="0"/>
        <w:spacing w:line="360" w:lineRule="exact"/>
        <w:ind w:firstLine="472" w:firstLineChars="196"/>
        <w:rPr>
          <w:rFonts w:hAnsi="宋体" w:eastAsia="宋体" w:cs="宋体"/>
          <w:sz w:val="24"/>
          <w:szCs w:val="24"/>
          <w:highlight w:val="none"/>
        </w:rPr>
      </w:pPr>
      <w:r>
        <w:rPr>
          <w:rFonts w:hint="eastAsia" w:hAnsi="宋体" w:eastAsia="宋体" w:cs="宋体"/>
          <w:b/>
          <w:sz w:val="24"/>
          <w:szCs w:val="24"/>
          <w:highlight w:val="none"/>
        </w:rPr>
        <w:t>19.3.有关事宜</w:t>
      </w:r>
    </w:p>
    <w:p>
      <w:pPr>
        <w:pStyle w:val="8"/>
        <w:adjustRightInd w:val="0"/>
        <w:snapToGrid w:val="0"/>
        <w:spacing w:line="360" w:lineRule="exact"/>
        <w:ind w:firstLine="472" w:firstLineChars="197"/>
        <w:rPr>
          <w:rFonts w:hAnsi="宋体" w:eastAsia="宋体" w:cs="宋体"/>
          <w:sz w:val="24"/>
          <w:szCs w:val="24"/>
          <w:highlight w:val="none"/>
        </w:rPr>
      </w:pPr>
      <w:r>
        <w:rPr>
          <w:rFonts w:hint="eastAsia" w:hAnsi="宋体" w:eastAsia="宋体" w:cs="宋体"/>
          <w:sz w:val="24"/>
          <w:szCs w:val="24"/>
          <w:highlight w:val="none"/>
        </w:rPr>
        <w:t>所有与本竞争性谈判文件有关的函件请按下列通讯地址联系：</w:t>
      </w:r>
    </w:p>
    <w:p>
      <w:pPr>
        <w:pStyle w:val="8"/>
        <w:adjustRightInd w:val="0"/>
        <w:snapToGrid w:val="0"/>
        <w:spacing w:line="36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天勤工程咨询有限公司</w:t>
      </w:r>
    </w:p>
    <w:p>
      <w:pPr>
        <w:pStyle w:val="8"/>
        <w:tabs>
          <w:tab w:val="left" w:pos="1990"/>
        </w:tabs>
        <w:adjustRightInd w:val="0"/>
        <w:snapToGrid w:val="0"/>
        <w:spacing w:line="360" w:lineRule="exact"/>
        <w:ind w:firstLine="480" w:firstLineChars="200"/>
        <w:rPr>
          <w:rFonts w:hAnsi="宋体" w:eastAsia="宋体" w:cs="宋体"/>
          <w:sz w:val="24"/>
          <w:szCs w:val="24"/>
          <w:highlight w:val="none"/>
          <w:u w:val="single"/>
        </w:rPr>
      </w:pPr>
      <w:r>
        <w:rPr>
          <w:rFonts w:hint="eastAsia" w:hAnsi="宋体" w:eastAsia="宋体" w:cs="宋体"/>
          <w:sz w:val="24"/>
          <w:szCs w:val="24"/>
          <w:highlight w:val="none"/>
        </w:rPr>
        <w:t>邮政编码：536000</w:t>
      </w:r>
    </w:p>
    <w:p>
      <w:pPr>
        <w:pStyle w:val="8"/>
        <w:tabs>
          <w:tab w:val="left" w:pos="1990"/>
        </w:tabs>
        <w:adjustRightInd w:val="0"/>
        <w:snapToGrid w:val="0"/>
        <w:spacing w:line="360" w:lineRule="exact"/>
        <w:ind w:firstLine="480" w:firstLineChars="200"/>
        <w:rPr>
          <w:rFonts w:hAnsi="宋体" w:eastAsia="宋体" w:cs="宋体"/>
          <w:spacing w:val="-4"/>
          <w:sz w:val="24"/>
          <w:szCs w:val="24"/>
          <w:highlight w:val="none"/>
        </w:rPr>
      </w:pPr>
      <w:r>
        <w:rPr>
          <w:rFonts w:hint="eastAsia" w:hAnsi="宋体" w:eastAsia="宋体" w:cs="宋体"/>
          <w:sz w:val="24"/>
          <w:szCs w:val="24"/>
          <w:highlight w:val="none"/>
        </w:rPr>
        <w:t>通讯地址：</w:t>
      </w:r>
      <w:r>
        <w:rPr>
          <w:rFonts w:hint="eastAsia" w:hAnsi="宋体"/>
          <w:sz w:val="24"/>
          <w:szCs w:val="24"/>
          <w:highlight w:val="none"/>
        </w:rPr>
        <w:t>北海市广东路109号瀚宇国际大厦1幢0608-0612号</w:t>
      </w:r>
    </w:p>
    <w:p>
      <w:pPr>
        <w:pStyle w:val="8"/>
        <w:adjustRightInd w:val="0"/>
        <w:snapToGrid w:val="0"/>
        <w:spacing w:line="36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电    话：0779—3205762</w:t>
      </w:r>
    </w:p>
    <w:p>
      <w:pPr>
        <w:pStyle w:val="8"/>
        <w:tabs>
          <w:tab w:val="left" w:pos="1990"/>
        </w:tabs>
        <w:adjustRightInd w:val="0"/>
        <w:snapToGrid w:val="0"/>
        <w:spacing w:line="36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传    真：0779—3205761</w:t>
      </w:r>
    </w:p>
    <w:p>
      <w:pPr>
        <w:spacing w:line="340" w:lineRule="exact"/>
        <w:ind w:firstLine="482" w:firstLineChars="200"/>
        <w:jc w:val="center"/>
        <w:rPr>
          <w:rFonts w:ascii="宋体" w:hAnsi="宋体" w:eastAsia="宋体" w:cs="宋体"/>
          <w:b/>
          <w:sz w:val="24"/>
          <w:highlight w:val="none"/>
        </w:rPr>
      </w:pPr>
    </w:p>
    <w:p>
      <w:pPr>
        <w:widowControl/>
        <w:jc w:val="left"/>
        <w:rPr>
          <w:b/>
          <w:bCs/>
          <w:kern w:val="44"/>
          <w:sz w:val="44"/>
          <w:szCs w:val="44"/>
          <w:highlight w:val="none"/>
        </w:rPr>
      </w:pPr>
      <w:bookmarkStart w:id="61" w:name="_Toc405905874"/>
      <w:bookmarkStart w:id="62" w:name="_Toc32124"/>
      <w:bookmarkStart w:id="63" w:name="_Toc2011"/>
      <w:bookmarkStart w:id="64" w:name="_Toc24157"/>
      <w:r>
        <w:rPr>
          <w:highlight w:val="none"/>
        </w:rPr>
        <w:br w:type="page"/>
      </w:r>
      <w:bookmarkStart w:id="65" w:name="_Toc32358"/>
    </w:p>
    <w:p>
      <w:pPr>
        <w:pStyle w:val="3"/>
        <w:spacing w:before="240" w:after="120" w:line="560" w:lineRule="exact"/>
        <w:jc w:val="center"/>
        <w:rPr>
          <w:rFonts w:ascii="宋体" w:hAnsi="宋体" w:eastAsia="宋体" w:cs="宋体"/>
          <w:highlight w:val="none"/>
        </w:rPr>
      </w:pPr>
      <w:bookmarkStart w:id="66" w:name="_Toc6923306"/>
      <w:r>
        <w:rPr>
          <w:rFonts w:hint="eastAsia" w:ascii="宋体" w:hAnsi="宋体" w:eastAsia="宋体" w:cs="宋体"/>
          <w:highlight w:val="none"/>
        </w:rPr>
        <w:t>第三章  采购项目需求</w:t>
      </w:r>
      <w:bookmarkEnd w:id="61"/>
      <w:bookmarkEnd w:id="62"/>
      <w:bookmarkEnd w:id="63"/>
      <w:bookmarkEnd w:id="64"/>
      <w:bookmarkEnd w:id="65"/>
      <w:bookmarkEnd w:id="66"/>
    </w:p>
    <w:p>
      <w:pPr>
        <w:tabs>
          <w:tab w:val="left" w:pos="180"/>
          <w:tab w:val="left" w:pos="1620"/>
        </w:tabs>
        <w:adjustRightInd w:val="0"/>
        <w:snapToGrid w:val="0"/>
        <w:spacing w:line="360" w:lineRule="exact"/>
        <w:ind w:firstLine="420"/>
        <w:rPr>
          <w:rFonts w:hint="eastAsia" w:ascii="宋体" w:hAnsi="宋体" w:eastAsia="宋体" w:cs="宋体"/>
          <w:sz w:val="24"/>
          <w:highlight w:val="none"/>
          <w:u w:val="single"/>
          <w:lang w:eastAsia="zh-CN"/>
        </w:rPr>
      </w:pPr>
      <w:r>
        <w:rPr>
          <w:rFonts w:hint="eastAsia" w:ascii="宋体" w:hAnsi="宋体" w:eastAsia="宋体" w:cs="宋体"/>
          <w:sz w:val="24"/>
          <w:highlight w:val="none"/>
        </w:rPr>
        <w:t>一、项目编号：</w:t>
      </w:r>
      <w:r>
        <w:rPr>
          <w:rFonts w:hint="eastAsia" w:ascii="宋体" w:hAnsi="宋体" w:eastAsia="宋体" w:cs="宋体"/>
          <w:sz w:val="24"/>
          <w:highlight w:val="none"/>
          <w:lang w:eastAsia="zh-CN"/>
        </w:rPr>
        <w:t>BHZC2020-J1-00035-TQBH（重）</w:t>
      </w:r>
    </w:p>
    <w:p>
      <w:pPr>
        <w:tabs>
          <w:tab w:val="left" w:pos="180"/>
          <w:tab w:val="left" w:pos="1620"/>
        </w:tabs>
        <w:adjustRightInd w:val="0"/>
        <w:snapToGrid w:val="0"/>
        <w:spacing w:line="360" w:lineRule="exact"/>
        <w:ind w:firstLine="420"/>
        <w:rPr>
          <w:rFonts w:hint="eastAsia" w:ascii="宋体" w:hAnsi="宋体" w:eastAsia="宋体" w:cs="宋体"/>
          <w:sz w:val="24"/>
          <w:highlight w:val="none"/>
          <w:u w:val="single"/>
          <w:lang w:eastAsia="zh-CN"/>
        </w:rPr>
      </w:pPr>
      <w:r>
        <w:rPr>
          <w:rFonts w:hint="eastAsia" w:ascii="宋体" w:hAnsi="宋体" w:eastAsia="宋体" w:cs="宋体"/>
          <w:sz w:val="24"/>
          <w:highlight w:val="none"/>
        </w:rPr>
        <w:t>二、项目名称：</w:t>
      </w:r>
      <w:r>
        <w:rPr>
          <w:rFonts w:hint="eastAsia" w:ascii="宋体" w:hAnsi="宋体" w:eastAsia="宋体" w:cs="宋体"/>
          <w:sz w:val="24"/>
          <w:highlight w:val="none"/>
          <w:lang w:eastAsia="zh-CN"/>
        </w:rPr>
        <w:t>无人机智能化执法系统采购（重）</w:t>
      </w:r>
    </w:p>
    <w:p>
      <w:pPr>
        <w:tabs>
          <w:tab w:val="left" w:pos="180"/>
          <w:tab w:val="left" w:pos="1620"/>
        </w:tabs>
        <w:adjustRightInd w:val="0"/>
        <w:snapToGrid w:val="0"/>
        <w:spacing w:line="360" w:lineRule="exact"/>
        <w:ind w:firstLine="420"/>
        <w:rPr>
          <w:rFonts w:hint="eastAsia" w:eastAsiaTheme="minorEastAsia"/>
          <w:highlight w:val="none"/>
          <w:lang w:eastAsia="zh-CN"/>
        </w:rPr>
      </w:pPr>
      <w:r>
        <w:rPr>
          <w:rFonts w:hint="eastAsia" w:ascii="宋体" w:hAnsi="宋体" w:eastAsia="宋体" w:cs="宋体"/>
          <w:sz w:val="24"/>
          <w:highlight w:val="none"/>
        </w:rPr>
        <w:t>三、采购需求一览表</w:t>
      </w:r>
      <w:r>
        <w:rPr>
          <w:rFonts w:hint="eastAsia" w:ascii="宋体" w:hAnsi="宋体" w:eastAsia="宋体" w:cs="宋体"/>
          <w:sz w:val="24"/>
          <w:highlight w:val="none"/>
          <w:lang w:eastAsia="zh-CN"/>
        </w:rPr>
        <w:t>：</w:t>
      </w:r>
      <w:r>
        <w:rPr>
          <w:rFonts w:hint="eastAsia" w:ascii="宋体" w:hAnsi="宋体" w:eastAsia="宋体" w:cs="宋体"/>
          <w:b/>
          <w:bCs/>
          <w:sz w:val="24"/>
          <w:highlight w:val="none"/>
          <w:lang w:eastAsia="zh-CN"/>
        </w:rPr>
        <w:t>下表中的品牌型号、技术参数仅起参考作用，供应商可选用其他品牌型号替代，但这些替代的产品要实质上相当于或优于参考品牌型号及其技术参数性能（配置）要求。</w:t>
      </w:r>
    </w:p>
    <w:tbl>
      <w:tblPr>
        <w:tblStyle w:val="16"/>
        <w:tblW w:w="1065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5"/>
        <w:gridCol w:w="5220"/>
        <w:gridCol w:w="840"/>
        <w:gridCol w:w="132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b/>
                <w:color w:val="auto"/>
                <w:kern w:val="0"/>
                <w:sz w:val="22"/>
                <w:szCs w:val="22"/>
                <w:highlight w:val="none"/>
                <w:lang w:bidi="ar"/>
              </w:rPr>
              <w:t>序号</w:t>
            </w:r>
          </w:p>
        </w:tc>
        <w:tc>
          <w:tcPr>
            <w:tcW w:w="1425"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b/>
                <w:color w:val="auto"/>
                <w:kern w:val="0"/>
                <w:sz w:val="22"/>
                <w:szCs w:val="22"/>
                <w:highlight w:val="none"/>
                <w:lang w:bidi="ar"/>
              </w:rPr>
              <w:t>产品名称</w:t>
            </w:r>
          </w:p>
        </w:tc>
        <w:tc>
          <w:tcPr>
            <w:tcW w:w="522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b/>
                <w:color w:val="auto"/>
                <w:kern w:val="0"/>
                <w:sz w:val="22"/>
                <w:szCs w:val="22"/>
                <w:highlight w:val="none"/>
                <w:lang w:bidi="ar"/>
              </w:rPr>
              <w:t>参数</w:t>
            </w:r>
          </w:p>
        </w:tc>
        <w:tc>
          <w:tcPr>
            <w:tcW w:w="8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b/>
                <w:color w:val="auto"/>
                <w:kern w:val="0"/>
                <w:sz w:val="22"/>
                <w:szCs w:val="22"/>
                <w:highlight w:val="none"/>
                <w:lang w:bidi="ar"/>
              </w:rPr>
              <w:t>数量</w:t>
            </w:r>
          </w:p>
        </w:tc>
        <w:tc>
          <w:tcPr>
            <w:tcW w:w="132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b/>
                <w:color w:val="auto"/>
                <w:kern w:val="0"/>
                <w:sz w:val="22"/>
                <w:szCs w:val="22"/>
                <w:highlight w:val="none"/>
                <w:lang w:bidi="ar"/>
              </w:rPr>
              <w:t>单价（元）</w:t>
            </w:r>
          </w:p>
        </w:tc>
        <w:tc>
          <w:tcPr>
            <w:tcW w:w="1305"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b/>
                <w:color w:val="auto"/>
                <w:kern w:val="0"/>
                <w:sz w:val="22"/>
                <w:szCs w:val="22"/>
                <w:highlight w:val="none"/>
                <w:lang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1</w:t>
            </w:r>
          </w:p>
        </w:tc>
        <w:tc>
          <w:tcPr>
            <w:tcW w:w="1425"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智能无人机</w:t>
            </w:r>
          </w:p>
        </w:tc>
        <w:tc>
          <w:tcPr>
            <w:tcW w:w="5220" w:type="dxa"/>
            <w:vAlign w:val="center"/>
          </w:tcPr>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★起飞重量（无配件）:≤910g</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★尺寸（长×宽×高）:≤250×100×100mm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对角线轴距:≤360 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最大上升速度:≥5 m/s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最大下降速度:≥3 m/s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最大水平飞行速度:≥72km/h</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最大飞行海拔高度:≥6000 米</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最大信号有效距离（无干扰、无遮挡）:≥8km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最长飞行时间:≥31 分钟</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最大可抗风速:≥5级风</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工作环境温度:范围≥-10°C 至 40°C</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GNSS:支持GPS+GLONASS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GPS定位悬停精度:垂直≤0.5 m，水平≤1.5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视觉定位悬停精度:垂直≤0.1 m，水平≤0.3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机载内存:≥24GB</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图传加密:为保证数据安全，图传链路需通过AES-256技术进行加密</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降落地形检测功能:支持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飞行器自检功能:支持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低电量自动返航:支持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信号丢失自动返航:支持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全向感知系统:支持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前方最大可探测范围:≥40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后方最大可探测范围:≥32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上方最大可探测范围:≥8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下方最大可探测范围:≥22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左右最大可探测范围:≥10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★红外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照片分辨率:≥160*120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★灵敏度:≥50mK(0.050°C)</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录像分辨率:≥640*360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场景动态范围:高增益模式：- 10°to +140°C，低增益模式：- 10°to +400°C</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测温方式:全局测温，区域测温</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★可见光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★影像传感器:1/2.3英寸CMOS，有效像素≥1200万</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★镜头:等效焦距：24mm，光圈：f/2.8</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★最大照片尺寸:≥4056×3040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★录像分辨率:≥3840×2160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视频最大码流:≥100Mbps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软件功能</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★最大实时图传质量:≥1080p</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★实时图传最大码率:≥40Mbps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★密码保护:支持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★时间戳水印:支持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★GPS位置水印:支持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★ADS-B功能:支持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★红外融合:支持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智能飞行电池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容量:≥3850 mAh</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工作温度:范围≥-10℃到40℃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电池自动加热:支持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加热温度:范围≥-20℃到6℃</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探照灯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外形尺寸:≤68×60×41mm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工作范围:≥30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最大功率:≥26W</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最大照度:≥11lux</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夜航灯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外形尺寸:≤68mm×40mm×27.8mm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功率:≥1.6W</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最大工作范围:≥5000 米</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喊话器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外形尺寸:≤68×55×65 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最大功率:≥10W</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分贝:≥100dB</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码流:≥16kbps  </w:t>
            </w:r>
          </w:p>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★标配：</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1.闪迪128GTF卡1张/台</w:t>
            </w:r>
          </w:p>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2.三网4G无线路由器车载移动随身上网卡设备（含一年累计流量套餐包）</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3.</w:t>
            </w:r>
            <w:r>
              <w:rPr>
                <w:rFonts w:hint="eastAsia"/>
                <w:color w:val="auto"/>
                <w:highlight w:val="none"/>
              </w:rPr>
              <w:t xml:space="preserve"> </w:t>
            </w:r>
            <w:r>
              <w:rPr>
                <w:rFonts w:hint="eastAsia" w:asciiTheme="minorEastAsia" w:hAnsiTheme="minorEastAsia" w:cstheme="minorEastAsia"/>
                <w:color w:val="auto"/>
                <w:kern w:val="0"/>
                <w:sz w:val="22"/>
                <w:szCs w:val="22"/>
                <w:highlight w:val="none"/>
                <w:lang w:bidi="ar"/>
              </w:rPr>
              <w:t>1年有效期保障额度14000RMB内无限次数置免费置换，并提供备用机服务，）</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4.保额1</w:t>
            </w:r>
            <w:r>
              <w:rPr>
                <w:rFonts w:asciiTheme="minorEastAsia" w:hAnsiTheme="minorEastAsia" w:cstheme="minorEastAsia"/>
                <w:color w:val="auto"/>
                <w:kern w:val="0"/>
                <w:sz w:val="22"/>
                <w:szCs w:val="22"/>
                <w:highlight w:val="none"/>
                <w:lang w:bidi="ar"/>
              </w:rPr>
              <w:t>00</w:t>
            </w:r>
            <w:r>
              <w:rPr>
                <w:rFonts w:hint="eastAsia" w:asciiTheme="minorEastAsia" w:hAnsiTheme="minorEastAsia" w:cstheme="minorEastAsia"/>
                <w:color w:val="auto"/>
                <w:kern w:val="0"/>
                <w:sz w:val="22"/>
                <w:szCs w:val="22"/>
                <w:highlight w:val="none"/>
                <w:lang w:bidi="ar"/>
              </w:rPr>
              <w:t>万第三者险</w:t>
            </w:r>
            <w:r>
              <w:rPr>
                <w:rFonts w:asciiTheme="minorEastAsia" w:hAnsiTheme="minorEastAsia" w:cstheme="minorEastAsia"/>
                <w:color w:val="auto"/>
                <w:kern w:val="0"/>
                <w:sz w:val="22"/>
                <w:szCs w:val="22"/>
                <w:highlight w:val="none"/>
                <w:lang w:bidi="ar"/>
              </w:rPr>
              <w:t>1</w:t>
            </w:r>
            <w:r>
              <w:rPr>
                <w:rFonts w:hint="eastAsia" w:asciiTheme="minorEastAsia" w:hAnsiTheme="minorEastAsia" w:cstheme="minorEastAsia"/>
                <w:color w:val="auto"/>
                <w:kern w:val="0"/>
                <w:sz w:val="22"/>
                <w:szCs w:val="22"/>
                <w:highlight w:val="none"/>
                <w:lang w:bidi="ar"/>
              </w:rPr>
              <w:t>年</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5.全能配件包（2 块智能飞行电池，车载充电器，电池管家，电池-充电宝转换器，降噪螺旋桨，单肩包）</w:t>
            </w:r>
          </w:p>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6</w:t>
            </w:r>
            <w:r>
              <w:rPr>
                <w:rFonts w:asciiTheme="minorEastAsia" w:hAnsiTheme="minorEastAsia" w:cstheme="minorEastAsia"/>
                <w:color w:val="auto"/>
                <w:kern w:val="0"/>
                <w:sz w:val="22"/>
                <w:szCs w:val="22"/>
                <w:highlight w:val="none"/>
                <w:lang w:bidi="ar"/>
              </w:rPr>
              <w:t>.</w:t>
            </w:r>
            <w:r>
              <w:rPr>
                <w:rFonts w:hint="eastAsia" w:asciiTheme="minorEastAsia" w:hAnsiTheme="minorEastAsia" w:cstheme="minorEastAsia"/>
                <w:color w:val="auto"/>
                <w:kern w:val="0"/>
                <w:sz w:val="22"/>
                <w:szCs w:val="22"/>
                <w:highlight w:val="none"/>
                <w:lang w:bidi="ar"/>
              </w:rPr>
              <w:t>原配智能飞行电池1套</w:t>
            </w:r>
          </w:p>
          <w:p>
            <w:pPr>
              <w:widowControl/>
              <w:jc w:val="left"/>
              <w:textAlignment w:val="center"/>
              <w:rPr>
                <w:rFonts w:asciiTheme="minorEastAsia" w:hAnsiTheme="minorEastAsia" w:cstheme="minorEastAsia"/>
                <w:color w:val="auto"/>
                <w:kern w:val="0"/>
                <w:sz w:val="22"/>
                <w:szCs w:val="22"/>
                <w:highlight w:val="none"/>
                <w:lang w:bidi="ar"/>
              </w:rPr>
            </w:pPr>
            <w:r>
              <w:rPr>
                <w:rFonts w:asciiTheme="minorEastAsia" w:hAnsiTheme="minorEastAsia" w:cstheme="minorEastAsia"/>
                <w:color w:val="auto"/>
                <w:kern w:val="0"/>
                <w:sz w:val="22"/>
                <w:szCs w:val="22"/>
                <w:highlight w:val="none"/>
                <w:lang w:bidi="ar"/>
              </w:rPr>
              <w:t>7</w:t>
            </w:r>
            <w:r>
              <w:rPr>
                <w:rFonts w:hint="eastAsia" w:asciiTheme="minorEastAsia" w:hAnsiTheme="minorEastAsia" w:cstheme="minorEastAsia"/>
                <w:color w:val="auto"/>
                <w:kern w:val="0"/>
                <w:sz w:val="22"/>
                <w:szCs w:val="22"/>
                <w:highlight w:val="none"/>
                <w:lang w:bidi="ar"/>
              </w:rPr>
              <w:t>.带屏显示器1个，探照灯1个，夜航灯1个，喊话器1个 。                                           ★响应文件中提供由国家认可的检测（验）机构出具 的符合 Q/DJI 001-2017 企业标准要求的检测（验）报告复印件， 加盖供应商公章。                                                               ★为保证产品正品行货，投标人须是原厂授权经销商，提供本设备1年完全免费的售后服务：包括400等电话支持及(7x24) 4小时上门服务，为保证产品为正品须开具生产厂家服务承诺书，提供3人以上取得UTC或AOPA证书持证教员进行培训支持，签订合同前需出具原件。</w:t>
            </w:r>
          </w:p>
        </w:tc>
        <w:tc>
          <w:tcPr>
            <w:tcW w:w="8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2</w:t>
            </w:r>
          </w:p>
        </w:tc>
        <w:tc>
          <w:tcPr>
            <w:tcW w:w="132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 xml:space="preserve">37499.50 </w:t>
            </w:r>
          </w:p>
        </w:tc>
        <w:tc>
          <w:tcPr>
            <w:tcW w:w="1305"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74999</w:t>
            </w:r>
            <w:r>
              <w:rPr>
                <w:rFonts w:hint="eastAsia" w:asciiTheme="minorEastAsia" w:hAnsiTheme="minorEastAsia" w:cstheme="minorEastAsia"/>
                <w:color w:val="auto"/>
                <w:kern w:val="0"/>
                <w:sz w:val="22"/>
                <w:szCs w:val="22"/>
                <w:highlight w:val="none"/>
                <w:lang w:val="en-US" w:eastAsia="zh-CN" w:bidi="ar"/>
              </w:rPr>
              <w:t>.00</w:t>
            </w:r>
            <w:r>
              <w:rPr>
                <w:rFonts w:hint="eastAsia" w:asciiTheme="minorEastAsia" w:hAnsiTheme="minorEastAsia" w:cstheme="minorEastAsia"/>
                <w:color w:val="auto"/>
                <w:kern w:val="0"/>
                <w:sz w:val="22"/>
                <w:szCs w:val="22"/>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5" w:hRule="atLeast"/>
        </w:trPr>
        <w:tc>
          <w:tcPr>
            <w:tcW w:w="5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2</w:t>
            </w:r>
          </w:p>
        </w:tc>
        <w:tc>
          <w:tcPr>
            <w:tcW w:w="1425"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智能无人机</w:t>
            </w:r>
          </w:p>
        </w:tc>
        <w:tc>
          <w:tcPr>
            <w:tcW w:w="5220" w:type="dxa"/>
            <w:vAlign w:val="center"/>
          </w:tcPr>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★起飞重量（无配件）≤910g</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★尺寸（长×宽×高）:≤250×100×100mm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对角线轴距 ≤360 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最大上升速度 ≥5 m/s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最大下降速度 ≥3 m/s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最大水平飞行速度 ≥72km/h</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最大飞行海拔高度 ≥6000 米</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最大控制距离 ≥8km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最长飞行时间 ≥31 分钟</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最大可抗风速 ≥5级风</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工作环境温度 范围≥-10°C 至 40°C</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GNSS 支持GPS+GLONASS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GPS定位悬停精度绝对值 垂直≤0.5 m，水平≤1.5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视觉定位悬停精度绝对值 垂直≤0.1 m，水平≤0.3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机载内存 ≥24GB</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一键全景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图传加密 为保证数据安全，图传链路需通过AES-256技术进行加密</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降落地形检测功能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飞行器自检功能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低电量自动返航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信号丢失自动返航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全向感知系统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前方最大可探测范围 ≥40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后方最大可探测范围 ≥32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上方最大可探测范围 ≥8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下方最大可探测范围 ≥22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左右最大可探测范围 ≥10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云台相机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稳定系统 支持3 轴机械云台（俯仰、横滚、平移）</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角度抖动量 ≤0.005°</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★影像传感器 1/2.3英寸CMOS；有效像素1200万</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★光学变焦 ≥2倍</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★数码变焦 ≥3倍</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俯仰范围 范围≥-90°至+30°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光圈 范围≥f/2.8（24mm）-f/3.8（48mm）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★最大照片尺寸 ≥4000×3000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★最大录像分辨率 ≥3840×2160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视频最大码流 ≥100Mbps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软件功能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★最大实时图传质量 ≥1080p</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★实时图传最大码率 ≥40Mbps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★密码保护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★时间戳水印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★GPS位置水印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★ADS-B功能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智能飞行电池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容量 ≥3850 mAh</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工作温度 范围≥-10℃到40℃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电池自动加热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加热温度 范围≥-20℃到6℃</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探照灯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外形尺寸 ≤68×60×41mm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工作范围 ≥30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最大功率 ≥26W</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最大照度 ≥11lux</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夜航灯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外形尺寸 ≤68mm×40mm×27.8mm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功率 ≥1.6W</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最大工作范围 ≥5000 米</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喊话器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外形尺寸 ≤68×55×65 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最大功率 ≥10W</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分贝 ≥100dB</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码流 ≥16kbps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★标配：</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1.闪迪128GTF卡1张/台</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2.三网4G无线路由器车载移动随身上网卡设备（含一年累计流量套餐包）</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3.</w:t>
            </w:r>
            <w:r>
              <w:rPr>
                <w:rFonts w:hint="eastAsia"/>
                <w:color w:val="auto"/>
                <w:highlight w:val="none"/>
              </w:rPr>
              <w:t xml:space="preserve"> </w:t>
            </w:r>
            <w:r>
              <w:rPr>
                <w:rFonts w:hint="eastAsia" w:asciiTheme="minorEastAsia" w:hAnsiTheme="minorEastAsia" w:cstheme="minorEastAsia"/>
                <w:color w:val="auto"/>
                <w:kern w:val="0"/>
                <w:sz w:val="22"/>
                <w:szCs w:val="22"/>
                <w:highlight w:val="none"/>
                <w:lang w:bidi="ar"/>
              </w:rPr>
              <w:t>1年有效期保障额度14000RMB内无限次数置免费置换，并提供备用机服务，）</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4.保额1</w:t>
            </w:r>
            <w:r>
              <w:rPr>
                <w:rFonts w:asciiTheme="minorEastAsia" w:hAnsiTheme="minorEastAsia" w:cstheme="minorEastAsia"/>
                <w:color w:val="auto"/>
                <w:kern w:val="0"/>
                <w:sz w:val="22"/>
                <w:szCs w:val="22"/>
                <w:highlight w:val="none"/>
                <w:lang w:bidi="ar"/>
              </w:rPr>
              <w:t>00</w:t>
            </w:r>
            <w:r>
              <w:rPr>
                <w:rFonts w:hint="eastAsia" w:asciiTheme="minorEastAsia" w:hAnsiTheme="minorEastAsia" w:cstheme="minorEastAsia"/>
                <w:color w:val="auto"/>
                <w:kern w:val="0"/>
                <w:sz w:val="22"/>
                <w:szCs w:val="22"/>
                <w:highlight w:val="none"/>
                <w:lang w:bidi="ar"/>
              </w:rPr>
              <w:t>万第三者险</w:t>
            </w:r>
            <w:r>
              <w:rPr>
                <w:rFonts w:asciiTheme="minorEastAsia" w:hAnsiTheme="minorEastAsia" w:cstheme="minorEastAsia"/>
                <w:color w:val="auto"/>
                <w:kern w:val="0"/>
                <w:sz w:val="22"/>
                <w:szCs w:val="22"/>
                <w:highlight w:val="none"/>
                <w:lang w:bidi="ar"/>
              </w:rPr>
              <w:t>1</w:t>
            </w:r>
            <w:r>
              <w:rPr>
                <w:rFonts w:hint="eastAsia" w:asciiTheme="minorEastAsia" w:hAnsiTheme="minorEastAsia" w:cstheme="minorEastAsia"/>
                <w:color w:val="auto"/>
                <w:kern w:val="0"/>
                <w:sz w:val="22"/>
                <w:szCs w:val="22"/>
                <w:highlight w:val="none"/>
                <w:lang w:bidi="ar"/>
              </w:rPr>
              <w:t>年</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5.全能配件包（2 块智能飞行电池，车载充电器，电池管家，电池-充电宝转换器，降噪螺旋桨，单肩包）</w:t>
            </w:r>
          </w:p>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6</w:t>
            </w:r>
            <w:r>
              <w:rPr>
                <w:rFonts w:asciiTheme="minorEastAsia" w:hAnsiTheme="minorEastAsia" w:cstheme="minorEastAsia"/>
                <w:color w:val="auto"/>
                <w:kern w:val="0"/>
                <w:sz w:val="22"/>
                <w:szCs w:val="22"/>
                <w:highlight w:val="none"/>
                <w:lang w:bidi="ar"/>
              </w:rPr>
              <w:t>.</w:t>
            </w:r>
            <w:r>
              <w:rPr>
                <w:rFonts w:hint="eastAsia" w:asciiTheme="minorEastAsia" w:hAnsiTheme="minorEastAsia" w:cstheme="minorEastAsia"/>
                <w:color w:val="auto"/>
                <w:kern w:val="0"/>
                <w:sz w:val="22"/>
                <w:szCs w:val="22"/>
                <w:highlight w:val="none"/>
                <w:lang w:bidi="ar"/>
              </w:rPr>
              <w:t>原配智能飞行电池1套</w:t>
            </w:r>
          </w:p>
          <w:p>
            <w:pPr>
              <w:widowControl/>
              <w:jc w:val="left"/>
              <w:textAlignment w:val="center"/>
              <w:rPr>
                <w:rFonts w:asciiTheme="minorEastAsia" w:hAnsiTheme="minorEastAsia" w:cstheme="minorEastAsia"/>
                <w:color w:val="auto"/>
                <w:kern w:val="0"/>
                <w:sz w:val="22"/>
                <w:szCs w:val="22"/>
                <w:highlight w:val="none"/>
                <w:lang w:bidi="ar"/>
              </w:rPr>
            </w:pPr>
            <w:r>
              <w:rPr>
                <w:rFonts w:asciiTheme="minorEastAsia" w:hAnsiTheme="minorEastAsia" w:cstheme="minorEastAsia"/>
                <w:color w:val="auto"/>
                <w:kern w:val="0"/>
                <w:sz w:val="22"/>
                <w:szCs w:val="22"/>
                <w:highlight w:val="none"/>
                <w:lang w:bidi="ar"/>
              </w:rPr>
              <w:t>7</w:t>
            </w:r>
            <w:r>
              <w:rPr>
                <w:rFonts w:hint="eastAsia" w:asciiTheme="minorEastAsia" w:hAnsiTheme="minorEastAsia" w:cstheme="minorEastAsia"/>
                <w:color w:val="auto"/>
                <w:kern w:val="0"/>
                <w:sz w:val="22"/>
                <w:szCs w:val="22"/>
                <w:highlight w:val="none"/>
                <w:lang w:bidi="ar"/>
              </w:rPr>
              <w:t xml:space="preserve">.带屏显示器1个，探照灯1个，夜航灯1个，喊话器1个 。    </w:t>
            </w:r>
          </w:p>
          <w:p>
            <w:pPr>
              <w:widowControl/>
              <w:jc w:val="left"/>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★为保证操作实况清晰，投标时需提供业务功能截图、操作流程拓朴图截图盖章。</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★为保证产品正品行货，投标人须是原厂授权经销商，提供本设备1年完全免费的售后服务：包括400等电话支持及(7x24) 4小时上门服务，为保证产品为正品须开具生产厂家服务承诺书，提供3人以上取得UTC或AOPA证书持证教员进行培训支持，签订合同前需出具原件。供货时产品应国家安全防范报警系统质量检验中心1940978认证证书方可验收。</w:t>
            </w:r>
          </w:p>
        </w:tc>
        <w:tc>
          <w:tcPr>
            <w:tcW w:w="8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2</w:t>
            </w:r>
          </w:p>
        </w:tc>
        <w:tc>
          <w:tcPr>
            <w:tcW w:w="132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31590</w:t>
            </w:r>
            <w:r>
              <w:rPr>
                <w:rFonts w:hint="eastAsia" w:asciiTheme="minorEastAsia" w:hAnsiTheme="minorEastAsia" w:cstheme="minorEastAsia"/>
                <w:color w:val="auto"/>
                <w:kern w:val="0"/>
                <w:sz w:val="22"/>
                <w:szCs w:val="22"/>
                <w:highlight w:val="none"/>
                <w:lang w:val="en-US" w:eastAsia="zh-CN" w:bidi="ar"/>
              </w:rPr>
              <w:t>.00</w:t>
            </w:r>
            <w:r>
              <w:rPr>
                <w:rFonts w:hint="eastAsia" w:asciiTheme="minorEastAsia" w:hAnsiTheme="minorEastAsia" w:cstheme="minorEastAsia"/>
                <w:color w:val="auto"/>
                <w:kern w:val="0"/>
                <w:sz w:val="22"/>
                <w:szCs w:val="22"/>
                <w:highlight w:val="none"/>
                <w:lang w:bidi="ar"/>
              </w:rPr>
              <w:t xml:space="preserve"> </w:t>
            </w:r>
          </w:p>
        </w:tc>
        <w:tc>
          <w:tcPr>
            <w:tcW w:w="1305" w:type="dxa"/>
            <w:vAlign w:val="center"/>
          </w:tcPr>
          <w:p>
            <w:pPr>
              <w:widowControl/>
              <w:jc w:val="center"/>
              <w:textAlignment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cstheme="minorEastAsia"/>
                <w:color w:val="auto"/>
                <w:kern w:val="0"/>
                <w:sz w:val="22"/>
                <w:szCs w:val="22"/>
                <w:highlight w:val="none"/>
                <w:lang w:bidi="ar"/>
              </w:rPr>
              <w:t>63180</w:t>
            </w:r>
            <w:r>
              <w:rPr>
                <w:rFonts w:hint="eastAsia" w:asciiTheme="minorEastAsia" w:hAnsiTheme="minorEastAsia" w:cstheme="minorEastAsia"/>
                <w:color w:val="auto"/>
                <w:kern w:val="0"/>
                <w:sz w:val="22"/>
                <w:szCs w:val="22"/>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3</w:t>
            </w:r>
          </w:p>
        </w:tc>
        <w:tc>
          <w:tcPr>
            <w:tcW w:w="1425"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智能无人机</w:t>
            </w:r>
          </w:p>
        </w:tc>
        <w:tc>
          <w:tcPr>
            <w:tcW w:w="5220" w:type="dxa"/>
            <w:vAlign w:val="center"/>
          </w:tcPr>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★轴距 ≤350mm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★重量(含电池和桨叶) ≤1400g</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★GPS悬停精度 垂直≤0.5 m，水平≤1.5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视觉系统悬停精度 垂直≤0.1 m，水平≤0.3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★RTK悬停精度 垂直≤0.1 m，水平≤0.1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最大上升速度 ≥6 m/s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最大下降速度 ≥3 m/s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最大水平飞行速度 ≥58 km/h</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最大飞行海拔高度 ≥6000 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★最大可承受风速 ≥10 m/s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★最长飞行时间（空载、大容量电池） ≥30分钟</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★工作环境温度 范围≥0°C 至 40° C</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机体外观 外观完整一体</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单人作业前准备时间 &lt;3min</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单人更换螺旋桨时间 &lt;1min</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前视视觉系统 飞行器支持前视视觉系统，可探测前方30米距离以内的障碍物。</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后视视觉系统 飞行器支持后视视觉系统，可探测后方30米距离以内的障碍物。</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下视视觉系统 飞行器支持下视视觉定位系统，可探测下方10米以内的障碍物；</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红外感知系统 支持机身两侧红外感知系统，可探测两侧7米以内的障碍物</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降落地形检测功能 在自主降落过程中，无人机飞行器能够检测下方地形.当下方地形为不平整地面或水面，飞行器保持悬停，同时通过地面站软件向用户发出警示信息</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★起落架 一体化起落架，无需安装</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★飞行器自检功能 当飞行控制、电池电压、发动机转速、遥控遥测等信号模块或部件发生故障时，控制站能进行声、光报警，自动锁定多旋翼无人机、禁止飞行</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★低电量自动返航 飞行器能判断电池电量。电量不足时，地面站软件能提示用户执行返航。若用户在设定时间内未做选择，则飞行器将自动返航</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★信号丢失自动返航 当飞行器与遥控器失去通讯信号时，飞行器能够终止飞行任务并按照原路径自动返回航点并降落；在返航过程中，如信号恢复正常，用户可以通过遥控器取消返航。</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标配遥控器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★华为显示屏10 英寸屏幕，安卓系统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工作环境温度  0℃至 40℃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最远控制距离 7 km</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电池可更换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一控多机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★天线可更换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支持4G移动网络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软件（遥控器内置App）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航线规划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★测绘航拍区域模式（设定区域自动规划路线）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SDK开发 支持移动端软件开发套件（Mobile SDK）</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智能航点飞行 支持99个，拥有调整飞行器偏航角等丰富航点动作</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剩余电量百分比显示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剩余飞行时间显示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自定义设置限高限远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断点/断电续飞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KML/KMZ文件导入功能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一控多机 大区分割功能，支持单机或一控多机分区域大面积作业。</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云PPK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RTK/GNSS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建图方式 支持免像控点精准建图</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文件后处理方式 支持提供原始观测数据和相机曝光时间戳的文件供后处理</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RTK接入方式 支持Ntrip协议网络RTK或CORS站接入</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GNSS冗余 支持多套GNSS冗余备份</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卫星导航模块 支持GPS+北斗+GLONASS</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D-RTK 2 高精度 GNSS移动站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RTK基站通信方式 支持支持4G，WiFi，Ocusync2.0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RTK基站人工写入坐标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GPS+GLONASS+北斗+GALILEO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防水等级 IP67</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相机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一体化设计 云台相机与飞行器一体化设计</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★影像传感器 1 英寸 CMOS；有效像素 2000 万（总像素 2048 万）</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镜头 "FOV 84°；</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光圈 f/2.8 - f/11"</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机械快门 支持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镜头标定参数 支持。记录对应相机内参以及畸变参数并会记录在照片中。</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照片位置信息 支持。记录对应拍摄点的精确地理位置信息并会记录在照片中。</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结构设计范围 "俯仰：-90° 至 +30°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平移：-30° 至 +30°"</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角度抖动量  ≤±0.02°</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 xml:space="preserve">飞行器电池 </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★电池信息获取 飞行器可以通过电池上的通讯接口实时获得电池信息，例如电压、电量、电流等</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休眠功能功能 当飞行器不在飞行状态时，飞行器上电池会转入休眠状态</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自动放电储存保护功能 电池电量≥65%且无任何操作存储达设定天数（1～10天可设）时，电池能自动加速放电至65%电量以下。</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电池剩余电量显示功能 电池自带电量指示灯，可以显示电池当前电量</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过充保护功能 具有过充保护功能。当充电电压过高时，充电设备能断开充电电路</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★电池均衡功能 具有电池均衡功能。电池能进行自动调整，使其内部电芯状态基本保持一致。</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充电过流保护 具有过充保护功能。当充电电流过大时，充电设备能断开充电电路</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过放电保护功能 电池具有过放电保护功能。当电池电压下降到一定值时，电池能停止放电</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短路保护功能 电池具有短路保护功能。短接电池两个电极后消除短路，电池应仍能正常工作</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电芯损坏检测功能 飞行器电池电芯损坏或电芯严重不平衡的情况下，地面端软件能进行提示</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电池管家功能 可配置电池管家，能监测充电电池的电量，优先对电量最多的电池进行充电</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车载充电器功能 可配置车载充电器为电池充电</w:t>
            </w:r>
          </w:p>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t>★配套无人机采购测绘软件（永久版）</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1、实时三维点云</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支持实时三维建模，边飞边出三维点云，实时建模延迟优于30秒</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2、实时建图</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二维建图航拍任务，支持实时真正射处理，并可对农田和城市等不同场景做对应优化</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3、三维重建自动分块</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当用以重建的照片数量大于当前电脑配置（内存）可支持的照片数量时，算法自动进入分块处理，以满足重建需求</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4、全自动二维/三维重建</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对于大疆飞行器拍摄的照片，全自动完成二维/三维重建,所有参数均内置，无需用户设定</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5、建模效率高</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实测1080Ti电脑处理100张照片耗时30分钟左右</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6、内存占用小</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支持建模数量&gt;=可用内存*100</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7、排队重建</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支持同时开启多个任务，多任务排队重建</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8、二维正射图多任务叠加显示</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可将生成的多个二维模型进行叠加，可做到实时加载</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9、照片定位</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1. 可查看该模型的对应的所有拍照点  2. 点击模型上任意一处，该处对应的拍照点会高亮显示，同时每个拍照点的原图会展示，选中任意一张原图，该图对应的拍照点会再高亮显示</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10、精度质量报告</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可根据像控点刺点结果，生成详细的质量报告</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支持一键打开任务文件夹</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支持通过任务库的任务更多选项或快捷键打卡该任务对应的文件夹</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11、支持控制点、检查点功能</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可导入控制点、检查点，并可通过刺点结果实时调整预刺位置航线规划12、航线倾斜航线任务规划</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对规划的目标测区生成朝向测区的5组不同角度的航线：下视、左视、右视、前视、后视。5个航线任务自动分别执行。</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13、三维航线规划</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1.可基于重建好的三维模型进行航线规划  2.可在三维航线规划中设置自动录制视频和定时拍照</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14、带状航线</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支持带状航线规划，并能自动切割大面积带状测区，分段规划航线</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15、限飞功能/NFZ</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（1） 更新限飞区的显示（更新静态限飞区、支持联网状态下动态限飞区的更新） </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（2）支持查看限飞解禁证书，并选择开启或关闭 （3）支持跳转到官网进行限飞解禁申请</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16、相对高度</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航线任务规划时，支持设置起飞点到测区的相对高度，执行实际测区的重叠率</w:t>
            </w:r>
          </w:p>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17、协调转弯</w:t>
            </w:r>
            <w:r>
              <w:rPr>
                <w:rFonts w:hint="eastAsia" w:asciiTheme="minorEastAsia" w:hAnsiTheme="minorEastAsia" w:eastAsiaTheme="minorEastAsia" w:cstheme="minorEastAsia"/>
                <w:color w:val="auto"/>
                <w:kern w:val="0"/>
                <w:sz w:val="22"/>
                <w:szCs w:val="22"/>
                <w:highlight w:val="none"/>
                <w:lang w:val="en-US" w:eastAsia="zh-CN" w:bidi="ar"/>
              </w:rPr>
              <w:tab/>
            </w:r>
            <w:r>
              <w:rPr>
                <w:rFonts w:hint="eastAsia" w:asciiTheme="minorEastAsia" w:hAnsiTheme="minorEastAsia" w:eastAsiaTheme="minorEastAsia" w:cstheme="minorEastAsia"/>
                <w:color w:val="auto"/>
                <w:kern w:val="0"/>
                <w:sz w:val="22"/>
                <w:szCs w:val="22"/>
                <w:highlight w:val="none"/>
                <w:lang w:val="en-US" w:eastAsia="zh-CN" w:bidi="ar"/>
              </w:rPr>
              <w:t>航点飞行任务时，可协调转弯，调节除起始点以外的航点的转弯半径。</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★配套无人机指挥系统（1年有效期）</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一、飞行状态 </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 实时状态监控：飞手及归属团队、无人机名称、当前电量、飞行高度及速度、经纬度信息；</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 飞机实时朝向及位置在地图上显示；</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3、 支持在线地图或离线地图。"</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二、图传直播 </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 负载相机画面实时直播，同一Web客户端登录可同时浏览不少于四路视频；</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 可从地图上快速调看直播视频。"</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三、飞行日志 </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 飞行日志信息：无人机设备类型、飞行人员账号、无人机SN码、起飞时间、最大高度、飞行时长、飞行距离；</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 支持飞行轨迹回放：地图上展示位置，以及对应时间点的经纬度、速度和高度信息；</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3、 轨迹回放支持倍速播放；</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4、特定统计时间内的总飞行次数、总飞行时长和平均飞行时长统计；</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5、 基于飞行时长范围的飞行次数柱状图统计展示；</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6、 支持基于特定团队或成员进行飞行日志统计分析。"</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四、组织架构 </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 可设定多个独立团队，每个团队的队长登录平台时仅可见本团队的资源；</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2、每个独立团队可设定多个下级子团队，团队层级不少于4级；"</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五、成员管理 </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 成员角色支持分为管理员、队长和飞手三种角色；</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 管理员和队长账号可用于登录平台，飞手账号只可用于登录前端APP；</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3、 成员归属于特定团队，归属团队可更改。"</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六、设备列表 </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1、展示已绑定至团队中的无人机信息：无人机设备类型、飞控SN码，无人机的名称支持自定义更改；</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2、无人机设备归属于特定团队，归属团队可更改。</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 xml:space="preserve">七、多媒体素材管理系统  </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1、支持客户端在广域网跨网段使用媒资客户端软件；支持断点续传；</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2、支持在WINDOWS资源管理器右托拽到媒资库；系统界面可根据实际需要来拉伸到合适大小显示；</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3、媒资系统后台支持大码流视频文件自动转码成小码流文件；支持低码流预览打点，以原始码流下载；</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4、★支持每个素材以关键帧缩略图查看；可支持上传和检索“文件夹”；能够批量选择上传文件，批量应用编目模板，支持应用模板方式修改；</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5、支持文件类型：视频文件：AVI、DVD（vob、mpeg2）、VCD（dat、mpeg1）、ASF、WMV、mpeg4、MXF(蓝光、P2)；音频文件：wav、mp3、wma；照片文件：Jpg、bmp、psd、png、tga；办公文件：Pdf、doc、wps、ppt、xlsx、.txt；</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6、★支持不同的视图方式来显示对象资源，类似Windows资源管理器的视图浏览方式；支持对视、音频、图片、文字等多媒体对象分类统一管理；</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7、★对于不便于分类的文件，以“源文件”形式进行编目管理；支持自定义文件的关键字，和文件信息，文件信息描述；</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8、★编目批量修改，提高用户的入库编目效率；将在编目模块编好目的文件进行上传至存储服务器；支持批量上传和显示上传进度；</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9、★c/s检索方式部署，支持多人同时在线检索；支持全文检索，结果呈列表显示；提供名称检索、时间段检索、分类检索、关键字检索、资料描述检索、视频文件帧信息描述检索等多种检索方式；支持关键字模糊检索，支持以汉字拼音首字母方式检索；</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10、★支持授权将查询模块查询到的文件进行下载；支持视音频文件打点下载和批量下载；</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11、★支持对审核未通过的素材签署审核意见；</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12、★权限管理-设置用户按目录设置访问权限；用户管理-添加用户和用户密码设置；修改密码-用户可自行修改登录密码；</w:t>
            </w:r>
          </w:p>
          <w:p>
            <w:pPr>
              <w:pStyle w:val="2"/>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color w:val="auto"/>
                <w:kern w:val="0"/>
                <w:sz w:val="22"/>
                <w:szCs w:val="22"/>
                <w:highlight w:val="none"/>
                <w:lang w:val="en-US" w:eastAsia="zh-CN" w:bidi="ar"/>
              </w:rPr>
              <w:t>13、★磁盘空间管理-按栏目分配存储空间；操作记录查询-可精确到每一个用户的每一次操作。</w:t>
            </w:r>
          </w:p>
          <w:p>
            <w:pPr>
              <w:widowControl/>
              <w:jc w:val="left"/>
              <w:textAlignment w:val="center"/>
              <w:rPr>
                <w:rFonts w:asciiTheme="minorEastAsia" w:hAnsiTheme="minorEastAsia" w:cstheme="minorEastAsia"/>
                <w:color w:val="auto"/>
                <w:kern w:val="0"/>
                <w:sz w:val="22"/>
                <w:szCs w:val="22"/>
                <w:highlight w:val="none"/>
                <w:lang w:bidi="ar"/>
              </w:rPr>
            </w:pP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★标配：</w:t>
            </w:r>
            <w:r>
              <w:rPr>
                <w:rFonts w:hint="eastAsia" w:asciiTheme="minorEastAsia" w:hAnsiTheme="minorEastAsia" w:cstheme="minorEastAsia"/>
                <w:color w:val="auto"/>
                <w:kern w:val="0"/>
                <w:sz w:val="22"/>
                <w:szCs w:val="22"/>
                <w:highlight w:val="none"/>
                <w:lang w:bidi="ar"/>
              </w:rPr>
              <w:br w:type="textWrapping"/>
            </w:r>
            <w:r>
              <w:rPr>
                <w:rFonts w:asciiTheme="minorEastAsia" w:hAnsiTheme="minorEastAsia" w:cstheme="minorEastAsia"/>
                <w:color w:val="auto"/>
                <w:kern w:val="0"/>
                <w:sz w:val="22"/>
                <w:szCs w:val="22"/>
                <w:highlight w:val="none"/>
                <w:lang w:bidi="ar"/>
              </w:rPr>
              <w:t>1</w:t>
            </w:r>
            <w:r>
              <w:rPr>
                <w:rFonts w:hint="eastAsia" w:asciiTheme="minorEastAsia" w:hAnsiTheme="minorEastAsia" w:cstheme="minorEastAsia"/>
                <w:color w:val="auto"/>
                <w:kern w:val="0"/>
                <w:sz w:val="22"/>
                <w:szCs w:val="22"/>
                <w:highlight w:val="none"/>
                <w:lang w:bidi="ar"/>
              </w:rPr>
              <w:t>.云服务器，存储数据资料12个月</w:t>
            </w:r>
          </w:p>
          <w:p>
            <w:pPr>
              <w:widowControl/>
              <w:jc w:val="left"/>
              <w:textAlignment w:val="center"/>
              <w:rPr>
                <w:rFonts w:asciiTheme="minorEastAsia" w:hAnsiTheme="minorEastAsia" w:cstheme="minorEastAsia"/>
                <w:color w:val="auto"/>
                <w:kern w:val="0"/>
                <w:sz w:val="22"/>
                <w:szCs w:val="22"/>
                <w:highlight w:val="none"/>
                <w:lang w:bidi="ar"/>
              </w:rPr>
            </w:pPr>
            <w:r>
              <w:rPr>
                <w:rFonts w:asciiTheme="minorEastAsia" w:hAnsiTheme="minorEastAsia" w:cstheme="minorEastAsia"/>
                <w:color w:val="auto"/>
                <w:kern w:val="0"/>
                <w:sz w:val="22"/>
                <w:szCs w:val="22"/>
                <w:highlight w:val="none"/>
                <w:lang w:bidi="ar"/>
              </w:rPr>
              <w:t>2</w:t>
            </w:r>
            <w:r>
              <w:rPr>
                <w:rFonts w:hint="eastAsia" w:asciiTheme="minorEastAsia" w:hAnsiTheme="minorEastAsia" w:cstheme="minorEastAsia"/>
                <w:color w:val="auto"/>
                <w:kern w:val="0"/>
                <w:sz w:val="22"/>
                <w:szCs w:val="22"/>
                <w:highlight w:val="none"/>
                <w:lang w:bidi="ar"/>
              </w:rPr>
              <w:t>.智能电池（含原配1套）</w:t>
            </w:r>
          </w:p>
          <w:p>
            <w:pPr>
              <w:widowControl/>
              <w:jc w:val="left"/>
              <w:textAlignment w:val="center"/>
              <w:rPr>
                <w:rFonts w:asciiTheme="minorEastAsia" w:hAnsiTheme="minorEastAsia" w:cstheme="minorEastAsia"/>
                <w:color w:val="auto"/>
                <w:kern w:val="0"/>
                <w:sz w:val="22"/>
                <w:szCs w:val="22"/>
                <w:highlight w:val="none"/>
                <w:lang w:bidi="ar"/>
              </w:rPr>
            </w:pPr>
            <w:r>
              <w:rPr>
                <w:rFonts w:asciiTheme="minorEastAsia" w:hAnsiTheme="minorEastAsia" w:cstheme="minorEastAsia"/>
                <w:color w:val="auto"/>
                <w:kern w:val="0"/>
                <w:sz w:val="22"/>
                <w:szCs w:val="22"/>
                <w:highlight w:val="none"/>
                <w:lang w:bidi="ar"/>
              </w:rPr>
              <w:t>3</w:t>
            </w:r>
            <w:r>
              <w:rPr>
                <w:rFonts w:hint="eastAsia" w:asciiTheme="minorEastAsia" w:hAnsiTheme="minorEastAsia" w:cstheme="minorEastAsia"/>
                <w:color w:val="auto"/>
                <w:kern w:val="0"/>
                <w:sz w:val="22"/>
                <w:szCs w:val="22"/>
                <w:highlight w:val="none"/>
                <w:lang w:bidi="ar"/>
              </w:rPr>
              <w:t>.闪迪128GTF卡1张/台</w:t>
            </w:r>
            <w:r>
              <w:rPr>
                <w:rFonts w:hint="eastAsia" w:asciiTheme="minorEastAsia" w:hAnsiTheme="minorEastAsia" w:cstheme="minorEastAsia"/>
                <w:color w:val="auto"/>
                <w:kern w:val="0"/>
                <w:sz w:val="22"/>
                <w:szCs w:val="22"/>
                <w:highlight w:val="none"/>
                <w:lang w:bidi="ar"/>
              </w:rPr>
              <w:br w:type="textWrapping"/>
            </w:r>
            <w:r>
              <w:rPr>
                <w:rFonts w:asciiTheme="minorEastAsia" w:hAnsiTheme="minorEastAsia" w:cstheme="minorEastAsia"/>
                <w:color w:val="auto"/>
                <w:kern w:val="0"/>
                <w:sz w:val="22"/>
                <w:szCs w:val="22"/>
                <w:highlight w:val="none"/>
                <w:lang w:bidi="ar"/>
              </w:rPr>
              <w:t>4</w:t>
            </w:r>
            <w:r>
              <w:rPr>
                <w:rFonts w:hint="eastAsia" w:asciiTheme="minorEastAsia" w:hAnsiTheme="minorEastAsia" w:cstheme="minorEastAsia"/>
                <w:color w:val="auto"/>
                <w:kern w:val="0"/>
                <w:sz w:val="22"/>
                <w:szCs w:val="22"/>
                <w:highlight w:val="none"/>
                <w:lang w:bidi="ar"/>
              </w:rPr>
              <w:t>.三网4G无线路由器车载移动随身上网卡设备（含一年累计流量套餐包）</w:t>
            </w:r>
            <w:r>
              <w:rPr>
                <w:rFonts w:hint="eastAsia" w:asciiTheme="minorEastAsia" w:hAnsiTheme="minorEastAsia" w:cstheme="minorEastAsia"/>
                <w:color w:val="auto"/>
                <w:kern w:val="0"/>
                <w:sz w:val="22"/>
                <w:szCs w:val="22"/>
                <w:highlight w:val="none"/>
                <w:lang w:bidi="ar"/>
              </w:rPr>
              <w:br w:type="textWrapping"/>
            </w:r>
            <w:r>
              <w:rPr>
                <w:rFonts w:asciiTheme="minorEastAsia" w:hAnsiTheme="minorEastAsia" w:cstheme="minorEastAsia"/>
                <w:color w:val="auto"/>
                <w:kern w:val="0"/>
                <w:sz w:val="22"/>
                <w:szCs w:val="22"/>
                <w:highlight w:val="none"/>
                <w:lang w:bidi="ar"/>
              </w:rPr>
              <w:t>5</w:t>
            </w:r>
            <w:r>
              <w:rPr>
                <w:rFonts w:hint="eastAsia" w:asciiTheme="minorEastAsia" w:hAnsiTheme="minorEastAsia" w:cstheme="minorEastAsia"/>
                <w:color w:val="auto"/>
                <w:kern w:val="0"/>
                <w:sz w:val="22"/>
                <w:szCs w:val="22"/>
                <w:highlight w:val="none"/>
                <w:lang w:bidi="ar"/>
              </w:rPr>
              <w:t>.</w:t>
            </w:r>
            <w:r>
              <w:rPr>
                <w:rFonts w:hint="eastAsia"/>
                <w:color w:val="auto"/>
                <w:highlight w:val="none"/>
              </w:rPr>
              <w:t xml:space="preserve"> </w:t>
            </w:r>
            <w:r>
              <w:rPr>
                <w:rFonts w:hint="eastAsia" w:asciiTheme="minorEastAsia" w:hAnsiTheme="minorEastAsia" w:cstheme="minorEastAsia"/>
                <w:color w:val="auto"/>
                <w:kern w:val="0"/>
                <w:sz w:val="22"/>
                <w:szCs w:val="22"/>
                <w:highlight w:val="none"/>
                <w:lang w:bidi="ar"/>
              </w:rPr>
              <w:t>1年有效期保障额度14000RMB内无限次数置免费置换，并提供备用机服务，）</w:t>
            </w:r>
            <w:r>
              <w:rPr>
                <w:rFonts w:hint="eastAsia" w:asciiTheme="minorEastAsia" w:hAnsiTheme="minorEastAsia" w:cstheme="minorEastAsia"/>
                <w:color w:val="auto"/>
                <w:kern w:val="0"/>
                <w:sz w:val="22"/>
                <w:szCs w:val="22"/>
                <w:highlight w:val="none"/>
                <w:lang w:bidi="ar"/>
              </w:rPr>
              <w:br w:type="textWrapping"/>
            </w:r>
            <w:r>
              <w:rPr>
                <w:rFonts w:asciiTheme="minorEastAsia" w:hAnsiTheme="minorEastAsia" w:cstheme="minorEastAsia"/>
                <w:color w:val="auto"/>
                <w:kern w:val="0"/>
                <w:sz w:val="22"/>
                <w:szCs w:val="22"/>
                <w:highlight w:val="none"/>
                <w:lang w:bidi="ar"/>
              </w:rPr>
              <w:t>6</w:t>
            </w:r>
            <w:r>
              <w:rPr>
                <w:rFonts w:hint="eastAsia" w:asciiTheme="minorEastAsia" w:hAnsiTheme="minorEastAsia" w:cstheme="minorEastAsia"/>
                <w:color w:val="auto"/>
                <w:kern w:val="0"/>
                <w:sz w:val="22"/>
                <w:szCs w:val="22"/>
                <w:highlight w:val="none"/>
                <w:lang w:bidi="ar"/>
              </w:rPr>
              <w:t>.保额1</w:t>
            </w:r>
            <w:r>
              <w:rPr>
                <w:rFonts w:asciiTheme="minorEastAsia" w:hAnsiTheme="minorEastAsia" w:cstheme="minorEastAsia"/>
                <w:color w:val="auto"/>
                <w:kern w:val="0"/>
                <w:sz w:val="22"/>
                <w:szCs w:val="22"/>
                <w:highlight w:val="none"/>
                <w:lang w:bidi="ar"/>
              </w:rPr>
              <w:t>00</w:t>
            </w:r>
            <w:r>
              <w:rPr>
                <w:rFonts w:hint="eastAsia" w:asciiTheme="minorEastAsia" w:hAnsiTheme="minorEastAsia" w:cstheme="minorEastAsia"/>
                <w:color w:val="auto"/>
                <w:kern w:val="0"/>
                <w:sz w:val="22"/>
                <w:szCs w:val="22"/>
                <w:highlight w:val="none"/>
                <w:lang w:bidi="ar"/>
              </w:rPr>
              <w:t>万第三者险</w:t>
            </w:r>
            <w:r>
              <w:rPr>
                <w:rFonts w:asciiTheme="minorEastAsia" w:hAnsiTheme="minorEastAsia" w:cstheme="minorEastAsia"/>
                <w:color w:val="auto"/>
                <w:kern w:val="0"/>
                <w:sz w:val="22"/>
                <w:szCs w:val="22"/>
                <w:highlight w:val="none"/>
                <w:lang w:bidi="ar"/>
              </w:rPr>
              <w:t>1</w:t>
            </w:r>
            <w:r>
              <w:rPr>
                <w:rFonts w:hint="eastAsia" w:asciiTheme="minorEastAsia" w:hAnsiTheme="minorEastAsia" w:cstheme="minorEastAsia"/>
                <w:color w:val="auto"/>
                <w:kern w:val="0"/>
                <w:sz w:val="22"/>
                <w:szCs w:val="22"/>
                <w:highlight w:val="none"/>
                <w:lang w:bidi="ar"/>
              </w:rPr>
              <w:t>年</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★投标人必须是原厂授权经销商，提供本设备1年完全免费的售后服务：包括400等电话支持及(7x24) 4小时上门服务，为保证产品为正品须开具生产厂家服务承诺书，提供3人以上取得UTC或AOPA证书持证教员进行培训支持，签订合同前需出具原件。</w:t>
            </w:r>
            <w:r>
              <w:rPr>
                <w:rFonts w:hint="eastAsia" w:asciiTheme="minorEastAsia" w:hAnsiTheme="minorEastAsia" w:cstheme="minorEastAsia"/>
                <w:color w:val="auto"/>
                <w:kern w:val="0"/>
                <w:sz w:val="22"/>
                <w:szCs w:val="22"/>
                <w:highlight w:val="none"/>
                <w:lang w:bidi="ar"/>
              </w:rPr>
              <w:br w:type="textWrapping"/>
            </w:r>
            <w:r>
              <w:rPr>
                <w:rFonts w:hint="eastAsia" w:asciiTheme="minorEastAsia" w:hAnsiTheme="minorEastAsia" w:cstheme="minorEastAsia"/>
                <w:color w:val="auto"/>
                <w:kern w:val="0"/>
                <w:sz w:val="22"/>
                <w:szCs w:val="22"/>
                <w:highlight w:val="none"/>
                <w:lang w:bidi="ar"/>
              </w:rPr>
              <w:t>★响应文件中提供由国家认可的检测（验）机构出具 的符合 Q/DJI 001-2017 企业标准要求的检测（验）报告复印件， 加盖供应商公章。</w:t>
            </w:r>
          </w:p>
        </w:tc>
        <w:tc>
          <w:tcPr>
            <w:tcW w:w="84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4</w:t>
            </w:r>
          </w:p>
        </w:tc>
        <w:tc>
          <w:tcPr>
            <w:tcW w:w="1320"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65223</w:t>
            </w:r>
            <w:r>
              <w:rPr>
                <w:rFonts w:hint="eastAsia" w:asciiTheme="minorEastAsia" w:hAnsiTheme="minorEastAsia" w:cstheme="minorEastAsia"/>
                <w:color w:val="auto"/>
                <w:kern w:val="0"/>
                <w:sz w:val="22"/>
                <w:szCs w:val="22"/>
                <w:highlight w:val="none"/>
                <w:lang w:val="en-US" w:eastAsia="zh-CN" w:bidi="ar"/>
              </w:rPr>
              <w:t>.00</w:t>
            </w:r>
            <w:r>
              <w:rPr>
                <w:rFonts w:hint="eastAsia" w:asciiTheme="minorEastAsia" w:hAnsiTheme="minorEastAsia" w:cstheme="minorEastAsia"/>
                <w:color w:val="auto"/>
                <w:kern w:val="0"/>
                <w:sz w:val="22"/>
                <w:szCs w:val="22"/>
                <w:highlight w:val="none"/>
                <w:lang w:bidi="ar"/>
              </w:rPr>
              <w:t xml:space="preserve"> </w:t>
            </w:r>
          </w:p>
        </w:tc>
        <w:tc>
          <w:tcPr>
            <w:tcW w:w="1305" w:type="dxa"/>
            <w:vAlign w:val="center"/>
          </w:tcPr>
          <w:p>
            <w:pPr>
              <w:widowControl/>
              <w:textAlignment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cstheme="minorEastAsia"/>
                <w:color w:val="auto"/>
                <w:kern w:val="0"/>
                <w:sz w:val="22"/>
                <w:szCs w:val="22"/>
                <w:highlight w:val="none"/>
                <w:lang w:bidi="ar"/>
              </w:rPr>
              <w:t>260892</w:t>
            </w:r>
            <w:r>
              <w:rPr>
                <w:rFonts w:hint="eastAsia" w:asciiTheme="minorEastAsia" w:hAnsiTheme="minorEastAsia" w:cstheme="minorEastAsia"/>
                <w:color w:val="auto"/>
                <w:kern w:val="0"/>
                <w:sz w:val="22"/>
                <w:szCs w:val="22"/>
                <w:highlight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345" w:type="dxa"/>
            <w:gridSpan w:val="5"/>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合计</w:t>
            </w:r>
          </w:p>
        </w:tc>
        <w:tc>
          <w:tcPr>
            <w:tcW w:w="1305" w:type="dxa"/>
            <w:vAlign w:val="center"/>
          </w:tcPr>
          <w:p>
            <w:pPr>
              <w:widowControl/>
              <w:jc w:val="center"/>
              <w:textAlignment w:val="center"/>
              <w:rPr>
                <w:rFonts w:asciiTheme="minorEastAsia" w:hAnsiTheme="minorEastAsia" w:cstheme="minorEastAsia"/>
                <w:color w:val="auto"/>
                <w:sz w:val="22"/>
                <w:szCs w:val="22"/>
                <w:highlight w:val="none"/>
              </w:rPr>
            </w:pPr>
            <w:r>
              <w:rPr>
                <w:rFonts w:hint="eastAsia" w:asciiTheme="minorEastAsia" w:hAnsiTheme="minorEastAsia" w:cstheme="minorEastAsia"/>
                <w:color w:val="auto"/>
                <w:kern w:val="0"/>
                <w:sz w:val="22"/>
                <w:szCs w:val="22"/>
                <w:highlight w:val="none"/>
                <w:lang w:bidi="ar"/>
              </w:rPr>
              <w:t xml:space="preserve">399071 </w:t>
            </w:r>
          </w:p>
        </w:tc>
      </w:tr>
    </w:tbl>
    <w:p>
      <w:pPr>
        <w:tabs>
          <w:tab w:val="left" w:pos="180"/>
          <w:tab w:val="left" w:pos="1620"/>
        </w:tabs>
        <w:adjustRightInd w:val="0"/>
        <w:snapToGrid w:val="0"/>
        <w:spacing w:line="360" w:lineRule="exact"/>
        <w:rPr>
          <w:rFonts w:ascii="宋体" w:hAnsi="宋体" w:eastAsia="宋体" w:cs="宋体"/>
          <w:sz w:val="24"/>
          <w:highlight w:val="none"/>
        </w:rPr>
      </w:pPr>
    </w:p>
    <w:p>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四、采购预算：</w:t>
      </w:r>
      <w:r>
        <w:rPr>
          <w:rFonts w:ascii="宋体" w:hAnsi="宋体" w:eastAsia="宋体" w:cs="宋体"/>
          <w:sz w:val="24"/>
          <w:highlight w:val="none"/>
        </w:rPr>
        <w:t>399071.00</w:t>
      </w:r>
      <w:r>
        <w:rPr>
          <w:rFonts w:hint="eastAsia" w:ascii="宋体" w:hAnsi="宋体" w:eastAsia="宋体" w:cs="宋体"/>
          <w:sz w:val="24"/>
          <w:highlight w:val="none"/>
        </w:rPr>
        <w:t>元，谈判供应商的最终报价超过项目总预算的，将导致其谈判被拒绝。</w:t>
      </w:r>
    </w:p>
    <w:p>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五、商务要求：</w:t>
      </w:r>
    </w:p>
    <w:p>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1、质量要求：所供产品符合国家质量要求；达到或优于本采购项目要求的技术参数。</w:t>
      </w:r>
    </w:p>
    <w:p>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2、质保期：2年。项目质保期除分项说明特别注明外，按厂家及国家有关规定实行三包。</w:t>
      </w:r>
    </w:p>
    <w:p>
      <w:pPr>
        <w:adjustRightInd w:val="0"/>
        <w:snapToGrid w:val="0"/>
        <w:spacing w:line="360" w:lineRule="auto"/>
        <w:ind w:firstLine="480" w:firstLineChars="200"/>
        <w:rPr>
          <w:rFonts w:ascii="宋体" w:hAnsi="宋体" w:eastAsia="宋体" w:cs="宋体"/>
          <w:color w:val="FF0000"/>
          <w:sz w:val="24"/>
          <w:highlight w:val="none"/>
        </w:rPr>
      </w:pPr>
      <w:r>
        <w:rPr>
          <w:rFonts w:hint="eastAsia" w:ascii="宋体" w:hAnsi="宋体" w:eastAsia="宋体" w:cs="宋体"/>
          <w:color w:val="FF0000"/>
          <w:sz w:val="24"/>
          <w:highlight w:val="none"/>
        </w:rPr>
        <w:t>3、合同签订期：自成交通知书发出之日起</w:t>
      </w:r>
      <w:r>
        <w:rPr>
          <w:rFonts w:hint="eastAsia" w:ascii="宋体" w:hAnsi="宋体" w:eastAsia="宋体" w:cs="宋体"/>
          <w:color w:val="FF0000"/>
          <w:sz w:val="24"/>
          <w:highlight w:val="none"/>
          <w:lang w:val="en-US" w:eastAsia="zh-CN"/>
        </w:rPr>
        <w:t>5</w:t>
      </w:r>
      <w:r>
        <w:rPr>
          <w:rFonts w:hint="eastAsia" w:ascii="宋体" w:hAnsi="宋体" w:eastAsia="宋体" w:cs="宋体"/>
          <w:color w:val="FF0000"/>
          <w:sz w:val="24"/>
          <w:highlight w:val="none"/>
        </w:rPr>
        <w:t>日历天内。</w:t>
      </w:r>
    </w:p>
    <w:p>
      <w:pPr>
        <w:spacing w:line="360" w:lineRule="auto"/>
        <w:ind w:firstLine="480" w:firstLineChars="200"/>
        <w:rPr>
          <w:rFonts w:ascii="宋体" w:hAnsi="宋体" w:eastAsia="宋体" w:cs="宋体"/>
          <w:color w:val="FF0000"/>
          <w:sz w:val="24"/>
          <w:highlight w:val="none"/>
        </w:rPr>
      </w:pPr>
      <w:r>
        <w:rPr>
          <w:rFonts w:hint="eastAsia" w:ascii="宋体" w:hAnsi="宋体" w:cs="宋体"/>
          <w:color w:val="FF0000"/>
          <w:sz w:val="24"/>
          <w:highlight w:val="none"/>
        </w:rPr>
        <w:t>4、合同履行期限：自签订合同之日起</w:t>
      </w:r>
      <w:r>
        <w:rPr>
          <w:rFonts w:hint="eastAsia" w:ascii="宋体" w:hAnsi="宋体" w:cs="宋体"/>
          <w:color w:val="FF0000"/>
          <w:sz w:val="24"/>
          <w:highlight w:val="none"/>
          <w:lang w:val="en-US" w:eastAsia="zh-CN"/>
        </w:rPr>
        <w:t>20</w:t>
      </w:r>
      <w:r>
        <w:rPr>
          <w:rFonts w:hint="eastAsia" w:ascii="宋体" w:hAnsi="宋体" w:cs="宋体"/>
          <w:color w:val="FF0000"/>
          <w:sz w:val="24"/>
          <w:highlight w:val="none"/>
        </w:rPr>
        <w:t>日历天内交货。</w:t>
      </w:r>
    </w:p>
    <w:p>
      <w:pPr>
        <w:adjustRightInd w:val="0"/>
        <w:snapToGrid w:val="0"/>
        <w:spacing w:line="360" w:lineRule="auto"/>
        <w:ind w:firstLine="480" w:firstLineChars="200"/>
        <w:rPr>
          <w:rFonts w:asciiTheme="minorEastAsia" w:hAnsiTheme="minorEastAsia"/>
          <w:sz w:val="24"/>
          <w:highlight w:val="none"/>
        </w:rPr>
      </w:pPr>
      <w:r>
        <w:rPr>
          <w:rFonts w:hint="eastAsia" w:ascii="宋体" w:hAnsi="宋体" w:eastAsia="宋体" w:cs="宋体"/>
          <w:sz w:val="24"/>
          <w:highlight w:val="none"/>
        </w:rPr>
        <w:t>5、付款方式：供应商与采购人双方合同签订生效后，供应商</w:t>
      </w:r>
      <w:r>
        <w:rPr>
          <w:rFonts w:ascii="宋体" w:hAnsi="宋体" w:eastAsia="宋体" w:cs="宋体"/>
          <w:sz w:val="24"/>
          <w:highlight w:val="none"/>
        </w:rPr>
        <w:t>运输全部货物到达</w:t>
      </w:r>
      <w:r>
        <w:rPr>
          <w:rFonts w:hint="eastAsia" w:ascii="宋体" w:hAnsi="宋体" w:eastAsia="宋体" w:cs="宋体"/>
          <w:sz w:val="24"/>
          <w:highlight w:val="none"/>
        </w:rPr>
        <w:t>采购人</w:t>
      </w:r>
      <w:r>
        <w:rPr>
          <w:rFonts w:ascii="宋体" w:hAnsi="宋体" w:eastAsia="宋体" w:cs="宋体"/>
          <w:sz w:val="24"/>
          <w:highlight w:val="none"/>
        </w:rPr>
        <w:t>指定地点后付至合同金额的</w:t>
      </w:r>
      <w:r>
        <w:rPr>
          <w:rFonts w:hint="eastAsia" w:ascii="宋体" w:hAnsi="宋体" w:eastAsia="宋体" w:cs="宋体"/>
          <w:sz w:val="24"/>
          <w:highlight w:val="none"/>
        </w:rPr>
        <w:t>5</w:t>
      </w:r>
      <w:r>
        <w:rPr>
          <w:rFonts w:ascii="宋体" w:hAnsi="宋体" w:eastAsia="宋体" w:cs="宋体"/>
          <w:sz w:val="24"/>
          <w:highlight w:val="none"/>
        </w:rPr>
        <w:t>0%，全部安装、调试后，经甲方验收合格并签署验收报告之日起15日内付至合同金额的97%</w:t>
      </w:r>
      <w:r>
        <w:rPr>
          <w:rFonts w:hint="eastAsia" w:ascii="宋体" w:hAnsi="宋体" w:eastAsia="宋体" w:cs="宋体"/>
          <w:sz w:val="24"/>
          <w:highlight w:val="none"/>
        </w:rPr>
        <w:t>，</w:t>
      </w:r>
      <w:r>
        <w:rPr>
          <w:rFonts w:hint="eastAsia" w:asciiTheme="minorEastAsia" w:hAnsiTheme="minorEastAsia"/>
          <w:sz w:val="24"/>
          <w:highlight w:val="none"/>
        </w:rPr>
        <w:t>剩余合同总额的3%作为质量保证金，质量保证金在质保期满后五个工作日内无息返还。</w:t>
      </w:r>
    </w:p>
    <w:p>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6、交货地点：采购单位指定地点(具体地点按合同约定 )。</w:t>
      </w:r>
    </w:p>
    <w:p>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7、卸货及安装：成交供应商负责 </w:t>
      </w:r>
      <w:bookmarkStart w:id="67" w:name="_Toc405905875"/>
      <w:r>
        <w:rPr>
          <w:rFonts w:hint="eastAsia" w:ascii="宋体" w:hAnsi="宋体" w:eastAsia="宋体" w:cs="宋体"/>
          <w:sz w:val="24"/>
          <w:highlight w:val="none"/>
        </w:rPr>
        <w:t>（安装）</w:t>
      </w:r>
    </w:p>
    <w:p>
      <w:pPr>
        <w:pStyle w:val="2"/>
        <w:spacing w:line="360" w:lineRule="auto"/>
        <w:rPr>
          <w:rFonts w:ascii="宋体" w:hAnsi="宋体" w:eastAsia="宋体" w:cs="宋体"/>
          <w:sz w:val="24"/>
          <w:highlight w:val="none"/>
        </w:rPr>
      </w:pPr>
      <w:r>
        <w:rPr>
          <w:rFonts w:hint="eastAsia" w:ascii="宋体" w:hAnsi="宋体" w:eastAsia="宋体" w:cs="宋体"/>
          <w:sz w:val="24"/>
          <w:highlight w:val="none"/>
        </w:rPr>
        <w:t xml:space="preserve">    8、</w:t>
      </w:r>
      <w:r>
        <w:rPr>
          <w:rFonts w:hint="eastAsia" w:ascii="宋体" w:hAnsi="宋体" w:cs="宋体"/>
          <w:sz w:val="24"/>
          <w:highlight w:val="none"/>
        </w:rPr>
        <w:t>其他要求：其他未尽事宜，双方签订合同时按合同法约定。</w:t>
      </w:r>
      <w:r>
        <w:rPr>
          <w:rFonts w:hint="eastAsia" w:ascii="宋体" w:hAnsi="宋体" w:eastAsia="宋体" w:cs="宋体"/>
          <w:sz w:val="24"/>
          <w:highlight w:val="none"/>
        </w:rPr>
        <w:t xml:space="preserve"> </w:t>
      </w:r>
    </w:p>
    <w:p>
      <w:pPr>
        <w:adjustRightInd w:val="0"/>
        <w:snapToGrid w:val="0"/>
        <w:spacing w:line="360" w:lineRule="exact"/>
        <w:rPr>
          <w:rFonts w:ascii="宋体" w:hAnsi="宋体" w:eastAsia="宋体" w:cs="宋体"/>
          <w:sz w:val="24"/>
          <w:highlight w:val="none"/>
        </w:rPr>
      </w:pPr>
    </w:p>
    <w:p>
      <w:pPr>
        <w:adjustRightInd w:val="0"/>
        <w:snapToGrid w:val="0"/>
        <w:spacing w:line="500" w:lineRule="exact"/>
        <w:rPr>
          <w:rFonts w:ascii="宋体" w:hAnsi="宋体" w:eastAsia="宋体" w:cs="宋体"/>
          <w:b/>
          <w:bCs/>
          <w:kern w:val="44"/>
          <w:sz w:val="44"/>
          <w:szCs w:val="44"/>
          <w:highlight w:val="none"/>
        </w:rPr>
      </w:pPr>
      <w:r>
        <w:rPr>
          <w:rFonts w:hint="eastAsia" w:ascii="宋体" w:hAnsi="宋体" w:eastAsia="宋体" w:cs="宋体"/>
          <w:sz w:val="24"/>
          <w:highlight w:val="none"/>
        </w:rPr>
        <w:t xml:space="preserve"> </w:t>
      </w:r>
      <w:r>
        <w:rPr>
          <w:rFonts w:hint="eastAsia" w:ascii="宋体" w:hAnsi="宋体" w:eastAsia="宋体" w:cs="宋体"/>
          <w:b/>
          <w:bCs/>
          <w:kern w:val="44"/>
          <w:sz w:val="44"/>
          <w:szCs w:val="44"/>
          <w:highlight w:val="none"/>
        </w:rPr>
        <w:t xml:space="preserve"> </w:t>
      </w:r>
      <w:bookmarkStart w:id="68" w:name="_Toc2213"/>
      <w:bookmarkStart w:id="69" w:name="_Toc3041"/>
      <w:bookmarkStart w:id="70" w:name="_Toc6923307"/>
      <w:bookmarkStart w:id="71" w:name="_Toc15935"/>
      <w:bookmarkStart w:id="72" w:name="_Toc5233"/>
      <w:r>
        <w:rPr>
          <w:rFonts w:hint="eastAsia" w:ascii="宋体" w:hAnsi="宋体" w:eastAsia="宋体" w:cs="宋体"/>
          <w:b/>
          <w:bCs/>
          <w:kern w:val="44"/>
          <w:sz w:val="44"/>
          <w:szCs w:val="44"/>
          <w:highlight w:val="none"/>
        </w:rPr>
        <w:t xml:space="preserve"> </w:t>
      </w:r>
    </w:p>
    <w:p>
      <w:pPr>
        <w:adjustRightInd w:val="0"/>
        <w:snapToGrid w:val="0"/>
        <w:spacing w:line="500" w:lineRule="exact"/>
        <w:rPr>
          <w:rFonts w:ascii="宋体" w:hAnsi="宋体" w:eastAsia="宋体" w:cs="宋体"/>
          <w:b/>
          <w:bCs/>
          <w:kern w:val="44"/>
          <w:sz w:val="44"/>
          <w:szCs w:val="44"/>
          <w:highlight w:val="none"/>
        </w:rPr>
      </w:pPr>
    </w:p>
    <w:p>
      <w:pPr>
        <w:rPr>
          <w:rFonts w:ascii="宋体" w:hAnsi="宋体" w:eastAsia="宋体" w:cs="宋体"/>
          <w:b/>
          <w:bCs/>
          <w:kern w:val="44"/>
          <w:sz w:val="44"/>
          <w:szCs w:val="44"/>
          <w:highlight w:val="none"/>
        </w:rPr>
      </w:pPr>
    </w:p>
    <w:p>
      <w:pPr>
        <w:rPr>
          <w:rFonts w:ascii="宋体" w:hAnsi="宋体" w:eastAsia="宋体" w:cs="宋体"/>
          <w:b/>
          <w:bCs/>
          <w:kern w:val="44"/>
          <w:sz w:val="44"/>
          <w:szCs w:val="44"/>
          <w:highlight w:val="none"/>
        </w:rPr>
      </w:pPr>
      <w:r>
        <w:rPr>
          <w:rFonts w:hint="eastAsia" w:ascii="宋体" w:hAnsi="宋体" w:eastAsia="宋体" w:cs="宋体"/>
          <w:b/>
          <w:bCs/>
          <w:kern w:val="44"/>
          <w:sz w:val="44"/>
          <w:szCs w:val="44"/>
          <w:highlight w:val="none"/>
        </w:rPr>
        <w:br w:type="page"/>
      </w:r>
    </w:p>
    <w:p>
      <w:pPr>
        <w:adjustRightInd w:val="0"/>
        <w:snapToGrid w:val="0"/>
        <w:spacing w:line="500" w:lineRule="exact"/>
        <w:ind w:firstLine="883" w:firstLineChars="200"/>
        <w:jc w:val="center"/>
        <w:rPr>
          <w:rFonts w:ascii="宋体" w:hAnsi="宋体" w:eastAsia="宋体" w:cs="宋体"/>
          <w:highlight w:val="none"/>
        </w:rPr>
      </w:pPr>
      <w:r>
        <w:rPr>
          <w:rFonts w:hint="eastAsia" w:ascii="宋体" w:hAnsi="宋体" w:eastAsia="宋体" w:cs="宋体"/>
          <w:b/>
          <w:bCs/>
          <w:kern w:val="44"/>
          <w:sz w:val="44"/>
          <w:szCs w:val="44"/>
          <w:highlight w:val="none"/>
        </w:rPr>
        <w:t>第四章  竞争性谈判响应文件格式</w:t>
      </w:r>
      <w:bookmarkEnd w:id="67"/>
      <w:bookmarkEnd w:id="68"/>
      <w:bookmarkEnd w:id="69"/>
      <w:bookmarkEnd w:id="70"/>
      <w:bookmarkEnd w:id="71"/>
      <w:bookmarkEnd w:id="72"/>
    </w:p>
    <w:p>
      <w:pPr>
        <w:spacing w:line="500" w:lineRule="exact"/>
        <w:rPr>
          <w:rFonts w:ascii="宋体" w:hAnsi="宋体" w:eastAsia="宋体" w:cs="宋体"/>
          <w:sz w:val="24"/>
          <w:highlight w:val="none"/>
        </w:rPr>
      </w:pPr>
    </w:p>
    <w:p>
      <w:pPr>
        <w:snapToGrid w:val="0"/>
        <w:spacing w:before="156" w:beforeLines="50" w:after="50" w:line="360" w:lineRule="exact"/>
        <w:ind w:firstLine="354" w:firstLineChars="147"/>
        <w:outlineLvl w:val="1"/>
        <w:rPr>
          <w:rFonts w:ascii="宋体" w:hAnsi="宋体" w:eastAsia="宋体" w:cs="宋体"/>
          <w:b/>
          <w:bCs/>
          <w:sz w:val="24"/>
          <w:highlight w:val="none"/>
        </w:rPr>
      </w:pPr>
      <w:bookmarkStart w:id="73" w:name="_Toc6923308"/>
      <w:bookmarkStart w:id="74" w:name="_Toc30702"/>
      <w:r>
        <w:rPr>
          <w:rFonts w:hint="eastAsia" w:ascii="宋体" w:hAnsi="宋体" w:eastAsia="宋体" w:cs="宋体"/>
          <w:b/>
          <w:bCs/>
          <w:sz w:val="24"/>
          <w:highlight w:val="none"/>
        </w:rPr>
        <w:t xml:space="preserve">一、 </w:t>
      </w:r>
      <w:r>
        <w:rPr>
          <w:rFonts w:hint="eastAsia" w:ascii="宋体" w:hAnsi="宋体" w:eastAsia="宋体" w:cs="宋体"/>
          <w:b/>
          <w:sz w:val="24"/>
          <w:highlight w:val="none"/>
        </w:rPr>
        <w:t>竞争性谈判响应文件</w:t>
      </w:r>
      <w:r>
        <w:rPr>
          <w:rFonts w:hint="eastAsia" w:ascii="宋体" w:hAnsi="宋体" w:eastAsia="宋体" w:cs="宋体"/>
          <w:b/>
          <w:bCs/>
          <w:sz w:val="24"/>
          <w:highlight w:val="none"/>
        </w:rPr>
        <w:t>外包装封面及</w:t>
      </w:r>
      <w:r>
        <w:rPr>
          <w:rFonts w:hint="eastAsia" w:ascii="宋体" w:hAnsi="宋体" w:eastAsia="宋体" w:cs="宋体"/>
          <w:b/>
          <w:sz w:val="24"/>
          <w:highlight w:val="none"/>
        </w:rPr>
        <w:t>竞争性谈判响应文件封面</w:t>
      </w:r>
      <w:r>
        <w:rPr>
          <w:rFonts w:hint="eastAsia" w:ascii="宋体" w:hAnsi="宋体" w:eastAsia="宋体" w:cs="宋体"/>
          <w:b/>
          <w:bCs/>
          <w:sz w:val="24"/>
          <w:highlight w:val="none"/>
        </w:rPr>
        <w:t>格式</w:t>
      </w:r>
      <w:bookmarkEnd w:id="73"/>
      <w:bookmarkEnd w:id="74"/>
    </w:p>
    <w:p>
      <w:pPr>
        <w:snapToGrid w:val="0"/>
        <w:spacing w:before="156" w:beforeLines="50" w:after="50" w:line="360" w:lineRule="exact"/>
        <w:rPr>
          <w:rFonts w:ascii="宋体" w:hAnsi="宋体" w:eastAsia="宋体" w:cs="宋体"/>
          <w:b/>
          <w:sz w:val="24"/>
          <w:highlight w:val="none"/>
        </w:rPr>
      </w:pPr>
    </w:p>
    <w:p>
      <w:pPr>
        <w:snapToGrid w:val="0"/>
        <w:spacing w:before="156" w:beforeLines="50" w:after="50" w:line="360" w:lineRule="exact"/>
        <w:ind w:firstLine="723" w:firstLineChars="300"/>
        <w:rPr>
          <w:rFonts w:ascii="宋体" w:hAnsi="宋体" w:eastAsia="宋体" w:cs="宋体"/>
          <w:b/>
          <w:sz w:val="24"/>
          <w:highlight w:val="none"/>
        </w:rPr>
      </w:pPr>
      <w:r>
        <w:rPr>
          <w:rFonts w:hint="eastAsia" w:ascii="宋体" w:hAnsi="宋体" w:eastAsia="宋体" w:cs="宋体"/>
          <w:b/>
          <w:sz w:val="24"/>
          <w:highlight w:val="none"/>
        </w:rPr>
        <w:t xml:space="preserve">（一）竞争性谈判响应文件的外包装封面格式： </w:t>
      </w:r>
    </w:p>
    <w:p>
      <w:pPr>
        <w:snapToGrid w:val="0"/>
        <w:spacing w:before="156" w:beforeLines="50" w:after="50" w:line="360" w:lineRule="exact"/>
        <w:rPr>
          <w:rFonts w:ascii="宋体" w:hAnsi="宋体" w:eastAsia="宋体" w:cs="宋体"/>
          <w:sz w:val="24"/>
          <w:highlight w:val="none"/>
        </w:rPr>
      </w:pPr>
    </w:p>
    <w:p>
      <w:pPr>
        <w:snapToGrid w:val="0"/>
        <w:spacing w:before="156" w:beforeLines="50" w:after="50" w:line="360" w:lineRule="exact"/>
        <w:jc w:val="center"/>
        <w:rPr>
          <w:rFonts w:ascii="宋体" w:hAnsi="宋体" w:eastAsia="宋体" w:cs="宋体"/>
          <w:sz w:val="24"/>
          <w:highlight w:val="none"/>
        </w:rPr>
      </w:pPr>
      <w:bookmarkStart w:id="75" w:name="_Toc21306"/>
      <w:r>
        <w:rPr>
          <w:rFonts w:hint="eastAsia" w:ascii="宋体" w:hAnsi="宋体" w:eastAsia="宋体" w:cs="宋体"/>
          <w:sz w:val="24"/>
          <w:highlight w:val="none"/>
        </w:rPr>
        <w:t>竞争性谈判响应文件</w:t>
      </w:r>
      <w:bookmarkEnd w:id="75"/>
    </w:p>
    <w:p>
      <w:pPr>
        <w:snapToGrid w:val="0"/>
        <w:spacing w:before="156" w:beforeLines="50" w:after="50" w:line="360" w:lineRule="exact"/>
        <w:ind w:firstLine="720" w:firstLineChars="300"/>
        <w:rPr>
          <w:rFonts w:ascii="宋体" w:hAnsi="宋体" w:eastAsia="宋体" w:cs="宋体"/>
          <w:bCs/>
          <w:sz w:val="24"/>
          <w:highlight w:val="none"/>
        </w:rPr>
      </w:pPr>
      <w:r>
        <w:rPr>
          <w:rFonts w:hint="eastAsia" w:ascii="宋体" w:hAnsi="宋体" w:eastAsia="宋体" w:cs="宋体"/>
          <w:sz w:val="24"/>
          <w:highlight w:val="none"/>
        </w:rPr>
        <w:t>项目名称</w:t>
      </w:r>
      <w:r>
        <w:rPr>
          <w:rFonts w:hint="eastAsia" w:ascii="宋体" w:hAnsi="宋体" w:eastAsia="宋体" w:cs="宋体"/>
          <w:bCs/>
          <w:sz w:val="24"/>
          <w:highlight w:val="none"/>
        </w:rPr>
        <w:t>：</w:t>
      </w:r>
    </w:p>
    <w:p>
      <w:pPr>
        <w:snapToGrid w:val="0"/>
        <w:spacing w:before="156" w:beforeLines="50" w:after="50" w:line="360" w:lineRule="exact"/>
        <w:ind w:firstLine="720" w:firstLineChars="300"/>
        <w:rPr>
          <w:rFonts w:ascii="宋体" w:hAnsi="宋体" w:eastAsia="宋体" w:cs="宋体"/>
          <w:bCs/>
          <w:sz w:val="24"/>
          <w:highlight w:val="none"/>
        </w:rPr>
      </w:pPr>
      <w:r>
        <w:rPr>
          <w:rFonts w:hint="eastAsia" w:ascii="宋体" w:hAnsi="宋体" w:eastAsia="宋体" w:cs="宋体"/>
          <w:sz w:val="24"/>
          <w:highlight w:val="none"/>
        </w:rPr>
        <w:t>项目编号</w:t>
      </w:r>
      <w:r>
        <w:rPr>
          <w:rFonts w:hint="eastAsia" w:ascii="宋体" w:hAnsi="宋体" w:eastAsia="宋体" w:cs="宋体"/>
          <w:bCs/>
          <w:sz w:val="24"/>
          <w:highlight w:val="none"/>
        </w:rPr>
        <w:t>：</w:t>
      </w:r>
    </w:p>
    <w:p>
      <w:pPr>
        <w:snapToGrid w:val="0"/>
        <w:spacing w:before="156" w:beforeLines="50" w:after="50" w:line="360" w:lineRule="exact"/>
        <w:ind w:firstLine="720" w:firstLineChars="300"/>
        <w:rPr>
          <w:rFonts w:ascii="宋体" w:hAnsi="宋体" w:eastAsia="宋体" w:cs="宋体"/>
          <w:bCs/>
          <w:sz w:val="24"/>
          <w:highlight w:val="none"/>
        </w:rPr>
      </w:pPr>
      <w:r>
        <w:rPr>
          <w:rFonts w:hint="eastAsia" w:ascii="宋体" w:hAnsi="宋体" w:eastAsia="宋体" w:cs="宋体"/>
          <w:bCs/>
          <w:sz w:val="24"/>
          <w:highlight w:val="none"/>
        </w:rPr>
        <w:t xml:space="preserve">所竞分标号： </w:t>
      </w:r>
    </w:p>
    <w:p>
      <w:pPr>
        <w:pStyle w:val="5"/>
        <w:snapToGrid w:val="0"/>
        <w:spacing w:before="50" w:after="50" w:line="440" w:lineRule="exact"/>
        <w:ind w:firstLine="720" w:firstLineChars="300"/>
        <w:rPr>
          <w:rFonts w:ascii="宋体" w:hAnsi="宋体" w:eastAsia="宋体" w:cs="宋体"/>
          <w:bCs/>
          <w:sz w:val="24"/>
          <w:szCs w:val="24"/>
          <w:highlight w:val="none"/>
        </w:rPr>
      </w:pPr>
      <w:r>
        <w:rPr>
          <w:rFonts w:hint="eastAsia" w:ascii="宋体" w:hAnsi="宋体" w:eastAsia="宋体" w:cs="宋体"/>
          <w:sz w:val="24"/>
          <w:szCs w:val="24"/>
          <w:highlight w:val="none"/>
        </w:rPr>
        <w:t>谈判供应商名称</w:t>
      </w:r>
      <w:r>
        <w:rPr>
          <w:rFonts w:hint="eastAsia" w:ascii="宋体" w:hAnsi="宋体" w:eastAsia="宋体" w:cs="宋体"/>
          <w:bCs/>
          <w:sz w:val="24"/>
          <w:szCs w:val="24"/>
          <w:highlight w:val="none"/>
        </w:rPr>
        <w:t>：</w:t>
      </w:r>
    </w:p>
    <w:p>
      <w:pPr>
        <w:pStyle w:val="5"/>
        <w:snapToGrid w:val="0"/>
        <w:spacing w:before="50" w:after="50" w:line="360" w:lineRule="exact"/>
        <w:ind w:firstLine="720" w:firstLineChars="300"/>
        <w:rPr>
          <w:rFonts w:ascii="宋体" w:hAnsi="宋体" w:eastAsia="宋体" w:cs="宋体"/>
          <w:bCs/>
          <w:sz w:val="24"/>
          <w:szCs w:val="24"/>
          <w:highlight w:val="none"/>
        </w:rPr>
      </w:pPr>
      <w:r>
        <w:rPr>
          <w:rFonts w:hint="eastAsia" w:ascii="宋体" w:hAnsi="宋体" w:eastAsia="宋体" w:cs="宋体"/>
          <w:bCs/>
          <w:sz w:val="24"/>
          <w:szCs w:val="24"/>
          <w:highlight w:val="none"/>
        </w:rPr>
        <w:t>（截标时才能启封）</w:t>
      </w:r>
    </w:p>
    <w:p>
      <w:pPr>
        <w:pStyle w:val="5"/>
        <w:snapToGrid w:val="0"/>
        <w:spacing w:before="50" w:after="50" w:line="360" w:lineRule="exact"/>
        <w:ind w:firstLine="720" w:firstLineChars="300"/>
        <w:rPr>
          <w:rFonts w:ascii="宋体" w:hAnsi="宋体" w:eastAsia="宋体" w:cs="宋体"/>
          <w:bCs/>
          <w:sz w:val="24"/>
          <w:szCs w:val="24"/>
          <w:highlight w:val="none"/>
        </w:rPr>
      </w:pPr>
    </w:p>
    <w:p>
      <w:pPr>
        <w:snapToGrid w:val="0"/>
        <w:spacing w:before="156" w:beforeLines="50" w:after="50" w:line="360" w:lineRule="exact"/>
        <w:ind w:firstLine="723" w:firstLineChars="300"/>
        <w:rPr>
          <w:rFonts w:ascii="宋体" w:hAnsi="宋体" w:eastAsia="宋体" w:cs="宋体"/>
          <w:b/>
          <w:sz w:val="24"/>
          <w:highlight w:val="none"/>
        </w:rPr>
      </w:pPr>
      <w:bookmarkStart w:id="76" w:name="_Toc11063"/>
      <w:r>
        <w:rPr>
          <w:rFonts w:hint="eastAsia" w:ascii="宋体" w:hAnsi="宋体" w:eastAsia="宋体" w:cs="宋体"/>
          <w:b/>
          <w:sz w:val="24"/>
          <w:highlight w:val="none"/>
        </w:rPr>
        <w:t>（二）竞争性谈判响应文件封面格式：</w:t>
      </w:r>
      <w:bookmarkEnd w:id="76"/>
    </w:p>
    <w:p>
      <w:pPr>
        <w:snapToGrid w:val="0"/>
        <w:spacing w:before="156" w:beforeLines="50" w:after="50" w:line="360" w:lineRule="exact"/>
        <w:ind w:left="7228" w:hanging="7228" w:hangingChars="3000"/>
        <w:rPr>
          <w:rFonts w:ascii="宋体" w:hAnsi="宋体" w:eastAsia="宋体" w:cs="宋体"/>
          <w:bCs/>
          <w:sz w:val="24"/>
          <w:highlight w:val="none"/>
        </w:rPr>
      </w:pPr>
      <w:r>
        <w:rPr>
          <w:rFonts w:hint="eastAsia" w:ascii="宋体" w:hAnsi="宋体" w:eastAsia="宋体" w:cs="宋体"/>
          <w:b/>
          <w:bCs/>
          <w:sz w:val="24"/>
          <w:highlight w:val="none"/>
        </w:rPr>
        <w:t>（正/副本）</w:t>
      </w:r>
    </w:p>
    <w:p>
      <w:pPr>
        <w:snapToGrid w:val="0"/>
        <w:spacing w:before="156" w:beforeLines="50" w:after="50" w:line="360" w:lineRule="exact"/>
        <w:jc w:val="center"/>
        <w:rPr>
          <w:rFonts w:ascii="宋体" w:hAnsi="宋体" w:eastAsia="宋体" w:cs="宋体"/>
          <w:sz w:val="24"/>
          <w:highlight w:val="none"/>
        </w:rPr>
      </w:pPr>
      <w:bookmarkStart w:id="77" w:name="_Toc13326"/>
      <w:r>
        <w:rPr>
          <w:rFonts w:hint="eastAsia" w:ascii="宋体" w:hAnsi="宋体" w:eastAsia="宋体" w:cs="宋体"/>
          <w:sz w:val="24"/>
          <w:highlight w:val="none"/>
        </w:rPr>
        <w:t>竞争性谈判响应文件（封面）</w:t>
      </w:r>
      <w:bookmarkEnd w:id="77"/>
    </w:p>
    <w:p>
      <w:pPr>
        <w:spacing w:line="50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项目名称：</w:t>
      </w:r>
    </w:p>
    <w:p>
      <w:pPr>
        <w:snapToGrid w:val="0"/>
        <w:spacing w:before="156" w:beforeLines="50" w:after="50" w:line="36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bCs/>
          <w:sz w:val="24"/>
          <w:highlight w:val="none"/>
        </w:rPr>
        <w:t>：</w:t>
      </w:r>
    </w:p>
    <w:p>
      <w:pPr>
        <w:spacing w:line="500" w:lineRule="exact"/>
        <w:ind w:firstLine="480" w:firstLineChars="200"/>
        <w:rPr>
          <w:rFonts w:ascii="宋体" w:hAnsi="宋体" w:eastAsia="宋体" w:cs="宋体"/>
          <w:sz w:val="24"/>
          <w:highlight w:val="none"/>
          <w:u w:val="single"/>
        </w:rPr>
      </w:pPr>
      <w:r>
        <w:rPr>
          <w:rFonts w:hint="eastAsia" w:ascii="宋体" w:hAnsi="宋体" w:eastAsia="宋体" w:cs="宋体"/>
          <w:bCs/>
          <w:sz w:val="24"/>
          <w:highlight w:val="none"/>
        </w:rPr>
        <w:t>所竞分标号</w:t>
      </w:r>
      <w:r>
        <w:rPr>
          <w:rFonts w:hint="eastAsia" w:ascii="宋体" w:hAnsi="宋体" w:eastAsia="宋体" w:cs="宋体"/>
          <w:sz w:val="24"/>
          <w:highlight w:val="none"/>
        </w:rPr>
        <w:t>：</w:t>
      </w:r>
    </w:p>
    <w:p>
      <w:pPr>
        <w:snapToGrid w:val="0"/>
        <w:spacing w:before="156" w:beforeLines="50" w:after="50" w:line="360" w:lineRule="exact"/>
        <w:ind w:firstLine="480" w:firstLineChars="200"/>
        <w:rPr>
          <w:rFonts w:ascii="宋体" w:hAnsi="宋体" w:eastAsia="宋体" w:cs="宋体"/>
          <w:bCs/>
          <w:sz w:val="24"/>
          <w:highlight w:val="none"/>
        </w:rPr>
      </w:pPr>
      <w:r>
        <w:rPr>
          <w:rFonts w:hint="eastAsia" w:ascii="宋体" w:hAnsi="宋体" w:eastAsia="宋体" w:cs="宋体"/>
          <w:sz w:val="24"/>
          <w:highlight w:val="none"/>
        </w:rPr>
        <w:t>谈判供应商名称</w:t>
      </w:r>
      <w:r>
        <w:rPr>
          <w:rFonts w:hint="eastAsia" w:ascii="宋体" w:hAnsi="宋体" w:eastAsia="宋体" w:cs="宋体"/>
          <w:bCs/>
          <w:sz w:val="24"/>
          <w:highlight w:val="none"/>
        </w:rPr>
        <w:t>：</w:t>
      </w:r>
    </w:p>
    <w:p>
      <w:pPr>
        <w:spacing w:line="500" w:lineRule="exact"/>
        <w:jc w:val="center"/>
        <w:rPr>
          <w:rFonts w:ascii="宋体" w:hAnsi="宋体" w:eastAsia="宋体" w:cs="宋体"/>
          <w:sz w:val="24"/>
          <w:highlight w:val="none"/>
        </w:rPr>
      </w:pPr>
    </w:p>
    <w:p>
      <w:pPr>
        <w:snapToGrid w:val="0"/>
        <w:spacing w:before="156" w:beforeLines="50" w:after="50" w:line="360" w:lineRule="exact"/>
        <w:jc w:val="center"/>
        <w:outlineLvl w:val="1"/>
        <w:rPr>
          <w:rFonts w:ascii="宋体" w:hAnsi="宋体" w:eastAsia="宋体" w:cs="宋体"/>
          <w:sz w:val="24"/>
          <w:highlight w:val="none"/>
        </w:rPr>
      </w:pPr>
      <w:r>
        <w:rPr>
          <w:rFonts w:hint="eastAsia" w:ascii="宋体" w:hAnsi="宋体" w:eastAsia="宋体" w:cs="宋体"/>
          <w:sz w:val="24"/>
          <w:highlight w:val="none"/>
        </w:rPr>
        <w:t xml:space="preserve">                                                 </w:t>
      </w:r>
      <w:bookmarkStart w:id="78" w:name="_Toc6923309"/>
      <w:r>
        <w:rPr>
          <w:rFonts w:hint="eastAsia" w:ascii="宋体" w:hAnsi="宋体" w:eastAsia="宋体" w:cs="宋体"/>
          <w:sz w:val="24"/>
          <w:highlight w:val="none"/>
        </w:rPr>
        <w:t>年      月      日</w:t>
      </w:r>
      <w:bookmarkEnd w:id="78"/>
    </w:p>
    <w:p>
      <w:pPr>
        <w:spacing w:line="520" w:lineRule="exact"/>
        <w:rPr>
          <w:rFonts w:ascii="宋体" w:hAnsi="宋体" w:eastAsia="宋体" w:cs="宋体"/>
          <w:b/>
          <w:sz w:val="24"/>
          <w:highlight w:val="none"/>
        </w:rPr>
      </w:pPr>
      <w:r>
        <w:rPr>
          <w:rFonts w:hint="eastAsia" w:ascii="宋体" w:hAnsi="宋体" w:eastAsia="宋体" w:cs="宋体"/>
          <w:b/>
          <w:sz w:val="24"/>
          <w:highlight w:val="none"/>
        </w:rPr>
        <w:br w:type="page"/>
      </w:r>
    </w:p>
    <w:p>
      <w:pPr>
        <w:spacing w:line="520" w:lineRule="exact"/>
        <w:jc w:val="center"/>
        <w:rPr>
          <w:rFonts w:ascii="宋体" w:hAnsi="宋体" w:eastAsia="宋体" w:cs="宋体"/>
          <w:b/>
          <w:sz w:val="28"/>
          <w:szCs w:val="28"/>
          <w:highlight w:val="none"/>
        </w:rPr>
      </w:pPr>
      <w:bookmarkStart w:id="79" w:name="_Toc32667"/>
      <w:r>
        <w:rPr>
          <w:rFonts w:hint="eastAsia" w:ascii="宋体" w:hAnsi="宋体" w:eastAsia="宋体" w:cs="宋体"/>
          <w:b/>
          <w:sz w:val="28"/>
          <w:szCs w:val="28"/>
          <w:highlight w:val="none"/>
        </w:rPr>
        <w:t>谈 判 书</w:t>
      </w:r>
      <w:bookmarkEnd w:id="79"/>
    </w:p>
    <w:p>
      <w:pPr>
        <w:spacing w:line="520" w:lineRule="exact"/>
        <w:jc w:val="center"/>
        <w:rPr>
          <w:rFonts w:ascii="宋体" w:hAnsi="宋体" w:eastAsia="宋体" w:cs="宋体"/>
          <w:b/>
          <w:sz w:val="24"/>
          <w:highlight w:val="none"/>
        </w:rPr>
      </w:pPr>
    </w:p>
    <w:p>
      <w:pPr>
        <w:pStyle w:val="8"/>
        <w:spacing w:line="520" w:lineRule="exact"/>
        <w:rPr>
          <w:rFonts w:hAnsi="宋体" w:eastAsia="宋体" w:cs="宋体"/>
          <w:sz w:val="24"/>
          <w:szCs w:val="24"/>
          <w:highlight w:val="none"/>
        </w:rPr>
      </w:pPr>
      <w:r>
        <w:rPr>
          <w:rFonts w:hint="eastAsia" w:hAnsi="宋体" w:eastAsia="宋体" w:cs="宋体"/>
          <w:sz w:val="24"/>
          <w:szCs w:val="24"/>
          <w:highlight w:val="none"/>
          <w:u w:val="single"/>
        </w:rPr>
        <w:t>采购代理机构名称</w:t>
      </w:r>
      <w:r>
        <w:rPr>
          <w:rFonts w:hint="eastAsia" w:hAnsi="宋体" w:eastAsia="宋体" w:cs="宋体"/>
          <w:sz w:val="24"/>
          <w:szCs w:val="24"/>
          <w:highlight w:val="none"/>
        </w:rPr>
        <w:t>：</w:t>
      </w:r>
    </w:p>
    <w:p>
      <w:pPr>
        <w:pStyle w:val="8"/>
        <w:spacing w:line="520" w:lineRule="exact"/>
        <w:ind w:firstLine="480"/>
        <w:rPr>
          <w:rFonts w:hAnsi="宋体" w:eastAsia="宋体" w:cs="宋体"/>
          <w:sz w:val="24"/>
          <w:szCs w:val="24"/>
          <w:highlight w:val="none"/>
        </w:rPr>
      </w:pPr>
      <w:r>
        <w:rPr>
          <w:rFonts w:hint="eastAsia" w:hAnsi="宋体" w:eastAsia="宋体" w:cs="宋体"/>
          <w:sz w:val="24"/>
          <w:szCs w:val="24"/>
          <w:highlight w:val="none"/>
        </w:rPr>
        <w:t>依据贵方</w:t>
      </w:r>
      <w:r>
        <w:rPr>
          <w:rFonts w:hint="eastAsia" w:hAnsi="宋体" w:eastAsia="宋体" w:cs="宋体"/>
          <w:sz w:val="24"/>
          <w:szCs w:val="24"/>
          <w:highlight w:val="none"/>
          <w:u w:val="single"/>
        </w:rPr>
        <w:t>（项目名称/项目编号）</w:t>
      </w:r>
      <w:r>
        <w:rPr>
          <w:rFonts w:hint="eastAsia" w:hAnsi="宋体" w:eastAsia="宋体" w:cs="宋体"/>
          <w:sz w:val="24"/>
          <w:szCs w:val="24"/>
          <w:highlight w:val="none"/>
        </w:rPr>
        <w:t>项目政府采购的谈判邀请，我方</w:t>
      </w:r>
      <w:r>
        <w:rPr>
          <w:rFonts w:hint="eastAsia" w:hAnsi="宋体" w:eastAsia="宋体" w:cs="宋体"/>
          <w:sz w:val="24"/>
          <w:szCs w:val="24"/>
          <w:highlight w:val="none"/>
          <w:u w:val="single"/>
        </w:rPr>
        <w:t>（姓名和职务）</w:t>
      </w:r>
      <w:r>
        <w:rPr>
          <w:rFonts w:hint="eastAsia" w:hAnsi="宋体" w:eastAsia="宋体" w:cs="宋体"/>
          <w:sz w:val="24"/>
          <w:szCs w:val="24"/>
          <w:highlight w:val="none"/>
        </w:rPr>
        <w:t>经正式授权并代表本单位</w:t>
      </w:r>
      <w:r>
        <w:rPr>
          <w:rFonts w:hint="eastAsia" w:hAnsi="宋体" w:eastAsia="宋体" w:cs="宋体"/>
          <w:sz w:val="24"/>
          <w:szCs w:val="24"/>
          <w:highlight w:val="none"/>
          <w:u w:val="single"/>
        </w:rPr>
        <w:t>（谈判供应商名称、地址）</w:t>
      </w:r>
      <w:r>
        <w:rPr>
          <w:rFonts w:hint="eastAsia" w:hAnsi="宋体" w:eastAsia="宋体" w:cs="宋体"/>
          <w:sz w:val="24"/>
          <w:szCs w:val="24"/>
          <w:highlight w:val="none"/>
        </w:rPr>
        <w:t>提交下述竞争性谈判响应文件</w:t>
      </w:r>
      <w:r>
        <w:rPr>
          <w:rFonts w:hint="eastAsia" w:hAnsi="宋体" w:eastAsia="宋体" w:cs="宋体"/>
          <w:b/>
          <w:sz w:val="24"/>
          <w:szCs w:val="24"/>
          <w:highlight w:val="none"/>
        </w:rPr>
        <w:t>（价格文件、商务技术文件），其中</w:t>
      </w:r>
      <w:r>
        <w:rPr>
          <w:rFonts w:hint="eastAsia" w:hAnsi="宋体" w:eastAsia="宋体" w:cs="宋体"/>
          <w:sz w:val="24"/>
          <w:szCs w:val="24"/>
          <w:highlight w:val="none"/>
        </w:rPr>
        <w:t>正本一份、副本</w:t>
      </w:r>
      <w:r>
        <w:rPr>
          <w:rFonts w:hint="eastAsia" w:hAnsi="宋体" w:eastAsia="宋体" w:cs="宋体"/>
          <w:sz w:val="24"/>
          <w:szCs w:val="24"/>
          <w:highlight w:val="none"/>
          <w:u w:val="single"/>
        </w:rPr>
        <w:t>贰</w:t>
      </w:r>
      <w:r>
        <w:rPr>
          <w:rFonts w:hint="eastAsia" w:hAnsi="宋体" w:eastAsia="宋体" w:cs="宋体"/>
          <w:sz w:val="24"/>
          <w:szCs w:val="24"/>
          <w:highlight w:val="none"/>
        </w:rPr>
        <w:t>份，投标文件电子版一份。</w:t>
      </w:r>
    </w:p>
    <w:p>
      <w:pPr>
        <w:pStyle w:val="8"/>
        <w:spacing w:line="520" w:lineRule="exact"/>
        <w:ind w:firstLine="480"/>
        <w:rPr>
          <w:rFonts w:hAnsi="宋体" w:eastAsia="宋体" w:cs="宋体"/>
          <w:sz w:val="24"/>
          <w:szCs w:val="24"/>
          <w:highlight w:val="none"/>
        </w:rPr>
      </w:pPr>
      <w:bookmarkStart w:id="80" w:name="_Toc7464"/>
      <w:r>
        <w:rPr>
          <w:rFonts w:hint="eastAsia" w:hAnsi="宋体" w:eastAsia="宋体" w:cs="宋体"/>
          <w:sz w:val="24"/>
          <w:szCs w:val="24"/>
          <w:highlight w:val="none"/>
        </w:rPr>
        <w:t>1. 报价表；</w:t>
      </w:r>
      <w:bookmarkEnd w:id="80"/>
    </w:p>
    <w:p>
      <w:pPr>
        <w:pStyle w:val="8"/>
        <w:spacing w:line="520" w:lineRule="exact"/>
        <w:ind w:firstLine="480"/>
        <w:rPr>
          <w:rFonts w:hAnsi="宋体" w:eastAsia="宋体" w:cs="宋体"/>
          <w:sz w:val="24"/>
          <w:szCs w:val="24"/>
          <w:highlight w:val="none"/>
        </w:rPr>
      </w:pPr>
      <w:bookmarkStart w:id="81" w:name="_Toc23362"/>
      <w:r>
        <w:rPr>
          <w:rFonts w:hint="eastAsia" w:hAnsi="宋体" w:eastAsia="宋体" w:cs="宋体"/>
          <w:sz w:val="24"/>
          <w:szCs w:val="24"/>
          <w:highlight w:val="none"/>
        </w:rPr>
        <w:t>2. 商务、技术响应、偏离情况说明表；</w:t>
      </w:r>
      <w:bookmarkEnd w:id="81"/>
    </w:p>
    <w:p>
      <w:pPr>
        <w:pStyle w:val="8"/>
        <w:spacing w:line="520" w:lineRule="exact"/>
        <w:ind w:firstLine="480"/>
        <w:rPr>
          <w:rFonts w:hAnsi="宋体" w:eastAsia="宋体" w:cs="宋体"/>
          <w:sz w:val="24"/>
          <w:szCs w:val="24"/>
          <w:highlight w:val="none"/>
        </w:rPr>
      </w:pPr>
      <w:bookmarkStart w:id="82" w:name="_Toc10343"/>
      <w:r>
        <w:rPr>
          <w:rFonts w:hint="eastAsia" w:hAnsi="宋体" w:eastAsia="宋体" w:cs="宋体"/>
          <w:sz w:val="24"/>
          <w:szCs w:val="24"/>
          <w:highlight w:val="none"/>
        </w:rPr>
        <w:t>3. 资格证明文件；</w:t>
      </w:r>
      <w:bookmarkEnd w:id="82"/>
    </w:p>
    <w:p>
      <w:pPr>
        <w:pStyle w:val="8"/>
        <w:spacing w:line="520" w:lineRule="exact"/>
        <w:ind w:firstLine="480"/>
        <w:rPr>
          <w:rFonts w:hAnsi="宋体" w:eastAsia="宋体" w:cs="宋体"/>
          <w:sz w:val="24"/>
          <w:szCs w:val="24"/>
          <w:highlight w:val="none"/>
        </w:rPr>
      </w:pPr>
      <w:bookmarkStart w:id="83" w:name="_Toc1937"/>
      <w:r>
        <w:rPr>
          <w:rFonts w:hint="eastAsia" w:hAnsi="宋体" w:eastAsia="宋体" w:cs="宋体"/>
          <w:sz w:val="24"/>
          <w:szCs w:val="24"/>
          <w:highlight w:val="none"/>
        </w:rPr>
        <w:t>4. 按竞争性谈判文件谈判供应商须知和采购需求提供的有关文件；</w:t>
      </w:r>
      <w:bookmarkEnd w:id="83"/>
    </w:p>
    <w:p>
      <w:pPr>
        <w:pStyle w:val="8"/>
        <w:spacing w:line="520" w:lineRule="exact"/>
        <w:ind w:firstLine="360" w:firstLineChars="150"/>
        <w:rPr>
          <w:rFonts w:hAnsi="宋体" w:eastAsia="宋体" w:cs="宋体"/>
          <w:sz w:val="24"/>
          <w:szCs w:val="24"/>
          <w:highlight w:val="none"/>
        </w:rPr>
      </w:pPr>
      <w:r>
        <w:rPr>
          <w:rFonts w:hint="eastAsia" w:hAnsi="宋体" w:eastAsia="宋体" w:cs="宋体"/>
          <w:sz w:val="24"/>
          <w:szCs w:val="24"/>
          <w:highlight w:val="none"/>
        </w:rPr>
        <w:t>在此，授权代表宣布同意如下：</w:t>
      </w:r>
    </w:p>
    <w:p>
      <w:pPr>
        <w:pStyle w:val="8"/>
        <w:spacing w:line="520" w:lineRule="exact"/>
        <w:ind w:firstLine="600" w:firstLineChars="250"/>
        <w:rPr>
          <w:rFonts w:hAnsi="宋体" w:eastAsia="宋体" w:cs="宋体"/>
          <w:sz w:val="24"/>
          <w:szCs w:val="24"/>
          <w:highlight w:val="none"/>
        </w:rPr>
      </w:pPr>
      <w:r>
        <w:rPr>
          <w:rFonts w:hint="eastAsia" w:hAnsi="宋体" w:eastAsia="宋体" w:cs="宋体"/>
          <w:sz w:val="24"/>
          <w:szCs w:val="24"/>
          <w:highlight w:val="none"/>
        </w:rPr>
        <w:t>1. 将按竞争性谈判文件的约定履行合同责任和义务；</w:t>
      </w:r>
    </w:p>
    <w:p>
      <w:pPr>
        <w:pStyle w:val="8"/>
        <w:spacing w:line="520" w:lineRule="exact"/>
        <w:ind w:firstLine="616" w:firstLineChars="257"/>
        <w:rPr>
          <w:rFonts w:hAnsi="宋体" w:eastAsia="宋体" w:cs="宋体"/>
          <w:sz w:val="24"/>
          <w:szCs w:val="24"/>
          <w:highlight w:val="none"/>
        </w:rPr>
      </w:pPr>
      <w:r>
        <w:rPr>
          <w:rFonts w:hint="eastAsia" w:hAnsi="宋体" w:eastAsia="宋体" w:cs="宋体"/>
          <w:sz w:val="24"/>
          <w:szCs w:val="24"/>
          <w:highlight w:val="none"/>
        </w:rPr>
        <w:t>2. 已详细审查全部竞争性谈判文件，包括</w:t>
      </w:r>
      <w:r>
        <w:rPr>
          <w:rFonts w:hint="eastAsia" w:hAnsi="宋体" w:eastAsia="宋体" w:cs="宋体"/>
          <w:sz w:val="24"/>
          <w:szCs w:val="24"/>
          <w:highlight w:val="none"/>
          <w:u w:val="single"/>
        </w:rPr>
        <w:t>（补遗文件）（如果有的话）</w:t>
      </w:r>
      <w:r>
        <w:rPr>
          <w:rFonts w:hint="eastAsia" w:hAnsi="宋体" w:eastAsia="宋体" w:cs="宋体"/>
          <w:sz w:val="24"/>
          <w:szCs w:val="24"/>
          <w:highlight w:val="none"/>
        </w:rPr>
        <w:t>；</w:t>
      </w:r>
    </w:p>
    <w:p>
      <w:pPr>
        <w:pStyle w:val="8"/>
        <w:spacing w:line="520" w:lineRule="exact"/>
        <w:ind w:left="2" w:firstLine="614" w:firstLineChars="256"/>
        <w:rPr>
          <w:rFonts w:hAnsi="宋体" w:eastAsia="宋体" w:cs="宋体"/>
          <w:sz w:val="24"/>
          <w:szCs w:val="24"/>
          <w:highlight w:val="none"/>
        </w:rPr>
      </w:pPr>
      <w:r>
        <w:rPr>
          <w:rFonts w:hint="eastAsia" w:hAnsi="宋体" w:eastAsia="宋体" w:cs="宋体"/>
          <w:sz w:val="24"/>
          <w:szCs w:val="24"/>
          <w:highlight w:val="none"/>
        </w:rPr>
        <w:t>3. 同意提供按照贵方可能要求的与其谈判有关的一切数据或资料；</w:t>
      </w:r>
    </w:p>
    <w:p>
      <w:pPr>
        <w:pStyle w:val="8"/>
        <w:spacing w:line="520" w:lineRule="exact"/>
        <w:ind w:firstLine="648" w:firstLineChars="270"/>
        <w:rPr>
          <w:rFonts w:hAnsi="宋体" w:eastAsia="宋体" w:cs="宋体"/>
          <w:sz w:val="24"/>
          <w:szCs w:val="24"/>
          <w:highlight w:val="none"/>
          <w:u w:val="single"/>
        </w:rPr>
      </w:pPr>
      <w:r>
        <w:rPr>
          <w:rFonts w:hint="eastAsia" w:hAnsi="宋体" w:eastAsia="宋体" w:cs="宋体"/>
          <w:sz w:val="24"/>
          <w:szCs w:val="24"/>
          <w:highlight w:val="none"/>
        </w:rPr>
        <w:t>4. 与本谈判有关的一切正式往来信函请寄：</w:t>
      </w:r>
    </w:p>
    <w:p>
      <w:pPr>
        <w:pStyle w:val="8"/>
        <w:spacing w:line="520" w:lineRule="exact"/>
        <w:ind w:firstLine="840"/>
        <w:rPr>
          <w:rFonts w:hAnsi="宋体" w:eastAsia="宋体" w:cs="宋体"/>
          <w:sz w:val="24"/>
          <w:szCs w:val="24"/>
          <w:highlight w:val="none"/>
          <w:u w:val="single"/>
        </w:rPr>
      </w:pPr>
      <w:r>
        <w:rPr>
          <w:rFonts w:hint="eastAsia" w:hAnsi="宋体" w:eastAsia="宋体" w:cs="宋体"/>
          <w:sz w:val="24"/>
          <w:szCs w:val="24"/>
          <w:highlight w:val="none"/>
        </w:rPr>
        <w:t>开户银行：  帐号/行号：</w:t>
      </w:r>
    </w:p>
    <w:p>
      <w:pPr>
        <w:pStyle w:val="8"/>
        <w:spacing w:line="520" w:lineRule="exact"/>
        <w:ind w:firstLine="840"/>
        <w:rPr>
          <w:rFonts w:hAnsi="宋体" w:eastAsia="宋体" w:cs="宋体"/>
          <w:sz w:val="24"/>
          <w:szCs w:val="24"/>
          <w:highlight w:val="none"/>
        </w:rPr>
      </w:pPr>
      <w:r>
        <w:rPr>
          <w:rFonts w:hint="eastAsia" w:hAnsi="宋体" w:eastAsia="宋体" w:cs="宋体"/>
          <w:sz w:val="24"/>
          <w:szCs w:val="24"/>
          <w:highlight w:val="none"/>
        </w:rPr>
        <w:t>电话/传真： 电子函件：</w:t>
      </w:r>
    </w:p>
    <w:p>
      <w:pPr>
        <w:pStyle w:val="8"/>
        <w:spacing w:line="520" w:lineRule="exact"/>
        <w:ind w:firstLine="840"/>
        <w:rPr>
          <w:rFonts w:hAnsi="宋体" w:eastAsia="宋体" w:cs="宋体"/>
          <w:sz w:val="24"/>
          <w:szCs w:val="24"/>
          <w:highlight w:val="none"/>
          <w:u w:val="single"/>
        </w:rPr>
      </w:pPr>
      <w:r>
        <w:rPr>
          <w:rFonts w:hint="eastAsia" w:hAnsi="宋体" w:eastAsia="宋体" w:cs="宋体"/>
          <w:sz w:val="24"/>
          <w:szCs w:val="24"/>
          <w:highlight w:val="none"/>
        </w:rPr>
        <w:t>日期：年月日</w:t>
      </w:r>
    </w:p>
    <w:p>
      <w:pPr>
        <w:pStyle w:val="8"/>
        <w:spacing w:line="520" w:lineRule="exact"/>
        <w:ind w:firstLine="840"/>
        <w:rPr>
          <w:rFonts w:hAnsi="宋体" w:eastAsia="宋体" w:cs="宋体"/>
          <w:sz w:val="24"/>
          <w:szCs w:val="24"/>
          <w:highlight w:val="none"/>
          <w:u w:val="single"/>
        </w:rPr>
      </w:pPr>
      <w:r>
        <w:rPr>
          <w:rFonts w:hint="eastAsia" w:hAnsi="宋体" w:eastAsia="宋体" w:cs="宋体"/>
          <w:sz w:val="24"/>
          <w:szCs w:val="24"/>
          <w:highlight w:val="none"/>
        </w:rPr>
        <w:t>法定代表人或委托代理人（被授权人）签字：</w:t>
      </w:r>
    </w:p>
    <w:p>
      <w:pPr>
        <w:pStyle w:val="8"/>
        <w:spacing w:line="520" w:lineRule="exact"/>
        <w:ind w:firstLine="840"/>
        <w:rPr>
          <w:rFonts w:hAnsi="宋体" w:eastAsia="宋体" w:cs="宋体"/>
          <w:sz w:val="24"/>
          <w:szCs w:val="24"/>
          <w:highlight w:val="none"/>
        </w:rPr>
      </w:pPr>
      <w:r>
        <w:rPr>
          <w:rFonts w:hint="eastAsia" w:hAnsi="宋体" w:eastAsia="宋体" w:cs="宋体"/>
          <w:sz w:val="24"/>
          <w:szCs w:val="24"/>
          <w:highlight w:val="none"/>
        </w:rPr>
        <w:t>谈判供应商名称（盖章）：</w:t>
      </w:r>
    </w:p>
    <w:p>
      <w:pPr>
        <w:pStyle w:val="8"/>
        <w:spacing w:line="520" w:lineRule="exact"/>
        <w:ind w:firstLine="840"/>
        <w:rPr>
          <w:rFonts w:hAnsi="宋体" w:eastAsia="宋体" w:cs="宋体"/>
          <w:sz w:val="24"/>
          <w:szCs w:val="24"/>
          <w:highlight w:val="none"/>
        </w:rPr>
      </w:pPr>
    </w:p>
    <w:p>
      <w:pPr>
        <w:spacing w:line="300" w:lineRule="auto"/>
        <w:rPr>
          <w:rFonts w:ascii="宋体" w:hAnsi="宋体" w:eastAsia="宋体" w:cs="宋体"/>
          <w:sz w:val="24"/>
          <w:highlight w:val="none"/>
        </w:rPr>
      </w:pPr>
    </w:p>
    <w:p>
      <w:pPr>
        <w:spacing w:line="500" w:lineRule="exact"/>
        <w:rPr>
          <w:rFonts w:ascii="宋体" w:hAnsi="宋体" w:eastAsia="宋体" w:cs="宋体"/>
          <w:b/>
          <w:sz w:val="24"/>
          <w:highlight w:val="none"/>
        </w:rPr>
      </w:pPr>
    </w:p>
    <w:p>
      <w:pPr>
        <w:spacing w:line="500" w:lineRule="exact"/>
        <w:rPr>
          <w:rFonts w:ascii="宋体" w:hAnsi="宋体" w:eastAsia="宋体" w:cs="宋体"/>
          <w:b/>
          <w:sz w:val="24"/>
          <w:highlight w:val="none"/>
        </w:rPr>
      </w:pPr>
    </w:p>
    <w:p>
      <w:pPr>
        <w:spacing w:line="500" w:lineRule="exact"/>
        <w:rPr>
          <w:rFonts w:ascii="宋体" w:hAnsi="宋体" w:eastAsia="宋体" w:cs="宋体"/>
          <w:b/>
          <w:sz w:val="24"/>
          <w:highlight w:val="none"/>
        </w:rPr>
      </w:pPr>
    </w:p>
    <w:p>
      <w:pPr>
        <w:spacing w:line="500" w:lineRule="exact"/>
        <w:rPr>
          <w:rFonts w:ascii="宋体" w:hAnsi="宋体" w:eastAsia="宋体" w:cs="宋体"/>
          <w:b/>
          <w:sz w:val="24"/>
          <w:highlight w:val="none"/>
        </w:rPr>
      </w:pPr>
    </w:p>
    <w:p>
      <w:pPr>
        <w:spacing w:line="500" w:lineRule="exact"/>
        <w:rPr>
          <w:rFonts w:ascii="宋体" w:hAnsi="宋体" w:eastAsia="宋体" w:cs="宋体"/>
          <w:b/>
          <w:sz w:val="24"/>
          <w:highlight w:val="none"/>
        </w:rPr>
      </w:pPr>
    </w:p>
    <w:p>
      <w:pPr>
        <w:spacing w:line="500" w:lineRule="exact"/>
        <w:rPr>
          <w:rFonts w:ascii="宋体" w:hAnsi="宋体" w:eastAsia="宋体" w:cs="宋体"/>
          <w:b/>
          <w:sz w:val="24"/>
          <w:highlight w:val="none"/>
        </w:rPr>
      </w:pPr>
    </w:p>
    <w:p>
      <w:pPr>
        <w:spacing w:line="520" w:lineRule="exact"/>
        <w:jc w:val="center"/>
        <w:rPr>
          <w:rFonts w:ascii="宋体" w:hAnsi="宋体" w:eastAsia="宋体" w:cs="宋体"/>
          <w:b/>
          <w:sz w:val="28"/>
          <w:szCs w:val="28"/>
          <w:highlight w:val="none"/>
        </w:rPr>
      </w:pPr>
      <w:bookmarkStart w:id="84" w:name="_Toc16249"/>
    </w:p>
    <w:p>
      <w:pPr>
        <w:spacing w:line="520" w:lineRule="exact"/>
        <w:jc w:val="center"/>
        <w:rPr>
          <w:rFonts w:ascii="宋体" w:hAnsi="宋体" w:eastAsia="宋体" w:cs="宋体"/>
          <w:b/>
          <w:sz w:val="28"/>
          <w:szCs w:val="28"/>
          <w:highlight w:val="none"/>
        </w:rPr>
      </w:pPr>
      <w:r>
        <w:rPr>
          <w:rFonts w:hint="eastAsia" w:ascii="宋体" w:hAnsi="宋体" w:eastAsia="宋体" w:cs="宋体"/>
          <w:b/>
          <w:sz w:val="28"/>
          <w:szCs w:val="28"/>
          <w:highlight w:val="none"/>
        </w:rPr>
        <w:t>报价表</w:t>
      </w:r>
      <w:bookmarkEnd w:id="84"/>
    </w:p>
    <w:p>
      <w:pPr>
        <w:spacing w:before="156" w:beforeLines="50" w:after="156" w:afterLines="50" w:line="360" w:lineRule="exact"/>
        <w:rPr>
          <w:rFonts w:ascii="宋体" w:hAnsi="宋体" w:eastAsia="宋体" w:cs="宋体"/>
          <w:sz w:val="24"/>
          <w:highlight w:val="none"/>
        </w:rPr>
      </w:pPr>
    </w:p>
    <w:p>
      <w:pPr>
        <w:spacing w:before="156" w:beforeLines="50" w:after="156" w:afterLines="50" w:line="360" w:lineRule="exact"/>
        <w:rPr>
          <w:rFonts w:ascii="宋体" w:hAnsi="宋体" w:eastAsia="宋体" w:cs="宋体"/>
          <w:sz w:val="24"/>
          <w:highlight w:val="none"/>
          <w:u w:val="single"/>
        </w:rPr>
      </w:pPr>
      <w:r>
        <w:rPr>
          <w:rFonts w:hint="eastAsia" w:ascii="宋体" w:hAnsi="宋体" w:eastAsia="宋体" w:cs="宋体"/>
          <w:sz w:val="24"/>
          <w:highlight w:val="none"/>
        </w:rPr>
        <w:t>项目名称:</w:t>
      </w:r>
    </w:p>
    <w:p>
      <w:pPr>
        <w:spacing w:before="156" w:beforeLines="50" w:after="156" w:afterLines="50" w:line="360" w:lineRule="exact"/>
        <w:rPr>
          <w:rFonts w:ascii="宋体" w:hAnsi="宋体" w:eastAsia="宋体" w:cs="宋体"/>
          <w:sz w:val="24"/>
          <w:highlight w:val="none"/>
        </w:rPr>
      </w:pPr>
      <w:r>
        <w:rPr>
          <w:rFonts w:hint="eastAsia" w:ascii="宋体" w:hAnsi="宋体" w:eastAsia="宋体" w:cs="宋体"/>
          <w:sz w:val="24"/>
          <w:highlight w:val="none"/>
        </w:rPr>
        <w:t>项目编号:</w:t>
      </w:r>
    </w:p>
    <w:tbl>
      <w:tblPr>
        <w:tblStyle w:val="15"/>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350"/>
        <w:gridCol w:w="1441"/>
        <w:gridCol w:w="839"/>
        <w:gridCol w:w="921"/>
        <w:gridCol w:w="1118"/>
        <w:gridCol w:w="996"/>
        <w:gridCol w:w="1050"/>
        <w:gridCol w:w="106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502" w:type="dxa"/>
            <w:tcBorders>
              <w:bottom w:val="single" w:color="auto" w:sz="4" w:space="0"/>
            </w:tcBorders>
            <w:vAlign w:val="center"/>
          </w:tcPr>
          <w:p>
            <w:pPr>
              <w:pStyle w:val="8"/>
              <w:spacing w:line="3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1350" w:type="dxa"/>
            <w:tcBorders>
              <w:bottom w:val="single" w:color="auto" w:sz="4" w:space="0"/>
            </w:tcBorders>
            <w:vAlign w:val="center"/>
          </w:tcPr>
          <w:p>
            <w:pPr>
              <w:tabs>
                <w:tab w:val="left" w:pos="180"/>
                <w:tab w:val="left" w:pos="162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产品名称</w:t>
            </w:r>
          </w:p>
        </w:tc>
        <w:tc>
          <w:tcPr>
            <w:tcW w:w="1441" w:type="dxa"/>
            <w:tcBorders>
              <w:bottom w:val="single" w:color="auto" w:sz="4" w:space="0"/>
            </w:tcBorders>
            <w:vAlign w:val="center"/>
          </w:tcPr>
          <w:p>
            <w:pPr>
              <w:tabs>
                <w:tab w:val="left" w:pos="180"/>
                <w:tab w:val="left" w:pos="1620"/>
              </w:tabs>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型号</w:t>
            </w:r>
            <w:r>
              <w:rPr>
                <w:rFonts w:hint="eastAsia" w:ascii="宋体" w:hAnsi="宋体" w:eastAsia="宋体" w:cs="宋体"/>
                <w:color w:val="auto"/>
                <w:sz w:val="24"/>
                <w:highlight w:val="none"/>
                <w:lang w:eastAsia="zh-CN"/>
              </w:rPr>
              <w:t>、品牌</w:t>
            </w:r>
          </w:p>
        </w:tc>
        <w:tc>
          <w:tcPr>
            <w:tcW w:w="839" w:type="dxa"/>
            <w:tcBorders>
              <w:bottom w:val="single" w:color="auto" w:sz="4" w:space="0"/>
            </w:tcBorders>
            <w:vAlign w:val="center"/>
          </w:tcPr>
          <w:p>
            <w:pPr>
              <w:tabs>
                <w:tab w:val="left" w:pos="180"/>
                <w:tab w:val="left" w:pos="162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用途</w:t>
            </w:r>
          </w:p>
        </w:tc>
        <w:tc>
          <w:tcPr>
            <w:tcW w:w="921" w:type="dxa"/>
            <w:tcBorders>
              <w:bottom w:val="single" w:color="auto" w:sz="4" w:space="0"/>
            </w:tcBorders>
            <w:vAlign w:val="center"/>
          </w:tcPr>
          <w:p>
            <w:pPr>
              <w:tabs>
                <w:tab w:val="left" w:pos="180"/>
                <w:tab w:val="left" w:pos="162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1118" w:type="dxa"/>
            <w:tcBorders>
              <w:bottom w:val="single" w:color="auto" w:sz="4" w:space="0"/>
            </w:tcBorders>
            <w:vAlign w:val="center"/>
          </w:tcPr>
          <w:p>
            <w:pPr>
              <w:tabs>
                <w:tab w:val="left" w:pos="180"/>
                <w:tab w:val="left" w:pos="162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特点</w:t>
            </w:r>
          </w:p>
        </w:tc>
        <w:tc>
          <w:tcPr>
            <w:tcW w:w="996" w:type="dxa"/>
            <w:tcBorders>
              <w:bottom w:val="single" w:color="auto" w:sz="4" w:space="0"/>
            </w:tcBorders>
            <w:vAlign w:val="center"/>
          </w:tcPr>
          <w:p>
            <w:pPr>
              <w:pStyle w:val="8"/>
              <w:spacing w:line="3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数量</w:t>
            </w:r>
          </w:p>
        </w:tc>
        <w:tc>
          <w:tcPr>
            <w:tcW w:w="1050" w:type="dxa"/>
            <w:tcBorders>
              <w:bottom w:val="single" w:color="auto" w:sz="4" w:space="0"/>
            </w:tcBorders>
            <w:vAlign w:val="center"/>
          </w:tcPr>
          <w:p>
            <w:pPr>
              <w:pStyle w:val="8"/>
              <w:spacing w:line="3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单价（元）</w:t>
            </w:r>
          </w:p>
        </w:tc>
        <w:tc>
          <w:tcPr>
            <w:tcW w:w="1063" w:type="dxa"/>
            <w:tcBorders>
              <w:bottom w:val="single" w:color="auto" w:sz="4" w:space="0"/>
            </w:tcBorders>
            <w:vAlign w:val="center"/>
          </w:tcPr>
          <w:p>
            <w:pPr>
              <w:pStyle w:val="8"/>
              <w:spacing w:line="3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合计（元）</w:t>
            </w:r>
          </w:p>
        </w:tc>
        <w:tc>
          <w:tcPr>
            <w:tcW w:w="954" w:type="dxa"/>
            <w:tcBorders>
              <w:bottom w:val="single" w:color="auto" w:sz="4" w:space="0"/>
            </w:tcBorders>
            <w:vAlign w:val="center"/>
          </w:tcPr>
          <w:p>
            <w:pPr>
              <w:pStyle w:val="8"/>
              <w:spacing w:line="36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2" w:type="dxa"/>
            <w:vAlign w:val="center"/>
          </w:tcPr>
          <w:p>
            <w:pPr>
              <w:spacing w:before="156" w:beforeLines="50" w:after="156" w:afterLines="50"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350" w:type="dxa"/>
            <w:vAlign w:val="center"/>
          </w:tcPr>
          <w:p>
            <w:pPr>
              <w:spacing w:before="156" w:beforeLines="50" w:after="156" w:afterLines="50" w:line="360" w:lineRule="exact"/>
              <w:rPr>
                <w:rFonts w:ascii="宋体" w:hAnsi="宋体" w:eastAsia="宋体" w:cs="宋体"/>
                <w:color w:val="auto"/>
                <w:sz w:val="24"/>
                <w:highlight w:val="none"/>
              </w:rPr>
            </w:pPr>
          </w:p>
        </w:tc>
        <w:tc>
          <w:tcPr>
            <w:tcW w:w="1441" w:type="dxa"/>
            <w:vAlign w:val="center"/>
          </w:tcPr>
          <w:p>
            <w:pPr>
              <w:spacing w:before="156" w:beforeLines="50" w:after="156" w:afterLines="50" w:line="360" w:lineRule="exact"/>
              <w:rPr>
                <w:rFonts w:ascii="宋体" w:hAnsi="宋体" w:eastAsia="宋体" w:cs="宋体"/>
                <w:color w:val="auto"/>
                <w:sz w:val="24"/>
                <w:highlight w:val="none"/>
              </w:rPr>
            </w:pPr>
          </w:p>
        </w:tc>
        <w:tc>
          <w:tcPr>
            <w:tcW w:w="839" w:type="dxa"/>
            <w:vAlign w:val="center"/>
          </w:tcPr>
          <w:p>
            <w:pPr>
              <w:spacing w:before="156" w:beforeLines="50" w:after="156" w:afterLines="50" w:line="360" w:lineRule="exact"/>
              <w:rPr>
                <w:rFonts w:ascii="宋体" w:hAnsi="宋体" w:eastAsia="宋体" w:cs="宋体"/>
                <w:color w:val="auto"/>
                <w:sz w:val="24"/>
                <w:highlight w:val="none"/>
              </w:rPr>
            </w:pPr>
          </w:p>
        </w:tc>
        <w:tc>
          <w:tcPr>
            <w:tcW w:w="921" w:type="dxa"/>
            <w:vAlign w:val="center"/>
          </w:tcPr>
          <w:p>
            <w:pPr>
              <w:spacing w:before="156" w:beforeLines="50" w:after="156" w:afterLines="50" w:line="360" w:lineRule="exact"/>
              <w:rPr>
                <w:rFonts w:ascii="宋体" w:hAnsi="宋体" w:eastAsia="宋体" w:cs="宋体"/>
                <w:color w:val="auto"/>
                <w:sz w:val="24"/>
                <w:highlight w:val="none"/>
              </w:rPr>
            </w:pPr>
          </w:p>
        </w:tc>
        <w:tc>
          <w:tcPr>
            <w:tcW w:w="1118" w:type="dxa"/>
            <w:vAlign w:val="center"/>
          </w:tcPr>
          <w:p>
            <w:pPr>
              <w:spacing w:before="156" w:beforeLines="50" w:after="156" w:afterLines="50" w:line="360" w:lineRule="exact"/>
              <w:rPr>
                <w:rFonts w:ascii="宋体" w:hAnsi="宋体" w:eastAsia="宋体" w:cs="宋体"/>
                <w:color w:val="auto"/>
                <w:sz w:val="24"/>
                <w:highlight w:val="none"/>
              </w:rPr>
            </w:pPr>
          </w:p>
        </w:tc>
        <w:tc>
          <w:tcPr>
            <w:tcW w:w="996" w:type="dxa"/>
            <w:vAlign w:val="center"/>
          </w:tcPr>
          <w:p>
            <w:pPr>
              <w:spacing w:before="156" w:beforeLines="50" w:after="156" w:afterLines="50" w:line="360" w:lineRule="exact"/>
              <w:rPr>
                <w:rFonts w:ascii="宋体" w:hAnsi="宋体" w:eastAsia="宋体" w:cs="宋体"/>
                <w:color w:val="auto"/>
                <w:sz w:val="24"/>
                <w:highlight w:val="none"/>
              </w:rPr>
            </w:pPr>
          </w:p>
        </w:tc>
        <w:tc>
          <w:tcPr>
            <w:tcW w:w="1050" w:type="dxa"/>
            <w:vAlign w:val="center"/>
          </w:tcPr>
          <w:p>
            <w:pPr>
              <w:spacing w:before="156" w:beforeLines="50" w:after="156" w:afterLines="50" w:line="360" w:lineRule="exact"/>
              <w:rPr>
                <w:rFonts w:ascii="宋体" w:hAnsi="宋体" w:eastAsia="宋体" w:cs="宋体"/>
                <w:color w:val="auto"/>
                <w:sz w:val="24"/>
                <w:highlight w:val="none"/>
              </w:rPr>
            </w:pPr>
          </w:p>
        </w:tc>
        <w:tc>
          <w:tcPr>
            <w:tcW w:w="1063" w:type="dxa"/>
            <w:vAlign w:val="center"/>
          </w:tcPr>
          <w:p>
            <w:pPr>
              <w:spacing w:before="156" w:beforeLines="50" w:after="156" w:afterLines="50" w:line="360" w:lineRule="exact"/>
              <w:rPr>
                <w:rFonts w:ascii="宋体" w:hAnsi="宋体" w:eastAsia="宋体" w:cs="宋体"/>
                <w:color w:val="auto"/>
                <w:sz w:val="24"/>
                <w:highlight w:val="none"/>
              </w:rPr>
            </w:pPr>
          </w:p>
        </w:tc>
        <w:tc>
          <w:tcPr>
            <w:tcW w:w="954" w:type="dxa"/>
            <w:vAlign w:val="center"/>
          </w:tcPr>
          <w:p>
            <w:pPr>
              <w:spacing w:before="156" w:beforeLines="50" w:after="156" w:afterLines="50" w:line="36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2" w:type="dxa"/>
            <w:vAlign w:val="center"/>
          </w:tcPr>
          <w:p>
            <w:pPr>
              <w:spacing w:before="156" w:beforeLines="50" w:after="156" w:afterLines="50"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1350" w:type="dxa"/>
            <w:vAlign w:val="center"/>
          </w:tcPr>
          <w:p>
            <w:pPr>
              <w:spacing w:before="156" w:beforeLines="50" w:after="156" w:afterLines="50" w:line="360" w:lineRule="exact"/>
              <w:rPr>
                <w:rFonts w:ascii="宋体" w:hAnsi="宋体" w:eastAsia="宋体" w:cs="宋体"/>
                <w:color w:val="auto"/>
                <w:sz w:val="24"/>
                <w:highlight w:val="none"/>
              </w:rPr>
            </w:pPr>
          </w:p>
        </w:tc>
        <w:tc>
          <w:tcPr>
            <w:tcW w:w="1441" w:type="dxa"/>
            <w:vAlign w:val="center"/>
          </w:tcPr>
          <w:p>
            <w:pPr>
              <w:spacing w:before="156" w:beforeLines="50" w:after="156" w:afterLines="50" w:line="360" w:lineRule="exact"/>
              <w:rPr>
                <w:rFonts w:ascii="宋体" w:hAnsi="宋体" w:eastAsia="宋体" w:cs="宋体"/>
                <w:color w:val="auto"/>
                <w:sz w:val="24"/>
                <w:highlight w:val="none"/>
              </w:rPr>
            </w:pPr>
          </w:p>
        </w:tc>
        <w:tc>
          <w:tcPr>
            <w:tcW w:w="839" w:type="dxa"/>
            <w:vAlign w:val="center"/>
          </w:tcPr>
          <w:p>
            <w:pPr>
              <w:spacing w:before="156" w:beforeLines="50" w:after="156" w:afterLines="50" w:line="360" w:lineRule="exact"/>
              <w:rPr>
                <w:rFonts w:ascii="宋体" w:hAnsi="宋体" w:eastAsia="宋体" w:cs="宋体"/>
                <w:color w:val="auto"/>
                <w:sz w:val="24"/>
                <w:highlight w:val="none"/>
              </w:rPr>
            </w:pPr>
          </w:p>
        </w:tc>
        <w:tc>
          <w:tcPr>
            <w:tcW w:w="921" w:type="dxa"/>
            <w:vAlign w:val="center"/>
          </w:tcPr>
          <w:p>
            <w:pPr>
              <w:spacing w:before="156" w:beforeLines="50" w:after="156" w:afterLines="50" w:line="360" w:lineRule="exact"/>
              <w:rPr>
                <w:rFonts w:ascii="宋体" w:hAnsi="宋体" w:eastAsia="宋体" w:cs="宋体"/>
                <w:color w:val="auto"/>
                <w:sz w:val="24"/>
                <w:highlight w:val="none"/>
              </w:rPr>
            </w:pPr>
          </w:p>
        </w:tc>
        <w:tc>
          <w:tcPr>
            <w:tcW w:w="1118" w:type="dxa"/>
            <w:vAlign w:val="center"/>
          </w:tcPr>
          <w:p>
            <w:pPr>
              <w:spacing w:before="156" w:beforeLines="50" w:after="156" w:afterLines="50" w:line="360" w:lineRule="exact"/>
              <w:rPr>
                <w:rFonts w:ascii="宋体" w:hAnsi="宋体" w:eastAsia="宋体" w:cs="宋体"/>
                <w:color w:val="auto"/>
                <w:sz w:val="24"/>
                <w:highlight w:val="none"/>
              </w:rPr>
            </w:pPr>
          </w:p>
        </w:tc>
        <w:tc>
          <w:tcPr>
            <w:tcW w:w="996" w:type="dxa"/>
            <w:vAlign w:val="center"/>
          </w:tcPr>
          <w:p>
            <w:pPr>
              <w:spacing w:before="156" w:beforeLines="50" w:after="156" w:afterLines="50" w:line="360" w:lineRule="exact"/>
              <w:rPr>
                <w:rFonts w:ascii="宋体" w:hAnsi="宋体" w:eastAsia="宋体" w:cs="宋体"/>
                <w:color w:val="auto"/>
                <w:sz w:val="24"/>
                <w:highlight w:val="none"/>
              </w:rPr>
            </w:pPr>
          </w:p>
        </w:tc>
        <w:tc>
          <w:tcPr>
            <w:tcW w:w="1050" w:type="dxa"/>
            <w:vAlign w:val="center"/>
          </w:tcPr>
          <w:p>
            <w:pPr>
              <w:spacing w:before="156" w:beforeLines="50" w:after="156" w:afterLines="50" w:line="360" w:lineRule="exact"/>
              <w:rPr>
                <w:rFonts w:ascii="宋体" w:hAnsi="宋体" w:eastAsia="宋体" w:cs="宋体"/>
                <w:color w:val="auto"/>
                <w:sz w:val="24"/>
                <w:highlight w:val="none"/>
              </w:rPr>
            </w:pPr>
          </w:p>
        </w:tc>
        <w:tc>
          <w:tcPr>
            <w:tcW w:w="1063" w:type="dxa"/>
            <w:vAlign w:val="center"/>
          </w:tcPr>
          <w:p>
            <w:pPr>
              <w:spacing w:before="156" w:beforeLines="50" w:after="156" w:afterLines="50" w:line="360" w:lineRule="exact"/>
              <w:rPr>
                <w:rFonts w:ascii="宋体" w:hAnsi="宋体" w:eastAsia="宋体" w:cs="宋体"/>
                <w:color w:val="auto"/>
                <w:sz w:val="24"/>
                <w:highlight w:val="none"/>
              </w:rPr>
            </w:pPr>
          </w:p>
        </w:tc>
        <w:tc>
          <w:tcPr>
            <w:tcW w:w="954" w:type="dxa"/>
            <w:vAlign w:val="center"/>
          </w:tcPr>
          <w:p>
            <w:pPr>
              <w:spacing w:before="156" w:beforeLines="50" w:after="156" w:afterLines="50" w:line="36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2" w:type="dxa"/>
            <w:vAlign w:val="center"/>
          </w:tcPr>
          <w:p>
            <w:pPr>
              <w:spacing w:before="156" w:beforeLines="50" w:after="156" w:afterLines="50"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N</w:t>
            </w:r>
          </w:p>
        </w:tc>
        <w:tc>
          <w:tcPr>
            <w:tcW w:w="1350" w:type="dxa"/>
            <w:vAlign w:val="center"/>
          </w:tcPr>
          <w:p>
            <w:pPr>
              <w:spacing w:before="156" w:beforeLines="50" w:after="156" w:afterLines="50" w:line="360" w:lineRule="exact"/>
              <w:rPr>
                <w:rFonts w:ascii="宋体" w:hAnsi="宋体" w:eastAsia="宋体" w:cs="宋体"/>
                <w:color w:val="auto"/>
                <w:sz w:val="24"/>
                <w:highlight w:val="none"/>
              </w:rPr>
            </w:pPr>
          </w:p>
        </w:tc>
        <w:tc>
          <w:tcPr>
            <w:tcW w:w="1441" w:type="dxa"/>
            <w:vAlign w:val="center"/>
          </w:tcPr>
          <w:p>
            <w:pPr>
              <w:spacing w:before="156" w:beforeLines="50" w:after="156" w:afterLines="50" w:line="360" w:lineRule="exact"/>
              <w:rPr>
                <w:rFonts w:ascii="宋体" w:hAnsi="宋体" w:eastAsia="宋体" w:cs="宋体"/>
                <w:color w:val="auto"/>
                <w:sz w:val="24"/>
                <w:highlight w:val="none"/>
              </w:rPr>
            </w:pPr>
          </w:p>
        </w:tc>
        <w:tc>
          <w:tcPr>
            <w:tcW w:w="839" w:type="dxa"/>
            <w:vAlign w:val="center"/>
          </w:tcPr>
          <w:p>
            <w:pPr>
              <w:spacing w:before="156" w:beforeLines="50" w:after="156" w:afterLines="50" w:line="360" w:lineRule="exact"/>
              <w:rPr>
                <w:rFonts w:ascii="宋体" w:hAnsi="宋体" w:eastAsia="宋体" w:cs="宋体"/>
                <w:color w:val="auto"/>
                <w:sz w:val="24"/>
                <w:highlight w:val="none"/>
              </w:rPr>
            </w:pPr>
          </w:p>
        </w:tc>
        <w:tc>
          <w:tcPr>
            <w:tcW w:w="921" w:type="dxa"/>
            <w:vAlign w:val="center"/>
          </w:tcPr>
          <w:p>
            <w:pPr>
              <w:spacing w:before="156" w:beforeLines="50" w:after="156" w:afterLines="50" w:line="360" w:lineRule="exact"/>
              <w:rPr>
                <w:rFonts w:ascii="宋体" w:hAnsi="宋体" w:eastAsia="宋体" w:cs="宋体"/>
                <w:color w:val="auto"/>
                <w:sz w:val="24"/>
                <w:highlight w:val="none"/>
              </w:rPr>
            </w:pPr>
          </w:p>
        </w:tc>
        <w:tc>
          <w:tcPr>
            <w:tcW w:w="1118" w:type="dxa"/>
            <w:vAlign w:val="center"/>
          </w:tcPr>
          <w:p>
            <w:pPr>
              <w:spacing w:before="156" w:beforeLines="50" w:after="156" w:afterLines="50" w:line="360" w:lineRule="exact"/>
              <w:rPr>
                <w:rFonts w:ascii="宋体" w:hAnsi="宋体" w:eastAsia="宋体" w:cs="宋体"/>
                <w:color w:val="auto"/>
                <w:sz w:val="24"/>
                <w:highlight w:val="none"/>
              </w:rPr>
            </w:pPr>
          </w:p>
        </w:tc>
        <w:tc>
          <w:tcPr>
            <w:tcW w:w="996" w:type="dxa"/>
            <w:vAlign w:val="center"/>
          </w:tcPr>
          <w:p>
            <w:pPr>
              <w:spacing w:before="156" w:beforeLines="50" w:after="156" w:afterLines="50" w:line="360" w:lineRule="exact"/>
              <w:rPr>
                <w:rFonts w:ascii="宋体" w:hAnsi="宋体" w:eastAsia="宋体" w:cs="宋体"/>
                <w:color w:val="auto"/>
                <w:sz w:val="24"/>
                <w:highlight w:val="none"/>
              </w:rPr>
            </w:pPr>
          </w:p>
        </w:tc>
        <w:tc>
          <w:tcPr>
            <w:tcW w:w="1050" w:type="dxa"/>
            <w:vAlign w:val="center"/>
          </w:tcPr>
          <w:p>
            <w:pPr>
              <w:spacing w:before="156" w:beforeLines="50" w:after="156" w:afterLines="50" w:line="360" w:lineRule="exact"/>
              <w:rPr>
                <w:rFonts w:ascii="宋体" w:hAnsi="宋体" w:eastAsia="宋体" w:cs="宋体"/>
                <w:color w:val="auto"/>
                <w:sz w:val="24"/>
                <w:highlight w:val="none"/>
              </w:rPr>
            </w:pPr>
          </w:p>
        </w:tc>
        <w:tc>
          <w:tcPr>
            <w:tcW w:w="1063" w:type="dxa"/>
            <w:vAlign w:val="center"/>
          </w:tcPr>
          <w:p>
            <w:pPr>
              <w:spacing w:before="156" w:beforeLines="50" w:after="156" w:afterLines="50" w:line="360" w:lineRule="exact"/>
              <w:rPr>
                <w:rFonts w:ascii="宋体" w:hAnsi="宋体" w:eastAsia="宋体" w:cs="宋体"/>
                <w:color w:val="auto"/>
                <w:sz w:val="24"/>
                <w:highlight w:val="none"/>
              </w:rPr>
            </w:pPr>
          </w:p>
        </w:tc>
        <w:tc>
          <w:tcPr>
            <w:tcW w:w="954" w:type="dxa"/>
            <w:vAlign w:val="center"/>
          </w:tcPr>
          <w:p>
            <w:pPr>
              <w:spacing w:before="156" w:beforeLines="50" w:after="156" w:afterLines="50" w:line="36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0234" w:type="dxa"/>
            <w:gridSpan w:val="10"/>
            <w:vAlign w:val="center"/>
          </w:tcPr>
          <w:p>
            <w:pPr>
              <w:pStyle w:val="8"/>
              <w:rPr>
                <w:rFonts w:hAnsi="宋体" w:eastAsia="宋体" w:cs="宋体"/>
                <w:color w:val="auto"/>
                <w:sz w:val="24"/>
                <w:szCs w:val="24"/>
                <w:highlight w:val="none"/>
              </w:rPr>
            </w:pPr>
            <w:r>
              <w:rPr>
                <w:rFonts w:hint="eastAsia" w:hAnsi="宋体" w:eastAsia="宋体" w:cs="宋体"/>
                <w:color w:val="auto"/>
                <w:sz w:val="24"/>
                <w:szCs w:val="24"/>
                <w:highlight w:val="none"/>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0234" w:type="dxa"/>
            <w:gridSpan w:val="10"/>
            <w:vAlign w:val="center"/>
          </w:tcPr>
          <w:p>
            <w:pPr>
              <w:pStyle w:val="8"/>
              <w:rPr>
                <w:rFonts w:hAnsi="宋体" w:eastAsia="宋体" w:cs="宋体"/>
                <w:color w:val="auto"/>
                <w:sz w:val="24"/>
                <w:szCs w:val="24"/>
                <w:highlight w:val="none"/>
              </w:rPr>
            </w:pPr>
            <w:r>
              <w:rPr>
                <w:rFonts w:hint="eastAsia" w:hAnsi="宋体" w:eastAsia="宋体" w:cs="宋体"/>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234" w:type="dxa"/>
            <w:gridSpan w:val="10"/>
            <w:vAlign w:val="center"/>
          </w:tcPr>
          <w:p>
            <w:pPr>
              <w:pStyle w:val="8"/>
              <w:rPr>
                <w:rFonts w:hAnsi="宋体" w:eastAsia="宋体" w:cs="宋体"/>
                <w:color w:val="auto"/>
                <w:sz w:val="24"/>
                <w:szCs w:val="24"/>
                <w:highlight w:val="none"/>
              </w:rPr>
            </w:pPr>
            <w:r>
              <w:rPr>
                <w:rFonts w:hint="eastAsia" w:hAnsi="宋体" w:eastAsia="宋体" w:cs="宋体"/>
                <w:color w:val="auto"/>
                <w:sz w:val="24"/>
                <w:szCs w:val="24"/>
                <w:highlight w:val="none"/>
              </w:rPr>
              <w:t>交货地点：</w:t>
            </w:r>
          </w:p>
        </w:tc>
      </w:tr>
    </w:tbl>
    <w:p>
      <w:pPr>
        <w:spacing w:line="500" w:lineRule="exact"/>
        <w:rPr>
          <w:rFonts w:ascii="宋体" w:hAnsi="宋体" w:eastAsia="宋体" w:cs="宋体"/>
          <w:sz w:val="24"/>
          <w:highlight w:val="none"/>
        </w:rPr>
      </w:pPr>
      <w:r>
        <w:rPr>
          <w:rFonts w:hint="eastAsia" w:ascii="宋体" w:hAnsi="宋体" w:eastAsia="宋体" w:cs="宋体"/>
          <w:sz w:val="24"/>
          <w:highlight w:val="none"/>
        </w:rPr>
        <w:t>注：1、所有价格均用人民币表示，单位为元，精确到小数点后两位。</w:t>
      </w:r>
    </w:p>
    <w:p>
      <w:pPr>
        <w:spacing w:line="500" w:lineRule="exact"/>
        <w:ind w:firstLine="470" w:firstLineChars="196"/>
        <w:rPr>
          <w:rFonts w:ascii="宋体" w:hAnsi="宋体" w:eastAsia="宋体" w:cs="宋体"/>
          <w:sz w:val="24"/>
          <w:highlight w:val="none"/>
        </w:rPr>
      </w:pPr>
      <w:r>
        <w:rPr>
          <w:rFonts w:hint="eastAsia" w:ascii="宋体" w:hAnsi="宋体" w:eastAsia="宋体" w:cs="宋体"/>
          <w:bCs/>
          <w:sz w:val="24"/>
          <w:highlight w:val="none"/>
        </w:rPr>
        <w:t>2、报价指货物运抵指定交货地点的运费等各种费用和税金及其它所有成本、费用的总和。</w:t>
      </w:r>
    </w:p>
    <w:p>
      <w:pPr>
        <w:pStyle w:val="8"/>
        <w:spacing w:line="50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3、</w:t>
      </w:r>
      <w:r>
        <w:rPr>
          <w:rFonts w:hint="eastAsia" w:hAnsi="宋体" w:eastAsia="宋体" w:cs="宋体"/>
          <w:spacing w:val="-4"/>
          <w:sz w:val="24"/>
          <w:szCs w:val="24"/>
          <w:highlight w:val="none"/>
        </w:rPr>
        <w:t>谈判供应商的报价中单价和总价均不能超控制价中的单价及总价，否则谈判无效。</w:t>
      </w:r>
    </w:p>
    <w:p>
      <w:pPr>
        <w:pStyle w:val="8"/>
        <w:spacing w:line="500" w:lineRule="exact"/>
        <w:ind w:firstLine="480" w:firstLineChars="200"/>
        <w:rPr>
          <w:rFonts w:hAnsi="宋体" w:eastAsia="宋体" w:cs="宋体"/>
          <w:sz w:val="24"/>
          <w:szCs w:val="24"/>
          <w:highlight w:val="none"/>
          <w:u w:val="single"/>
        </w:rPr>
      </w:pPr>
      <w:r>
        <w:rPr>
          <w:rFonts w:hint="eastAsia" w:hAnsi="宋体" w:eastAsia="宋体" w:cs="宋体"/>
          <w:sz w:val="24"/>
          <w:szCs w:val="24"/>
          <w:highlight w:val="none"/>
        </w:rPr>
        <w:t>法定代表人或委托代理人（签字）:</w:t>
      </w:r>
    </w:p>
    <w:p>
      <w:pPr>
        <w:pStyle w:val="8"/>
        <w:spacing w:line="500" w:lineRule="exact"/>
        <w:ind w:firstLine="480" w:firstLineChars="200"/>
        <w:rPr>
          <w:rFonts w:hAnsi="宋体" w:eastAsia="宋体" w:cs="宋体"/>
          <w:sz w:val="24"/>
          <w:szCs w:val="24"/>
          <w:highlight w:val="none"/>
          <w:u w:val="single"/>
        </w:rPr>
      </w:pPr>
      <w:r>
        <w:rPr>
          <w:rFonts w:hint="eastAsia" w:hAnsi="宋体" w:eastAsia="宋体" w:cs="宋体"/>
          <w:sz w:val="24"/>
          <w:szCs w:val="24"/>
          <w:highlight w:val="none"/>
        </w:rPr>
        <w:t>谈判供应商名称（盖章）：</w: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时  间：    年     月     日</w:t>
      </w:r>
    </w:p>
    <w:p>
      <w:pPr>
        <w:spacing w:line="500" w:lineRule="exact"/>
        <w:ind w:firstLine="420"/>
        <w:rPr>
          <w:rFonts w:ascii="宋体" w:hAnsi="宋体" w:eastAsia="宋体" w:cs="宋体"/>
          <w:sz w:val="24"/>
          <w:highlight w:val="none"/>
        </w:rPr>
      </w:pPr>
    </w:p>
    <w:p>
      <w:pPr>
        <w:spacing w:line="600" w:lineRule="exact"/>
        <w:jc w:val="center"/>
        <w:rPr>
          <w:rFonts w:ascii="宋体" w:hAnsi="宋体" w:eastAsia="宋体" w:cs="宋体"/>
          <w:b/>
          <w:sz w:val="24"/>
          <w:highlight w:val="none"/>
        </w:rPr>
      </w:pPr>
      <w:r>
        <w:rPr>
          <w:rFonts w:hint="eastAsia" w:ascii="宋体" w:hAnsi="宋体" w:eastAsia="宋体" w:cs="宋体"/>
          <w:b/>
          <w:sz w:val="24"/>
          <w:highlight w:val="none"/>
        </w:rPr>
        <w:br w:type="page"/>
      </w:r>
    </w:p>
    <w:p>
      <w:pPr>
        <w:spacing w:line="300" w:lineRule="auto"/>
        <w:jc w:val="center"/>
        <w:rPr>
          <w:rFonts w:ascii="宋体" w:hAnsi="宋体" w:eastAsia="宋体" w:cs="宋体"/>
          <w:sz w:val="24"/>
          <w:highlight w:val="none"/>
        </w:rPr>
      </w:pPr>
      <w:bookmarkStart w:id="85" w:name="_Toc11369"/>
      <w:r>
        <w:rPr>
          <w:rFonts w:hint="eastAsia" w:ascii="宋体" w:hAnsi="宋体" w:eastAsia="宋体" w:cs="宋体"/>
          <w:sz w:val="24"/>
          <w:highlight w:val="none"/>
        </w:rPr>
        <w:t>商务、技术响应、偏离情况说明表</w:t>
      </w:r>
      <w:bookmarkEnd w:id="85"/>
    </w:p>
    <w:p>
      <w:pPr>
        <w:spacing w:line="300" w:lineRule="auto"/>
        <w:rPr>
          <w:rFonts w:ascii="宋体" w:hAnsi="宋体" w:eastAsia="宋体" w:cs="宋体"/>
          <w:sz w:val="24"/>
          <w:highlight w:val="none"/>
        </w:rPr>
      </w:pPr>
    </w:p>
    <w:p>
      <w:pPr>
        <w:spacing w:before="156" w:beforeLines="50" w:after="156" w:afterLines="50" w:line="360" w:lineRule="exact"/>
        <w:rPr>
          <w:rFonts w:ascii="宋体" w:hAnsi="宋体" w:eastAsia="宋体" w:cs="宋体"/>
          <w:sz w:val="24"/>
          <w:highlight w:val="none"/>
          <w:u w:val="single"/>
        </w:rPr>
      </w:pPr>
      <w:r>
        <w:rPr>
          <w:rFonts w:hint="eastAsia" w:ascii="宋体" w:hAnsi="宋体" w:eastAsia="宋体" w:cs="宋体"/>
          <w:sz w:val="24"/>
          <w:highlight w:val="none"/>
        </w:rPr>
        <w:t>项目名称:</w:t>
      </w:r>
    </w:p>
    <w:p>
      <w:pPr>
        <w:spacing w:before="156" w:beforeLines="50" w:after="156" w:afterLines="50" w:line="360" w:lineRule="exact"/>
        <w:rPr>
          <w:rFonts w:ascii="宋体" w:hAnsi="宋体" w:eastAsia="宋体" w:cs="宋体"/>
          <w:sz w:val="24"/>
          <w:highlight w:val="none"/>
        </w:rPr>
      </w:pPr>
      <w:r>
        <w:rPr>
          <w:rFonts w:hint="eastAsia" w:ascii="宋体" w:hAnsi="宋体" w:eastAsia="宋体" w:cs="宋体"/>
          <w:sz w:val="24"/>
          <w:highlight w:val="none"/>
        </w:rPr>
        <w:t>项目编号:</w:t>
      </w:r>
    </w:p>
    <w:tbl>
      <w:tblPr>
        <w:tblStyle w:val="15"/>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519"/>
        <w:gridCol w:w="323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pPr>
              <w:adjustRightInd w:val="0"/>
              <w:snapToGrid w:val="0"/>
              <w:spacing w:line="300" w:lineRule="auto"/>
              <w:jc w:val="center"/>
              <w:outlineLvl w:val="0"/>
              <w:rPr>
                <w:rFonts w:ascii="宋体" w:hAnsi="宋体" w:eastAsia="宋体" w:cs="宋体"/>
                <w:sz w:val="24"/>
                <w:highlight w:val="none"/>
              </w:rPr>
            </w:pPr>
            <w:bookmarkStart w:id="86" w:name="_Toc254970729"/>
            <w:bookmarkStart w:id="87" w:name="_Toc6923310"/>
            <w:bookmarkStart w:id="88" w:name="_Toc405905876"/>
            <w:bookmarkStart w:id="89" w:name="_Toc173066401"/>
            <w:bookmarkStart w:id="90" w:name="_Toc254970588"/>
            <w:bookmarkStart w:id="91" w:name="_Toc173211900"/>
            <w:r>
              <w:rPr>
                <w:rFonts w:hint="eastAsia" w:ascii="宋体" w:hAnsi="宋体" w:eastAsia="宋体" w:cs="宋体"/>
                <w:sz w:val="24"/>
                <w:highlight w:val="none"/>
              </w:rPr>
              <w:t>序号</w:t>
            </w:r>
            <w:bookmarkEnd w:id="86"/>
            <w:bookmarkEnd w:id="87"/>
            <w:bookmarkEnd w:id="88"/>
            <w:bookmarkEnd w:id="89"/>
            <w:bookmarkEnd w:id="90"/>
            <w:bookmarkEnd w:id="91"/>
          </w:p>
        </w:tc>
        <w:tc>
          <w:tcPr>
            <w:tcW w:w="2519" w:type="dxa"/>
            <w:vAlign w:val="center"/>
          </w:tcPr>
          <w:p>
            <w:pPr>
              <w:adjustRightInd w:val="0"/>
              <w:snapToGrid w:val="0"/>
              <w:spacing w:line="300" w:lineRule="auto"/>
              <w:jc w:val="center"/>
              <w:outlineLvl w:val="0"/>
              <w:rPr>
                <w:rFonts w:ascii="宋体" w:hAnsi="宋体" w:eastAsia="宋体" w:cs="宋体"/>
                <w:sz w:val="24"/>
                <w:highlight w:val="none"/>
              </w:rPr>
            </w:pPr>
            <w:bookmarkStart w:id="92" w:name="_Toc254970730"/>
            <w:bookmarkStart w:id="93" w:name="_Toc173211901"/>
            <w:bookmarkStart w:id="94" w:name="_Toc405905877"/>
            <w:bookmarkStart w:id="95" w:name="_Toc254970589"/>
            <w:bookmarkStart w:id="96" w:name="_Toc173066402"/>
            <w:bookmarkStart w:id="97" w:name="_Toc6923311"/>
            <w:r>
              <w:rPr>
                <w:rFonts w:hint="eastAsia" w:ascii="宋体" w:hAnsi="宋体" w:eastAsia="宋体" w:cs="宋体"/>
                <w:sz w:val="24"/>
                <w:highlight w:val="none"/>
              </w:rPr>
              <w:t>竞争性谈判文件要求</w:t>
            </w:r>
            <w:bookmarkEnd w:id="92"/>
            <w:bookmarkEnd w:id="93"/>
            <w:bookmarkEnd w:id="94"/>
            <w:bookmarkEnd w:id="95"/>
            <w:bookmarkEnd w:id="96"/>
            <w:bookmarkEnd w:id="97"/>
          </w:p>
        </w:tc>
        <w:tc>
          <w:tcPr>
            <w:tcW w:w="3235" w:type="dxa"/>
            <w:vAlign w:val="center"/>
          </w:tcPr>
          <w:p>
            <w:pPr>
              <w:adjustRightInd w:val="0"/>
              <w:snapToGrid w:val="0"/>
              <w:spacing w:line="300" w:lineRule="auto"/>
              <w:jc w:val="center"/>
              <w:outlineLvl w:val="0"/>
              <w:rPr>
                <w:rFonts w:ascii="宋体" w:hAnsi="宋体" w:eastAsia="宋体" w:cs="宋体"/>
                <w:sz w:val="24"/>
                <w:highlight w:val="none"/>
              </w:rPr>
            </w:pPr>
            <w:bookmarkStart w:id="98" w:name="_Toc254970590"/>
            <w:bookmarkStart w:id="99" w:name="_Toc173211902"/>
            <w:bookmarkStart w:id="100" w:name="_Toc405905878"/>
            <w:bookmarkStart w:id="101" w:name="_Toc6923312"/>
            <w:bookmarkStart w:id="102" w:name="_Toc173066403"/>
            <w:bookmarkStart w:id="103" w:name="_Toc254970731"/>
            <w:r>
              <w:rPr>
                <w:rFonts w:hint="eastAsia" w:ascii="宋体" w:hAnsi="宋体" w:eastAsia="宋体" w:cs="宋体"/>
                <w:sz w:val="24"/>
                <w:highlight w:val="none"/>
              </w:rPr>
              <w:t>竞争性谈判响应文件具体响应</w:t>
            </w:r>
            <w:bookmarkEnd w:id="98"/>
            <w:bookmarkEnd w:id="99"/>
            <w:bookmarkEnd w:id="100"/>
            <w:bookmarkEnd w:id="101"/>
            <w:bookmarkEnd w:id="102"/>
            <w:bookmarkEnd w:id="103"/>
          </w:p>
        </w:tc>
        <w:tc>
          <w:tcPr>
            <w:tcW w:w="1464" w:type="dxa"/>
            <w:vAlign w:val="center"/>
          </w:tcPr>
          <w:p>
            <w:pPr>
              <w:adjustRightInd w:val="0"/>
              <w:snapToGrid w:val="0"/>
              <w:spacing w:line="300" w:lineRule="auto"/>
              <w:jc w:val="center"/>
              <w:outlineLvl w:val="0"/>
              <w:rPr>
                <w:rFonts w:ascii="宋体" w:hAnsi="宋体" w:eastAsia="宋体" w:cs="宋体"/>
                <w:sz w:val="24"/>
                <w:highlight w:val="none"/>
              </w:rPr>
            </w:pPr>
            <w:bookmarkStart w:id="104" w:name="_Toc173211903"/>
            <w:bookmarkStart w:id="105" w:name="_Toc254970732"/>
            <w:bookmarkStart w:id="106" w:name="_Toc173066404"/>
            <w:bookmarkStart w:id="107" w:name="_Toc405905879"/>
            <w:bookmarkStart w:id="108" w:name="_Toc6923313"/>
            <w:bookmarkStart w:id="109" w:name="_Toc254970591"/>
            <w:r>
              <w:rPr>
                <w:rFonts w:hint="eastAsia" w:ascii="宋体" w:hAnsi="宋体" w:eastAsia="宋体" w:cs="宋体"/>
                <w:sz w:val="24"/>
                <w:highlight w:val="none"/>
              </w:rPr>
              <w:t>响应/偏离</w:t>
            </w:r>
            <w:bookmarkEnd w:id="104"/>
            <w:bookmarkEnd w:id="105"/>
            <w:bookmarkEnd w:id="106"/>
            <w:bookmarkEnd w:id="107"/>
            <w:bookmarkEnd w:id="108"/>
            <w:bookmarkEnd w:id="109"/>
          </w:p>
        </w:tc>
        <w:tc>
          <w:tcPr>
            <w:tcW w:w="1361" w:type="dxa"/>
            <w:vAlign w:val="center"/>
          </w:tcPr>
          <w:p>
            <w:pPr>
              <w:adjustRightInd w:val="0"/>
              <w:snapToGrid w:val="0"/>
              <w:spacing w:line="300" w:lineRule="auto"/>
              <w:jc w:val="center"/>
              <w:outlineLvl w:val="0"/>
              <w:rPr>
                <w:rFonts w:ascii="宋体" w:hAnsi="宋体" w:eastAsia="宋体" w:cs="宋体"/>
                <w:sz w:val="24"/>
                <w:highlight w:val="none"/>
              </w:rPr>
            </w:pPr>
            <w:bookmarkStart w:id="110" w:name="_Toc173066405"/>
            <w:bookmarkStart w:id="111" w:name="_Toc254970592"/>
            <w:bookmarkStart w:id="112" w:name="_Toc6923314"/>
            <w:bookmarkStart w:id="113" w:name="_Toc254970733"/>
            <w:bookmarkStart w:id="114" w:name="_Toc405905880"/>
            <w:bookmarkStart w:id="115" w:name="_Toc173211904"/>
            <w:r>
              <w:rPr>
                <w:rFonts w:hint="eastAsia" w:ascii="宋体" w:hAnsi="宋体" w:eastAsia="宋体" w:cs="宋体"/>
                <w:sz w:val="24"/>
                <w:highlight w:val="none"/>
              </w:rPr>
              <w:t>说明</w:t>
            </w:r>
            <w:bookmarkEnd w:id="110"/>
            <w:bookmarkEnd w:id="111"/>
            <w:bookmarkEnd w:id="112"/>
            <w:bookmarkEnd w:id="113"/>
            <w:bookmarkEnd w:id="114"/>
            <w:bookmarkEnd w:id="1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vAlign w:val="center"/>
          </w:tcPr>
          <w:p>
            <w:pPr>
              <w:adjustRightInd w:val="0"/>
              <w:snapToGrid w:val="0"/>
              <w:spacing w:line="240" w:lineRule="exact"/>
              <w:jc w:val="center"/>
              <w:outlineLvl w:val="0"/>
              <w:rPr>
                <w:rFonts w:ascii="宋体" w:hAnsi="宋体" w:eastAsia="宋体" w:cs="宋体"/>
                <w:sz w:val="24"/>
                <w:highlight w:val="none"/>
              </w:rPr>
            </w:pPr>
            <w:bookmarkStart w:id="116" w:name="_Toc405905881"/>
            <w:bookmarkStart w:id="117" w:name="_Toc6923315"/>
            <w:r>
              <w:rPr>
                <w:rFonts w:hint="eastAsia" w:ascii="宋体" w:hAnsi="宋体" w:eastAsia="宋体" w:cs="宋体"/>
                <w:sz w:val="24"/>
                <w:highlight w:val="none"/>
              </w:rPr>
              <w:t>商务部分</w:t>
            </w:r>
            <w:bookmarkEnd w:id="116"/>
            <w:bookmarkEnd w:id="11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18" w:name="_Toc254970734"/>
            <w:bookmarkStart w:id="119" w:name="_Toc405905882"/>
            <w:bookmarkStart w:id="120" w:name="_Toc173066406"/>
            <w:bookmarkStart w:id="121" w:name="_Toc173211905"/>
            <w:bookmarkStart w:id="122" w:name="_Toc254970593"/>
            <w:bookmarkStart w:id="123" w:name="_Toc6923316"/>
            <w:r>
              <w:rPr>
                <w:rFonts w:hint="eastAsia" w:ascii="宋体" w:hAnsi="宋体" w:eastAsia="宋体" w:cs="宋体"/>
                <w:sz w:val="24"/>
                <w:highlight w:val="none"/>
              </w:rPr>
              <w:t>1</w:t>
            </w:r>
            <w:bookmarkEnd w:id="118"/>
            <w:bookmarkEnd w:id="119"/>
            <w:bookmarkEnd w:id="120"/>
            <w:bookmarkEnd w:id="121"/>
            <w:bookmarkEnd w:id="122"/>
            <w:bookmarkEnd w:id="123"/>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vAlign w:val="center"/>
          </w:tcPr>
          <w:p>
            <w:pPr>
              <w:adjustRightInd w:val="0"/>
              <w:snapToGrid w:val="0"/>
              <w:spacing w:line="240" w:lineRule="exact"/>
              <w:jc w:val="center"/>
              <w:outlineLvl w:val="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24" w:name="_Toc254970594"/>
            <w:bookmarkStart w:id="125" w:name="_Toc6923317"/>
            <w:bookmarkStart w:id="126" w:name="_Toc173066407"/>
            <w:bookmarkStart w:id="127" w:name="_Toc254970735"/>
            <w:bookmarkStart w:id="128" w:name="_Toc405905883"/>
            <w:bookmarkStart w:id="129" w:name="_Toc173211906"/>
            <w:r>
              <w:rPr>
                <w:rFonts w:hint="eastAsia" w:ascii="宋体" w:hAnsi="宋体" w:eastAsia="宋体" w:cs="宋体"/>
                <w:sz w:val="24"/>
                <w:highlight w:val="none"/>
              </w:rPr>
              <w:t>2</w:t>
            </w:r>
            <w:bookmarkEnd w:id="124"/>
            <w:bookmarkEnd w:id="125"/>
            <w:bookmarkEnd w:id="126"/>
            <w:bookmarkEnd w:id="127"/>
            <w:bookmarkEnd w:id="128"/>
            <w:bookmarkEnd w:id="129"/>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vAlign w:val="center"/>
          </w:tcPr>
          <w:p>
            <w:pPr>
              <w:adjustRightInd w:val="0"/>
              <w:snapToGrid w:val="0"/>
              <w:spacing w:line="240" w:lineRule="exact"/>
              <w:jc w:val="center"/>
              <w:outlineLvl w:val="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30" w:name="_Toc173211907"/>
            <w:bookmarkStart w:id="131" w:name="_Toc254970595"/>
            <w:bookmarkStart w:id="132" w:name="_Toc6923318"/>
            <w:bookmarkStart w:id="133" w:name="_Toc254970736"/>
            <w:bookmarkStart w:id="134" w:name="_Toc173066408"/>
            <w:bookmarkStart w:id="135" w:name="_Toc405905884"/>
            <w:r>
              <w:rPr>
                <w:rFonts w:hint="eastAsia" w:ascii="宋体" w:hAnsi="宋体" w:eastAsia="宋体" w:cs="宋体"/>
                <w:sz w:val="24"/>
                <w:highlight w:val="none"/>
              </w:rPr>
              <w:t>3</w:t>
            </w:r>
            <w:bookmarkEnd w:id="130"/>
            <w:bookmarkEnd w:id="131"/>
            <w:bookmarkEnd w:id="132"/>
            <w:bookmarkEnd w:id="133"/>
            <w:bookmarkEnd w:id="134"/>
            <w:bookmarkEnd w:id="135"/>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vAlign w:val="center"/>
          </w:tcPr>
          <w:p>
            <w:pPr>
              <w:adjustRightInd w:val="0"/>
              <w:snapToGrid w:val="0"/>
              <w:spacing w:line="240" w:lineRule="exact"/>
              <w:jc w:val="center"/>
              <w:outlineLvl w:val="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36" w:name="_Toc6923319"/>
            <w:bookmarkStart w:id="137" w:name="_Toc405905885"/>
            <w:r>
              <w:rPr>
                <w:rFonts w:hint="eastAsia" w:ascii="宋体" w:hAnsi="宋体" w:eastAsia="宋体" w:cs="宋体"/>
                <w:sz w:val="24"/>
                <w:highlight w:val="none"/>
              </w:rPr>
              <w:t>…</w:t>
            </w:r>
            <w:bookmarkEnd w:id="136"/>
            <w:bookmarkEnd w:id="137"/>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vAlign w:val="center"/>
          </w:tcPr>
          <w:p>
            <w:pPr>
              <w:adjustRightInd w:val="0"/>
              <w:snapToGrid w:val="0"/>
              <w:spacing w:line="240" w:lineRule="exact"/>
              <w:jc w:val="center"/>
              <w:outlineLvl w:val="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vAlign w:val="center"/>
          </w:tcPr>
          <w:p>
            <w:pPr>
              <w:adjustRightInd w:val="0"/>
              <w:snapToGrid w:val="0"/>
              <w:spacing w:line="240" w:lineRule="exact"/>
              <w:jc w:val="center"/>
              <w:outlineLvl w:val="0"/>
              <w:rPr>
                <w:rFonts w:ascii="宋体" w:hAnsi="宋体" w:eastAsia="宋体" w:cs="宋体"/>
                <w:sz w:val="24"/>
                <w:highlight w:val="none"/>
              </w:rPr>
            </w:pPr>
            <w:bookmarkStart w:id="138" w:name="_Toc405905886"/>
            <w:bookmarkStart w:id="139" w:name="_Toc6923320"/>
            <w:r>
              <w:rPr>
                <w:rFonts w:hint="eastAsia" w:ascii="宋体" w:hAnsi="宋体" w:eastAsia="宋体" w:cs="宋体"/>
                <w:sz w:val="24"/>
                <w:highlight w:val="none"/>
              </w:rPr>
              <w:t>技术部分</w:t>
            </w:r>
            <w:bookmarkEnd w:id="138"/>
            <w:bookmarkEnd w:id="13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40" w:name="_Toc405905887"/>
            <w:bookmarkStart w:id="141" w:name="_Toc6923321"/>
            <w:r>
              <w:rPr>
                <w:rFonts w:hint="eastAsia" w:ascii="宋体" w:hAnsi="宋体" w:eastAsia="宋体" w:cs="宋体"/>
                <w:sz w:val="24"/>
                <w:highlight w:val="none"/>
              </w:rPr>
              <w:t>1</w:t>
            </w:r>
            <w:bookmarkEnd w:id="140"/>
            <w:bookmarkEnd w:id="141"/>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vAlign w:val="center"/>
          </w:tcPr>
          <w:p>
            <w:pPr>
              <w:adjustRightInd w:val="0"/>
              <w:snapToGrid w:val="0"/>
              <w:spacing w:line="240" w:lineRule="exact"/>
              <w:jc w:val="center"/>
              <w:outlineLvl w:val="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42" w:name="_Toc405905888"/>
            <w:bookmarkStart w:id="143" w:name="_Toc6923322"/>
            <w:r>
              <w:rPr>
                <w:rFonts w:hint="eastAsia" w:ascii="宋体" w:hAnsi="宋体" w:eastAsia="宋体" w:cs="宋体"/>
                <w:sz w:val="24"/>
                <w:highlight w:val="none"/>
              </w:rPr>
              <w:t>2</w:t>
            </w:r>
            <w:bookmarkEnd w:id="142"/>
            <w:bookmarkEnd w:id="143"/>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vAlign w:val="center"/>
          </w:tcPr>
          <w:p>
            <w:pPr>
              <w:adjustRightInd w:val="0"/>
              <w:snapToGrid w:val="0"/>
              <w:spacing w:line="240" w:lineRule="exact"/>
              <w:jc w:val="center"/>
              <w:outlineLvl w:val="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44" w:name="_Toc6923323"/>
            <w:bookmarkStart w:id="145" w:name="_Toc405905889"/>
            <w:r>
              <w:rPr>
                <w:rFonts w:hint="eastAsia" w:ascii="宋体" w:hAnsi="宋体" w:eastAsia="宋体" w:cs="宋体"/>
                <w:sz w:val="24"/>
                <w:highlight w:val="none"/>
              </w:rPr>
              <w:t>3</w:t>
            </w:r>
            <w:bookmarkEnd w:id="144"/>
            <w:bookmarkEnd w:id="145"/>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vAlign w:val="center"/>
          </w:tcPr>
          <w:p>
            <w:pPr>
              <w:adjustRightInd w:val="0"/>
              <w:snapToGrid w:val="0"/>
              <w:spacing w:line="240" w:lineRule="exact"/>
              <w:jc w:val="center"/>
              <w:outlineLvl w:val="0"/>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adjustRightInd w:val="0"/>
              <w:snapToGrid w:val="0"/>
              <w:spacing w:line="240" w:lineRule="exact"/>
              <w:jc w:val="center"/>
              <w:outlineLvl w:val="0"/>
              <w:rPr>
                <w:rFonts w:ascii="宋体" w:hAnsi="宋体" w:eastAsia="宋体" w:cs="宋体"/>
                <w:sz w:val="24"/>
                <w:highlight w:val="none"/>
              </w:rPr>
            </w:pPr>
            <w:bookmarkStart w:id="146" w:name="_Toc405905890"/>
            <w:bookmarkStart w:id="147" w:name="_Toc6923324"/>
            <w:r>
              <w:rPr>
                <w:rFonts w:hint="eastAsia" w:ascii="宋体" w:hAnsi="宋体" w:eastAsia="宋体" w:cs="宋体"/>
                <w:sz w:val="24"/>
                <w:highlight w:val="none"/>
              </w:rPr>
              <w:t>…</w:t>
            </w:r>
            <w:bookmarkEnd w:id="146"/>
            <w:bookmarkEnd w:id="147"/>
          </w:p>
        </w:tc>
        <w:tc>
          <w:tcPr>
            <w:tcW w:w="2519" w:type="dxa"/>
            <w:vAlign w:val="center"/>
          </w:tcPr>
          <w:p>
            <w:pPr>
              <w:adjustRightInd w:val="0"/>
              <w:snapToGrid w:val="0"/>
              <w:spacing w:line="240" w:lineRule="exact"/>
              <w:jc w:val="center"/>
              <w:outlineLvl w:val="0"/>
              <w:rPr>
                <w:rFonts w:ascii="宋体" w:hAnsi="宋体" w:eastAsia="宋体" w:cs="宋体"/>
                <w:sz w:val="24"/>
                <w:highlight w:val="none"/>
              </w:rPr>
            </w:pPr>
          </w:p>
        </w:tc>
        <w:tc>
          <w:tcPr>
            <w:tcW w:w="3235" w:type="dxa"/>
            <w:vAlign w:val="center"/>
          </w:tcPr>
          <w:p>
            <w:pPr>
              <w:adjustRightInd w:val="0"/>
              <w:snapToGrid w:val="0"/>
              <w:spacing w:line="240" w:lineRule="exact"/>
              <w:jc w:val="center"/>
              <w:outlineLvl w:val="0"/>
              <w:rPr>
                <w:rFonts w:ascii="宋体" w:hAnsi="宋体" w:eastAsia="宋体" w:cs="宋体"/>
                <w:sz w:val="24"/>
                <w:highlight w:val="none"/>
              </w:rPr>
            </w:pPr>
          </w:p>
        </w:tc>
        <w:tc>
          <w:tcPr>
            <w:tcW w:w="1464" w:type="dxa"/>
            <w:tcBorders>
              <w:right w:val="single" w:color="auto" w:sz="4" w:space="0"/>
            </w:tcBorders>
            <w:vAlign w:val="center"/>
          </w:tcPr>
          <w:p>
            <w:pPr>
              <w:adjustRightInd w:val="0"/>
              <w:snapToGrid w:val="0"/>
              <w:spacing w:line="240" w:lineRule="exact"/>
              <w:jc w:val="center"/>
              <w:outlineLvl w:val="0"/>
              <w:rPr>
                <w:rFonts w:ascii="宋体" w:hAnsi="宋体" w:eastAsia="宋体" w:cs="宋体"/>
                <w:sz w:val="24"/>
                <w:highlight w:val="none"/>
              </w:rPr>
            </w:pPr>
          </w:p>
        </w:tc>
        <w:tc>
          <w:tcPr>
            <w:tcW w:w="1361" w:type="dxa"/>
            <w:tcBorders>
              <w:left w:val="single" w:color="auto" w:sz="4" w:space="0"/>
            </w:tcBorders>
            <w:vAlign w:val="center"/>
          </w:tcPr>
          <w:p>
            <w:pPr>
              <w:adjustRightInd w:val="0"/>
              <w:snapToGrid w:val="0"/>
              <w:spacing w:line="240" w:lineRule="exact"/>
              <w:jc w:val="center"/>
              <w:outlineLvl w:val="0"/>
              <w:rPr>
                <w:rFonts w:ascii="宋体" w:hAnsi="宋体" w:eastAsia="宋体" w:cs="宋体"/>
                <w:sz w:val="24"/>
                <w:highlight w:val="none"/>
              </w:rPr>
            </w:pPr>
          </w:p>
        </w:tc>
      </w:tr>
    </w:tbl>
    <w:p>
      <w:pPr>
        <w:adjustRightInd w:val="0"/>
        <w:snapToGrid w:val="0"/>
        <w:spacing w:line="360" w:lineRule="exact"/>
        <w:rPr>
          <w:rFonts w:ascii="宋体" w:hAnsi="宋体" w:eastAsia="宋体" w:cs="宋体"/>
          <w:sz w:val="24"/>
          <w:highlight w:val="none"/>
        </w:rPr>
      </w:pPr>
      <w:r>
        <w:rPr>
          <w:rFonts w:hint="eastAsia" w:ascii="宋体" w:hAnsi="宋体" w:eastAsia="宋体" w:cs="宋体"/>
          <w:sz w:val="24"/>
          <w:highlight w:val="none"/>
        </w:rPr>
        <w:t>说明：1.应写明竞争性谈判响应文件对商务与技术要求的响应和偏离情况</w:t>
      </w:r>
      <w:r>
        <w:rPr>
          <w:rFonts w:hint="eastAsia" w:ascii="宋体" w:hAnsi="宋体" w:eastAsia="宋体" w:cs="宋体"/>
          <w:bCs/>
          <w:sz w:val="24"/>
          <w:highlight w:val="none"/>
        </w:rPr>
        <w:t>；</w:t>
      </w:r>
    </w:p>
    <w:p>
      <w:pPr>
        <w:pStyle w:val="7"/>
        <w:spacing w:line="36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pPr>
        <w:pStyle w:val="8"/>
        <w:spacing w:line="360" w:lineRule="exact"/>
        <w:rPr>
          <w:rFonts w:hAnsi="宋体" w:eastAsia="宋体" w:cs="宋体"/>
          <w:sz w:val="24"/>
          <w:szCs w:val="24"/>
          <w:highlight w:val="none"/>
        </w:rPr>
      </w:pPr>
    </w:p>
    <w:p>
      <w:pPr>
        <w:pStyle w:val="8"/>
        <w:spacing w:line="360" w:lineRule="exact"/>
        <w:rPr>
          <w:rFonts w:hAnsi="宋体" w:eastAsia="宋体" w:cs="宋体"/>
          <w:sz w:val="24"/>
          <w:szCs w:val="24"/>
          <w:highlight w:val="none"/>
        </w:rPr>
      </w:pPr>
    </w:p>
    <w:p>
      <w:pPr>
        <w:pStyle w:val="8"/>
        <w:spacing w:line="360" w:lineRule="exact"/>
        <w:rPr>
          <w:rFonts w:hAnsi="宋体" w:eastAsia="宋体" w:cs="宋体"/>
          <w:sz w:val="24"/>
          <w:szCs w:val="24"/>
          <w:highlight w:val="none"/>
        </w:rPr>
      </w:pPr>
    </w:p>
    <w:p>
      <w:pPr>
        <w:pStyle w:val="8"/>
        <w:spacing w:line="360" w:lineRule="exact"/>
        <w:ind w:firstLine="3840" w:firstLineChars="1600"/>
        <w:rPr>
          <w:rFonts w:hAnsi="宋体" w:eastAsia="宋体" w:cs="宋体"/>
          <w:sz w:val="24"/>
          <w:szCs w:val="24"/>
          <w:highlight w:val="none"/>
        </w:rPr>
      </w:pPr>
      <w:r>
        <w:rPr>
          <w:rFonts w:hint="eastAsia" w:hAnsi="宋体" w:eastAsia="宋体" w:cs="宋体"/>
          <w:sz w:val="24"/>
          <w:szCs w:val="24"/>
          <w:highlight w:val="none"/>
        </w:rPr>
        <w:t>法定代表人或委托代理人签字:</w:t>
      </w:r>
    </w:p>
    <w:p>
      <w:pPr>
        <w:pStyle w:val="8"/>
        <w:spacing w:line="360" w:lineRule="exact"/>
        <w:rPr>
          <w:rFonts w:hAnsi="宋体" w:eastAsia="宋体" w:cs="宋体"/>
          <w:sz w:val="24"/>
          <w:szCs w:val="24"/>
          <w:highlight w:val="none"/>
        </w:rPr>
      </w:pPr>
    </w:p>
    <w:p>
      <w:pPr>
        <w:pStyle w:val="8"/>
        <w:spacing w:line="360" w:lineRule="exact"/>
        <w:ind w:firstLine="6000" w:firstLineChars="2500"/>
        <w:rPr>
          <w:rFonts w:hAnsi="宋体" w:eastAsia="宋体" w:cs="宋体"/>
          <w:sz w:val="24"/>
          <w:szCs w:val="24"/>
          <w:highlight w:val="none"/>
        </w:rPr>
      </w:pPr>
      <w:r>
        <w:rPr>
          <w:rFonts w:hint="eastAsia" w:hAnsi="宋体" w:eastAsia="宋体" w:cs="宋体"/>
          <w:sz w:val="24"/>
          <w:szCs w:val="24"/>
          <w:highlight w:val="none"/>
        </w:rPr>
        <w:t>年     月     日</w:t>
      </w: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600" w:lineRule="exact"/>
        <w:rPr>
          <w:rFonts w:ascii="宋体" w:hAnsi="宋体" w:eastAsia="宋体" w:cs="宋体"/>
          <w:b/>
          <w:sz w:val="24"/>
          <w:highlight w:val="none"/>
        </w:rPr>
      </w:pPr>
      <w:r>
        <w:rPr>
          <w:rFonts w:hint="eastAsia" w:ascii="宋体" w:hAnsi="宋体" w:eastAsia="宋体" w:cs="宋体"/>
          <w:sz w:val="24"/>
          <w:highlight w:val="none"/>
        </w:rPr>
        <w:br w:type="page"/>
      </w:r>
    </w:p>
    <w:p>
      <w:pPr>
        <w:adjustRightInd w:val="0"/>
        <w:snapToGrid w:val="0"/>
        <w:spacing w:line="600" w:lineRule="exact"/>
        <w:jc w:val="center"/>
        <w:rPr>
          <w:rFonts w:ascii="宋体" w:hAnsi="宋体" w:eastAsia="宋体" w:cs="宋体"/>
          <w:sz w:val="24"/>
          <w:highlight w:val="none"/>
        </w:rPr>
      </w:pPr>
      <w:bookmarkStart w:id="148" w:name="_Toc12585"/>
      <w:r>
        <w:rPr>
          <w:rFonts w:hint="eastAsia" w:ascii="宋体" w:hAnsi="宋体" w:eastAsia="宋体" w:cs="宋体"/>
          <w:sz w:val="24"/>
          <w:highlight w:val="none"/>
        </w:rPr>
        <w:t>法定代表人(负责人)授权委托书</w:t>
      </w:r>
      <w:bookmarkEnd w:id="148"/>
    </w:p>
    <w:p>
      <w:pPr>
        <w:adjustRightInd w:val="0"/>
        <w:snapToGrid w:val="0"/>
        <w:spacing w:line="520" w:lineRule="exact"/>
        <w:rPr>
          <w:rFonts w:ascii="宋体" w:hAnsi="宋体" w:eastAsia="宋体" w:cs="宋体"/>
          <w:sz w:val="24"/>
          <w:highlight w:val="none"/>
        </w:rPr>
      </w:pPr>
    </w:p>
    <w:p>
      <w:pPr>
        <w:spacing w:line="520" w:lineRule="exact"/>
        <w:rPr>
          <w:rFonts w:ascii="宋体" w:hAnsi="宋体" w:eastAsia="宋体" w:cs="宋体"/>
          <w:sz w:val="24"/>
          <w:highlight w:val="none"/>
        </w:rPr>
      </w:pPr>
      <w:r>
        <w:rPr>
          <w:rFonts w:hint="eastAsia" w:ascii="宋体" w:hAnsi="宋体" w:eastAsia="宋体" w:cs="宋体"/>
          <w:sz w:val="24"/>
          <w:highlight w:val="none"/>
          <w:u w:val="single"/>
        </w:rPr>
        <w:t>采购代理机构名称</w:t>
      </w:r>
      <w:r>
        <w:rPr>
          <w:rFonts w:hint="eastAsia" w:ascii="宋体" w:hAnsi="宋体" w:eastAsia="宋体" w:cs="宋体"/>
          <w:sz w:val="24"/>
          <w:highlight w:val="none"/>
        </w:rPr>
        <w:t>：</w:t>
      </w:r>
    </w:p>
    <w:p>
      <w:pPr>
        <w:spacing w:line="52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兹授权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为我公司参加贵单位组织的</w:t>
      </w:r>
      <w:r>
        <w:rPr>
          <w:rFonts w:hint="eastAsia" w:ascii="宋体" w:hAnsi="宋体" w:eastAsia="宋体" w:cs="宋体"/>
          <w:sz w:val="24"/>
          <w:highlight w:val="none"/>
          <w:u w:val="single"/>
        </w:rPr>
        <w:t>（项目名称、项目编号）竞争性谈判</w:t>
      </w:r>
      <w:r>
        <w:rPr>
          <w:rFonts w:hint="eastAsia" w:ascii="宋体" w:hAnsi="宋体" w:eastAsia="宋体" w:cs="宋体"/>
          <w:sz w:val="24"/>
          <w:highlight w:val="none"/>
        </w:rPr>
        <w:t xml:space="preserve">采购活动的委托代理人，全权代表我公司处理在该项目活动中的一切事宜。代理期限从   年   月   日起至   年   月   日止。 </w:t>
      </w:r>
    </w:p>
    <w:p>
      <w:pPr>
        <w:spacing w:line="520" w:lineRule="exact"/>
        <w:rPr>
          <w:rFonts w:ascii="宋体" w:hAnsi="宋体" w:eastAsia="宋体" w:cs="宋体"/>
          <w:sz w:val="24"/>
          <w:highlight w:val="none"/>
        </w:rPr>
      </w:pPr>
    </w:p>
    <w:p>
      <w:pPr>
        <w:spacing w:line="520" w:lineRule="exact"/>
        <w:rPr>
          <w:rFonts w:ascii="宋体" w:hAnsi="宋体" w:eastAsia="宋体" w:cs="宋体"/>
          <w:sz w:val="24"/>
          <w:highlight w:val="none"/>
        </w:rPr>
      </w:pPr>
      <w:r>
        <w:rPr>
          <w:rFonts w:hint="eastAsia" w:ascii="宋体" w:hAnsi="宋体" w:eastAsia="宋体" w:cs="宋体"/>
          <w:sz w:val="24"/>
          <w:highlight w:val="none"/>
        </w:rPr>
        <w:t>谈判供应商（盖章）：</w:t>
      </w:r>
    </w:p>
    <w:p>
      <w:pPr>
        <w:spacing w:line="520" w:lineRule="exact"/>
        <w:rPr>
          <w:rFonts w:ascii="宋体" w:hAnsi="宋体" w:eastAsia="宋体" w:cs="宋体"/>
          <w:sz w:val="24"/>
          <w:highlight w:val="none"/>
        </w:rPr>
      </w:pPr>
      <w:r>
        <w:rPr>
          <w:rFonts w:hint="eastAsia" w:ascii="宋体" w:hAnsi="宋体" w:eastAsia="宋体" w:cs="宋体"/>
          <w:sz w:val="24"/>
          <w:highlight w:val="none"/>
        </w:rPr>
        <w:t>法定代表人(负责人)（签字或盖章）：</w:t>
      </w:r>
    </w:p>
    <w:p>
      <w:pPr>
        <w:spacing w:line="520" w:lineRule="exact"/>
        <w:rPr>
          <w:rFonts w:ascii="宋体" w:hAnsi="宋体" w:eastAsia="宋体" w:cs="宋体"/>
          <w:sz w:val="24"/>
          <w:highlight w:val="none"/>
        </w:rPr>
      </w:pPr>
      <w:r>
        <w:rPr>
          <w:rFonts w:hint="eastAsia" w:ascii="宋体" w:hAnsi="宋体" w:eastAsia="宋体" w:cs="宋体"/>
          <w:sz w:val="24"/>
          <w:highlight w:val="none"/>
        </w:rPr>
        <w:t>签发日期：   年  月    日</w:t>
      </w:r>
    </w:p>
    <w:p>
      <w:pPr>
        <w:spacing w:line="520" w:lineRule="exact"/>
        <w:rPr>
          <w:rFonts w:ascii="宋体" w:hAnsi="宋体" w:eastAsia="宋体" w:cs="宋体"/>
          <w:sz w:val="24"/>
          <w:highlight w:val="none"/>
        </w:rPr>
      </w:pPr>
    </w:p>
    <w:p>
      <w:pPr>
        <w:spacing w:line="520" w:lineRule="exact"/>
        <w:rPr>
          <w:rFonts w:ascii="宋体" w:hAnsi="宋体" w:eastAsia="宋体" w:cs="宋体"/>
          <w:sz w:val="24"/>
          <w:highlight w:val="none"/>
        </w:rPr>
      </w:pPr>
      <w:r>
        <w:rPr>
          <w:rFonts w:hint="eastAsia" w:ascii="宋体" w:hAnsi="宋体" w:eastAsia="宋体" w:cs="宋体"/>
          <w:sz w:val="24"/>
          <w:highlight w:val="none"/>
        </w:rPr>
        <w:t>附：委托代理人工作单位</w:t>
      </w:r>
    </w:p>
    <w:p>
      <w:pPr>
        <w:spacing w:line="52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职务：      性别：</w:t>
      </w:r>
    </w:p>
    <w:p>
      <w:pPr>
        <w:adjustRightInd w:val="0"/>
        <w:snapToGrid w:val="0"/>
        <w:spacing w:line="52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身份证号码：</w:t>
      </w:r>
    </w:p>
    <w:tbl>
      <w:tblPr>
        <w:tblStyle w:val="15"/>
        <w:tblW w:w="904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040" w:type="dxa"/>
          </w:tcPr>
          <w:p>
            <w:pPr>
              <w:spacing w:line="300" w:lineRule="auto"/>
              <w:rPr>
                <w:rFonts w:ascii="宋体" w:hAnsi="宋体" w:eastAsia="宋体" w:cs="宋体"/>
                <w:sz w:val="24"/>
                <w:highlight w:val="none"/>
              </w:rPr>
            </w:pPr>
            <w:r>
              <w:rPr>
                <w:rFonts w:hint="eastAsia" w:ascii="宋体" w:hAnsi="宋体" w:eastAsia="宋体" w:cs="宋体"/>
                <w:sz w:val="24"/>
                <w:highlight w:val="none"/>
              </w:rPr>
              <w:t>粘贴委托代理人的正面及反面身份证复印件</w:t>
            </w:r>
          </w:p>
        </w:tc>
      </w:tr>
    </w:tbl>
    <w:p>
      <w:pPr>
        <w:autoSpaceDE w:val="0"/>
        <w:autoSpaceDN w:val="0"/>
        <w:spacing w:line="300" w:lineRule="auto"/>
        <w:ind w:left="480" w:hanging="480"/>
        <w:rPr>
          <w:rFonts w:ascii="宋体" w:hAnsi="宋体" w:eastAsia="宋体" w:cs="宋体"/>
          <w:sz w:val="24"/>
          <w:highlight w:val="none"/>
        </w:rPr>
      </w:pPr>
    </w:p>
    <w:p>
      <w:pPr>
        <w:jc w:val="center"/>
        <w:rPr>
          <w:rFonts w:ascii="宋体" w:hAnsi="宋体" w:eastAsia="宋体" w:cs="宋体"/>
          <w:sz w:val="24"/>
          <w:highlight w:val="none"/>
        </w:rPr>
      </w:pPr>
    </w:p>
    <w:p>
      <w:pPr>
        <w:jc w:val="center"/>
        <w:rPr>
          <w:rFonts w:ascii="宋体" w:hAnsi="宋体" w:eastAsia="宋体" w:cs="宋体"/>
          <w:sz w:val="24"/>
          <w:highlight w:val="none"/>
        </w:rPr>
      </w:pPr>
    </w:p>
    <w:p>
      <w:pPr>
        <w:jc w:val="center"/>
        <w:rPr>
          <w:rFonts w:ascii="宋体" w:hAnsi="宋体" w:eastAsia="宋体" w:cs="宋体"/>
          <w:sz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360" w:lineRule="exact"/>
        <w:ind w:firstLine="0"/>
        <w:outlineLvl w:val="0"/>
        <w:rPr>
          <w:rFonts w:ascii="宋体" w:hAnsi="宋体" w:eastAsia="宋体" w:cs="宋体"/>
          <w:b/>
          <w:sz w:val="24"/>
          <w:szCs w:val="24"/>
          <w:highlight w:val="none"/>
        </w:rPr>
      </w:pPr>
    </w:p>
    <w:p>
      <w:pPr>
        <w:pStyle w:val="5"/>
        <w:overflowPunct w:val="0"/>
        <w:spacing w:line="560" w:lineRule="exact"/>
        <w:ind w:firstLine="0"/>
        <w:rPr>
          <w:rFonts w:ascii="宋体" w:hAnsi="宋体" w:eastAsia="宋体" w:cs="宋体"/>
          <w:b/>
          <w:sz w:val="24"/>
          <w:szCs w:val="24"/>
          <w:highlight w:val="none"/>
        </w:rPr>
      </w:pPr>
    </w:p>
    <w:p>
      <w:pPr>
        <w:pStyle w:val="5"/>
        <w:overflowPunct w:val="0"/>
        <w:spacing w:line="560" w:lineRule="exact"/>
        <w:ind w:firstLine="0"/>
        <w:jc w:val="center"/>
        <w:rPr>
          <w:rFonts w:ascii="宋体" w:hAnsi="宋体" w:eastAsia="宋体" w:cs="宋体"/>
          <w:b/>
          <w:sz w:val="24"/>
          <w:szCs w:val="24"/>
          <w:highlight w:val="none"/>
        </w:rPr>
      </w:pPr>
      <w:bookmarkStart w:id="149" w:name="_Toc6390"/>
      <w:r>
        <w:rPr>
          <w:rFonts w:hint="eastAsia" w:ascii="宋体" w:hAnsi="宋体" w:eastAsia="宋体" w:cs="宋体"/>
          <w:sz w:val="24"/>
          <w:szCs w:val="24"/>
          <w:highlight w:val="none"/>
        </w:rPr>
        <w:t>近三年内，在经营活动中没有重大违法记录的声明函（格式）</w:t>
      </w:r>
      <w:bookmarkEnd w:id="149"/>
    </w:p>
    <w:p>
      <w:pPr>
        <w:adjustRightInd w:val="0"/>
        <w:snapToGrid w:val="0"/>
        <w:spacing w:line="360" w:lineRule="exact"/>
        <w:jc w:val="center"/>
        <w:rPr>
          <w:rFonts w:ascii="宋体" w:hAnsi="宋体" w:eastAsia="宋体" w:cs="宋体"/>
          <w:b/>
          <w:sz w:val="24"/>
          <w:highlight w:val="none"/>
        </w:rPr>
      </w:pPr>
    </w:p>
    <w:p>
      <w:pPr>
        <w:adjustRightInd w:val="0"/>
        <w:snapToGrid w:val="0"/>
        <w:spacing w:line="360" w:lineRule="exact"/>
        <w:rPr>
          <w:rFonts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（采购代理机构名称） </w:t>
      </w:r>
    </w:p>
    <w:p>
      <w:pPr>
        <w:adjustRightInd w:val="0"/>
        <w:snapToGrid w:val="0"/>
        <w:spacing w:line="360" w:lineRule="exact"/>
        <w:ind w:firstLine="360" w:firstLineChars="150"/>
        <w:jc w:val="left"/>
        <w:rPr>
          <w:rFonts w:ascii="宋体" w:hAnsi="宋体" w:eastAsia="宋体" w:cs="宋体"/>
          <w:sz w:val="24"/>
          <w:highlight w:val="none"/>
        </w:rPr>
      </w:pPr>
    </w:p>
    <w:p>
      <w:pPr>
        <w:adjustRightInd w:val="0"/>
        <w:snapToGrid w:val="0"/>
        <w:spacing w:line="360" w:lineRule="exact"/>
        <w:ind w:firstLine="360" w:firstLineChars="150"/>
        <w:jc w:val="left"/>
        <w:rPr>
          <w:rFonts w:ascii="宋体" w:hAnsi="宋体" w:eastAsia="宋体" w:cs="宋体"/>
          <w:sz w:val="24"/>
          <w:highlight w:val="none"/>
        </w:rPr>
      </w:pPr>
      <w:r>
        <w:rPr>
          <w:rFonts w:hint="eastAsia" w:ascii="宋体" w:hAnsi="宋体" w:eastAsia="宋体" w:cs="宋体"/>
          <w:sz w:val="24"/>
          <w:highlight w:val="none"/>
        </w:rPr>
        <w:t>我单位近三年在经营活动中没有重大违法记录（包括：因违法经营受到刑事处罚或者责令停产停业，吊销许可证或者执照、较大数额罚款等行政处罚），特此声明。</w:t>
      </w:r>
    </w:p>
    <w:p>
      <w:pPr>
        <w:adjustRightInd w:val="0"/>
        <w:snapToGrid w:val="0"/>
        <w:spacing w:line="360" w:lineRule="exact"/>
        <w:ind w:firstLine="360" w:firstLineChars="150"/>
        <w:jc w:val="left"/>
        <w:rPr>
          <w:rFonts w:ascii="宋体" w:hAnsi="宋体" w:eastAsia="宋体" w:cs="宋体"/>
          <w:sz w:val="24"/>
          <w:highlight w:val="none"/>
        </w:rPr>
      </w:pPr>
      <w:r>
        <w:rPr>
          <w:rFonts w:hint="eastAsia" w:ascii="宋体" w:hAnsi="宋体" w:eastAsia="宋体" w:cs="宋体"/>
          <w:sz w:val="24"/>
          <w:highlight w:val="none"/>
        </w:rPr>
        <w:t>若招标采购单位在本项目采购过程中发现我单位近三年内在经营活动中有重大违法记录，我单位将无条件地退出本项目的谈判，并承担因此引起的一切后果。</w:t>
      </w:r>
    </w:p>
    <w:p>
      <w:pPr>
        <w:adjustRightInd w:val="0"/>
        <w:snapToGrid w:val="0"/>
        <w:spacing w:line="360" w:lineRule="exact"/>
        <w:ind w:firstLine="360" w:firstLineChars="150"/>
        <w:jc w:val="left"/>
        <w:rPr>
          <w:rFonts w:ascii="宋体" w:hAnsi="宋体" w:eastAsia="宋体" w:cs="宋体"/>
          <w:sz w:val="24"/>
          <w:highlight w:val="none"/>
        </w:rPr>
      </w:pPr>
    </w:p>
    <w:p>
      <w:pPr>
        <w:adjustRightInd w:val="0"/>
        <w:snapToGrid w:val="0"/>
        <w:spacing w:line="360" w:lineRule="exact"/>
        <w:ind w:firstLine="360" w:firstLineChars="150"/>
        <w:jc w:val="left"/>
        <w:rPr>
          <w:rFonts w:ascii="宋体" w:hAnsi="宋体" w:eastAsia="宋体" w:cs="宋体"/>
          <w:sz w:val="24"/>
          <w:highlight w:val="none"/>
        </w:rPr>
      </w:pPr>
    </w:p>
    <w:p>
      <w:pPr>
        <w:adjustRightInd w:val="0"/>
        <w:snapToGrid w:val="0"/>
        <w:spacing w:line="360" w:lineRule="exact"/>
        <w:ind w:firstLine="360" w:firstLineChars="150"/>
        <w:jc w:val="left"/>
        <w:rPr>
          <w:rFonts w:ascii="宋体" w:hAnsi="宋体" w:eastAsia="宋体" w:cs="宋体"/>
          <w:sz w:val="24"/>
          <w:highlight w:val="none"/>
        </w:rPr>
      </w:pPr>
    </w:p>
    <w:p>
      <w:pPr>
        <w:adjustRightInd w:val="0"/>
        <w:snapToGrid w:val="0"/>
        <w:spacing w:line="360" w:lineRule="exact"/>
        <w:ind w:firstLine="360" w:firstLineChars="150"/>
        <w:jc w:val="left"/>
        <w:rPr>
          <w:rFonts w:ascii="宋体" w:hAnsi="宋体" w:eastAsia="宋体" w:cs="宋体"/>
          <w:sz w:val="24"/>
          <w:highlight w:val="none"/>
        </w:rPr>
      </w:pPr>
      <w:r>
        <w:rPr>
          <w:rFonts w:hint="eastAsia" w:ascii="宋体" w:hAnsi="宋体" w:eastAsia="宋体" w:cs="宋体"/>
          <w:sz w:val="24"/>
          <w:highlight w:val="none"/>
        </w:rPr>
        <w:t>投标人（公章）：</w:t>
      </w:r>
    </w:p>
    <w:p>
      <w:pPr>
        <w:adjustRightInd w:val="0"/>
        <w:snapToGrid w:val="0"/>
        <w:spacing w:line="360" w:lineRule="exact"/>
        <w:ind w:firstLine="360" w:firstLineChars="150"/>
        <w:jc w:val="left"/>
        <w:rPr>
          <w:rFonts w:ascii="宋体" w:hAnsi="宋体" w:eastAsia="宋体" w:cs="宋体"/>
          <w:sz w:val="24"/>
          <w:highlight w:val="none"/>
        </w:rPr>
      </w:pPr>
      <w:r>
        <w:rPr>
          <w:rFonts w:hint="eastAsia" w:ascii="宋体" w:hAnsi="宋体" w:eastAsia="宋体" w:cs="宋体"/>
          <w:sz w:val="24"/>
          <w:highlight w:val="none"/>
        </w:rPr>
        <w:t>法定代表人（签字）：</w:t>
      </w:r>
    </w:p>
    <w:p>
      <w:pPr>
        <w:adjustRightInd w:val="0"/>
        <w:snapToGrid w:val="0"/>
        <w:spacing w:line="360" w:lineRule="exact"/>
        <w:ind w:firstLine="360" w:firstLineChars="150"/>
        <w:jc w:val="left"/>
        <w:rPr>
          <w:rFonts w:ascii="宋体" w:hAnsi="宋体" w:eastAsia="宋体" w:cs="宋体"/>
          <w:sz w:val="24"/>
          <w:highlight w:val="none"/>
        </w:rPr>
      </w:pPr>
      <w:r>
        <w:rPr>
          <w:rFonts w:hint="eastAsia" w:ascii="宋体" w:hAnsi="宋体" w:eastAsia="宋体" w:cs="宋体"/>
          <w:sz w:val="24"/>
          <w:highlight w:val="none"/>
        </w:rPr>
        <w:t>日期：</w:t>
      </w:r>
    </w:p>
    <w:p>
      <w:pPr>
        <w:pStyle w:val="5"/>
        <w:overflowPunct w:val="0"/>
        <w:adjustRightInd w:val="0"/>
        <w:snapToGrid w:val="0"/>
        <w:spacing w:line="36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pStyle w:val="5"/>
        <w:overflowPunct w:val="0"/>
        <w:spacing w:line="600" w:lineRule="exact"/>
        <w:ind w:firstLine="0"/>
        <w:rPr>
          <w:rFonts w:ascii="宋体" w:hAnsi="宋体" w:eastAsia="宋体" w:cs="宋体"/>
          <w:b/>
          <w:sz w:val="24"/>
          <w:szCs w:val="24"/>
          <w:highlight w:val="none"/>
        </w:rPr>
      </w:pPr>
    </w:p>
    <w:p>
      <w:pPr>
        <w:jc w:val="center"/>
        <w:rPr>
          <w:rFonts w:ascii="宋体" w:hAnsi="宋体" w:eastAsia="宋体" w:cs="宋体"/>
          <w:sz w:val="24"/>
          <w:highlight w:val="none"/>
        </w:rPr>
      </w:pPr>
      <w:bookmarkStart w:id="150" w:name="_Toc21605"/>
    </w:p>
    <w:p>
      <w:pPr>
        <w:jc w:val="center"/>
        <w:rPr>
          <w:rFonts w:ascii="宋体" w:hAnsi="宋体" w:eastAsia="宋体" w:cs="宋体"/>
          <w:sz w:val="24"/>
          <w:highlight w:val="none"/>
        </w:rPr>
      </w:pPr>
    </w:p>
    <w:bookmarkEnd w:id="150"/>
    <w:p>
      <w:pPr>
        <w:jc w:val="center"/>
        <w:rPr>
          <w:rFonts w:hAnsi="宋体"/>
          <w:sz w:val="24"/>
          <w:highlight w:val="none"/>
        </w:rPr>
      </w:pPr>
      <w:r>
        <w:rPr>
          <w:rFonts w:hint="eastAsia" w:ascii="宋体" w:hAnsi="宋体" w:eastAsia="宋体" w:cs="宋体"/>
          <w:sz w:val="24"/>
          <w:highlight w:val="none"/>
        </w:rPr>
        <w:t>技术文件（</w:t>
      </w:r>
      <w:r>
        <w:rPr>
          <w:rFonts w:hint="eastAsia" w:hAnsi="宋体"/>
          <w:sz w:val="24"/>
          <w:highlight w:val="none"/>
        </w:rPr>
        <w:t>格式自拟）</w:t>
      </w:r>
    </w:p>
    <w:p>
      <w:pPr>
        <w:jc w:val="center"/>
        <w:rPr>
          <w:rFonts w:ascii="宋体" w:hAnsi="宋体" w:eastAsia="宋体" w:cs="宋体"/>
          <w:sz w:val="24"/>
          <w:highlight w:val="none"/>
        </w:rPr>
      </w:pPr>
    </w:p>
    <w:p>
      <w:pPr>
        <w:pStyle w:val="8"/>
        <w:spacing w:line="360" w:lineRule="exact"/>
        <w:ind w:firstLine="480" w:firstLineChars="200"/>
        <w:rPr>
          <w:rFonts w:hAnsi="宋体" w:eastAsia="宋体" w:cs="宋体"/>
          <w:sz w:val="24"/>
          <w:szCs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300" w:lineRule="auto"/>
        <w:rPr>
          <w:rFonts w:ascii="宋体" w:hAnsi="宋体" w:eastAsia="宋体" w:cs="宋体"/>
          <w:sz w:val="24"/>
          <w:highlight w:val="none"/>
        </w:rPr>
      </w:pPr>
    </w:p>
    <w:p>
      <w:pPr>
        <w:spacing w:line="600" w:lineRule="exact"/>
        <w:rPr>
          <w:rFonts w:ascii="宋体" w:hAnsi="宋体" w:eastAsia="宋体" w:cs="宋体"/>
          <w:b/>
          <w:sz w:val="24"/>
          <w:highlight w:val="none"/>
        </w:rPr>
      </w:pPr>
      <w:r>
        <w:rPr>
          <w:rFonts w:hint="eastAsia" w:ascii="宋体" w:hAnsi="宋体" w:eastAsia="宋体" w:cs="宋体"/>
          <w:sz w:val="24"/>
          <w:highlight w:val="none"/>
        </w:rPr>
        <w:br w:type="page"/>
      </w:r>
    </w:p>
    <w:p>
      <w:pPr>
        <w:pStyle w:val="8"/>
        <w:adjustRightInd w:val="0"/>
        <w:snapToGrid w:val="0"/>
        <w:jc w:val="center"/>
        <w:rPr>
          <w:rFonts w:hAnsi="宋体" w:eastAsia="宋体" w:cs="宋体"/>
          <w:sz w:val="24"/>
          <w:szCs w:val="24"/>
          <w:highlight w:val="none"/>
          <w:u w:val="single"/>
        </w:rPr>
      </w:pPr>
    </w:p>
    <w:p>
      <w:pPr>
        <w:pStyle w:val="8"/>
        <w:adjustRightInd w:val="0"/>
        <w:snapToGrid w:val="0"/>
        <w:jc w:val="center"/>
        <w:rPr>
          <w:rFonts w:hAnsi="宋体" w:eastAsia="宋体" w:cs="宋体"/>
          <w:sz w:val="24"/>
          <w:szCs w:val="24"/>
          <w:highlight w:val="none"/>
          <w:u w:val="single"/>
        </w:rPr>
      </w:pPr>
    </w:p>
    <w:p>
      <w:pPr>
        <w:pStyle w:val="8"/>
        <w:adjustRightInd w:val="0"/>
        <w:snapToGrid w:val="0"/>
        <w:spacing w:line="600" w:lineRule="exact"/>
        <w:jc w:val="center"/>
        <w:rPr>
          <w:rFonts w:hAnsi="宋体" w:eastAsia="宋体" w:cs="宋体"/>
          <w:sz w:val="24"/>
          <w:szCs w:val="24"/>
          <w:highlight w:val="none"/>
        </w:rPr>
      </w:pPr>
      <w:bookmarkStart w:id="151" w:name="_Toc3617"/>
      <w:r>
        <w:rPr>
          <w:rFonts w:hint="eastAsia" w:hAnsi="宋体" w:eastAsia="宋体" w:cs="宋体"/>
          <w:sz w:val="24"/>
          <w:szCs w:val="24"/>
          <w:highlight w:val="none"/>
        </w:rPr>
        <w:t>售后服务承诺书</w:t>
      </w:r>
      <w:bookmarkEnd w:id="151"/>
    </w:p>
    <w:p>
      <w:pPr>
        <w:spacing w:line="360" w:lineRule="exact"/>
        <w:rPr>
          <w:rFonts w:ascii="宋体" w:hAnsi="宋体" w:eastAsia="宋体" w:cs="宋体"/>
          <w:sz w:val="24"/>
          <w:highlight w:val="none"/>
        </w:rPr>
      </w:pPr>
    </w:p>
    <w:p>
      <w:pPr>
        <w:spacing w:line="300" w:lineRule="auto"/>
        <w:ind w:left="420" w:hanging="420"/>
        <w:jc w:val="center"/>
        <w:rPr>
          <w:rFonts w:ascii="宋体" w:hAnsi="宋体" w:eastAsia="宋体" w:cs="宋体"/>
          <w:b/>
          <w:kern w:val="0"/>
          <w:sz w:val="24"/>
          <w:highlight w:val="none"/>
        </w:rPr>
      </w:pPr>
      <w:r>
        <w:rPr>
          <w:rFonts w:hint="eastAsia" w:ascii="宋体" w:hAnsi="宋体" w:eastAsia="宋体" w:cs="宋体"/>
          <w:sz w:val="24"/>
          <w:highlight w:val="none"/>
        </w:rPr>
        <w:t>【提供的切实可行的售后服务和优惠承诺】格式自拟</w:t>
      </w:r>
    </w:p>
    <w:p>
      <w:pPr>
        <w:pStyle w:val="3"/>
        <w:keepNext w:val="0"/>
        <w:keepLines w:val="0"/>
        <w:jc w:val="center"/>
        <w:rPr>
          <w:rFonts w:ascii="宋体" w:hAnsi="宋体" w:eastAsia="宋体" w:cs="宋体"/>
          <w:kern w:val="0"/>
          <w:sz w:val="24"/>
          <w:szCs w:val="24"/>
          <w:highlight w:val="none"/>
        </w:rPr>
      </w:pPr>
      <w:bookmarkStart w:id="152" w:name="_Toc405905891"/>
    </w:p>
    <w:p>
      <w:pPr>
        <w:pStyle w:val="3"/>
        <w:keepNext w:val="0"/>
        <w:keepLines w:val="0"/>
        <w:jc w:val="center"/>
        <w:rPr>
          <w:rFonts w:ascii="宋体" w:hAnsi="宋体" w:eastAsia="宋体" w:cs="宋体"/>
          <w:kern w:val="0"/>
          <w:sz w:val="24"/>
          <w:szCs w:val="24"/>
          <w:highlight w:val="none"/>
        </w:rPr>
      </w:pPr>
    </w:p>
    <w:p>
      <w:pPr>
        <w:pStyle w:val="3"/>
        <w:keepNext w:val="0"/>
        <w:keepLines w:val="0"/>
        <w:jc w:val="center"/>
        <w:rPr>
          <w:rFonts w:ascii="宋体" w:hAnsi="宋体" w:eastAsia="宋体" w:cs="宋体"/>
          <w:kern w:val="0"/>
          <w:sz w:val="24"/>
          <w:szCs w:val="24"/>
          <w:highlight w:val="none"/>
        </w:rPr>
      </w:pPr>
    </w:p>
    <w:p>
      <w:pPr>
        <w:rPr>
          <w:rFonts w:ascii="宋体" w:hAnsi="宋体" w:eastAsia="宋体" w:cs="宋体"/>
          <w:sz w:val="24"/>
          <w:highlight w:val="none"/>
        </w:rPr>
      </w:pPr>
    </w:p>
    <w:p>
      <w:pPr>
        <w:rPr>
          <w:rFonts w:ascii="宋体" w:hAnsi="宋体" w:eastAsia="宋体" w:cs="宋体"/>
          <w:sz w:val="24"/>
          <w:highlight w:val="none"/>
        </w:rPr>
      </w:pPr>
    </w:p>
    <w:p>
      <w:pPr>
        <w:spacing w:line="600" w:lineRule="exact"/>
        <w:rPr>
          <w:rFonts w:ascii="宋体" w:hAnsi="宋体" w:eastAsia="宋体" w:cs="宋体"/>
          <w:b/>
          <w:sz w:val="24"/>
          <w:highlight w:val="none"/>
        </w:rPr>
      </w:pPr>
      <w:r>
        <w:rPr>
          <w:rFonts w:hint="eastAsia" w:ascii="宋体" w:hAnsi="宋体" w:eastAsia="宋体" w:cs="宋体"/>
          <w:sz w:val="24"/>
          <w:highlight w:val="none"/>
        </w:rPr>
        <w:br w:type="page"/>
      </w:r>
    </w:p>
    <w:p>
      <w:pPr>
        <w:spacing w:line="600" w:lineRule="exact"/>
        <w:ind w:left="420" w:hanging="420"/>
        <w:jc w:val="center"/>
        <w:rPr>
          <w:rFonts w:ascii="宋体" w:hAnsi="宋体" w:eastAsia="宋体" w:cs="宋体"/>
          <w:kern w:val="0"/>
          <w:sz w:val="24"/>
          <w:highlight w:val="none"/>
        </w:rPr>
      </w:pPr>
      <w:bookmarkStart w:id="153" w:name="_Toc20917"/>
      <w:r>
        <w:rPr>
          <w:rFonts w:hint="eastAsia" w:ascii="宋体" w:hAnsi="宋体" w:eastAsia="宋体" w:cs="宋体"/>
          <w:kern w:val="0"/>
          <w:sz w:val="24"/>
          <w:highlight w:val="none"/>
        </w:rPr>
        <w:t>产品质量保证书</w:t>
      </w:r>
      <w:bookmarkEnd w:id="153"/>
    </w:p>
    <w:p>
      <w:pPr>
        <w:spacing w:line="360" w:lineRule="exact"/>
        <w:ind w:left="420" w:hanging="420"/>
        <w:jc w:val="center"/>
        <w:rPr>
          <w:rFonts w:ascii="宋体" w:hAnsi="宋体" w:eastAsia="宋体" w:cs="宋体"/>
          <w:b/>
          <w:kern w:val="0"/>
          <w:sz w:val="24"/>
          <w:highlight w:val="none"/>
        </w:rPr>
      </w:pPr>
    </w:p>
    <w:p>
      <w:pPr>
        <w:spacing w:line="360" w:lineRule="exact"/>
        <w:ind w:left="420" w:hanging="42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 xml:space="preserve">致              </w:t>
      </w:r>
      <w:r>
        <w:rPr>
          <w:rFonts w:hint="eastAsia" w:ascii="宋体" w:hAnsi="宋体" w:eastAsia="宋体" w:cs="宋体"/>
          <w:kern w:val="0"/>
          <w:sz w:val="24"/>
          <w:highlight w:val="none"/>
        </w:rPr>
        <w:t xml:space="preserve"> ：</w:t>
      </w:r>
    </w:p>
    <w:p>
      <w:pPr>
        <w:spacing w:line="360" w:lineRule="exact"/>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我公司在此向贵方承诺：</w:t>
      </w:r>
    </w:p>
    <w:p>
      <w:pPr>
        <w:spacing w:line="360" w:lineRule="exact"/>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我方参与谈判的项目（编号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一旦成交，我方保证按照谈判文件和谈判响应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pPr>
        <w:spacing w:line="300" w:lineRule="auto"/>
        <w:rPr>
          <w:rFonts w:ascii="宋体" w:hAnsi="宋体" w:eastAsia="宋体" w:cs="宋体"/>
          <w:kern w:val="0"/>
          <w:sz w:val="24"/>
          <w:highlight w:val="none"/>
        </w:rPr>
      </w:pPr>
    </w:p>
    <w:p>
      <w:pPr>
        <w:spacing w:line="300" w:lineRule="auto"/>
        <w:ind w:hanging="420"/>
        <w:rPr>
          <w:rFonts w:ascii="宋体" w:hAnsi="宋体" w:eastAsia="宋体" w:cs="宋体"/>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ind w:left="420" w:hanging="420"/>
        <w:jc w:val="center"/>
        <w:rPr>
          <w:rFonts w:ascii="宋体" w:hAnsi="宋体" w:eastAsia="宋体" w:cs="宋体"/>
          <w:b/>
          <w:kern w:val="0"/>
          <w:sz w:val="24"/>
          <w:highlight w:val="none"/>
        </w:rPr>
      </w:pPr>
    </w:p>
    <w:p>
      <w:pPr>
        <w:spacing w:line="300" w:lineRule="auto"/>
        <w:rPr>
          <w:rFonts w:ascii="宋体" w:hAnsi="宋体" w:eastAsia="宋体" w:cs="宋体"/>
          <w:b/>
          <w:kern w:val="0"/>
          <w:sz w:val="24"/>
          <w:highlight w:val="none"/>
        </w:rPr>
      </w:pPr>
    </w:p>
    <w:p>
      <w:pPr>
        <w:pStyle w:val="8"/>
        <w:adjustRightInd w:val="0"/>
        <w:snapToGrid w:val="0"/>
        <w:ind w:firstLine="482" w:firstLineChars="201"/>
        <w:rPr>
          <w:rFonts w:hAnsi="宋体" w:eastAsia="宋体" w:cs="宋体"/>
          <w:sz w:val="24"/>
          <w:szCs w:val="24"/>
          <w:highlight w:val="none"/>
        </w:rPr>
      </w:pPr>
      <w:r>
        <w:rPr>
          <w:rFonts w:hint="eastAsia" w:hAnsi="宋体" w:eastAsia="宋体" w:cs="宋体"/>
          <w:sz w:val="24"/>
          <w:szCs w:val="24"/>
          <w:highlight w:val="none"/>
        </w:rPr>
        <w:t>谈判供应商（章）：</w:t>
      </w:r>
    </w:p>
    <w:p>
      <w:pPr>
        <w:pStyle w:val="8"/>
        <w:adjustRightInd w:val="0"/>
        <w:snapToGrid w:val="0"/>
        <w:ind w:firstLine="482" w:firstLineChars="201"/>
        <w:rPr>
          <w:rFonts w:hAnsi="宋体" w:eastAsia="宋体" w:cs="宋体"/>
          <w:sz w:val="24"/>
          <w:szCs w:val="24"/>
          <w:highlight w:val="none"/>
        </w:rPr>
      </w:pPr>
    </w:p>
    <w:p>
      <w:pPr>
        <w:pStyle w:val="8"/>
        <w:adjustRightInd w:val="0"/>
        <w:snapToGrid w:val="0"/>
        <w:ind w:firstLine="482" w:firstLineChars="201"/>
        <w:rPr>
          <w:rFonts w:hAnsi="宋体" w:eastAsia="宋体" w:cs="宋体"/>
          <w:sz w:val="24"/>
          <w:szCs w:val="24"/>
          <w:highlight w:val="none"/>
          <w:u w:val="single"/>
        </w:rPr>
      </w:pPr>
      <w:r>
        <w:rPr>
          <w:rFonts w:hint="eastAsia" w:hAnsi="宋体" w:eastAsia="宋体" w:cs="宋体"/>
          <w:sz w:val="24"/>
          <w:szCs w:val="24"/>
          <w:highlight w:val="none"/>
        </w:rPr>
        <w:t>法定代表人或委托代理人（签字）：</w:t>
      </w:r>
    </w:p>
    <w:p>
      <w:pPr>
        <w:pStyle w:val="8"/>
        <w:adjustRightInd w:val="0"/>
        <w:snapToGrid w:val="0"/>
        <w:ind w:firstLine="484" w:firstLineChars="201"/>
        <w:rPr>
          <w:rFonts w:hAnsi="宋体" w:eastAsia="宋体" w:cs="宋体"/>
          <w:b/>
          <w:sz w:val="24"/>
          <w:szCs w:val="24"/>
          <w:highlight w:val="none"/>
        </w:rPr>
      </w:pPr>
    </w:p>
    <w:p>
      <w:pPr>
        <w:pStyle w:val="8"/>
        <w:adjustRightInd w:val="0"/>
        <w:snapToGrid w:val="0"/>
        <w:ind w:firstLine="482" w:firstLineChars="201"/>
        <w:rPr>
          <w:rFonts w:hAnsi="宋体" w:eastAsia="宋体" w:cs="宋体"/>
          <w:sz w:val="24"/>
          <w:szCs w:val="24"/>
          <w:highlight w:val="none"/>
          <w:u w:val="single"/>
        </w:rPr>
      </w:pPr>
      <w:r>
        <w:rPr>
          <w:rFonts w:hint="eastAsia" w:hAnsi="宋体" w:eastAsia="宋体" w:cs="宋体"/>
          <w:sz w:val="24"/>
          <w:szCs w:val="24"/>
          <w:highlight w:val="none"/>
        </w:rPr>
        <w:t>日期</w:t>
      </w:r>
    </w:p>
    <w:p>
      <w:pPr>
        <w:rPr>
          <w:rFonts w:ascii="宋体" w:hAnsi="宋体" w:eastAsia="宋体" w:cs="宋体"/>
          <w:sz w:val="24"/>
          <w:highlight w:val="none"/>
        </w:rPr>
      </w:pPr>
    </w:p>
    <w:p>
      <w:pPr>
        <w:pStyle w:val="3"/>
        <w:keepNext w:val="0"/>
        <w:keepLines w:val="0"/>
        <w:spacing w:before="0" w:after="0" w:line="360" w:lineRule="exact"/>
        <w:ind w:firstLine="482" w:firstLineChars="200"/>
        <w:rPr>
          <w:rFonts w:ascii="宋体" w:hAnsi="宋体" w:eastAsia="宋体" w:cs="宋体"/>
          <w:b w:val="0"/>
          <w:kern w:val="2"/>
          <w:sz w:val="24"/>
          <w:szCs w:val="24"/>
          <w:highlight w:val="none"/>
        </w:rPr>
      </w:pPr>
      <w:r>
        <w:rPr>
          <w:rFonts w:hint="eastAsia" w:ascii="宋体" w:hAnsi="宋体" w:eastAsia="宋体" w:cs="宋体"/>
          <w:sz w:val="24"/>
          <w:highlight w:val="none"/>
        </w:rPr>
        <w:br w:type="page"/>
      </w:r>
    </w:p>
    <w:p>
      <w:pPr>
        <w:spacing w:line="600" w:lineRule="exact"/>
        <w:ind w:left="420" w:hanging="420"/>
        <w:jc w:val="center"/>
        <w:rPr>
          <w:rFonts w:ascii="宋体" w:hAnsi="宋体" w:eastAsia="宋体" w:cs="宋体"/>
          <w:kern w:val="0"/>
          <w:sz w:val="24"/>
          <w:highlight w:val="none"/>
        </w:rPr>
      </w:pPr>
      <w:bookmarkStart w:id="154" w:name="_Toc23358"/>
    </w:p>
    <w:p>
      <w:pPr>
        <w:spacing w:line="600" w:lineRule="exact"/>
        <w:ind w:left="420" w:hanging="420"/>
        <w:jc w:val="center"/>
        <w:rPr>
          <w:rFonts w:ascii="宋体" w:hAnsi="宋体" w:eastAsia="宋体" w:cs="宋体"/>
          <w:kern w:val="0"/>
          <w:sz w:val="24"/>
          <w:highlight w:val="none"/>
        </w:rPr>
      </w:pPr>
      <w:r>
        <w:rPr>
          <w:rFonts w:hint="eastAsia" w:ascii="宋体" w:hAnsi="宋体" w:eastAsia="宋体" w:cs="宋体"/>
          <w:kern w:val="0"/>
          <w:sz w:val="24"/>
          <w:highlight w:val="none"/>
        </w:rPr>
        <w:t>中小企业声明函</w:t>
      </w:r>
      <w:bookmarkEnd w:id="154"/>
      <w:r>
        <w:rPr>
          <w:rFonts w:hint="eastAsia" w:asciiTheme="minorEastAsia" w:hAnsiTheme="minorEastAsia"/>
          <w:kern w:val="0"/>
          <w:sz w:val="24"/>
          <w:highlight w:val="none"/>
        </w:rPr>
        <w:t>（如有）</w:t>
      </w:r>
    </w:p>
    <w:p>
      <w:pPr>
        <w:pStyle w:val="13"/>
        <w:widowControl w:val="0"/>
        <w:adjustRightInd w:val="0"/>
        <w:snapToGrid w:val="0"/>
        <w:spacing w:before="0" w:beforeAutospacing="0" w:after="0" w:afterAutospacing="0"/>
        <w:jc w:val="center"/>
        <w:rPr>
          <w:rFonts w:eastAsia="宋体" w:cs="宋体"/>
          <w:kern w:val="2"/>
          <w:highlight w:val="none"/>
        </w:rPr>
      </w:pPr>
    </w:p>
    <w:p>
      <w:pPr>
        <w:pStyle w:val="13"/>
        <w:widowControl w:val="0"/>
        <w:adjustRightInd w:val="0"/>
        <w:snapToGrid w:val="0"/>
        <w:spacing w:before="0" w:beforeAutospacing="0" w:after="0" w:afterAutospacing="0"/>
        <w:rPr>
          <w:rFonts w:eastAsia="宋体" w:cs="宋体"/>
          <w:kern w:val="2"/>
          <w:highlight w:val="none"/>
        </w:rPr>
      </w:pPr>
    </w:p>
    <w:p>
      <w:pPr>
        <w:pStyle w:val="13"/>
        <w:widowControl w:val="0"/>
        <w:adjustRightInd w:val="0"/>
        <w:snapToGrid w:val="0"/>
        <w:spacing w:before="0" w:beforeAutospacing="0" w:after="0" w:afterAutospacing="0" w:line="360" w:lineRule="exact"/>
        <w:rPr>
          <w:rFonts w:eastAsia="宋体" w:cs="宋体"/>
          <w:kern w:val="2"/>
          <w:highlight w:val="none"/>
        </w:rPr>
      </w:pPr>
      <w:r>
        <w:rPr>
          <w:rFonts w:hint="eastAsia" w:eastAsia="宋体" w:cs="宋体"/>
          <w:kern w:val="2"/>
          <w:highlight w:val="none"/>
        </w:rPr>
        <w:t>　　本公司郑重声明，根据《政府采购促进中小企业发展暂行办法》（财库[2011]181号）的规定，本公司为______（请填写：中型、小型、微型）企业。即，本公司同时满足以下条件：</w:t>
      </w:r>
    </w:p>
    <w:p>
      <w:pPr>
        <w:pStyle w:val="13"/>
        <w:widowControl w:val="0"/>
        <w:adjustRightInd w:val="0"/>
        <w:snapToGrid w:val="0"/>
        <w:spacing w:before="0" w:beforeAutospacing="0" w:after="0" w:afterAutospacing="0" w:line="360" w:lineRule="exact"/>
        <w:rPr>
          <w:rFonts w:eastAsia="宋体" w:cs="宋体"/>
          <w:kern w:val="2"/>
          <w:highlight w:val="none"/>
        </w:rPr>
      </w:pPr>
    </w:p>
    <w:p>
      <w:pPr>
        <w:pStyle w:val="13"/>
        <w:widowControl w:val="0"/>
        <w:adjustRightInd w:val="0"/>
        <w:snapToGrid w:val="0"/>
        <w:spacing w:before="0" w:beforeAutospacing="0" w:after="0" w:afterAutospacing="0" w:line="360" w:lineRule="exact"/>
        <w:rPr>
          <w:rFonts w:eastAsia="宋体" w:cs="宋体"/>
          <w:kern w:val="2"/>
          <w:highlight w:val="none"/>
        </w:rPr>
      </w:pPr>
      <w:r>
        <w:rPr>
          <w:rFonts w:hint="eastAsia" w:eastAsia="宋体" w:cs="宋体"/>
          <w:kern w:val="2"/>
          <w:highlight w:val="none"/>
        </w:rPr>
        <w:t>　　1.根据《工业和信息化部、国家统计局、国家发展和改革委员会、财政部关于印发中小企业划型标准规定的通知》（工信部联企业[2011]300号）规定的划分标准，本公司为______（请填写：中型、小型、微型）企业。</w:t>
      </w:r>
    </w:p>
    <w:p>
      <w:pPr>
        <w:pStyle w:val="13"/>
        <w:widowControl w:val="0"/>
        <w:adjustRightInd w:val="0"/>
        <w:snapToGrid w:val="0"/>
        <w:spacing w:before="0" w:beforeAutospacing="0" w:after="0" w:afterAutospacing="0" w:line="360" w:lineRule="exact"/>
        <w:rPr>
          <w:rFonts w:eastAsia="宋体" w:cs="宋体"/>
          <w:kern w:val="2"/>
          <w:highlight w:val="none"/>
        </w:rPr>
      </w:pPr>
      <w:r>
        <w:rPr>
          <w:rFonts w:hint="eastAsia" w:eastAsia="宋体" w:cs="宋体"/>
          <w:kern w:val="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3"/>
        <w:widowControl w:val="0"/>
        <w:adjustRightInd w:val="0"/>
        <w:snapToGrid w:val="0"/>
        <w:spacing w:before="0" w:beforeAutospacing="0" w:after="0" w:afterAutospacing="0" w:line="360" w:lineRule="exact"/>
        <w:rPr>
          <w:rFonts w:eastAsia="宋体" w:cs="宋体"/>
          <w:kern w:val="2"/>
          <w:highlight w:val="none"/>
        </w:rPr>
      </w:pPr>
      <w:r>
        <w:rPr>
          <w:rFonts w:hint="eastAsia" w:eastAsia="宋体" w:cs="宋体"/>
          <w:kern w:val="2"/>
          <w:highlight w:val="none"/>
        </w:rPr>
        <w:t>　　本公司对上述声明的真实性负责。如有虚假，将依法承担相应责任。</w:t>
      </w:r>
    </w:p>
    <w:p>
      <w:pPr>
        <w:pStyle w:val="13"/>
        <w:widowControl w:val="0"/>
        <w:adjustRightInd w:val="0"/>
        <w:snapToGrid w:val="0"/>
        <w:spacing w:before="0" w:beforeAutospacing="0" w:after="0" w:afterAutospacing="0" w:line="360" w:lineRule="exact"/>
        <w:ind w:right="420"/>
        <w:jc w:val="center"/>
        <w:rPr>
          <w:rFonts w:eastAsia="宋体" w:cs="宋体"/>
          <w:kern w:val="2"/>
          <w:highlight w:val="none"/>
        </w:rPr>
      </w:pPr>
    </w:p>
    <w:p>
      <w:pPr>
        <w:pStyle w:val="13"/>
        <w:widowControl w:val="0"/>
        <w:adjustRightInd w:val="0"/>
        <w:snapToGrid w:val="0"/>
        <w:spacing w:before="0" w:beforeAutospacing="0" w:after="0" w:afterAutospacing="0" w:line="360" w:lineRule="exact"/>
        <w:ind w:right="420" w:firstLine="6144" w:firstLineChars="2560"/>
        <w:rPr>
          <w:rFonts w:eastAsia="宋体" w:cs="宋体"/>
          <w:kern w:val="2"/>
          <w:highlight w:val="none"/>
        </w:rPr>
      </w:pPr>
      <w:r>
        <w:rPr>
          <w:rFonts w:hint="eastAsia" w:eastAsia="宋体" w:cs="宋体"/>
          <w:kern w:val="2"/>
          <w:highlight w:val="none"/>
        </w:rPr>
        <w:t>企业名称（盖章）：</w:t>
      </w:r>
    </w:p>
    <w:p>
      <w:pPr>
        <w:pStyle w:val="13"/>
        <w:widowControl w:val="0"/>
        <w:adjustRightInd w:val="0"/>
        <w:snapToGrid w:val="0"/>
        <w:spacing w:before="0" w:beforeAutospacing="0" w:after="0" w:afterAutospacing="0" w:line="360" w:lineRule="exact"/>
        <w:ind w:right="420" w:firstLine="6144" w:firstLineChars="2560"/>
        <w:rPr>
          <w:rFonts w:eastAsia="宋体" w:cs="宋体"/>
          <w:kern w:val="2"/>
          <w:highlight w:val="none"/>
        </w:rPr>
      </w:pPr>
    </w:p>
    <w:p>
      <w:pPr>
        <w:pStyle w:val="5"/>
        <w:adjustRightInd w:val="0"/>
        <w:snapToGrid w:val="0"/>
        <w:spacing w:line="360" w:lineRule="exact"/>
        <w:ind w:firstLine="6240" w:firstLineChars="2600"/>
        <w:rPr>
          <w:rFonts w:ascii="宋体" w:hAnsi="宋体" w:eastAsia="宋体" w:cs="宋体"/>
          <w:bCs/>
          <w:sz w:val="24"/>
          <w:szCs w:val="24"/>
          <w:highlight w:val="none"/>
        </w:rPr>
      </w:pPr>
      <w:r>
        <w:rPr>
          <w:rFonts w:hint="eastAsia" w:ascii="宋体" w:hAnsi="宋体" w:eastAsia="宋体" w:cs="宋体"/>
          <w:bCs/>
          <w:sz w:val="24"/>
          <w:szCs w:val="24"/>
          <w:highlight w:val="none"/>
        </w:rPr>
        <w:t>年    月    日</w:t>
      </w:r>
    </w:p>
    <w:p>
      <w:pPr>
        <w:pStyle w:val="13"/>
        <w:widowControl w:val="0"/>
        <w:adjustRightInd w:val="0"/>
        <w:snapToGrid w:val="0"/>
        <w:spacing w:before="0" w:beforeAutospacing="0" w:after="0" w:afterAutospacing="0" w:line="360" w:lineRule="exact"/>
        <w:ind w:right="420"/>
        <w:rPr>
          <w:rFonts w:eastAsia="宋体" w:cs="宋体"/>
          <w:kern w:val="2"/>
          <w:highlight w:val="none"/>
        </w:rPr>
      </w:pPr>
    </w:p>
    <w:p>
      <w:pPr>
        <w:pStyle w:val="13"/>
        <w:widowControl w:val="0"/>
        <w:adjustRightInd w:val="0"/>
        <w:snapToGrid w:val="0"/>
        <w:spacing w:before="0" w:beforeAutospacing="0" w:after="0" w:afterAutospacing="0" w:line="360" w:lineRule="exact"/>
        <w:ind w:right="420"/>
        <w:rPr>
          <w:rFonts w:eastAsia="宋体" w:cs="宋体"/>
          <w:kern w:val="2"/>
          <w:highlight w:val="none"/>
        </w:rPr>
      </w:pPr>
    </w:p>
    <w:p>
      <w:pPr>
        <w:pStyle w:val="13"/>
        <w:widowControl w:val="0"/>
        <w:adjustRightInd w:val="0"/>
        <w:snapToGrid w:val="0"/>
        <w:spacing w:before="0" w:beforeAutospacing="0" w:after="0" w:afterAutospacing="0" w:line="360" w:lineRule="exact"/>
        <w:ind w:right="420"/>
        <w:rPr>
          <w:rFonts w:eastAsia="宋体" w:cs="宋体"/>
          <w:b/>
          <w:kern w:val="2"/>
          <w:highlight w:val="none"/>
        </w:rPr>
      </w:pPr>
      <w:r>
        <w:rPr>
          <w:rFonts w:hint="eastAsia" w:eastAsia="宋体" w:cs="宋体"/>
          <w:b/>
          <w:kern w:val="2"/>
          <w:highlight w:val="none"/>
        </w:rPr>
        <w:t>说明：《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如年度财务报表、社保证明材料等，</w:t>
      </w:r>
      <w:r>
        <w:rPr>
          <w:rFonts w:hint="eastAsia" w:eastAsia="宋体" w:cs="宋体"/>
          <w:b/>
          <w:kern w:val="2"/>
          <w:highlight w:val="none"/>
          <w:u w:val="none"/>
        </w:rPr>
        <w:t>投标人</w:t>
      </w:r>
      <w:r>
        <w:rPr>
          <w:rFonts w:hint="eastAsia" w:eastAsia="宋体" w:cs="宋体"/>
          <w:b/>
          <w:kern w:val="2"/>
          <w:highlight w:val="none"/>
          <w:u w:val="single"/>
        </w:rPr>
        <w:t>非生产厂家时还需提供生产厂家符合上述划分标准的证明材料</w:t>
      </w:r>
      <w:r>
        <w:rPr>
          <w:rFonts w:hint="eastAsia" w:eastAsia="宋体" w:cs="宋体"/>
          <w:b/>
          <w:kern w:val="2"/>
          <w:highlight w:val="none"/>
        </w:rPr>
        <w:t>）。</w:t>
      </w:r>
    </w:p>
    <w:p>
      <w:pPr>
        <w:spacing w:line="300" w:lineRule="auto"/>
        <w:rPr>
          <w:rFonts w:ascii="宋体" w:hAnsi="宋体" w:eastAsia="宋体" w:cs="宋体"/>
          <w:sz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3"/>
        <w:keepNext w:val="0"/>
        <w:keepLines w:val="0"/>
        <w:spacing w:before="0" w:after="0" w:line="600" w:lineRule="exact"/>
        <w:rPr>
          <w:rFonts w:ascii="宋体" w:hAnsi="宋体" w:eastAsia="宋体" w:cs="宋体"/>
          <w:b w:val="0"/>
          <w:kern w:val="0"/>
          <w:sz w:val="24"/>
          <w:szCs w:val="24"/>
          <w:highlight w:val="none"/>
        </w:rPr>
      </w:pPr>
    </w:p>
    <w:p>
      <w:pPr>
        <w:pStyle w:val="3"/>
        <w:spacing w:before="240" w:after="120" w:line="560" w:lineRule="exact"/>
        <w:jc w:val="center"/>
        <w:rPr>
          <w:rFonts w:ascii="宋体" w:hAnsi="宋体" w:eastAsia="宋体" w:cs="宋体"/>
          <w:highlight w:val="none"/>
        </w:rPr>
      </w:pPr>
      <w:bookmarkStart w:id="155" w:name="_Toc1230"/>
      <w:bookmarkStart w:id="156" w:name="_Toc21910"/>
      <w:bookmarkStart w:id="157" w:name="_Toc21061"/>
      <w:bookmarkStart w:id="158" w:name="_Toc19957"/>
      <w:bookmarkStart w:id="159" w:name="_Toc6923326"/>
      <w:r>
        <w:rPr>
          <w:rFonts w:hint="eastAsia" w:ascii="宋体" w:hAnsi="宋体" w:eastAsia="宋体" w:cs="宋体"/>
          <w:highlight w:val="none"/>
        </w:rPr>
        <w:t>第五章  合同主要条款</w:t>
      </w:r>
      <w:bookmarkEnd w:id="152"/>
      <w:bookmarkEnd w:id="155"/>
      <w:bookmarkEnd w:id="156"/>
      <w:bookmarkEnd w:id="157"/>
      <w:bookmarkEnd w:id="158"/>
      <w:bookmarkEnd w:id="159"/>
    </w:p>
    <w:p>
      <w:pPr>
        <w:pStyle w:val="8"/>
        <w:spacing w:line="600" w:lineRule="exact"/>
        <w:rPr>
          <w:rFonts w:hAnsi="宋体" w:eastAsia="宋体" w:cs="宋体"/>
          <w:b/>
          <w:sz w:val="24"/>
          <w:szCs w:val="24"/>
          <w:highlight w:val="none"/>
        </w:rPr>
      </w:pPr>
    </w:p>
    <w:p>
      <w:pPr>
        <w:pStyle w:val="8"/>
        <w:spacing w:line="600" w:lineRule="exact"/>
        <w:rPr>
          <w:rFonts w:hAnsi="宋体" w:eastAsia="宋体" w:cs="宋体"/>
          <w:b/>
          <w:sz w:val="24"/>
          <w:szCs w:val="24"/>
          <w:highlight w:val="none"/>
        </w:rPr>
      </w:pPr>
    </w:p>
    <w:p>
      <w:pPr>
        <w:pStyle w:val="3"/>
        <w:keepNext w:val="0"/>
        <w:keepLines w:val="0"/>
        <w:spacing w:before="0" w:after="0" w:line="600" w:lineRule="exact"/>
        <w:jc w:val="center"/>
        <w:rPr>
          <w:rFonts w:ascii="方正小标宋简体" w:eastAsia="方正小标宋简体"/>
          <w:b w:val="0"/>
          <w:kern w:val="0"/>
          <w:sz w:val="36"/>
          <w:szCs w:val="36"/>
          <w:highlight w:val="none"/>
        </w:rPr>
      </w:pPr>
      <w:bookmarkStart w:id="160" w:name="_Toc6923327"/>
      <w:r>
        <w:rPr>
          <w:rFonts w:hint="eastAsia" w:ascii="方正小标宋简体" w:eastAsia="方正小标宋简体"/>
          <w:b w:val="0"/>
          <w:kern w:val="0"/>
          <w:sz w:val="36"/>
          <w:szCs w:val="36"/>
          <w:highlight w:val="none"/>
        </w:rPr>
        <w:t>北海市政府采购合同</w:t>
      </w:r>
      <w:bookmarkEnd w:id="160"/>
    </w:p>
    <w:p>
      <w:pPr>
        <w:pStyle w:val="3"/>
        <w:keepNext w:val="0"/>
        <w:keepLines w:val="0"/>
        <w:spacing w:before="0" w:after="0" w:line="600" w:lineRule="exact"/>
        <w:jc w:val="center"/>
        <w:rPr>
          <w:rFonts w:ascii="宋体" w:hAnsi="宋体" w:eastAsia="宋体" w:cs="宋体"/>
          <w:b w:val="0"/>
          <w:kern w:val="0"/>
          <w:sz w:val="24"/>
          <w:szCs w:val="24"/>
          <w:highlight w:val="none"/>
        </w:rPr>
      </w:pPr>
    </w:p>
    <w:p>
      <w:pPr>
        <w:pStyle w:val="8"/>
        <w:spacing w:line="600" w:lineRule="exact"/>
        <w:rPr>
          <w:rFonts w:hAnsi="宋体" w:eastAsia="宋体" w:cs="宋体"/>
          <w:sz w:val="24"/>
          <w:szCs w:val="24"/>
          <w:highlight w:val="none"/>
        </w:rPr>
      </w:pPr>
    </w:p>
    <w:p>
      <w:pPr>
        <w:pStyle w:val="8"/>
        <w:spacing w:line="600" w:lineRule="exact"/>
        <w:rPr>
          <w:rFonts w:hAnsi="宋体" w:eastAsia="宋体" w:cs="宋体"/>
          <w:sz w:val="24"/>
          <w:szCs w:val="24"/>
          <w:highlight w:val="none"/>
        </w:rPr>
      </w:pPr>
    </w:p>
    <w:p>
      <w:pPr>
        <w:pStyle w:val="8"/>
        <w:spacing w:line="600" w:lineRule="exact"/>
        <w:rPr>
          <w:rFonts w:hAnsi="宋体" w:eastAsia="宋体" w:cs="宋体"/>
          <w:sz w:val="24"/>
          <w:szCs w:val="24"/>
          <w:highlight w:val="none"/>
        </w:rPr>
      </w:pPr>
    </w:p>
    <w:p>
      <w:pPr>
        <w:pStyle w:val="8"/>
        <w:spacing w:line="600" w:lineRule="exact"/>
        <w:rPr>
          <w:rFonts w:hAnsi="宋体" w:eastAsia="宋体" w:cs="宋体"/>
          <w:sz w:val="24"/>
          <w:szCs w:val="24"/>
          <w:highlight w:val="none"/>
        </w:rPr>
      </w:pPr>
    </w:p>
    <w:p>
      <w:pPr>
        <w:pStyle w:val="8"/>
        <w:spacing w:line="600" w:lineRule="exact"/>
        <w:rPr>
          <w:rFonts w:hAnsi="宋体" w:eastAsia="宋体" w:cs="宋体"/>
          <w:sz w:val="24"/>
          <w:szCs w:val="24"/>
          <w:highlight w:val="none"/>
        </w:rPr>
      </w:pPr>
    </w:p>
    <w:p>
      <w:pPr>
        <w:pStyle w:val="8"/>
        <w:spacing w:line="700" w:lineRule="exact"/>
        <w:ind w:firstLine="1542" w:firstLineChars="640"/>
        <w:rPr>
          <w:rFonts w:hAnsi="宋体" w:eastAsia="宋体" w:cs="宋体"/>
          <w:b/>
          <w:sz w:val="24"/>
          <w:szCs w:val="24"/>
          <w:highlight w:val="none"/>
          <w:u w:val="single"/>
        </w:rPr>
      </w:pPr>
      <w:r>
        <w:rPr>
          <w:rFonts w:hint="eastAsia" w:hAnsi="宋体" w:eastAsia="宋体" w:cs="宋体"/>
          <w:b/>
          <w:sz w:val="24"/>
          <w:szCs w:val="24"/>
          <w:highlight w:val="none"/>
        </w:rPr>
        <w:t>合同名称：</w:t>
      </w:r>
    </w:p>
    <w:p>
      <w:pPr>
        <w:pStyle w:val="8"/>
        <w:spacing w:line="700" w:lineRule="exact"/>
        <w:ind w:firstLine="1542" w:firstLineChars="640"/>
        <w:rPr>
          <w:rFonts w:hAnsi="宋体" w:eastAsia="宋体" w:cs="宋体"/>
          <w:b/>
          <w:sz w:val="24"/>
          <w:szCs w:val="24"/>
          <w:highlight w:val="none"/>
          <w:u w:val="single"/>
        </w:rPr>
      </w:pPr>
      <w:r>
        <w:rPr>
          <w:rFonts w:hint="eastAsia" w:hAnsi="宋体" w:eastAsia="宋体" w:cs="宋体"/>
          <w:b/>
          <w:sz w:val="24"/>
          <w:szCs w:val="24"/>
          <w:highlight w:val="none"/>
        </w:rPr>
        <w:t>合同编号：</w:t>
      </w:r>
    </w:p>
    <w:p>
      <w:pPr>
        <w:pStyle w:val="8"/>
        <w:spacing w:line="700" w:lineRule="exact"/>
        <w:ind w:firstLine="1542" w:firstLineChars="640"/>
        <w:rPr>
          <w:rFonts w:hAnsi="宋体" w:eastAsia="宋体" w:cs="宋体"/>
          <w:b/>
          <w:sz w:val="24"/>
          <w:szCs w:val="24"/>
          <w:highlight w:val="none"/>
        </w:rPr>
      </w:pPr>
    </w:p>
    <w:p>
      <w:pPr>
        <w:pStyle w:val="8"/>
        <w:spacing w:line="700" w:lineRule="exact"/>
        <w:ind w:firstLine="1542" w:firstLineChars="640"/>
        <w:rPr>
          <w:rFonts w:hAnsi="宋体" w:eastAsia="宋体" w:cs="宋体"/>
          <w:b/>
          <w:sz w:val="24"/>
          <w:szCs w:val="24"/>
          <w:highlight w:val="none"/>
        </w:rPr>
      </w:pPr>
      <w:r>
        <w:rPr>
          <w:rFonts w:hint="eastAsia" w:hAnsi="宋体" w:eastAsia="宋体" w:cs="宋体"/>
          <w:b/>
          <w:sz w:val="24"/>
          <w:szCs w:val="24"/>
          <w:highlight w:val="none"/>
        </w:rPr>
        <w:t>采购人（甲方）</w:t>
      </w:r>
    </w:p>
    <w:p>
      <w:pPr>
        <w:pStyle w:val="8"/>
        <w:spacing w:line="700" w:lineRule="exact"/>
        <w:ind w:firstLine="1542" w:firstLineChars="640"/>
        <w:rPr>
          <w:rFonts w:hAnsi="宋体" w:eastAsia="宋体" w:cs="宋体"/>
          <w:b/>
          <w:sz w:val="24"/>
          <w:szCs w:val="24"/>
          <w:highlight w:val="none"/>
        </w:rPr>
      </w:pPr>
      <w:r>
        <w:rPr>
          <w:rFonts w:hint="eastAsia" w:hAnsi="宋体" w:eastAsia="宋体" w:cs="宋体"/>
          <w:b/>
          <w:sz w:val="24"/>
          <w:szCs w:val="24"/>
          <w:highlight w:val="none"/>
        </w:rPr>
        <w:t>供 应 商（乙方）</w:t>
      </w:r>
    </w:p>
    <w:p>
      <w:pPr>
        <w:pStyle w:val="8"/>
        <w:spacing w:line="700" w:lineRule="exact"/>
        <w:ind w:firstLine="1542" w:firstLineChars="640"/>
        <w:rPr>
          <w:rFonts w:hAnsi="宋体" w:eastAsia="宋体" w:cs="宋体"/>
          <w:b/>
          <w:sz w:val="24"/>
          <w:szCs w:val="24"/>
          <w:highlight w:val="none"/>
        </w:rPr>
      </w:pPr>
    </w:p>
    <w:p>
      <w:pPr>
        <w:pStyle w:val="8"/>
        <w:spacing w:line="700" w:lineRule="exact"/>
        <w:ind w:firstLine="1542" w:firstLineChars="640"/>
        <w:rPr>
          <w:rFonts w:hAnsi="宋体" w:eastAsia="宋体" w:cs="宋体"/>
          <w:b/>
          <w:sz w:val="24"/>
          <w:szCs w:val="24"/>
          <w:highlight w:val="none"/>
          <w:u w:val="single"/>
        </w:rPr>
      </w:pPr>
      <w:r>
        <w:rPr>
          <w:rFonts w:hint="eastAsia" w:hAnsi="宋体" w:eastAsia="宋体" w:cs="宋体"/>
          <w:b/>
          <w:sz w:val="24"/>
          <w:szCs w:val="24"/>
          <w:highlight w:val="none"/>
        </w:rPr>
        <w:t>签订合同地点：</w:t>
      </w:r>
    </w:p>
    <w:p>
      <w:pPr>
        <w:pStyle w:val="8"/>
        <w:spacing w:line="700" w:lineRule="exact"/>
        <w:ind w:firstLine="1542" w:firstLineChars="640"/>
        <w:rPr>
          <w:rFonts w:hAnsi="宋体" w:eastAsia="宋体" w:cs="宋体"/>
          <w:b/>
          <w:sz w:val="24"/>
          <w:szCs w:val="24"/>
          <w:highlight w:val="none"/>
        </w:rPr>
      </w:pPr>
      <w:r>
        <w:rPr>
          <w:rFonts w:hint="eastAsia" w:hAnsi="宋体" w:eastAsia="宋体" w:cs="宋体"/>
          <w:b/>
          <w:sz w:val="24"/>
          <w:szCs w:val="24"/>
          <w:highlight w:val="none"/>
        </w:rPr>
        <w:t>签订合同时间：</w:t>
      </w:r>
    </w:p>
    <w:p>
      <w:pPr>
        <w:pStyle w:val="8"/>
        <w:spacing w:line="700" w:lineRule="exact"/>
        <w:ind w:firstLine="1542" w:firstLineChars="640"/>
        <w:rPr>
          <w:rFonts w:hAnsi="宋体" w:eastAsia="宋体" w:cs="宋体"/>
          <w:b/>
          <w:sz w:val="24"/>
          <w:szCs w:val="24"/>
          <w:highlight w:val="none"/>
        </w:rPr>
      </w:pPr>
    </w:p>
    <w:p>
      <w:pPr>
        <w:pStyle w:val="8"/>
        <w:spacing w:line="700" w:lineRule="exact"/>
        <w:ind w:firstLine="1542" w:firstLineChars="640"/>
        <w:rPr>
          <w:rFonts w:hAnsi="宋体" w:eastAsia="宋体" w:cs="宋体"/>
          <w:b/>
          <w:sz w:val="24"/>
          <w:szCs w:val="24"/>
          <w:highlight w:val="none"/>
        </w:rPr>
      </w:pPr>
    </w:p>
    <w:p>
      <w:pPr>
        <w:pStyle w:val="8"/>
        <w:spacing w:line="700" w:lineRule="exact"/>
        <w:ind w:firstLine="1542" w:firstLineChars="640"/>
        <w:rPr>
          <w:rFonts w:hAnsi="宋体" w:eastAsia="宋体" w:cs="宋体"/>
          <w:b/>
          <w:sz w:val="24"/>
          <w:szCs w:val="24"/>
          <w:highlight w:val="none"/>
        </w:rPr>
      </w:pPr>
    </w:p>
    <w:p>
      <w:pPr>
        <w:snapToGrid w:val="0"/>
        <w:spacing w:before="156" w:beforeLines="50" w:after="156" w:afterLines="50" w:line="600" w:lineRule="exact"/>
        <w:jc w:val="center"/>
        <w:rPr>
          <w:rFonts w:ascii="宋体" w:hAnsi="宋体" w:eastAsia="宋体" w:cs="宋体"/>
          <w:b/>
          <w:bCs/>
          <w:sz w:val="24"/>
          <w:highlight w:val="none"/>
        </w:rPr>
      </w:pPr>
      <w:r>
        <w:rPr>
          <w:rFonts w:hint="eastAsia" w:ascii="宋体" w:hAnsi="宋体" w:eastAsia="宋体" w:cs="宋体"/>
          <w:b/>
          <w:bCs/>
          <w:sz w:val="24"/>
          <w:highlight w:val="none"/>
        </w:rPr>
        <w:t>北海市政府采购合同</w:t>
      </w:r>
    </w:p>
    <w:p>
      <w:pPr>
        <w:snapToGrid w:val="0"/>
        <w:spacing w:line="400" w:lineRule="exact"/>
        <w:ind w:right="-62"/>
        <w:rPr>
          <w:rFonts w:ascii="宋体" w:hAnsi="宋体"/>
          <w:bCs/>
          <w:sz w:val="24"/>
          <w:highlight w:val="none"/>
          <w:u w:val="single"/>
        </w:rPr>
      </w:pPr>
      <w:r>
        <w:rPr>
          <w:rFonts w:hint="eastAsia" w:ascii="宋体" w:hAnsi="宋体"/>
          <w:bCs/>
          <w:sz w:val="24"/>
          <w:highlight w:val="none"/>
        </w:rPr>
        <w:t>合同编号：</w:t>
      </w:r>
      <w:r>
        <w:rPr>
          <w:rFonts w:hint="eastAsia" w:ascii="宋体" w:hAnsi="宋体"/>
          <w:bCs/>
          <w:sz w:val="24"/>
          <w:highlight w:val="none"/>
          <w:u w:val="single"/>
        </w:rPr>
        <w:t xml:space="preserve">            </w:t>
      </w:r>
    </w:p>
    <w:p>
      <w:pPr>
        <w:snapToGrid w:val="0"/>
        <w:spacing w:line="360" w:lineRule="exact"/>
        <w:rPr>
          <w:rFonts w:ascii="宋体" w:hAnsi="宋体"/>
          <w:sz w:val="24"/>
          <w:highlight w:val="none"/>
          <w:u w:val="single"/>
        </w:rPr>
      </w:pPr>
      <w:r>
        <w:rPr>
          <w:rFonts w:hint="eastAsia" w:ascii="宋体" w:hAnsi="宋体"/>
          <w:sz w:val="24"/>
          <w:highlight w:val="none"/>
        </w:rPr>
        <w:t>采购人（甲方）</w:t>
      </w:r>
      <w:r>
        <w:rPr>
          <w:rFonts w:hint="eastAsia" w:ascii="宋体" w:hAnsi="宋体"/>
          <w:bCs/>
          <w:sz w:val="24"/>
          <w:highlight w:val="none"/>
        </w:rPr>
        <w:t>：</w:t>
      </w:r>
      <w:r>
        <w:rPr>
          <w:rFonts w:hint="eastAsia" w:ascii="宋体" w:hAnsi="宋体"/>
          <w:sz w:val="24"/>
          <w:highlight w:val="none"/>
          <w:u w:val="single"/>
        </w:rPr>
        <w:t xml:space="preserve">                          </w:t>
      </w:r>
      <w:r>
        <w:rPr>
          <w:rFonts w:hint="eastAsia" w:ascii="宋体" w:hAnsi="宋体"/>
          <w:sz w:val="24"/>
          <w:highlight w:val="none"/>
        </w:rPr>
        <w:t xml:space="preserve">    </w:t>
      </w:r>
    </w:p>
    <w:p>
      <w:pPr>
        <w:snapToGrid w:val="0"/>
        <w:spacing w:line="360" w:lineRule="exact"/>
        <w:rPr>
          <w:rFonts w:ascii="宋体" w:hAnsi="宋体"/>
          <w:sz w:val="24"/>
          <w:highlight w:val="none"/>
        </w:rPr>
      </w:pPr>
      <w:r>
        <w:rPr>
          <w:rFonts w:hint="eastAsia" w:ascii="宋体" w:hAnsi="宋体"/>
          <w:sz w:val="24"/>
          <w:highlight w:val="none"/>
        </w:rPr>
        <w:t>供 应 商（乙方）</w:t>
      </w:r>
      <w:r>
        <w:rPr>
          <w:rFonts w:hint="eastAsia" w:ascii="宋体" w:hAnsi="宋体"/>
          <w:bCs/>
          <w:sz w:val="24"/>
          <w:highlight w:val="none"/>
        </w:rPr>
        <w:t>：</w:t>
      </w:r>
      <w:r>
        <w:rPr>
          <w:rFonts w:hint="eastAsia" w:ascii="宋体" w:hAnsi="宋体"/>
          <w:sz w:val="24"/>
          <w:highlight w:val="none"/>
          <w:u w:val="single"/>
        </w:rPr>
        <w:t xml:space="preserve">                          </w:t>
      </w:r>
      <w:r>
        <w:rPr>
          <w:rFonts w:hint="eastAsia" w:ascii="宋体" w:hAnsi="宋体"/>
          <w:sz w:val="24"/>
          <w:highlight w:val="none"/>
        </w:rPr>
        <w:t xml:space="preserve">  </w:t>
      </w:r>
    </w:p>
    <w:p>
      <w:pPr>
        <w:snapToGrid w:val="0"/>
        <w:spacing w:line="360" w:lineRule="exact"/>
        <w:rPr>
          <w:rFonts w:ascii="宋体" w:hAnsi="宋体"/>
          <w:sz w:val="24"/>
          <w:highlight w:val="none"/>
          <w:u w:val="single"/>
        </w:rPr>
      </w:pPr>
      <w:r>
        <w:rPr>
          <w:rFonts w:hint="eastAsia" w:ascii="宋体" w:hAnsi="宋体" w:eastAsia="宋体" w:cs="宋体"/>
          <w:sz w:val="24"/>
          <w:highlight w:val="none"/>
        </w:rPr>
        <w:t>项目名称和项目编号</w:t>
      </w:r>
      <w:r>
        <w:rPr>
          <w:rFonts w:hint="eastAsia" w:ascii="宋体" w:hAnsi="宋体"/>
          <w:bCs/>
          <w:sz w:val="24"/>
          <w:highlight w:val="none"/>
        </w:rPr>
        <w:t>：</w:t>
      </w:r>
      <w:r>
        <w:rPr>
          <w:rFonts w:hint="eastAsia" w:ascii="宋体" w:hAnsi="宋体"/>
          <w:sz w:val="24"/>
          <w:highlight w:val="none"/>
        </w:rPr>
        <w:t xml:space="preserve"> </w:t>
      </w:r>
      <w:r>
        <w:rPr>
          <w:rFonts w:hint="eastAsia" w:ascii="宋体" w:hAnsi="宋体"/>
          <w:sz w:val="24"/>
          <w:highlight w:val="none"/>
          <w:u w:val="single"/>
        </w:rPr>
        <w:t xml:space="preserve">            </w:t>
      </w:r>
    </w:p>
    <w:p>
      <w:pPr>
        <w:snapToGrid w:val="0"/>
        <w:spacing w:line="360" w:lineRule="exact"/>
        <w:rPr>
          <w:rFonts w:ascii="宋体" w:hAnsi="宋体"/>
          <w:sz w:val="24"/>
          <w:highlight w:val="none"/>
          <w:u w:val="single"/>
        </w:rPr>
      </w:pPr>
      <w:r>
        <w:rPr>
          <w:rFonts w:hint="eastAsia" w:ascii="宋体" w:hAnsi="宋体"/>
          <w:sz w:val="24"/>
          <w:highlight w:val="none"/>
        </w:rPr>
        <w:t>签  订  地  点</w:t>
      </w:r>
      <w:r>
        <w:rPr>
          <w:rFonts w:hint="eastAsia" w:ascii="宋体" w:hAnsi="宋体"/>
          <w:bCs/>
          <w:sz w:val="24"/>
          <w:highlight w:val="none"/>
        </w:rPr>
        <w:t>：</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 xml:space="preserve">  签 订 时 间</w:t>
      </w:r>
      <w:r>
        <w:rPr>
          <w:rFonts w:hint="eastAsia" w:ascii="宋体" w:hAnsi="宋体"/>
          <w:bCs/>
          <w:sz w:val="24"/>
          <w:highlight w:val="none"/>
        </w:rPr>
        <w:t>：</w:t>
      </w:r>
      <w:r>
        <w:rPr>
          <w:rFonts w:hint="eastAsia" w:ascii="宋体" w:hAnsi="宋体"/>
          <w:sz w:val="24"/>
          <w:highlight w:val="none"/>
          <w:u w:val="single"/>
        </w:rPr>
        <w:t xml:space="preserve">             </w:t>
      </w:r>
    </w:p>
    <w:p>
      <w:pPr>
        <w:snapToGrid w:val="0"/>
        <w:spacing w:line="360" w:lineRule="exact"/>
        <w:rPr>
          <w:rFonts w:ascii="宋体" w:hAnsi="宋体" w:eastAsia="宋体" w:cs="宋体"/>
          <w:sz w:val="24"/>
          <w:highlight w:val="none"/>
        </w:rPr>
      </w:pP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根据《中华人民共和国政府采购法》、《中华人民共和国合同法》等法律、法规规定，按照竞争性谈判文件（以下简称“谈判文件”）规定条款和成交供应商竞争性谈判响应文件（以下简称“响应文件”）及其承诺，甲乙双方签订本合同。</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第一条　合同标的</w:t>
      </w:r>
    </w:p>
    <w:p>
      <w:pPr>
        <w:adjustRightInd w:val="0"/>
        <w:snapToGrid w:val="0"/>
        <w:spacing w:after="156" w:afterLines="50"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1.供货一览表</w:t>
      </w:r>
    </w:p>
    <w:tbl>
      <w:tblPr>
        <w:tblStyle w:val="15"/>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53"/>
        <w:gridCol w:w="1382"/>
        <w:gridCol w:w="874"/>
        <w:gridCol w:w="899"/>
        <w:gridCol w:w="1107"/>
        <w:gridCol w:w="986"/>
        <w:gridCol w:w="1040"/>
        <w:gridCol w:w="105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97" w:type="dxa"/>
            <w:tcBorders>
              <w:bottom w:val="single" w:color="auto" w:sz="4" w:space="0"/>
            </w:tcBorders>
            <w:vAlign w:val="center"/>
          </w:tcPr>
          <w:p>
            <w:pPr>
              <w:pStyle w:val="8"/>
              <w:spacing w:line="360" w:lineRule="exact"/>
              <w:jc w:val="center"/>
              <w:rPr>
                <w:rFonts w:hAnsi="宋体" w:eastAsia="宋体" w:cs="宋体"/>
                <w:sz w:val="24"/>
                <w:szCs w:val="24"/>
                <w:highlight w:val="none"/>
              </w:rPr>
            </w:pPr>
            <w:r>
              <w:rPr>
                <w:rFonts w:hint="eastAsia" w:hAnsi="宋体" w:eastAsia="宋体" w:cs="宋体"/>
                <w:sz w:val="24"/>
                <w:szCs w:val="24"/>
                <w:highlight w:val="none"/>
              </w:rPr>
              <w:t>序号</w:t>
            </w:r>
          </w:p>
        </w:tc>
        <w:tc>
          <w:tcPr>
            <w:tcW w:w="1353" w:type="dxa"/>
            <w:tcBorders>
              <w:bottom w:val="single" w:color="auto" w:sz="4" w:space="0"/>
            </w:tcBorders>
            <w:vAlign w:val="center"/>
          </w:tcPr>
          <w:p>
            <w:pPr>
              <w:tabs>
                <w:tab w:val="left" w:pos="180"/>
                <w:tab w:val="left" w:pos="1620"/>
              </w:tabs>
              <w:spacing w:line="360" w:lineRule="exact"/>
              <w:jc w:val="center"/>
              <w:rPr>
                <w:rFonts w:ascii="宋体" w:hAnsi="宋体" w:eastAsia="宋体" w:cs="宋体"/>
                <w:sz w:val="24"/>
                <w:highlight w:val="none"/>
              </w:rPr>
            </w:pPr>
            <w:r>
              <w:rPr>
                <w:rFonts w:hint="eastAsia" w:ascii="宋体" w:hAnsi="宋体" w:eastAsia="宋体" w:cs="宋体"/>
                <w:sz w:val="24"/>
                <w:highlight w:val="none"/>
              </w:rPr>
              <w:t>产品名称</w:t>
            </w:r>
          </w:p>
        </w:tc>
        <w:tc>
          <w:tcPr>
            <w:tcW w:w="1382" w:type="dxa"/>
            <w:tcBorders>
              <w:bottom w:val="single" w:color="auto" w:sz="4" w:space="0"/>
            </w:tcBorders>
            <w:vAlign w:val="center"/>
          </w:tcPr>
          <w:p>
            <w:pPr>
              <w:tabs>
                <w:tab w:val="left" w:pos="180"/>
                <w:tab w:val="left" w:pos="1620"/>
              </w:tabs>
              <w:spacing w:line="36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型号</w:t>
            </w:r>
            <w:r>
              <w:rPr>
                <w:rFonts w:hint="eastAsia" w:ascii="宋体" w:hAnsi="宋体" w:eastAsia="宋体" w:cs="宋体"/>
                <w:sz w:val="24"/>
                <w:highlight w:val="none"/>
                <w:lang w:eastAsia="zh-CN"/>
              </w:rPr>
              <w:t>、品牌</w:t>
            </w:r>
          </w:p>
        </w:tc>
        <w:tc>
          <w:tcPr>
            <w:tcW w:w="874" w:type="dxa"/>
            <w:tcBorders>
              <w:bottom w:val="single" w:color="auto" w:sz="4" w:space="0"/>
            </w:tcBorders>
            <w:vAlign w:val="center"/>
          </w:tcPr>
          <w:p>
            <w:pPr>
              <w:tabs>
                <w:tab w:val="left" w:pos="180"/>
                <w:tab w:val="left" w:pos="1620"/>
              </w:tabs>
              <w:spacing w:line="360" w:lineRule="exact"/>
              <w:jc w:val="center"/>
              <w:rPr>
                <w:rFonts w:ascii="宋体" w:hAnsi="宋体" w:eastAsia="宋体" w:cs="宋体"/>
                <w:sz w:val="24"/>
                <w:highlight w:val="none"/>
              </w:rPr>
            </w:pPr>
            <w:r>
              <w:rPr>
                <w:rFonts w:hint="eastAsia" w:ascii="宋体" w:hAnsi="宋体" w:eastAsia="宋体" w:cs="宋体"/>
                <w:sz w:val="24"/>
                <w:highlight w:val="none"/>
              </w:rPr>
              <w:t>用途</w:t>
            </w:r>
          </w:p>
        </w:tc>
        <w:tc>
          <w:tcPr>
            <w:tcW w:w="899" w:type="dxa"/>
            <w:tcBorders>
              <w:bottom w:val="single" w:color="auto" w:sz="4" w:space="0"/>
            </w:tcBorders>
            <w:vAlign w:val="center"/>
          </w:tcPr>
          <w:p>
            <w:pPr>
              <w:tabs>
                <w:tab w:val="left" w:pos="180"/>
                <w:tab w:val="left" w:pos="1620"/>
              </w:tabs>
              <w:spacing w:line="360" w:lineRule="exact"/>
              <w:jc w:val="center"/>
              <w:rPr>
                <w:rFonts w:ascii="宋体" w:hAnsi="宋体" w:eastAsia="宋体" w:cs="宋体"/>
                <w:sz w:val="24"/>
                <w:highlight w:val="none"/>
              </w:rPr>
            </w:pPr>
            <w:r>
              <w:rPr>
                <w:rFonts w:hint="eastAsia" w:ascii="宋体" w:hAnsi="宋体" w:eastAsia="宋体" w:cs="宋体"/>
                <w:sz w:val="24"/>
                <w:highlight w:val="none"/>
              </w:rPr>
              <w:t>参数</w:t>
            </w:r>
          </w:p>
        </w:tc>
        <w:tc>
          <w:tcPr>
            <w:tcW w:w="1107" w:type="dxa"/>
            <w:tcBorders>
              <w:bottom w:val="single" w:color="auto" w:sz="4" w:space="0"/>
            </w:tcBorders>
            <w:vAlign w:val="center"/>
          </w:tcPr>
          <w:p>
            <w:pPr>
              <w:tabs>
                <w:tab w:val="left" w:pos="180"/>
                <w:tab w:val="left" w:pos="1620"/>
              </w:tabs>
              <w:spacing w:line="360" w:lineRule="exact"/>
              <w:jc w:val="center"/>
              <w:rPr>
                <w:rFonts w:ascii="宋体" w:hAnsi="宋体" w:eastAsia="宋体" w:cs="宋体"/>
                <w:sz w:val="24"/>
                <w:highlight w:val="none"/>
              </w:rPr>
            </w:pPr>
            <w:r>
              <w:rPr>
                <w:rFonts w:hint="eastAsia" w:ascii="宋体" w:hAnsi="宋体" w:eastAsia="宋体" w:cs="宋体"/>
                <w:sz w:val="24"/>
                <w:highlight w:val="none"/>
              </w:rPr>
              <w:t>特点</w:t>
            </w:r>
          </w:p>
        </w:tc>
        <w:tc>
          <w:tcPr>
            <w:tcW w:w="986" w:type="dxa"/>
            <w:tcBorders>
              <w:bottom w:val="single" w:color="auto" w:sz="4" w:space="0"/>
            </w:tcBorders>
            <w:vAlign w:val="center"/>
          </w:tcPr>
          <w:p>
            <w:pPr>
              <w:pStyle w:val="8"/>
              <w:spacing w:line="360" w:lineRule="exact"/>
              <w:jc w:val="center"/>
              <w:rPr>
                <w:rFonts w:hAnsi="宋体" w:eastAsia="宋体" w:cs="宋体"/>
                <w:sz w:val="24"/>
                <w:szCs w:val="24"/>
                <w:highlight w:val="none"/>
              </w:rPr>
            </w:pPr>
            <w:r>
              <w:rPr>
                <w:rFonts w:hint="eastAsia" w:hAnsi="宋体" w:eastAsia="宋体" w:cs="宋体"/>
                <w:sz w:val="24"/>
                <w:szCs w:val="24"/>
                <w:highlight w:val="none"/>
              </w:rPr>
              <w:t>数量</w:t>
            </w:r>
          </w:p>
        </w:tc>
        <w:tc>
          <w:tcPr>
            <w:tcW w:w="1040" w:type="dxa"/>
            <w:tcBorders>
              <w:bottom w:val="single" w:color="auto" w:sz="4" w:space="0"/>
            </w:tcBorders>
            <w:vAlign w:val="center"/>
          </w:tcPr>
          <w:p>
            <w:pPr>
              <w:pStyle w:val="8"/>
              <w:spacing w:line="360" w:lineRule="exact"/>
              <w:jc w:val="center"/>
              <w:rPr>
                <w:rFonts w:hAnsi="宋体" w:eastAsia="宋体" w:cs="宋体"/>
                <w:sz w:val="24"/>
                <w:szCs w:val="24"/>
                <w:highlight w:val="none"/>
              </w:rPr>
            </w:pPr>
            <w:r>
              <w:rPr>
                <w:rFonts w:hint="eastAsia" w:hAnsi="宋体" w:eastAsia="宋体" w:cs="宋体"/>
                <w:sz w:val="24"/>
                <w:szCs w:val="24"/>
                <w:highlight w:val="none"/>
              </w:rPr>
              <w:t>单价（元）</w:t>
            </w:r>
          </w:p>
        </w:tc>
        <w:tc>
          <w:tcPr>
            <w:tcW w:w="1053" w:type="dxa"/>
            <w:tcBorders>
              <w:bottom w:val="single" w:color="auto" w:sz="4" w:space="0"/>
            </w:tcBorders>
            <w:vAlign w:val="center"/>
          </w:tcPr>
          <w:p>
            <w:pPr>
              <w:pStyle w:val="8"/>
              <w:spacing w:line="360" w:lineRule="exact"/>
              <w:jc w:val="center"/>
              <w:rPr>
                <w:rFonts w:hAnsi="宋体" w:eastAsia="宋体" w:cs="宋体"/>
                <w:sz w:val="24"/>
                <w:szCs w:val="24"/>
                <w:highlight w:val="none"/>
              </w:rPr>
            </w:pPr>
            <w:r>
              <w:rPr>
                <w:rFonts w:hint="eastAsia" w:hAnsi="宋体" w:eastAsia="宋体" w:cs="宋体"/>
                <w:sz w:val="24"/>
                <w:szCs w:val="24"/>
                <w:highlight w:val="none"/>
              </w:rPr>
              <w:t>合计（元）</w:t>
            </w:r>
          </w:p>
        </w:tc>
        <w:tc>
          <w:tcPr>
            <w:tcW w:w="945" w:type="dxa"/>
            <w:tcBorders>
              <w:bottom w:val="single" w:color="auto" w:sz="4" w:space="0"/>
            </w:tcBorders>
            <w:vAlign w:val="center"/>
          </w:tcPr>
          <w:p>
            <w:pPr>
              <w:pStyle w:val="8"/>
              <w:spacing w:line="360" w:lineRule="exact"/>
              <w:jc w:val="center"/>
              <w:rPr>
                <w:rFonts w:hAnsi="宋体" w:eastAsia="宋体" w:cs="宋体"/>
                <w:sz w:val="24"/>
                <w:szCs w:val="24"/>
                <w:highlight w:val="none"/>
              </w:rPr>
            </w:pPr>
            <w:r>
              <w:rPr>
                <w:rFonts w:hint="eastAsia"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97" w:type="dxa"/>
            <w:vAlign w:val="center"/>
          </w:tcPr>
          <w:p>
            <w:pPr>
              <w:spacing w:before="156" w:beforeLines="50" w:after="156" w:afterLines="50" w:line="360" w:lineRule="exact"/>
              <w:rPr>
                <w:rFonts w:ascii="宋体" w:hAnsi="宋体" w:eastAsia="宋体" w:cs="宋体"/>
                <w:sz w:val="24"/>
                <w:highlight w:val="none"/>
              </w:rPr>
            </w:pPr>
            <w:r>
              <w:rPr>
                <w:rFonts w:hint="eastAsia" w:ascii="宋体" w:hAnsi="宋体" w:eastAsia="宋体" w:cs="宋体"/>
                <w:sz w:val="24"/>
                <w:highlight w:val="none"/>
              </w:rPr>
              <w:t>1</w:t>
            </w:r>
          </w:p>
        </w:tc>
        <w:tc>
          <w:tcPr>
            <w:tcW w:w="1353" w:type="dxa"/>
            <w:vAlign w:val="center"/>
          </w:tcPr>
          <w:p>
            <w:pPr>
              <w:spacing w:before="156" w:beforeLines="50" w:after="156" w:afterLines="50" w:line="360" w:lineRule="exact"/>
              <w:rPr>
                <w:rFonts w:ascii="宋体" w:hAnsi="宋体" w:eastAsia="宋体" w:cs="宋体"/>
                <w:sz w:val="24"/>
                <w:highlight w:val="none"/>
              </w:rPr>
            </w:pPr>
          </w:p>
        </w:tc>
        <w:tc>
          <w:tcPr>
            <w:tcW w:w="1382" w:type="dxa"/>
            <w:vAlign w:val="center"/>
          </w:tcPr>
          <w:p>
            <w:pPr>
              <w:spacing w:before="156" w:beforeLines="50" w:after="156" w:afterLines="50" w:line="360" w:lineRule="exact"/>
              <w:rPr>
                <w:rFonts w:ascii="宋体" w:hAnsi="宋体" w:eastAsia="宋体" w:cs="宋体"/>
                <w:sz w:val="24"/>
                <w:highlight w:val="none"/>
              </w:rPr>
            </w:pPr>
          </w:p>
        </w:tc>
        <w:tc>
          <w:tcPr>
            <w:tcW w:w="874" w:type="dxa"/>
            <w:vAlign w:val="center"/>
          </w:tcPr>
          <w:p>
            <w:pPr>
              <w:spacing w:before="156" w:beforeLines="50" w:after="156" w:afterLines="50" w:line="360" w:lineRule="exact"/>
              <w:rPr>
                <w:rFonts w:ascii="宋体" w:hAnsi="宋体" w:eastAsia="宋体" w:cs="宋体"/>
                <w:sz w:val="24"/>
                <w:highlight w:val="none"/>
              </w:rPr>
            </w:pPr>
          </w:p>
        </w:tc>
        <w:tc>
          <w:tcPr>
            <w:tcW w:w="899" w:type="dxa"/>
            <w:vAlign w:val="center"/>
          </w:tcPr>
          <w:p>
            <w:pPr>
              <w:spacing w:before="156" w:beforeLines="50" w:after="156" w:afterLines="50" w:line="360" w:lineRule="exact"/>
              <w:rPr>
                <w:rFonts w:ascii="宋体" w:hAnsi="宋体" w:eastAsia="宋体" w:cs="宋体"/>
                <w:sz w:val="24"/>
                <w:highlight w:val="none"/>
              </w:rPr>
            </w:pPr>
          </w:p>
        </w:tc>
        <w:tc>
          <w:tcPr>
            <w:tcW w:w="1107" w:type="dxa"/>
            <w:vAlign w:val="center"/>
          </w:tcPr>
          <w:p>
            <w:pPr>
              <w:spacing w:before="156" w:beforeLines="50" w:after="156" w:afterLines="50" w:line="360" w:lineRule="exact"/>
              <w:rPr>
                <w:rFonts w:ascii="宋体" w:hAnsi="宋体" w:eastAsia="宋体" w:cs="宋体"/>
                <w:sz w:val="24"/>
                <w:highlight w:val="none"/>
              </w:rPr>
            </w:pPr>
          </w:p>
        </w:tc>
        <w:tc>
          <w:tcPr>
            <w:tcW w:w="986" w:type="dxa"/>
            <w:vAlign w:val="center"/>
          </w:tcPr>
          <w:p>
            <w:pPr>
              <w:spacing w:before="156" w:beforeLines="50" w:after="156" w:afterLines="50" w:line="360" w:lineRule="exact"/>
              <w:rPr>
                <w:rFonts w:ascii="宋体" w:hAnsi="宋体" w:eastAsia="宋体" w:cs="宋体"/>
                <w:sz w:val="24"/>
                <w:highlight w:val="none"/>
              </w:rPr>
            </w:pPr>
          </w:p>
        </w:tc>
        <w:tc>
          <w:tcPr>
            <w:tcW w:w="1040" w:type="dxa"/>
            <w:vAlign w:val="center"/>
          </w:tcPr>
          <w:p>
            <w:pPr>
              <w:spacing w:before="156" w:beforeLines="50" w:after="156" w:afterLines="50" w:line="360" w:lineRule="exact"/>
              <w:rPr>
                <w:rFonts w:ascii="宋体" w:hAnsi="宋体" w:eastAsia="宋体" w:cs="宋体"/>
                <w:sz w:val="24"/>
                <w:highlight w:val="none"/>
              </w:rPr>
            </w:pPr>
          </w:p>
        </w:tc>
        <w:tc>
          <w:tcPr>
            <w:tcW w:w="1053" w:type="dxa"/>
            <w:vAlign w:val="center"/>
          </w:tcPr>
          <w:p>
            <w:pPr>
              <w:spacing w:before="156" w:beforeLines="50" w:after="156" w:afterLines="50" w:line="360" w:lineRule="exact"/>
              <w:rPr>
                <w:rFonts w:ascii="宋体" w:hAnsi="宋体" w:eastAsia="宋体" w:cs="宋体"/>
                <w:sz w:val="24"/>
                <w:highlight w:val="none"/>
              </w:rPr>
            </w:pPr>
          </w:p>
        </w:tc>
        <w:tc>
          <w:tcPr>
            <w:tcW w:w="945" w:type="dxa"/>
            <w:vAlign w:val="center"/>
          </w:tcPr>
          <w:p>
            <w:pPr>
              <w:spacing w:before="156" w:beforeLines="50" w:after="156" w:afterLines="50" w:line="360" w:lineRule="exac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97" w:type="dxa"/>
            <w:vAlign w:val="center"/>
          </w:tcPr>
          <w:p>
            <w:pPr>
              <w:spacing w:before="156" w:beforeLines="50" w:after="156" w:afterLines="50" w:line="360" w:lineRule="exact"/>
              <w:rPr>
                <w:rFonts w:ascii="宋体" w:hAnsi="宋体" w:eastAsia="宋体" w:cs="宋体"/>
                <w:sz w:val="24"/>
                <w:highlight w:val="none"/>
              </w:rPr>
            </w:pPr>
            <w:r>
              <w:rPr>
                <w:rFonts w:hint="eastAsia" w:ascii="宋体" w:hAnsi="宋体" w:eastAsia="宋体" w:cs="宋体"/>
                <w:sz w:val="24"/>
                <w:highlight w:val="none"/>
              </w:rPr>
              <w:t>…</w:t>
            </w:r>
          </w:p>
        </w:tc>
        <w:tc>
          <w:tcPr>
            <w:tcW w:w="1353" w:type="dxa"/>
            <w:vAlign w:val="center"/>
          </w:tcPr>
          <w:p>
            <w:pPr>
              <w:spacing w:before="156" w:beforeLines="50" w:after="156" w:afterLines="50" w:line="360" w:lineRule="exact"/>
              <w:rPr>
                <w:rFonts w:ascii="宋体" w:hAnsi="宋体" w:eastAsia="宋体" w:cs="宋体"/>
                <w:sz w:val="24"/>
                <w:highlight w:val="none"/>
              </w:rPr>
            </w:pPr>
          </w:p>
        </w:tc>
        <w:tc>
          <w:tcPr>
            <w:tcW w:w="1382" w:type="dxa"/>
            <w:vAlign w:val="center"/>
          </w:tcPr>
          <w:p>
            <w:pPr>
              <w:spacing w:before="156" w:beforeLines="50" w:after="156" w:afterLines="50" w:line="360" w:lineRule="exact"/>
              <w:rPr>
                <w:rFonts w:ascii="宋体" w:hAnsi="宋体" w:eastAsia="宋体" w:cs="宋体"/>
                <w:sz w:val="24"/>
                <w:highlight w:val="none"/>
              </w:rPr>
            </w:pPr>
          </w:p>
        </w:tc>
        <w:tc>
          <w:tcPr>
            <w:tcW w:w="874" w:type="dxa"/>
            <w:vAlign w:val="center"/>
          </w:tcPr>
          <w:p>
            <w:pPr>
              <w:spacing w:before="156" w:beforeLines="50" w:after="156" w:afterLines="50" w:line="360" w:lineRule="exact"/>
              <w:rPr>
                <w:rFonts w:ascii="宋体" w:hAnsi="宋体" w:eastAsia="宋体" w:cs="宋体"/>
                <w:sz w:val="24"/>
                <w:highlight w:val="none"/>
              </w:rPr>
            </w:pPr>
          </w:p>
        </w:tc>
        <w:tc>
          <w:tcPr>
            <w:tcW w:w="899" w:type="dxa"/>
            <w:vAlign w:val="center"/>
          </w:tcPr>
          <w:p>
            <w:pPr>
              <w:spacing w:before="156" w:beforeLines="50" w:after="156" w:afterLines="50" w:line="360" w:lineRule="exact"/>
              <w:rPr>
                <w:rFonts w:ascii="宋体" w:hAnsi="宋体" w:eastAsia="宋体" w:cs="宋体"/>
                <w:sz w:val="24"/>
                <w:highlight w:val="none"/>
              </w:rPr>
            </w:pPr>
          </w:p>
        </w:tc>
        <w:tc>
          <w:tcPr>
            <w:tcW w:w="1107" w:type="dxa"/>
            <w:vAlign w:val="center"/>
          </w:tcPr>
          <w:p>
            <w:pPr>
              <w:spacing w:before="156" w:beforeLines="50" w:after="156" w:afterLines="50" w:line="360" w:lineRule="exact"/>
              <w:rPr>
                <w:rFonts w:ascii="宋体" w:hAnsi="宋体" w:eastAsia="宋体" w:cs="宋体"/>
                <w:sz w:val="24"/>
                <w:highlight w:val="none"/>
              </w:rPr>
            </w:pPr>
          </w:p>
        </w:tc>
        <w:tc>
          <w:tcPr>
            <w:tcW w:w="986" w:type="dxa"/>
            <w:vAlign w:val="center"/>
          </w:tcPr>
          <w:p>
            <w:pPr>
              <w:spacing w:before="156" w:beforeLines="50" w:after="156" w:afterLines="50" w:line="360" w:lineRule="exact"/>
              <w:rPr>
                <w:rFonts w:ascii="宋体" w:hAnsi="宋体" w:eastAsia="宋体" w:cs="宋体"/>
                <w:sz w:val="24"/>
                <w:highlight w:val="none"/>
              </w:rPr>
            </w:pPr>
          </w:p>
        </w:tc>
        <w:tc>
          <w:tcPr>
            <w:tcW w:w="1040" w:type="dxa"/>
            <w:vAlign w:val="center"/>
          </w:tcPr>
          <w:p>
            <w:pPr>
              <w:spacing w:before="156" w:beforeLines="50" w:after="156" w:afterLines="50" w:line="360" w:lineRule="exact"/>
              <w:rPr>
                <w:rFonts w:ascii="宋体" w:hAnsi="宋体" w:eastAsia="宋体" w:cs="宋体"/>
                <w:sz w:val="24"/>
                <w:highlight w:val="none"/>
              </w:rPr>
            </w:pPr>
          </w:p>
        </w:tc>
        <w:tc>
          <w:tcPr>
            <w:tcW w:w="1053" w:type="dxa"/>
            <w:vAlign w:val="center"/>
          </w:tcPr>
          <w:p>
            <w:pPr>
              <w:spacing w:before="156" w:beforeLines="50" w:after="156" w:afterLines="50" w:line="360" w:lineRule="exact"/>
              <w:rPr>
                <w:rFonts w:ascii="宋体" w:hAnsi="宋体" w:eastAsia="宋体" w:cs="宋体"/>
                <w:sz w:val="24"/>
                <w:highlight w:val="none"/>
              </w:rPr>
            </w:pPr>
          </w:p>
        </w:tc>
        <w:tc>
          <w:tcPr>
            <w:tcW w:w="945" w:type="dxa"/>
            <w:vAlign w:val="center"/>
          </w:tcPr>
          <w:p>
            <w:pPr>
              <w:spacing w:before="156" w:beforeLines="50" w:after="156" w:afterLines="50" w:line="360" w:lineRule="exac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97" w:type="dxa"/>
            <w:vAlign w:val="center"/>
          </w:tcPr>
          <w:p>
            <w:pPr>
              <w:spacing w:before="156" w:beforeLines="50" w:after="156" w:afterLines="50" w:line="360" w:lineRule="exact"/>
              <w:rPr>
                <w:rFonts w:ascii="宋体" w:hAnsi="宋体" w:eastAsia="宋体" w:cs="宋体"/>
                <w:sz w:val="24"/>
                <w:highlight w:val="none"/>
              </w:rPr>
            </w:pPr>
            <w:r>
              <w:rPr>
                <w:rFonts w:hint="eastAsia" w:ascii="宋体" w:hAnsi="宋体" w:eastAsia="宋体" w:cs="宋体"/>
                <w:sz w:val="24"/>
                <w:highlight w:val="none"/>
              </w:rPr>
              <w:t>N</w:t>
            </w:r>
          </w:p>
        </w:tc>
        <w:tc>
          <w:tcPr>
            <w:tcW w:w="1353" w:type="dxa"/>
            <w:vAlign w:val="center"/>
          </w:tcPr>
          <w:p>
            <w:pPr>
              <w:spacing w:before="156" w:beforeLines="50" w:after="156" w:afterLines="50" w:line="360" w:lineRule="exact"/>
              <w:rPr>
                <w:rFonts w:ascii="宋体" w:hAnsi="宋体" w:eastAsia="宋体" w:cs="宋体"/>
                <w:sz w:val="24"/>
                <w:highlight w:val="none"/>
              </w:rPr>
            </w:pPr>
          </w:p>
        </w:tc>
        <w:tc>
          <w:tcPr>
            <w:tcW w:w="1382" w:type="dxa"/>
            <w:vAlign w:val="center"/>
          </w:tcPr>
          <w:p>
            <w:pPr>
              <w:spacing w:before="156" w:beforeLines="50" w:after="156" w:afterLines="50" w:line="360" w:lineRule="exact"/>
              <w:rPr>
                <w:rFonts w:ascii="宋体" w:hAnsi="宋体" w:eastAsia="宋体" w:cs="宋体"/>
                <w:sz w:val="24"/>
                <w:highlight w:val="none"/>
              </w:rPr>
            </w:pPr>
          </w:p>
        </w:tc>
        <w:tc>
          <w:tcPr>
            <w:tcW w:w="874" w:type="dxa"/>
            <w:vAlign w:val="center"/>
          </w:tcPr>
          <w:p>
            <w:pPr>
              <w:spacing w:before="156" w:beforeLines="50" w:after="156" w:afterLines="50" w:line="360" w:lineRule="exact"/>
              <w:rPr>
                <w:rFonts w:ascii="宋体" w:hAnsi="宋体" w:eastAsia="宋体" w:cs="宋体"/>
                <w:sz w:val="24"/>
                <w:highlight w:val="none"/>
              </w:rPr>
            </w:pPr>
          </w:p>
        </w:tc>
        <w:tc>
          <w:tcPr>
            <w:tcW w:w="899" w:type="dxa"/>
            <w:vAlign w:val="center"/>
          </w:tcPr>
          <w:p>
            <w:pPr>
              <w:spacing w:before="156" w:beforeLines="50" w:after="156" w:afterLines="50" w:line="360" w:lineRule="exact"/>
              <w:rPr>
                <w:rFonts w:ascii="宋体" w:hAnsi="宋体" w:eastAsia="宋体" w:cs="宋体"/>
                <w:sz w:val="24"/>
                <w:highlight w:val="none"/>
              </w:rPr>
            </w:pPr>
          </w:p>
        </w:tc>
        <w:tc>
          <w:tcPr>
            <w:tcW w:w="1107" w:type="dxa"/>
            <w:vAlign w:val="center"/>
          </w:tcPr>
          <w:p>
            <w:pPr>
              <w:spacing w:before="156" w:beforeLines="50" w:after="156" w:afterLines="50" w:line="360" w:lineRule="exact"/>
              <w:rPr>
                <w:rFonts w:ascii="宋体" w:hAnsi="宋体" w:eastAsia="宋体" w:cs="宋体"/>
                <w:sz w:val="24"/>
                <w:highlight w:val="none"/>
              </w:rPr>
            </w:pPr>
          </w:p>
        </w:tc>
        <w:tc>
          <w:tcPr>
            <w:tcW w:w="986" w:type="dxa"/>
            <w:vAlign w:val="center"/>
          </w:tcPr>
          <w:p>
            <w:pPr>
              <w:spacing w:before="156" w:beforeLines="50" w:after="156" w:afterLines="50" w:line="360" w:lineRule="exact"/>
              <w:rPr>
                <w:rFonts w:ascii="宋体" w:hAnsi="宋体" w:eastAsia="宋体" w:cs="宋体"/>
                <w:sz w:val="24"/>
                <w:highlight w:val="none"/>
              </w:rPr>
            </w:pPr>
          </w:p>
        </w:tc>
        <w:tc>
          <w:tcPr>
            <w:tcW w:w="1040" w:type="dxa"/>
            <w:vAlign w:val="center"/>
          </w:tcPr>
          <w:p>
            <w:pPr>
              <w:spacing w:before="156" w:beforeLines="50" w:after="156" w:afterLines="50" w:line="360" w:lineRule="exact"/>
              <w:rPr>
                <w:rFonts w:ascii="宋体" w:hAnsi="宋体" w:eastAsia="宋体" w:cs="宋体"/>
                <w:sz w:val="24"/>
                <w:highlight w:val="none"/>
              </w:rPr>
            </w:pPr>
          </w:p>
        </w:tc>
        <w:tc>
          <w:tcPr>
            <w:tcW w:w="1053" w:type="dxa"/>
            <w:vAlign w:val="center"/>
          </w:tcPr>
          <w:p>
            <w:pPr>
              <w:spacing w:before="156" w:beforeLines="50" w:after="156" w:afterLines="50" w:line="360" w:lineRule="exact"/>
              <w:rPr>
                <w:rFonts w:ascii="宋体" w:hAnsi="宋体" w:eastAsia="宋体" w:cs="宋体"/>
                <w:sz w:val="24"/>
                <w:highlight w:val="none"/>
              </w:rPr>
            </w:pPr>
          </w:p>
        </w:tc>
        <w:tc>
          <w:tcPr>
            <w:tcW w:w="945" w:type="dxa"/>
            <w:vAlign w:val="center"/>
          </w:tcPr>
          <w:p>
            <w:pPr>
              <w:spacing w:before="156" w:beforeLines="50" w:after="156" w:afterLines="50" w:line="360" w:lineRule="exact"/>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0136" w:type="dxa"/>
            <w:gridSpan w:val="10"/>
            <w:vAlign w:val="center"/>
          </w:tcPr>
          <w:p>
            <w:pPr>
              <w:pStyle w:val="8"/>
              <w:rPr>
                <w:rFonts w:hAnsi="宋体" w:eastAsia="宋体" w:cs="宋体"/>
                <w:sz w:val="24"/>
                <w:szCs w:val="24"/>
                <w:highlight w:val="none"/>
              </w:rPr>
            </w:pPr>
            <w:r>
              <w:rPr>
                <w:rFonts w:hint="eastAsia" w:hAnsi="宋体" w:eastAsia="宋体" w:cs="宋体"/>
                <w:sz w:val="24"/>
                <w:szCs w:val="24"/>
                <w:highlight w:val="none"/>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0136" w:type="dxa"/>
            <w:gridSpan w:val="10"/>
            <w:vAlign w:val="center"/>
          </w:tcPr>
          <w:p>
            <w:pPr>
              <w:pStyle w:val="8"/>
              <w:rPr>
                <w:rFonts w:hAnsi="宋体" w:eastAsia="宋体" w:cs="宋体"/>
                <w:sz w:val="24"/>
                <w:szCs w:val="24"/>
                <w:highlight w:val="none"/>
              </w:rPr>
            </w:pPr>
            <w:r>
              <w:rPr>
                <w:rFonts w:hint="eastAsia" w:hAnsi="宋体" w:eastAsia="宋体" w:cs="宋体"/>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136" w:type="dxa"/>
            <w:gridSpan w:val="10"/>
            <w:vAlign w:val="center"/>
          </w:tcPr>
          <w:p>
            <w:pPr>
              <w:pStyle w:val="8"/>
              <w:rPr>
                <w:rFonts w:hAnsi="宋体" w:eastAsia="宋体" w:cs="宋体"/>
                <w:sz w:val="24"/>
                <w:szCs w:val="24"/>
                <w:highlight w:val="none"/>
              </w:rPr>
            </w:pPr>
            <w:r>
              <w:rPr>
                <w:rFonts w:hint="eastAsia" w:hAnsi="宋体" w:eastAsia="宋体" w:cs="宋体"/>
                <w:sz w:val="24"/>
                <w:szCs w:val="24"/>
                <w:highlight w:val="none"/>
              </w:rPr>
              <w:t>交货地点：</w:t>
            </w:r>
          </w:p>
        </w:tc>
      </w:tr>
    </w:tbl>
    <w:p>
      <w:pPr>
        <w:adjustRightInd w:val="0"/>
        <w:snapToGrid w:val="0"/>
        <w:spacing w:line="380" w:lineRule="exact"/>
        <w:ind w:right="420" w:firstLine="480" w:firstLineChars="200"/>
        <w:rPr>
          <w:rFonts w:ascii="宋体" w:hAnsi="宋体" w:eastAsia="宋体" w:cs="宋体"/>
          <w:sz w:val="24"/>
          <w:highlight w:val="none"/>
        </w:rPr>
      </w:pPr>
      <w:r>
        <w:rPr>
          <w:rFonts w:hint="eastAsia" w:ascii="宋体" w:hAnsi="宋体" w:eastAsia="宋体" w:cs="宋体"/>
          <w:sz w:val="24"/>
          <w:highlight w:val="none"/>
        </w:rPr>
        <w:t>2.合同合计金额包括货物价款、包装、运输等全部费用。如谈判文件、响应文件对其另有规定的，从其规定。</w:t>
      </w:r>
    </w:p>
    <w:p>
      <w:pPr>
        <w:adjustRightInd w:val="0"/>
        <w:snapToGrid w:val="0"/>
        <w:spacing w:line="380" w:lineRule="exact"/>
        <w:ind w:firstLine="482" w:firstLineChars="200"/>
        <w:rPr>
          <w:rFonts w:ascii="宋体" w:hAnsi="宋体" w:eastAsia="宋体" w:cs="宋体"/>
          <w:sz w:val="24"/>
          <w:highlight w:val="none"/>
        </w:rPr>
      </w:pPr>
      <w:r>
        <w:rPr>
          <w:rFonts w:hint="eastAsia" w:ascii="宋体" w:hAnsi="宋体" w:eastAsia="宋体" w:cs="宋体"/>
          <w:b/>
          <w:sz w:val="24"/>
          <w:highlight w:val="none"/>
        </w:rPr>
        <w:t>第二条　质量保证</w:t>
      </w:r>
    </w:p>
    <w:p>
      <w:pPr>
        <w:adjustRightInd w:val="0"/>
        <w:snapToGrid w:val="0"/>
        <w:spacing w:line="380" w:lineRule="exact"/>
        <w:ind w:firstLine="480" w:firstLineChars="200"/>
        <w:rPr>
          <w:rFonts w:ascii="宋体" w:hAnsi="宋体"/>
          <w:sz w:val="24"/>
          <w:highlight w:val="none"/>
        </w:rPr>
      </w:pPr>
      <w:r>
        <w:rPr>
          <w:rFonts w:hint="eastAsia" w:ascii="宋体" w:hAnsi="宋体"/>
          <w:sz w:val="24"/>
          <w:highlight w:val="none"/>
        </w:rPr>
        <w:t>1.乙方所提供的货物质量必须与谈判文件、响应文件和承诺相一致。</w:t>
      </w:r>
    </w:p>
    <w:p>
      <w:pPr>
        <w:adjustRightInd w:val="0"/>
        <w:snapToGrid w:val="0"/>
        <w:spacing w:line="380" w:lineRule="exact"/>
        <w:ind w:firstLine="480" w:firstLineChars="200"/>
        <w:rPr>
          <w:rFonts w:ascii="宋体" w:hAnsi="宋体"/>
          <w:sz w:val="24"/>
          <w:highlight w:val="none"/>
        </w:rPr>
      </w:pPr>
      <w:r>
        <w:rPr>
          <w:rFonts w:hint="eastAsia" w:ascii="宋体" w:hAnsi="宋体"/>
          <w:sz w:val="24"/>
          <w:highlight w:val="none"/>
        </w:rPr>
        <w:t>2.</w:t>
      </w:r>
      <w:r>
        <w:rPr>
          <w:rFonts w:hint="eastAsia"/>
          <w:highlight w:val="none"/>
        </w:rPr>
        <w:t xml:space="preserve"> </w:t>
      </w:r>
      <w:r>
        <w:rPr>
          <w:rFonts w:hint="eastAsia" w:ascii="宋体" w:hAnsi="宋体"/>
          <w:sz w:val="24"/>
          <w:highlight w:val="none"/>
        </w:rPr>
        <w:t>乙方所提供的货物必须是全新、未使用的原装产品。</w:t>
      </w:r>
    </w:p>
    <w:p>
      <w:pPr>
        <w:adjustRightInd w:val="0"/>
        <w:snapToGrid w:val="0"/>
        <w:spacing w:line="380" w:lineRule="exact"/>
        <w:ind w:firstLine="482" w:firstLineChars="200"/>
        <w:rPr>
          <w:rFonts w:ascii="宋体" w:hAnsi="宋体" w:eastAsia="宋体" w:cs="宋体"/>
          <w:sz w:val="24"/>
          <w:highlight w:val="none"/>
        </w:rPr>
      </w:pPr>
      <w:r>
        <w:rPr>
          <w:rFonts w:hint="eastAsia" w:ascii="宋体" w:hAnsi="宋体" w:eastAsia="宋体" w:cs="宋体"/>
          <w:b/>
          <w:sz w:val="24"/>
          <w:highlight w:val="none"/>
        </w:rPr>
        <w:t>第三条　权力保证</w:t>
      </w:r>
    </w:p>
    <w:p>
      <w:pPr>
        <w:adjustRightInd w:val="0"/>
        <w:snapToGrid w:val="0"/>
        <w:spacing w:line="38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乙方保证所交付的货物的所有权完全属于乙方且无任何抵押、质押、查封等产权瑕疵。</w:t>
      </w:r>
    </w:p>
    <w:p>
      <w:pPr>
        <w:adjustRightInd w:val="0"/>
        <w:snapToGrid w:val="0"/>
        <w:spacing w:line="38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第四条　包装和运输</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1.乙方提供的货物均应按谈判文件、响应文件要求的包装材料、包装标准、包装方式进行包装。</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2.货物的运输方式：</w:t>
      </w:r>
      <w:r>
        <w:rPr>
          <w:rFonts w:hint="eastAsia" w:ascii="宋体" w:hAnsi="宋体" w:eastAsia="宋体" w:cs="宋体"/>
          <w:sz w:val="24"/>
          <w:highlight w:val="none"/>
          <w:u w:val="single"/>
        </w:rPr>
        <w:t xml:space="preserve">             。</w:t>
      </w:r>
    </w:p>
    <w:p>
      <w:pPr>
        <w:adjustRightInd w:val="0"/>
        <w:snapToGrid w:val="0"/>
        <w:spacing w:line="36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3.乙方负责货物运输，货物运输合理损耗及计算方法：</w:t>
      </w:r>
      <w:r>
        <w:rPr>
          <w:rFonts w:hint="eastAsia" w:ascii="宋体" w:hAnsi="宋体" w:eastAsia="宋体" w:cs="宋体"/>
          <w:sz w:val="24"/>
          <w:highlight w:val="none"/>
          <w:u w:val="single"/>
        </w:rPr>
        <w:t xml:space="preserve">                 。</w:t>
      </w:r>
    </w:p>
    <w:p>
      <w:pPr>
        <w:adjustRightInd w:val="0"/>
        <w:snapToGrid w:val="0"/>
        <w:spacing w:line="360" w:lineRule="exact"/>
        <w:ind w:firstLine="482" w:firstLineChars="200"/>
        <w:rPr>
          <w:rFonts w:ascii="宋体" w:hAnsi="宋体" w:eastAsia="宋体" w:cs="宋体"/>
          <w:sz w:val="24"/>
          <w:highlight w:val="none"/>
        </w:rPr>
      </w:pPr>
      <w:r>
        <w:rPr>
          <w:rFonts w:hint="eastAsia" w:ascii="宋体" w:hAnsi="宋体" w:eastAsia="宋体" w:cs="宋体"/>
          <w:b/>
          <w:sz w:val="24"/>
          <w:highlight w:val="none"/>
        </w:rPr>
        <w:t>第五条　交付和验收</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1、交付使用时间：</w:t>
      </w:r>
      <w:r>
        <w:rPr>
          <w:rFonts w:hint="eastAsia" w:ascii="宋体" w:hAnsi="宋体"/>
          <w:sz w:val="24"/>
          <w:highlight w:val="none"/>
          <w:u w:val="single"/>
        </w:rPr>
        <w:t xml:space="preserve">                 </w:t>
      </w:r>
      <w:r>
        <w:rPr>
          <w:rFonts w:hint="eastAsia" w:ascii="宋体" w:hAnsi="宋体"/>
          <w:sz w:val="24"/>
          <w:highlight w:val="none"/>
        </w:rPr>
        <w:t>、地点：</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2、乙方提供不符合谈判文件、响应文件和本合同规定的货物，甲方有权拒绝接受。</w:t>
      </w:r>
    </w:p>
    <w:p>
      <w:pPr>
        <w:pStyle w:val="8"/>
        <w:spacing w:line="460" w:lineRule="exact"/>
        <w:ind w:firstLine="480" w:firstLineChars="200"/>
        <w:rPr>
          <w:rFonts w:hAnsi="宋体" w:cs="Times New Roman"/>
          <w:sz w:val="24"/>
          <w:szCs w:val="24"/>
          <w:highlight w:val="none"/>
        </w:rPr>
      </w:pPr>
      <w:r>
        <w:rPr>
          <w:rFonts w:hint="eastAsia" w:hAnsi="宋体" w:cs="Times New Roman"/>
          <w:sz w:val="24"/>
          <w:szCs w:val="24"/>
          <w:highlight w:val="none"/>
        </w:rPr>
        <w:t>3、乙方交货前应对产品作出全面检查和对验收文件进行整理列出清单，作为甲方收货验收和使用的技术条件依据，检验的结果应随货物交甲方。</w:t>
      </w:r>
    </w:p>
    <w:p>
      <w:pPr>
        <w:pStyle w:val="8"/>
        <w:spacing w:line="460" w:lineRule="exact"/>
        <w:ind w:firstLine="420"/>
        <w:rPr>
          <w:rFonts w:hAnsi="宋体" w:cs="Times New Roman"/>
          <w:sz w:val="24"/>
          <w:szCs w:val="24"/>
          <w:highlight w:val="none"/>
        </w:rPr>
      </w:pPr>
      <w:r>
        <w:rPr>
          <w:rFonts w:hint="eastAsia" w:hAnsi="宋体" w:cs="Times New Roman"/>
          <w:sz w:val="24"/>
          <w:szCs w:val="24"/>
          <w:highlight w:val="none"/>
        </w:rPr>
        <w:t>4、甲方对乙方所交货物依照谈判文件上的技术规格要求和国家有关标准进行现场验收，性能达到技术要求的，给予签收。验收不合格的不予签收，后果由乙方负责。</w:t>
      </w:r>
    </w:p>
    <w:p>
      <w:pPr>
        <w:pStyle w:val="8"/>
        <w:spacing w:line="460" w:lineRule="exact"/>
        <w:ind w:firstLine="420"/>
        <w:rPr>
          <w:rFonts w:hAnsi="宋体" w:cs="Times New Roman"/>
          <w:sz w:val="24"/>
          <w:szCs w:val="24"/>
          <w:highlight w:val="none"/>
        </w:rPr>
      </w:pPr>
      <w:r>
        <w:rPr>
          <w:rFonts w:hint="eastAsia" w:hAnsi="宋体" w:cs="Times New Roman"/>
          <w:sz w:val="24"/>
          <w:szCs w:val="24"/>
          <w:highlight w:val="none"/>
        </w:rPr>
        <w:t>5、甲方应在货到指定地点完毕之日起      个工作日内验收完毕，并作出验收结果报告。验收时乙方必须在现场。</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6.乙方应将所提供货物交付给甲方，如有缺失应及时补齐，否则视为逾期交货。</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7.甲方应当在到货）后七个工作日内进行验收，逾期不验收的，乙方可视同验收合格。验收合格后由甲乙双方签署货物验收单并加盖采购人公章，甲乙双方各执一份。</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8.甲方对验收有异议的，在验收后五个工作日内以书面形式向乙方提出，乙方应自收到甲方书面异议后</w:t>
      </w:r>
      <w:r>
        <w:rPr>
          <w:rFonts w:hint="eastAsia" w:ascii="宋体" w:hAnsi="宋体"/>
          <w:sz w:val="24"/>
          <w:highlight w:val="none"/>
          <w:u w:val="single"/>
        </w:rPr>
        <w:t xml:space="preserve">    </w:t>
      </w:r>
      <w:r>
        <w:rPr>
          <w:rFonts w:hint="eastAsia" w:ascii="宋体" w:hAnsi="宋体"/>
          <w:sz w:val="24"/>
          <w:highlight w:val="none"/>
        </w:rPr>
        <w:t>日内及时予以解决。</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第六条　安装和培训</w:t>
      </w:r>
    </w:p>
    <w:p>
      <w:pPr>
        <w:adjustRightInd w:val="0"/>
        <w:snapToGrid w:val="0"/>
        <w:spacing w:line="36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1、乙方负责甲方有关人员的培训。培训时间、地点（如需）：</w:t>
      </w:r>
      <w:r>
        <w:rPr>
          <w:rFonts w:hint="eastAsia" w:ascii="宋体" w:hAnsi="宋体" w:eastAsia="宋体" w:cs="宋体"/>
          <w:sz w:val="24"/>
          <w:highlight w:val="none"/>
          <w:u w:val="single"/>
        </w:rPr>
        <w:t xml:space="preserve">                   。</w:t>
      </w:r>
    </w:p>
    <w:p>
      <w:pPr>
        <w:adjustRightInd w:val="0"/>
        <w:snapToGrid w:val="0"/>
        <w:spacing w:line="360" w:lineRule="exact"/>
        <w:ind w:firstLine="482" w:firstLineChars="200"/>
        <w:rPr>
          <w:rFonts w:ascii="宋体" w:hAnsi="宋体"/>
          <w:b/>
          <w:sz w:val="24"/>
          <w:highlight w:val="none"/>
        </w:rPr>
      </w:pPr>
      <w:r>
        <w:rPr>
          <w:rFonts w:hint="eastAsia" w:ascii="宋体" w:hAnsi="宋体" w:eastAsia="宋体" w:cs="宋体"/>
          <w:b/>
          <w:sz w:val="24"/>
          <w:highlight w:val="none"/>
        </w:rPr>
        <w:t xml:space="preserve">第七条  </w:t>
      </w:r>
      <w:r>
        <w:rPr>
          <w:rFonts w:hint="eastAsia" w:ascii="宋体" w:hAnsi="宋体"/>
          <w:b/>
          <w:sz w:val="24"/>
          <w:highlight w:val="none"/>
        </w:rPr>
        <w:t>售后服务</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1.乙方应按照国家有关法律法规和“三包”规定以及谈判文件、响应文件和本合同所附的《服务承诺》，为甲方提供售后服务。</w:t>
      </w:r>
    </w:p>
    <w:p>
      <w:pPr>
        <w:adjustRightInd w:val="0"/>
        <w:snapToGrid w:val="0"/>
        <w:spacing w:line="360" w:lineRule="exact"/>
        <w:ind w:firstLine="482" w:firstLineChars="200"/>
        <w:rPr>
          <w:rFonts w:ascii="宋体" w:hAnsi="宋体" w:eastAsia="宋体" w:cs="宋体"/>
          <w:sz w:val="24"/>
          <w:highlight w:val="none"/>
        </w:rPr>
      </w:pPr>
      <w:r>
        <w:rPr>
          <w:rFonts w:hint="eastAsia" w:ascii="宋体" w:hAnsi="宋体" w:eastAsia="宋体" w:cs="宋体"/>
          <w:b/>
          <w:sz w:val="24"/>
          <w:highlight w:val="none"/>
        </w:rPr>
        <w:t>第八条　付款方式和保证金</w:t>
      </w:r>
    </w:p>
    <w:p>
      <w:pPr>
        <w:pStyle w:val="8"/>
        <w:adjustRightInd w:val="0"/>
        <w:snapToGrid w:val="0"/>
        <w:spacing w:line="360" w:lineRule="exact"/>
        <w:ind w:firstLine="410" w:firstLineChars="171"/>
        <w:rPr>
          <w:rFonts w:hAnsi="宋体" w:eastAsia="宋体" w:cs="宋体"/>
          <w:sz w:val="24"/>
          <w:szCs w:val="24"/>
          <w:highlight w:val="none"/>
        </w:rPr>
      </w:pPr>
      <w:r>
        <w:rPr>
          <w:rFonts w:hint="eastAsia" w:hAnsi="宋体" w:eastAsia="宋体" w:cs="宋体"/>
          <w:bCs/>
          <w:sz w:val="24"/>
          <w:szCs w:val="24"/>
          <w:highlight w:val="none"/>
        </w:rPr>
        <w:t>1.</w:t>
      </w:r>
      <w:r>
        <w:rPr>
          <w:rFonts w:hint="eastAsia" w:hAnsi="宋体" w:eastAsia="宋体" w:cs="宋体"/>
          <w:sz w:val="24"/>
          <w:szCs w:val="24"/>
          <w:highlight w:val="none"/>
        </w:rPr>
        <w:t>当采购数量与实际使用数量不一致时，乙方应根据实际使用量供货，合同的最终结算金额按实际使用量乘以成交单价进行计算。</w:t>
      </w:r>
    </w:p>
    <w:p>
      <w:pPr>
        <w:adjustRightInd w:val="0"/>
        <w:snapToGrid w:val="0"/>
        <w:spacing w:line="36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2.资金性质：</w:t>
      </w:r>
      <w:r>
        <w:rPr>
          <w:rFonts w:hint="eastAsia" w:ascii="宋体" w:hAnsi="宋体" w:eastAsia="宋体" w:cs="宋体"/>
          <w:sz w:val="24"/>
          <w:highlight w:val="none"/>
          <w:u w:val="single"/>
        </w:rPr>
        <w:t xml:space="preserve">  财政资金 。</w:t>
      </w:r>
    </w:p>
    <w:p>
      <w:pPr>
        <w:adjustRightInd w:val="0"/>
        <w:snapToGrid w:val="0"/>
        <w:spacing w:line="360" w:lineRule="exact"/>
        <w:ind w:right="33" w:firstLine="480" w:firstLineChars="200"/>
        <w:rPr>
          <w:rFonts w:ascii="宋体" w:hAnsi="宋体" w:eastAsia="宋体" w:cs="宋体"/>
          <w:sz w:val="24"/>
          <w:highlight w:val="none"/>
        </w:rPr>
      </w:pPr>
      <w:r>
        <w:rPr>
          <w:rFonts w:hint="eastAsia" w:ascii="宋体" w:hAnsi="宋体" w:eastAsia="宋体" w:cs="宋体"/>
          <w:sz w:val="24"/>
          <w:highlight w:val="none"/>
        </w:rPr>
        <w:t>3.付款方式：供应商与采购人双方合同签订生效后，供应商</w:t>
      </w:r>
      <w:r>
        <w:rPr>
          <w:rFonts w:ascii="宋体" w:hAnsi="宋体" w:eastAsia="宋体" w:cs="宋体"/>
          <w:sz w:val="24"/>
          <w:highlight w:val="none"/>
        </w:rPr>
        <w:t>运输全部货物到达</w:t>
      </w:r>
      <w:r>
        <w:rPr>
          <w:rFonts w:hint="eastAsia" w:ascii="宋体" w:hAnsi="宋体" w:eastAsia="宋体" w:cs="宋体"/>
          <w:sz w:val="24"/>
          <w:highlight w:val="none"/>
        </w:rPr>
        <w:t>采购人</w:t>
      </w:r>
      <w:r>
        <w:rPr>
          <w:rFonts w:ascii="宋体" w:hAnsi="宋体" w:eastAsia="宋体" w:cs="宋体"/>
          <w:sz w:val="24"/>
          <w:highlight w:val="none"/>
        </w:rPr>
        <w:t>指定地点后付至合同金额的</w:t>
      </w:r>
      <w:r>
        <w:rPr>
          <w:rFonts w:hint="eastAsia" w:ascii="宋体" w:hAnsi="宋体" w:eastAsia="宋体" w:cs="宋体"/>
          <w:sz w:val="24"/>
          <w:highlight w:val="none"/>
        </w:rPr>
        <w:t>5</w:t>
      </w:r>
      <w:r>
        <w:rPr>
          <w:rFonts w:ascii="宋体" w:hAnsi="宋体" w:eastAsia="宋体" w:cs="宋体"/>
          <w:sz w:val="24"/>
          <w:highlight w:val="none"/>
        </w:rPr>
        <w:t>0%，全部安装、调试后，经甲方验收合格并签署验收报告之日起15日内付至合同金额的97%</w:t>
      </w:r>
      <w:r>
        <w:rPr>
          <w:rFonts w:hint="eastAsia" w:ascii="宋体" w:hAnsi="宋体" w:eastAsia="宋体" w:cs="宋体"/>
          <w:sz w:val="24"/>
          <w:highlight w:val="none"/>
        </w:rPr>
        <w:t>，</w:t>
      </w:r>
      <w:r>
        <w:rPr>
          <w:rFonts w:hint="eastAsia" w:asciiTheme="minorEastAsia" w:hAnsiTheme="minorEastAsia"/>
          <w:sz w:val="24"/>
          <w:highlight w:val="none"/>
        </w:rPr>
        <w:t>剩余合同总额的3%作为质量保证金，质量保证金在质保期满后五个工作日内无息返还。</w:t>
      </w:r>
    </w:p>
    <w:p>
      <w:pPr>
        <w:snapToGrid w:val="0"/>
        <w:spacing w:line="360" w:lineRule="exact"/>
        <w:ind w:left="-61" w:leftChars="-29" w:firstLine="590" w:firstLineChars="245"/>
        <w:rPr>
          <w:rFonts w:hAnsi="宋体" w:eastAsia="宋体" w:cs="宋体"/>
          <w:b/>
          <w:spacing w:val="4"/>
          <w:sz w:val="24"/>
          <w:highlight w:val="none"/>
        </w:rPr>
      </w:pPr>
      <w:bookmarkStart w:id="161" w:name="_Toc6923328"/>
      <w:r>
        <w:rPr>
          <w:rFonts w:hint="eastAsia" w:hAnsi="宋体" w:eastAsia="宋体" w:cs="宋体"/>
          <w:b/>
          <w:sz w:val="24"/>
          <w:highlight w:val="none"/>
        </w:rPr>
        <w:t>第九条　</w:t>
      </w:r>
      <w:r>
        <w:rPr>
          <w:rFonts w:hint="eastAsia" w:hAnsi="宋体" w:eastAsia="宋体" w:cs="宋体"/>
          <w:b/>
          <w:spacing w:val="4"/>
          <w:sz w:val="24"/>
          <w:highlight w:val="none"/>
        </w:rPr>
        <w:t>质量保证金</w:t>
      </w:r>
      <w:bookmarkEnd w:id="161"/>
      <w:r>
        <w:rPr>
          <w:rFonts w:hint="eastAsia" w:hAnsi="宋体" w:eastAsia="宋体" w:cs="宋体"/>
          <w:b/>
          <w:spacing w:val="4"/>
          <w:sz w:val="24"/>
          <w:highlight w:val="none"/>
        </w:rPr>
        <w:t>：</w:t>
      </w:r>
    </w:p>
    <w:p>
      <w:pPr>
        <w:snapToGrid w:val="0"/>
        <w:spacing w:line="360" w:lineRule="exact"/>
        <w:ind w:left="-61" w:leftChars="-29" w:firstLine="588" w:firstLineChars="245"/>
        <w:rPr>
          <w:rFonts w:ascii="宋体" w:hAnsi="宋体" w:eastAsia="宋体" w:cs="宋体"/>
          <w:spacing w:val="4"/>
          <w:sz w:val="24"/>
          <w:highlight w:val="none"/>
        </w:rPr>
      </w:pPr>
      <w:r>
        <w:rPr>
          <w:rFonts w:hint="eastAsia" w:ascii="宋体" w:hAnsi="宋体" w:eastAsia="宋体" w:cs="宋体"/>
          <w:bCs/>
          <w:sz w:val="24"/>
          <w:highlight w:val="none"/>
        </w:rPr>
        <w:t>1.</w:t>
      </w:r>
      <w:r>
        <w:rPr>
          <w:rFonts w:hint="eastAsia" w:asciiTheme="minorEastAsia" w:hAnsiTheme="minorEastAsia"/>
          <w:bCs/>
          <w:sz w:val="24"/>
          <w:highlight w:val="none"/>
        </w:rPr>
        <w:t>货物验收合格并交付正常使用后，质量保证金由采购人收取，质量保证金为合同金额的3%，待质量保证期过后采购人在五个工作日内一次性无息返还给成交供应商。</w:t>
      </w:r>
    </w:p>
    <w:p>
      <w:pPr>
        <w:snapToGrid w:val="0"/>
        <w:spacing w:line="360" w:lineRule="exact"/>
        <w:ind w:left="-61" w:leftChars="-29" w:firstLine="607" w:firstLineChars="245"/>
        <w:rPr>
          <w:rFonts w:hAnsi="宋体" w:eastAsia="宋体" w:cs="宋体"/>
          <w:b/>
          <w:spacing w:val="4"/>
          <w:sz w:val="24"/>
          <w:highlight w:val="none"/>
        </w:rPr>
      </w:pPr>
      <w:r>
        <w:rPr>
          <w:rFonts w:hint="eastAsia" w:ascii="宋体" w:hAnsi="宋体" w:eastAsia="宋体" w:cs="宋体"/>
          <w:spacing w:val="4"/>
          <w:sz w:val="24"/>
          <w:highlight w:val="none"/>
        </w:rPr>
        <w:t>2.质量保证金因其他原因被扣除，数额不足合同金额的</w:t>
      </w:r>
      <w:r>
        <w:rPr>
          <w:rFonts w:hint="eastAsia" w:ascii="宋体" w:hAnsi="宋体" w:eastAsia="宋体" w:cs="宋体"/>
          <w:spacing w:val="4"/>
          <w:sz w:val="24"/>
          <w:highlight w:val="none"/>
          <w:u w:val="single"/>
        </w:rPr>
        <w:t>3</w:t>
      </w:r>
      <w:r>
        <w:rPr>
          <w:rFonts w:hint="eastAsia" w:ascii="宋体" w:hAnsi="宋体" w:eastAsia="宋体" w:cs="宋体"/>
          <w:spacing w:val="4"/>
          <w:sz w:val="24"/>
          <w:highlight w:val="none"/>
        </w:rPr>
        <w:t>%的，乙方应及时补足。</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第十条、税费本合同执行中相关的一切税费均由乙方负担。</w:t>
      </w:r>
    </w:p>
    <w:p>
      <w:pPr>
        <w:pStyle w:val="8"/>
        <w:adjustRightInd w:val="0"/>
        <w:snapToGrid w:val="0"/>
        <w:spacing w:line="360" w:lineRule="exact"/>
        <w:ind w:firstLine="472" w:firstLineChars="196"/>
        <w:rPr>
          <w:rFonts w:hAnsi="宋体"/>
          <w:b/>
          <w:sz w:val="24"/>
          <w:szCs w:val="24"/>
          <w:highlight w:val="none"/>
        </w:rPr>
      </w:pPr>
      <w:r>
        <w:rPr>
          <w:rFonts w:hint="eastAsia" w:hAnsi="宋体"/>
          <w:b/>
          <w:sz w:val="24"/>
          <w:szCs w:val="24"/>
          <w:highlight w:val="none"/>
        </w:rPr>
        <w:t>第十一条、验收</w:t>
      </w:r>
    </w:p>
    <w:p>
      <w:pPr>
        <w:pStyle w:val="8"/>
        <w:spacing w:line="460" w:lineRule="exact"/>
        <w:ind w:firstLine="420"/>
        <w:rPr>
          <w:rFonts w:hAnsi="宋体"/>
          <w:sz w:val="24"/>
          <w:szCs w:val="24"/>
          <w:highlight w:val="none"/>
        </w:rPr>
      </w:pPr>
      <w:r>
        <w:rPr>
          <w:rFonts w:hint="eastAsia" w:hAnsi="宋体"/>
          <w:sz w:val="24"/>
          <w:szCs w:val="24"/>
          <w:highlight w:val="none"/>
        </w:rPr>
        <w:t>1、乙方交货前应对产品作出全面检查和对验收文件进行整理列出清单，作为甲方收货验收和使用的技术条件依据，检验的结果应随货物交甲方。</w:t>
      </w:r>
    </w:p>
    <w:p>
      <w:pPr>
        <w:pStyle w:val="8"/>
        <w:spacing w:line="460" w:lineRule="exact"/>
        <w:ind w:firstLine="420"/>
        <w:rPr>
          <w:rFonts w:hAnsi="宋体"/>
          <w:sz w:val="24"/>
          <w:szCs w:val="24"/>
          <w:highlight w:val="none"/>
        </w:rPr>
      </w:pPr>
      <w:r>
        <w:rPr>
          <w:rFonts w:hint="eastAsia" w:hAnsi="宋体"/>
          <w:sz w:val="24"/>
          <w:szCs w:val="24"/>
          <w:highlight w:val="none"/>
        </w:rPr>
        <w:t>2、甲方对乙方所交货物依照谈判文件上的技术规格要求和国家有关标准进行现场验收，性能达到技术要求的，给予签收。验收不合格的不予签收，后果由乙方负责。</w:t>
      </w:r>
    </w:p>
    <w:p>
      <w:pPr>
        <w:pStyle w:val="8"/>
        <w:spacing w:line="460" w:lineRule="exact"/>
        <w:ind w:firstLine="420"/>
        <w:rPr>
          <w:rFonts w:hAnsi="宋体"/>
          <w:sz w:val="24"/>
          <w:szCs w:val="24"/>
          <w:highlight w:val="none"/>
        </w:rPr>
      </w:pPr>
      <w:r>
        <w:rPr>
          <w:rFonts w:hint="eastAsia" w:hAnsi="宋体"/>
          <w:sz w:val="24"/>
          <w:szCs w:val="24"/>
          <w:highlight w:val="none"/>
        </w:rPr>
        <w:t>3、甲方应在货到指定地点完毕之日起</w:t>
      </w:r>
      <w:r>
        <w:rPr>
          <w:rFonts w:hint="eastAsia" w:hAnsi="宋体"/>
          <w:sz w:val="24"/>
          <w:szCs w:val="24"/>
          <w:highlight w:val="none"/>
          <w:u w:val="single"/>
        </w:rPr>
        <w:t xml:space="preserve">      </w:t>
      </w:r>
      <w:r>
        <w:rPr>
          <w:rFonts w:hint="eastAsia" w:hAnsi="宋体"/>
          <w:sz w:val="24"/>
          <w:szCs w:val="24"/>
          <w:highlight w:val="none"/>
        </w:rPr>
        <w:t>个工作日内验收完毕，并作出验收结果报告。验收时乙方必须在现场。</w:t>
      </w:r>
    </w:p>
    <w:p>
      <w:pPr>
        <w:pStyle w:val="8"/>
        <w:adjustRightInd w:val="0"/>
        <w:snapToGrid w:val="0"/>
        <w:spacing w:line="360" w:lineRule="exact"/>
        <w:ind w:firstLine="472" w:firstLineChars="196"/>
        <w:rPr>
          <w:rFonts w:hAnsi="宋体" w:eastAsia="宋体" w:cs="宋体"/>
          <w:b/>
          <w:sz w:val="24"/>
          <w:szCs w:val="24"/>
          <w:highlight w:val="none"/>
        </w:rPr>
      </w:pPr>
      <w:r>
        <w:rPr>
          <w:rFonts w:hint="eastAsia" w:hAnsi="宋体" w:eastAsia="宋体" w:cs="宋体"/>
          <w:b/>
          <w:sz w:val="24"/>
          <w:szCs w:val="24"/>
          <w:highlight w:val="none"/>
        </w:rPr>
        <w:t>第十二条、货物包装、发运及运输</w:t>
      </w:r>
    </w:p>
    <w:p>
      <w:pPr>
        <w:pStyle w:val="8"/>
        <w:adjustRightInd w:val="0"/>
        <w:snapToGrid w:val="0"/>
        <w:spacing w:line="360" w:lineRule="exact"/>
        <w:ind w:firstLine="410" w:firstLineChars="171"/>
        <w:rPr>
          <w:rFonts w:hAnsi="宋体" w:eastAsia="宋体" w:cs="宋体"/>
          <w:sz w:val="24"/>
          <w:szCs w:val="24"/>
          <w:highlight w:val="none"/>
        </w:rPr>
      </w:pPr>
      <w:r>
        <w:rPr>
          <w:rFonts w:hint="eastAsia" w:hAnsi="宋体" w:eastAsia="宋体" w:cs="宋体"/>
          <w:sz w:val="24"/>
          <w:szCs w:val="24"/>
          <w:highlight w:val="none"/>
        </w:rPr>
        <w:t>1.乙方应在货物发运前对其进行满足运输距离等要求包装，以保证货物安全运达甲方指定地点。</w:t>
      </w:r>
    </w:p>
    <w:p>
      <w:pPr>
        <w:pStyle w:val="8"/>
        <w:adjustRightInd w:val="0"/>
        <w:snapToGrid w:val="0"/>
        <w:spacing w:line="360" w:lineRule="exact"/>
        <w:ind w:firstLine="410" w:firstLineChars="171"/>
        <w:rPr>
          <w:rFonts w:hAnsi="宋体" w:eastAsia="宋体" w:cs="宋体"/>
          <w:sz w:val="24"/>
          <w:szCs w:val="24"/>
          <w:highlight w:val="none"/>
        </w:rPr>
      </w:pPr>
      <w:r>
        <w:rPr>
          <w:rFonts w:hint="eastAsia" w:hAnsi="宋体" w:eastAsia="宋体" w:cs="宋体"/>
          <w:sz w:val="24"/>
          <w:szCs w:val="24"/>
          <w:highlight w:val="none"/>
        </w:rPr>
        <w:t>2.乙方在货物发运手续办理完毕后</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小时内或货到甲方</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小时前通知甲方，以准备接货。</w:t>
      </w:r>
    </w:p>
    <w:p>
      <w:pPr>
        <w:pStyle w:val="8"/>
        <w:adjustRightInd w:val="0"/>
        <w:snapToGrid w:val="0"/>
        <w:spacing w:line="360" w:lineRule="exact"/>
        <w:ind w:firstLine="410" w:firstLineChars="171"/>
        <w:rPr>
          <w:rFonts w:hAnsi="宋体" w:eastAsia="宋体" w:cs="宋体"/>
          <w:sz w:val="24"/>
          <w:szCs w:val="24"/>
          <w:highlight w:val="none"/>
        </w:rPr>
      </w:pPr>
      <w:r>
        <w:rPr>
          <w:rFonts w:hint="eastAsia" w:hAnsi="宋体" w:eastAsia="宋体" w:cs="宋体"/>
          <w:sz w:val="24"/>
          <w:szCs w:val="24"/>
          <w:highlight w:val="none"/>
        </w:rPr>
        <w:t>3.货物在交付甲方前发生的风险均由乙方负责。</w:t>
      </w:r>
    </w:p>
    <w:p>
      <w:pPr>
        <w:pStyle w:val="8"/>
        <w:adjustRightInd w:val="0"/>
        <w:snapToGrid w:val="0"/>
        <w:spacing w:line="360" w:lineRule="exact"/>
        <w:ind w:right="26" w:firstLine="410" w:firstLineChars="171"/>
        <w:rPr>
          <w:rFonts w:hAnsi="宋体" w:eastAsia="宋体" w:cs="宋体"/>
          <w:spacing w:val="-8"/>
          <w:sz w:val="24"/>
          <w:szCs w:val="24"/>
          <w:highlight w:val="none"/>
        </w:rPr>
      </w:pPr>
      <w:r>
        <w:rPr>
          <w:rFonts w:hint="eastAsia" w:hAnsi="宋体" w:eastAsia="宋体" w:cs="宋体"/>
          <w:sz w:val="24"/>
          <w:szCs w:val="24"/>
          <w:highlight w:val="none"/>
        </w:rPr>
        <w:t>4.货</w:t>
      </w:r>
      <w:r>
        <w:rPr>
          <w:rFonts w:hint="eastAsia" w:hAnsi="宋体" w:eastAsia="宋体" w:cs="宋体"/>
          <w:spacing w:val="-8"/>
          <w:sz w:val="24"/>
          <w:szCs w:val="24"/>
          <w:highlight w:val="none"/>
        </w:rPr>
        <w:t>物在规定的交付期限内由乙方送达甲方指定的地点视为交付，乙方同时需通知甲方货物已送达。</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第十三条　违约责任</w:t>
      </w:r>
    </w:p>
    <w:p>
      <w:pPr>
        <w:adjustRightInd w:val="0"/>
        <w:snapToGrid w:val="0"/>
        <w:spacing w:line="360" w:lineRule="exact"/>
        <w:ind w:firstLine="528" w:firstLineChars="220"/>
        <w:rPr>
          <w:rFonts w:ascii="宋体" w:hAnsi="宋体"/>
          <w:sz w:val="24"/>
          <w:highlight w:val="none"/>
        </w:rPr>
      </w:pPr>
      <w:r>
        <w:rPr>
          <w:rFonts w:hint="eastAsia" w:ascii="宋体" w:hAnsi="宋体"/>
          <w:sz w:val="24"/>
          <w:highlight w:val="none"/>
        </w:rPr>
        <w:t xml:space="preserve">1.乙方所提供的货物质量不合格的，应及时更换，更换不及时的按逾期交货处罚；因质量问题甲方不同意接收的或特殊情况甲方同意接收的，乙方应向甲方支付违约货款额 5%违约金并赔偿甲方经济损失。                                       </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2.乙方提供的货物如侵犯了第三方合法权益而引发的任何纠纷或诉讼，均由乙方负责交涉并承担全部责任。</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3.因包装、运输引起的货物损坏，按质量不合格处罚。</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 xml:space="preserve">4.甲方无故延期接收货物、乙方逾期交货的，每天向对方偿付违约货款额 </w:t>
      </w:r>
      <w:r>
        <w:rPr>
          <w:rFonts w:hint="eastAsia" w:ascii="宋体" w:hAnsi="宋体"/>
          <w:sz w:val="24"/>
          <w:highlight w:val="none"/>
          <w:u w:val="single"/>
        </w:rPr>
        <w:t xml:space="preserve">   </w:t>
      </w:r>
      <w:r>
        <w:rPr>
          <w:rFonts w:hint="eastAsia" w:ascii="宋体" w:hAnsi="宋体"/>
          <w:sz w:val="24"/>
          <w:highlight w:val="none"/>
        </w:rPr>
        <w:t>违约金，但违约金累计不得超过违约货款额</w:t>
      </w:r>
      <w:r>
        <w:rPr>
          <w:rFonts w:hint="eastAsia" w:ascii="宋体" w:hAnsi="宋体"/>
          <w:sz w:val="24"/>
          <w:highlight w:val="none"/>
          <w:u w:val="single"/>
        </w:rPr>
        <w:t xml:space="preserve">    </w:t>
      </w:r>
      <w:r>
        <w:rPr>
          <w:rFonts w:hint="eastAsia" w:ascii="宋体" w:hAnsi="宋体"/>
          <w:sz w:val="24"/>
          <w:highlight w:val="none"/>
        </w:rPr>
        <w:t>，超过</w:t>
      </w:r>
      <w:r>
        <w:rPr>
          <w:rFonts w:hint="eastAsia" w:ascii="宋体" w:hAnsi="宋体"/>
          <w:sz w:val="24"/>
          <w:highlight w:val="none"/>
          <w:u w:val="single"/>
        </w:rPr>
        <w:t xml:space="preserve">   </w:t>
      </w:r>
      <w:r>
        <w:rPr>
          <w:rFonts w:hint="eastAsia" w:ascii="宋体" w:hAnsi="宋体"/>
          <w:sz w:val="24"/>
          <w:highlight w:val="none"/>
        </w:rPr>
        <w:t>天对方有权解除合同，违约方承担因此给对方造成经济损失；甲方延期付货款的，每天向乙方偿付延期货款额</w:t>
      </w:r>
      <w:r>
        <w:rPr>
          <w:rFonts w:hint="eastAsia" w:ascii="宋体" w:hAnsi="宋体"/>
          <w:sz w:val="24"/>
          <w:highlight w:val="none"/>
          <w:u w:val="single"/>
        </w:rPr>
        <w:t xml:space="preserve">    </w:t>
      </w:r>
      <w:r>
        <w:rPr>
          <w:rFonts w:hint="eastAsia" w:ascii="宋体" w:hAnsi="宋体"/>
          <w:sz w:val="24"/>
          <w:highlight w:val="none"/>
        </w:rPr>
        <w:t>滞纳金，但滞纳金累计不得超过延期货款额</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5.乙方未按本合同和响应文件中规定的服务承诺提供售后服务的，乙方应按本合同合计金额</w:t>
      </w:r>
      <w:r>
        <w:rPr>
          <w:rFonts w:hint="eastAsia" w:ascii="宋体" w:hAnsi="宋体"/>
          <w:sz w:val="24"/>
          <w:highlight w:val="none"/>
          <w:u w:val="single"/>
        </w:rPr>
        <w:t xml:space="preserve"> 5%</w:t>
      </w:r>
      <w:r>
        <w:rPr>
          <w:rFonts w:hint="eastAsia" w:ascii="宋体" w:hAnsi="宋体"/>
          <w:sz w:val="24"/>
          <w:highlight w:val="none"/>
        </w:rPr>
        <w:t>向甲方支付违约金。</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6.其它违约行为按违约货款额5%收取违约金并赔偿经济损失。</w:t>
      </w:r>
    </w:p>
    <w:p>
      <w:pPr>
        <w:pStyle w:val="8"/>
        <w:adjustRightInd w:val="0"/>
        <w:snapToGrid w:val="0"/>
        <w:spacing w:line="360" w:lineRule="exact"/>
        <w:ind w:firstLine="472" w:firstLineChars="196"/>
        <w:rPr>
          <w:rFonts w:hAnsi="宋体" w:eastAsia="宋体" w:cs="宋体"/>
          <w:b/>
          <w:sz w:val="24"/>
          <w:szCs w:val="24"/>
          <w:highlight w:val="none"/>
        </w:rPr>
      </w:pPr>
      <w:r>
        <w:rPr>
          <w:rFonts w:hint="eastAsia" w:hAnsi="宋体" w:eastAsia="宋体" w:cs="宋体"/>
          <w:b/>
          <w:sz w:val="24"/>
          <w:szCs w:val="24"/>
          <w:highlight w:val="none"/>
        </w:rPr>
        <w:t>第十四条、不可抗力事件处理</w:t>
      </w:r>
    </w:p>
    <w:p>
      <w:pPr>
        <w:pStyle w:val="8"/>
        <w:adjustRightInd w:val="0"/>
        <w:snapToGrid w:val="0"/>
        <w:spacing w:line="36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1.在合同有效期内，任何一方因不可抗力事件导致不能履行合同，则合同履行期可延长，其延长期与不可抗力影响期相同。</w:t>
      </w:r>
    </w:p>
    <w:p>
      <w:pPr>
        <w:pStyle w:val="8"/>
        <w:adjustRightInd w:val="0"/>
        <w:snapToGrid w:val="0"/>
        <w:spacing w:line="36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2.不可抗力事件发生后，应立即通知对方，并寄送有关权威机构出具的证明。</w:t>
      </w:r>
    </w:p>
    <w:p>
      <w:pPr>
        <w:pStyle w:val="8"/>
        <w:adjustRightInd w:val="0"/>
        <w:snapToGrid w:val="0"/>
        <w:spacing w:line="36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3.不可抗力事件延续一百二十天以上，双方应通过友好协商，确定是否继续履行合同。</w:t>
      </w:r>
    </w:p>
    <w:p>
      <w:pPr>
        <w:adjustRightInd w:val="0"/>
        <w:snapToGrid w:val="0"/>
        <w:spacing w:line="360" w:lineRule="exact"/>
        <w:ind w:firstLine="482" w:firstLineChars="200"/>
        <w:rPr>
          <w:rFonts w:ascii="宋体" w:hAnsi="宋体" w:eastAsia="宋体" w:cs="宋体"/>
          <w:sz w:val="24"/>
          <w:highlight w:val="none"/>
        </w:rPr>
      </w:pPr>
      <w:r>
        <w:rPr>
          <w:rFonts w:hint="eastAsia" w:ascii="宋体" w:hAnsi="宋体" w:eastAsia="宋体" w:cs="宋体"/>
          <w:b/>
          <w:sz w:val="24"/>
          <w:highlight w:val="none"/>
        </w:rPr>
        <w:t>第十五条  合同争议解决</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1.因履行本合同引起的或与本合同有关的争议，甲乙双方应首先通过友好协商解决，如果协商不能解决，可向甲方所在地的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b/>
          <w:sz w:val="24"/>
          <w:highlight w:val="none"/>
        </w:rPr>
        <w:t>（注：由甲乙双方约定选择向仲裁委员会申请仲裁或者向人民法院提起诉讼的其中一种方式处理合同争议）</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2.仲裁或诉讼期间，本合同继续履行。</w:t>
      </w:r>
    </w:p>
    <w:p>
      <w:pPr>
        <w:pStyle w:val="8"/>
        <w:adjustRightInd w:val="0"/>
        <w:snapToGrid w:val="0"/>
        <w:spacing w:line="360" w:lineRule="exact"/>
        <w:ind w:firstLine="472" w:firstLineChars="196"/>
        <w:rPr>
          <w:rFonts w:hAnsi="宋体" w:eastAsia="宋体" w:cs="宋体"/>
          <w:b/>
          <w:sz w:val="24"/>
          <w:szCs w:val="24"/>
          <w:highlight w:val="none"/>
        </w:rPr>
      </w:pPr>
      <w:r>
        <w:rPr>
          <w:rFonts w:hint="eastAsia" w:hAnsi="宋体" w:eastAsia="宋体" w:cs="宋体"/>
          <w:b/>
          <w:sz w:val="24"/>
          <w:szCs w:val="24"/>
          <w:highlight w:val="none"/>
        </w:rPr>
        <w:t>第十六条、诉讼</w:t>
      </w:r>
    </w:p>
    <w:p>
      <w:pPr>
        <w:pStyle w:val="8"/>
        <w:adjustRightInd w:val="0"/>
        <w:snapToGrid w:val="0"/>
        <w:spacing w:line="360" w:lineRule="exact"/>
        <w:ind w:firstLine="410" w:firstLineChars="171"/>
        <w:rPr>
          <w:rFonts w:hAnsi="宋体" w:eastAsia="宋体" w:cs="宋体"/>
          <w:sz w:val="24"/>
          <w:szCs w:val="24"/>
          <w:highlight w:val="none"/>
        </w:rPr>
      </w:pPr>
      <w:r>
        <w:rPr>
          <w:rFonts w:hint="eastAsia" w:hAnsi="宋体" w:eastAsia="宋体" w:cs="宋体"/>
          <w:sz w:val="24"/>
          <w:szCs w:val="24"/>
          <w:highlight w:val="none"/>
        </w:rPr>
        <w:t>双方在执行合同中所发生的一切争议，应通过协商解决。如果协商不能解决，可向仲裁委员会申请仲裁或向人民法院提起诉讼。</w:t>
      </w:r>
    </w:p>
    <w:p>
      <w:pPr>
        <w:pStyle w:val="8"/>
        <w:adjustRightInd w:val="0"/>
        <w:snapToGrid w:val="0"/>
        <w:spacing w:line="360" w:lineRule="exact"/>
        <w:ind w:firstLine="472" w:firstLineChars="196"/>
        <w:rPr>
          <w:rFonts w:hAnsi="宋体" w:eastAsia="宋体" w:cs="宋体"/>
          <w:b/>
          <w:sz w:val="24"/>
          <w:szCs w:val="24"/>
          <w:highlight w:val="none"/>
        </w:rPr>
      </w:pPr>
      <w:r>
        <w:rPr>
          <w:rFonts w:hint="eastAsia" w:hAnsi="宋体" w:eastAsia="宋体" w:cs="宋体"/>
          <w:b/>
          <w:sz w:val="24"/>
          <w:szCs w:val="24"/>
          <w:highlight w:val="none"/>
        </w:rPr>
        <w:t>第十七条、合同生效及其它</w:t>
      </w:r>
    </w:p>
    <w:p>
      <w:pPr>
        <w:pStyle w:val="8"/>
        <w:adjustRightInd w:val="0"/>
        <w:snapToGrid w:val="0"/>
        <w:spacing w:line="360" w:lineRule="exact"/>
        <w:ind w:firstLine="470" w:firstLineChars="195"/>
        <w:rPr>
          <w:rFonts w:hAnsi="宋体" w:eastAsia="宋体" w:cs="宋体"/>
          <w:b/>
          <w:sz w:val="24"/>
          <w:szCs w:val="24"/>
          <w:highlight w:val="none"/>
        </w:rPr>
      </w:pPr>
      <w:r>
        <w:rPr>
          <w:rFonts w:hint="eastAsia" w:hAnsi="宋体" w:eastAsia="宋体" w:cs="宋体"/>
          <w:b/>
          <w:sz w:val="24"/>
          <w:szCs w:val="24"/>
          <w:highlight w:val="none"/>
        </w:rPr>
        <w:t>1.合同经双方法定代表人或授权代表（委托代理人）签字并加盖单位公章后生效。</w:t>
      </w:r>
    </w:p>
    <w:p>
      <w:pPr>
        <w:pStyle w:val="8"/>
        <w:adjustRightInd w:val="0"/>
        <w:snapToGrid w:val="0"/>
        <w:spacing w:line="360" w:lineRule="exact"/>
        <w:ind w:left="1" w:firstLine="470" w:firstLineChars="195"/>
        <w:rPr>
          <w:rFonts w:hAnsi="宋体" w:eastAsia="宋体" w:cs="宋体"/>
          <w:b/>
          <w:sz w:val="24"/>
          <w:szCs w:val="24"/>
          <w:highlight w:val="none"/>
        </w:rPr>
      </w:pPr>
      <w:r>
        <w:rPr>
          <w:rFonts w:hint="eastAsia" w:hAnsi="宋体" w:eastAsia="宋体" w:cs="宋体"/>
          <w:b/>
          <w:sz w:val="24"/>
          <w:szCs w:val="24"/>
          <w:highlight w:val="none"/>
        </w:rPr>
        <w:t>2.合同执行中涉及采购资金和采购内容修改或补充的，须经北海市财政局（政府采购监督管理科）审批，并签书面补充协议报北海市财政局（政府采购监督管理科）备案，方可作为主合同不可分割的一部分。</w:t>
      </w:r>
    </w:p>
    <w:p>
      <w:pPr>
        <w:pStyle w:val="8"/>
        <w:adjustRightInd w:val="0"/>
        <w:snapToGrid w:val="0"/>
        <w:spacing w:line="360" w:lineRule="exact"/>
        <w:ind w:firstLine="472" w:firstLineChars="196"/>
        <w:rPr>
          <w:rFonts w:hAnsi="宋体" w:eastAsia="宋体" w:cs="宋体"/>
          <w:b/>
          <w:sz w:val="24"/>
          <w:szCs w:val="24"/>
          <w:highlight w:val="none"/>
        </w:rPr>
      </w:pPr>
      <w:r>
        <w:rPr>
          <w:rFonts w:hint="eastAsia" w:hAnsi="宋体" w:eastAsia="宋体" w:cs="宋体"/>
          <w:b/>
          <w:sz w:val="24"/>
          <w:szCs w:val="24"/>
          <w:highlight w:val="none"/>
        </w:rPr>
        <w:t>3.本合同未尽事宜，遵照《合同法》有关条文执行。</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第十八条　合同的变更、终止与转让</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1.除《中华人民共和国政府采购法》第五十条规定的情形外，本合同一经签订，甲乙双方不得擅自变更、中止或终止。</w:t>
      </w:r>
    </w:p>
    <w:p>
      <w:pPr>
        <w:pStyle w:val="8"/>
        <w:adjustRightInd w:val="0"/>
        <w:snapToGrid w:val="0"/>
        <w:spacing w:line="360" w:lineRule="exact"/>
        <w:ind w:firstLine="470" w:firstLineChars="196"/>
        <w:rPr>
          <w:rFonts w:hAnsi="宋体" w:eastAsia="宋体" w:cs="宋体"/>
          <w:b/>
          <w:sz w:val="24"/>
          <w:szCs w:val="24"/>
          <w:highlight w:val="none"/>
        </w:rPr>
      </w:pPr>
      <w:r>
        <w:rPr>
          <w:rFonts w:hint="eastAsia" w:hAnsi="宋体" w:eastAsia="宋体" w:cs="宋体"/>
          <w:sz w:val="24"/>
          <w:szCs w:val="24"/>
          <w:highlight w:val="none"/>
        </w:rPr>
        <w:t>2.乙方不得擅自转让（无进口资格的供应商委托进口货物除外）其应履行的合同义务。</w:t>
      </w:r>
    </w:p>
    <w:p>
      <w:pPr>
        <w:adjustRightInd w:val="0"/>
        <w:snapToGrid w:val="0"/>
        <w:spacing w:line="36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第十九条　签订本合同依据</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1.谈判文件；</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2.乙方提供的响应文件；</w:t>
      </w:r>
    </w:p>
    <w:p>
      <w:pPr>
        <w:adjustRightInd w:val="0"/>
        <w:snapToGrid w:val="0"/>
        <w:spacing w:line="3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3.谈判书； </w:t>
      </w:r>
    </w:p>
    <w:p>
      <w:pPr>
        <w:adjustRightInd w:val="0"/>
        <w:snapToGrid w:val="0"/>
        <w:spacing w:line="36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4.成交通知书。</w:t>
      </w:r>
    </w:p>
    <w:p>
      <w:pPr>
        <w:adjustRightInd w:val="0"/>
        <w:snapToGrid w:val="0"/>
        <w:spacing w:line="360" w:lineRule="exact"/>
        <w:ind w:firstLine="482" w:firstLineChars="200"/>
        <w:rPr>
          <w:rFonts w:ascii="宋体" w:hAnsi="宋体"/>
          <w:sz w:val="24"/>
          <w:highlight w:val="none"/>
        </w:rPr>
      </w:pPr>
      <w:r>
        <w:rPr>
          <w:rFonts w:hint="eastAsia" w:ascii="宋体" w:hAnsi="宋体" w:eastAsia="宋体" w:cs="宋体"/>
          <w:b/>
          <w:sz w:val="24"/>
          <w:highlight w:val="none"/>
        </w:rPr>
        <w:t>第二十条　</w:t>
      </w:r>
      <w:r>
        <w:rPr>
          <w:rFonts w:hint="eastAsia" w:ascii="宋体" w:hAnsi="宋体"/>
          <w:sz w:val="24"/>
          <w:highlight w:val="none"/>
        </w:rPr>
        <w:t>本合同一式伍份，具有同等法律效力，采购代理机构一份，甲乙双方各贰份（可根据需要另增加）。</w:t>
      </w:r>
    </w:p>
    <w:p>
      <w:pPr>
        <w:adjustRightInd w:val="0"/>
        <w:snapToGrid w:val="0"/>
        <w:spacing w:line="360" w:lineRule="exact"/>
        <w:ind w:firstLine="480" w:firstLineChars="200"/>
        <w:rPr>
          <w:rFonts w:ascii="宋体" w:hAnsi="宋体"/>
          <w:sz w:val="24"/>
          <w:highlight w:val="none"/>
        </w:rPr>
      </w:pPr>
      <w:r>
        <w:rPr>
          <w:rFonts w:hint="eastAsia" w:ascii="宋体" w:hAnsi="宋体"/>
          <w:sz w:val="24"/>
          <w:highlight w:val="none"/>
        </w:rPr>
        <w:t>本合同甲乙双方签字盖章后生效</w:t>
      </w:r>
    </w:p>
    <w:tbl>
      <w:tblPr>
        <w:tblStyle w:val="1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eastAsia="宋体" w:cs="宋体"/>
                <w:sz w:val="24"/>
                <w:highlight w:val="none"/>
              </w:rPr>
            </w:pPr>
            <w:r>
              <w:rPr>
                <w:rFonts w:hint="eastAsia" w:ascii="宋体" w:hAnsi="宋体" w:eastAsia="宋体" w:cs="宋体"/>
                <w:sz w:val="24"/>
                <w:highlight w:val="none"/>
              </w:rPr>
              <w:t xml:space="preserve">甲方（章）           </w:t>
            </w:r>
          </w:p>
          <w:p>
            <w:pPr>
              <w:snapToGrid w:val="0"/>
              <w:spacing w:line="400" w:lineRule="exact"/>
              <w:rPr>
                <w:rFonts w:ascii="宋体" w:hAnsi="宋体" w:eastAsia="宋体" w:cs="宋体"/>
                <w:sz w:val="24"/>
                <w:highlight w:val="none"/>
              </w:rPr>
            </w:pPr>
          </w:p>
          <w:p>
            <w:pPr>
              <w:snapToGrid w:val="0"/>
              <w:spacing w:line="400" w:lineRule="exact"/>
              <w:ind w:firstLine="1080" w:firstLineChars="450"/>
              <w:jc w:val="right"/>
              <w:rPr>
                <w:rFonts w:ascii="宋体" w:hAnsi="宋体" w:eastAsia="宋体" w:cs="宋体"/>
                <w:sz w:val="24"/>
                <w:highlight w:val="none"/>
              </w:rPr>
            </w:pPr>
            <w:r>
              <w:rPr>
                <w:rFonts w:hint="eastAsia" w:ascii="宋体" w:hAnsi="宋体" w:eastAsia="宋体" w:cs="宋体"/>
                <w:sz w:val="24"/>
                <w:highlight w:val="none"/>
              </w:rPr>
              <w:t>年   月   日</w:t>
            </w:r>
          </w:p>
        </w:tc>
        <w:tc>
          <w:tcPr>
            <w:tcW w:w="4517" w:type="dxa"/>
            <w:vAlign w:val="center"/>
          </w:tcPr>
          <w:p>
            <w:pPr>
              <w:snapToGrid w:val="0"/>
              <w:spacing w:line="400" w:lineRule="exact"/>
              <w:rPr>
                <w:rFonts w:ascii="宋体" w:hAnsi="宋体" w:eastAsia="宋体" w:cs="宋体"/>
                <w:sz w:val="24"/>
                <w:highlight w:val="none"/>
              </w:rPr>
            </w:pPr>
            <w:r>
              <w:rPr>
                <w:rFonts w:hint="eastAsia" w:ascii="宋体" w:hAnsi="宋体" w:eastAsia="宋体" w:cs="宋体"/>
                <w:sz w:val="24"/>
                <w:highlight w:val="none"/>
              </w:rPr>
              <w:t xml:space="preserve">乙方（章）              </w:t>
            </w:r>
          </w:p>
          <w:p>
            <w:pPr>
              <w:snapToGrid w:val="0"/>
              <w:spacing w:line="400" w:lineRule="exact"/>
              <w:rPr>
                <w:rFonts w:ascii="宋体" w:hAnsi="宋体" w:eastAsia="宋体" w:cs="宋体"/>
                <w:sz w:val="24"/>
                <w:highlight w:val="none"/>
              </w:rPr>
            </w:pPr>
          </w:p>
          <w:p>
            <w:pPr>
              <w:snapToGrid w:val="0"/>
              <w:spacing w:line="400" w:lineRule="exact"/>
              <w:jc w:val="right"/>
              <w:rPr>
                <w:rFonts w:ascii="宋体" w:hAnsi="宋体" w:eastAsia="宋体" w:cs="宋体"/>
                <w:sz w:val="24"/>
                <w:highlight w:val="none"/>
              </w:rPr>
            </w:pPr>
            <w:r>
              <w:rPr>
                <w:rFonts w:hint="eastAsia" w:ascii="宋体" w:hAnsi="宋体" w:eastAsia="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单位地址：</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法定代表人：</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委托代理人：</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电话：</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电子邮箱：</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开户银行：</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账号：</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邮政编码：</w:t>
            </w:r>
          </w:p>
        </w:tc>
        <w:tc>
          <w:tcPr>
            <w:tcW w:w="4517" w:type="dxa"/>
            <w:vAlign w:val="center"/>
          </w:tcPr>
          <w:p>
            <w:pPr>
              <w:snapToGrid w:val="0"/>
              <w:spacing w:line="320" w:lineRule="exact"/>
              <w:rPr>
                <w:rFonts w:ascii="宋体" w:hAnsi="宋体" w:eastAsia="宋体" w:cs="宋体"/>
                <w:sz w:val="24"/>
                <w:highlight w:val="none"/>
              </w:rPr>
            </w:pPr>
            <w:r>
              <w:rPr>
                <w:rFonts w:hint="eastAsia" w:ascii="宋体" w:hAnsi="宋体" w:eastAsia="宋体" w:cs="宋体"/>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033" w:type="dxa"/>
            <w:gridSpan w:val="2"/>
          </w:tcPr>
          <w:p>
            <w:pPr>
              <w:snapToGrid w:val="0"/>
              <w:spacing w:line="400" w:lineRule="exact"/>
              <w:rPr>
                <w:rFonts w:ascii="宋体" w:hAnsi="宋体" w:eastAsia="宋体" w:cs="宋体"/>
                <w:sz w:val="24"/>
                <w:highlight w:val="none"/>
              </w:rPr>
            </w:pPr>
            <w:r>
              <w:rPr>
                <w:rFonts w:hint="eastAsia" w:ascii="宋体" w:hAnsi="宋体" w:eastAsia="宋体" w:cs="宋体"/>
                <w:sz w:val="24"/>
                <w:highlight w:val="none"/>
              </w:rPr>
              <w:t>经办人：</w:t>
            </w:r>
          </w:p>
          <w:p>
            <w:pPr>
              <w:snapToGrid w:val="0"/>
              <w:spacing w:line="400" w:lineRule="exact"/>
              <w:ind w:firstLine="720" w:firstLineChars="300"/>
              <w:jc w:val="right"/>
              <w:rPr>
                <w:rFonts w:ascii="宋体" w:hAnsi="宋体" w:eastAsia="宋体" w:cs="宋体"/>
                <w:sz w:val="24"/>
                <w:highlight w:val="none"/>
              </w:rPr>
            </w:pPr>
            <w:r>
              <w:rPr>
                <w:rFonts w:hint="eastAsia" w:ascii="宋体" w:hAnsi="宋体" w:eastAsia="宋体" w:cs="宋体"/>
                <w:sz w:val="24"/>
                <w:highlight w:val="none"/>
              </w:rPr>
              <w:t>年    月    日</w:t>
            </w:r>
          </w:p>
        </w:tc>
      </w:tr>
    </w:tbl>
    <w:p>
      <w:pPr>
        <w:widowControl/>
        <w:jc w:val="center"/>
        <w:rPr>
          <w:rFonts w:ascii="宋体" w:hAnsi="宋体" w:eastAsia="宋体" w:cs="宋体"/>
          <w:sz w:val="24"/>
          <w:highlight w:val="none"/>
        </w:rPr>
      </w:pPr>
      <w:bookmarkStart w:id="162" w:name="_Toc1805"/>
      <w:r>
        <w:rPr>
          <w:rFonts w:hint="eastAsia" w:ascii="宋体" w:hAnsi="宋体" w:eastAsia="宋体" w:cs="宋体"/>
          <w:sz w:val="24"/>
          <w:highlight w:val="none"/>
        </w:rPr>
        <w:t>合 同 附 件</w:t>
      </w:r>
      <w:bookmarkEnd w:id="162"/>
    </w:p>
    <w:p>
      <w:pPr>
        <w:snapToGrid w:val="0"/>
        <w:spacing w:after="156" w:afterLines="50"/>
        <w:rPr>
          <w:rFonts w:ascii="宋体" w:hAnsi="宋体" w:eastAsia="宋体" w:cs="宋体"/>
          <w:b/>
          <w:sz w:val="24"/>
          <w:highlight w:val="none"/>
        </w:rPr>
      </w:pPr>
      <w:r>
        <w:rPr>
          <w:rFonts w:hint="eastAsia" w:ascii="宋体" w:hAnsi="宋体" w:eastAsia="宋体" w:cs="宋体"/>
          <w:b/>
          <w:sz w:val="24"/>
          <w:highlight w:val="none"/>
        </w:rPr>
        <w:t>一般货物类</w:t>
      </w:r>
    </w:p>
    <w:tbl>
      <w:tblPr>
        <w:tblStyle w:val="15"/>
        <w:tblW w:w="9185" w:type="dxa"/>
        <w:jc w:val="center"/>
        <w:tblLayout w:type="fixed"/>
        <w:tblCellMar>
          <w:top w:w="0" w:type="dxa"/>
          <w:left w:w="108" w:type="dxa"/>
          <w:bottom w:w="0" w:type="dxa"/>
          <w:right w:w="108" w:type="dxa"/>
        </w:tblCellMar>
      </w:tblPr>
      <w:tblGrid>
        <w:gridCol w:w="4370"/>
        <w:gridCol w:w="4815"/>
      </w:tblGrid>
      <w:tr>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tcPr>
          <w:p>
            <w:pPr>
              <w:snapToGrid w:val="0"/>
              <w:spacing w:before="156" w:beforeLines="50"/>
              <w:rPr>
                <w:rFonts w:ascii="宋体" w:hAnsi="宋体" w:eastAsia="宋体" w:cs="宋体"/>
                <w:sz w:val="24"/>
                <w:highlight w:val="none"/>
              </w:rPr>
            </w:pPr>
            <w:r>
              <w:rPr>
                <w:rFonts w:hint="eastAsia" w:ascii="宋体" w:hAnsi="宋体" w:eastAsia="宋体" w:cs="宋体"/>
                <w:sz w:val="24"/>
                <w:highlight w:val="none"/>
              </w:rPr>
              <w:t>1.供应商承诺具体事项：</w:t>
            </w:r>
          </w:p>
        </w:tc>
      </w:tr>
      <w:tr>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tcPr>
          <w:p>
            <w:pPr>
              <w:snapToGrid w:val="0"/>
              <w:spacing w:before="156" w:beforeLines="50"/>
              <w:rPr>
                <w:rFonts w:ascii="宋体" w:hAnsi="宋体" w:eastAsia="宋体" w:cs="宋体"/>
                <w:sz w:val="24"/>
                <w:highlight w:val="none"/>
              </w:rPr>
            </w:pPr>
            <w:r>
              <w:rPr>
                <w:rFonts w:hint="eastAsia" w:ascii="宋体" w:hAnsi="宋体" w:eastAsia="宋体" w:cs="宋体"/>
                <w:sz w:val="24"/>
                <w:highlight w:val="none"/>
              </w:rPr>
              <w:t>2.售后服务具体事项：</w:t>
            </w:r>
          </w:p>
        </w:tc>
      </w:tr>
      <w:tr>
        <w:tblPrEx>
          <w:tblCellMar>
            <w:top w:w="0" w:type="dxa"/>
            <w:left w:w="108" w:type="dxa"/>
            <w:bottom w:w="0" w:type="dxa"/>
            <w:right w:w="108" w:type="dxa"/>
          </w:tblCellMar>
        </w:tblPrEx>
        <w:trPr>
          <w:trHeight w:val="2710" w:hRule="atLeast"/>
          <w:jc w:val="center"/>
        </w:trPr>
        <w:tc>
          <w:tcPr>
            <w:tcW w:w="9185" w:type="dxa"/>
            <w:gridSpan w:val="2"/>
            <w:tcBorders>
              <w:top w:val="single" w:color="auto" w:sz="4" w:space="0"/>
              <w:left w:val="single" w:color="auto" w:sz="4" w:space="0"/>
              <w:right w:val="single" w:color="auto" w:sz="4" w:space="0"/>
            </w:tcBorders>
          </w:tcPr>
          <w:p>
            <w:pPr>
              <w:snapToGrid w:val="0"/>
              <w:spacing w:before="156" w:beforeLines="50"/>
              <w:rPr>
                <w:rFonts w:ascii="宋体" w:hAnsi="宋体" w:eastAsia="宋体" w:cs="宋体"/>
                <w:sz w:val="24"/>
                <w:highlight w:val="none"/>
              </w:rPr>
            </w:pPr>
            <w:r>
              <w:rPr>
                <w:rFonts w:hint="eastAsia" w:ascii="宋体" w:hAnsi="宋体" w:eastAsia="宋体" w:cs="宋体"/>
                <w:sz w:val="24"/>
                <w:highlight w:val="none"/>
              </w:rPr>
              <w:t>3.保修期责任：</w:t>
            </w:r>
          </w:p>
        </w:tc>
      </w:tr>
      <w:tr>
        <w:tblPrEx>
          <w:tblCellMar>
            <w:top w:w="0" w:type="dxa"/>
            <w:left w:w="108" w:type="dxa"/>
            <w:bottom w:w="0" w:type="dxa"/>
            <w:right w:w="108" w:type="dxa"/>
          </w:tblCellMar>
        </w:tblPrEx>
        <w:trPr>
          <w:trHeight w:val="1810" w:hRule="atLeast"/>
          <w:jc w:val="center"/>
        </w:trPr>
        <w:tc>
          <w:tcPr>
            <w:tcW w:w="9185" w:type="dxa"/>
            <w:gridSpan w:val="2"/>
            <w:tcBorders>
              <w:top w:val="single" w:color="auto" w:sz="4" w:space="0"/>
              <w:left w:val="single" w:color="auto" w:sz="4" w:space="0"/>
              <w:right w:val="single" w:color="auto" w:sz="4" w:space="0"/>
            </w:tcBorders>
          </w:tcPr>
          <w:p>
            <w:pPr>
              <w:snapToGrid w:val="0"/>
              <w:spacing w:before="156" w:beforeLines="50"/>
              <w:rPr>
                <w:rFonts w:ascii="宋体" w:hAnsi="宋体" w:eastAsia="宋体" w:cs="宋体"/>
                <w:sz w:val="24"/>
                <w:highlight w:val="none"/>
              </w:rPr>
            </w:pPr>
            <w:r>
              <w:rPr>
                <w:rFonts w:hint="eastAsia" w:ascii="宋体" w:hAnsi="宋体" w:eastAsia="宋体" w:cs="宋体"/>
                <w:sz w:val="24"/>
                <w:highlight w:val="none"/>
              </w:rPr>
              <w:t>4.其他具体事项：</w:t>
            </w:r>
          </w:p>
        </w:tc>
      </w:tr>
      <w:tr>
        <w:tblPrEx>
          <w:tblCellMar>
            <w:top w:w="0" w:type="dxa"/>
            <w:left w:w="108" w:type="dxa"/>
            <w:bottom w:w="0" w:type="dxa"/>
            <w:right w:w="108" w:type="dxa"/>
          </w:tblCellMar>
        </w:tblPrEx>
        <w:trPr>
          <w:trHeight w:val="2577" w:hRule="atLeast"/>
          <w:jc w:val="center"/>
        </w:trPr>
        <w:tc>
          <w:tcPr>
            <w:tcW w:w="4370" w:type="dxa"/>
            <w:tcBorders>
              <w:top w:val="single" w:color="auto" w:sz="4" w:space="0"/>
              <w:left w:val="single" w:color="auto" w:sz="4" w:space="0"/>
              <w:bottom w:val="single" w:color="auto" w:sz="4" w:space="0"/>
              <w:right w:val="single" w:color="auto" w:sz="4" w:space="0"/>
            </w:tcBorders>
            <w:vAlign w:val="center"/>
          </w:tcPr>
          <w:p>
            <w:pPr>
              <w:snapToGrid w:val="0"/>
              <w:ind w:firstLine="422"/>
              <w:rPr>
                <w:rFonts w:ascii="宋体" w:hAnsi="宋体" w:eastAsia="宋体" w:cs="宋体"/>
                <w:sz w:val="24"/>
                <w:highlight w:val="none"/>
              </w:rPr>
            </w:pPr>
            <w:r>
              <w:rPr>
                <w:rFonts w:hint="eastAsia" w:ascii="宋体" w:hAnsi="宋体" w:eastAsia="宋体" w:cs="宋体"/>
                <w:sz w:val="24"/>
                <w:highlight w:val="none"/>
              </w:rPr>
              <w:t>甲方（章）</w:t>
            </w: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r>
              <w:rPr>
                <w:rFonts w:hint="eastAsia" w:ascii="宋体" w:hAnsi="宋体" w:eastAsia="宋体" w:cs="宋体"/>
                <w:sz w:val="24"/>
                <w:highlight w:val="none"/>
              </w:rPr>
              <w:t xml:space="preserve">                 年   月   日 </w:t>
            </w:r>
          </w:p>
        </w:tc>
        <w:tc>
          <w:tcPr>
            <w:tcW w:w="4815" w:type="dxa"/>
            <w:tcBorders>
              <w:top w:val="single" w:color="auto" w:sz="4" w:space="0"/>
              <w:left w:val="single" w:color="auto" w:sz="4" w:space="0"/>
              <w:bottom w:val="single" w:color="auto" w:sz="4" w:space="0"/>
              <w:right w:val="single" w:color="auto" w:sz="4" w:space="0"/>
            </w:tcBorders>
            <w:vAlign w:val="center"/>
          </w:tcPr>
          <w:p>
            <w:pPr>
              <w:snapToGrid w:val="0"/>
              <w:ind w:firstLine="422"/>
              <w:rPr>
                <w:rFonts w:ascii="宋体" w:hAnsi="宋体" w:eastAsia="宋体" w:cs="宋体"/>
                <w:sz w:val="24"/>
                <w:highlight w:val="none"/>
              </w:rPr>
            </w:pPr>
            <w:r>
              <w:rPr>
                <w:rFonts w:hint="eastAsia" w:ascii="宋体" w:hAnsi="宋体" w:eastAsia="宋体" w:cs="宋体"/>
                <w:sz w:val="24"/>
                <w:highlight w:val="none"/>
              </w:rPr>
              <w:t>乙方（章）</w:t>
            </w: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p>
          <w:p>
            <w:pPr>
              <w:snapToGrid w:val="0"/>
              <w:ind w:firstLine="422"/>
              <w:rPr>
                <w:rFonts w:ascii="宋体" w:hAnsi="宋体" w:eastAsia="宋体" w:cs="宋体"/>
                <w:sz w:val="24"/>
                <w:highlight w:val="none"/>
              </w:rPr>
            </w:pPr>
            <w:r>
              <w:rPr>
                <w:rFonts w:hint="eastAsia" w:ascii="宋体" w:hAnsi="宋体" w:eastAsia="宋体" w:cs="宋体"/>
                <w:sz w:val="24"/>
                <w:highlight w:val="none"/>
              </w:rPr>
              <w:t xml:space="preserve">                年   月   日</w:t>
            </w:r>
          </w:p>
        </w:tc>
      </w:tr>
    </w:tbl>
    <w:p>
      <w:pPr>
        <w:snapToGrid w:val="0"/>
        <w:spacing w:before="156" w:beforeLines="50"/>
        <w:rPr>
          <w:rFonts w:ascii="宋体" w:hAnsi="宋体" w:eastAsia="宋体" w:cs="宋体"/>
          <w:sz w:val="24"/>
          <w:highlight w:val="none"/>
        </w:rPr>
      </w:pPr>
      <w:r>
        <w:rPr>
          <w:rFonts w:hint="eastAsia" w:ascii="宋体" w:hAnsi="宋体" w:eastAsia="宋体" w:cs="宋体"/>
          <w:sz w:val="24"/>
          <w:highlight w:val="none"/>
        </w:rPr>
        <w:t xml:space="preserve">  注：售后服务事项填不下时可另加附页</w:t>
      </w:r>
    </w:p>
    <w:p>
      <w:pPr>
        <w:snapToGrid w:val="0"/>
        <w:spacing w:before="156" w:beforeLines="50"/>
        <w:rPr>
          <w:rFonts w:ascii="宋体" w:hAnsi="宋体" w:eastAsia="宋体" w:cs="宋体"/>
          <w:sz w:val="24"/>
          <w:highlight w:val="none"/>
        </w:rPr>
      </w:pPr>
    </w:p>
    <w:p>
      <w:pPr>
        <w:snapToGrid w:val="0"/>
        <w:spacing w:line="600" w:lineRule="exact"/>
        <w:jc w:val="center"/>
        <w:rPr>
          <w:rFonts w:ascii="宋体" w:hAnsi="宋体" w:eastAsia="宋体" w:cs="宋体"/>
          <w:sz w:val="24"/>
          <w:highlight w:val="none"/>
        </w:rPr>
      </w:pPr>
      <w:bookmarkStart w:id="163" w:name="_Toc7635"/>
    </w:p>
    <w:bookmarkEnd w:id="163"/>
    <w:p>
      <w:pPr>
        <w:pStyle w:val="3"/>
        <w:spacing w:before="240" w:after="120" w:line="560" w:lineRule="exact"/>
        <w:jc w:val="center"/>
        <w:rPr>
          <w:rFonts w:ascii="宋体" w:hAnsi="宋体" w:eastAsia="宋体" w:cs="宋体"/>
          <w:highlight w:val="none"/>
        </w:rPr>
      </w:pPr>
      <w:bookmarkStart w:id="164" w:name="_Toc1109"/>
      <w:bookmarkStart w:id="165" w:name="_Toc6923329"/>
      <w:bookmarkStart w:id="166" w:name="_Toc23382"/>
      <w:bookmarkStart w:id="167" w:name="_Toc17222"/>
      <w:bookmarkStart w:id="168" w:name="_Toc10042"/>
    </w:p>
    <w:p>
      <w:pPr>
        <w:rPr>
          <w:rFonts w:ascii="宋体" w:hAnsi="宋体" w:eastAsia="宋体" w:cs="宋体"/>
          <w:highlight w:val="none"/>
        </w:rPr>
      </w:pPr>
      <w:r>
        <w:rPr>
          <w:rFonts w:hint="eastAsia" w:ascii="宋体" w:hAnsi="宋体" w:eastAsia="宋体" w:cs="宋体"/>
          <w:highlight w:val="none"/>
        </w:rPr>
        <w:br w:type="page"/>
      </w:r>
    </w:p>
    <w:p>
      <w:pPr>
        <w:pStyle w:val="3"/>
        <w:spacing w:before="240" w:after="120" w:line="560" w:lineRule="exact"/>
        <w:jc w:val="center"/>
        <w:rPr>
          <w:rFonts w:hAnsi="宋体" w:eastAsia="宋体" w:cs="宋体"/>
          <w:kern w:val="0"/>
          <w:sz w:val="24"/>
          <w:szCs w:val="24"/>
          <w:highlight w:val="none"/>
        </w:rPr>
      </w:pPr>
      <w:r>
        <w:rPr>
          <w:rFonts w:hint="eastAsia" w:ascii="宋体" w:hAnsi="宋体" w:eastAsia="宋体" w:cs="宋体"/>
          <w:highlight w:val="none"/>
        </w:rPr>
        <w:t>第六章  评定标准</w:t>
      </w:r>
      <w:bookmarkEnd w:id="164"/>
      <w:bookmarkEnd w:id="165"/>
      <w:bookmarkEnd w:id="166"/>
      <w:bookmarkEnd w:id="167"/>
      <w:bookmarkEnd w:id="168"/>
    </w:p>
    <w:p>
      <w:pPr>
        <w:pStyle w:val="8"/>
        <w:spacing w:line="380" w:lineRule="exact"/>
        <w:ind w:firstLine="472" w:firstLineChars="196"/>
        <w:rPr>
          <w:rFonts w:hAnsi="宋体" w:eastAsia="宋体" w:cs="宋体"/>
          <w:sz w:val="24"/>
          <w:szCs w:val="24"/>
          <w:highlight w:val="none"/>
        </w:rPr>
      </w:pPr>
      <w:bookmarkStart w:id="169" w:name="_Toc24215"/>
      <w:r>
        <w:rPr>
          <w:rFonts w:hint="eastAsia" w:hAnsi="宋体" w:eastAsia="宋体" w:cs="宋体"/>
          <w:b/>
          <w:sz w:val="24"/>
          <w:szCs w:val="24"/>
          <w:highlight w:val="none"/>
        </w:rPr>
        <w:t>一、评审原则</w:t>
      </w:r>
      <w:bookmarkEnd w:id="169"/>
    </w:p>
    <w:p>
      <w:pPr>
        <w:pStyle w:val="8"/>
        <w:spacing w:line="380" w:lineRule="exact"/>
        <w:ind w:firstLine="360" w:firstLineChars="150"/>
        <w:rPr>
          <w:rFonts w:hAnsi="宋体" w:eastAsia="宋体" w:cs="宋体"/>
          <w:sz w:val="24"/>
          <w:szCs w:val="24"/>
          <w:highlight w:val="none"/>
        </w:rPr>
      </w:pPr>
      <w:r>
        <w:rPr>
          <w:rFonts w:hint="eastAsia" w:hAnsi="宋体" w:eastAsia="宋体" w:cs="宋体"/>
          <w:bCs/>
          <w:sz w:val="24"/>
          <w:szCs w:val="24"/>
          <w:highlight w:val="none"/>
        </w:rPr>
        <w:t>（一）谈判小组</w:t>
      </w:r>
      <w:r>
        <w:rPr>
          <w:rFonts w:hint="eastAsia" w:hAnsi="宋体" w:eastAsia="宋体" w:cs="宋体"/>
          <w:sz w:val="24"/>
          <w:szCs w:val="24"/>
          <w:highlight w:val="none"/>
        </w:rPr>
        <w:t>成员</w:t>
      </w:r>
      <w:r>
        <w:rPr>
          <w:rFonts w:hint="eastAsia" w:hAnsi="宋体" w:eastAsia="宋体" w:cs="宋体"/>
          <w:bCs/>
          <w:sz w:val="24"/>
          <w:szCs w:val="24"/>
          <w:highlight w:val="none"/>
        </w:rPr>
        <w:t>组成：本竞争性谈判采购项目的</w:t>
      </w:r>
      <w:r>
        <w:rPr>
          <w:rFonts w:hint="eastAsia" w:hAnsi="宋体" w:eastAsia="宋体" w:cs="宋体"/>
          <w:sz w:val="24"/>
          <w:szCs w:val="24"/>
          <w:highlight w:val="none"/>
        </w:rPr>
        <w:t>谈判小组由采购人代表和评审专家共三人以上的单数组成（达到公开招标数额标准以上的项目由五人以上单数组成），其中评审专家的人数不得少于谈判小组成员总数的三分之二。</w:t>
      </w:r>
    </w:p>
    <w:p>
      <w:pPr>
        <w:pStyle w:val="8"/>
        <w:spacing w:line="38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(二)  评审依据：以竞争性谈判文件和竞争性谈判响应文件为依据。</w:t>
      </w:r>
    </w:p>
    <w:p>
      <w:pPr>
        <w:pStyle w:val="8"/>
        <w:spacing w:line="380" w:lineRule="exact"/>
        <w:ind w:firstLine="472" w:firstLineChars="196"/>
        <w:rPr>
          <w:rFonts w:hAnsi="宋体" w:eastAsia="宋体" w:cs="宋体"/>
          <w:b/>
          <w:sz w:val="24"/>
          <w:szCs w:val="24"/>
          <w:highlight w:val="none"/>
        </w:rPr>
      </w:pPr>
      <w:bookmarkStart w:id="170" w:name="_Toc21098"/>
      <w:r>
        <w:rPr>
          <w:rFonts w:hint="eastAsia" w:hAnsi="宋体" w:eastAsia="宋体" w:cs="宋体"/>
          <w:b/>
          <w:sz w:val="24"/>
          <w:szCs w:val="24"/>
          <w:highlight w:val="none"/>
        </w:rPr>
        <w:t>二、评审办法</w:t>
      </w:r>
      <w:bookmarkEnd w:id="170"/>
    </w:p>
    <w:p>
      <w:pPr>
        <w:pStyle w:val="8"/>
        <w:spacing w:line="380" w:lineRule="exact"/>
        <w:ind w:firstLine="480" w:firstLineChars="200"/>
        <w:rPr>
          <w:rFonts w:hAnsi="宋体" w:eastAsia="宋体" w:cs="宋体"/>
          <w:kern w:val="0"/>
          <w:sz w:val="24"/>
          <w:szCs w:val="24"/>
          <w:highlight w:val="none"/>
        </w:rPr>
      </w:pPr>
      <w:r>
        <w:rPr>
          <w:rFonts w:hint="eastAsia" w:hAnsi="宋体" w:eastAsia="宋体" w:cs="宋体"/>
          <w:kern w:val="0"/>
          <w:sz w:val="24"/>
          <w:szCs w:val="24"/>
          <w:highlight w:val="none"/>
        </w:rPr>
        <w:t>谈判小组将以竞争性谈判文件为依据，对资格性和符合性检查合格的竞争性谈判响应文件进行评审，在质量和服务均能满足竞争性谈判文件实质性响应要求的供应商中，按下列程序确定成交供应商：</w:t>
      </w:r>
    </w:p>
    <w:p>
      <w:pPr>
        <w:pStyle w:val="8"/>
        <w:spacing w:line="380" w:lineRule="exact"/>
        <w:ind w:firstLine="480" w:firstLineChars="200"/>
        <w:rPr>
          <w:rFonts w:hAnsi="宋体" w:eastAsia="宋体" w:cs="宋体"/>
          <w:sz w:val="24"/>
          <w:szCs w:val="24"/>
          <w:highlight w:val="none"/>
        </w:rPr>
      </w:pPr>
      <w:r>
        <w:rPr>
          <w:rFonts w:hint="eastAsia" w:hAnsi="宋体" w:eastAsia="宋体" w:cs="宋体"/>
          <w:kern w:val="0"/>
          <w:sz w:val="24"/>
          <w:szCs w:val="24"/>
          <w:highlight w:val="none"/>
        </w:rPr>
        <w:t>1.</w:t>
      </w:r>
      <w:r>
        <w:rPr>
          <w:rFonts w:hint="eastAsia" w:hAnsi="宋体" w:eastAsia="宋体" w:cs="宋体"/>
          <w:sz w:val="24"/>
          <w:szCs w:val="24"/>
          <w:highlight w:val="none"/>
        </w:rPr>
        <w:t xml:space="preserve"> 竞争性谈判的</w:t>
      </w:r>
      <w:r>
        <w:rPr>
          <w:rFonts w:hint="eastAsia" w:hAnsi="宋体" w:eastAsia="宋体" w:cs="宋体"/>
          <w:b/>
          <w:bCs/>
          <w:sz w:val="24"/>
          <w:szCs w:val="24"/>
          <w:highlight w:val="none"/>
        </w:rPr>
        <w:t>主要产品按</w:t>
      </w:r>
      <w:r>
        <w:rPr>
          <w:rFonts w:hint="eastAsia" w:hAnsi="宋体" w:eastAsia="宋体" w:cs="宋体"/>
          <w:sz w:val="24"/>
          <w:szCs w:val="24"/>
          <w:highlight w:val="none"/>
        </w:rPr>
        <w:t>《政府采购促进中小企业发展暂行办法》（财库[2011]181号）认定为小型和微型企业</w:t>
      </w:r>
      <w:r>
        <w:rPr>
          <w:rFonts w:hint="eastAsia" w:hAnsi="宋体" w:eastAsia="宋体" w:cs="宋体"/>
          <w:b/>
          <w:bCs/>
          <w:sz w:val="24"/>
          <w:szCs w:val="24"/>
          <w:highlight w:val="none"/>
        </w:rPr>
        <w:t>产品</w:t>
      </w:r>
      <w:r>
        <w:rPr>
          <w:rFonts w:hint="eastAsia" w:hAnsi="宋体" w:eastAsia="宋体" w:cs="宋体"/>
          <w:sz w:val="24"/>
          <w:szCs w:val="24"/>
          <w:highlight w:val="none"/>
        </w:rPr>
        <w:t>的（提供《中小企业声明函》等证明材料），对最后报价给予10%的扣除，扣除后的价格为评标价，即评标价=最后报价×（1-10%）；大中型企业与小型、微型企业组成联合体参与竞争性谈判，其中小型、微型企业的协议合同金额占到联合体协议合同总金额30%以上的，联合体最后价给予2%的扣除，扣除后的价格为评标价，即评标价=最后报价×（1-2%）；除上述情况外，评标价=最后报价。</w:t>
      </w:r>
    </w:p>
    <w:p>
      <w:pPr>
        <w:pStyle w:val="8"/>
        <w:spacing w:line="380" w:lineRule="exact"/>
        <w:ind w:firstLine="480" w:firstLineChars="200"/>
        <w:outlineLvl w:val="0"/>
        <w:rPr>
          <w:rFonts w:hAnsi="宋体" w:eastAsia="宋体" w:cs="宋体"/>
          <w:sz w:val="24"/>
          <w:szCs w:val="24"/>
          <w:highlight w:val="none"/>
        </w:rPr>
      </w:pPr>
      <w:bookmarkStart w:id="171" w:name="_Toc6923330"/>
      <w:r>
        <w:rPr>
          <w:rFonts w:hint="eastAsia" w:hAnsi="宋体" w:eastAsia="宋体" w:cs="宋体"/>
          <w:sz w:val="24"/>
          <w:szCs w:val="24"/>
          <w:highlight w:val="none"/>
        </w:rPr>
        <w:t>竞争性谈判的</w:t>
      </w:r>
      <w:r>
        <w:rPr>
          <w:rFonts w:hint="eastAsia" w:hAnsi="宋体" w:eastAsia="宋体" w:cs="宋体"/>
          <w:b/>
          <w:bCs/>
          <w:sz w:val="24"/>
          <w:szCs w:val="24"/>
          <w:highlight w:val="none"/>
        </w:rPr>
        <w:t>主要产品</w:t>
      </w:r>
      <w:r>
        <w:rPr>
          <w:rFonts w:hint="eastAsia" w:hAnsi="宋体" w:eastAsia="宋体" w:cs="宋体"/>
          <w:sz w:val="24"/>
          <w:szCs w:val="24"/>
          <w:highlight w:val="none"/>
        </w:rPr>
        <w:t>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bookmarkEnd w:id="171"/>
    </w:p>
    <w:p>
      <w:pPr>
        <w:pStyle w:val="8"/>
        <w:spacing w:line="380" w:lineRule="exact"/>
        <w:ind w:firstLine="480" w:firstLineChars="200"/>
        <w:rPr>
          <w:rFonts w:hAnsi="宋体" w:eastAsia="宋体" w:cs="宋体"/>
          <w:kern w:val="0"/>
          <w:sz w:val="24"/>
          <w:szCs w:val="24"/>
          <w:highlight w:val="none"/>
        </w:rPr>
      </w:pPr>
      <w:r>
        <w:rPr>
          <w:rFonts w:hint="eastAsia" w:hAnsi="宋体" w:eastAsia="宋体" w:cs="宋体"/>
          <w:kern w:val="0"/>
          <w:sz w:val="24"/>
          <w:szCs w:val="24"/>
          <w:highlight w:val="none"/>
        </w:rPr>
        <w:t>2.谈判小组将以谈判文件、谈判响应文件为评审依据，在谈判响应文件满足谈判文件全部实质性要求且评标价最低的供应商为成交候选人。</w:t>
      </w:r>
    </w:p>
    <w:p>
      <w:pPr>
        <w:pStyle w:val="8"/>
        <w:spacing w:line="380" w:lineRule="exact"/>
        <w:ind w:firstLine="472" w:firstLineChars="196"/>
        <w:rPr>
          <w:rFonts w:hAnsi="宋体" w:eastAsia="宋体" w:cs="宋体"/>
          <w:b/>
          <w:sz w:val="24"/>
          <w:szCs w:val="24"/>
          <w:highlight w:val="none"/>
        </w:rPr>
      </w:pPr>
      <w:bookmarkStart w:id="172" w:name="_Toc9373"/>
      <w:r>
        <w:rPr>
          <w:rFonts w:hint="eastAsia" w:hAnsi="宋体" w:eastAsia="宋体" w:cs="宋体"/>
          <w:b/>
          <w:sz w:val="24"/>
          <w:szCs w:val="24"/>
          <w:highlight w:val="none"/>
        </w:rPr>
        <w:t>三、成交候选人推荐和确定原则</w:t>
      </w:r>
      <w:bookmarkEnd w:id="172"/>
    </w:p>
    <w:p>
      <w:pPr>
        <w:pStyle w:val="8"/>
        <w:spacing w:line="380" w:lineRule="exact"/>
        <w:ind w:firstLine="410" w:firstLineChars="171"/>
        <w:rPr>
          <w:rFonts w:hAnsi="宋体" w:eastAsia="宋体" w:cs="宋体"/>
          <w:sz w:val="24"/>
          <w:szCs w:val="24"/>
          <w:highlight w:val="none"/>
        </w:rPr>
      </w:pPr>
      <w:r>
        <w:rPr>
          <w:rFonts w:hint="eastAsia" w:hAnsi="宋体" w:eastAsia="宋体" w:cs="宋体"/>
          <w:sz w:val="24"/>
          <w:szCs w:val="24"/>
          <w:highlight w:val="none"/>
        </w:rPr>
        <w:t>1.竞争性谈判响应文件在</w:t>
      </w:r>
      <w:r>
        <w:rPr>
          <w:rFonts w:hint="eastAsia" w:hAnsi="宋体" w:eastAsia="宋体" w:cs="宋体"/>
          <w:kern w:val="0"/>
          <w:sz w:val="24"/>
          <w:szCs w:val="24"/>
          <w:highlight w:val="none"/>
        </w:rPr>
        <w:t>质量和服</w:t>
      </w:r>
      <w:r>
        <w:rPr>
          <w:rFonts w:hint="eastAsia" w:hAnsi="宋体" w:eastAsia="宋体" w:cs="宋体"/>
          <w:sz w:val="24"/>
          <w:szCs w:val="24"/>
          <w:highlight w:val="none"/>
        </w:rPr>
        <w:t>务均能满足竞争性谈判文件实质性响应要求时，谈判小组将按评标价由低到高顺序推荐3名以上成交候选人（评标价相同时，由谈判小组根据响应文件中技术、服务、合同条款情况集体讨论确定排序，并按确定排序由低到高的原则推荐成交候选人）。</w:t>
      </w:r>
    </w:p>
    <w:p>
      <w:pPr>
        <w:pStyle w:val="8"/>
        <w:spacing w:line="380" w:lineRule="exact"/>
        <w:ind w:firstLine="410" w:firstLineChars="171"/>
        <w:rPr>
          <w:rFonts w:hAnsi="宋体" w:eastAsia="宋体" w:cs="宋体"/>
          <w:sz w:val="24"/>
          <w:szCs w:val="24"/>
          <w:highlight w:val="none"/>
        </w:rPr>
      </w:pPr>
      <w:r>
        <w:rPr>
          <w:rFonts w:hint="eastAsia" w:hAnsi="宋体" w:eastAsia="宋体" w:cs="宋体"/>
          <w:sz w:val="24"/>
          <w:szCs w:val="24"/>
          <w:highlight w:val="none"/>
        </w:rPr>
        <w:t>2.谈判小组认为，某谈判供应商的有效报价或者某些分项报价明显不合理或者低于成本，有可能影响商品质量和不能诚信履约的，应要求其在规定的期限内提供书面文件予以解释说明，并提交相关证明材料，否则，谈判小组可以取消该谈判供应商的</w:t>
      </w:r>
      <w:r>
        <w:rPr>
          <w:rFonts w:hint="eastAsia" w:hAnsi="宋体" w:eastAsia="宋体" w:cs="宋体"/>
          <w:bCs/>
          <w:sz w:val="24"/>
          <w:szCs w:val="24"/>
          <w:highlight w:val="none"/>
        </w:rPr>
        <w:t>成交候选人</w:t>
      </w:r>
      <w:r>
        <w:rPr>
          <w:rFonts w:hint="eastAsia" w:hAnsi="宋体" w:eastAsia="宋体" w:cs="宋体"/>
          <w:sz w:val="24"/>
          <w:szCs w:val="24"/>
          <w:highlight w:val="none"/>
        </w:rPr>
        <w:t>资格，按顺序由排在后面的</w:t>
      </w:r>
      <w:r>
        <w:rPr>
          <w:rFonts w:hint="eastAsia" w:hAnsi="宋体" w:eastAsia="宋体" w:cs="宋体"/>
          <w:bCs/>
          <w:sz w:val="24"/>
          <w:szCs w:val="24"/>
          <w:highlight w:val="none"/>
        </w:rPr>
        <w:t>成交候选人</w:t>
      </w:r>
      <w:r>
        <w:rPr>
          <w:rFonts w:hint="eastAsia" w:hAnsi="宋体" w:eastAsia="宋体" w:cs="宋体"/>
          <w:sz w:val="24"/>
          <w:szCs w:val="24"/>
          <w:highlight w:val="none"/>
        </w:rPr>
        <w:t>递补，以此类推。</w:t>
      </w:r>
    </w:p>
    <w:p>
      <w:pPr>
        <w:pStyle w:val="8"/>
        <w:spacing w:line="380" w:lineRule="exact"/>
        <w:ind w:firstLine="410" w:firstLineChars="171"/>
        <w:rPr>
          <w:rFonts w:hAnsi="宋体" w:eastAsia="宋体" w:cs="宋体"/>
          <w:bCs/>
          <w:sz w:val="24"/>
          <w:szCs w:val="24"/>
          <w:highlight w:val="none"/>
        </w:rPr>
      </w:pPr>
      <w:r>
        <w:rPr>
          <w:rFonts w:hint="eastAsia" w:hAnsi="宋体" w:eastAsia="宋体" w:cs="宋体"/>
          <w:sz w:val="24"/>
          <w:szCs w:val="24"/>
          <w:highlight w:val="none"/>
        </w:rPr>
        <w:t>采购人应当确定谈判小组推荐排名第一的成交候选人为成交供应商。排名第一的成交候选人拒绝签订政府采购合同的，采购人可以确定排名第二的成交候选人为成交供应商。排名第二</w:t>
      </w:r>
      <w:r>
        <w:rPr>
          <w:rFonts w:hint="eastAsia" w:hAnsi="宋体" w:eastAsia="宋体" w:cs="宋体"/>
          <w:bCs/>
          <w:sz w:val="24"/>
          <w:szCs w:val="24"/>
          <w:highlight w:val="none"/>
        </w:rPr>
        <w:t>的成交候选人因前款规定的同样原因不能签订合同的，采购人可以确定排名第三的成交候选人为成交供应商，其余以此类推。</w:t>
      </w:r>
    </w:p>
    <w:p>
      <w:pPr>
        <w:rPr>
          <w:rFonts w:hAnsi="宋体" w:eastAsia="宋体" w:cs="宋体"/>
          <w:bCs/>
          <w:sz w:val="24"/>
          <w:highlight w:val="none"/>
        </w:rPr>
      </w:pPr>
    </w:p>
    <w:sectPr>
      <w:pgSz w:w="11906" w:h="16838"/>
      <w:pgMar w:top="454" w:right="1123" w:bottom="1100" w:left="11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B4"/>
    <w:rsid w:val="00034BD6"/>
    <w:rsid w:val="00056D35"/>
    <w:rsid w:val="00070EA5"/>
    <w:rsid w:val="00097385"/>
    <w:rsid w:val="000B4169"/>
    <w:rsid w:val="000C3F9C"/>
    <w:rsid w:val="000F3A37"/>
    <w:rsid w:val="00100C0E"/>
    <w:rsid w:val="00127F27"/>
    <w:rsid w:val="0017073D"/>
    <w:rsid w:val="00180F95"/>
    <w:rsid w:val="00186C91"/>
    <w:rsid w:val="0019611E"/>
    <w:rsid w:val="001D5932"/>
    <w:rsid w:val="001E4013"/>
    <w:rsid w:val="0021074E"/>
    <w:rsid w:val="0021500A"/>
    <w:rsid w:val="0021711B"/>
    <w:rsid w:val="002275E2"/>
    <w:rsid w:val="00227D69"/>
    <w:rsid w:val="00230F9D"/>
    <w:rsid w:val="00236108"/>
    <w:rsid w:val="00262C08"/>
    <w:rsid w:val="002752ED"/>
    <w:rsid w:val="00292387"/>
    <w:rsid w:val="00292813"/>
    <w:rsid w:val="002A1EEB"/>
    <w:rsid w:val="002D6E4B"/>
    <w:rsid w:val="00351C70"/>
    <w:rsid w:val="0035205E"/>
    <w:rsid w:val="00361991"/>
    <w:rsid w:val="0039702E"/>
    <w:rsid w:val="003F6A17"/>
    <w:rsid w:val="003F6CEA"/>
    <w:rsid w:val="004036A8"/>
    <w:rsid w:val="00431FF0"/>
    <w:rsid w:val="0044417F"/>
    <w:rsid w:val="00467029"/>
    <w:rsid w:val="004856CD"/>
    <w:rsid w:val="004C619C"/>
    <w:rsid w:val="004C6BE5"/>
    <w:rsid w:val="004E3DB6"/>
    <w:rsid w:val="0051769C"/>
    <w:rsid w:val="00544A35"/>
    <w:rsid w:val="00545DF1"/>
    <w:rsid w:val="00574AC1"/>
    <w:rsid w:val="00575871"/>
    <w:rsid w:val="00581E63"/>
    <w:rsid w:val="00595A6C"/>
    <w:rsid w:val="005E36A6"/>
    <w:rsid w:val="00601641"/>
    <w:rsid w:val="0064104D"/>
    <w:rsid w:val="00664195"/>
    <w:rsid w:val="00680CCB"/>
    <w:rsid w:val="00691ED9"/>
    <w:rsid w:val="006A65B2"/>
    <w:rsid w:val="006B3585"/>
    <w:rsid w:val="006B622C"/>
    <w:rsid w:val="006C089D"/>
    <w:rsid w:val="006C5DA4"/>
    <w:rsid w:val="006D4FE4"/>
    <w:rsid w:val="00717EFE"/>
    <w:rsid w:val="007446FE"/>
    <w:rsid w:val="0077031C"/>
    <w:rsid w:val="00780992"/>
    <w:rsid w:val="007D5682"/>
    <w:rsid w:val="007F37FB"/>
    <w:rsid w:val="008247E1"/>
    <w:rsid w:val="008305CC"/>
    <w:rsid w:val="0085206D"/>
    <w:rsid w:val="008A233F"/>
    <w:rsid w:val="008A42EF"/>
    <w:rsid w:val="008B1DE8"/>
    <w:rsid w:val="008B2A09"/>
    <w:rsid w:val="008D48C6"/>
    <w:rsid w:val="009053CD"/>
    <w:rsid w:val="009207F8"/>
    <w:rsid w:val="00991FC8"/>
    <w:rsid w:val="009B170E"/>
    <w:rsid w:val="009E18A7"/>
    <w:rsid w:val="00A13DFA"/>
    <w:rsid w:val="00A536F4"/>
    <w:rsid w:val="00A844DA"/>
    <w:rsid w:val="00AC07A4"/>
    <w:rsid w:val="00AC699B"/>
    <w:rsid w:val="00AD4CE0"/>
    <w:rsid w:val="00AD7B7B"/>
    <w:rsid w:val="00AE4FA2"/>
    <w:rsid w:val="00AF0A63"/>
    <w:rsid w:val="00AF3B49"/>
    <w:rsid w:val="00B16357"/>
    <w:rsid w:val="00B163FA"/>
    <w:rsid w:val="00B225A5"/>
    <w:rsid w:val="00B61310"/>
    <w:rsid w:val="00B81CB4"/>
    <w:rsid w:val="00B91BE7"/>
    <w:rsid w:val="00BA13EB"/>
    <w:rsid w:val="00C03A41"/>
    <w:rsid w:val="00C257DA"/>
    <w:rsid w:val="00C447E4"/>
    <w:rsid w:val="00C47738"/>
    <w:rsid w:val="00C51E75"/>
    <w:rsid w:val="00C54F6A"/>
    <w:rsid w:val="00C639EE"/>
    <w:rsid w:val="00C7785E"/>
    <w:rsid w:val="00C8566B"/>
    <w:rsid w:val="00C90A44"/>
    <w:rsid w:val="00CB2D70"/>
    <w:rsid w:val="00CB3652"/>
    <w:rsid w:val="00D07D6E"/>
    <w:rsid w:val="00D17BEC"/>
    <w:rsid w:val="00D57067"/>
    <w:rsid w:val="00D57ABE"/>
    <w:rsid w:val="00D81B0A"/>
    <w:rsid w:val="00DA292B"/>
    <w:rsid w:val="00DB6976"/>
    <w:rsid w:val="00DC5978"/>
    <w:rsid w:val="00DF2FE8"/>
    <w:rsid w:val="00DF475D"/>
    <w:rsid w:val="00E00CEE"/>
    <w:rsid w:val="00E0262A"/>
    <w:rsid w:val="00E0418E"/>
    <w:rsid w:val="00E078E6"/>
    <w:rsid w:val="00E116CC"/>
    <w:rsid w:val="00E22EC4"/>
    <w:rsid w:val="00E27CCF"/>
    <w:rsid w:val="00E420DC"/>
    <w:rsid w:val="00E6543E"/>
    <w:rsid w:val="00E67C21"/>
    <w:rsid w:val="00E94AA1"/>
    <w:rsid w:val="00EC45A9"/>
    <w:rsid w:val="00EE4AEF"/>
    <w:rsid w:val="00EF3DF5"/>
    <w:rsid w:val="00EF6662"/>
    <w:rsid w:val="00F17808"/>
    <w:rsid w:val="00F27069"/>
    <w:rsid w:val="00F7578D"/>
    <w:rsid w:val="00FC01AE"/>
    <w:rsid w:val="00FD5D12"/>
    <w:rsid w:val="00FF4745"/>
    <w:rsid w:val="00FF497B"/>
    <w:rsid w:val="00FF57E3"/>
    <w:rsid w:val="010C24EE"/>
    <w:rsid w:val="01306473"/>
    <w:rsid w:val="015E5809"/>
    <w:rsid w:val="01605150"/>
    <w:rsid w:val="0181365E"/>
    <w:rsid w:val="024962D5"/>
    <w:rsid w:val="024F04DB"/>
    <w:rsid w:val="02BD7D4D"/>
    <w:rsid w:val="030B0595"/>
    <w:rsid w:val="031E67B8"/>
    <w:rsid w:val="03246FB8"/>
    <w:rsid w:val="033F7A76"/>
    <w:rsid w:val="037030A2"/>
    <w:rsid w:val="03A86BF8"/>
    <w:rsid w:val="03B50BDB"/>
    <w:rsid w:val="03F7362B"/>
    <w:rsid w:val="04042ADA"/>
    <w:rsid w:val="045E1FF6"/>
    <w:rsid w:val="047B0F14"/>
    <w:rsid w:val="04B657B5"/>
    <w:rsid w:val="04C5195A"/>
    <w:rsid w:val="04D04184"/>
    <w:rsid w:val="050A5371"/>
    <w:rsid w:val="052C5BA1"/>
    <w:rsid w:val="05FA2A67"/>
    <w:rsid w:val="061623E5"/>
    <w:rsid w:val="061E68AA"/>
    <w:rsid w:val="063336B7"/>
    <w:rsid w:val="06BF703C"/>
    <w:rsid w:val="06C05294"/>
    <w:rsid w:val="071B008B"/>
    <w:rsid w:val="072F5257"/>
    <w:rsid w:val="075008FE"/>
    <w:rsid w:val="075C7C36"/>
    <w:rsid w:val="077E5145"/>
    <w:rsid w:val="07A90F00"/>
    <w:rsid w:val="07DC39CC"/>
    <w:rsid w:val="08B650D2"/>
    <w:rsid w:val="08D13213"/>
    <w:rsid w:val="08F76033"/>
    <w:rsid w:val="09090CD3"/>
    <w:rsid w:val="09182309"/>
    <w:rsid w:val="09240B9C"/>
    <w:rsid w:val="0A0E3A60"/>
    <w:rsid w:val="0A1E3713"/>
    <w:rsid w:val="0A673C88"/>
    <w:rsid w:val="0A8364BF"/>
    <w:rsid w:val="0A9639B6"/>
    <w:rsid w:val="0B1C57B9"/>
    <w:rsid w:val="0B3A1844"/>
    <w:rsid w:val="0B8B4F68"/>
    <w:rsid w:val="0B8F6CA0"/>
    <w:rsid w:val="0BC3143A"/>
    <w:rsid w:val="0BF70D45"/>
    <w:rsid w:val="0BFA1DAC"/>
    <w:rsid w:val="0C890C5E"/>
    <w:rsid w:val="0CEA0961"/>
    <w:rsid w:val="0DE902DC"/>
    <w:rsid w:val="0DF532A3"/>
    <w:rsid w:val="0E054F5A"/>
    <w:rsid w:val="0E3C20DA"/>
    <w:rsid w:val="0E972975"/>
    <w:rsid w:val="0F1747A1"/>
    <w:rsid w:val="0F5E0F8B"/>
    <w:rsid w:val="0FB57D88"/>
    <w:rsid w:val="10AA3AAE"/>
    <w:rsid w:val="10E6060C"/>
    <w:rsid w:val="11374A70"/>
    <w:rsid w:val="124B19A9"/>
    <w:rsid w:val="129A47D6"/>
    <w:rsid w:val="130C7A18"/>
    <w:rsid w:val="130D519A"/>
    <w:rsid w:val="134830C7"/>
    <w:rsid w:val="13BF4017"/>
    <w:rsid w:val="14017892"/>
    <w:rsid w:val="14364C49"/>
    <w:rsid w:val="145C780F"/>
    <w:rsid w:val="14865859"/>
    <w:rsid w:val="14B70D5D"/>
    <w:rsid w:val="15527D8A"/>
    <w:rsid w:val="1573434D"/>
    <w:rsid w:val="15864EBE"/>
    <w:rsid w:val="159437F5"/>
    <w:rsid w:val="15EF43FD"/>
    <w:rsid w:val="16473652"/>
    <w:rsid w:val="16656AE7"/>
    <w:rsid w:val="167B0EBB"/>
    <w:rsid w:val="167E1FF6"/>
    <w:rsid w:val="17024BF6"/>
    <w:rsid w:val="171729B3"/>
    <w:rsid w:val="17DB2B69"/>
    <w:rsid w:val="185C5F97"/>
    <w:rsid w:val="186404BF"/>
    <w:rsid w:val="186851DA"/>
    <w:rsid w:val="192C1CA9"/>
    <w:rsid w:val="19D87AC1"/>
    <w:rsid w:val="1A3F7739"/>
    <w:rsid w:val="1A62702F"/>
    <w:rsid w:val="1A8D0CC0"/>
    <w:rsid w:val="1BA83F56"/>
    <w:rsid w:val="1BBF09ED"/>
    <w:rsid w:val="1BE67B55"/>
    <w:rsid w:val="1C1740CC"/>
    <w:rsid w:val="1C2C2886"/>
    <w:rsid w:val="1CCE7979"/>
    <w:rsid w:val="1CD12D97"/>
    <w:rsid w:val="1CFB112B"/>
    <w:rsid w:val="1CFC0246"/>
    <w:rsid w:val="1D3539D8"/>
    <w:rsid w:val="1D482338"/>
    <w:rsid w:val="1DAB5442"/>
    <w:rsid w:val="1DD84F40"/>
    <w:rsid w:val="1E600DCF"/>
    <w:rsid w:val="1F586FF2"/>
    <w:rsid w:val="20646C87"/>
    <w:rsid w:val="21646625"/>
    <w:rsid w:val="21915362"/>
    <w:rsid w:val="21BE0DFE"/>
    <w:rsid w:val="22585D1A"/>
    <w:rsid w:val="23081500"/>
    <w:rsid w:val="23E14F9C"/>
    <w:rsid w:val="241E7CDA"/>
    <w:rsid w:val="24870D4D"/>
    <w:rsid w:val="24A00536"/>
    <w:rsid w:val="24EB2B09"/>
    <w:rsid w:val="24EF3419"/>
    <w:rsid w:val="250B7E45"/>
    <w:rsid w:val="260F2F58"/>
    <w:rsid w:val="26A35CEC"/>
    <w:rsid w:val="27137E97"/>
    <w:rsid w:val="2764754C"/>
    <w:rsid w:val="27C517D7"/>
    <w:rsid w:val="281766DC"/>
    <w:rsid w:val="282F354C"/>
    <w:rsid w:val="284E75C1"/>
    <w:rsid w:val="28D5666B"/>
    <w:rsid w:val="28F13961"/>
    <w:rsid w:val="290262DC"/>
    <w:rsid w:val="294C036F"/>
    <w:rsid w:val="29870879"/>
    <w:rsid w:val="29884356"/>
    <w:rsid w:val="29C67046"/>
    <w:rsid w:val="2A401C1C"/>
    <w:rsid w:val="2AA60F13"/>
    <w:rsid w:val="2B740509"/>
    <w:rsid w:val="2B8E77A8"/>
    <w:rsid w:val="2B944042"/>
    <w:rsid w:val="2BA106E4"/>
    <w:rsid w:val="2BA9692B"/>
    <w:rsid w:val="2C2E5B4E"/>
    <w:rsid w:val="2C940213"/>
    <w:rsid w:val="2CB56388"/>
    <w:rsid w:val="2DDD0543"/>
    <w:rsid w:val="2DE93797"/>
    <w:rsid w:val="2DEE5BED"/>
    <w:rsid w:val="2E497B3D"/>
    <w:rsid w:val="2E652DB0"/>
    <w:rsid w:val="2E9D5694"/>
    <w:rsid w:val="2EE978A7"/>
    <w:rsid w:val="301021A1"/>
    <w:rsid w:val="303B7C0D"/>
    <w:rsid w:val="305540A6"/>
    <w:rsid w:val="306D410C"/>
    <w:rsid w:val="311608E6"/>
    <w:rsid w:val="31A1615B"/>
    <w:rsid w:val="31A2559F"/>
    <w:rsid w:val="325958F5"/>
    <w:rsid w:val="32762BB5"/>
    <w:rsid w:val="334E07BE"/>
    <w:rsid w:val="33571062"/>
    <w:rsid w:val="335940D7"/>
    <w:rsid w:val="33A10A0A"/>
    <w:rsid w:val="33EF6127"/>
    <w:rsid w:val="33F162BF"/>
    <w:rsid w:val="34214886"/>
    <w:rsid w:val="34273C23"/>
    <w:rsid w:val="34475DE5"/>
    <w:rsid w:val="345340D2"/>
    <w:rsid w:val="34675757"/>
    <w:rsid w:val="34BE2405"/>
    <w:rsid w:val="357178E6"/>
    <w:rsid w:val="359C46E3"/>
    <w:rsid w:val="35D47272"/>
    <w:rsid w:val="35E6165D"/>
    <w:rsid w:val="369B79A1"/>
    <w:rsid w:val="36A01565"/>
    <w:rsid w:val="376230D1"/>
    <w:rsid w:val="37C82601"/>
    <w:rsid w:val="37F51633"/>
    <w:rsid w:val="38061F54"/>
    <w:rsid w:val="391C1C50"/>
    <w:rsid w:val="39431DDD"/>
    <w:rsid w:val="3971606E"/>
    <w:rsid w:val="39816569"/>
    <w:rsid w:val="39F81C9F"/>
    <w:rsid w:val="3AA3429C"/>
    <w:rsid w:val="3AE90AD7"/>
    <w:rsid w:val="3B425347"/>
    <w:rsid w:val="3B6C5F84"/>
    <w:rsid w:val="3B6F0670"/>
    <w:rsid w:val="3C0A205F"/>
    <w:rsid w:val="3C0D5F5F"/>
    <w:rsid w:val="3C1F6484"/>
    <w:rsid w:val="3C374E03"/>
    <w:rsid w:val="3CA55405"/>
    <w:rsid w:val="3CA62DC7"/>
    <w:rsid w:val="3CB77876"/>
    <w:rsid w:val="3D4C58DD"/>
    <w:rsid w:val="3DB76073"/>
    <w:rsid w:val="3E357828"/>
    <w:rsid w:val="3E3E0F69"/>
    <w:rsid w:val="3E81403C"/>
    <w:rsid w:val="3E917D13"/>
    <w:rsid w:val="3E942111"/>
    <w:rsid w:val="3EC13A4C"/>
    <w:rsid w:val="3F4F6821"/>
    <w:rsid w:val="406B3EE2"/>
    <w:rsid w:val="408A0C39"/>
    <w:rsid w:val="40C62BD2"/>
    <w:rsid w:val="413D33C1"/>
    <w:rsid w:val="4146499C"/>
    <w:rsid w:val="41AE47AD"/>
    <w:rsid w:val="420539DF"/>
    <w:rsid w:val="4255307A"/>
    <w:rsid w:val="42863679"/>
    <w:rsid w:val="430303D8"/>
    <w:rsid w:val="43210B94"/>
    <w:rsid w:val="43497FC1"/>
    <w:rsid w:val="43A77618"/>
    <w:rsid w:val="4428604C"/>
    <w:rsid w:val="4590456A"/>
    <w:rsid w:val="45A108DB"/>
    <w:rsid w:val="45B92057"/>
    <w:rsid w:val="462473EC"/>
    <w:rsid w:val="46504F32"/>
    <w:rsid w:val="468A6B34"/>
    <w:rsid w:val="46D05609"/>
    <w:rsid w:val="475E4F36"/>
    <w:rsid w:val="47A32291"/>
    <w:rsid w:val="48205B61"/>
    <w:rsid w:val="482D199F"/>
    <w:rsid w:val="48611297"/>
    <w:rsid w:val="48691F1C"/>
    <w:rsid w:val="48ED5626"/>
    <w:rsid w:val="493C17A6"/>
    <w:rsid w:val="49B70928"/>
    <w:rsid w:val="4A2E0478"/>
    <w:rsid w:val="4A4B3BF6"/>
    <w:rsid w:val="4A860F34"/>
    <w:rsid w:val="4ADC6981"/>
    <w:rsid w:val="4B631322"/>
    <w:rsid w:val="4B8C44AD"/>
    <w:rsid w:val="4BC50C6C"/>
    <w:rsid w:val="4C577CDC"/>
    <w:rsid w:val="4C5F26DD"/>
    <w:rsid w:val="4CA84AB0"/>
    <w:rsid w:val="4CE276D4"/>
    <w:rsid w:val="4CEA15DD"/>
    <w:rsid w:val="4D2857FB"/>
    <w:rsid w:val="4D3E150D"/>
    <w:rsid w:val="4DF03C10"/>
    <w:rsid w:val="4DF220CA"/>
    <w:rsid w:val="4E2010AE"/>
    <w:rsid w:val="4E2249D7"/>
    <w:rsid w:val="4E2A105B"/>
    <w:rsid w:val="4E7E52CE"/>
    <w:rsid w:val="4ED323F6"/>
    <w:rsid w:val="4ED565FB"/>
    <w:rsid w:val="4EDF69FB"/>
    <w:rsid w:val="4EF001D5"/>
    <w:rsid w:val="4F3442E7"/>
    <w:rsid w:val="4F3626FA"/>
    <w:rsid w:val="4F5867A9"/>
    <w:rsid w:val="4F660443"/>
    <w:rsid w:val="4F8266AF"/>
    <w:rsid w:val="4F903D32"/>
    <w:rsid w:val="50873535"/>
    <w:rsid w:val="508B77B2"/>
    <w:rsid w:val="510E42C2"/>
    <w:rsid w:val="511249BD"/>
    <w:rsid w:val="512E1400"/>
    <w:rsid w:val="51462F50"/>
    <w:rsid w:val="51BB527B"/>
    <w:rsid w:val="51C724B0"/>
    <w:rsid w:val="51DE2C8E"/>
    <w:rsid w:val="53713655"/>
    <w:rsid w:val="539F733A"/>
    <w:rsid w:val="53B42582"/>
    <w:rsid w:val="53F45752"/>
    <w:rsid w:val="540C5914"/>
    <w:rsid w:val="54204DAE"/>
    <w:rsid w:val="545E15CF"/>
    <w:rsid w:val="546F64D3"/>
    <w:rsid w:val="54756C98"/>
    <w:rsid w:val="54F74A7E"/>
    <w:rsid w:val="55BD0A11"/>
    <w:rsid w:val="56472FA2"/>
    <w:rsid w:val="56512E93"/>
    <w:rsid w:val="56CF064E"/>
    <w:rsid w:val="57031A3A"/>
    <w:rsid w:val="574E0983"/>
    <w:rsid w:val="577168C2"/>
    <w:rsid w:val="57EC51EC"/>
    <w:rsid w:val="5814078C"/>
    <w:rsid w:val="58152DC7"/>
    <w:rsid w:val="58907EF1"/>
    <w:rsid w:val="58D95830"/>
    <w:rsid w:val="58EC4769"/>
    <w:rsid w:val="595004FC"/>
    <w:rsid w:val="59714D8A"/>
    <w:rsid w:val="598C1385"/>
    <w:rsid w:val="5A0245A8"/>
    <w:rsid w:val="5B12618F"/>
    <w:rsid w:val="5B6C5C08"/>
    <w:rsid w:val="5BBE427D"/>
    <w:rsid w:val="5BCF64D4"/>
    <w:rsid w:val="5CAC2A5A"/>
    <w:rsid w:val="5CD42D25"/>
    <w:rsid w:val="5D313F03"/>
    <w:rsid w:val="5DF955FB"/>
    <w:rsid w:val="5E2A4C3E"/>
    <w:rsid w:val="5E2E04F5"/>
    <w:rsid w:val="5E457CCC"/>
    <w:rsid w:val="5E530E99"/>
    <w:rsid w:val="5E612441"/>
    <w:rsid w:val="5E87171A"/>
    <w:rsid w:val="5EA05C27"/>
    <w:rsid w:val="5EE54AD3"/>
    <w:rsid w:val="5EFA0BF3"/>
    <w:rsid w:val="5FB03FF2"/>
    <w:rsid w:val="5FCF717C"/>
    <w:rsid w:val="5FF96769"/>
    <w:rsid w:val="601512A7"/>
    <w:rsid w:val="60242FCA"/>
    <w:rsid w:val="60541561"/>
    <w:rsid w:val="60650365"/>
    <w:rsid w:val="634757B2"/>
    <w:rsid w:val="637C45FE"/>
    <w:rsid w:val="63CA469D"/>
    <w:rsid w:val="63E2188D"/>
    <w:rsid w:val="64273DBF"/>
    <w:rsid w:val="644925A8"/>
    <w:rsid w:val="64BA3F43"/>
    <w:rsid w:val="64E30451"/>
    <w:rsid w:val="64F73A5B"/>
    <w:rsid w:val="65004BD5"/>
    <w:rsid w:val="653A1BDC"/>
    <w:rsid w:val="653D7871"/>
    <w:rsid w:val="65632033"/>
    <w:rsid w:val="65842349"/>
    <w:rsid w:val="660A233B"/>
    <w:rsid w:val="662E5388"/>
    <w:rsid w:val="667813B0"/>
    <w:rsid w:val="66981EFC"/>
    <w:rsid w:val="67693825"/>
    <w:rsid w:val="68042733"/>
    <w:rsid w:val="68262DFB"/>
    <w:rsid w:val="687E3B5D"/>
    <w:rsid w:val="68BA47F7"/>
    <w:rsid w:val="693D57AC"/>
    <w:rsid w:val="69C24259"/>
    <w:rsid w:val="69C947FC"/>
    <w:rsid w:val="69E55A14"/>
    <w:rsid w:val="6A35040D"/>
    <w:rsid w:val="6AD327DF"/>
    <w:rsid w:val="6B31370A"/>
    <w:rsid w:val="6B4A13C8"/>
    <w:rsid w:val="6B776A58"/>
    <w:rsid w:val="6BC702AC"/>
    <w:rsid w:val="6BD059F9"/>
    <w:rsid w:val="6BD351FA"/>
    <w:rsid w:val="6C1A6540"/>
    <w:rsid w:val="6D220BFB"/>
    <w:rsid w:val="6DC771D9"/>
    <w:rsid w:val="6E1C58F5"/>
    <w:rsid w:val="6E76039C"/>
    <w:rsid w:val="6EE47AE1"/>
    <w:rsid w:val="6F1A5F29"/>
    <w:rsid w:val="6F355C00"/>
    <w:rsid w:val="6F434DD4"/>
    <w:rsid w:val="6FAC4617"/>
    <w:rsid w:val="701C7E5B"/>
    <w:rsid w:val="701F3EC8"/>
    <w:rsid w:val="70B36C39"/>
    <w:rsid w:val="70BE5118"/>
    <w:rsid w:val="71B97C31"/>
    <w:rsid w:val="71CE1F9D"/>
    <w:rsid w:val="726E7355"/>
    <w:rsid w:val="72A43241"/>
    <w:rsid w:val="72DC3BD8"/>
    <w:rsid w:val="73061FBD"/>
    <w:rsid w:val="742966B9"/>
    <w:rsid w:val="74501E3E"/>
    <w:rsid w:val="747F5C5E"/>
    <w:rsid w:val="74923D98"/>
    <w:rsid w:val="75A3201A"/>
    <w:rsid w:val="761C1AFC"/>
    <w:rsid w:val="76672FC6"/>
    <w:rsid w:val="767E276A"/>
    <w:rsid w:val="76A84F31"/>
    <w:rsid w:val="76AA2F03"/>
    <w:rsid w:val="76D44349"/>
    <w:rsid w:val="76D921D6"/>
    <w:rsid w:val="7701630F"/>
    <w:rsid w:val="77237EBC"/>
    <w:rsid w:val="774D7E4C"/>
    <w:rsid w:val="77581F74"/>
    <w:rsid w:val="77AC6751"/>
    <w:rsid w:val="77BE7610"/>
    <w:rsid w:val="789702E1"/>
    <w:rsid w:val="78A31496"/>
    <w:rsid w:val="78A474DB"/>
    <w:rsid w:val="78A85127"/>
    <w:rsid w:val="79570585"/>
    <w:rsid w:val="795807E3"/>
    <w:rsid w:val="79A06C86"/>
    <w:rsid w:val="79B42722"/>
    <w:rsid w:val="7A3F3763"/>
    <w:rsid w:val="7A5B68B7"/>
    <w:rsid w:val="7A7A7324"/>
    <w:rsid w:val="7A931F8F"/>
    <w:rsid w:val="7A9B2871"/>
    <w:rsid w:val="7AAB36E1"/>
    <w:rsid w:val="7B157073"/>
    <w:rsid w:val="7B2C0846"/>
    <w:rsid w:val="7B75061E"/>
    <w:rsid w:val="7B885570"/>
    <w:rsid w:val="7B955F1A"/>
    <w:rsid w:val="7C13593F"/>
    <w:rsid w:val="7C972F15"/>
    <w:rsid w:val="7CEB5E11"/>
    <w:rsid w:val="7CFC4C4E"/>
    <w:rsid w:val="7D6F04AE"/>
    <w:rsid w:val="7D7E0595"/>
    <w:rsid w:val="7D9A6FB7"/>
    <w:rsid w:val="7DA07E65"/>
    <w:rsid w:val="7DA57FBF"/>
    <w:rsid w:val="7DE803BA"/>
    <w:rsid w:val="7E130924"/>
    <w:rsid w:val="7E4B7F1F"/>
    <w:rsid w:val="7E65384B"/>
    <w:rsid w:val="7E840F5B"/>
    <w:rsid w:val="7ED63BD1"/>
    <w:rsid w:val="7FA93B60"/>
    <w:rsid w:val="7FC7563F"/>
    <w:rsid w:val="7FE3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pPr>
    <w:rPr>
      <w:szCs w:val="20"/>
    </w:rPr>
  </w:style>
  <w:style w:type="paragraph" w:styleId="6">
    <w:name w:val="annotation text"/>
    <w:basedOn w:val="1"/>
    <w:link w:val="26"/>
    <w:qFormat/>
    <w:uiPriority w:val="0"/>
    <w:pPr>
      <w:jc w:val="left"/>
    </w:p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link w:val="28"/>
    <w:qFormat/>
    <w:uiPriority w:val="0"/>
    <w:rPr>
      <w:rFonts w:ascii="宋体" w:hAnsi="Courier New" w:cs="Courier New"/>
      <w:szCs w:val="21"/>
    </w:rPr>
  </w:style>
  <w:style w:type="paragraph" w:styleId="9">
    <w:name w:val="Balloon Text"/>
    <w:basedOn w:val="1"/>
    <w:link w:val="25"/>
    <w:qFormat/>
    <w:uiPriority w:val="0"/>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annotation subject"/>
    <w:basedOn w:val="6"/>
    <w:next w:val="6"/>
    <w:link w:val="27"/>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qFormat/>
    <w:uiPriority w:val="0"/>
    <w:rPr>
      <w:i/>
      <w:i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paragraph" w:customStyle="1" w:styleId="21">
    <w:name w:val="正文段"/>
    <w:basedOn w:val="1"/>
    <w:qFormat/>
    <w:uiPriority w:val="0"/>
    <w:pPr>
      <w:widowControl/>
      <w:snapToGrid w:val="0"/>
      <w:spacing w:afterLines="50"/>
      <w:ind w:firstLine="200" w:firstLineChars="200"/>
    </w:pPr>
    <w:rPr>
      <w:kern w:val="0"/>
      <w:sz w:val="24"/>
      <w:szCs w:val="20"/>
    </w:rPr>
  </w:style>
  <w:style w:type="paragraph" w:customStyle="1" w:styleId="22">
    <w:name w:val="1"/>
    <w:basedOn w:val="1"/>
    <w:next w:val="8"/>
    <w:qFormat/>
    <w:uiPriority w:val="0"/>
    <w:rPr>
      <w:rFonts w:ascii="宋体" w:hAnsi="Courier New"/>
      <w:szCs w:val="20"/>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5">
    <w:name w:val="批注框文本 Char"/>
    <w:basedOn w:val="17"/>
    <w:link w:val="9"/>
    <w:qFormat/>
    <w:uiPriority w:val="0"/>
    <w:rPr>
      <w:kern w:val="2"/>
      <w:sz w:val="18"/>
      <w:szCs w:val="18"/>
    </w:rPr>
  </w:style>
  <w:style w:type="character" w:customStyle="1" w:styleId="26">
    <w:name w:val="批注文字 Char"/>
    <w:basedOn w:val="17"/>
    <w:link w:val="6"/>
    <w:qFormat/>
    <w:uiPriority w:val="0"/>
    <w:rPr>
      <w:kern w:val="2"/>
      <w:sz w:val="21"/>
      <w:szCs w:val="24"/>
    </w:rPr>
  </w:style>
  <w:style w:type="character" w:customStyle="1" w:styleId="27">
    <w:name w:val="批注主题 Char"/>
    <w:basedOn w:val="26"/>
    <w:link w:val="14"/>
    <w:qFormat/>
    <w:uiPriority w:val="0"/>
    <w:rPr>
      <w:b/>
      <w:bCs/>
      <w:kern w:val="2"/>
      <w:sz w:val="21"/>
      <w:szCs w:val="24"/>
    </w:rPr>
  </w:style>
  <w:style w:type="character" w:customStyle="1" w:styleId="28">
    <w:name w:val="纯文本 Char1"/>
    <w:link w:val="8"/>
    <w:qFormat/>
    <w:uiPriority w:val="0"/>
    <w:rPr>
      <w:rFonts w:ascii="宋体" w:hAnsi="Courier New" w:cs="Courier New"/>
      <w:kern w:val="2"/>
      <w:sz w:val="21"/>
      <w:szCs w:val="21"/>
    </w:rPr>
  </w:style>
  <w:style w:type="character" w:customStyle="1" w:styleId="29">
    <w:name w:val="纯文本 Char"/>
    <w:qFormat/>
    <w:uiPriority w:val="0"/>
    <w:rPr>
      <w:rFonts w:ascii="宋体" w:hAnsi="Courier New" w:eastAsia="宋体" w:cs="Courier New"/>
      <w:kern w:val="2"/>
      <w:sz w:val="21"/>
      <w:szCs w:val="21"/>
      <w:lang w:val="en-US" w:eastAsia="zh-CN" w:bidi="ar-SA"/>
    </w:rPr>
  </w:style>
  <w:style w:type="paragraph" w:customStyle="1" w:styleId="30">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1">
    <w:name w:val="font01"/>
    <w:basedOn w:val="17"/>
    <w:qFormat/>
    <w:uiPriority w:val="0"/>
    <w:rPr>
      <w:rFonts w:ascii="Calibri" w:hAnsi="Calibri" w:cs="Calibri"/>
      <w:color w:val="000000"/>
      <w:sz w:val="22"/>
      <w:szCs w:val="22"/>
      <w:u w:val="none"/>
    </w:rPr>
  </w:style>
  <w:style w:type="paragraph" w:styleId="3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8E177-EAEF-407C-BCC2-5704EE1A9647}">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37</Pages>
  <Words>3810</Words>
  <Characters>21722</Characters>
  <Lines>181</Lines>
  <Paragraphs>50</Paragraphs>
  <TotalTime>0</TotalTime>
  <ScaleCrop>false</ScaleCrop>
  <LinksUpToDate>false</LinksUpToDate>
  <CharactersWithSpaces>25482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2020-10-27T00:55:00Z</dcterms:created>
  <dc:creator>Administrator</dc:creator>
  <cp:lastModifiedBy>Fu</cp:lastModifiedBy>
  <cp:lastPrinted>2020-11-20T10:21:00Z</cp:lastPrinted>
  <dcterms:modified xsi:type="dcterms:W3CDTF">2020-11-25T02:09:13Z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