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20"/>
        </w:tabs>
        <w:jc w:val="center"/>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drawing>
          <wp:anchor distT="0" distB="0" distL="114300" distR="114300" simplePos="0" relativeHeight="251662336" behindDoc="0" locked="0" layoutInCell="1" allowOverlap="1">
            <wp:simplePos x="0" y="0"/>
            <wp:positionH relativeFrom="column">
              <wp:posOffset>-809625</wp:posOffset>
            </wp:positionH>
            <wp:positionV relativeFrom="paragraph">
              <wp:posOffset>-714375</wp:posOffset>
            </wp:positionV>
            <wp:extent cx="7368540" cy="10478770"/>
            <wp:effectExtent l="0" t="0" r="3810" b="17780"/>
            <wp:wrapNone/>
            <wp:docPr id="3" name="图片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1"/>
                    <pic:cNvPicPr>
                      <a:picLocks noChangeAspect="1"/>
                    </pic:cNvPicPr>
                  </pic:nvPicPr>
                  <pic:blipFill>
                    <a:blip r:embed="rId11"/>
                    <a:stretch>
                      <a:fillRect/>
                    </a:stretch>
                  </pic:blipFill>
                  <pic:spPr>
                    <a:xfrm>
                      <a:off x="0" y="0"/>
                      <a:ext cx="7368540" cy="10478770"/>
                    </a:xfrm>
                    <a:prstGeom prst="rect">
                      <a:avLst/>
                    </a:prstGeom>
                  </pic:spPr>
                </pic:pic>
              </a:graphicData>
            </a:graphic>
          </wp:anchor>
        </w:drawing>
      </w:r>
      <w:r>
        <w:rPr>
          <w:rFonts w:hint="eastAsia" w:ascii="宋体" w:hAnsi="宋体" w:eastAsia="宋体" w:cs="宋体"/>
          <w:b/>
          <w:color w:val="auto"/>
          <w:sz w:val="44"/>
          <w:szCs w:val="44"/>
          <w:lang w:eastAsia="zh-CN"/>
        </w:rPr>
        <w:t>广西北部湾宏亚建设管理有限公司靖西分公司</w:t>
      </w:r>
    </w:p>
    <w:p>
      <w:pPr>
        <w:jc w:val="center"/>
        <w:rPr>
          <w:rFonts w:hint="eastAsia" w:ascii="宋体" w:hAnsi="宋体" w:eastAsia="宋体" w:cs="宋体"/>
          <w:color w:val="auto"/>
          <w:sz w:val="72"/>
        </w:rPr>
      </w:pPr>
      <w:r>
        <w:rPr>
          <w:rFonts w:hint="eastAsia" w:ascii="宋体" w:hAnsi="宋体" w:eastAsia="宋体" w:cs="宋体"/>
          <w:b/>
          <w:bCs/>
          <w:color w:val="auto"/>
          <w:sz w:val="52"/>
          <w:szCs w:val="72"/>
        </w:rPr>
        <w:drawing>
          <wp:anchor distT="0" distB="0" distL="114300" distR="114300" simplePos="0" relativeHeight="251661312" behindDoc="0" locked="0" layoutInCell="1" allowOverlap="1">
            <wp:simplePos x="0" y="0"/>
            <wp:positionH relativeFrom="column">
              <wp:posOffset>2075815</wp:posOffset>
            </wp:positionH>
            <wp:positionV relativeFrom="paragraph">
              <wp:posOffset>467360</wp:posOffset>
            </wp:positionV>
            <wp:extent cx="1804670" cy="1804670"/>
            <wp:effectExtent l="0" t="0" r="5080" b="5080"/>
            <wp:wrapNone/>
            <wp:docPr id="5" name="图片 2" descr="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HY"/>
                    <pic:cNvPicPr>
                      <a:picLocks noChangeAspect="1"/>
                    </pic:cNvPicPr>
                  </pic:nvPicPr>
                  <pic:blipFill>
                    <a:blip r:embed="rId12"/>
                    <a:stretch>
                      <a:fillRect/>
                    </a:stretch>
                  </pic:blipFill>
                  <pic:spPr>
                    <a:xfrm>
                      <a:off x="0" y="0"/>
                      <a:ext cx="1804670" cy="1804670"/>
                    </a:xfrm>
                    <a:prstGeom prst="rect">
                      <a:avLst/>
                    </a:prstGeom>
                    <a:noFill/>
                    <a:ln>
                      <a:noFill/>
                    </a:ln>
                  </pic:spPr>
                </pic:pic>
              </a:graphicData>
            </a:graphic>
          </wp:anchor>
        </w:drawing>
      </w: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27305</wp:posOffset>
                </wp:positionV>
                <wp:extent cx="5944235" cy="8255"/>
                <wp:effectExtent l="0" t="0" r="0" b="0"/>
                <wp:wrapNone/>
                <wp:docPr id="2" name="直线 2"/>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6.75pt;margin-top:2.15pt;height:0.65pt;width:468.05pt;z-index:251660288;mso-width-relative:page;mso-height-relative:page;" filled="f" stroked="t" coordsize="21600,21600" o:gfxdata="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F5e9UAAAAGAQAADwAAAAAAAAABACAAAAAiAAAAZHJzL2Rvd25yZXYueG1sUEsBAhQA&#10;FAAAAAgAh07iQBroMA71AQAA9wMAAA4AAAAAAAAAAQAgAAAAJAEAAGRycy9lMm9Eb2MueG1sUEsF&#10;BgAAAAAGAAYAWQEAAIsFAAAAAA==&#10;">
                <v:fill on="f" focussize="0,0"/>
                <v:stroke weight="2.25pt" color="#000000" joinstyle="round"/>
                <v:imagedata o:title=""/>
                <o:lock v:ext="edit" aspectratio="f"/>
              </v:line>
            </w:pict>
          </mc:Fallback>
        </mc:AlternateContent>
      </w:r>
    </w:p>
    <w:p>
      <w:pPr>
        <w:jc w:val="center"/>
        <w:rPr>
          <w:rFonts w:hint="eastAsia" w:ascii="宋体" w:hAnsi="宋体" w:eastAsia="宋体" w:cs="宋体"/>
          <w:color w:val="auto"/>
          <w:sz w:val="24"/>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jc w:val="center"/>
        <w:rPr>
          <w:rFonts w:hint="eastAsia" w:ascii="宋体" w:hAnsi="宋体" w:eastAsia="宋体" w:cs="宋体"/>
          <w:b/>
          <w:bCs/>
          <w:color w:val="auto"/>
          <w:sz w:val="120"/>
        </w:rPr>
      </w:pPr>
      <w:r>
        <w:rPr>
          <w:rFonts w:hint="eastAsia" w:ascii="宋体" w:hAnsi="宋体" w:eastAsia="宋体" w:cs="宋体"/>
          <w:b/>
          <w:bCs/>
          <w:color w:val="auto"/>
          <w:sz w:val="120"/>
        </w:rPr>
        <w:t>竞争性谈判文件</w:t>
      </w:r>
    </w:p>
    <w:p>
      <w:pPr>
        <w:jc w:val="center"/>
        <w:rPr>
          <w:rFonts w:hint="default" w:ascii="宋体" w:hAnsi="宋体" w:eastAsia="宋体" w:cs="宋体"/>
          <w:b/>
          <w:bCs/>
          <w:color w:val="auto"/>
          <w:sz w:val="32"/>
          <w:lang w:val="en-US" w:eastAsia="zh-CN"/>
        </w:rPr>
      </w:pPr>
      <w:r>
        <w:rPr>
          <w:rFonts w:hint="eastAsia" w:ascii="宋体" w:hAnsi="宋体" w:eastAsia="宋体" w:cs="宋体"/>
          <w:b/>
          <w:bCs/>
          <w:color w:val="auto"/>
          <w:sz w:val="32"/>
          <w:lang w:val="en-US" w:eastAsia="zh-CN"/>
        </w:rPr>
        <w:t>(全流程电子化评标)</w:t>
      </w:r>
    </w:p>
    <w:p>
      <w:pPr>
        <w:rPr>
          <w:rFonts w:hint="eastAsia" w:ascii="宋体" w:hAnsi="宋体" w:eastAsia="宋体" w:cs="宋体"/>
          <w:color w:val="auto"/>
          <w:sz w:val="32"/>
        </w:rPr>
      </w:pPr>
    </w:p>
    <w:p>
      <w:pPr>
        <w:keepNext w:val="0"/>
        <w:keepLines w:val="0"/>
        <w:pageBreakBefore w:val="0"/>
        <w:widowControl/>
        <w:kinsoku/>
        <w:wordWrap/>
        <w:overflowPunct/>
        <w:topLinePunct w:val="0"/>
        <w:autoSpaceDE/>
        <w:autoSpaceDN/>
        <w:bidi w:val="0"/>
        <w:adjustRightInd w:val="0"/>
        <w:snapToGrid w:val="0"/>
        <w:spacing w:line="480" w:lineRule="auto"/>
        <w:ind w:left="1600" w:hanging="1600" w:hangingChars="500"/>
        <w:jc w:val="both"/>
        <w:textAlignment w:val="auto"/>
        <w:rPr>
          <w:rFonts w:hint="eastAsia" w:ascii="宋体" w:hAnsi="宋体" w:eastAsia="宋体" w:cs="宋体"/>
          <w:b/>
          <w:color w:val="auto"/>
          <w:sz w:val="32"/>
          <w:u w:val="single"/>
          <w:lang w:eastAsia="zh-CN"/>
        </w:rPr>
      </w:pPr>
      <w:r>
        <w:rPr>
          <w:rFonts w:hint="eastAsia" w:ascii="宋体" w:hAnsi="宋体" w:eastAsia="宋体" w:cs="宋体"/>
          <w:b/>
          <w:color w:val="auto"/>
          <w:sz w:val="32"/>
        </w:rPr>
        <w:t>项目名称：</w:t>
      </w:r>
      <w:r>
        <w:rPr>
          <w:rFonts w:hint="eastAsia" w:ascii="宋体" w:hAnsi="宋体" w:eastAsia="宋体" w:cs="宋体"/>
          <w:b/>
          <w:color w:val="auto"/>
          <w:sz w:val="32"/>
          <w:u w:val="single"/>
          <w:lang w:eastAsia="zh-CN"/>
        </w:rPr>
        <w:t>靖西市财政局智能化会议室设备采购</w:t>
      </w: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color w:val="auto"/>
          <w:sz w:val="32"/>
          <w:u w:val="single"/>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u w:val="single"/>
          <w:lang w:val="en-US" w:eastAsia="zh-CN"/>
        </w:rPr>
        <w:t xml:space="preserve">BSZC2022-J1-250630-BBWHY  </w:t>
      </w:r>
    </w:p>
    <w:p>
      <w:pPr>
        <w:pStyle w:val="22"/>
        <w:rPr>
          <w:rFonts w:hint="eastAsia" w:ascii="宋体" w:hAnsi="宋体" w:eastAsia="宋体" w:cs="宋体"/>
          <w:color w:val="auto"/>
        </w:rPr>
      </w:pPr>
    </w:p>
    <w:p>
      <w:pPr>
        <w:jc w:val="center"/>
        <w:rPr>
          <w:rFonts w:hint="eastAsia" w:ascii="宋体" w:hAnsi="宋体" w:eastAsia="宋体" w:cs="宋体"/>
          <w:color w:val="auto"/>
          <w:sz w:val="32"/>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158750</wp:posOffset>
                </wp:positionV>
                <wp:extent cx="5896610" cy="3175"/>
                <wp:effectExtent l="0" t="13970" r="1270" b="28575"/>
                <wp:wrapNone/>
                <wp:docPr id="1" name="直线 3"/>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25pt;margin-top:12.5pt;height:0.25pt;width:464.3pt;z-index:251659264;mso-width-relative:page;mso-height-relative:page;" filled="f" stroked="t" coordsize="21600,21600" o:gfxdata="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M1LiLXAAAACQEAAA8AAAAAAAAAAQAgAAAAIgAAAGRycy9kb3ducmV2LnhtbFBLAQIUABQAAAAI&#10;AIdO4kDzrggo7gEAAO0DAAAOAAAAAAAAAAEAIAAAACYBAABkcnMvZTJvRG9jLnhtbFBLBQYAAAAA&#10;BgAGAFkBAACGBQAAAAA=&#10;">
                <v:fill on="f" focussize="0,0"/>
                <v:stroke weight="2.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color w:val="auto"/>
          <w:sz w:val="32"/>
          <w:u w:val="single"/>
          <w:lang w:eastAsia="zh-CN"/>
        </w:rPr>
      </w:pPr>
      <w:r>
        <w:rPr>
          <w:rFonts w:hint="eastAsia" w:ascii="宋体" w:hAnsi="宋体" w:eastAsia="宋体" w:cs="宋体"/>
          <w:b/>
          <w:color w:val="auto"/>
          <w:sz w:val="32"/>
        </w:rPr>
        <w:t>采购单位：</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eastAsia="zh-CN"/>
        </w:rPr>
        <w:t>靖西市财政局</w:t>
      </w: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color w:val="auto"/>
          <w:sz w:val="32"/>
          <w:u w:val="single"/>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u w:val="single"/>
          <w:lang w:eastAsia="zh-CN"/>
        </w:rPr>
        <w:t>广西北部湾宏亚建设管理有限公司靖西分公司</w:t>
      </w:r>
      <w:r>
        <w:rPr>
          <w:rFonts w:hint="eastAsia" w:ascii="宋体" w:hAnsi="宋体" w:eastAsia="宋体" w:cs="宋体"/>
          <w:b/>
          <w:color w:val="auto"/>
          <w:sz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firstLine="3040"/>
        <w:textAlignment w:val="auto"/>
        <w:rPr>
          <w:rFonts w:hint="eastAsia" w:ascii="宋体" w:hAnsi="宋体" w:eastAsia="宋体" w:cs="宋体"/>
          <w:b/>
          <w:color w:val="auto"/>
          <w:sz w:val="32"/>
        </w:rPr>
      </w:pPr>
      <w:r>
        <w:rPr>
          <w:rFonts w:hint="eastAsia" w:ascii="宋体" w:hAnsi="宋体" w:eastAsia="宋体" w:cs="宋体"/>
          <w:b/>
          <w:color w:val="auto"/>
          <w:sz w:val="32"/>
          <w:lang w:val="en-US" w:eastAsia="zh-CN"/>
        </w:rPr>
        <w:t>2022</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12</w:t>
      </w:r>
      <w:r>
        <w:rPr>
          <w:rFonts w:hint="eastAsia" w:ascii="宋体" w:hAnsi="宋体" w:eastAsia="宋体" w:cs="宋体"/>
          <w:b/>
          <w:color w:val="auto"/>
          <w:sz w:val="32"/>
        </w:rPr>
        <w:t>月</w:t>
      </w:r>
    </w:p>
    <w:p>
      <w:pPr>
        <w:spacing w:line="600" w:lineRule="exact"/>
        <w:ind w:firstLine="3040"/>
        <w:rPr>
          <w:rFonts w:hint="eastAsia" w:ascii="宋体" w:hAnsi="宋体" w:eastAsia="宋体" w:cs="宋体"/>
          <w:color w:val="auto"/>
        </w:rPr>
        <w:sectPr>
          <w:headerReference r:id="rId6" w:type="first"/>
          <w:headerReference r:id="rId4" w:type="default"/>
          <w:footerReference r:id="rId7" w:type="default"/>
          <w:headerReference r:id="rId5" w:type="even"/>
          <w:footerReference r:id="rId8" w:type="even"/>
          <w:pgSz w:w="11906" w:h="16838"/>
          <w:pgMar w:top="1100" w:right="1418" w:bottom="1084" w:left="1418" w:header="851" w:footer="992" w:gutter="0"/>
          <w:pgNumType w:start="1"/>
          <w:cols w:space="720" w:num="1"/>
          <w:titlePg/>
          <w:docGrid w:type="linesAndChar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b w:val="0"/>
          <w:bCs/>
          <w:smallCaps/>
          <w:color w:val="auto"/>
          <w:sz w:val="24"/>
          <w:szCs w:val="24"/>
          <w:lang w:val="en-US" w:eastAsia="zh-CN"/>
        </w:rPr>
      </w:pPr>
      <w:r>
        <w:rPr>
          <w:rFonts w:hint="eastAsia" w:ascii="宋体" w:hAnsi="宋体" w:eastAsia="宋体" w:cs="宋体"/>
          <w:b/>
          <w:smallCaps/>
          <w:color w:val="auto"/>
          <w:sz w:val="24"/>
          <w:szCs w:val="24"/>
          <w:lang w:eastAsia="zh-CN"/>
        </w:rPr>
        <w:t>第一章</w:t>
      </w:r>
      <w:r>
        <w:rPr>
          <w:rFonts w:hint="eastAsia" w:ascii="宋体" w:hAnsi="宋体" w:eastAsia="宋体" w:cs="宋体"/>
          <w:b/>
          <w:smallCaps/>
          <w:color w:val="auto"/>
          <w:sz w:val="24"/>
          <w:szCs w:val="24"/>
          <w:lang w:val="en-US" w:eastAsia="zh-CN"/>
        </w:rPr>
        <w:t xml:space="preserve"> 竞争性谈判公告</w:t>
      </w:r>
      <w:r>
        <w:rPr>
          <w:rFonts w:hint="eastAsia" w:ascii="宋体" w:hAnsi="宋体" w:eastAsia="宋体" w:cs="宋体"/>
          <w:smallCaps/>
          <w:color w:val="auto"/>
          <w:sz w:val="24"/>
          <w:szCs w:val="24"/>
        </w:rPr>
        <w:tab/>
      </w:r>
      <w:r>
        <w:rPr>
          <w:rFonts w:hint="eastAsia" w:ascii="宋体" w:hAnsi="宋体" w:eastAsia="宋体" w:cs="宋体"/>
          <w:b w:val="0"/>
          <w:bCs/>
          <w:smallCaps/>
          <w:color w:val="auto"/>
          <w:sz w:val="24"/>
          <w:szCs w:val="24"/>
          <w:lang w:val="en-US" w:eastAsia="zh-CN"/>
        </w:rPr>
        <w:t>2</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color w:val="auto"/>
          <w:sz w:val="24"/>
          <w:szCs w:val="24"/>
          <w:lang w:eastAsia="zh-CN"/>
        </w:rPr>
      </w:pPr>
      <w:r>
        <w:rPr>
          <w:rFonts w:hint="eastAsia" w:ascii="宋体" w:hAnsi="宋体" w:eastAsia="宋体" w:cs="宋体"/>
          <w:b/>
          <w:smallCaps/>
          <w:color w:val="auto"/>
          <w:sz w:val="24"/>
          <w:szCs w:val="24"/>
          <w:lang w:eastAsia="zh-CN"/>
        </w:rPr>
        <w:t>第二章</w:t>
      </w:r>
      <w:r>
        <w:rPr>
          <w:rFonts w:hint="eastAsia" w:ascii="宋体" w:hAnsi="宋体" w:eastAsia="宋体" w:cs="宋体"/>
          <w:b/>
          <w:smallCaps/>
          <w:color w:val="auto"/>
          <w:sz w:val="24"/>
          <w:szCs w:val="24"/>
          <w:lang w:val="en-US" w:eastAsia="zh-CN"/>
        </w:rPr>
        <w:t xml:space="preserve"> </w:t>
      </w:r>
      <w:r>
        <w:rPr>
          <w:rFonts w:hint="eastAsia" w:ascii="宋体" w:hAnsi="宋体" w:eastAsia="宋体" w:cs="宋体"/>
          <w:b/>
          <w:smallCaps/>
          <w:color w:val="auto"/>
          <w:sz w:val="24"/>
          <w:szCs w:val="24"/>
        </w:rPr>
        <w:t>竞标须知前附表</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5</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color w:val="auto"/>
          <w:sz w:val="24"/>
          <w:szCs w:val="24"/>
          <w:lang w:eastAsia="zh-CN"/>
        </w:rPr>
      </w:pPr>
      <w:r>
        <w:rPr>
          <w:rFonts w:hint="eastAsia" w:ascii="宋体" w:hAnsi="宋体" w:eastAsia="宋体" w:cs="宋体"/>
          <w:b/>
          <w:smallCaps/>
          <w:color w:val="auto"/>
          <w:sz w:val="24"/>
          <w:szCs w:val="24"/>
        </w:rPr>
        <w:t>一、总则</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8</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color w:val="auto"/>
          <w:sz w:val="24"/>
          <w:szCs w:val="24"/>
          <w:lang w:eastAsia="zh-CN"/>
        </w:rPr>
      </w:pPr>
      <w:r>
        <w:rPr>
          <w:rFonts w:hint="eastAsia" w:ascii="宋体" w:hAnsi="宋体" w:eastAsia="宋体" w:cs="宋体"/>
          <w:b/>
          <w:smallCaps/>
          <w:color w:val="auto"/>
          <w:sz w:val="24"/>
          <w:szCs w:val="24"/>
        </w:rPr>
        <w:t>二、竞争性谈判文件</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8</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color w:val="auto"/>
          <w:sz w:val="24"/>
          <w:szCs w:val="24"/>
          <w:lang w:eastAsia="zh-CN"/>
        </w:rPr>
      </w:pPr>
      <w:r>
        <w:rPr>
          <w:rFonts w:hint="eastAsia" w:ascii="宋体" w:hAnsi="宋体" w:eastAsia="宋体" w:cs="宋体"/>
          <w:b/>
          <w:smallCaps/>
          <w:color w:val="auto"/>
          <w:sz w:val="24"/>
          <w:szCs w:val="24"/>
        </w:rPr>
        <w:t>三、</w:t>
      </w:r>
      <w:r>
        <w:rPr>
          <w:rFonts w:hint="eastAsia" w:ascii="宋体" w:hAnsi="宋体" w:eastAsia="宋体" w:cs="宋体"/>
          <w:b/>
          <w:smallCaps/>
          <w:color w:val="auto"/>
          <w:sz w:val="24"/>
          <w:szCs w:val="24"/>
          <w:lang w:eastAsia="zh-CN"/>
        </w:rPr>
        <w:t>响应文件</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9</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四、竞标</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11</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五、开标</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12</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六、评审</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14</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七、合同授予</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18</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八、其他事项</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19</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textAlignment w:val="auto"/>
        <w:rPr>
          <w:rFonts w:hint="default" w:ascii="宋体" w:hAnsi="宋体" w:eastAsia="宋体" w:cs="宋体"/>
          <w:b/>
          <w:caps/>
          <w:color w:val="auto"/>
          <w:sz w:val="24"/>
          <w:szCs w:val="24"/>
          <w:lang w:val="en-US" w:eastAsia="zh-CN"/>
        </w:rPr>
      </w:pPr>
      <w:r>
        <w:rPr>
          <w:rFonts w:hint="eastAsia" w:ascii="宋体" w:hAnsi="宋体" w:eastAsia="宋体" w:cs="宋体"/>
          <w:b/>
          <w:caps/>
          <w:color w:val="auto"/>
          <w:sz w:val="24"/>
          <w:szCs w:val="24"/>
        </w:rPr>
        <w:t>第三章  货物需求一览表</w:t>
      </w:r>
      <w:r>
        <w:rPr>
          <w:rFonts w:hint="eastAsia" w:ascii="宋体" w:hAnsi="宋体" w:eastAsia="宋体" w:cs="宋体"/>
          <w:smallCaps/>
          <w:color w:val="auto"/>
          <w:sz w:val="24"/>
          <w:szCs w:val="24"/>
        </w:rPr>
        <w:tab/>
      </w:r>
      <w:r>
        <w:rPr>
          <w:rFonts w:hint="eastAsia" w:ascii="宋体" w:hAnsi="宋体" w:eastAsia="宋体" w:cs="宋体"/>
          <w:b w:val="0"/>
          <w:bCs/>
          <w:caps/>
          <w:color w:val="auto"/>
          <w:sz w:val="24"/>
          <w:szCs w:val="24"/>
          <w:lang w:val="en-US" w:eastAsia="zh-CN"/>
        </w:rPr>
        <w:t>20</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textAlignment w:val="auto"/>
        <w:rPr>
          <w:rFonts w:hint="default" w:ascii="宋体" w:hAnsi="宋体" w:eastAsia="宋体" w:cs="宋体"/>
          <w:smallCaps/>
          <w:color w:val="auto"/>
          <w:sz w:val="24"/>
          <w:szCs w:val="24"/>
          <w:lang w:val="en-US" w:eastAsia="zh-CN"/>
        </w:rPr>
      </w:pPr>
      <w:r>
        <w:rPr>
          <w:rFonts w:hint="eastAsia" w:ascii="宋体" w:hAnsi="宋体" w:eastAsia="宋体" w:cs="宋体"/>
          <w:b/>
          <w:caps/>
          <w:color w:val="auto"/>
          <w:sz w:val="24"/>
          <w:szCs w:val="24"/>
        </w:rPr>
        <w:t>第四章  合同协议书</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58</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textAlignment w:val="auto"/>
        <w:rPr>
          <w:rFonts w:hint="default" w:ascii="宋体" w:hAnsi="宋体" w:eastAsia="宋体" w:cs="宋体"/>
          <w:b/>
          <w:caps/>
          <w:color w:val="auto"/>
          <w:sz w:val="24"/>
          <w:szCs w:val="24"/>
          <w:lang w:val="en-US" w:eastAsia="zh-CN"/>
        </w:rPr>
      </w:pPr>
      <w:r>
        <w:rPr>
          <w:rFonts w:hint="eastAsia" w:ascii="宋体" w:hAnsi="宋体" w:eastAsia="宋体" w:cs="宋体"/>
          <w:b/>
          <w:caps/>
          <w:color w:val="auto"/>
          <w:sz w:val="24"/>
          <w:szCs w:val="24"/>
        </w:rPr>
        <w:t xml:space="preserve">第五章  </w:t>
      </w:r>
      <w:r>
        <w:rPr>
          <w:rFonts w:hint="eastAsia" w:ascii="宋体" w:hAnsi="宋体" w:eastAsia="宋体" w:cs="宋体"/>
          <w:b/>
          <w:caps/>
          <w:color w:val="auto"/>
          <w:sz w:val="24"/>
          <w:szCs w:val="24"/>
          <w:lang w:eastAsia="zh-CN"/>
        </w:rPr>
        <w:t>响应文件</w:t>
      </w:r>
      <w:r>
        <w:rPr>
          <w:rFonts w:hint="eastAsia" w:ascii="宋体" w:hAnsi="宋体" w:eastAsia="宋体" w:cs="宋体"/>
          <w:b/>
          <w:caps/>
          <w:color w:val="auto"/>
          <w:sz w:val="24"/>
          <w:szCs w:val="24"/>
        </w:rPr>
        <w:t>格式</w:t>
      </w:r>
      <w:r>
        <w:rPr>
          <w:rFonts w:hint="eastAsia" w:ascii="宋体" w:hAnsi="宋体" w:eastAsia="宋体" w:cs="宋体"/>
          <w:smallCaps/>
          <w:color w:val="auto"/>
          <w:sz w:val="24"/>
          <w:szCs w:val="24"/>
        </w:rPr>
        <w:tab/>
      </w:r>
      <w:r>
        <w:rPr>
          <w:rFonts w:hint="eastAsia" w:ascii="宋体" w:hAnsi="宋体" w:eastAsia="宋体" w:cs="宋体"/>
          <w:b w:val="0"/>
          <w:bCs/>
          <w:caps/>
          <w:color w:val="auto"/>
          <w:sz w:val="24"/>
          <w:szCs w:val="24"/>
          <w:lang w:val="en-US" w:eastAsia="zh-CN"/>
        </w:rPr>
        <w:t>62</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ind w:firstLine="964" w:firstLineChars="400"/>
        <w:textAlignment w:val="auto"/>
        <w:rPr>
          <w:rFonts w:hint="default" w:ascii="宋体" w:hAnsi="宋体" w:eastAsia="宋体" w:cs="宋体"/>
          <w:b w:val="0"/>
          <w:bCs/>
          <w:caps/>
          <w:color w:val="auto"/>
          <w:sz w:val="24"/>
          <w:szCs w:val="24"/>
          <w:lang w:val="en-US" w:eastAsia="zh-CN"/>
        </w:rPr>
      </w:pPr>
      <w:r>
        <w:rPr>
          <w:rFonts w:hint="eastAsia" w:ascii="宋体" w:hAnsi="宋体" w:eastAsia="宋体" w:cs="宋体"/>
          <w:b/>
          <w:caps/>
          <w:color w:val="auto"/>
          <w:sz w:val="24"/>
          <w:szCs w:val="24"/>
          <w:lang w:eastAsia="zh-CN"/>
        </w:rPr>
        <w:t>资格审查文件</w:t>
      </w:r>
      <w:r>
        <w:rPr>
          <w:rFonts w:hint="eastAsia" w:ascii="宋体" w:hAnsi="宋体" w:eastAsia="宋体" w:cs="宋体"/>
          <w:smallCaps/>
          <w:color w:val="auto"/>
          <w:sz w:val="24"/>
          <w:szCs w:val="24"/>
        </w:rPr>
        <w:tab/>
      </w:r>
      <w:r>
        <w:rPr>
          <w:rFonts w:hint="eastAsia" w:ascii="宋体" w:hAnsi="宋体" w:eastAsia="宋体" w:cs="宋体"/>
          <w:b w:val="0"/>
          <w:bCs/>
          <w:caps/>
          <w:color w:val="auto"/>
          <w:sz w:val="24"/>
          <w:szCs w:val="24"/>
          <w:lang w:val="en-US" w:eastAsia="zh-CN"/>
        </w:rPr>
        <w:t>62</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ind w:firstLine="964" w:firstLineChars="400"/>
        <w:textAlignment w:val="auto"/>
        <w:rPr>
          <w:rFonts w:hint="default" w:ascii="宋体" w:hAnsi="宋体" w:eastAsia="宋体" w:cs="宋体"/>
          <w:b/>
          <w:color w:val="auto"/>
          <w:lang w:val="en-US"/>
        </w:rPr>
      </w:pPr>
      <w:r>
        <w:rPr>
          <w:rFonts w:hint="eastAsia" w:ascii="宋体" w:hAnsi="宋体" w:eastAsia="宋体" w:cs="宋体"/>
          <w:b/>
          <w:caps/>
          <w:color w:val="auto"/>
          <w:sz w:val="24"/>
          <w:szCs w:val="24"/>
        </w:rPr>
        <w:t>商务</w:t>
      </w:r>
      <w:r>
        <w:rPr>
          <w:rFonts w:hint="eastAsia" w:ascii="宋体" w:hAnsi="宋体" w:eastAsia="宋体" w:cs="宋体"/>
          <w:b/>
          <w:caps/>
          <w:color w:val="auto"/>
          <w:sz w:val="24"/>
          <w:szCs w:val="24"/>
          <w:lang w:eastAsia="zh-CN"/>
        </w:rPr>
        <w:t>报价文件</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67</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ind w:firstLine="964" w:firstLineChars="400"/>
        <w:textAlignment w:val="auto"/>
        <w:rPr>
          <w:rFonts w:hint="default" w:ascii="宋体" w:hAnsi="宋体" w:eastAsia="宋体" w:cs="宋体"/>
          <w:b w:val="0"/>
          <w:bCs/>
          <w:i w:val="0"/>
          <w:iCs w:val="0"/>
          <w:caps/>
          <w:color w:val="auto"/>
          <w:sz w:val="24"/>
          <w:szCs w:val="24"/>
          <w:lang w:val="en-US" w:eastAsia="zh-CN"/>
        </w:rPr>
      </w:pPr>
      <w:r>
        <w:rPr>
          <w:rFonts w:hint="eastAsia" w:ascii="宋体" w:hAnsi="宋体" w:eastAsia="宋体" w:cs="宋体"/>
          <w:b/>
          <w:caps/>
          <w:color w:val="auto"/>
          <w:sz w:val="24"/>
          <w:szCs w:val="24"/>
        </w:rPr>
        <w:t>技术</w:t>
      </w:r>
      <w:r>
        <w:rPr>
          <w:rFonts w:hint="eastAsia" w:ascii="宋体" w:hAnsi="宋体" w:eastAsia="宋体" w:cs="宋体"/>
          <w:b/>
          <w:caps/>
          <w:color w:val="auto"/>
          <w:sz w:val="24"/>
          <w:szCs w:val="24"/>
          <w:lang w:eastAsia="zh-CN"/>
        </w:rPr>
        <w:t>文件</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74</w:t>
      </w:r>
    </w:p>
    <w:p>
      <w:pPr>
        <w:pStyle w:val="2"/>
        <w:ind w:firstLine="940" w:firstLineChars="390"/>
        <w:rPr>
          <w:rFonts w:hint="eastAsia" w:ascii="宋体" w:hAnsi="宋体" w:eastAsia="宋体" w:cs="宋体"/>
          <w:b/>
          <w:caps/>
          <w:color w:val="auto"/>
          <w:sz w:val="24"/>
          <w:szCs w:val="24"/>
        </w:rPr>
      </w:pPr>
    </w:p>
    <w:p>
      <w:pPr>
        <w:pStyle w:val="2"/>
        <w:ind w:firstLine="940" w:firstLineChars="390"/>
        <w:rPr>
          <w:rFonts w:hint="eastAsia" w:ascii="宋体" w:hAnsi="宋体" w:eastAsia="宋体" w:cs="宋体"/>
          <w:b/>
          <w:caps/>
          <w:color w:val="auto"/>
          <w:sz w:val="24"/>
          <w:szCs w:val="24"/>
        </w:rPr>
      </w:pPr>
    </w:p>
    <w:p>
      <w:pPr>
        <w:rPr>
          <w:rFonts w:hint="eastAsia" w:ascii="宋体" w:hAnsi="宋体" w:eastAsia="宋体" w:cs="宋体"/>
          <w:color w:val="auto"/>
        </w:rPr>
      </w:pPr>
    </w:p>
    <w:p>
      <w:pPr>
        <w:keepNext w:val="0"/>
        <w:keepLines w:val="0"/>
        <w:pageBreakBefore w:val="0"/>
        <w:widowControl/>
        <w:tabs>
          <w:tab w:val="left" w:pos="9214"/>
        </w:tabs>
        <w:kinsoku/>
        <w:wordWrap/>
        <w:overflowPunct/>
        <w:topLinePunct w:val="0"/>
        <w:autoSpaceDE/>
        <w:autoSpaceDN/>
        <w:bidi w:val="0"/>
        <w:adjustRightInd w:val="0"/>
        <w:snapToGrid/>
        <w:spacing w:line="192" w:lineRule="auto"/>
        <w:ind w:right="423"/>
        <w:jc w:val="center"/>
        <w:textAlignment w:val="auto"/>
        <w:rPr>
          <w:rFonts w:hint="eastAsia" w:asciiTheme="minorEastAsia" w:hAnsiTheme="minorEastAsia" w:eastAsiaTheme="minorEastAsia" w:cstheme="minorEastAsia"/>
          <w:b/>
          <w:color w:val="auto"/>
          <w:sz w:val="30"/>
          <w:szCs w:val="30"/>
          <w:lang w:eastAsia="zh-CN"/>
        </w:rPr>
      </w:pPr>
      <w:r>
        <w:rPr>
          <w:rFonts w:hint="eastAsia" w:asciiTheme="minorEastAsia" w:hAnsiTheme="minorEastAsia" w:eastAsiaTheme="minorEastAsia" w:cstheme="minorEastAsia"/>
          <w:b/>
          <w:color w:val="auto"/>
          <w:sz w:val="30"/>
          <w:szCs w:val="30"/>
          <w:lang w:val="en-US" w:eastAsia="zh-CN"/>
        </w:rPr>
        <w:t xml:space="preserve">      </w:t>
      </w:r>
      <w:r>
        <w:rPr>
          <w:rFonts w:hint="eastAsia" w:asciiTheme="minorEastAsia" w:hAnsiTheme="minorEastAsia" w:eastAsiaTheme="minorEastAsia" w:cstheme="minorEastAsia"/>
          <w:b/>
          <w:color w:val="auto"/>
          <w:sz w:val="30"/>
          <w:szCs w:val="30"/>
          <w:lang w:eastAsia="zh-CN"/>
        </w:rPr>
        <w:t>第一章</w:t>
      </w:r>
      <w:r>
        <w:rPr>
          <w:rFonts w:hint="eastAsia" w:asciiTheme="minorEastAsia" w:hAnsiTheme="minorEastAsia" w:eastAsiaTheme="minorEastAsia" w:cstheme="minorEastAsia"/>
          <w:b/>
          <w:color w:val="auto"/>
          <w:sz w:val="30"/>
          <w:szCs w:val="30"/>
          <w:lang w:val="en-US" w:eastAsia="zh-CN"/>
        </w:rPr>
        <w:t xml:space="preserve">  </w:t>
      </w:r>
      <w:r>
        <w:rPr>
          <w:rFonts w:hint="eastAsia" w:asciiTheme="minorEastAsia" w:hAnsiTheme="minorEastAsia" w:eastAsiaTheme="minorEastAsia" w:cstheme="minorEastAsia"/>
          <w:b/>
          <w:bCs w:val="0"/>
          <w:color w:val="auto"/>
          <w:sz w:val="30"/>
          <w:szCs w:val="30"/>
          <w:highlight w:val="none"/>
          <w:u w:val="none"/>
        </w:rPr>
        <w:t>竞争性谈判</w:t>
      </w:r>
      <w:r>
        <w:rPr>
          <w:rFonts w:hint="eastAsia" w:asciiTheme="minorEastAsia" w:hAnsiTheme="minorEastAsia" w:eastAsiaTheme="minorEastAsia" w:cstheme="minorEastAsia"/>
          <w:b/>
          <w:bCs w:val="0"/>
          <w:color w:val="auto"/>
          <w:sz w:val="30"/>
          <w:szCs w:val="30"/>
          <w:highlight w:val="none"/>
          <w:u w:val="none"/>
          <w:lang w:eastAsia="zh-CN"/>
        </w:rPr>
        <w:t>公告</w:t>
      </w:r>
    </w:p>
    <w:p>
      <w:pPr>
        <w:pStyle w:val="2"/>
        <w:keepNext w:val="0"/>
        <w:keepLines w:val="0"/>
        <w:pageBreakBefore w:val="0"/>
        <w:widowControl/>
        <w:kinsoku/>
        <w:wordWrap/>
        <w:overflowPunct/>
        <w:topLinePunct w:val="0"/>
        <w:autoSpaceDE/>
        <w:autoSpaceDN/>
        <w:bidi w:val="0"/>
        <w:adjustRightInd w:val="0"/>
        <w:snapToGrid/>
        <w:spacing w:line="192" w:lineRule="auto"/>
        <w:ind w:firstLine="420"/>
        <w:jc w:val="center"/>
        <w:textAlignment w:val="baseline"/>
        <w:rPr>
          <w:rFonts w:hint="eastAsia" w:asciiTheme="minorEastAsia" w:hAnsiTheme="minorEastAsia" w:eastAsiaTheme="minorEastAsia" w:cstheme="minorEastAsia"/>
          <w:b/>
          <w:bCs/>
          <w:color w:val="auto"/>
          <w:sz w:val="30"/>
          <w:szCs w:val="30"/>
          <w:lang w:eastAsia="zh-CN"/>
        </w:rPr>
      </w:pPr>
      <w:bookmarkStart w:id="0" w:name="OLE_LINK2"/>
      <w:r>
        <w:rPr>
          <w:rFonts w:hint="eastAsia" w:asciiTheme="minorEastAsia" w:hAnsiTheme="minorEastAsia" w:eastAsiaTheme="minorEastAsia" w:cstheme="minorEastAsia"/>
          <w:b/>
          <w:bCs/>
          <w:color w:val="auto"/>
          <w:sz w:val="30"/>
          <w:szCs w:val="30"/>
          <w:lang w:eastAsia="zh-CN"/>
        </w:rPr>
        <w:t>广西北部湾宏亚建设管理有限公司靖西分公司</w:t>
      </w:r>
    </w:p>
    <w:p>
      <w:pPr>
        <w:pStyle w:val="2"/>
        <w:keepNext w:val="0"/>
        <w:keepLines w:val="0"/>
        <w:pageBreakBefore w:val="0"/>
        <w:widowControl/>
        <w:kinsoku/>
        <w:wordWrap/>
        <w:overflowPunct/>
        <w:topLinePunct w:val="0"/>
        <w:autoSpaceDE/>
        <w:autoSpaceDN/>
        <w:bidi w:val="0"/>
        <w:adjustRightInd w:val="0"/>
        <w:snapToGrid/>
        <w:spacing w:line="192" w:lineRule="auto"/>
        <w:ind w:firstLine="420"/>
        <w:jc w:val="center"/>
        <w:textAlignment w:val="baseline"/>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靖西市财政局智能化会议室设备采购（BSZC2022-J1-250630-BBWHY）</w:t>
      </w:r>
    </w:p>
    <w:p>
      <w:pPr>
        <w:pStyle w:val="2"/>
        <w:keepNext w:val="0"/>
        <w:keepLines w:val="0"/>
        <w:pageBreakBefore w:val="0"/>
        <w:widowControl/>
        <w:kinsoku/>
        <w:wordWrap/>
        <w:overflowPunct/>
        <w:topLinePunct w:val="0"/>
        <w:autoSpaceDE/>
        <w:autoSpaceDN/>
        <w:bidi w:val="0"/>
        <w:adjustRightInd w:val="0"/>
        <w:snapToGrid/>
        <w:spacing w:line="192" w:lineRule="auto"/>
        <w:ind w:firstLine="420"/>
        <w:jc w:val="center"/>
        <w:textAlignment w:val="baseline"/>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竞争性谈判公告</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single"/>
          <w:lang w:eastAsia="zh-CN"/>
        </w:rPr>
        <w:t>靖西市财政局智能化会议室设备采购</w:t>
      </w:r>
      <w:r>
        <w:rPr>
          <w:rFonts w:hint="eastAsia" w:ascii="宋体" w:hAnsi="宋体" w:eastAsia="宋体" w:cs="宋体"/>
          <w:color w:val="auto"/>
          <w:sz w:val="24"/>
          <w:szCs w:val="24"/>
          <w:lang w:eastAsia="zh-CN"/>
        </w:rPr>
        <w:t>的潜在供应商应在</w:t>
      </w:r>
      <w:r>
        <w:rPr>
          <w:rFonts w:hint="eastAsia" w:ascii="宋体" w:hAnsi="宋体" w:eastAsia="宋体" w:cs="宋体"/>
          <w:color w:val="auto"/>
          <w:sz w:val="24"/>
          <w:szCs w:val="24"/>
          <w:u w:val="single"/>
          <w:lang w:eastAsia="zh-CN"/>
        </w:rPr>
        <w:t>“政采云”平台（http：//www.zcygov.cn）</w:t>
      </w:r>
      <w:r>
        <w:rPr>
          <w:rFonts w:hint="eastAsia" w:ascii="宋体" w:hAnsi="宋体" w:eastAsia="宋体" w:cs="宋体"/>
          <w:color w:val="auto"/>
          <w:sz w:val="24"/>
          <w:szCs w:val="24"/>
          <w:lang w:eastAsia="zh-CN"/>
        </w:rPr>
        <w:t>获取采购文件，并于</w:t>
      </w:r>
      <w:r>
        <w:rPr>
          <w:rFonts w:hint="eastAsia" w:ascii="宋体" w:hAnsi="宋体" w:eastAsia="宋体" w:cs="宋体"/>
          <w:color w:val="auto"/>
          <w:sz w:val="24"/>
          <w:szCs w:val="24"/>
          <w:u w:val="single"/>
          <w:lang w:val="en-US" w:eastAsia="zh-CN"/>
        </w:rPr>
        <w:t>2022年 12 月 19 日08 点30 分</w:t>
      </w:r>
      <w:r>
        <w:rPr>
          <w:rFonts w:hint="eastAsia" w:ascii="宋体" w:hAnsi="宋体" w:eastAsia="宋体" w:cs="宋体"/>
          <w:color w:val="auto"/>
          <w:sz w:val="24"/>
          <w:szCs w:val="24"/>
          <w:lang w:val="en-US" w:eastAsia="zh-CN"/>
        </w:rPr>
        <w:t>（北京时间）前提交响应文件。</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lang w:val="en-US" w:eastAsia="zh-CN"/>
        </w:rPr>
        <w:t>一、项目基本情况</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项目编号：BSZC2022-J1-250630-BBWHY</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项目名称：靖西市财政局智能化会议室设备采购</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采购方式：☑竞争性谈判   □竞争性磋商   □询价</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预算金额：人民币壹佰玖拾叁万肆仟陆佰肆拾万元整（¥1934640.00）</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最高限价：人民币壹佰玖拾叁万肆仟陆佰肆拾万元整（¥1934640.00）</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需求：拟采购室内全彩高清LED显示屏及视频控制住系统2套、无纸化会议系统12套，会议扩声系统2套，网闸一套，无线双面水墨屏20套，笔记本11套，平板9套办公家具一批，视频远程会议设备1套，高拍仪9套等,如需进一步了解详细内容，详见竞争性谈判文件。</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szCs w:val="24"/>
          <w:highlight w:val="none"/>
          <w:lang w:eastAsia="zh-CN"/>
        </w:rPr>
        <w:t>签订合同之日起15日内完成供货并安装调试及交付正常使用；</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本项目不接受联合体竞标。</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二、申请人的资格要求</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1.满足《中华人民共和国政府采购法》第二十二条规定；</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2.落实政府采购政策需满足的资格要求：</w:t>
      </w:r>
      <w:r>
        <w:rPr>
          <w:rFonts w:hint="eastAsia" w:ascii="宋体" w:hAnsi="宋体" w:eastAsia="宋体" w:cs="宋体"/>
          <w:color w:val="auto"/>
          <w:sz w:val="24"/>
          <w:szCs w:val="24"/>
          <w:highlight w:val="none"/>
          <w:lang w:val="en-US" w:eastAsia="zh-CN"/>
        </w:rPr>
        <w:t>无。</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3.本项目的特定资格要求：</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（1）国内注册（指按国家有关规定要求注册的）生产或经营本次竞标采购货物，并具有合法资格的供应商；</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（2）符合《中华人民共和国政府采购法》第二十二条、《政府采购非招标采购方式管理办法》等相关规定，</w:t>
      </w:r>
      <w:r>
        <w:rPr>
          <w:rFonts w:hint="eastAsia" w:ascii="宋体" w:hAnsi="宋体" w:eastAsia="宋体" w:cs="宋体"/>
          <w:color w:val="auto"/>
          <w:sz w:val="24"/>
          <w:szCs w:val="24"/>
          <w:highlight w:val="none"/>
          <w:lang w:val="en-US" w:eastAsia="zh-CN"/>
        </w:rPr>
        <w:t>获得采购人和评审专家分别书面推荐</w:t>
      </w:r>
      <w:r>
        <w:rPr>
          <w:rFonts w:hint="eastAsia" w:ascii="宋体" w:hAnsi="宋体" w:eastAsia="宋体" w:cs="宋体"/>
          <w:color w:val="auto"/>
          <w:sz w:val="24"/>
          <w:szCs w:val="24"/>
          <w:lang w:val="en-US" w:eastAsia="zh-CN"/>
        </w:rPr>
        <w:t>,并在规定时间内获取竞争性谈判文件的供应商。</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(4)单位负责人为同一人或者存在直接控股、管理关系的不同供应商，不得参加同一合同项下的政府采购活动。</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(5)不接受未获取本采购文件的供应商竞标。</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  间：</w:t>
      </w:r>
      <w:r>
        <w:rPr>
          <w:rFonts w:hint="eastAsia" w:ascii="宋体" w:hAnsi="宋体" w:eastAsia="宋体" w:cs="宋体"/>
          <w:color w:val="auto"/>
          <w:sz w:val="24"/>
          <w:szCs w:val="24"/>
          <w:u w:val="single"/>
          <w:lang w:val="en-US" w:eastAsia="zh-CN"/>
        </w:rPr>
        <w:t>2022年 12 月 14 日至2022年 12 月 16 日</w:t>
      </w:r>
      <w:r>
        <w:rPr>
          <w:rFonts w:hint="eastAsia" w:ascii="宋体" w:hAnsi="宋体" w:eastAsia="宋体" w:cs="宋体"/>
          <w:color w:val="auto"/>
          <w:sz w:val="24"/>
          <w:szCs w:val="24"/>
          <w:lang w:val="en-US" w:eastAsia="zh-CN"/>
        </w:rPr>
        <w:t>，每天上午8:00-12:00，下午15:00-18:00（北京时间，法定节假日除外）</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点：</w:t>
      </w:r>
      <w:r>
        <w:rPr>
          <w:rFonts w:hint="eastAsia" w:ascii="宋体" w:hAnsi="宋体" w:eastAsia="宋体" w:cs="宋体"/>
          <w:color w:val="auto"/>
          <w:szCs w:val="21"/>
          <w:highlight w:val="none"/>
          <w:u w:val="single"/>
        </w:rPr>
        <w:t xml:space="preserve">政采云平台（www.zcygov.cn） </w:t>
      </w:r>
      <w:r>
        <w:rPr>
          <w:rFonts w:hint="eastAsia" w:ascii="宋体" w:hAnsi="宋体" w:eastAsia="宋体" w:cs="宋体"/>
          <w:color w:val="auto"/>
          <w:szCs w:val="21"/>
          <w:highlight w:val="none"/>
        </w:rPr>
        <w:t>。</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color w:val="auto"/>
          <w:szCs w:val="21"/>
          <w:highlight w:val="none"/>
        </w:rPr>
      </w:pPr>
      <w:r>
        <w:rPr>
          <w:rFonts w:hint="eastAsia" w:ascii="宋体" w:hAnsi="宋体" w:eastAsia="宋体" w:cs="宋体"/>
          <w:color w:val="auto"/>
          <w:sz w:val="24"/>
          <w:szCs w:val="24"/>
          <w:lang w:val="en-US" w:eastAsia="zh-CN"/>
        </w:rPr>
        <w:t>方 式：</w:t>
      </w:r>
      <w:r>
        <w:rPr>
          <w:rFonts w:hint="eastAsia" w:ascii="宋体" w:hAnsi="宋体" w:eastAsia="宋体" w:cs="宋体"/>
          <w:color w:val="auto"/>
          <w:sz w:val="24"/>
          <w:szCs w:val="24"/>
          <w:highlight w:val="none"/>
        </w:rPr>
        <w:t>登陆政采云平台（www.zcygov.cn）自行免费</w:t>
      </w:r>
      <w:r>
        <w:rPr>
          <w:rFonts w:hint="eastAsia" w:ascii="宋体" w:hAnsi="宋体" w:eastAsia="宋体" w:cs="宋体"/>
          <w:color w:val="auto"/>
          <w:sz w:val="24"/>
          <w:szCs w:val="24"/>
          <w:highlight w:val="none"/>
          <w:lang w:eastAsia="zh-CN"/>
        </w:rPr>
        <w:t>下载</w:t>
      </w:r>
      <w:r>
        <w:rPr>
          <w:rFonts w:hint="eastAsia" w:ascii="宋体" w:hAnsi="宋体" w:eastAsia="宋体" w:cs="宋体"/>
          <w:color w:val="auto"/>
          <w:sz w:val="24"/>
          <w:szCs w:val="24"/>
          <w:highlight w:val="none"/>
        </w:rPr>
        <w:t>获取竞争性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本项目采用采购人和评审专家分别书面推荐的方式邀请不少于3家符合相应资格条件的供应商参与竞争性谈判活动。受邀供应商登录政采云平台https://www.zcygov.cn/在线申请获取采购文件（操作路径：登录“政采云”平台-项目采购-获取采购文件-找到本项目-点击“申请获取采购文件”），电子响应文件制作需要基于“政采云”平台（http：//www.zcygov.cn）获取的采购文件编制。</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四、响应文件提交</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截止时间：</w:t>
      </w:r>
      <w:r>
        <w:rPr>
          <w:rFonts w:hint="eastAsia" w:ascii="宋体" w:hAnsi="宋体" w:eastAsia="宋体" w:cs="宋体"/>
          <w:color w:val="auto"/>
          <w:sz w:val="24"/>
          <w:szCs w:val="24"/>
          <w:u w:val="single"/>
          <w:lang w:val="en-US" w:eastAsia="zh-CN"/>
        </w:rPr>
        <w:t xml:space="preserve">2022年 12 月 19 日08 点30 </w:t>
      </w:r>
      <w:r>
        <w:rPr>
          <w:rFonts w:hint="eastAsia" w:ascii="宋体" w:hAnsi="宋体" w:eastAsia="宋体" w:cs="宋体"/>
          <w:color w:val="auto"/>
          <w:sz w:val="24"/>
          <w:szCs w:val="24"/>
          <w:lang w:val="en-US" w:eastAsia="zh-CN"/>
        </w:rPr>
        <w:t>（北京时间）。</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地点：供应商通过CA登录“政采云”网上招投标系统将电子响应文件加密后上传完成，实行在线竞标响应。</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  间：</w:t>
      </w:r>
      <w:r>
        <w:rPr>
          <w:rFonts w:hint="eastAsia" w:ascii="宋体" w:hAnsi="宋体" w:eastAsia="宋体" w:cs="宋体"/>
          <w:color w:val="auto"/>
          <w:sz w:val="24"/>
          <w:szCs w:val="24"/>
          <w:u w:val="single"/>
          <w:lang w:val="en-US" w:eastAsia="zh-CN"/>
        </w:rPr>
        <w:t xml:space="preserve">2022年 12 月 19 日08 点30 </w:t>
      </w:r>
      <w:r>
        <w:rPr>
          <w:rFonts w:hint="eastAsia" w:ascii="宋体" w:hAnsi="宋体" w:eastAsia="宋体" w:cs="宋体"/>
          <w:color w:val="auto"/>
          <w:sz w:val="24"/>
          <w:szCs w:val="24"/>
          <w:lang w:val="en-US" w:eastAsia="zh-CN"/>
        </w:rPr>
        <w:t>（北京时间）。</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点：“政采云”平台电子开标大厅。</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六、公告期限</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自本公告发布之日起3个工作日。</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七、其他补充事宜</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竞标保证金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根据“百政办电[2021]34号文件，鼓励免收投标保证金”，本项目无需缴纳</w:t>
      </w:r>
      <w:r>
        <w:rPr>
          <w:rFonts w:hint="eastAsia" w:ascii="宋体" w:hAnsi="宋体" w:eastAsia="宋体" w:cs="宋体"/>
          <w:color w:val="auto"/>
          <w:sz w:val="24"/>
          <w:szCs w:val="24"/>
          <w:lang w:eastAsia="zh-CN"/>
        </w:rPr>
        <w:t>竞</w:t>
      </w:r>
      <w:r>
        <w:rPr>
          <w:rFonts w:hint="eastAsia" w:ascii="宋体" w:hAnsi="宋体" w:eastAsia="宋体" w:cs="宋体"/>
          <w:color w:val="auto"/>
          <w:kern w:val="2"/>
          <w:sz w:val="24"/>
          <w:szCs w:val="24"/>
        </w:rPr>
        <w:t>标</w:t>
      </w:r>
      <w:r>
        <w:rPr>
          <w:rFonts w:hint="eastAsia" w:ascii="宋体" w:hAnsi="宋体" w:eastAsia="宋体" w:cs="宋体"/>
          <w:color w:val="auto"/>
          <w:sz w:val="24"/>
          <w:szCs w:val="24"/>
        </w:rPr>
        <w:t>保证金</w:t>
      </w:r>
      <w:r>
        <w:rPr>
          <w:rFonts w:hint="eastAsia" w:ascii="宋体" w:hAnsi="宋体" w:eastAsia="宋体" w:cs="宋体"/>
          <w:color w:val="auto"/>
          <w:sz w:val="24"/>
          <w:szCs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120" w:line="24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需要落实的政府采购政策：《政府采购促进中小企业发展暂行办法》（财库[2011]181号）、《财政部、司法部关于政府采购支持监狱企业发展有关问题的通知》（财库[2014]68号）《三部门联合发布关于促进残疾人就业政府采购政策的通知》（财库〔2017〕141号）、支持采用本国产品、优先采购环境标志产品、节能产品等政策。</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3、本项目实行全流程电子化交易，谈判供应商如有需要，可以参与现场谈判会（所需在线竞标响应及解密开启设备自带）并可在谈判截止时间前提供以介质（U 盘或光盘等）存储的数据电文形成的电子备份响应文件。电子备份响应文件应当由法定代表人或授权委托代理人（需携带法定代表人身份证明书或授权委托书原件及身份证原件等有效证明材料）在竞标截止时间前按要求密封并提交至广西北部湾宏亚建设管理有限公司靖西分公司（靖西市吉祥路古力屯三产用地峰珲体育三楼），</w:t>
      </w:r>
      <w:r>
        <w:rPr>
          <w:rFonts w:hint="eastAsia" w:ascii="宋体" w:hAnsi="宋体" w:eastAsia="宋体" w:cs="宋体"/>
          <w:color w:val="auto"/>
          <w:sz w:val="24"/>
          <w:szCs w:val="24"/>
          <w:lang w:val="en-US" w:eastAsia="zh-CN"/>
        </w:rPr>
        <w:t>如竞标人未按要求提供以上材料，</w:t>
      </w:r>
      <w:r>
        <w:rPr>
          <w:rFonts w:hint="eastAsia" w:ascii="宋体" w:hAnsi="宋体" w:eastAsia="宋体" w:cs="宋体"/>
          <w:color w:val="auto"/>
          <w:sz w:val="24"/>
          <w:szCs w:val="24"/>
          <w:highlight w:val="none"/>
          <w:lang w:val="en-US" w:eastAsia="zh-CN"/>
        </w:rPr>
        <w:t>逾期送达或未按要求密封将被拒收。电子备份响应文件应当密封包装并在包装上标注竞标项目名称、单位名称并加盖单位公章。</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谈判供应商提交了电子备份响应文件后，如通过政采云平台上传递交的电子加密电子响应文件无法按时解密且无法通过政采云“异常处理”端口处理的视为电子响应文件撤回，所造成的后果由供应商自行承担。</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首次响应文件提交地点：</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竞标截止时间前通过网络上传至“政采云”平台，供应商在“政采云”平台提交电子版响应文件时，请填写参加远程采购活动经办人联系方式。</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（2）未进行网上注册并办理数字证书（CA认证）的供应商将无法参与本项目政府采购活动，潜在供应商应要尽早完成电子交易平台上的CA数字证书办理，并在首次响应文件提交截止时间前提交响应文件。</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、CA证书在线解密：首次响应文件开启时，须要供应商登录“政采云”平台电子开标大厅按规定时间对加密的响应文件进行解密，若在规定时间内没有完成解密的后果自负。</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网上公告媒体查询：</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936" w:firstLineChars="39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中国政府采购网（http://www.ccgp.gov.cn）、</w:t>
      </w:r>
    </w:p>
    <w:p>
      <w:pPr>
        <w:pStyle w:val="2"/>
        <w:keepNext w:val="0"/>
        <w:keepLines w:val="0"/>
        <w:pageBreakBefore w:val="0"/>
        <w:widowControl/>
        <w:kinsoku/>
        <w:wordWrap/>
        <w:overflowPunct/>
        <w:topLinePunct w:val="0"/>
        <w:autoSpaceDE/>
        <w:autoSpaceDN/>
        <w:bidi w:val="0"/>
        <w:adjustRightInd w:val="0"/>
        <w:snapToGrid w:val="0"/>
        <w:spacing w:after="0" w:line="240" w:lineRule="auto"/>
        <w:ind w:firstLine="936" w:firstLineChars="390"/>
        <w:textAlignment w:val="baseline"/>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广西壮族自治区政府采购网（http://www.gxzfcg.gov.cn/）。</w:t>
      </w:r>
    </w:p>
    <w:p>
      <w:pPr>
        <w:pStyle w:val="2"/>
        <w:keepNext w:val="0"/>
        <w:keepLines w:val="0"/>
        <w:pageBreakBefore w:val="0"/>
        <w:widowControl/>
        <w:kinsoku/>
        <w:wordWrap/>
        <w:overflowPunct/>
        <w:topLinePunct w:val="0"/>
        <w:autoSpaceDE/>
        <w:autoSpaceDN/>
        <w:bidi w:val="0"/>
        <w:adjustRightInd w:val="0"/>
        <w:snapToGrid w:val="0"/>
        <w:spacing w:line="240" w:lineRule="auto"/>
        <w:ind w:left="0" w:leftChars="0" w:firstLine="482" w:firstLineChars="20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八、凡对本次采购提出询问，请按以下方式联系。</w:t>
      </w:r>
    </w:p>
    <w:p>
      <w:pPr>
        <w:pStyle w:val="4"/>
        <w:keepLines w:val="0"/>
        <w:pageBreakBefore w:val="0"/>
        <w:widowControl/>
        <w:kinsoku/>
        <w:wordWrap/>
        <w:overflowPunct/>
        <w:topLinePunct w:val="0"/>
        <w:autoSpaceDE w:val="0"/>
        <w:autoSpaceDN/>
        <w:bidi w:val="0"/>
        <w:adjustRightInd w:val="0"/>
        <w:snapToGrid w:val="0"/>
        <w:spacing w:before="0" w:after="0" w:line="252" w:lineRule="auto"/>
        <w:ind w:firstLine="720" w:firstLineChars="3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1、采购人信息</w:t>
      </w:r>
    </w:p>
    <w:p>
      <w:pPr>
        <w:pageBreakBefore w:val="0"/>
        <w:widowControl/>
        <w:kinsoku/>
        <w:wordWrap/>
        <w:overflowPunct/>
        <w:topLinePunct w:val="0"/>
        <w:autoSpaceDE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none"/>
        </w:rPr>
        <w:t xml:space="preserve"> 靖西市财政局                 </w:t>
      </w:r>
    </w:p>
    <w:p>
      <w:pPr>
        <w:pageBreakBefore w:val="0"/>
        <w:widowControl/>
        <w:kinsoku/>
        <w:wordWrap/>
        <w:overflowPunct/>
        <w:topLinePunct w:val="0"/>
        <w:autoSpaceDE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地    址： 靖西市三元路</w:t>
      </w:r>
      <w:r>
        <w:rPr>
          <w:rFonts w:hint="eastAsia" w:ascii="宋体" w:hAnsi="宋体" w:eastAsia="宋体" w:cs="宋体"/>
          <w:color w:val="auto"/>
          <w:sz w:val="24"/>
          <w:szCs w:val="24"/>
          <w:u w:val="none"/>
          <w:lang w:val="en-US" w:eastAsia="zh-CN"/>
        </w:rPr>
        <w:t>102</w:t>
      </w:r>
      <w:r>
        <w:rPr>
          <w:rFonts w:hint="eastAsia" w:ascii="宋体" w:hAnsi="宋体" w:eastAsia="宋体" w:cs="宋体"/>
          <w:color w:val="auto"/>
          <w:sz w:val="24"/>
          <w:szCs w:val="24"/>
          <w:u w:val="none"/>
          <w:lang w:eastAsia="zh-CN"/>
        </w:rPr>
        <w:t xml:space="preserve">号       </w:t>
      </w:r>
      <w:r>
        <w:rPr>
          <w:rFonts w:hint="eastAsia" w:ascii="宋体" w:hAnsi="宋体" w:eastAsia="宋体" w:cs="宋体"/>
          <w:color w:val="auto"/>
          <w:sz w:val="24"/>
          <w:szCs w:val="24"/>
          <w:u w:val="none"/>
          <w:lang w:val="en-US" w:eastAsia="zh-CN"/>
        </w:rPr>
        <w:t xml:space="preserve"> </w:t>
      </w:r>
    </w:p>
    <w:p>
      <w:pPr>
        <w:pageBreakBefore w:val="0"/>
        <w:widowControl/>
        <w:kinsoku/>
        <w:wordWrap/>
        <w:overflowPunct/>
        <w:topLinePunct w:val="0"/>
        <w:autoSpaceDE w:val="0"/>
        <w:autoSpaceDN/>
        <w:bidi w:val="0"/>
        <w:adjustRightInd w:val="0"/>
        <w:snapToGrid w:val="0"/>
        <w:spacing w:line="252" w:lineRule="auto"/>
        <w:ind w:firstLine="960" w:firstLineChars="4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none"/>
          <w:lang w:val="en-US" w:eastAsia="zh-CN"/>
        </w:rPr>
        <w:t xml:space="preserve">  王和炮                         </w:t>
      </w:r>
    </w:p>
    <w:p>
      <w:pPr>
        <w:pageBreakBefore w:val="0"/>
        <w:widowControl/>
        <w:kinsoku/>
        <w:wordWrap/>
        <w:overflowPunct/>
        <w:topLinePunct w:val="0"/>
        <w:autoSpaceDE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none"/>
          <w:lang w:val="en-US" w:eastAsia="zh-CN"/>
        </w:rPr>
        <w:t xml:space="preserve"> 0776-6232525</w:t>
      </w:r>
      <w:r>
        <w:rPr>
          <w:rFonts w:hint="eastAsia" w:ascii="宋体" w:hAnsi="宋体" w:eastAsia="宋体" w:cs="宋体"/>
          <w:color w:val="auto"/>
          <w:sz w:val="24"/>
          <w:szCs w:val="24"/>
          <w:u w:val="none"/>
        </w:rPr>
        <w:t xml:space="preserve">                </w:t>
      </w:r>
    </w:p>
    <w:p>
      <w:pPr>
        <w:pStyle w:val="4"/>
        <w:keepLines w:val="0"/>
        <w:pageBreakBefore w:val="0"/>
        <w:widowControl/>
        <w:kinsoku/>
        <w:wordWrap/>
        <w:overflowPunct/>
        <w:topLinePunct w:val="0"/>
        <w:autoSpaceDE w:val="0"/>
        <w:autoSpaceDN/>
        <w:bidi w:val="0"/>
        <w:adjustRightInd w:val="0"/>
        <w:snapToGrid w:val="0"/>
        <w:spacing w:before="0" w:after="0" w:line="252" w:lineRule="auto"/>
        <w:ind w:firstLine="720" w:firstLineChars="300"/>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2、采购代理机构信息</w:t>
      </w:r>
    </w:p>
    <w:p>
      <w:pPr>
        <w:pageBreakBefore w:val="0"/>
        <w:widowControl/>
        <w:kinsoku/>
        <w:wordWrap/>
        <w:overflowPunct/>
        <w:topLinePunct w:val="0"/>
        <w:autoSpaceDE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名    称： </w:t>
      </w:r>
      <w:r>
        <w:rPr>
          <w:rFonts w:hint="eastAsia" w:ascii="宋体" w:hAnsi="宋体" w:eastAsia="宋体" w:cs="宋体"/>
          <w:color w:val="auto"/>
          <w:sz w:val="24"/>
          <w:szCs w:val="24"/>
          <w:u w:val="none"/>
          <w:lang w:eastAsia="zh-CN"/>
        </w:rPr>
        <w:t>广西北部湾宏亚建设管理有限公司靖西分公司</w:t>
      </w:r>
      <w:r>
        <w:rPr>
          <w:rFonts w:hint="eastAsia" w:ascii="宋体" w:hAnsi="宋体" w:eastAsia="宋体" w:cs="宋体"/>
          <w:color w:val="auto"/>
          <w:sz w:val="24"/>
          <w:szCs w:val="24"/>
          <w:u w:val="none"/>
        </w:rPr>
        <w:t xml:space="preserve">             </w:t>
      </w:r>
    </w:p>
    <w:p>
      <w:pPr>
        <w:pageBreakBefore w:val="0"/>
        <w:widowControl/>
        <w:kinsoku/>
        <w:wordWrap/>
        <w:overflowPunct/>
        <w:topLinePunct w:val="0"/>
        <w:autoSpaceDE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地    址： 靖西市吉祥路古力屯三产用地峰珲体育三楼     </w:t>
      </w:r>
    </w:p>
    <w:p>
      <w:pPr>
        <w:pageBreakBefore w:val="0"/>
        <w:widowControl/>
        <w:kinsoku/>
        <w:wordWrap/>
        <w:overflowPunct/>
        <w:topLinePunct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联 系 人：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lang w:eastAsia="zh-CN"/>
        </w:rPr>
        <w:t>韦彩玲</w:t>
      </w:r>
      <w:r>
        <w:rPr>
          <w:rFonts w:hint="eastAsia" w:ascii="宋体" w:hAnsi="宋体" w:eastAsia="宋体" w:cs="宋体"/>
          <w:color w:val="auto"/>
          <w:sz w:val="24"/>
          <w:szCs w:val="24"/>
          <w:u w:val="none"/>
        </w:rPr>
        <w:t xml:space="preserve">                        </w:t>
      </w:r>
    </w:p>
    <w:p>
      <w:pPr>
        <w:pageBreakBefore w:val="0"/>
        <w:widowControl/>
        <w:kinsoku/>
        <w:wordWrap/>
        <w:overflowPunct/>
        <w:topLinePunct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联系方式：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0776-</w:t>
      </w:r>
      <w:r>
        <w:rPr>
          <w:rFonts w:hint="eastAsia" w:ascii="宋体" w:hAnsi="宋体" w:eastAsia="宋体" w:cs="宋体"/>
          <w:color w:val="auto"/>
          <w:sz w:val="24"/>
          <w:szCs w:val="24"/>
          <w:u w:val="none"/>
          <w:lang w:val="en-US" w:eastAsia="zh-CN"/>
        </w:rPr>
        <w:t>6180899</w:t>
      </w:r>
      <w:r>
        <w:rPr>
          <w:rFonts w:hint="eastAsia" w:ascii="宋体" w:hAnsi="宋体" w:eastAsia="宋体" w:cs="宋体"/>
          <w:color w:val="auto"/>
          <w:sz w:val="24"/>
          <w:szCs w:val="24"/>
          <w:u w:val="none"/>
        </w:rPr>
        <w:t xml:space="preserve">                   </w:t>
      </w:r>
    </w:p>
    <w:p>
      <w:pPr>
        <w:keepNext/>
        <w:keepLines/>
        <w:pageBreakBefore w:val="0"/>
        <w:widowControl/>
        <w:kinsoku/>
        <w:wordWrap/>
        <w:overflowPunct/>
        <w:topLinePunct w:val="0"/>
        <w:autoSpaceDN/>
        <w:bidi w:val="0"/>
        <w:adjustRightInd w:val="0"/>
        <w:snapToGrid w:val="0"/>
        <w:spacing w:line="252" w:lineRule="auto"/>
        <w:ind w:firstLine="720" w:firstLineChars="300"/>
        <w:textAlignment w:val="auto"/>
        <w:outlineLvl w:val="1"/>
        <w:rPr>
          <w:rFonts w:hint="eastAsia" w:ascii="宋体" w:hAnsi="宋体" w:eastAsia="宋体" w:cs="宋体"/>
          <w:bCs/>
          <w:color w:val="auto"/>
          <w:kern w:val="0"/>
          <w:sz w:val="24"/>
          <w:szCs w:val="24"/>
          <w:u w:val="none"/>
        </w:rPr>
      </w:pPr>
      <w:bookmarkStart w:id="1" w:name="_Toc35393639"/>
      <w:bookmarkStart w:id="2" w:name="_Toc28359098"/>
      <w:bookmarkStart w:id="3" w:name="_Toc28359021"/>
      <w:bookmarkStart w:id="4" w:name="_Toc35393808"/>
      <w:r>
        <w:rPr>
          <w:rFonts w:hint="eastAsia" w:ascii="宋体" w:hAnsi="宋体" w:eastAsia="宋体" w:cs="宋体"/>
          <w:bCs/>
          <w:color w:val="auto"/>
          <w:kern w:val="0"/>
          <w:sz w:val="24"/>
          <w:szCs w:val="24"/>
          <w:u w:val="none"/>
          <w:lang w:val="en-US" w:eastAsia="zh-CN"/>
        </w:rPr>
        <w:t>3、</w:t>
      </w:r>
      <w:r>
        <w:rPr>
          <w:rFonts w:hint="eastAsia" w:ascii="宋体" w:hAnsi="宋体" w:eastAsia="宋体" w:cs="宋体"/>
          <w:bCs/>
          <w:color w:val="auto"/>
          <w:kern w:val="0"/>
          <w:sz w:val="24"/>
          <w:szCs w:val="24"/>
          <w:u w:val="none"/>
        </w:rPr>
        <w:t>项目联系方式</w:t>
      </w:r>
      <w:bookmarkEnd w:id="1"/>
      <w:bookmarkEnd w:id="2"/>
      <w:bookmarkEnd w:id="3"/>
      <w:bookmarkEnd w:id="4"/>
    </w:p>
    <w:p>
      <w:pPr>
        <w:pageBreakBefore w:val="0"/>
        <w:widowControl/>
        <w:kinsoku/>
        <w:wordWrap/>
        <w:overflowPunct/>
        <w:topLinePunct w:val="0"/>
        <w:autoSpaceDN/>
        <w:bidi w:val="0"/>
        <w:adjustRightInd w:val="0"/>
        <w:snapToGrid w:val="0"/>
        <w:spacing w:line="252" w:lineRule="auto"/>
        <w:ind w:firstLine="960" w:firstLineChars="400"/>
        <w:textAlignment w:val="auto"/>
        <w:rPr>
          <w:rFonts w:hint="eastAsia" w:ascii="宋体" w:hAnsi="宋体" w:eastAsia="宋体" w:cs="宋体"/>
          <w:color w:val="auto"/>
          <w:kern w:val="0"/>
          <w:sz w:val="24"/>
          <w:szCs w:val="24"/>
          <w:u w:val="none"/>
          <w:lang w:eastAsia="zh-CN"/>
        </w:rPr>
      </w:pPr>
      <w:r>
        <w:rPr>
          <w:rFonts w:hint="eastAsia" w:ascii="宋体" w:hAnsi="宋体" w:eastAsia="宋体" w:cs="宋体"/>
          <w:color w:val="auto"/>
          <w:kern w:val="0"/>
          <w:sz w:val="24"/>
          <w:szCs w:val="24"/>
          <w:u w:val="none"/>
        </w:rPr>
        <w:t>项目联系人：</w:t>
      </w:r>
      <w:r>
        <w:rPr>
          <w:rFonts w:hint="eastAsia" w:ascii="宋体" w:hAnsi="宋体" w:eastAsia="宋体" w:cs="宋体"/>
          <w:color w:val="auto"/>
          <w:sz w:val="24"/>
          <w:szCs w:val="24"/>
          <w:u w:val="none"/>
          <w:lang w:eastAsia="zh-CN"/>
        </w:rPr>
        <w:t xml:space="preserve">韦彩玲 </w:t>
      </w:r>
    </w:p>
    <w:p>
      <w:pPr>
        <w:pageBreakBefore w:val="0"/>
        <w:widowControl/>
        <w:kinsoku/>
        <w:wordWrap/>
        <w:overflowPunct/>
        <w:topLinePunct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电　　 话：</w:t>
      </w:r>
      <w:r>
        <w:rPr>
          <w:rFonts w:hint="eastAsia" w:ascii="宋体" w:hAnsi="宋体" w:eastAsia="宋体" w:cs="宋体"/>
          <w:color w:val="auto"/>
          <w:sz w:val="24"/>
          <w:szCs w:val="24"/>
          <w:u w:val="none"/>
          <w:lang w:eastAsia="zh-CN"/>
        </w:rPr>
        <w:t xml:space="preserve">0776-6180899 </w:t>
      </w:r>
    </w:p>
    <w:p>
      <w:pPr>
        <w:pageBreakBefore w:val="0"/>
        <w:widowControl/>
        <w:numPr>
          <w:ilvl w:val="0"/>
          <w:numId w:val="0"/>
        </w:numPr>
        <w:kinsoku/>
        <w:wordWrap/>
        <w:overflowPunct/>
        <w:topLinePunct w:val="0"/>
        <w:autoSpaceDE w:val="0"/>
        <w:autoSpaceDN/>
        <w:bidi w:val="0"/>
        <w:adjustRightInd w:val="0"/>
        <w:snapToGrid w:val="0"/>
        <w:spacing w:line="252" w:lineRule="auto"/>
        <w:ind w:firstLine="720" w:firstLineChars="300"/>
        <w:textAlignment w:val="auto"/>
        <w:rPr>
          <w:rFonts w:hint="eastAsia" w:ascii="宋体" w:hAnsi="宋体" w:eastAsia="宋体" w:cs="宋体"/>
          <w:color w:val="auto"/>
          <w:sz w:val="24"/>
          <w:szCs w:val="24"/>
          <w:u w:val="none"/>
        </w:rPr>
      </w:pPr>
      <w:r>
        <w:rPr>
          <w:rFonts w:hint="eastAsia" w:ascii="宋体" w:hAnsi="宋体" w:eastAsia="宋体" w:cs="宋体"/>
          <w:bCs/>
          <w:color w:val="auto"/>
          <w:sz w:val="24"/>
          <w:szCs w:val="24"/>
          <w:u w:val="none"/>
          <w:lang w:val="en-US" w:eastAsia="zh-CN"/>
        </w:rPr>
        <w:t>4、</w:t>
      </w:r>
      <w:r>
        <w:rPr>
          <w:rFonts w:hint="eastAsia" w:ascii="宋体" w:hAnsi="宋体" w:eastAsia="宋体" w:cs="宋体"/>
          <w:bCs/>
          <w:color w:val="auto"/>
          <w:sz w:val="24"/>
          <w:szCs w:val="24"/>
          <w:u w:val="none"/>
        </w:rPr>
        <w:t>监督部门</w:t>
      </w:r>
      <w:r>
        <w:rPr>
          <w:rFonts w:hint="eastAsia" w:ascii="宋体" w:hAnsi="宋体" w:eastAsia="宋体" w:cs="宋体"/>
          <w:color w:val="auto"/>
          <w:sz w:val="24"/>
          <w:szCs w:val="24"/>
          <w:u w:val="none"/>
        </w:rPr>
        <w:t>：</w:t>
      </w:r>
    </w:p>
    <w:p>
      <w:pPr>
        <w:pageBreakBefore w:val="0"/>
        <w:widowControl/>
        <w:numPr>
          <w:ilvl w:val="0"/>
          <w:numId w:val="0"/>
        </w:numPr>
        <w:kinsoku/>
        <w:wordWrap/>
        <w:overflowPunct/>
        <w:topLinePunct w:val="0"/>
        <w:autoSpaceDE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靖西市财政局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联系电话：0776-6231753</w:t>
      </w:r>
    </w:p>
    <w:p>
      <w:pPr>
        <w:pageBreakBefore w:val="0"/>
        <w:widowControl/>
        <w:kinsoku/>
        <w:wordWrap/>
        <w:overflowPunct/>
        <w:topLinePunct w:val="0"/>
        <w:autoSpaceDE w:val="0"/>
        <w:autoSpaceDN/>
        <w:bidi w:val="0"/>
        <w:adjustRightInd w:val="0"/>
        <w:snapToGrid w:val="0"/>
        <w:spacing w:line="252" w:lineRule="auto"/>
        <w:ind w:firstLine="960" w:firstLineChars="4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靖西市公共资源交易监督管理办公室      联系电话：0776-6150686</w:t>
      </w:r>
    </w:p>
    <w:p>
      <w:pPr>
        <w:pStyle w:val="2"/>
        <w:keepNext w:val="0"/>
        <w:keepLines w:val="0"/>
        <w:pageBreakBefore w:val="0"/>
        <w:widowControl/>
        <w:kinsoku/>
        <w:wordWrap/>
        <w:overflowPunct/>
        <w:topLinePunct w:val="0"/>
        <w:autoSpaceDE/>
        <w:autoSpaceDN/>
        <w:bidi w:val="0"/>
        <w:adjustRightInd w:val="0"/>
        <w:snapToGrid/>
        <w:spacing w:line="240" w:lineRule="auto"/>
        <w:ind w:firstLine="936" w:firstLineChars="390"/>
        <w:textAlignment w:val="baseline"/>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u w:val="none"/>
        </w:rPr>
        <w:t>靖西市纪委监察委                      联系电话：0776-6229906</w:t>
      </w:r>
      <w:r>
        <w:rPr>
          <w:rFonts w:hint="eastAsia" w:ascii="宋体" w:hAnsi="宋体" w:eastAsia="宋体" w:cs="宋体"/>
          <w:color w:val="auto"/>
          <w:sz w:val="24"/>
          <w:szCs w:val="24"/>
          <w:lang w:eastAsia="zh-CN"/>
        </w:rPr>
        <w:t xml:space="preserve"> </w:t>
      </w:r>
      <w:r>
        <w:rPr>
          <w:rFonts w:hint="eastAsia" w:asciiTheme="minorEastAsia" w:hAnsiTheme="minorEastAsia" w:eastAsiaTheme="minorEastAsia" w:cstheme="minorEastAsia"/>
          <w:color w:val="auto"/>
          <w:sz w:val="24"/>
          <w:szCs w:val="24"/>
          <w:lang w:eastAsia="zh-CN"/>
        </w:rPr>
        <w:t xml:space="preserve">          </w:t>
      </w:r>
    </w:p>
    <w:p>
      <w:pPr>
        <w:pStyle w:val="2"/>
        <w:keepNext w:val="0"/>
        <w:keepLines w:val="0"/>
        <w:pageBreakBefore w:val="0"/>
        <w:widowControl/>
        <w:kinsoku/>
        <w:wordWrap/>
        <w:overflowPunct/>
        <w:topLinePunct w:val="0"/>
        <w:autoSpaceDE/>
        <w:autoSpaceDN/>
        <w:bidi w:val="0"/>
        <w:adjustRightInd w:val="0"/>
        <w:spacing w:line="240" w:lineRule="auto"/>
        <w:rPr>
          <w:rFonts w:hint="eastAsia"/>
          <w:color w:val="auto"/>
        </w:rPr>
      </w:pPr>
    </w:p>
    <w:p>
      <w:pPr>
        <w:keepNext w:val="0"/>
        <w:keepLines w:val="0"/>
        <w:pageBreakBefore w:val="0"/>
        <w:widowControl/>
        <w:kinsoku/>
        <w:wordWrap/>
        <w:overflowPunct/>
        <w:topLinePunct w:val="0"/>
        <w:autoSpaceDE/>
        <w:autoSpaceDN/>
        <w:bidi w:val="0"/>
        <w:adjustRightInd w:val="0"/>
        <w:snapToGrid w:val="0"/>
        <w:spacing w:line="240" w:lineRule="auto"/>
        <w:ind w:firstLine="4800" w:firstLineChars="2000"/>
        <w:textAlignment w:val="auto"/>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广西北部湾宏亚建设管理有限公司靖西分公司</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 xml:space="preserve">                                                         </w:t>
      </w:r>
      <w:r>
        <w:rPr>
          <w:rFonts w:hint="eastAsia"/>
          <w:color w:val="auto"/>
        </w:rPr>
        <w:t>20</w:t>
      </w:r>
      <w:r>
        <w:rPr>
          <w:rFonts w:hint="eastAsia"/>
          <w:color w:val="auto"/>
          <w:lang w:val="en-US" w:eastAsia="zh-CN"/>
        </w:rPr>
        <w:t>22</w:t>
      </w:r>
      <w:r>
        <w:rPr>
          <w:rFonts w:hint="eastAsia"/>
          <w:color w:val="auto"/>
        </w:rPr>
        <w:t>年</w:t>
      </w:r>
      <w:r>
        <w:rPr>
          <w:rFonts w:hint="eastAsia"/>
          <w:color w:val="auto"/>
          <w:lang w:val="en-US" w:eastAsia="zh-CN"/>
        </w:rPr>
        <w:t xml:space="preserve"> 12 </w:t>
      </w:r>
      <w:r>
        <w:rPr>
          <w:rFonts w:hint="eastAsia"/>
          <w:color w:val="auto"/>
        </w:rPr>
        <w:t>月</w:t>
      </w:r>
      <w:r>
        <w:rPr>
          <w:rFonts w:hint="eastAsia"/>
          <w:color w:val="auto"/>
          <w:lang w:val="en-US" w:eastAsia="zh-CN"/>
        </w:rPr>
        <w:t xml:space="preserve"> 13 </w:t>
      </w:r>
      <w:r>
        <w:rPr>
          <w:rFonts w:hint="eastAsia"/>
          <w:color w:val="auto"/>
        </w:rPr>
        <w:t xml:space="preserve">日  </w:t>
      </w:r>
    </w:p>
    <w:p>
      <w:pPr>
        <w:spacing w:line="320" w:lineRule="exact"/>
        <w:jc w:val="center"/>
        <w:rPr>
          <w:rFonts w:hint="eastAsia" w:ascii="宋体" w:hAnsi="宋体" w:eastAsia="宋体" w:cs="宋体"/>
          <w:b/>
          <w:color w:val="auto"/>
          <w:sz w:val="32"/>
          <w:szCs w:val="32"/>
        </w:rPr>
      </w:pPr>
    </w:p>
    <w:p>
      <w:pPr>
        <w:pStyle w:val="2"/>
        <w:rPr>
          <w:rFonts w:hint="eastAsia" w:ascii="宋体" w:hAnsi="宋体" w:eastAsia="宋体" w:cs="宋体"/>
          <w:b/>
          <w:color w:val="auto"/>
          <w:sz w:val="32"/>
          <w:szCs w:val="32"/>
        </w:rPr>
      </w:pPr>
    </w:p>
    <w:p>
      <w:pPr>
        <w:pStyle w:val="2"/>
        <w:ind w:left="0" w:leftChars="0" w:firstLine="0" w:firstLineChars="0"/>
        <w:rPr>
          <w:rFonts w:hint="eastAsia" w:ascii="宋体" w:hAnsi="宋体" w:eastAsia="宋体" w:cs="宋体"/>
          <w:b/>
          <w:color w:val="auto"/>
          <w:sz w:val="32"/>
          <w:szCs w:val="32"/>
        </w:rPr>
      </w:pPr>
    </w:p>
    <w:p>
      <w:pPr>
        <w:pStyle w:val="2"/>
        <w:ind w:left="0" w:leftChars="0" w:firstLine="0" w:firstLineChars="0"/>
        <w:rPr>
          <w:rFonts w:hint="eastAsia" w:ascii="宋体" w:hAnsi="宋体" w:eastAsia="宋体" w:cs="宋体"/>
          <w:b/>
          <w:color w:val="auto"/>
          <w:sz w:val="32"/>
          <w:szCs w:val="32"/>
        </w:rPr>
      </w:pPr>
    </w:p>
    <w:p>
      <w:pPr>
        <w:pStyle w:val="2"/>
        <w:rPr>
          <w:rFonts w:hint="eastAsia"/>
          <w:color w:val="auto"/>
        </w:rPr>
      </w:pPr>
    </w:p>
    <w:p>
      <w:pPr>
        <w:spacing w:line="320" w:lineRule="exact"/>
        <w:jc w:val="center"/>
        <w:rPr>
          <w:rFonts w:hint="eastAsia" w:ascii="宋体" w:hAnsi="宋体" w:eastAsia="宋体" w:cs="宋体"/>
          <w:color w:val="auto"/>
          <w:sz w:val="24"/>
          <w:szCs w:val="24"/>
        </w:rPr>
      </w:pPr>
      <w:r>
        <w:rPr>
          <w:rFonts w:hint="eastAsia" w:ascii="宋体" w:hAnsi="宋体" w:eastAsia="宋体" w:cs="宋体"/>
          <w:b/>
          <w:color w:val="auto"/>
          <w:sz w:val="32"/>
          <w:szCs w:val="32"/>
        </w:rPr>
        <w:t xml:space="preserve">第二章  </w:t>
      </w:r>
      <w:bookmarkEnd w:id="0"/>
      <w:r>
        <w:rPr>
          <w:rFonts w:hint="eastAsia" w:ascii="宋体" w:hAnsi="宋体" w:eastAsia="宋体" w:cs="宋体"/>
          <w:b/>
          <w:color w:val="auto"/>
          <w:sz w:val="32"/>
          <w:szCs w:val="32"/>
          <w:lang w:eastAsia="zh-CN"/>
        </w:rPr>
        <w:t>供应商</w:t>
      </w:r>
      <w:r>
        <w:rPr>
          <w:rFonts w:hint="eastAsia" w:ascii="宋体" w:hAnsi="宋体" w:eastAsia="宋体" w:cs="宋体"/>
          <w:b/>
          <w:color w:val="auto"/>
          <w:sz w:val="32"/>
          <w:szCs w:val="32"/>
        </w:rPr>
        <w:t>须知及前附表</w:t>
      </w:r>
    </w:p>
    <w:p>
      <w:pPr>
        <w:keepNext/>
        <w:keepLines/>
        <w:spacing w:line="380" w:lineRule="atLeast"/>
        <w:jc w:val="center"/>
        <w:rPr>
          <w:rFonts w:hint="eastAsia" w:ascii="宋体" w:hAnsi="宋体" w:eastAsia="宋体" w:cs="宋体"/>
          <w:b/>
          <w:color w:val="auto"/>
          <w:sz w:val="28"/>
        </w:rPr>
      </w:pP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竞标须知前附表</w:t>
      </w:r>
    </w:p>
    <w:tbl>
      <w:tblPr>
        <w:tblStyle w:val="16"/>
        <w:tblW w:w="9889" w:type="dxa"/>
        <w:tblInd w:w="108" w:type="dxa"/>
        <w:tblLayout w:type="fixed"/>
        <w:tblCellMar>
          <w:top w:w="0" w:type="dxa"/>
          <w:left w:w="108" w:type="dxa"/>
          <w:bottom w:w="0" w:type="dxa"/>
          <w:right w:w="108" w:type="dxa"/>
        </w:tblCellMar>
      </w:tblPr>
      <w:tblGrid>
        <w:gridCol w:w="758"/>
        <w:gridCol w:w="1030"/>
        <w:gridCol w:w="8101"/>
      </w:tblGrid>
      <w:tr>
        <w:tblPrEx>
          <w:tblCellMar>
            <w:top w:w="0" w:type="dxa"/>
            <w:left w:w="108" w:type="dxa"/>
            <w:bottom w:w="0" w:type="dxa"/>
            <w:right w:w="108" w:type="dxa"/>
          </w:tblCellMar>
        </w:tblPrEx>
        <w:trPr>
          <w:trHeight w:val="531"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color w:val="auto"/>
                <w:kern w:val="2"/>
                <w:sz w:val="24"/>
              </w:rPr>
              <w:t>项号</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条款号</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内容规格</w:t>
            </w:r>
          </w:p>
        </w:tc>
      </w:tr>
      <w:tr>
        <w:tblPrEx>
          <w:tblCellMar>
            <w:top w:w="0" w:type="dxa"/>
            <w:left w:w="108" w:type="dxa"/>
            <w:bottom w:w="0" w:type="dxa"/>
            <w:right w:w="108" w:type="dxa"/>
          </w:tblCellMar>
        </w:tblPrEx>
        <w:trPr>
          <w:trHeight w:val="3028" w:hRule="atLeas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ind w:left="0" w:right="0"/>
              <w:rPr>
                <w:rFonts w:hint="eastAsia" w:ascii="宋体" w:hAnsi="宋体" w:eastAsia="宋体" w:cs="宋体"/>
                <w:b/>
                <w:color w:val="auto"/>
                <w:kern w:val="2"/>
                <w:sz w:val="24"/>
              </w:rPr>
            </w:pPr>
            <w:r>
              <w:rPr>
                <w:rFonts w:hint="eastAsia" w:ascii="宋体" w:hAnsi="宋体" w:eastAsia="宋体" w:cs="宋体"/>
                <w:b/>
                <w:color w:val="auto"/>
                <w:kern w:val="2"/>
                <w:sz w:val="24"/>
              </w:rPr>
              <w:t>项目综合说明：</w:t>
            </w:r>
          </w:p>
          <w:p>
            <w:pPr>
              <w:keepNext w:val="0"/>
              <w:keepLines w:val="0"/>
              <w:widowControl/>
              <w:suppressLineNumbers w:val="0"/>
              <w:spacing w:before="0" w:beforeAutospacing="0" w:afterAutospacing="0" w:line="360" w:lineRule="auto"/>
              <w:ind w:left="0" w:right="0"/>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rPr>
              <w:t>项目名称：</w:t>
            </w:r>
            <w:r>
              <w:rPr>
                <w:rFonts w:hint="eastAsia" w:ascii="宋体" w:hAnsi="宋体" w:eastAsia="宋体" w:cs="宋体"/>
                <w:color w:val="auto"/>
                <w:kern w:val="2"/>
                <w:sz w:val="24"/>
                <w:u w:val="single"/>
                <w:lang w:val="en-US" w:eastAsia="zh-CN"/>
              </w:rPr>
              <w:t>靖西市财政局智能化会议室设备采购</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4"/>
                <w:highlight w:val="yellow"/>
              </w:rPr>
            </w:pPr>
            <w:r>
              <w:rPr>
                <w:rFonts w:hint="eastAsia" w:ascii="宋体" w:hAnsi="宋体" w:eastAsia="宋体" w:cs="宋体"/>
                <w:color w:val="auto"/>
                <w:kern w:val="2"/>
                <w:sz w:val="24"/>
              </w:rPr>
              <w:t>项目编号：</w:t>
            </w:r>
            <w:r>
              <w:rPr>
                <w:rFonts w:hint="eastAsia" w:ascii="宋体" w:hAnsi="宋体" w:eastAsia="宋体" w:cs="宋体"/>
                <w:color w:val="auto"/>
                <w:kern w:val="2"/>
                <w:sz w:val="24"/>
                <w:highlight w:val="none"/>
                <w:u w:val="single"/>
                <w:lang w:eastAsia="zh-CN"/>
              </w:rPr>
              <w:t>BSZC2022-J1-250630-BBWHY</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4"/>
                <w:lang w:eastAsia="zh-CN"/>
              </w:rPr>
            </w:pPr>
            <w:r>
              <w:rPr>
                <w:rFonts w:hint="eastAsia" w:ascii="宋体" w:hAnsi="宋体" w:eastAsia="宋体" w:cs="宋体"/>
                <w:color w:val="auto"/>
                <w:kern w:val="2"/>
                <w:sz w:val="24"/>
              </w:rPr>
              <w:t>项目地点：</w:t>
            </w:r>
            <w:r>
              <w:rPr>
                <w:rFonts w:hint="eastAsia" w:ascii="宋体" w:hAnsi="宋体" w:eastAsia="宋体" w:cs="宋体"/>
                <w:color w:val="auto"/>
                <w:kern w:val="2"/>
                <w:sz w:val="24"/>
                <w:u w:val="single"/>
              </w:rPr>
              <w:t>靖西市</w:t>
            </w:r>
            <w:r>
              <w:rPr>
                <w:rFonts w:hint="eastAsia" w:ascii="宋体" w:hAnsi="宋体" w:eastAsia="宋体" w:cs="宋体"/>
                <w:color w:val="auto"/>
                <w:kern w:val="2"/>
                <w:sz w:val="24"/>
                <w:u w:val="single"/>
                <w:lang w:val="en-US" w:eastAsia="zh-CN"/>
              </w:rPr>
              <w:t xml:space="preserve"> </w:t>
            </w:r>
          </w:p>
          <w:p>
            <w:pPr>
              <w:keepNext w:val="0"/>
              <w:keepLines w:val="0"/>
              <w:widowControl/>
              <w:suppressLineNumbers w:val="0"/>
              <w:spacing w:before="240" w:beforeAutospacing="0" w:afterAutospacing="0" w:line="360" w:lineRule="auto"/>
              <w:ind w:left="0" w:right="0"/>
              <w:rPr>
                <w:rFonts w:hint="eastAsia" w:ascii="宋体" w:hAnsi="宋体" w:eastAsia="宋体" w:cs="宋体"/>
                <w:color w:val="auto"/>
                <w:kern w:val="2"/>
                <w:sz w:val="24"/>
                <w:highlight w:val="none"/>
                <w:u w:val="none"/>
                <w:lang w:eastAsia="zh-CN"/>
              </w:rPr>
            </w:pPr>
            <w:r>
              <w:rPr>
                <w:rFonts w:hint="eastAsia" w:ascii="宋体" w:hAnsi="宋体" w:eastAsia="宋体" w:cs="宋体"/>
                <w:color w:val="auto"/>
                <w:kern w:val="2"/>
                <w:sz w:val="24"/>
                <w:highlight w:val="none"/>
                <w:u w:val="none"/>
                <w:lang w:eastAsia="zh-CN"/>
              </w:rPr>
              <w:t>交货期：签订合同之日起</w:t>
            </w:r>
            <w:r>
              <w:rPr>
                <w:rFonts w:hint="eastAsia" w:ascii="宋体" w:hAnsi="宋体" w:eastAsia="宋体" w:cs="宋体"/>
                <w:color w:val="auto"/>
                <w:kern w:val="2"/>
                <w:sz w:val="24"/>
                <w:highlight w:val="none"/>
                <w:u w:val="none"/>
                <w:lang w:val="en-US" w:eastAsia="zh-CN"/>
              </w:rPr>
              <w:t>15</w:t>
            </w:r>
            <w:r>
              <w:rPr>
                <w:rFonts w:hint="eastAsia" w:ascii="宋体" w:hAnsi="宋体" w:eastAsia="宋体" w:cs="宋体"/>
                <w:color w:val="auto"/>
                <w:kern w:val="2"/>
                <w:sz w:val="24"/>
                <w:highlight w:val="none"/>
                <w:u w:val="none"/>
                <w:lang w:eastAsia="zh-CN"/>
              </w:rPr>
              <w:t>日内完成供货并安装调试及交付正常使用</w:t>
            </w:r>
            <w:r>
              <w:rPr>
                <w:rFonts w:hint="eastAsia" w:ascii="宋体" w:hAnsi="宋体" w:eastAsia="宋体" w:cs="宋体"/>
                <w:bCs/>
                <w:color w:val="auto"/>
                <w:kern w:val="2"/>
                <w:sz w:val="21"/>
                <w:szCs w:val="21"/>
                <w:highlight w:val="none"/>
              </w:rPr>
              <w:t>；</w:t>
            </w:r>
          </w:p>
          <w:p>
            <w:pPr>
              <w:keepNext w:val="0"/>
              <w:keepLines w:val="0"/>
              <w:widowControl/>
              <w:suppressLineNumbers w:val="0"/>
              <w:spacing w:before="0" w:beforeAutospacing="0" w:afterAutospacing="0" w:line="360" w:lineRule="auto"/>
              <w:ind w:left="0" w:right="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采购内容：拟采购室内全彩高清LED显示屏及视频控制住系统2套、无纸化会议系统12套，会议扩声系统2套，网闸一套，无线双面水墨屏20套，笔记本11套，平板9套办公家具一批，视频远程会议设备1套，高拍仪9套等,如需进一步了解详细内容，详见竞争性谈判文件。</w:t>
            </w:r>
          </w:p>
        </w:tc>
      </w:tr>
      <w:tr>
        <w:tblPrEx>
          <w:tblCellMar>
            <w:top w:w="0" w:type="dxa"/>
            <w:left w:w="108" w:type="dxa"/>
            <w:bottom w:w="0" w:type="dxa"/>
            <w:right w:w="108" w:type="dxa"/>
          </w:tblCellMar>
        </w:tblPrEx>
        <w:trPr>
          <w:trHeight w:val="1365"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u w:val="single"/>
                <w:lang w:eastAsia="zh-CN"/>
              </w:rPr>
            </w:pPr>
            <w:r>
              <w:rPr>
                <w:rFonts w:hint="eastAsia" w:ascii="宋体" w:hAnsi="宋体" w:eastAsia="宋体" w:cs="宋体"/>
                <w:color w:val="auto"/>
                <w:kern w:val="2"/>
                <w:sz w:val="24"/>
                <w:szCs w:val="24"/>
                <w:lang w:eastAsia="zh-CN"/>
              </w:rPr>
              <w:t>资金来源：</w:t>
            </w:r>
            <w:bookmarkStart w:id="41" w:name="_GoBack"/>
            <w:bookmarkEnd w:id="41"/>
            <w:r>
              <w:rPr>
                <w:rFonts w:hint="eastAsia" w:ascii="宋体" w:hAnsi="宋体" w:eastAsia="宋体" w:cs="宋体"/>
                <w:color w:val="auto"/>
                <w:kern w:val="2"/>
                <w:sz w:val="24"/>
                <w:szCs w:val="24"/>
                <w:u w:val="single"/>
                <w:lang w:eastAsia="zh-CN"/>
              </w:rPr>
              <w:t>财政收入政府奖励经费</w:t>
            </w:r>
            <w:r>
              <w:rPr>
                <w:rFonts w:hint="eastAsia" w:ascii="宋体" w:hAnsi="宋体" w:eastAsia="宋体" w:cs="宋体"/>
                <w:color w:val="auto"/>
                <w:kern w:val="2"/>
                <w:sz w:val="24"/>
                <w:szCs w:val="24"/>
                <w:lang w:eastAsia="zh-CN"/>
              </w:rPr>
              <w:t xml:space="preserve"> 。</w:t>
            </w:r>
          </w:p>
        </w:tc>
      </w:tr>
      <w:tr>
        <w:tblPrEx>
          <w:tblCellMar>
            <w:top w:w="0" w:type="dxa"/>
            <w:left w:w="108" w:type="dxa"/>
            <w:bottom w:w="0" w:type="dxa"/>
            <w:right w:w="108" w:type="dxa"/>
          </w:tblCellMar>
        </w:tblPrEx>
        <w:trPr>
          <w:trHeight w:val="6324"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3</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3.1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500" w:lineRule="exact"/>
              <w:ind w:left="0" w:right="0"/>
              <w:rPr>
                <w:rFonts w:hint="eastAsia" w:ascii="宋体" w:hAnsi="宋体" w:eastAsia="宋体" w:cs="宋体"/>
                <w:b/>
                <w:color w:val="auto"/>
                <w:kern w:val="2"/>
                <w:sz w:val="24"/>
              </w:rPr>
            </w:pPr>
            <w:r>
              <w:rPr>
                <w:rFonts w:hint="eastAsia" w:ascii="宋体" w:hAnsi="宋体" w:eastAsia="宋体" w:cs="宋体"/>
                <w:b/>
                <w:color w:val="auto"/>
                <w:kern w:val="2"/>
                <w:sz w:val="24"/>
                <w:lang w:eastAsia="zh-CN"/>
              </w:rPr>
              <w:t>供应商</w:t>
            </w:r>
            <w:r>
              <w:rPr>
                <w:rFonts w:hint="eastAsia" w:ascii="宋体" w:hAnsi="宋体" w:eastAsia="宋体" w:cs="宋体"/>
                <w:b/>
                <w:color w:val="auto"/>
                <w:kern w:val="2"/>
                <w:sz w:val="24"/>
              </w:rPr>
              <w:t>资格要求：</w:t>
            </w:r>
          </w:p>
          <w:p>
            <w:pPr>
              <w:keepNext w:val="0"/>
              <w:keepLines w:val="0"/>
              <w:widowControl/>
              <w:suppressLineNumbers w:val="0"/>
              <w:spacing w:before="0" w:beforeAutospacing="0" w:after="0" w:afterAutospacing="0" w:line="440" w:lineRule="exact"/>
              <w:ind w:left="0" w:right="0"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1、国内注册（指按国家有关规定要求注册的）生产或经营本次竞标采购</w:t>
            </w:r>
            <w:r>
              <w:rPr>
                <w:rFonts w:hint="eastAsia" w:ascii="宋体" w:hAnsi="宋体" w:eastAsia="宋体" w:cs="宋体"/>
                <w:color w:val="auto"/>
                <w:kern w:val="2"/>
                <w:sz w:val="24"/>
                <w:szCs w:val="24"/>
                <w:lang w:eastAsia="zh-CN"/>
              </w:rPr>
              <w:t>货物</w:t>
            </w:r>
            <w:r>
              <w:rPr>
                <w:rFonts w:hint="eastAsia" w:ascii="宋体" w:hAnsi="宋体" w:eastAsia="宋体" w:cs="宋体"/>
                <w:color w:val="auto"/>
                <w:kern w:val="2"/>
                <w:sz w:val="24"/>
                <w:szCs w:val="24"/>
              </w:rPr>
              <w:t>，并具有合法资格的</w:t>
            </w:r>
            <w:r>
              <w:rPr>
                <w:rFonts w:hint="eastAsia" w:ascii="宋体" w:hAnsi="宋体" w:eastAsia="宋体" w:cs="宋体"/>
                <w:color w:val="auto"/>
                <w:kern w:val="2"/>
                <w:sz w:val="24"/>
                <w:szCs w:val="24"/>
                <w:lang w:eastAsia="zh-CN"/>
              </w:rPr>
              <w:t>供应商；</w:t>
            </w:r>
          </w:p>
          <w:p>
            <w:pPr>
              <w:keepNext w:val="0"/>
              <w:keepLines w:val="0"/>
              <w:widowControl/>
              <w:suppressLineNumbers w:val="0"/>
              <w:spacing w:before="0" w:beforeAutospacing="0" w:after="0" w:afterAutospacing="0" w:line="44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2、符合《中华人民共和国政府采购法》第二十二条、《政府采购非招标采购方式管理办法》</w:t>
            </w:r>
            <w:r>
              <w:rPr>
                <w:rFonts w:hint="eastAsia" w:ascii="宋体" w:hAnsi="宋体" w:eastAsia="宋体" w:cs="宋体"/>
                <w:color w:val="auto"/>
                <w:kern w:val="2"/>
                <w:sz w:val="24"/>
                <w:szCs w:val="24"/>
                <w:lang w:eastAsia="zh-CN"/>
              </w:rPr>
              <w:t>等</w:t>
            </w:r>
            <w:r>
              <w:rPr>
                <w:rFonts w:hint="eastAsia" w:ascii="宋体" w:hAnsi="宋体" w:eastAsia="宋体" w:cs="宋体"/>
                <w:color w:val="auto"/>
                <w:kern w:val="2"/>
                <w:sz w:val="24"/>
                <w:szCs w:val="24"/>
              </w:rPr>
              <w:t>相关规定</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获得采购人和评审专家分别书面推荐,</w:t>
            </w:r>
            <w:r>
              <w:rPr>
                <w:rFonts w:hint="eastAsia" w:ascii="宋体" w:hAnsi="宋体" w:eastAsia="宋体" w:cs="宋体"/>
                <w:color w:val="auto"/>
                <w:kern w:val="2"/>
                <w:sz w:val="24"/>
                <w:szCs w:val="24"/>
                <w:lang w:eastAsia="zh-CN"/>
              </w:rPr>
              <w:t>并</w:t>
            </w:r>
            <w:r>
              <w:rPr>
                <w:rFonts w:hint="eastAsia" w:ascii="宋体" w:hAnsi="宋体" w:eastAsia="宋体" w:cs="宋体"/>
                <w:color w:val="auto"/>
                <w:kern w:val="2"/>
                <w:sz w:val="24"/>
                <w:szCs w:val="24"/>
              </w:rPr>
              <w:t>在规定时间内</w:t>
            </w:r>
            <w:r>
              <w:rPr>
                <w:rFonts w:hint="eastAsia" w:ascii="宋体" w:hAnsi="宋体" w:eastAsia="宋体" w:cs="宋体"/>
                <w:color w:val="auto"/>
                <w:kern w:val="2"/>
                <w:sz w:val="24"/>
                <w:szCs w:val="24"/>
                <w:lang w:eastAsia="zh-CN"/>
              </w:rPr>
              <w:t>获取竞争性谈判文件</w:t>
            </w:r>
            <w:r>
              <w:rPr>
                <w:rFonts w:hint="eastAsia" w:ascii="宋体" w:hAnsi="宋体" w:eastAsia="宋体" w:cs="宋体"/>
                <w:color w:val="auto"/>
                <w:kern w:val="2"/>
                <w:sz w:val="24"/>
                <w:szCs w:val="24"/>
              </w:rPr>
              <w:t>的</w:t>
            </w:r>
            <w:r>
              <w:rPr>
                <w:rFonts w:hint="eastAsia" w:ascii="宋体" w:hAnsi="宋体" w:eastAsia="宋体" w:cs="宋体"/>
                <w:color w:val="auto"/>
                <w:kern w:val="2"/>
                <w:sz w:val="24"/>
                <w:szCs w:val="24"/>
                <w:lang w:eastAsia="zh-CN"/>
              </w:rPr>
              <w:t>供应商</w:t>
            </w:r>
            <w:r>
              <w:rPr>
                <w:rFonts w:hint="eastAsia" w:ascii="宋体" w:hAnsi="宋体" w:eastAsia="宋体" w:cs="宋体"/>
                <w:color w:val="auto"/>
                <w:kern w:val="2"/>
                <w:sz w:val="24"/>
                <w:szCs w:val="24"/>
              </w:rPr>
              <w:t>。</w:t>
            </w:r>
          </w:p>
          <w:p>
            <w:pPr>
              <w:pStyle w:val="7"/>
              <w:keepNext w:val="0"/>
              <w:keepLines w:val="0"/>
              <w:widowControl/>
              <w:suppressLineNumbers w:val="0"/>
              <w:spacing w:before="0" w:beforeAutospacing="0" w:after="0" w:afterAutospacing="0" w:line="44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kern w:val="2"/>
                <w:sz w:val="24"/>
                <w:szCs w:val="24"/>
                <w:lang w:eastAsia="zh-CN"/>
              </w:rPr>
              <w:t>供应商</w:t>
            </w:r>
            <w:r>
              <w:rPr>
                <w:rFonts w:hint="eastAsia" w:ascii="宋体" w:hAnsi="宋体" w:eastAsia="宋体" w:cs="宋体"/>
                <w:color w:val="auto"/>
                <w:kern w:val="2"/>
                <w:sz w:val="24"/>
                <w:szCs w:val="24"/>
              </w:rPr>
              <w:t>，不得参与政府采购活动；</w:t>
            </w:r>
          </w:p>
          <w:p>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(4)单位负责人为同一人或者存在直接控股、管理关系的不同供应商，不得参加同一合同项下的政府采购活动。</w:t>
            </w:r>
          </w:p>
          <w:p>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(5)不接受未获取本采购文件的供应商竞标。</w:t>
            </w:r>
          </w:p>
        </w:tc>
      </w:tr>
      <w:tr>
        <w:tblPrEx>
          <w:tblCellMar>
            <w:top w:w="0" w:type="dxa"/>
            <w:left w:w="108" w:type="dxa"/>
            <w:bottom w:w="0" w:type="dxa"/>
            <w:right w:w="108" w:type="dxa"/>
          </w:tblCellMar>
        </w:tblPrEx>
        <w:trPr>
          <w:trHeight w:val="748"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4</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7.1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color w:val="auto"/>
                <w:kern w:val="2"/>
                <w:sz w:val="24"/>
              </w:rPr>
              <w:t>现场勘查：</w:t>
            </w:r>
            <w:r>
              <w:rPr>
                <w:rFonts w:hint="eastAsia" w:ascii="宋体" w:hAnsi="宋体" w:eastAsia="宋体" w:cs="宋体"/>
                <w:color w:val="auto"/>
                <w:kern w:val="2"/>
                <w:sz w:val="24"/>
                <w:szCs w:val="24"/>
              </w:rPr>
              <w:t>无要求。</w:t>
            </w:r>
          </w:p>
        </w:tc>
      </w:tr>
      <w:tr>
        <w:tblPrEx>
          <w:tblCellMar>
            <w:top w:w="0" w:type="dxa"/>
            <w:left w:w="108" w:type="dxa"/>
            <w:bottom w:w="0" w:type="dxa"/>
            <w:right w:w="108" w:type="dxa"/>
          </w:tblCellMar>
        </w:tblPrEx>
        <w:trPr>
          <w:trHeight w:val="772"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5</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12.1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color w:val="auto"/>
                <w:kern w:val="2"/>
                <w:sz w:val="24"/>
              </w:rPr>
              <w:t>竞标有效期为：竞标截止之日后</w:t>
            </w:r>
            <w:r>
              <w:rPr>
                <w:rFonts w:hint="eastAsia" w:ascii="宋体" w:hAnsi="宋体" w:eastAsia="宋体" w:cs="宋体"/>
                <w:color w:val="auto"/>
                <w:kern w:val="2"/>
                <w:sz w:val="24"/>
                <w:lang w:val="en-US" w:eastAsia="zh-CN"/>
              </w:rPr>
              <w:t>30日</w:t>
            </w:r>
            <w:r>
              <w:rPr>
                <w:rFonts w:hint="eastAsia" w:ascii="宋体" w:hAnsi="宋体" w:eastAsia="宋体" w:cs="宋体"/>
                <w:color w:val="auto"/>
                <w:kern w:val="2"/>
                <w:sz w:val="24"/>
              </w:rPr>
              <w:t>（日历天）。</w:t>
            </w:r>
          </w:p>
        </w:tc>
      </w:tr>
      <w:tr>
        <w:tblPrEx>
          <w:tblCellMar>
            <w:top w:w="0" w:type="dxa"/>
            <w:left w:w="108" w:type="dxa"/>
            <w:bottom w:w="0" w:type="dxa"/>
            <w:right w:w="108" w:type="dxa"/>
          </w:tblCellMar>
        </w:tblPrEx>
        <w:trPr>
          <w:trHeight w:val="1451"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6</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default" w:ascii="宋体" w:hAnsi="宋体" w:eastAsia="宋体" w:cs="宋体"/>
                <w:color w:val="auto"/>
                <w:kern w:val="2"/>
                <w:sz w:val="24"/>
                <w:lang w:val="en-US" w:eastAsia="zh-CN"/>
              </w:rPr>
            </w:pPr>
            <w:r>
              <w:rPr>
                <w:rFonts w:hint="eastAsia" w:ascii="宋体" w:hAnsi="宋体" w:eastAsia="宋体" w:cs="宋体"/>
                <w:color w:val="auto"/>
                <w:kern w:val="2"/>
                <w:sz w:val="24"/>
              </w:rPr>
              <w:t>13</w:t>
            </w:r>
            <w:r>
              <w:rPr>
                <w:rFonts w:hint="eastAsia" w:ascii="宋体" w:hAnsi="宋体" w:eastAsia="宋体" w:cs="宋体"/>
                <w:color w:val="auto"/>
                <w:kern w:val="2"/>
                <w:sz w:val="24"/>
                <w:lang w:val="en-US" w:eastAsia="zh-CN"/>
              </w:rPr>
              <w:t>.1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竞标保证金：根据“百政办电[2021]34号文件，鼓励免收投标保证金”，本项目无需缴纳竞标保证金。</w:t>
            </w:r>
          </w:p>
        </w:tc>
      </w:tr>
      <w:tr>
        <w:tblPrEx>
          <w:tblCellMar>
            <w:top w:w="0" w:type="dxa"/>
            <w:left w:w="108" w:type="dxa"/>
            <w:bottom w:w="0" w:type="dxa"/>
            <w:right w:w="108" w:type="dxa"/>
          </w:tblCellMar>
        </w:tblPrEx>
        <w:trPr>
          <w:trHeight w:val="6399"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7</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14.4</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供应商应当准备电子响应文件、可以准备以介质存储的数据电文形式的电子备份响应文件：</w:t>
            </w:r>
          </w:p>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1.电子响应文件按”政采云” 网上招投标系统要求及本采购文件要求制作、加密并递交。</w:t>
            </w:r>
          </w:p>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2.以介质存储的数据电文形式的电子备份响应文件，按”政采云” 网上招投标系统项目采购-电子招投标操作指南中上传的电子备份响应文件格式，以U 盘或光盘等形式提供。数量为 1 份。 </w:t>
            </w:r>
          </w:p>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lang w:eastAsia="zh-CN"/>
              </w:rPr>
            </w:pPr>
            <w:r>
              <w:rPr>
                <w:rFonts w:hint="eastAsia" w:ascii="宋体" w:hAnsi="宋体" w:eastAsia="宋体" w:cs="宋体"/>
                <w:i w:val="0"/>
                <w:iCs w:val="0"/>
                <w:color w:val="auto"/>
                <w:kern w:val="0"/>
                <w:sz w:val="24"/>
                <w:szCs w:val="24"/>
                <w:highlight w:val="none"/>
                <w:u w:val="none"/>
                <w:lang w:val="en-US" w:eastAsia="zh-CN" w:bidi="ar"/>
              </w:rPr>
              <w:t>3.电子响应文件启用顺序和效力。电子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未传输递交电子响应文件的，谈判无效。未按规定提供相应的备份响应文件，造成项目开评标活动无法进行下去的，谈判无效。</w:t>
            </w:r>
          </w:p>
        </w:tc>
      </w:tr>
      <w:tr>
        <w:tblPrEx>
          <w:tblCellMar>
            <w:top w:w="0" w:type="dxa"/>
            <w:left w:w="108" w:type="dxa"/>
            <w:bottom w:w="0" w:type="dxa"/>
            <w:right w:w="108" w:type="dxa"/>
          </w:tblCellMar>
        </w:tblPrEx>
        <w:trPr>
          <w:trHeight w:val="1679"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8</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rPr>
              <w:t>16</w:t>
            </w:r>
            <w:r>
              <w:rPr>
                <w:rFonts w:hint="eastAsia" w:ascii="宋体" w:hAnsi="宋体" w:eastAsia="宋体" w:cs="宋体"/>
                <w:color w:val="auto"/>
                <w:kern w:val="2"/>
                <w:sz w:val="24"/>
                <w:lang w:val="en-US" w:eastAsia="zh-CN"/>
              </w:rPr>
              <w:t>.1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b w:val="0"/>
                <w:bCs w:val="0"/>
                <w:color w:val="auto"/>
                <w:kern w:val="2"/>
                <w:sz w:val="24"/>
                <w:szCs w:val="24"/>
                <w:lang w:val="en-US" w:eastAsia="zh-CN"/>
              </w:rPr>
            </w:pPr>
            <w:r>
              <w:rPr>
                <w:rFonts w:hint="eastAsia" w:ascii="宋体" w:hAnsi="宋体" w:eastAsia="宋体" w:cs="宋体"/>
                <w:b/>
                <w:bCs/>
                <w:color w:val="auto"/>
                <w:kern w:val="2"/>
                <w:sz w:val="24"/>
                <w:szCs w:val="24"/>
                <w:lang w:val="en-US" w:eastAsia="zh-CN"/>
              </w:rPr>
              <w:t>竞标截止时间：</w:t>
            </w:r>
            <w:r>
              <w:rPr>
                <w:rFonts w:hint="eastAsia" w:ascii="宋体" w:hAnsi="宋体" w:eastAsia="宋体" w:cs="宋体"/>
                <w:b w:val="0"/>
                <w:bCs w:val="0"/>
                <w:color w:val="auto"/>
                <w:kern w:val="2"/>
                <w:sz w:val="24"/>
                <w:szCs w:val="24"/>
                <w:lang w:val="en-US" w:eastAsia="zh-CN"/>
              </w:rPr>
              <w:t>详见竞争性谈判公告</w:t>
            </w:r>
          </w:p>
          <w:p>
            <w:pPr>
              <w:keepNext w:val="0"/>
              <w:keepLines w:val="0"/>
              <w:widowControl/>
              <w:suppressLineNumbers w:val="0"/>
              <w:spacing w:before="0" w:beforeAutospacing="0" w:afterAutospacing="0" w:line="440" w:lineRule="exact"/>
              <w:ind w:left="0" w:right="0"/>
              <w:rPr>
                <w:rFonts w:hint="eastAsia" w:eastAsia="黑体"/>
                <w:color w:val="auto"/>
                <w:kern w:val="2"/>
                <w:lang w:val="en-US" w:eastAsia="zh-CN"/>
              </w:rPr>
            </w:pPr>
            <w:r>
              <w:rPr>
                <w:rFonts w:hint="eastAsia" w:ascii="宋体" w:hAnsi="宋体" w:eastAsia="宋体" w:cs="宋体"/>
                <w:b/>
                <w:bCs/>
                <w:color w:val="auto"/>
                <w:kern w:val="2"/>
                <w:sz w:val="24"/>
                <w:szCs w:val="24"/>
                <w:lang w:val="en-US" w:eastAsia="zh-CN"/>
              </w:rPr>
              <w:t>开标地点：</w:t>
            </w:r>
            <w:r>
              <w:rPr>
                <w:rFonts w:hint="eastAsia" w:ascii="宋体" w:hAnsi="宋体" w:eastAsia="宋体" w:cs="宋体"/>
                <w:b w:val="0"/>
                <w:bCs w:val="0"/>
                <w:color w:val="auto"/>
                <w:kern w:val="2"/>
                <w:sz w:val="24"/>
                <w:szCs w:val="24"/>
                <w:lang w:val="en-US" w:eastAsia="zh-CN"/>
              </w:rPr>
              <w:t>广西北部湾宏亚建设管理有限公司靖西分公司（靖西市吉祥路古力屯三产用地峰珲体育三楼）</w:t>
            </w:r>
          </w:p>
        </w:tc>
      </w:tr>
      <w:tr>
        <w:tblPrEx>
          <w:tblCellMar>
            <w:top w:w="0" w:type="dxa"/>
            <w:left w:w="108" w:type="dxa"/>
            <w:bottom w:w="0" w:type="dxa"/>
            <w:right w:w="108" w:type="dxa"/>
          </w:tblCellMar>
        </w:tblPrEx>
        <w:trPr>
          <w:trHeight w:val="1487"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9</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rPr>
              <w:t>16.</w:t>
            </w:r>
            <w:r>
              <w:rPr>
                <w:rFonts w:hint="eastAsia" w:ascii="宋体" w:hAnsi="宋体" w:eastAsia="宋体" w:cs="宋体"/>
                <w:color w:val="auto"/>
                <w:kern w:val="2"/>
                <w:sz w:val="24"/>
                <w:lang w:val="en-US" w:eastAsia="zh-CN"/>
              </w:rPr>
              <w:t>5</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bCs/>
                <w:color w:val="auto"/>
                <w:kern w:val="2"/>
                <w:sz w:val="24"/>
                <w:szCs w:val="24"/>
                <w:lang w:val="en-US" w:eastAsia="zh-CN"/>
              </w:rPr>
              <w:t>电子响应文件解密时间：</w:t>
            </w:r>
            <w:r>
              <w:rPr>
                <w:rFonts w:hint="eastAsia" w:ascii="宋体" w:hAnsi="宋体" w:eastAsia="宋体" w:cs="宋体"/>
                <w:color w:val="auto"/>
                <w:kern w:val="2"/>
                <w:sz w:val="24"/>
                <w:szCs w:val="24"/>
                <w:lang w:val="en-US" w:eastAsia="zh-CN"/>
              </w:rPr>
              <w:t>截标时间后 30分钟内，供应商必须在此时间段内登录”政采云” 网上招投标系统，完成电子响应文件的解密。若供应商在规定时间内未按时解密的，视为响应文件撤回。</w:t>
            </w:r>
          </w:p>
        </w:tc>
      </w:tr>
      <w:tr>
        <w:tblPrEx>
          <w:tblCellMar>
            <w:top w:w="0" w:type="dxa"/>
            <w:left w:w="108" w:type="dxa"/>
            <w:bottom w:w="0" w:type="dxa"/>
            <w:right w:w="108" w:type="dxa"/>
          </w:tblCellMar>
        </w:tblPrEx>
        <w:trPr>
          <w:trHeight w:val="1291" w:hRule="atLeas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10</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rPr>
              <w:t>18.</w:t>
            </w:r>
            <w:r>
              <w:rPr>
                <w:rFonts w:hint="eastAsia" w:ascii="宋体" w:hAnsi="宋体" w:eastAsia="宋体" w:cs="宋体"/>
                <w:color w:val="auto"/>
                <w:kern w:val="2"/>
                <w:sz w:val="24"/>
                <w:lang w:val="en-US" w:eastAsia="zh-CN"/>
              </w:rPr>
              <w:t>2</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谈判前准备：</w:t>
            </w:r>
            <w:r>
              <w:rPr>
                <w:rFonts w:hint="eastAsia" w:ascii="宋体" w:hAnsi="宋体" w:eastAsia="宋体" w:cs="宋体"/>
                <w:i w:val="0"/>
                <w:iCs w:val="0"/>
                <w:color w:val="auto"/>
                <w:kern w:val="0"/>
                <w:sz w:val="24"/>
                <w:szCs w:val="24"/>
                <w:highlight w:val="none"/>
                <w:u w:val="none"/>
                <w:lang w:val="en-US" w:eastAsia="zh-CN" w:bidi="ar"/>
              </w:rPr>
              <w:t xml:space="preserve"> </w:t>
            </w:r>
          </w:p>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1.本项目实行网上谈判，采用电子响应文件。若供应商参与谈判，自行承担谈判一切费用。 </w:t>
            </w:r>
          </w:p>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2.各供应商应在截标前应确保成为百色市政府采购云平台正式注册入库供应商， 并完成 CA 数字证书申领。因未注册入库、未办理 CA 数字证书等原因造成无法谈判或谈判失败等后果由供应商自行承担。 </w:t>
            </w:r>
          </w:p>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3.供应商将广西壮族自治区全流程电子招投标项目管理系统--供应商客户端下载、安装完成后，可通过 CA 登录客户端进行电子响应文件制作。如有问题可拨打政采云客户服务热线 400-881-7190 进行咨询。 </w:t>
            </w:r>
          </w:p>
          <w:p>
            <w:pPr>
              <w:keepNext w:val="0"/>
              <w:keepLines w:val="0"/>
              <w:widowControl/>
              <w:suppressLineNumbers w:val="0"/>
              <w:spacing w:before="0" w:beforeAutospacing="0" w:afterAutospacing="0" w:line="440" w:lineRule="exact"/>
              <w:ind w:left="0" w:right="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4.供应商可以提供以介质（U 盘或光盘等）存储的数据电文形成的电子备份响应文件。电子备份响应文件应当由法定代表人或授权委托代理人（需携带法定代表人身份证明书或授权委托书原件及身份证原件等有效证明材料）在竞标截止时间前按要求密封并提交至广西北部湾宏亚建设管理有限公司靖西分公司（靖西市吉祥路古力屯三产用地峰珲体育三楼），逾期送达或未按要求密封将被拒收。电子备份响应文件应当密封包装并在包装上标注竞标项目名称、单位名称并加盖公章。 </w:t>
            </w:r>
          </w:p>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i w:val="0"/>
                <w:iCs w:val="0"/>
                <w:color w:val="auto"/>
                <w:kern w:val="0"/>
                <w:sz w:val="24"/>
                <w:szCs w:val="24"/>
                <w:highlight w:val="none"/>
                <w:u w:val="none"/>
                <w:lang w:val="en-US" w:eastAsia="zh-CN" w:bidi="ar"/>
              </w:rPr>
              <w:t>5.供应商可以在截标前提供电子备份响应文件，通过”政采云” 网上招投标系统上传递交的电子加密响应文件无法按时解密且无法通过政采云“异常处理”端口处理的视为响应文件撤回。</w:t>
            </w:r>
          </w:p>
        </w:tc>
      </w:tr>
      <w:tr>
        <w:tblPrEx>
          <w:tblCellMar>
            <w:top w:w="0" w:type="dxa"/>
            <w:left w:w="108" w:type="dxa"/>
            <w:bottom w:w="0" w:type="dxa"/>
            <w:right w:w="108" w:type="dxa"/>
          </w:tblCellMar>
        </w:tblPrEx>
        <w:trPr>
          <w:trHeight w:val="1465"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11</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23</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color w:val="auto"/>
                <w:kern w:val="2"/>
                <w:sz w:val="24"/>
              </w:rPr>
              <w:t>评标办法</w:t>
            </w:r>
            <w:r>
              <w:rPr>
                <w:rFonts w:hint="eastAsia" w:ascii="宋体" w:hAnsi="宋体" w:eastAsia="宋体" w:cs="宋体"/>
                <w:color w:val="auto"/>
                <w:kern w:val="2"/>
                <w:sz w:val="24"/>
              </w:rPr>
              <w:t>：</w:t>
            </w:r>
            <w:r>
              <w:rPr>
                <w:rFonts w:hint="eastAsia" w:ascii="宋体" w:hAnsi="宋体" w:eastAsia="宋体" w:cs="宋体"/>
                <w:color w:val="auto"/>
                <w:kern w:val="2"/>
                <w:sz w:val="24"/>
                <w:szCs w:val="24"/>
              </w:rPr>
              <w:t>通过资格性、符合性审查后，在质量和服务均能满足采购文件实质性响应要求的前提下，按最终评标报价</w:t>
            </w:r>
            <w:r>
              <w:rPr>
                <w:rFonts w:hint="eastAsia" w:ascii="宋体" w:hAnsi="宋体" w:eastAsia="宋体" w:cs="宋体"/>
                <w:b/>
                <w:bCs/>
                <w:color w:val="auto"/>
                <w:kern w:val="2"/>
                <w:sz w:val="24"/>
                <w:szCs w:val="24"/>
              </w:rPr>
              <w:t>由低到高排列成交候选人顺序</w:t>
            </w:r>
            <w:r>
              <w:rPr>
                <w:rFonts w:hint="eastAsia" w:ascii="宋体" w:hAnsi="宋体" w:eastAsia="宋体" w:cs="宋体"/>
                <w:color w:val="auto"/>
                <w:kern w:val="2"/>
                <w:sz w:val="24"/>
                <w:szCs w:val="24"/>
              </w:rPr>
              <w:t>，并依照次序确定成交人。</w:t>
            </w:r>
          </w:p>
        </w:tc>
      </w:tr>
      <w:tr>
        <w:tblPrEx>
          <w:tblCellMar>
            <w:top w:w="0" w:type="dxa"/>
            <w:left w:w="108" w:type="dxa"/>
            <w:bottom w:w="0" w:type="dxa"/>
            <w:right w:w="108" w:type="dxa"/>
          </w:tblCellMar>
        </w:tblPrEx>
        <w:trPr>
          <w:trHeight w:val="2407"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leftChars="0" w:right="0" w:rightChars="0"/>
              <w:jc w:val="center"/>
              <w:rPr>
                <w:rFonts w:hint="eastAsia" w:ascii="宋体" w:hAnsi="宋体" w:eastAsia="宋体" w:cs="宋体"/>
                <w:color w:val="auto"/>
                <w:kern w:val="2"/>
                <w:sz w:val="24"/>
              </w:rPr>
            </w:pPr>
            <w:r>
              <w:rPr>
                <w:rFonts w:hint="eastAsia" w:ascii="宋体" w:hAnsi="宋体" w:eastAsia="宋体" w:cs="宋体"/>
                <w:color w:val="auto"/>
                <w:kern w:val="2"/>
                <w:sz w:val="24"/>
              </w:rPr>
              <w:t>12</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leftChars="0" w:right="0" w:rightChars="0"/>
              <w:jc w:val="center"/>
              <w:rPr>
                <w:rFonts w:hint="eastAsia" w:ascii="宋体" w:hAnsi="宋体" w:eastAsia="宋体" w:cs="宋体"/>
                <w:color w:val="auto"/>
                <w:kern w:val="2"/>
                <w:sz w:val="24"/>
              </w:rPr>
            </w:pPr>
            <w:r>
              <w:rPr>
                <w:rFonts w:hint="eastAsia" w:ascii="宋体" w:hAnsi="宋体" w:eastAsia="宋体" w:cs="宋体"/>
                <w:color w:val="auto"/>
                <w:kern w:val="2"/>
                <w:sz w:val="24"/>
                <w:lang w:val="en-US" w:eastAsia="zh-CN"/>
              </w:rPr>
              <w:t>25.4</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leftChars="0" w:right="0" w:rightChars="0"/>
              <w:rPr>
                <w:rFonts w:hint="eastAsia" w:ascii="宋体" w:hAnsi="宋体" w:eastAsia="宋体" w:cs="宋体"/>
                <w:b/>
                <w:color w:val="auto"/>
                <w:kern w:val="2"/>
                <w:sz w:val="24"/>
              </w:rPr>
            </w:pPr>
            <w:r>
              <w:rPr>
                <w:rFonts w:hint="eastAsia" w:ascii="宋体" w:hAnsi="宋体" w:eastAsia="宋体" w:cs="宋体"/>
                <w:b/>
                <w:color w:val="auto"/>
                <w:kern w:val="2"/>
                <w:sz w:val="24"/>
              </w:rPr>
              <w:t>非专门面向中小企业预留说明</w:t>
            </w:r>
            <w:r>
              <w:rPr>
                <w:rFonts w:hint="eastAsia" w:ascii="宋体" w:hAnsi="宋体" w:eastAsia="宋体" w:cs="宋体"/>
                <w:b/>
                <w:color w:val="auto"/>
                <w:kern w:val="2"/>
                <w:sz w:val="24"/>
                <w:lang w:eastAsia="zh-CN"/>
              </w:rPr>
              <w:t>：</w:t>
            </w:r>
            <w:r>
              <w:rPr>
                <w:rFonts w:hint="eastAsia" w:ascii="宋体" w:hAnsi="宋体" w:eastAsia="宋体" w:cs="宋体"/>
                <w:i w:val="0"/>
                <w:iCs w:val="0"/>
                <w:color w:val="auto"/>
                <w:kern w:val="0"/>
                <w:sz w:val="24"/>
                <w:szCs w:val="24"/>
                <w:highlight w:val="none"/>
                <w:u w:val="none"/>
                <w:lang w:val="en-US" w:eastAsia="zh-CN" w:bidi="ar"/>
              </w:rPr>
              <w:t>根据《 政府采购促进中小企业发展管理办法》 的通知财库〔 2020〕 46 号第六条“……符合下列情形之一的， 可不专门面向中小企业预留采购份额:(二)因确需使用不可替代的专利、专有技术， 基础设施限制， 或者提供特定公共服务等原因， 只能从中小企业之外的供应商处采购的” 规定， 本项目非专门面向中小企业预留。</w:t>
            </w:r>
          </w:p>
        </w:tc>
      </w:tr>
      <w:tr>
        <w:tblPrEx>
          <w:tblCellMar>
            <w:top w:w="0" w:type="dxa"/>
            <w:left w:w="108" w:type="dxa"/>
            <w:bottom w:w="0" w:type="dxa"/>
            <w:right w:w="108" w:type="dxa"/>
          </w:tblCellMar>
        </w:tblPrEx>
        <w:trPr>
          <w:trHeight w:val="2831"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lang w:eastAsia="zh-CN"/>
              </w:rPr>
            </w:pPr>
            <w:r>
              <w:rPr>
                <w:rFonts w:hint="eastAsia" w:ascii="宋体" w:hAnsi="宋体" w:eastAsia="宋体" w:cs="宋体"/>
                <w:color w:val="auto"/>
                <w:kern w:val="2"/>
                <w:sz w:val="24"/>
              </w:rPr>
              <w:t>1</w:t>
            </w:r>
            <w:r>
              <w:rPr>
                <w:rFonts w:hint="eastAsia" w:ascii="宋体" w:hAnsi="宋体" w:eastAsia="宋体" w:cs="宋体"/>
                <w:color w:val="auto"/>
                <w:kern w:val="2"/>
                <w:sz w:val="24"/>
                <w:lang w:val="en-US" w:eastAsia="zh-CN"/>
              </w:rPr>
              <w:t>3</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29.1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Autospacing="0"/>
              <w:ind w:left="0" w:right="0" w:firstLine="0"/>
              <w:rPr>
                <w:rFonts w:hint="eastAsia" w:ascii="宋体" w:hAnsi="宋体" w:eastAsia="宋体" w:cs="宋体"/>
                <w:color w:val="auto"/>
                <w:kern w:val="2"/>
                <w:sz w:val="24"/>
              </w:rPr>
            </w:pPr>
            <w:r>
              <w:rPr>
                <w:rFonts w:hint="eastAsia" w:ascii="宋体" w:hAnsi="宋体" w:eastAsia="宋体" w:cs="宋体"/>
                <w:b/>
                <w:color w:val="auto"/>
                <w:kern w:val="2"/>
                <w:sz w:val="24"/>
              </w:rPr>
              <w:t>成交代理服务费：</w:t>
            </w:r>
            <w:r>
              <w:rPr>
                <w:rFonts w:hint="eastAsia" w:ascii="宋体" w:hAnsi="宋体" w:eastAsia="宋体" w:cs="宋体"/>
                <w:color w:val="auto"/>
                <w:kern w:val="2"/>
                <w:sz w:val="24"/>
                <w:szCs w:val="24"/>
                <w:lang w:val="en-US" w:eastAsia="zh-CN" w:bidi="ar-SA"/>
              </w:rPr>
              <w:t>由成交单位向采购代理机构支付。具体为：</w:t>
            </w:r>
            <w:r>
              <w:rPr>
                <w:rFonts w:hint="eastAsia" w:ascii="宋体" w:hAnsi="宋体" w:eastAsia="宋体" w:cs="宋体"/>
                <w:b w:val="0"/>
                <w:bCs w:val="0"/>
                <w:color w:val="auto"/>
                <w:kern w:val="2"/>
                <w:sz w:val="24"/>
                <w:szCs w:val="24"/>
                <w:lang w:eastAsia="zh-CN"/>
              </w:rPr>
              <w:t>采购代理服务费，根据《国家发展改革委关于进一步放开建设项目专业服务价格的通知》（发改价格〔2015〕299号）要求，按市场价计算执行：（100万以内（包括100万）部分，按成交金额的1</w:t>
            </w:r>
            <w:r>
              <w:rPr>
                <w:rFonts w:hint="eastAsia" w:ascii="宋体" w:hAnsi="宋体" w:eastAsia="宋体" w:cs="宋体"/>
                <w:b w:val="0"/>
                <w:bCs w:val="0"/>
                <w:color w:val="auto"/>
                <w:kern w:val="2"/>
                <w:sz w:val="24"/>
                <w:szCs w:val="24"/>
                <w:lang w:val="en-US" w:eastAsia="zh-CN"/>
              </w:rPr>
              <w:t>.5</w:t>
            </w:r>
            <w:r>
              <w:rPr>
                <w:rFonts w:hint="eastAsia" w:ascii="宋体" w:hAnsi="宋体" w:eastAsia="宋体" w:cs="宋体"/>
                <w:b w:val="0"/>
                <w:bCs w:val="0"/>
                <w:color w:val="auto"/>
                <w:kern w:val="2"/>
                <w:sz w:val="24"/>
                <w:szCs w:val="24"/>
                <w:lang w:eastAsia="zh-CN"/>
              </w:rPr>
              <w:t>%计取，100万到500万（包括500万）部分按成交金额的</w:t>
            </w:r>
            <w:r>
              <w:rPr>
                <w:rFonts w:hint="eastAsia" w:ascii="宋体" w:hAnsi="宋体" w:eastAsia="宋体" w:cs="宋体"/>
                <w:b w:val="0"/>
                <w:bCs w:val="0"/>
                <w:color w:val="auto"/>
                <w:kern w:val="2"/>
                <w:sz w:val="24"/>
                <w:szCs w:val="24"/>
                <w:lang w:val="en-US" w:eastAsia="zh-CN"/>
              </w:rPr>
              <w:t>1.1</w:t>
            </w:r>
            <w:r>
              <w:rPr>
                <w:rFonts w:hint="eastAsia" w:ascii="宋体" w:hAnsi="宋体" w:eastAsia="宋体" w:cs="宋体"/>
                <w:b w:val="0"/>
                <w:bCs w:val="0"/>
                <w:color w:val="auto"/>
                <w:kern w:val="2"/>
                <w:sz w:val="24"/>
                <w:szCs w:val="24"/>
                <w:lang w:eastAsia="zh-CN"/>
              </w:rPr>
              <w:t>%计取）标准收取</w:t>
            </w:r>
            <w:r>
              <w:rPr>
                <w:rFonts w:hint="eastAsia" w:ascii="宋体" w:hAnsi="宋体" w:eastAsia="宋体" w:cs="宋体"/>
                <w:color w:val="auto"/>
                <w:kern w:val="2"/>
                <w:sz w:val="24"/>
                <w:szCs w:val="24"/>
                <w:lang w:val="en-US" w:eastAsia="zh-CN" w:bidi="ar-SA"/>
              </w:rPr>
              <w:t>，由成交人在领取成交通知书时以现金或转账方式一次性向采购代理机构支付。</w:t>
            </w:r>
          </w:p>
          <w:p>
            <w:pPr>
              <w:pStyle w:val="2"/>
              <w:keepNext w:val="0"/>
              <w:keepLines w:val="0"/>
              <w:widowControl/>
              <w:suppressLineNumbers w:val="0"/>
              <w:spacing w:before="0" w:beforeAutospacing="0" w:afterAutospacing="0"/>
              <w:ind w:left="0" w:right="0"/>
              <w:rPr>
                <w:rFonts w:hint="eastAsia" w:ascii="宋体" w:hAnsi="宋体" w:eastAsia="宋体" w:cs="宋体"/>
                <w:color w:val="auto"/>
                <w:kern w:val="2"/>
              </w:rPr>
            </w:pPr>
          </w:p>
        </w:tc>
      </w:tr>
    </w:tbl>
    <w:p>
      <w:pPr>
        <w:rPr>
          <w:rFonts w:hint="eastAsia" w:ascii="宋体" w:hAnsi="宋体" w:eastAsia="宋体" w:cs="宋体"/>
          <w:color w:val="auto"/>
          <w:sz w:val="24"/>
        </w:rPr>
      </w:pPr>
    </w:p>
    <w:p>
      <w:pPr>
        <w:keepNext/>
        <w:keepLines/>
        <w:pageBreakBefore w:val="0"/>
        <w:kinsoku/>
        <w:wordWrap/>
        <w:overflowPunct/>
        <w:topLinePunct w:val="0"/>
        <w:autoSpaceDE/>
        <w:autoSpaceDN/>
        <w:bidi w:val="0"/>
        <w:spacing w:line="281" w:lineRule="auto"/>
        <w:jc w:val="center"/>
        <w:rPr>
          <w:rFonts w:hint="eastAsia" w:ascii="宋体" w:hAnsi="宋体" w:eastAsia="宋体" w:cs="宋体"/>
          <w:b/>
          <w:color w:val="auto"/>
          <w:sz w:val="28"/>
        </w:rPr>
      </w:pPr>
      <w:r>
        <w:rPr>
          <w:rFonts w:hint="eastAsia" w:ascii="宋体" w:hAnsi="宋体" w:eastAsia="宋体" w:cs="宋体"/>
          <w:color w:val="auto"/>
        </w:rPr>
        <w:br w:type="page"/>
      </w:r>
      <w:r>
        <w:rPr>
          <w:rFonts w:hint="eastAsia" w:ascii="宋体" w:hAnsi="宋体" w:eastAsia="宋体" w:cs="宋体"/>
          <w:b/>
          <w:color w:val="auto"/>
          <w:sz w:val="28"/>
        </w:rPr>
        <w:t>一、总则</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l. 项目综合说明</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1.1 项目的说明见竞标须知前附表（以下称“前附表”）第1项所述。</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2. 资金来源及落实情况</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2.1 本项目的资金来源为</w:t>
      </w:r>
      <w:r>
        <w:rPr>
          <w:rFonts w:hint="eastAsia" w:ascii="宋体" w:hAnsi="宋体" w:eastAsia="宋体" w:cs="宋体"/>
          <w:color w:val="auto"/>
          <w:sz w:val="24"/>
          <w:u w:val="single"/>
          <w:lang w:eastAsia="zh-CN"/>
        </w:rPr>
        <w:t>财政收入政府奖励经费</w:t>
      </w:r>
      <w:r>
        <w:rPr>
          <w:rFonts w:hint="eastAsia" w:ascii="宋体" w:hAnsi="宋体" w:eastAsia="宋体" w:cs="宋体"/>
          <w:color w:val="auto"/>
          <w:sz w:val="24"/>
        </w:rPr>
        <w:t xml:space="preserve"> ，资金已落实，并将资金用于本项目合同项下的合理支付。</w:t>
      </w:r>
    </w:p>
    <w:p>
      <w:pPr>
        <w:pageBreakBefore w:val="0"/>
        <w:kinsoku/>
        <w:wordWrap/>
        <w:overflowPunct/>
        <w:topLinePunct w:val="0"/>
        <w:autoSpaceDE/>
        <w:autoSpaceDN/>
        <w:bidi w:val="0"/>
        <w:spacing w:after="0" w:line="281" w:lineRule="auto"/>
        <w:rPr>
          <w:rFonts w:hint="eastAsia" w:ascii="宋体" w:hAnsi="宋体" w:eastAsia="宋体" w:cs="宋体"/>
          <w:b/>
          <w:color w:val="auto"/>
          <w:sz w:val="24"/>
          <w:szCs w:val="24"/>
        </w:rPr>
      </w:pPr>
      <w:r>
        <w:rPr>
          <w:rFonts w:hint="eastAsia" w:ascii="宋体" w:hAnsi="宋体" w:eastAsia="宋体" w:cs="宋体"/>
          <w:b/>
          <w:color w:val="auto"/>
          <w:sz w:val="24"/>
        </w:rPr>
        <w:t>3.</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w:t>
      </w:r>
    </w:p>
    <w:p>
      <w:pPr>
        <w:pageBreakBefore w:val="0"/>
        <w:kinsoku/>
        <w:wordWrap/>
        <w:overflowPunct/>
        <w:topLinePunct w:val="0"/>
        <w:autoSpaceDE/>
        <w:autoSpaceDN/>
        <w:bidi w:val="0"/>
        <w:spacing w:after="0" w:line="281" w:lineRule="auto"/>
        <w:ind w:firstLine="480" w:firstLineChars="200"/>
        <w:rPr>
          <w:rFonts w:hint="eastAsia" w:ascii="宋体" w:hAnsi="宋体" w:eastAsia="宋体" w:cs="宋体"/>
          <w:b/>
          <w:bCs/>
          <w:i w:val="0"/>
          <w:iCs w:val="0"/>
          <w:strike w:val="0"/>
          <w:dstrike w:val="0"/>
          <w:color w:val="auto"/>
          <w:sz w:val="24"/>
          <w:szCs w:val="24"/>
          <w:u w:val="double"/>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国内注册（指按国家有关规定要求注册的）生产或经营本次竞标采购</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，并具有合法资格的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pPr>
        <w:pageBreakBefore w:val="0"/>
        <w:kinsoku/>
        <w:wordWrap/>
        <w:overflowPunct/>
        <w:topLinePunct w:val="0"/>
        <w:autoSpaceDE/>
        <w:autoSpaceDN/>
        <w:bidi w:val="0"/>
        <w:spacing w:after="0" w:line="281"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3.2符合《中华人民共和国政府采购法》第二十二条、《政府采购非招标采购方式管理办法》等相关规定，获得采购人和评审专家分别书面推荐,并在规定时间内获取竞争性谈判文件的供应商</w:t>
      </w:r>
      <w:r>
        <w:rPr>
          <w:rFonts w:hint="eastAsia" w:ascii="宋体" w:hAnsi="宋体" w:eastAsia="宋体" w:cs="宋体"/>
          <w:color w:val="auto"/>
          <w:sz w:val="24"/>
          <w:szCs w:val="24"/>
        </w:rPr>
        <w:t>。</w:t>
      </w:r>
    </w:p>
    <w:p>
      <w:pPr>
        <w:pStyle w:val="7"/>
        <w:pageBreakBefore w:val="0"/>
        <w:kinsoku/>
        <w:wordWrap/>
        <w:overflowPunct/>
        <w:topLinePunct w:val="0"/>
        <w:autoSpaceDE/>
        <w:autoSpaceDN/>
        <w:bidi w:val="0"/>
        <w:spacing w:after="0" w:line="281"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，不得参与政府采购活动；</w:t>
      </w:r>
    </w:p>
    <w:p>
      <w:pPr>
        <w:pStyle w:val="7"/>
        <w:pageBreakBefore w:val="0"/>
        <w:kinsoku/>
        <w:wordWrap/>
        <w:overflowPunct/>
        <w:topLinePunct w:val="0"/>
        <w:autoSpaceDE/>
        <w:autoSpaceDN/>
        <w:bidi w:val="0"/>
        <w:spacing w:after="0" w:line="281"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单位负责人为同一人或者存在直接控股、管理关系的不同供应商，不得参加同一合同项下的政府采购活动。</w:t>
      </w:r>
    </w:p>
    <w:p>
      <w:pPr>
        <w:pStyle w:val="7"/>
        <w:pageBreakBefore w:val="0"/>
        <w:kinsoku/>
        <w:wordWrap/>
        <w:overflowPunct/>
        <w:topLinePunct w:val="0"/>
        <w:autoSpaceDE/>
        <w:autoSpaceDN/>
        <w:bidi w:val="0"/>
        <w:spacing w:after="0" w:line="281"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不接受未获取本采购文件的供应商竞标。</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4. 语言文字及计量单位</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4.1 除专用术语外，与采购有关的语言均使用中文。必要时专用术语应附有中文注释。所有计量均采用中华人民共和国法定计量单位。</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5. 竞标费用</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5.1 </w:t>
      </w:r>
      <w:r>
        <w:rPr>
          <w:rFonts w:hint="eastAsia" w:ascii="宋体" w:hAnsi="宋体" w:eastAsia="宋体" w:cs="宋体"/>
          <w:color w:val="auto"/>
          <w:sz w:val="24"/>
          <w:lang w:eastAsia="zh-CN"/>
        </w:rPr>
        <w:t>供应商</w:t>
      </w:r>
      <w:r>
        <w:rPr>
          <w:rFonts w:hint="eastAsia" w:ascii="宋体" w:hAnsi="宋体" w:eastAsia="宋体" w:cs="宋体"/>
          <w:color w:val="auto"/>
          <w:sz w:val="24"/>
        </w:rPr>
        <w:t>准备和参加竞标活动所发生的一切费用自理，不管竞标结果如何，采购人及采购代理机构对上述费用不负任何责任。</w:t>
      </w:r>
    </w:p>
    <w:p>
      <w:pPr>
        <w:keepNext/>
        <w:keepLines/>
        <w:pageBreakBefore w:val="0"/>
        <w:kinsoku/>
        <w:wordWrap/>
        <w:overflowPunct/>
        <w:topLinePunct w:val="0"/>
        <w:autoSpaceDE/>
        <w:autoSpaceDN/>
        <w:bidi w:val="0"/>
        <w:spacing w:line="281" w:lineRule="auto"/>
        <w:jc w:val="center"/>
        <w:rPr>
          <w:rFonts w:hint="eastAsia" w:ascii="宋体" w:hAnsi="宋体" w:eastAsia="宋体" w:cs="宋体"/>
          <w:b/>
          <w:color w:val="auto"/>
          <w:sz w:val="28"/>
        </w:rPr>
      </w:pPr>
      <w:r>
        <w:rPr>
          <w:rFonts w:hint="eastAsia" w:ascii="宋体" w:hAnsi="宋体" w:eastAsia="宋体" w:cs="宋体"/>
          <w:b/>
          <w:color w:val="auto"/>
          <w:sz w:val="28"/>
        </w:rPr>
        <w:t>二、竞争性谈判文件</w:t>
      </w:r>
    </w:p>
    <w:p>
      <w:pPr>
        <w:pageBreakBefore w:val="0"/>
        <w:kinsoku/>
        <w:wordWrap/>
        <w:overflowPunct/>
        <w:topLinePunct w:val="0"/>
        <w:autoSpaceDE/>
        <w:autoSpaceDN/>
        <w:bidi w:val="0"/>
        <w:spacing w:line="281"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 竞争性谈判文件的组成</w:t>
      </w:r>
    </w:p>
    <w:p>
      <w:pPr>
        <w:keepNext w:val="0"/>
        <w:keepLines w:val="0"/>
        <w:pageBreakBefore w:val="0"/>
        <w:widowControl/>
        <w:kinsoku/>
        <w:wordWrap/>
        <w:overflowPunct/>
        <w:topLinePunct w:val="0"/>
        <w:autoSpaceDE/>
        <w:autoSpaceDN/>
        <w:bidi w:val="0"/>
        <w:adjustRightInd w:val="0"/>
        <w:snapToGrid w:val="0"/>
        <w:spacing w:line="281"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 竞争性谈判文件包括下列内容：</w:t>
      </w:r>
    </w:p>
    <w:p>
      <w:pPr>
        <w:keepNext w:val="0"/>
        <w:keepLines w:val="0"/>
        <w:pageBreakBefore w:val="0"/>
        <w:widowControl/>
        <w:kinsoku/>
        <w:wordWrap/>
        <w:overflowPunct/>
        <w:topLinePunct w:val="0"/>
        <w:autoSpaceDE/>
        <w:autoSpaceDN/>
        <w:bidi w:val="0"/>
        <w:adjustRightInd w:val="0"/>
        <w:snapToGrid w:val="0"/>
        <w:spacing w:line="281"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第一章 竞标公告</w:t>
      </w:r>
    </w:p>
    <w:p>
      <w:pPr>
        <w:keepNext w:val="0"/>
        <w:keepLines w:val="0"/>
        <w:pageBreakBefore w:val="0"/>
        <w:widowControl/>
        <w:kinsoku/>
        <w:wordWrap/>
        <w:overflowPunct/>
        <w:topLinePunct w:val="0"/>
        <w:autoSpaceDE/>
        <w:autoSpaceDN/>
        <w:bidi w:val="0"/>
        <w:adjustRightInd w:val="0"/>
        <w:snapToGrid w:val="0"/>
        <w:spacing w:line="281"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第二章 竞标须知</w:t>
      </w:r>
    </w:p>
    <w:p>
      <w:pPr>
        <w:keepNext w:val="0"/>
        <w:keepLines w:val="0"/>
        <w:pageBreakBefore w:val="0"/>
        <w:widowControl/>
        <w:kinsoku/>
        <w:wordWrap/>
        <w:overflowPunct/>
        <w:topLinePunct w:val="0"/>
        <w:autoSpaceDE/>
        <w:autoSpaceDN/>
        <w:bidi w:val="0"/>
        <w:adjustRightInd w:val="0"/>
        <w:snapToGrid w:val="0"/>
        <w:spacing w:line="281"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第三章 项目概况及（产品参数）技术服务要求</w:t>
      </w:r>
    </w:p>
    <w:p>
      <w:pPr>
        <w:keepNext w:val="0"/>
        <w:keepLines w:val="0"/>
        <w:pageBreakBefore w:val="0"/>
        <w:widowControl/>
        <w:kinsoku/>
        <w:wordWrap/>
        <w:overflowPunct/>
        <w:topLinePunct w:val="0"/>
        <w:autoSpaceDE/>
        <w:autoSpaceDN/>
        <w:bidi w:val="0"/>
        <w:adjustRightInd w:val="0"/>
        <w:snapToGrid w:val="0"/>
        <w:spacing w:line="281"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第四章  合同协议书</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第五章 </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7.2 除本竞标须知第7.1款所述的竞争性谈判文件内容外，采购人在采购期间、符合法定时间发出的答疑、澄清、修改或补充内容，均是竞争性谈判文件的组成部分，对采购人和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起约束作用根据本章第8条、第9条对竞争性谈判文件所作的澄清、修改，构成竞争性谈判文件的组成部分。</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7.3 </w:t>
      </w:r>
      <w:r>
        <w:rPr>
          <w:rFonts w:hint="eastAsia" w:ascii="宋体" w:hAnsi="宋体" w:eastAsia="宋体" w:cs="宋体"/>
          <w:color w:val="auto"/>
          <w:sz w:val="24"/>
          <w:lang w:eastAsia="zh-CN"/>
        </w:rPr>
        <w:t>供应商</w:t>
      </w:r>
      <w:r>
        <w:rPr>
          <w:rFonts w:hint="eastAsia" w:ascii="宋体" w:hAnsi="宋体" w:eastAsia="宋体" w:cs="宋体"/>
          <w:color w:val="auto"/>
          <w:sz w:val="24"/>
        </w:rPr>
        <w:t>应认真审阅竞争性谈判文件。如果</w:t>
      </w:r>
      <w:r>
        <w:rPr>
          <w:rFonts w:hint="eastAsia" w:ascii="宋体" w:hAnsi="宋体" w:eastAsia="宋体" w:cs="宋体"/>
          <w:color w:val="auto"/>
          <w:sz w:val="24"/>
          <w:lang w:eastAsia="zh-CN"/>
        </w:rPr>
        <w:t>供应商</w:t>
      </w:r>
      <w:r>
        <w:rPr>
          <w:rFonts w:hint="eastAsia" w:ascii="宋体" w:hAnsi="宋体" w:eastAsia="宋体" w:cs="宋体"/>
          <w:color w:val="auto"/>
          <w:sz w:val="24"/>
        </w:rPr>
        <w:t>编制的</w:t>
      </w:r>
      <w:r>
        <w:rPr>
          <w:rFonts w:hint="eastAsia" w:ascii="宋体" w:hAnsi="宋体" w:eastAsia="宋体" w:cs="宋体"/>
          <w:color w:val="auto"/>
          <w:sz w:val="24"/>
          <w:lang w:eastAsia="zh-CN"/>
        </w:rPr>
        <w:t>响应文件</w:t>
      </w:r>
      <w:r>
        <w:rPr>
          <w:rFonts w:hint="eastAsia" w:ascii="宋体" w:hAnsi="宋体" w:eastAsia="宋体" w:cs="宋体"/>
          <w:color w:val="auto"/>
          <w:sz w:val="24"/>
        </w:rPr>
        <w:t>不符合竞争性谈判文件的要求，责任由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自负。实质上不响应竞争性谈判文件要求的</w:t>
      </w:r>
      <w:r>
        <w:rPr>
          <w:rFonts w:hint="eastAsia" w:ascii="宋体" w:hAnsi="宋体" w:eastAsia="宋体" w:cs="宋体"/>
          <w:color w:val="auto"/>
          <w:sz w:val="24"/>
          <w:lang w:eastAsia="zh-CN"/>
        </w:rPr>
        <w:t>响应文件</w:t>
      </w:r>
      <w:r>
        <w:rPr>
          <w:rFonts w:hint="eastAsia" w:ascii="宋体" w:hAnsi="宋体" w:eastAsia="宋体" w:cs="宋体"/>
          <w:color w:val="auto"/>
          <w:sz w:val="24"/>
        </w:rPr>
        <w:t>将被采购人拒绝。</w:t>
      </w:r>
    </w:p>
    <w:p>
      <w:pPr>
        <w:keepNext w:val="0"/>
        <w:keepLines w:val="0"/>
        <w:pageBreakBefore w:val="0"/>
        <w:kinsoku/>
        <w:wordWrap/>
        <w:overflowPunct/>
        <w:topLinePunct w:val="0"/>
        <w:autoSpaceDE/>
        <w:autoSpaceDN/>
        <w:bidi w:val="0"/>
        <w:spacing w:line="281" w:lineRule="auto"/>
        <w:textAlignment w:val="auto"/>
        <w:rPr>
          <w:rFonts w:hint="eastAsia" w:ascii="宋体" w:hAnsi="宋体" w:eastAsia="宋体" w:cs="宋体"/>
          <w:b/>
          <w:color w:val="auto"/>
          <w:sz w:val="24"/>
        </w:rPr>
      </w:pPr>
      <w:r>
        <w:rPr>
          <w:rFonts w:hint="eastAsia" w:ascii="宋体" w:hAnsi="宋体" w:eastAsia="宋体" w:cs="宋体"/>
          <w:b/>
          <w:color w:val="auto"/>
          <w:sz w:val="24"/>
        </w:rPr>
        <w:t>8 竞争性谈判文件的澄清</w:t>
      </w:r>
    </w:p>
    <w:p>
      <w:pPr>
        <w:keepNext w:val="0"/>
        <w:keepLines w:val="0"/>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8.1 </w:t>
      </w:r>
      <w:r>
        <w:rPr>
          <w:rFonts w:hint="eastAsia" w:ascii="宋体" w:hAnsi="宋体" w:eastAsia="宋体" w:cs="宋体"/>
          <w:color w:val="auto"/>
          <w:sz w:val="24"/>
          <w:lang w:eastAsia="zh-CN"/>
        </w:rPr>
        <w:t>供应商</w:t>
      </w:r>
      <w:r>
        <w:rPr>
          <w:rFonts w:hint="eastAsia" w:ascii="宋体" w:hAnsi="宋体" w:eastAsia="宋体" w:cs="宋体"/>
          <w:color w:val="auto"/>
          <w:sz w:val="24"/>
        </w:rPr>
        <w:t>应仔细阅读和检查竞争性谈判文件的全部内容。如发现缺页或附件不全，应及时向采购人或采购代理机构提出，以便补齐。如有疑问，应于</w:t>
      </w:r>
      <w:r>
        <w:rPr>
          <w:rFonts w:hint="eastAsia" w:ascii="宋体" w:hAnsi="宋体" w:eastAsia="宋体" w:cs="宋体"/>
          <w:color w:val="auto"/>
          <w:sz w:val="24"/>
          <w:lang w:eastAsia="zh-CN"/>
        </w:rPr>
        <w:t>获取竞争性谈判文件</w:t>
      </w:r>
      <w:r>
        <w:rPr>
          <w:rFonts w:hint="eastAsia" w:ascii="宋体" w:hAnsi="宋体" w:eastAsia="宋体" w:cs="宋体"/>
          <w:color w:val="auto"/>
          <w:sz w:val="24"/>
        </w:rPr>
        <w:t>时间截止后3天内，以书面形式（包括书面文字、传真、电报等，下同），要求采购人或采购代理机构予以澄清。</w:t>
      </w:r>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 竞争性谈判文件的澄清将在竞标截止时间3个工作日前以书面形式发给所有</w:t>
      </w:r>
      <w:r>
        <w:rPr>
          <w:rFonts w:hint="eastAsia" w:hAnsi="宋体" w:cs="宋体"/>
          <w:color w:val="auto"/>
          <w:sz w:val="24"/>
          <w:szCs w:val="24"/>
          <w:lang w:eastAsia="zh-CN"/>
        </w:rPr>
        <w:t>获取竞争性谈判文件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，在中国政府采购网（http://www.ccgp.gov.cn）</w:t>
      </w:r>
      <w:r>
        <w:rPr>
          <w:rFonts w:hint="eastAsia" w:hAnsi="宋体" w:cs="宋体"/>
          <w:color w:val="auto"/>
          <w:sz w:val="24"/>
          <w:szCs w:val="24"/>
          <w:lang w:val="en-US" w:eastAsia="zh-CN"/>
        </w:rPr>
        <w:t>、</w:t>
      </w:r>
      <w:r>
        <w:rPr>
          <w:rFonts w:hint="eastAsia" w:ascii="宋体" w:hAnsi="宋体" w:eastAsia="宋体" w:cs="宋体"/>
          <w:color w:val="auto"/>
          <w:sz w:val="24"/>
          <w:szCs w:val="24"/>
        </w:rPr>
        <w:t>广西壮族自治区政府采购网</w:t>
      </w:r>
      <w:r>
        <w:rPr>
          <w:rFonts w:hint="eastAsia" w:ascii="宋体" w:hAnsi="宋体" w:eastAsia="宋体" w:cs="宋体"/>
          <w:color w:val="auto"/>
          <w:sz w:val="24"/>
          <w:szCs w:val="24"/>
          <w:lang w:eastAsia="zh-CN"/>
        </w:rPr>
        <w:t>（http://zfcg.gxzf.gov.cn/）</w:t>
      </w:r>
      <w:r>
        <w:rPr>
          <w:rFonts w:hint="eastAsia" w:ascii="宋体" w:hAnsi="宋体" w:eastAsia="宋体" w:cs="宋体"/>
          <w:color w:val="auto"/>
          <w:sz w:val="24"/>
          <w:szCs w:val="24"/>
        </w:rPr>
        <w:t>上发布更正公告，并以书面形式通知所有谈判文件收受人。该澄清的内容为谈判文件的组成部分。但不指明澄清问题的来源。如果澄清发出的时间距竞标截止时间不足3工作日，相应延长竞标截止时间。</w:t>
      </w:r>
    </w:p>
    <w:p>
      <w:pPr>
        <w:keepNext w:val="0"/>
        <w:keepLines w:val="0"/>
        <w:pageBreakBefore w:val="0"/>
        <w:kinsoku/>
        <w:wordWrap/>
        <w:overflowPunct/>
        <w:topLinePunct w:val="0"/>
        <w:autoSpaceDE/>
        <w:autoSpaceDN/>
        <w:bidi w:val="0"/>
        <w:spacing w:after="0" w:line="281"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8.3 </w:t>
      </w:r>
      <w:r>
        <w:rPr>
          <w:rFonts w:hint="eastAsia" w:ascii="宋体" w:hAnsi="宋体" w:eastAsia="宋体" w:cs="宋体"/>
          <w:color w:val="auto"/>
          <w:sz w:val="24"/>
          <w:lang w:eastAsia="zh-CN"/>
        </w:rPr>
        <w:t>供应商</w:t>
      </w:r>
      <w:r>
        <w:rPr>
          <w:rFonts w:hint="eastAsia" w:ascii="宋体" w:hAnsi="宋体" w:eastAsia="宋体" w:cs="宋体"/>
          <w:color w:val="auto"/>
          <w:sz w:val="24"/>
        </w:rPr>
        <w:t>在收到澄清后，应在收到的同时以书面形式通知采购人或采购代理机构，确认己收到该澄清。</w:t>
      </w:r>
    </w:p>
    <w:p>
      <w:pPr>
        <w:keepNext w:val="0"/>
        <w:keepLines w:val="0"/>
        <w:pageBreakBefore w:val="0"/>
        <w:kinsoku/>
        <w:wordWrap/>
        <w:overflowPunct/>
        <w:topLinePunct w:val="0"/>
        <w:autoSpaceDE/>
        <w:autoSpaceDN/>
        <w:bidi w:val="0"/>
        <w:spacing w:after="0" w:line="281" w:lineRule="auto"/>
        <w:textAlignment w:val="auto"/>
        <w:rPr>
          <w:rFonts w:hint="eastAsia" w:ascii="宋体" w:hAnsi="宋体" w:eastAsia="宋体" w:cs="宋体"/>
          <w:b/>
          <w:color w:val="auto"/>
          <w:sz w:val="24"/>
        </w:rPr>
      </w:pPr>
      <w:r>
        <w:rPr>
          <w:rFonts w:hint="eastAsia" w:ascii="宋体" w:hAnsi="宋体" w:eastAsia="宋体" w:cs="宋体"/>
          <w:b/>
          <w:color w:val="auto"/>
          <w:sz w:val="24"/>
        </w:rPr>
        <w:t>9. 竞争性谈判文件的修改</w:t>
      </w:r>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9.1 在竞标截止时间3个工作日前，采购人可以书面形式修改竞争性谈判文件，采购代理机构对已发出的谈判文件进行必要修改的，在谈判文件要求提交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截止时间3个工作日前，在</w:t>
      </w:r>
      <w:r>
        <w:rPr>
          <w:rFonts w:hint="eastAsia" w:ascii="宋体" w:hAnsi="宋体" w:eastAsia="宋体" w:cs="宋体"/>
          <w:color w:val="auto"/>
          <w:sz w:val="24"/>
          <w:szCs w:val="24"/>
          <w:lang w:eastAsia="zh-CN"/>
        </w:rPr>
        <w:t>中国政府采购网（http://www.ccgp.gov.cn）</w:t>
      </w:r>
      <w:r>
        <w:rPr>
          <w:rFonts w:hint="eastAsia" w:ascii="宋体" w:hAnsi="宋体"/>
          <w:color w:val="auto"/>
          <w:sz w:val="21"/>
          <w:szCs w:val="21"/>
          <w:lang w:eastAsia="zh-CN"/>
        </w:rPr>
        <w:t>、</w:t>
      </w:r>
      <w:r>
        <w:rPr>
          <w:rFonts w:hint="eastAsia" w:ascii="宋体" w:hAnsi="宋体" w:eastAsia="宋体" w:cs="宋体"/>
          <w:color w:val="auto"/>
          <w:sz w:val="24"/>
          <w:szCs w:val="24"/>
        </w:rPr>
        <w:t>广西壮族自治区政府采购网</w:t>
      </w:r>
      <w:r>
        <w:rPr>
          <w:rFonts w:hint="eastAsia" w:ascii="宋体" w:hAnsi="宋体" w:eastAsia="宋体" w:cs="宋体"/>
          <w:color w:val="auto"/>
          <w:sz w:val="24"/>
          <w:szCs w:val="24"/>
          <w:lang w:eastAsia="zh-CN"/>
        </w:rPr>
        <w:t>（http://zfcg.gxzf.gov.cn/）上</w:t>
      </w:r>
      <w:r>
        <w:rPr>
          <w:rFonts w:hint="eastAsia" w:ascii="宋体" w:hAnsi="宋体" w:eastAsia="宋体" w:cs="宋体"/>
          <w:color w:val="auto"/>
          <w:sz w:val="24"/>
          <w:szCs w:val="24"/>
        </w:rPr>
        <w:t>发布更正公告，并以书面形式通知所有谈判文件收受人。该修改的内容为谈判文件的组成部分。并通知所有已</w:t>
      </w:r>
      <w:r>
        <w:rPr>
          <w:rFonts w:hint="eastAsia" w:hAnsi="宋体" w:cs="宋体"/>
          <w:color w:val="auto"/>
          <w:sz w:val="24"/>
          <w:szCs w:val="24"/>
          <w:lang w:eastAsia="zh-CN"/>
        </w:rPr>
        <w:t>获取竞争性谈判文件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。如果修改竞争性谈判文件的时间距竞标截止时间不足 3工作日，相应延长竞标截止时间。</w:t>
      </w:r>
    </w:p>
    <w:p>
      <w:pPr>
        <w:keepNext w:val="0"/>
        <w:keepLines w:val="0"/>
        <w:pageBreakBefore w:val="0"/>
        <w:kinsoku/>
        <w:wordWrap/>
        <w:overflowPunct/>
        <w:topLinePunct w:val="0"/>
        <w:autoSpaceDE/>
        <w:autoSpaceDN/>
        <w:bidi w:val="0"/>
        <w:spacing w:after="0" w:line="281" w:lineRule="auto"/>
        <w:ind w:firstLine="480"/>
        <w:textAlignment w:val="auto"/>
        <w:rPr>
          <w:rFonts w:hint="eastAsia" w:ascii="宋体" w:hAnsi="宋体" w:eastAsia="宋体" w:cs="宋体"/>
          <w:color w:val="auto"/>
          <w:sz w:val="28"/>
        </w:rPr>
      </w:pPr>
      <w:r>
        <w:rPr>
          <w:rFonts w:hint="eastAsia" w:ascii="宋体" w:hAnsi="宋体" w:eastAsia="宋体" w:cs="宋体"/>
          <w:color w:val="auto"/>
          <w:sz w:val="24"/>
        </w:rPr>
        <w:t xml:space="preserve">9.2 </w:t>
      </w:r>
      <w:r>
        <w:rPr>
          <w:rFonts w:hint="eastAsia" w:ascii="宋体" w:hAnsi="宋体" w:eastAsia="宋体" w:cs="宋体"/>
          <w:color w:val="auto"/>
          <w:sz w:val="24"/>
          <w:lang w:eastAsia="zh-CN"/>
        </w:rPr>
        <w:t>供应商</w:t>
      </w:r>
      <w:r>
        <w:rPr>
          <w:rFonts w:hint="eastAsia" w:ascii="宋体" w:hAnsi="宋体" w:eastAsia="宋体" w:cs="宋体"/>
          <w:color w:val="auto"/>
          <w:sz w:val="24"/>
        </w:rPr>
        <w:t>在收到修改内容后，应在收到的同时以书面形式通知采购人或采购代理机构，确认己收到该修改。</w:t>
      </w:r>
    </w:p>
    <w:p>
      <w:pPr>
        <w:keepNext/>
        <w:keepLines/>
        <w:pageBreakBefore w:val="0"/>
        <w:kinsoku/>
        <w:wordWrap/>
        <w:overflowPunct/>
        <w:topLinePunct w:val="0"/>
        <w:autoSpaceDE/>
        <w:autoSpaceDN/>
        <w:bidi w:val="0"/>
        <w:spacing w:line="281" w:lineRule="auto"/>
        <w:jc w:val="center"/>
        <w:rPr>
          <w:rFonts w:hint="eastAsia" w:ascii="宋体" w:hAnsi="宋体" w:eastAsia="宋体" w:cs="宋体"/>
          <w:b/>
          <w:color w:val="auto"/>
          <w:sz w:val="28"/>
          <w:lang w:eastAsia="zh-CN"/>
        </w:rPr>
      </w:pPr>
      <w:r>
        <w:rPr>
          <w:rFonts w:hint="eastAsia" w:ascii="宋体" w:hAnsi="宋体" w:eastAsia="宋体" w:cs="宋体"/>
          <w:b/>
          <w:color w:val="auto"/>
          <w:sz w:val="28"/>
        </w:rPr>
        <w:t xml:space="preserve"> 三、</w:t>
      </w:r>
      <w:r>
        <w:rPr>
          <w:rFonts w:hint="eastAsia" w:ascii="宋体" w:hAnsi="宋体" w:eastAsia="宋体" w:cs="宋体"/>
          <w:b/>
          <w:color w:val="auto"/>
          <w:sz w:val="28"/>
          <w:lang w:eastAsia="zh-CN"/>
        </w:rPr>
        <w:t>响应文件</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 xml:space="preserve">10.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的组成</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10.1</w:t>
      </w:r>
      <w:r>
        <w:rPr>
          <w:rFonts w:hint="eastAsia" w:ascii="宋体" w:hAnsi="宋体" w:eastAsia="宋体" w:cs="宋体"/>
          <w:color w:val="auto"/>
          <w:sz w:val="24"/>
          <w:lang w:eastAsia="zh-CN"/>
        </w:rPr>
        <w:t>响应文件</w:t>
      </w:r>
      <w:r>
        <w:rPr>
          <w:rFonts w:hint="eastAsia" w:ascii="宋体" w:hAnsi="宋体" w:eastAsia="宋体" w:cs="宋体"/>
          <w:color w:val="auto"/>
          <w:sz w:val="24"/>
        </w:rPr>
        <w:t>应包括下列三部分内容</w:t>
      </w:r>
    </w:p>
    <w:p>
      <w:pPr>
        <w:pStyle w:val="2"/>
        <w:pageBreakBefore w:val="0"/>
        <w:kinsoku/>
        <w:wordWrap/>
        <w:overflowPunct/>
        <w:topLinePunct w:val="0"/>
        <w:autoSpaceDE/>
        <w:autoSpaceDN/>
        <w:bidi w:val="0"/>
        <w:spacing w:line="281" w:lineRule="auto"/>
        <w:rPr>
          <w:rFonts w:hint="eastAsia" w:ascii="宋体" w:hAnsi="宋体" w:eastAsia="宋体" w:cs="宋体"/>
          <w:b/>
          <w:color w:val="auto"/>
          <w:lang w:eastAsia="zh-CN"/>
        </w:rPr>
      </w:pPr>
      <w:r>
        <w:rPr>
          <w:rFonts w:hint="eastAsia" w:ascii="宋体" w:hAnsi="宋体" w:eastAsia="宋体" w:cs="宋体"/>
          <w:b/>
          <w:color w:val="auto"/>
          <w:sz w:val="24"/>
        </w:rPr>
        <w:t>（1）资格</w:t>
      </w:r>
      <w:r>
        <w:rPr>
          <w:rFonts w:hint="eastAsia" w:ascii="宋体" w:hAnsi="宋体" w:eastAsia="宋体" w:cs="宋体"/>
          <w:b/>
          <w:color w:val="auto"/>
          <w:sz w:val="24"/>
          <w:lang w:eastAsia="zh-CN"/>
        </w:rPr>
        <w:t>审查文件</w:t>
      </w:r>
    </w:p>
    <w:p>
      <w:pPr>
        <w:pStyle w:val="2"/>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①</w:t>
      </w:r>
      <w:r>
        <w:rPr>
          <w:rFonts w:hint="eastAsia" w:ascii="宋体" w:hAnsi="宋体" w:eastAsia="宋体" w:cs="宋体"/>
          <w:color w:val="auto"/>
          <w:sz w:val="24"/>
          <w:szCs w:val="24"/>
        </w:rPr>
        <w:t>有效的营业执照副本、组织机构代码证副本、税务登记证副本</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（或加载有统一社会信用代码的‘三证合一’营业执照副本</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w:t>
      </w:r>
    </w:p>
    <w:p>
      <w:pPr>
        <w:pageBreakBefore w:val="0"/>
        <w:kinsoku/>
        <w:wordWrap/>
        <w:overflowPunct/>
        <w:topLinePunct w:val="0"/>
        <w:autoSpaceDE/>
        <w:autoSpaceDN/>
        <w:bidi w:val="0"/>
        <w:spacing w:line="281" w:lineRule="auto"/>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②法定代表人资格证明书和法定代表人身份证复印件；</w:t>
      </w:r>
    </w:p>
    <w:p>
      <w:pPr>
        <w:pageBreakBefore w:val="0"/>
        <w:kinsoku/>
        <w:wordWrap/>
        <w:overflowPunct/>
        <w:topLinePunct w:val="0"/>
        <w:autoSpaceDE/>
        <w:autoSpaceDN/>
        <w:bidi w:val="0"/>
        <w:spacing w:line="281" w:lineRule="auto"/>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rPr>
        <w:t>③</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近</w:t>
      </w:r>
      <w:r>
        <w:rPr>
          <w:rFonts w:hint="eastAsia" w:ascii="宋体" w:hAnsi="宋体" w:eastAsia="宋体" w:cs="宋体"/>
          <w:color w:val="auto"/>
          <w:sz w:val="24"/>
          <w:szCs w:val="24"/>
        </w:rPr>
        <w:t>半年内任意三个月的依法缴纳税费或依法免缴税费的证明；</w:t>
      </w:r>
    </w:p>
    <w:p>
      <w:pPr>
        <w:pStyle w:val="2"/>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④</w:t>
      </w:r>
      <w:r>
        <w:rPr>
          <w:rFonts w:hint="eastAsia" w:ascii="宋体" w:hAnsi="宋体" w:eastAsia="宋体" w:cs="宋体"/>
          <w:color w:val="auto"/>
          <w:sz w:val="24"/>
          <w:lang w:eastAsia="zh-CN"/>
        </w:rPr>
        <w:t>提供供应商近半年内连续三个月的依法缴纳的依法缴纳社保凭证复印件</w:t>
      </w:r>
      <w:r>
        <w:rPr>
          <w:rFonts w:hint="eastAsia" w:ascii="宋体" w:hAnsi="宋体" w:eastAsia="宋体" w:cs="宋体"/>
          <w:color w:val="auto"/>
          <w:sz w:val="24"/>
        </w:rPr>
        <w:t>；</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⑤</w:t>
      </w:r>
      <w:r>
        <w:rPr>
          <w:rFonts w:hint="eastAsia" w:ascii="宋体" w:hAnsi="宋体" w:eastAsia="宋体" w:cs="宋体"/>
          <w:color w:val="auto"/>
          <w:sz w:val="24"/>
          <w:lang w:eastAsia="zh-CN"/>
        </w:rPr>
        <w:t>提供竞标人202</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年度通过中介审计的有效财务审计报告或202</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年度财务会计报表复印件（新成立单位按实际提供）</w:t>
      </w:r>
      <w:r>
        <w:rPr>
          <w:rFonts w:hint="eastAsia" w:ascii="宋体" w:hAnsi="宋体" w:eastAsia="宋体" w:cs="宋体"/>
          <w:color w:val="auto"/>
          <w:sz w:val="24"/>
        </w:rPr>
        <w:t>；</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⑥法定代表人授权委托书和委托代理人身份证复印件；（委托代理时须提供）；</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szCs w:val="24"/>
          <w:lang w:eastAsia="zh-CN"/>
        </w:rPr>
      </w:pPr>
      <w:r>
        <w:rPr>
          <w:rFonts w:hint="eastAsia" w:ascii="宋体" w:hAnsi="宋体" w:eastAsia="宋体" w:cs="宋体"/>
          <w:color w:val="auto"/>
          <w:sz w:val="24"/>
        </w:rPr>
        <w:t>⑦</w:t>
      </w:r>
      <w:r>
        <w:rPr>
          <w:rFonts w:hint="eastAsia" w:ascii="宋体" w:hAnsi="宋体" w:eastAsia="宋体" w:cs="宋体"/>
          <w:color w:val="auto"/>
          <w:sz w:val="24"/>
          <w:szCs w:val="24"/>
          <w:lang w:eastAsia="zh-CN"/>
        </w:rPr>
        <w:t>提供本单位参加政府采购活动前3年内在经营活动中没有重大违法记录的书面声明。</w:t>
      </w:r>
    </w:p>
    <w:p>
      <w:pPr>
        <w:pStyle w:val="10"/>
        <w:pageBreakBefore w:val="0"/>
        <w:kinsoku/>
        <w:wordWrap/>
        <w:overflowPunct/>
        <w:topLinePunct w:val="0"/>
        <w:autoSpaceDE/>
        <w:autoSpaceDN/>
        <w:bidi w:val="0"/>
        <w:spacing w:line="281" w:lineRule="auto"/>
        <w:rPr>
          <w:rFonts w:hint="eastAsia" w:ascii="宋体" w:hAnsi="宋体" w:eastAsia="宋体" w:cs="宋体"/>
          <w:color w:val="auto"/>
          <w:sz w:val="24"/>
        </w:rPr>
      </w:pPr>
      <w:r>
        <w:rPr>
          <w:rFonts w:hint="eastAsia" w:ascii="宋体" w:hAnsi="宋体" w:eastAsia="宋体" w:cs="宋体"/>
          <w:b/>
          <w:color w:val="auto"/>
          <w:sz w:val="24"/>
          <w:szCs w:val="24"/>
        </w:rPr>
        <w:t>以上内容中的第（1）～（</w:t>
      </w:r>
      <w:r>
        <w:rPr>
          <w:rFonts w:hint="eastAsia" w:hAnsi="宋体" w:cs="宋体"/>
          <w:b/>
          <w:color w:val="auto"/>
          <w:sz w:val="24"/>
          <w:szCs w:val="24"/>
          <w:lang w:val="en-US" w:eastAsia="zh-CN"/>
        </w:rPr>
        <w:t>7</w:t>
      </w:r>
      <w:r>
        <w:rPr>
          <w:rFonts w:hint="eastAsia" w:ascii="宋体" w:hAnsi="宋体" w:eastAsia="宋体" w:cs="宋体"/>
          <w:b/>
          <w:color w:val="auto"/>
          <w:sz w:val="24"/>
          <w:szCs w:val="24"/>
        </w:rPr>
        <w:t>）项必须提交. 其中第（</w:t>
      </w:r>
      <w:r>
        <w:rPr>
          <w:rFonts w:hint="eastAsia" w:hAnsi="宋体" w:cs="宋体"/>
          <w:b/>
          <w:color w:val="auto"/>
          <w:sz w:val="24"/>
          <w:szCs w:val="24"/>
          <w:lang w:val="en-US" w:eastAsia="zh-CN"/>
        </w:rPr>
        <w:t>6</w:t>
      </w:r>
      <w:r>
        <w:rPr>
          <w:rFonts w:hint="eastAsia" w:ascii="宋体" w:hAnsi="宋体" w:eastAsia="宋体" w:cs="宋体"/>
          <w:b/>
          <w:color w:val="auto"/>
          <w:sz w:val="24"/>
          <w:szCs w:val="24"/>
        </w:rPr>
        <w:t>）项只需在委托代理时必须提交。</w:t>
      </w:r>
    </w:p>
    <w:p>
      <w:pPr>
        <w:pStyle w:val="2"/>
        <w:pageBreakBefore w:val="0"/>
        <w:kinsoku/>
        <w:wordWrap/>
        <w:overflowPunct/>
        <w:topLinePunct w:val="0"/>
        <w:autoSpaceDE/>
        <w:autoSpaceDN/>
        <w:bidi w:val="0"/>
        <w:spacing w:line="281" w:lineRule="auto"/>
        <w:rPr>
          <w:rFonts w:hint="eastAsia" w:ascii="宋体" w:hAnsi="宋体" w:eastAsia="宋体" w:cs="宋体"/>
          <w:b/>
          <w:color w:val="auto"/>
          <w:lang w:eastAsia="zh-CN"/>
        </w:rPr>
      </w:pPr>
      <w:r>
        <w:rPr>
          <w:rFonts w:hint="eastAsia" w:ascii="宋体" w:hAnsi="宋体" w:eastAsia="宋体" w:cs="宋体"/>
          <w:b/>
          <w:color w:val="auto"/>
          <w:sz w:val="24"/>
        </w:rPr>
        <w:t>（2）商务</w:t>
      </w:r>
      <w:r>
        <w:rPr>
          <w:rFonts w:hint="eastAsia" w:ascii="宋体" w:hAnsi="宋体" w:eastAsia="宋体" w:cs="宋体"/>
          <w:b/>
          <w:color w:val="auto"/>
          <w:sz w:val="24"/>
          <w:lang w:eastAsia="zh-CN"/>
        </w:rPr>
        <w:t>报价文件</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①竞标函（必须提供）；</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②竞标函附表（必须提供）；</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③</w:t>
      </w:r>
      <w:r>
        <w:rPr>
          <w:rFonts w:hint="eastAsia" w:ascii="宋体" w:hAnsi="宋体" w:eastAsia="宋体" w:cs="宋体"/>
          <w:color w:val="auto"/>
          <w:sz w:val="24"/>
          <w:szCs w:val="24"/>
          <w:lang w:val="en-US" w:eastAsia="zh-CN"/>
        </w:rPr>
        <w:t>中小企业声明函或者残疾人福利性单位声明函或者供应商属于监狱企业的证明材料</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b/>
          <w:color w:val="auto"/>
          <w:sz w:val="24"/>
        </w:rPr>
      </w:pPr>
      <w:r>
        <w:rPr>
          <w:rFonts w:hint="eastAsia" w:ascii="宋体" w:hAnsi="宋体" w:eastAsia="宋体" w:cs="宋体"/>
          <w:color w:val="auto"/>
          <w:sz w:val="24"/>
        </w:rPr>
        <w:t>④</w:t>
      </w:r>
      <w:r>
        <w:rPr>
          <w:rFonts w:hint="eastAsia" w:ascii="宋体" w:hAnsi="宋体" w:eastAsia="宋体" w:cs="宋体"/>
          <w:color w:val="auto"/>
          <w:sz w:val="24"/>
          <w:lang w:eastAsia="zh-CN"/>
        </w:rPr>
        <w:t>供应商</w:t>
      </w:r>
      <w:r>
        <w:rPr>
          <w:rFonts w:hint="eastAsia" w:ascii="宋体" w:hAnsi="宋体" w:eastAsia="宋体" w:cs="宋体"/>
          <w:color w:val="auto"/>
          <w:sz w:val="24"/>
        </w:rPr>
        <w:t>认为需要说明的其它资料</w:t>
      </w:r>
      <w:r>
        <w:rPr>
          <w:rFonts w:hint="eastAsia" w:ascii="宋体" w:hAnsi="宋体" w:eastAsia="宋体" w:cs="宋体"/>
          <w:color w:val="auto"/>
          <w:sz w:val="24"/>
          <w:lang w:eastAsia="zh-CN"/>
        </w:rPr>
        <w:t>。</w:t>
      </w:r>
    </w:p>
    <w:p>
      <w:pPr>
        <w:pStyle w:val="2"/>
        <w:pageBreakBefore w:val="0"/>
        <w:kinsoku/>
        <w:wordWrap/>
        <w:overflowPunct/>
        <w:topLinePunct w:val="0"/>
        <w:autoSpaceDE/>
        <w:autoSpaceDN/>
        <w:bidi w:val="0"/>
        <w:spacing w:line="281" w:lineRule="auto"/>
        <w:rPr>
          <w:rFonts w:hint="eastAsia" w:ascii="宋体" w:hAnsi="宋体" w:eastAsia="宋体" w:cs="宋体"/>
          <w:b/>
          <w:color w:val="auto"/>
          <w:lang w:eastAsia="zh-CN"/>
        </w:rPr>
      </w:pPr>
      <w:r>
        <w:rPr>
          <w:rFonts w:hint="eastAsia" w:ascii="宋体" w:hAnsi="宋体" w:eastAsia="宋体" w:cs="宋体"/>
          <w:b/>
          <w:color w:val="auto"/>
          <w:sz w:val="24"/>
        </w:rPr>
        <w:t>（3）技术</w:t>
      </w:r>
      <w:r>
        <w:rPr>
          <w:rFonts w:hint="eastAsia" w:ascii="宋体" w:hAnsi="宋体" w:eastAsia="宋体" w:cs="宋体"/>
          <w:b/>
          <w:color w:val="auto"/>
          <w:sz w:val="24"/>
          <w:lang w:eastAsia="zh-CN"/>
        </w:rPr>
        <w:t>文件</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①技术规格响应表（必须提供）；</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②售后服务承诺书（必须提供）；</w:t>
      </w:r>
    </w:p>
    <w:p>
      <w:pPr>
        <w:pageBreakBefore w:val="0"/>
        <w:kinsoku/>
        <w:wordWrap/>
        <w:overflowPunct/>
        <w:topLinePunct w:val="0"/>
        <w:autoSpaceDE/>
        <w:autoSpaceDN/>
        <w:bidi w:val="0"/>
        <w:spacing w:line="281"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③</w:t>
      </w:r>
      <w:r>
        <w:rPr>
          <w:rFonts w:hint="eastAsia" w:ascii="宋体" w:hAnsi="宋体" w:eastAsia="宋体" w:cs="宋体"/>
          <w:color w:val="auto"/>
          <w:sz w:val="24"/>
          <w:lang w:eastAsia="zh-CN"/>
        </w:rPr>
        <w:t>供应商</w:t>
      </w:r>
      <w:r>
        <w:rPr>
          <w:rFonts w:hint="eastAsia" w:ascii="宋体" w:hAnsi="宋体" w:eastAsia="宋体" w:cs="宋体"/>
          <w:color w:val="auto"/>
          <w:sz w:val="24"/>
        </w:rPr>
        <w:t>认为需要说明的其它资料。</w:t>
      </w:r>
    </w:p>
    <w:p>
      <w:pPr>
        <w:pageBreakBefore w:val="0"/>
        <w:kinsoku/>
        <w:wordWrap/>
        <w:overflowPunct/>
        <w:topLinePunct w:val="0"/>
        <w:autoSpaceDE/>
        <w:autoSpaceDN/>
        <w:bidi w:val="0"/>
        <w:spacing w:line="281"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10.2 </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应按照</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格式和顺序，自行编制</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r>
        <w:rPr>
          <w:rFonts w:hint="eastAsia" w:ascii="宋体" w:hAnsi="宋体" w:eastAsia="宋体" w:cs="宋体"/>
          <w:color w:val="auto"/>
          <w:sz w:val="24"/>
          <w:lang w:eastAsia="zh-CN"/>
        </w:rPr>
        <w:t>响应文件</w:t>
      </w:r>
      <w:r>
        <w:rPr>
          <w:rFonts w:hint="eastAsia" w:ascii="宋体" w:hAnsi="宋体" w:eastAsia="宋体" w:cs="宋体"/>
          <w:color w:val="auto"/>
          <w:sz w:val="24"/>
        </w:rPr>
        <w:t>应包含本须知第10.1条中规定的内容，但表格可以按同样格式扩展。</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11. 竞标报价</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eastAsia="zh-CN"/>
        </w:rPr>
        <w:t>响应文件</w:t>
      </w:r>
      <w:r>
        <w:rPr>
          <w:rFonts w:hint="eastAsia" w:ascii="宋体" w:hAnsi="宋体" w:eastAsia="宋体" w:cs="宋体"/>
          <w:color w:val="auto"/>
          <w:sz w:val="24"/>
        </w:rPr>
        <w:t>中的报价均采用人民币表示。</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b/>
          <w:color w:val="auto"/>
          <w:sz w:val="24"/>
        </w:rPr>
        <w:t>2竞标报价为</w:t>
      </w:r>
      <w:r>
        <w:rPr>
          <w:rFonts w:hint="eastAsia" w:ascii="宋体" w:hAnsi="宋体" w:eastAsia="宋体" w:cs="宋体"/>
          <w:b/>
          <w:color w:val="auto"/>
          <w:sz w:val="24"/>
          <w:lang w:eastAsia="zh-CN"/>
        </w:rPr>
        <w:t>供应商</w:t>
      </w:r>
      <w:r>
        <w:rPr>
          <w:rFonts w:hint="eastAsia" w:ascii="宋体" w:hAnsi="宋体" w:eastAsia="宋体" w:cs="宋体"/>
          <w:b/>
          <w:color w:val="auto"/>
          <w:sz w:val="24"/>
        </w:rPr>
        <w:t>在</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中提出的各项支付金额的总和（包含</w:t>
      </w:r>
      <w:r>
        <w:rPr>
          <w:rFonts w:hint="eastAsia" w:ascii="宋体" w:hAnsi="宋体" w:eastAsia="宋体" w:cs="宋体"/>
          <w:b/>
          <w:color w:val="auto"/>
          <w:szCs w:val="21"/>
        </w:rPr>
        <w:t>税金及其它所有成本费用的总和</w:t>
      </w:r>
      <w:r>
        <w:rPr>
          <w:rFonts w:hint="eastAsia" w:ascii="宋体" w:hAnsi="宋体" w:eastAsia="宋体" w:cs="宋体"/>
          <w:b/>
          <w:color w:val="auto"/>
          <w:sz w:val="24"/>
        </w:rPr>
        <w:t>）；</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11.3 </w:t>
      </w:r>
      <w:r>
        <w:rPr>
          <w:rFonts w:hint="eastAsia" w:ascii="宋体" w:hAnsi="宋体" w:eastAsia="宋体" w:cs="宋体"/>
          <w:color w:val="auto"/>
          <w:sz w:val="24"/>
          <w:lang w:eastAsia="zh-CN"/>
        </w:rPr>
        <w:t>供应商</w:t>
      </w:r>
      <w:r>
        <w:rPr>
          <w:rFonts w:hint="eastAsia" w:ascii="宋体" w:hAnsi="宋体" w:eastAsia="宋体" w:cs="宋体"/>
          <w:color w:val="auto"/>
          <w:sz w:val="24"/>
        </w:rPr>
        <w:t>的竞标报价，应是完成前附表第1项所列的范围及服务期的全部，不得以任何理由予以重复，作为</w:t>
      </w:r>
      <w:r>
        <w:rPr>
          <w:rFonts w:hint="eastAsia" w:ascii="宋体" w:hAnsi="宋体" w:eastAsia="宋体" w:cs="宋体"/>
          <w:color w:val="auto"/>
          <w:sz w:val="24"/>
          <w:lang w:eastAsia="zh-CN"/>
        </w:rPr>
        <w:t>供应商</w:t>
      </w:r>
      <w:r>
        <w:rPr>
          <w:rFonts w:hint="eastAsia" w:ascii="宋体" w:hAnsi="宋体" w:eastAsia="宋体" w:cs="宋体"/>
          <w:color w:val="auto"/>
          <w:sz w:val="24"/>
        </w:rPr>
        <w:t>计算竞标报价的依据；</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11.4</w:t>
      </w:r>
      <w:r>
        <w:rPr>
          <w:rFonts w:hint="eastAsia" w:ascii="宋体" w:hAnsi="宋体" w:eastAsia="宋体" w:cs="宋体"/>
          <w:color w:val="auto"/>
          <w:sz w:val="24"/>
          <w:lang w:eastAsia="zh-CN"/>
        </w:rPr>
        <w:t>供应商</w:t>
      </w:r>
      <w:r>
        <w:rPr>
          <w:rFonts w:hint="eastAsia" w:ascii="宋体" w:hAnsi="宋体" w:eastAsia="宋体" w:cs="宋体"/>
          <w:color w:val="auto"/>
          <w:sz w:val="24"/>
        </w:rPr>
        <w:t>可根据市场行情及自身情况，自行决定其竞标报价。</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12. 竞标有效期</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12.1 在前附表第5项规定的竞标有效期内，</w:t>
      </w:r>
      <w:r>
        <w:rPr>
          <w:rFonts w:hint="eastAsia" w:ascii="宋体" w:hAnsi="宋体" w:eastAsia="宋体" w:cs="宋体"/>
          <w:color w:val="auto"/>
          <w:sz w:val="24"/>
          <w:lang w:eastAsia="zh-CN"/>
        </w:rPr>
        <w:t>供应商</w:t>
      </w:r>
      <w:r>
        <w:rPr>
          <w:rFonts w:hint="eastAsia" w:ascii="宋体" w:hAnsi="宋体" w:eastAsia="宋体" w:cs="宋体"/>
          <w:color w:val="auto"/>
          <w:sz w:val="24"/>
        </w:rPr>
        <w:t>不得要求撤销或修改其</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12.2 出现特殊情况需要延长竞标有效期的，采购人以书面形式通知所有</w:t>
      </w:r>
      <w:r>
        <w:rPr>
          <w:rFonts w:hint="eastAsia" w:ascii="宋体" w:hAnsi="宋体" w:eastAsia="宋体" w:cs="宋体"/>
          <w:color w:val="auto"/>
          <w:sz w:val="24"/>
          <w:lang w:eastAsia="zh-CN"/>
        </w:rPr>
        <w:t>供应商</w:t>
      </w:r>
      <w:r>
        <w:rPr>
          <w:rFonts w:hint="eastAsia" w:ascii="宋体" w:hAnsi="宋体" w:eastAsia="宋体" w:cs="宋体"/>
          <w:color w:val="auto"/>
          <w:sz w:val="24"/>
        </w:rPr>
        <w:t>延长竞标有效期。</w:t>
      </w:r>
      <w:r>
        <w:rPr>
          <w:rFonts w:hint="eastAsia" w:ascii="宋体" w:hAnsi="宋体" w:eastAsia="宋体" w:cs="宋体"/>
          <w:color w:val="auto"/>
          <w:sz w:val="24"/>
          <w:lang w:eastAsia="zh-CN"/>
        </w:rPr>
        <w:t>供应商</w:t>
      </w:r>
      <w:r>
        <w:rPr>
          <w:rFonts w:hint="eastAsia" w:ascii="宋体" w:hAnsi="宋体" w:eastAsia="宋体" w:cs="宋体"/>
          <w:color w:val="auto"/>
          <w:sz w:val="24"/>
        </w:rPr>
        <w:t>同意延长的，应相应延长其竞标保证金的有效期，但不得要求或被允许修改或撤销其</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拒绝延长的，其报价失效，但</w:t>
      </w:r>
      <w:r>
        <w:rPr>
          <w:rFonts w:hint="eastAsia" w:ascii="宋体" w:hAnsi="宋体" w:eastAsia="宋体" w:cs="宋体"/>
          <w:color w:val="auto"/>
          <w:sz w:val="24"/>
          <w:lang w:eastAsia="zh-CN"/>
        </w:rPr>
        <w:t>供应商</w:t>
      </w:r>
      <w:r>
        <w:rPr>
          <w:rFonts w:hint="eastAsia" w:ascii="宋体" w:hAnsi="宋体" w:eastAsia="宋体" w:cs="宋体"/>
          <w:color w:val="auto"/>
          <w:sz w:val="24"/>
        </w:rPr>
        <w:t>有权收回其竞标保证金。</w:t>
      </w:r>
    </w:p>
    <w:p>
      <w:pPr>
        <w:pageBreakBefore w:val="0"/>
        <w:kinsoku/>
        <w:wordWrap/>
        <w:overflowPunct/>
        <w:topLinePunct w:val="0"/>
        <w:autoSpaceDE/>
        <w:autoSpaceDN/>
        <w:bidi w:val="0"/>
        <w:spacing w:line="281" w:lineRule="auto"/>
        <w:rPr>
          <w:rFonts w:hint="eastAsia" w:ascii="宋体" w:hAnsi="宋体" w:eastAsia="宋体" w:cs="宋体"/>
          <w:b w:val="0"/>
          <w:bCs/>
          <w:color w:val="auto"/>
          <w:sz w:val="24"/>
          <w:szCs w:val="22"/>
        </w:rPr>
      </w:pPr>
      <w:r>
        <w:rPr>
          <w:rFonts w:hint="eastAsia" w:ascii="宋体" w:hAnsi="宋体" w:eastAsia="宋体" w:cs="宋体"/>
          <w:b/>
          <w:color w:val="auto"/>
          <w:sz w:val="24"/>
        </w:rPr>
        <w:t>13. 竞标保证金</w:t>
      </w:r>
      <w:r>
        <w:rPr>
          <w:rFonts w:hint="eastAsia" w:ascii="宋体" w:hAnsi="宋体" w:eastAsia="宋体" w:cs="宋体"/>
          <w:b/>
          <w:color w:val="auto"/>
          <w:sz w:val="24"/>
          <w:lang w:eastAsia="zh-CN"/>
        </w:rPr>
        <w:t>：</w:t>
      </w:r>
      <w:r>
        <w:rPr>
          <w:rFonts w:hint="eastAsia" w:ascii="宋体" w:hAnsi="宋体" w:eastAsia="宋体" w:cs="宋体"/>
          <w:b w:val="0"/>
          <w:bCs/>
          <w:color w:val="auto"/>
          <w:sz w:val="24"/>
          <w:lang w:eastAsia="zh-CN"/>
        </w:rPr>
        <w:t>根据“百政办电[2021]34号文件，鼓励免收投标保证金”，本项目无需缴纳竞标保证金。</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 xml:space="preserve">14.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编制</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14.1 </w:t>
      </w:r>
      <w:r>
        <w:rPr>
          <w:rFonts w:hint="eastAsia" w:ascii="宋体" w:hAnsi="宋体" w:eastAsia="宋体" w:cs="宋体"/>
          <w:color w:val="auto"/>
          <w:sz w:val="24"/>
          <w:lang w:eastAsia="zh-CN"/>
        </w:rPr>
        <w:t>响应文件</w:t>
      </w:r>
      <w:r>
        <w:rPr>
          <w:rFonts w:hint="eastAsia" w:ascii="宋体" w:hAnsi="宋体" w:eastAsia="宋体" w:cs="宋体"/>
          <w:color w:val="auto"/>
          <w:sz w:val="24"/>
        </w:rPr>
        <w:t>应按第六章“</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格式”进行编写，如有必要，可以增加附页，作为</w:t>
      </w:r>
      <w:r>
        <w:rPr>
          <w:rFonts w:hint="eastAsia" w:ascii="宋体" w:hAnsi="宋体" w:eastAsia="宋体" w:cs="宋体"/>
          <w:color w:val="auto"/>
          <w:sz w:val="24"/>
          <w:lang w:eastAsia="zh-CN"/>
        </w:rPr>
        <w:t>响应文件</w:t>
      </w:r>
      <w:r>
        <w:rPr>
          <w:rFonts w:hint="eastAsia" w:ascii="宋体" w:hAnsi="宋体" w:eastAsia="宋体" w:cs="宋体"/>
          <w:color w:val="auto"/>
          <w:sz w:val="24"/>
        </w:rPr>
        <w:t>的组成部分。</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14.2 </w:t>
      </w:r>
      <w:r>
        <w:rPr>
          <w:rFonts w:hint="eastAsia" w:ascii="宋体" w:hAnsi="宋体" w:eastAsia="宋体" w:cs="宋体"/>
          <w:color w:val="auto"/>
          <w:sz w:val="24"/>
          <w:lang w:eastAsia="zh-CN"/>
        </w:rPr>
        <w:t>响应文件</w:t>
      </w:r>
      <w:r>
        <w:rPr>
          <w:rFonts w:hint="eastAsia" w:ascii="宋体" w:hAnsi="宋体" w:eastAsia="宋体" w:cs="宋体"/>
          <w:color w:val="auto"/>
          <w:sz w:val="24"/>
        </w:rPr>
        <w:t>应当对竞争性谈判文件有关服务期、竞标有效期、质量要求、技术标准、采购范围等实质性内容作出响应。</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color w:val="auto"/>
          <w:sz w:val="24"/>
        </w:rPr>
        <w:t>14.3 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w:t>
      </w:r>
    </w:p>
    <w:p>
      <w:pPr>
        <w:pageBreakBefore w:val="0"/>
        <w:kinsoku/>
        <w:wordWrap/>
        <w:overflowPunct/>
        <w:topLinePunct w:val="0"/>
        <w:autoSpaceDE/>
        <w:autoSpaceDN/>
        <w:bidi w:val="0"/>
        <w:spacing w:line="281" w:lineRule="auto"/>
        <w:ind w:firstLine="48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rPr>
        <w:t xml:space="preserve">14.4 </w:t>
      </w:r>
      <w:r>
        <w:rPr>
          <w:rFonts w:hint="eastAsia" w:ascii="宋体" w:hAnsi="宋体" w:eastAsia="宋体" w:cs="宋体"/>
          <w:i w:val="0"/>
          <w:iCs w:val="0"/>
          <w:color w:val="auto"/>
          <w:kern w:val="0"/>
          <w:sz w:val="24"/>
          <w:szCs w:val="24"/>
          <w:highlight w:val="none"/>
          <w:u w:val="none"/>
          <w:lang w:val="en-US" w:eastAsia="zh-CN" w:bidi="ar"/>
        </w:rPr>
        <w:t>供应商应当准备电子响应文件、可以准备以介质存储的数据电文形式的电子备份响应文件：</w:t>
      </w:r>
    </w:p>
    <w:p>
      <w:pPr>
        <w:pageBreakBefore w:val="0"/>
        <w:kinsoku/>
        <w:wordWrap/>
        <w:overflowPunct/>
        <w:topLinePunct w:val="0"/>
        <w:autoSpaceDE/>
        <w:autoSpaceDN/>
        <w:bidi w:val="0"/>
        <w:spacing w:line="281" w:lineRule="auto"/>
        <w:ind w:firstLine="48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（1）电子响应文件按”政采云” 网上招投标系统要求及本采购文件要求制作、加密并递交。</w:t>
      </w:r>
    </w:p>
    <w:p>
      <w:pPr>
        <w:pageBreakBefore w:val="0"/>
        <w:kinsoku/>
        <w:wordWrap/>
        <w:overflowPunct/>
        <w:topLinePunct w:val="0"/>
        <w:autoSpaceDE/>
        <w:autoSpaceDN/>
        <w:bidi w:val="0"/>
        <w:spacing w:line="281" w:lineRule="auto"/>
        <w:ind w:firstLine="48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（2）以介质存储的数据电文形式的电子备份响应文件，按”政采云” 网上招投标系统项目采购-电子招投标操作指南中上传的电子备份响应文件格式，以U 盘或光盘等形式提供。数量为 1 份。 </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z w:val="24"/>
        </w:rPr>
      </w:pPr>
      <w:r>
        <w:rPr>
          <w:rFonts w:hint="eastAsia" w:ascii="宋体" w:hAnsi="宋体" w:eastAsia="宋体" w:cs="宋体"/>
          <w:i w:val="0"/>
          <w:iCs w:val="0"/>
          <w:color w:val="auto"/>
          <w:kern w:val="0"/>
          <w:sz w:val="24"/>
          <w:szCs w:val="24"/>
          <w:highlight w:val="none"/>
          <w:u w:val="none"/>
          <w:lang w:val="en-US" w:eastAsia="zh-CN" w:bidi="ar"/>
        </w:rPr>
        <w:t>（3）电子响应文件启用顺序和效力。电子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未传输递交电子响应文件的，谈判无效。未按规定提供相应的备份响应文件，造成项目开评标活动无法进行下去的，谈判无效。</w:t>
      </w:r>
    </w:p>
    <w:p>
      <w:pPr>
        <w:keepNext/>
        <w:keepLines/>
        <w:pageBreakBefore w:val="0"/>
        <w:kinsoku/>
        <w:wordWrap/>
        <w:overflowPunct/>
        <w:topLinePunct w:val="0"/>
        <w:autoSpaceDE/>
        <w:autoSpaceDN/>
        <w:bidi w:val="0"/>
        <w:spacing w:line="281" w:lineRule="auto"/>
        <w:jc w:val="center"/>
        <w:rPr>
          <w:rFonts w:hint="eastAsia" w:ascii="宋体" w:hAnsi="宋体" w:eastAsia="宋体" w:cs="宋体"/>
          <w:b/>
          <w:color w:val="auto"/>
          <w:sz w:val="24"/>
        </w:rPr>
      </w:pPr>
      <w:r>
        <w:rPr>
          <w:rFonts w:hint="eastAsia" w:ascii="宋体" w:hAnsi="宋体" w:eastAsia="宋体" w:cs="宋体"/>
          <w:b/>
          <w:color w:val="auto"/>
          <w:sz w:val="28"/>
        </w:rPr>
        <w:t>四、竞标</w:t>
      </w:r>
    </w:p>
    <w:p>
      <w:pPr>
        <w:pageBreakBefore w:val="0"/>
        <w:kinsoku/>
        <w:wordWrap/>
        <w:overflowPunct/>
        <w:topLinePunct w:val="0"/>
        <w:autoSpaceDE/>
        <w:autoSpaceDN/>
        <w:bidi w:val="0"/>
        <w:spacing w:line="281" w:lineRule="auto"/>
        <w:rPr>
          <w:rFonts w:hint="eastAsia" w:ascii="宋体" w:hAnsi="宋体" w:eastAsia="宋体" w:cs="宋体"/>
          <w:b/>
          <w:color w:val="auto"/>
          <w:sz w:val="24"/>
        </w:rPr>
      </w:pPr>
      <w:r>
        <w:rPr>
          <w:rFonts w:hint="eastAsia" w:ascii="宋体" w:hAnsi="宋体" w:eastAsia="宋体" w:cs="宋体"/>
          <w:b/>
          <w:color w:val="auto"/>
          <w:sz w:val="24"/>
        </w:rPr>
        <w:t xml:space="preserve">15.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的密封和标识</w:t>
      </w:r>
    </w:p>
    <w:p>
      <w:pPr>
        <w:pStyle w:val="2"/>
        <w:keepNext w:val="0"/>
        <w:keepLines w:val="0"/>
        <w:pageBreakBefore w:val="0"/>
        <w:widowControl/>
        <w:kinsoku/>
        <w:wordWrap/>
        <w:overflowPunct/>
        <w:topLinePunct w:val="0"/>
        <w:autoSpaceDE/>
        <w:autoSpaceDN/>
        <w:bidi w:val="0"/>
        <w:adjustRightInd w:val="0"/>
        <w:snapToGrid w:val="0"/>
        <w:spacing w:line="281"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本项目实行全流程电子化交易，谈判供应商如有需要，可以参与现场谈判会（所需在线竞标响应及解密开启设备自带）并可在谈判截止时间前提供以介质（U 盘或光盘等）存储的数据电文形成的电子备份响应文件。电子备份响应文件应当由法定代表人或授权委托代理人（需携带法定代表人身份证明书或授权委托书原件及身份证原件等有效证明材料）在竞标截止时间前按要求密封并提交至广西北部湾宏亚建设管理有限公司靖西分公司（靖西市吉祥路古力屯三产用地峰珲体育三楼），</w:t>
      </w:r>
      <w:r>
        <w:rPr>
          <w:rFonts w:hint="eastAsia" w:asciiTheme="minorEastAsia" w:hAnsiTheme="minorEastAsia" w:eastAsiaTheme="minorEastAsia" w:cstheme="minorEastAsia"/>
          <w:color w:val="auto"/>
          <w:sz w:val="24"/>
          <w:szCs w:val="24"/>
          <w:lang w:val="en-US" w:eastAsia="zh-CN"/>
        </w:rPr>
        <w:t>如竞标人未按要求提供以上材料，</w:t>
      </w:r>
      <w:r>
        <w:rPr>
          <w:rFonts w:hint="eastAsia" w:ascii="宋体" w:hAnsi="宋体" w:eastAsia="宋体" w:cs="宋体"/>
          <w:color w:val="auto"/>
          <w:sz w:val="24"/>
          <w:szCs w:val="24"/>
          <w:highlight w:val="none"/>
          <w:lang w:val="en-US" w:eastAsia="zh-CN"/>
        </w:rPr>
        <w:t>逾期送达或未按要求密封将被拒收。电子备份响应文件应当密封包装并在包装上标注竞标项目名称、单位名称并加盖单位公章。</w:t>
      </w:r>
    </w:p>
    <w:p>
      <w:pPr>
        <w:pageBreakBefore w:val="0"/>
        <w:kinsoku/>
        <w:wordWrap/>
        <w:overflowPunct/>
        <w:topLinePunct w:val="0"/>
        <w:autoSpaceDE/>
        <w:autoSpaceDN/>
        <w:bidi w:val="0"/>
        <w:spacing w:line="281" w:lineRule="auto"/>
        <w:rPr>
          <w:rFonts w:hint="eastAsia" w:ascii="宋体" w:hAnsi="宋体" w:eastAsia="宋体" w:cs="宋体"/>
          <w:b/>
          <w:color w:val="auto"/>
          <w:spacing w:val="2"/>
          <w:sz w:val="24"/>
        </w:rPr>
      </w:pPr>
      <w:r>
        <w:rPr>
          <w:rFonts w:hint="eastAsia" w:ascii="宋体" w:hAnsi="宋体" w:eastAsia="宋体" w:cs="宋体"/>
          <w:b/>
          <w:color w:val="auto"/>
          <w:spacing w:val="2"/>
          <w:sz w:val="24"/>
        </w:rPr>
        <w:t xml:space="preserve">16. </w:t>
      </w:r>
      <w:r>
        <w:rPr>
          <w:rFonts w:hint="eastAsia" w:ascii="宋体" w:hAnsi="宋体" w:eastAsia="宋体" w:cs="宋体"/>
          <w:b/>
          <w:color w:val="auto"/>
          <w:spacing w:val="2"/>
          <w:sz w:val="24"/>
          <w:lang w:eastAsia="zh-CN"/>
        </w:rPr>
        <w:t>响应文件</w:t>
      </w:r>
      <w:r>
        <w:rPr>
          <w:rFonts w:hint="eastAsia" w:ascii="宋体" w:hAnsi="宋体" w:eastAsia="宋体" w:cs="宋体"/>
          <w:b/>
          <w:color w:val="auto"/>
          <w:spacing w:val="2"/>
          <w:sz w:val="24"/>
        </w:rPr>
        <w:t>的递交</w:t>
      </w:r>
    </w:p>
    <w:p>
      <w:pPr>
        <w:keepLines w:val="0"/>
        <w:pageBreakBefore w:val="0"/>
        <w:kinsoku/>
        <w:wordWrap/>
        <w:overflowPunct/>
        <w:topLinePunct w:val="0"/>
        <w:autoSpaceDE/>
        <w:autoSpaceDN/>
        <w:bidi w:val="0"/>
        <w:spacing w:after="0" w:line="281"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16.1竞标截止时间按须知前附表第8项。</w:t>
      </w:r>
    </w:p>
    <w:p>
      <w:pPr>
        <w:keepLines w:val="0"/>
        <w:pageBreakBefore w:val="0"/>
        <w:kinsoku/>
        <w:wordWrap/>
        <w:overflowPunct/>
        <w:topLinePunct w:val="0"/>
        <w:autoSpaceDE/>
        <w:autoSpaceDN/>
        <w:bidi w:val="0"/>
        <w:spacing w:after="0" w:line="281"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lang w:eastAsia="zh-CN"/>
        </w:rPr>
        <w:t>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w:t>
      </w:r>
    </w:p>
    <w:p>
      <w:pPr>
        <w:keepLines w:val="0"/>
        <w:pageBreakBefore w:val="0"/>
        <w:kinsoku/>
        <w:wordWrap/>
        <w:overflowPunct/>
        <w:topLinePunct w:val="0"/>
        <w:autoSpaceDE/>
        <w:autoSpaceDN/>
        <w:bidi w:val="0"/>
        <w:spacing w:after="0" w:line="281"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lang w:eastAsia="zh-CN"/>
        </w:rPr>
        <w:t>未进行网上注册并办理数字证书（CA认证）的供应商将无法参与本项目政府采购活动，潜在供应商应要尽早完成电子交易平台上的CA数字证书办理，并在首次响应文件提交截止时间前提交响应文件。</w:t>
      </w:r>
    </w:p>
    <w:p>
      <w:pPr>
        <w:keepLines w:val="0"/>
        <w:pageBreakBefore w:val="0"/>
        <w:kinsoku/>
        <w:wordWrap/>
        <w:overflowPunct/>
        <w:topLinePunct w:val="0"/>
        <w:autoSpaceDE/>
        <w:autoSpaceDN/>
        <w:bidi w:val="0"/>
        <w:spacing w:after="0" w:line="281"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为确保网上操作合法、有效和安全，请供应商确保在电子响应过程中能够对相关数据电文进行加密和使用电子签章，妥善保管CA数字证书并使用有效的CA数字证书参与整个采购活动。</w:t>
      </w:r>
    </w:p>
    <w:p>
      <w:pPr>
        <w:keepLines w:val="0"/>
        <w:pageBreakBefore w:val="0"/>
        <w:kinsoku/>
        <w:wordWrap/>
        <w:overflowPunct/>
        <w:topLinePunct w:val="0"/>
        <w:autoSpaceDE/>
        <w:autoSpaceDN/>
        <w:bidi w:val="0"/>
        <w:spacing w:after="0" w:line="281"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pStyle w:val="3"/>
        <w:keepLines w:val="0"/>
        <w:pageBreakBefore w:val="0"/>
        <w:kinsoku/>
        <w:wordWrap/>
        <w:overflowPunct/>
        <w:topLinePunct w:val="0"/>
        <w:autoSpaceDE/>
        <w:autoSpaceDN/>
        <w:bidi w:val="0"/>
        <w:spacing w:line="281"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2"/>
          <w:sz w:val="24"/>
          <w:szCs w:val="24"/>
          <w:lang w:val="en-US" w:eastAsia="zh-CN"/>
        </w:rPr>
        <w:t xml:space="preserve">  </w:t>
      </w:r>
      <w:r>
        <w:rPr>
          <w:rFonts w:hint="eastAsia" w:ascii="宋体" w:hAnsi="宋体" w:eastAsia="宋体" w:cs="宋体"/>
          <w:color w:val="auto"/>
          <w:kern w:val="0"/>
          <w:sz w:val="24"/>
          <w:szCs w:val="24"/>
          <w:highlight w:val="none"/>
          <w:lang w:val="en-US" w:eastAsia="zh-CN" w:bidi="ar-SA"/>
        </w:rPr>
        <w:t>16.5电子响应文件解密时间：截标时间后 30分钟内，供应商必须在此时间段内登录”政采云” 网上招投标系统，完成电子响应文件的解密。若供应商在规定时间内未按时解密的，视为响应文件撤回。</w:t>
      </w:r>
    </w:p>
    <w:p>
      <w:pPr>
        <w:keepLines w:val="0"/>
        <w:pageBreakBefore w:val="0"/>
        <w:kinsoku/>
        <w:wordWrap/>
        <w:overflowPunct/>
        <w:topLinePunct w:val="0"/>
        <w:autoSpaceDE/>
        <w:autoSpaceDN/>
        <w:bidi w:val="0"/>
        <w:spacing w:line="281" w:lineRule="auto"/>
        <w:textAlignment w:val="auto"/>
        <w:rPr>
          <w:rFonts w:hint="eastAsia" w:ascii="宋体" w:hAnsi="宋体" w:eastAsia="宋体" w:cs="宋体"/>
          <w:b/>
          <w:color w:val="auto"/>
          <w:spacing w:val="2"/>
          <w:sz w:val="24"/>
        </w:rPr>
      </w:pPr>
      <w:r>
        <w:rPr>
          <w:rFonts w:hint="eastAsia" w:ascii="宋体" w:hAnsi="宋体" w:eastAsia="宋体" w:cs="宋体"/>
          <w:b/>
          <w:color w:val="auto"/>
          <w:spacing w:val="2"/>
          <w:sz w:val="24"/>
        </w:rPr>
        <w:t xml:space="preserve">17. </w:t>
      </w:r>
      <w:r>
        <w:rPr>
          <w:rFonts w:hint="eastAsia" w:ascii="宋体" w:hAnsi="宋体" w:eastAsia="宋体" w:cs="宋体"/>
          <w:b/>
          <w:color w:val="auto"/>
          <w:spacing w:val="2"/>
          <w:sz w:val="24"/>
          <w:lang w:eastAsia="zh-CN"/>
        </w:rPr>
        <w:t>响应文件</w:t>
      </w:r>
      <w:r>
        <w:rPr>
          <w:rFonts w:hint="eastAsia" w:ascii="宋体" w:hAnsi="宋体" w:eastAsia="宋体" w:cs="宋体"/>
          <w:b/>
          <w:color w:val="auto"/>
          <w:spacing w:val="2"/>
          <w:sz w:val="24"/>
        </w:rPr>
        <w:t>的修改和撤回</w:t>
      </w:r>
    </w:p>
    <w:p>
      <w:pPr>
        <w:keepLines w:val="0"/>
        <w:pageBreakBefore w:val="0"/>
        <w:kinsoku/>
        <w:wordWrap/>
        <w:overflowPunct/>
        <w:topLinePunct w:val="0"/>
        <w:autoSpaceDE/>
        <w:autoSpaceDN/>
        <w:bidi w:val="0"/>
        <w:spacing w:after="0" w:line="281"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keepLines w:val="0"/>
        <w:pageBreakBefore w:val="0"/>
        <w:kinsoku/>
        <w:wordWrap/>
        <w:overflowPunct/>
        <w:topLinePunct w:val="0"/>
        <w:autoSpaceDE/>
        <w:autoSpaceDN/>
        <w:bidi w:val="0"/>
        <w:spacing w:line="281" w:lineRule="auto"/>
        <w:ind w:firstLine="478" w:firstLineChars="195"/>
        <w:jc w:val="center"/>
        <w:textAlignment w:val="auto"/>
        <w:outlineLvl w:val="2"/>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五、开标</w:t>
      </w:r>
    </w:p>
    <w:p>
      <w:pPr>
        <w:keepLines w:val="0"/>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pacing w:val="2"/>
          <w:sz w:val="24"/>
          <w:lang w:eastAsia="zh-CN"/>
        </w:rPr>
      </w:pPr>
      <w:r>
        <w:rPr>
          <w:rFonts w:hint="eastAsia" w:ascii="宋体" w:hAnsi="宋体" w:eastAsia="宋体" w:cs="宋体"/>
          <w:b/>
          <w:bCs/>
          <w:color w:val="auto"/>
          <w:spacing w:val="2"/>
          <w:sz w:val="24"/>
          <w:szCs w:val="24"/>
        </w:rPr>
        <w:t>18、开标</w:t>
      </w:r>
    </w:p>
    <w:p>
      <w:pPr>
        <w:keepNext w:val="0"/>
        <w:keepLines w:val="0"/>
        <w:pageBreakBefore w:val="0"/>
        <w:widowControl w:val="0"/>
        <w:kinsoku/>
        <w:wordWrap/>
        <w:overflowPunct/>
        <w:topLinePunct w:val="0"/>
        <w:autoSpaceDE/>
        <w:autoSpaceDN/>
        <w:bidi w:val="0"/>
        <w:adjustRightInd/>
        <w:snapToGrid/>
        <w:spacing w:line="281" w:lineRule="auto"/>
        <w:textAlignment w:val="auto"/>
        <w:rPr>
          <w:rFonts w:hint="eastAsia" w:ascii="宋体" w:hAnsi="宋体" w:eastAsia="宋体" w:cs="宋体"/>
          <w:color w:val="auto"/>
          <w:spacing w:val="2"/>
          <w:sz w:val="24"/>
        </w:rPr>
      </w:pPr>
      <w:r>
        <w:rPr>
          <w:rFonts w:hint="eastAsia" w:ascii="宋体" w:hAnsi="宋体" w:eastAsia="宋体" w:cs="宋体"/>
          <w:color w:val="auto"/>
          <w:spacing w:val="2"/>
          <w:sz w:val="24"/>
          <w:lang w:eastAsia="zh-CN"/>
        </w:rPr>
        <w:t>18.l响应文件递交截止时间后，代理机构工作人员在</w:t>
      </w:r>
      <w:r>
        <w:rPr>
          <w:rFonts w:hint="eastAsia" w:ascii="宋体" w:hAnsi="宋体" w:eastAsia="宋体" w:cs="宋体"/>
          <w:color w:val="auto"/>
          <w:spacing w:val="2"/>
          <w:sz w:val="24"/>
          <w:lang w:val="en-US" w:eastAsia="zh-CN"/>
        </w:rPr>
        <w:t>“政采云”平台电子开标大厅内开启解密权限等待供应商开启竞标文件</w:t>
      </w:r>
      <w:r>
        <w:rPr>
          <w:rFonts w:hint="eastAsia" w:ascii="宋体" w:hAnsi="宋体" w:eastAsia="宋体" w:cs="宋体"/>
          <w:color w:val="auto"/>
          <w:spacing w:val="2"/>
          <w:sz w:val="24"/>
          <w:lang w:eastAsia="zh-CN"/>
        </w:rPr>
        <w:t>。</w:t>
      </w:r>
      <w:r>
        <w:rPr>
          <w:rFonts w:hint="eastAsia" w:ascii="宋体" w:hAnsi="宋体" w:eastAsia="宋体" w:cs="宋体"/>
          <w:color w:val="auto"/>
          <w:spacing w:val="2"/>
          <w:sz w:val="24"/>
        </w:rPr>
        <w:t>供应商登录“政采云”网上招投标系统，对电子响应文件进行在线解密。在线解密电子响应文件时间为开标时间起30分钟内。</w:t>
      </w:r>
    </w:p>
    <w:p>
      <w:pPr>
        <w:pageBreakBefore w:val="0"/>
        <w:kinsoku/>
        <w:wordWrap/>
        <w:overflowPunct/>
        <w:topLinePunct w:val="0"/>
        <w:autoSpaceDE/>
        <w:autoSpaceDN/>
        <w:bidi w:val="0"/>
        <w:spacing w:line="281" w:lineRule="auto"/>
        <w:ind w:firstLine="480"/>
        <w:rPr>
          <w:rFonts w:hint="eastAsia" w:ascii="宋体" w:hAnsi="宋体" w:eastAsia="宋体" w:cs="宋体"/>
          <w:color w:val="auto"/>
          <w:spacing w:val="2"/>
          <w:sz w:val="24"/>
          <w:lang w:eastAsia="zh-CN"/>
        </w:rPr>
      </w:pPr>
    </w:p>
    <w:p>
      <w:pPr>
        <w:pageBreakBefore w:val="0"/>
        <w:kinsoku/>
        <w:wordWrap/>
        <w:overflowPunct/>
        <w:topLinePunct w:val="0"/>
        <w:autoSpaceDE/>
        <w:autoSpaceDN/>
        <w:bidi w:val="0"/>
        <w:spacing w:line="281" w:lineRule="auto"/>
        <w:ind w:firstLine="470" w:firstLineChars="195"/>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18.2谈判前准备：</w:t>
      </w:r>
      <w:r>
        <w:rPr>
          <w:rFonts w:hint="eastAsia" w:ascii="宋体" w:hAnsi="宋体" w:eastAsia="宋体" w:cs="宋体"/>
          <w:i w:val="0"/>
          <w:iCs w:val="0"/>
          <w:color w:val="auto"/>
          <w:kern w:val="0"/>
          <w:sz w:val="24"/>
          <w:szCs w:val="24"/>
          <w:highlight w:val="none"/>
          <w:u w:val="none"/>
          <w:lang w:val="en-US" w:eastAsia="zh-CN" w:bidi="ar"/>
        </w:rPr>
        <w:t xml:space="preserve"> </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（1）本项目实行网上谈判，采用电子响应文件。若供应商参与谈判，自行承担谈判一切费用。 </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（2）各供应商应在截标前应确保成为百色市政府采购云平台正式注册入库供应商， 并完成 CA 数字证书申领。因未注册入库、未办理 CA 数字证书等原因造成无法谈判或谈判失败等后果由供应商自行承担。 </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（3）供应商将广西壮族自治区全流程电子招投标项目管理系统--供应商客户端下载、安装完成后，可通过 CA 登录客户端进行电子响应文件制作。如有问题可拨打政采云客户服务热线 400-881-7190 进行咨询。 </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（4）供应商可以提供以介质（U 盘或光盘等）存储的数据电文形成的电子备份响应文件。电子备份响应文件应当由法定代表人或授权委托代理人（需携带法定代表人身份证明书或授权委托书原件及身份证原件等有效证明材料）在竞标截止时间前按要求密封并提交至广西北部湾宏亚建设管理有限公司靖西分公司（靖西市吉祥路古力屯三产用地峰珲体育三楼），逾期送达或未按要求密封将被拒收。电子备份响应文件应当密封包装并在包装上标注竞标项目名称、单位名称并加盖公章。 </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pacing w:val="2"/>
          <w:sz w:val="24"/>
          <w:szCs w:val="24"/>
        </w:rPr>
      </w:pPr>
      <w:r>
        <w:rPr>
          <w:rFonts w:hint="eastAsia" w:ascii="宋体" w:hAnsi="宋体" w:eastAsia="宋体" w:cs="宋体"/>
          <w:i w:val="0"/>
          <w:iCs w:val="0"/>
          <w:color w:val="auto"/>
          <w:kern w:val="0"/>
          <w:sz w:val="24"/>
          <w:szCs w:val="24"/>
          <w:highlight w:val="none"/>
          <w:u w:val="none"/>
          <w:lang w:val="en-US" w:eastAsia="zh-CN" w:bidi="ar"/>
        </w:rPr>
        <w:t>（5）供应商可以在截标前提供电子备份响应文件，通过”政采云” 网上招投标系统上传递交的电子加密响应文件无法按时解密且无法通过政采云“异常处理”端口处理的视为响应文件撤回。</w:t>
      </w:r>
    </w:p>
    <w:p>
      <w:pPr>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18.3</w:t>
      </w:r>
      <w:r>
        <w:rPr>
          <w:rFonts w:hint="eastAsia" w:ascii="宋体" w:hAnsi="宋体" w:eastAsia="宋体" w:cs="宋体"/>
          <w:color w:val="auto"/>
          <w:spacing w:val="2"/>
          <w:sz w:val="24"/>
          <w:szCs w:val="24"/>
        </w:rPr>
        <w:t>谈判：</w:t>
      </w:r>
    </w:p>
    <w:p>
      <w:pPr>
        <w:keepNext w:val="0"/>
        <w:keepLines w:val="0"/>
        <w:pageBreakBefore w:val="0"/>
        <w:widowControl w:val="0"/>
        <w:kinsoku/>
        <w:wordWrap/>
        <w:overflowPunct/>
        <w:topLinePunct w:val="0"/>
        <w:autoSpaceDE/>
        <w:autoSpaceDN/>
        <w:bidi w:val="0"/>
        <w:adjustRightInd/>
        <w:snapToGrid/>
        <w:spacing w:line="281" w:lineRule="auto"/>
        <w:ind w:firstLine="480" w:firstLineChars="200"/>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lang w:val="en-US" w:eastAsia="zh-CN"/>
        </w:rPr>
        <w:t>18.3.1</w:t>
      </w:r>
      <w:r>
        <w:rPr>
          <w:rFonts w:hint="eastAsia" w:ascii="宋体" w:hAnsi="宋体" w:eastAsia="宋体" w:cs="宋体"/>
          <w:color w:val="auto"/>
          <w:spacing w:val="2"/>
          <w:sz w:val="24"/>
          <w:szCs w:val="24"/>
          <w:highlight w:val="none"/>
        </w:rPr>
        <w:t>谈判小组对响应文件进行评估和比较</w:t>
      </w:r>
      <w:r>
        <w:rPr>
          <w:rFonts w:hint="eastAsia" w:ascii="宋体" w:hAnsi="宋体" w:eastAsia="宋体" w:cs="宋体"/>
          <w:color w:val="auto"/>
          <w:spacing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81" w:lineRule="auto"/>
        <w:ind w:firstLine="488"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18.3.2</w:t>
      </w:r>
      <w:r>
        <w:rPr>
          <w:rFonts w:hint="eastAsia" w:ascii="宋体" w:hAnsi="宋体" w:eastAsia="宋体" w:cs="宋体"/>
          <w:bCs/>
          <w:color w:val="auto"/>
          <w:sz w:val="24"/>
          <w:szCs w:val="24"/>
        </w:rPr>
        <w:t>谈判小组应在</w:t>
      </w:r>
      <w:r>
        <w:rPr>
          <w:rFonts w:hint="eastAsia" w:ascii="宋体" w:hAnsi="宋体" w:eastAsia="宋体" w:cs="宋体"/>
          <w:bCs/>
          <w:color w:val="auto"/>
          <w:sz w:val="24"/>
          <w:szCs w:val="24"/>
          <w:lang w:eastAsia="zh-CN"/>
        </w:rPr>
        <w:t>资格、</w:t>
      </w:r>
      <w:r>
        <w:rPr>
          <w:rFonts w:hint="eastAsia" w:ascii="宋体" w:hAnsi="宋体" w:eastAsia="宋体" w:cs="宋体"/>
          <w:bCs/>
          <w:color w:val="auto"/>
          <w:sz w:val="24"/>
          <w:szCs w:val="24"/>
        </w:rPr>
        <w:t>商务</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rPr>
        <w:t>、技术</w:t>
      </w:r>
      <w:r>
        <w:rPr>
          <w:rFonts w:hint="eastAsia" w:ascii="宋体" w:hAnsi="宋体" w:eastAsia="宋体" w:cs="宋体"/>
          <w:bCs/>
          <w:color w:val="auto"/>
          <w:sz w:val="24"/>
          <w:szCs w:val="24"/>
          <w:lang w:eastAsia="zh-CN"/>
        </w:rPr>
        <w:t>文件评审通过</w:t>
      </w:r>
      <w:r>
        <w:rPr>
          <w:rFonts w:hint="eastAsia" w:ascii="宋体" w:hAnsi="宋体" w:eastAsia="宋体" w:cs="宋体"/>
          <w:bCs/>
          <w:color w:val="auto"/>
          <w:sz w:val="24"/>
          <w:szCs w:val="24"/>
        </w:rPr>
        <w:t>后</w:t>
      </w:r>
      <w:r>
        <w:rPr>
          <w:rFonts w:hint="eastAsia" w:ascii="宋体" w:hAnsi="宋体" w:eastAsia="宋体" w:cs="宋体"/>
          <w:color w:val="auto"/>
          <w:spacing w:val="2"/>
          <w:sz w:val="24"/>
          <w:szCs w:val="24"/>
          <w:highlight w:val="none"/>
        </w:rPr>
        <w:t>与供应商分别进行谈判。</w:t>
      </w:r>
    </w:p>
    <w:p>
      <w:pPr>
        <w:keepNext w:val="0"/>
        <w:keepLines w:val="0"/>
        <w:pageBreakBefore w:val="0"/>
        <w:widowControl w:val="0"/>
        <w:kinsoku/>
        <w:wordWrap/>
        <w:overflowPunct/>
        <w:topLinePunct w:val="0"/>
        <w:autoSpaceDE/>
        <w:autoSpaceDN/>
        <w:bidi w:val="0"/>
        <w:adjustRightInd/>
        <w:snapToGrid/>
        <w:spacing w:line="281" w:lineRule="auto"/>
        <w:ind w:firstLine="475" w:firstLineChars="195"/>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18.3.3 </w:t>
      </w:r>
      <w:r>
        <w:rPr>
          <w:rFonts w:hint="eastAsia" w:ascii="宋体" w:hAnsi="宋体" w:eastAsia="宋体" w:cs="宋体"/>
          <w:color w:val="auto"/>
          <w:spacing w:val="2"/>
          <w:sz w:val="24"/>
          <w:szCs w:val="24"/>
          <w:highlight w:val="none"/>
        </w:rPr>
        <w:t xml:space="preserve">谈判时供应商的技术资料、价格和其他信息在评审、谈判过程中保密 </w:t>
      </w:r>
    </w:p>
    <w:p>
      <w:pPr>
        <w:keepNext w:val="0"/>
        <w:keepLines w:val="0"/>
        <w:pageBreakBefore w:val="0"/>
        <w:widowControl w:val="0"/>
        <w:kinsoku/>
        <w:wordWrap/>
        <w:overflowPunct/>
        <w:topLinePunct w:val="0"/>
        <w:autoSpaceDE/>
        <w:autoSpaceDN/>
        <w:bidi w:val="0"/>
        <w:adjustRightInd/>
        <w:snapToGrid/>
        <w:spacing w:line="281" w:lineRule="auto"/>
        <w:ind w:firstLine="475" w:firstLineChars="195"/>
        <w:textAlignment w:val="auto"/>
        <w:rPr>
          <w:rFonts w:hint="eastAsia" w:ascii="宋体" w:hAnsi="宋体" w:eastAsia="宋体" w:cs="宋体"/>
          <w:color w:val="auto"/>
          <w:spacing w:val="2"/>
          <w:sz w:val="24"/>
        </w:rPr>
      </w:pPr>
      <w:r>
        <w:rPr>
          <w:rFonts w:hint="eastAsia" w:ascii="宋体" w:hAnsi="宋体" w:eastAsia="宋体" w:cs="宋体"/>
          <w:color w:val="auto"/>
          <w:spacing w:val="2"/>
          <w:sz w:val="24"/>
          <w:lang w:val="en-US" w:eastAsia="zh-CN"/>
        </w:rPr>
        <w:t>18.3.4</w:t>
      </w:r>
      <w:r>
        <w:rPr>
          <w:rFonts w:hint="eastAsia" w:ascii="宋体" w:hAnsi="宋体" w:eastAsia="宋体" w:cs="宋体"/>
          <w:color w:val="auto"/>
          <w:spacing w:val="2"/>
          <w:sz w:val="24"/>
        </w:rPr>
        <w:t>谈判小组要求所有实质性响应的供应商在规定时间内提交最后报价（只公开最后报价，最后报价原则上不得高于初次报价）</w:t>
      </w:r>
    </w:p>
    <w:p>
      <w:pPr>
        <w:keepNext w:val="0"/>
        <w:keepLines w:val="0"/>
        <w:pageBreakBefore w:val="0"/>
        <w:widowControl w:val="0"/>
        <w:kinsoku/>
        <w:wordWrap/>
        <w:overflowPunct/>
        <w:topLinePunct w:val="0"/>
        <w:autoSpaceDE/>
        <w:autoSpaceDN/>
        <w:bidi w:val="0"/>
        <w:adjustRightInd/>
        <w:snapToGrid/>
        <w:spacing w:line="281" w:lineRule="auto"/>
        <w:ind w:firstLine="475" w:firstLineChars="195"/>
        <w:textAlignment w:val="auto"/>
        <w:rPr>
          <w:rFonts w:hint="eastAsia" w:ascii="宋体" w:hAnsi="宋体" w:eastAsia="宋体" w:cs="宋体"/>
          <w:color w:val="auto"/>
          <w:spacing w:val="2"/>
          <w:sz w:val="24"/>
        </w:rPr>
      </w:pPr>
      <w:r>
        <w:rPr>
          <w:rFonts w:hint="eastAsia" w:ascii="宋体" w:hAnsi="宋体" w:eastAsia="宋体" w:cs="宋体"/>
          <w:color w:val="auto"/>
          <w:spacing w:val="2"/>
          <w:sz w:val="24"/>
          <w:lang w:val="en-US" w:eastAsia="zh-CN"/>
        </w:rPr>
        <w:t>18.3.5</w:t>
      </w:r>
      <w:r>
        <w:rPr>
          <w:rFonts w:hint="eastAsia" w:ascii="宋体" w:hAnsi="宋体" w:eastAsia="宋体" w:cs="宋体"/>
          <w:color w:val="auto"/>
          <w:spacing w:val="2"/>
          <w:sz w:val="24"/>
        </w:rPr>
        <w:t xml:space="preserve">由谈判小组采用最低评标价法对提交最后报价的供应商的响应文件和最后报价进行评审，在符合采购需求、质量和服务要求的前提下，按评审价从低到高的顺序推荐确定成交候选供应商。 </w:t>
      </w:r>
    </w:p>
    <w:p>
      <w:pPr>
        <w:keepNext w:val="0"/>
        <w:keepLines w:val="0"/>
        <w:pageBreakBefore w:val="0"/>
        <w:widowControl w:val="0"/>
        <w:kinsoku/>
        <w:wordWrap/>
        <w:overflowPunct/>
        <w:topLinePunct w:val="0"/>
        <w:autoSpaceDE/>
        <w:autoSpaceDN/>
        <w:bidi w:val="0"/>
        <w:adjustRightInd/>
        <w:snapToGrid/>
        <w:spacing w:line="281" w:lineRule="auto"/>
        <w:ind w:firstLine="475" w:firstLineChars="195"/>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lang w:val="en-US" w:eastAsia="zh-CN"/>
        </w:rPr>
        <w:t>18.3.6</w:t>
      </w:r>
      <w:r>
        <w:rPr>
          <w:rFonts w:hint="eastAsia" w:ascii="宋体" w:hAnsi="宋体" w:eastAsia="宋体" w:cs="宋体"/>
          <w:color w:val="auto"/>
          <w:spacing w:val="2"/>
          <w:sz w:val="24"/>
        </w:rPr>
        <w:t xml:space="preserve">采购过程中出现以下情形，导致电子交易平台无法正常运行，或者无法保证电子交易的公平、公正和安全时，采购组织机构可中止电子交易活动： </w:t>
      </w:r>
      <w:r>
        <w:rPr>
          <w:rFonts w:hint="eastAsia" w:ascii="宋体" w:hAnsi="宋体" w:eastAsia="宋体" w:cs="宋体"/>
          <w:color w:val="auto"/>
          <w:spacing w:val="2"/>
          <w:sz w:val="24"/>
          <w:szCs w:val="24"/>
          <w:highlight w:val="none"/>
        </w:rPr>
        <w:t xml:space="preserve"> </w:t>
      </w:r>
    </w:p>
    <w:p>
      <w:pPr>
        <w:pageBreakBefore w:val="0"/>
        <w:kinsoku/>
        <w:wordWrap/>
        <w:overflowPunct/>
        <w:topLinePunct w:val="0"/>
        <w:autoSpaceDE/>
        <w:autoSpaceDN/>
        <w:bidi w:val="0"/>
        <w:spacing w:line="281" w:lineRule="auto"/>
        <w:ind w:firstLine="475" w:firstLineChars="195"/>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 xml:space="preserve"> 电子交易平台发生故障而无法登录访问的； </w:t>
      </w:r>
    </w:p>
    <w:p>
      <w:pPr>
        <w:pageBreakBefore w:val="0"/>
        <w:kinsoku/>
        <w:wordWrap/>
        <w:overflowPunct/>
        <w:topLinePunct w:val="0"/>
        <w:autoSpaceDE/>
        <w:autoSpaceDN/>
        <w:bidi w:val="0"/>
        <w:spacing w:line="281" w:lineRule="auto"/>
        <w:ind w:firstLine="488"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 xml:space="preserve">电子交易平台应用或数据库出现错误，不能进行正常操作的； </w:t>
      </w:r>
    </w:p>
    <w:p>
      <w:pPr>
        <w:pageBreakBefore w:val="0"/>
        <w:kinsoku/>
        <w:wordWrap/>
        <w:overflowPunct/>
        <w:topLinePunct w:val="0"/>
        <w:autoSpaceDE/>
        <w:autoSpaceDN/>
        <w:bidi w:val="0"/>
        <w:spacing w:line="281" w:lineRule="auto"/>
        <w:ind w:firstLine="475" w:firstLineChars="195"/>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 xml:space="preserve">电子交易平台发现严重安全漏洞，有潜在泄密危险的； </w:t>
      </w:r>
    </w:p>
    <w:p>
      <w:pPr>
        <w:pageBreakBefore w:val="0"/>
        <w:kinsoku/>
        <w:wordWrap/>
        <w:overflowPunct/>
        <w:topLinePunct w:val="0"/>
        <w:autoSpaceDE/>
        <w:autoSpaceDN/>
        <w:bidi w:val="0"/>
        <w:spacing w:line="281" w:lineRule="auto"/>
        <w:ind w:firstLine="475" w:firstLineChars="195"/>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 xml:space="preserve"> 病毒发作导致不能进行正常操作的； </w:t>
      </w:r>
    </w:p>
    <w:p>
      <w:pPr>
        <w:pageBreakBefore w:val="0"/>
        <w:kinsoku/>
        <w:wordWrap/>
        <w:overflowPunct/>
        <w:topLinePunct w:val="0"/>
        <w:autoSpaceDE/>
        <w:autoSpaceDN/>
        <w:bidi w:val="0"/>
        <w:spacing w:line="281" w:lineRule="auto"/>
        <w:ind w:firstLine="475" w:firstLineChars="195"/>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 xml:space="preserve"> 其他无法保证电子交易的公平、公正和安全的情况。 出现前款规定情形，不影响采购公平、公正性的，采购组织机构可以待上述情形消除后继续组织电子交易活动，也可以决定某些环节以纸质形式进行；影响或可能影响采购公平、 公正性的，应当重新采购。</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18.4谈判原则</w:t>
      </w:r>
    </w:p>
    <w:p>
      <w:pPr>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18.4.1、必须公平、公正、客观，不带任何倾向性和启发性；</w:t>
      </w:r>
    </w:p>
    <w:p>
      <w:pPr>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18.4.2、谈判人员不得向外界透露任何与谈判有关的内容； </w:t>
      </w:r>
    </w:p>
    <w:p>
      <w:pPr>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18.4.3、任何单位和个人不得干扰、影响谈判的正常进行；</w:t>
      </w:r>
    </w:p>
    <w:p>
      <w:pPr>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18.4.4、谈判人员不得私下与竞标单位接触。</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有下列情况之一者将视为竞标无效：</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.5.1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未按规定封装、密封；</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.5.2 竞标单位法定代表人或其委托代理人未签字；</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.5.3 竞标单位未加盖单位公章；</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.5.4 未按规定的格式填写或者字迹模糊、辨认不清；</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.5.5 竞标截止时间以后</w:t>
      </w:r>
      <w:r>
        <w:rPr>
          <w:rFonts w:hint="eastAsia" w:ascii="宋体" w:hAnsi="宋体" w:eastAsia="宋体" w:cs="宋体"/>
          <w:color w:val="auto"/>
          <w:spacing w:val="2"/>
          <w:sz w:val="24"/>
          <w:szCs w:val="24"/>
          <w:lang w:eastAsia="zh-CN"/>
        </w:rPr>
        <w:t>上传</w:t>
      </w:r>
      <w:r>
        <w:rPr>
          <w:rFonts w:hint="eastAsia" w:ascii="宋体" w:hAnsi="宋体" w:eastAsia="宋体" w:cs="宋体"/>
          <w:color w:val="auto"/>
          <w:spacing w:val="2"/>
          <w:sz w:val="24"/>
          <w:szCs w:val="24"/>
        </w:rPr>
        <w:t>的</w:t>
      </w:r>
      <w:r>
        <w:rPr>
          <w:rFonts w:hint="eastAsia" w:ascii="宋体" w:hAnsi="宋体" w:eastAsia="宋体" w:cs="宋体"/>
          <w:color w:val="auto"/>
          <w:spacing w:val="2"/>
          <w:sz w:val="24"/>
          <w:szCs w:val="24"/>
          <w:lang w:eastAsia="zh-CN"/>
        </w:rPr>
        <w:t>响应文件或超过时间未解密响应该文件的</w:t>
      </w:r>
      <w:r>
        <w:rPr>
          <w:rFonts w:hint="eastAsia" w:ascii="宋体" w:hAnsi="宋体" w:eastAsia="宋体" w:cs="宋体"/>
          <w:color w:val="auto"/>
          <w:spacing w:val="2"/>
          <w:sz w:val="24"/>
          <w:szCs w:val="24"/>
        </w:rPr>
        <w:t>；</w:t>
      </w:r>
    </w:p>
    <w:p>
      <w:pPr>
        <w:pageBreakBefore w:val="0"/>
        <w:kinsoku/>
        <w:wordWrap/>
        <w:overflowPunct/>
        <w:topLinePunct w:val="0"/>
        <w:autoSpaceDE/>
        <w:autoSpaceDN/>
        <w:bidi w:val="0"/>
        <w:spacing w:line="281" w:lineRule="auto"/>
        <w:ind w:left="908" w:leftChars="200" w:hanging="468" w:hangingChars="195"/>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.5.6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内容不真实；</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.5.7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不满足</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最低资质等级和</w:t>
      </w:r>
      <w:r>
        <w:rPr>
          <w:rFonts w:hint="eastAsia" w:ascii="宋体" w:hAnsi="宋体" w:eastAsia="宋体" w:cs="宋体"/>
          <w:color w:val="auto"/>
          <w:sz w:val="24"/>
          <w:szCs w:val="24"/>
        </w:rPr>
        <w:t>营业执照要求。</w:t>
      </w:r>
    </w:p>
    <w:p>
      <w:pPr>
        <w:pageBreakBefore w:val="0"/>
        <w:kinsoku/>
        <w:wordWrap/>
        <w:overflowPunct/>
        <w:topLinePunct w:val="0"/>
        <w:autoSpaceDE/>
        <w:autoSpaceDN/>
        <w:bidi w:val="0"/>
        <w:spacing w:line="281" w:lineRule="auto"/>
        <w:ind w:firstLine="470" w:firstLineChars="196"/>
        <w:textAlignment w:val="auto"/>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.5.8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营业执照等资格文件不符合要求及复印件未加盖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公章的。</w:t>
      </w:r>
    </w:p>
    <w:p>
      <w:pPr>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18.5.9 超出采购控制价的。</w:t>
      </w:r>
    </w:p>
    <w:p>
      <w:pPr>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18.5.10不符合法律法规规定的及竞争性谈判文件其它实质性内容的。</w:t>
      </w:r>
    </w:p>
    <w:p>
      <w:pPr>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18.6至竞标截止时间止，递交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的竞标单位不足三家时，本项目不予开标作废标处理；需要采取其他方式采购的，应当在采购活动开始前获得设区的市、自治州以上人民政府采购监督管理部门或者政府有关部门批准。</w:t>
      </w:r>
    </w:p>
    <w:p>
      <w:pPr>
        <w:pageBreakBefore w:val="0"/>
        <w:kinsoku/>
        <w:wordWrap/>
        <w:overflowPunct/>
        <w:topLinePunct w:val="0"/>
        <w:autoSpaceDE/>
        <w:autoSpaceDN/>
        <w:bidi w:val="0"/>
        <w:spacing w:line="281" w:lineRule="auto"/>
        <w:ind w:firstLine="470" w:firstLineChars="195"/>
        <w:jc w:val="center"/>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六、评  审</w:t>
      </w:r>
    </w:p>
    <w:p>
      <w:pPr>
        <w:pageBreakBefore w:val="0"/>
        <w:kinsoku/>
        <w:wordWrap/>
        <w:overflowPunct/>
        <w:topLinePunct w:val="0"/>
        <w:autoSpaceDE/>
        <w:autoSpaceDN/>
        <w:bidi w:val="0"/>
        <w:spacing w:line="281" w:lineRule="auto"/>
        <w:textAlignment w:val="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19、评审内容的保密</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 进入评审后，直到宣布授予成交人合同为止，凡属于审查、澄清、评价和比较竞标的有关资料及有关授予合同的信息，都不应向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或与评审无关的其他人泄露。</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 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的审查、澄清、评价和比较以及授予合同的过程中，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对采购代理机构和谈判小组成员施加影响的任何行为，都将导致被取消竞标资格。</w:t>
      </w:r>
    </w:p>
    <w:p>
      <w:pPr>
        <w:pageBreakBefore w:val="0"/>
        <w:kinsoku/>
        <w:wordWrap/>
        <w:overflowPunct/>
        <w:topLinePunct w:val="0"/>
        <w:autoSpaceDE/>
        <w:autoSpaceDN/>
        <w:bidi w:val="0"/>
        <w:spacing w:line="281"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20、资格审查</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20.1本项目资格审查采用资格后审，参加本次竞标的单位均要通过资格审查才能获得竞标资格。</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20.2资格审查内容为：</w:t>
      </w:r>
      <w:r>
        <w:rPr>
          <w:rFonts w:hint="eastAsia" w:ascii="宋体" w:hAnsi="宋体" w:eastAsia="宋体" w:cs="宋体"/>
          <w:color w:val="auto"/>
          <w:spacing w:val="2"/>
          <w:sz w:val="24"/>
          <w:szCs w:val="24"/>
        </w:rPr>
        <w:t>按10.3条款资格审查部分内容审查，要求资料齐全和有效</w:t>
      </w:r>
      <w:r>
        <w:rPr>
          <w:rFonts w:hint="eastAsia" w:ascii="宋体" w:hAnsi="宋体" w:eastAsia="宋体" w:cs="宋体"/>
          <w:color w:val="auto"/>
          <w:sz w:val="24"/>
          <w:szCs w:val="24"/>
        </w:rPr>
        <w:t>。</w:t>
      </w:r>
    </w:p>
    <w:p>
      <w:pPr>
        <w:pageBreakBefore w:val="0"/>
        <w:kinsoku/>
        <w:wordWrap/>
        <w:overflowPunct/>
        <w:topLinePunct w:val="0"/>
        <w:autoSpaceDE/>
        <w:autoSpaceDN/>
        <w:bidi w:val="0"/>
        <w:spacing w:line="281"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的符合性鉴定</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在谈判之后详细评标之前，谈判小组将首先与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中不清楚的内容进行谈判及澄清，然后将依据谈判及澄清的内容审定每份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是否在实质上响应了竞争性谈判文件的要求。</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就本条款而言，实质上响应要求的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，应该与竞争性谈判文件的所规定资格条件、技术参数产生实质性影响；或者对合同中规定的采购代理机构的权力及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的责任造成实质性限制。</w:t>
      </w:r>
    </w:p>
    <w:p>
      <w:pPr>
        <w:pageBreakBefore w:val="0"/>
        <w:kinsoku/>
        <w:wordWrap/>
        <w:overflowPunct/>
        <w:topLinePunct w:val="0"/>
        <w:autoSpaceDE/>
        <w:autoSpaceDN/>
        <w:bidi w:val="0"/>
        <w:spacing w:line="281"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的澄清</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为了有助于</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的审查、评价和比较，谈判小组可以个别地要求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澄清其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。有关澄清的要求与答复，应以书面形式进行。</w:t>
      </w:r>
    </w:p>
    <w:p>
      <w:pPr>
        <w:pageBreakBefore w:val="0"/>
        <w:kinsoku/>
        <w:wordWrap/>
        <w:overflowPunct/>
        <w:topLinePunct w:val="0"/>
        <w:autoSpaceDE/>
        <w:autoSpaceDN/>
        <w:bidi w:val="0"/>
        <w:spacing w:line="281"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23、错误的修正</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23.1谈判小组将对确定为实质上响应竞争性谈判文件要求的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进行校核，看其是否有计算上或累计上的算术错误，修正错误的原则如下：</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23.1.1 如果用阿拉伯数字表示的数额与用汉语文字表示的数额（人民币大写）不一致时，以汉语文字数额（人民币大写）为准。</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23.1.2 当单价与合价之间不一致时，以标出的单价为准。除非谈判小组或评标小组认为有明显的小数点错位，此时应以标出的合价为准，并修改单价。</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 按上述修改错误的方法，调整竞标书中的竞标报价。经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确认同意后，调整后的报价对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起约束作用。如果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不接受修正后的竞标报价则其竞标将被拒绝，视为无效竞标。</w:t>
      </w:r>
    </w:p>
    <w:p>
      <w:pPr>
        <w:pageBreakBefore w:val="0"/>
        <w:kinsoku/>
        <w:wordWrap/>
        <w:overflowPunct/>
        <w:topLinePunct w:val="0"/>
        <w:autoSpaceDE/>
        <w:autoSpaceDN/>
        <w:bidi w:val="0"/>
        <w:spacing w:line="281"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的评价与比较</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24.1谈判小组将仅对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组成第10条确定为实质上响应竞争性谈判文件要求（即符合性鉴定合格）的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进行评价与比较。</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24.2 谈判小组将依照</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组成第10条对通过符合性鉴定的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的竞标报价进行校核与修正。</w:t>
      </w:r>
    </w:p>
    <w:p>
      <w:pPr>
        <w:pageBreakBefore w:val="0"/>
        <w:kinsoku/>
        <w:wordWrap/>
        <w:overflowPunct/>
        <w:topLinePunct w:val="0"/>
        <w:autoSpaceDE/>
        <w:autoSpaceDN/>
        <w:bidi w:val="0"/>
        <w:spacing w:line="281"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25、评审办法 </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25.1、评审原则</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(1)谈判小组构成：</w:t>
      </w:r>
      <w:r>
        <w:rPr>
          <w:rFonts w:hint="eastAsia" w:ascii="宋体" w:hAnsi="宋体" w:eastAsia="宋体" w:cs="宋体"/>
          <w:bCs/>
          <w:color w:val="auto"/>
          <w:sz w:val="24"/>
          <w:szCs w:val="24"/>
        </w:rPr>
        <w:t>本采购项目评标委员会由采购人代表和评审专家共3人以上单数组成，其中评审专家人数不得少于评标委员会成员总数的2/3。</w:t>
      </w:r>
    </w:p>
    <w:p>
      <w:pPr>
        <w:pageBreakBefore w:val="0"/>
        <w:kinsoku/>
        <w:wordWrap/>
        <w:overflowPunct/>
        <w:topLinePunct w:val="0"/>
        <w:autoSpaceDE/>
        <w:autoSpaceDN/>
        <w:bidi w:val="0"/>
        <w:spacing w:line="281" w:lineRule="auto"/>
        <w:ind w:firstLine="468" w:firstLineChars="19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(2)评审依据：谈判小组将以竞争性谈判文件和响应文件为评定依据进行评审。</w:t>
      </w:r>
    </w:p>
    <w:p>
      <w:pPr>
        <w:pageBreakBefore w:val="0"/>
        <w:kinsoku/>
        <w:wordWrap/>
        <w:overflowPunct/>
        <w:topLinePunct w:val="0"/>
        <w:autoSpaceDE/>
        <w:autoSpaceDN/>
        <w:bidi w:val="0"/>
        <w:spacing w:line="281" w:lineRule="auto"/>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25.2、评审方法</w:t>
      </w:r>
    </w:p>
    <w:p>
      <w:pPr>
        <w:pageBreakBefore w:val="0"/>
        <w:kinsoku/>
        <w:wordWrap/>
        <w:overflowPunct/>
        <w:topLinePunct w:val="0"/>
        <w:autoSpaceDE/>
        <w:autoSpaceDN/>
        <w:bidi w:val="0"/>
        <w:spacing w:line="281" w:lineRule="auto"/>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初步评审：谈判小组应当按照客观、公正、审慎的原则，根据采购文件规定的评审程序、评审方法和评审标准进行独立评标。谈判小组对商务文件进行符合性鉴定，对实质上不响应竞争性谈判文件要求的竞标予以拒绝</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对竞标单位资格文件进行资格鉴定，对资格审查不响应竞争性谈判文件要求的竞标予以拒绝，对技术标进行评审，技术标评审按可行与不可行来评定，对技术标不可行的竞标予以拒绝。未实质性响应谈判文件的响应文件按无效处理，谈判小组应当告知有关</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。谈判小组对响应文件的有效性、完整性和响应程度进行审查，记录有关情况，并拟定谈判策略，提出谈判问题。项目审查期间，具体评标事务由依法组建的谈判小组负责,采购代理机构全程回避。</w:t>
      </w:r>
    </w:p>
    <w:p>
      <w:pPr>
        <w:pageBreakBefore w:val="0"/>
        <w:kinsoku/>
        <w:wordWrap/>
        <w:overflowPunct/>
        <w:topLinePunct w:val="0"/>
        <w:autoSpaceDE/>
        <w:autoSpaceDN/>
        <w:bidi w:val="0"/>
        <w:spacing w:line="281" w:lineRule="auto"/>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（2）正式谈判：谈判小组所有成员根据谈判策略，集中与通过初步评审的</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分别进行谈判，并给予所有参加谈判的</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平等的谈判机会，分别与每个</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就技术、报价组成和合同条款等进行充分的谈判，确定</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所提供的产品质量和服务是否能满足采购文件规定的实质性要求。谈判期间，相关监督部门对谈判过程全程进行监督，具体谈判事务由依法组建的评标委员会负责,现场监督人员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pageBreakBefore w:val="0"/>
        <w:kinsoku/>
        <w:wordWrap/>
        <w:overflowPunct/>
        <w:topLinePunct w:val="0"/>
        <w:autoSpaceDE/>
        <w:autoSpaceDN/>
        <w:bidi w:val="0"/>
        <w:spacing w:line="281" w:lineRule="auto"/>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（3）二次报价邀请：谈判小组应在商务、技术和服务条件谈判后，邀请能满足采购文件所规定实质性要求的质量和服务的所有</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进行二次报价，并告知</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二次报价截止时间及二次报价文件编写有关规范。原则上，二次报价为最终报价。</w:t>
      </w:r>
    </w:p>
    <w:p>
      <w:pPr>
        <w:pageBreakBefore w:val="0"/>
        <w:kinsoku/>
        <w:wordWrap/>
        <w:overflowPunct/>
        <w:topLinePunct w:val="0"/>
        <w:autoSpaceDE/>
        <w:autoSpaceDN/>
        <w:bidi w:val="0"/>
        <w:spacing w:line="281" w:lineRule="auto"/>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25.3、在评审过程中，商务标评委发现</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的最后报价明显低于其他</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的最后报价或者明显低于本项目采购控制价，使得其竞标可能低于其个别成本的，应当要求</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作出书面说明并提供相关证明材料；</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不能合理说明或者不能提供相关证明材料的，由商务标评委认定该竞标以低于其企业成本报价，其竞标作废标处理。</w:t>
      </w:r>
    </w:p>
    <w:p>
      <w:pPr>
        <w:pageBreakBefore w:val="0"/>
        <w:kinsoku/>
        <w:wordWrap/>
        <w:overflowPunct/>
        <w:topLinePunct w:val="0"/>
        <w:autoSpaceDE/>
        <w:autoSpaceDN/>
        <w:bidi w:val="0"/>
        <w:spacing w:line="281" w:lineRule="auto"/>
        <w:ind w:firstLine="470" w:firstLineChars="19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25.4、成交候选人推荐原则</w:t>
      </w:r>
    </w:p>
    <w:p>
      <w:pPr>
        <w:pageBreakBefore w:val="0"/>
        <w:kinsoku/>
        <w:wordWrap/>
        <w:overflowPunct/>
        <w:topLinePunct w:val="0"/>
        <w:autoSpaceDE/>
        <w:autoSpaceDN/>
        <w:bidi w:val="0"/>
        <w:spacing w:line="281"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谈判小组应按照客观、公正、审慎的原则，根据竞争性谈判文件规定的评审程序、评审方法和评审标准进行独立评审。评审委员会应根据质量和服务均能满足采购文件实质性响应要求的前提下，按评标报价由低到高提出3名以上成交候选</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，并编写评审报告。</w:t>
      </w:r>
    </w:p>
    <w:p>
      <w:pPr>
        <w:pageBreakBefore w:val="0"/>
        <w:kinsoku/>
        <w:wordWrap/>
        <w:overflowPunct/>
        <w:topLinePunct w:val="0"/>
        <w:autoSpaceDE/>
        <w:autoSpaceDN/>
        <w:bidi w:val="0"/>
        <w:spacing w:line="281"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（2）现场校对及提醒。</w:t>
      </w:r>
    </w:p>
    <w:p>
      <w:pPr>
        <w:pageBreakBefore w:val="0"/>
        <w:kinsoku/>
        <w:wordWrap/>
        <w:overflowPunct/>
        <w:topLinePunct w:val="0"/>
        <w:autoSpaceDE/>
        <w:autoSpaceDN/>
        <w:bidi w:val="0"/>
        <w:spacing w:line="281"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采购代理机构</w:t>
      </w:r>
      <w:r>
        <w:rPr>
          <w:rFonts w:hint="eastAsia" w:ascii="宋体" w:hAnsi="宋体" w:eastAsia="宋体" w:cs="宋体"/>
          <w:b/>
          <w:bCs/>
          <w:color w:val="auto"/>
          <w:sz w:val="24"/>
          <w:szCs w:val="24"/>
        </w:rPr>
        <w:t>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pageBreakBefore w:val="0"/>
        <w:kinsoku/>
        <w:wordWrap/>
        <w:overflowPunct/>
        <w:topLinePunct w:val="0"/>
        <w:autoSpaceDE/>
        <w:autoSpaceDN/>
        <w:bidi w:val="0"/>
        <w:spacing w:line="281"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竞争性谈判过程中出现多家</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评标价最低且相同时，应组织评标价最低的</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只对价格重新报价，直至评标价最低</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仅为一家。</w:t>
      </w:r>
    </w:p>
    <w:p>
      <w:pPr>
        <w:pageBreakBefore w:val="0"/>
        <w:kinsoku/>
        <w:wordWrap/>
        <w:overflowPunct/>
        <w:topLinePunct w:val="0"/>
        <w:autoSpaceDE/>
        <w:autoSpaceDN/>
        <w:bidi w:val="0"/>
        <w:spacing w:line="281"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评标工作由采购代理机构负责组织，具体评标事务由依法组建的评标委员会负责。根据评标委员会的要求组织</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澄清，评标委员会对投标文件中含义不明确、同类问题表述不一致或者有明显文字和计算错误的内容，可以书面形式要求投标</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作出必要的澄清、说明或者纠正。</w:t>
      </w:r>
    </w:p>
    <w:p>
      <w:pPr>
        <w:pageBreakBefore w:val="0"/>
        <w:kinsoku/>
        <w:wordWrap/>
        <w:overflowPunct/>
        <w:topLinePunct w:val="0"/>
        <w:autoSpaceDE/>
        <w:autoSpaceDN/>
        <w:bidi w:val="0"/>
        <w:spacing w:line="281" w:lineRule="auto"/>
        <w:ind w:firstLine="482" w:firstLineChars="200"/>
        <w:textAlignment w:val="auto"/>
        <w:rPr>
          <w:rFonts w:hint="eastAsia" w:ascii="宋体" w:hAnsi="宋体" w:eastAsia="宋体" w:cs="宋体"/>
          <w:b/>
          <w:bCs/>
          <w:color w:val="auto"/>
          <w:sz w:val="24"/>
          <w:szCs w:val="24"/>
        </w:rPr>
      </w:pPr>
    </w:p>
    <w:p>
      <w:pPr>
        <w:pageBreakBefore w:val="0"/>
        <w:kinsoku/>
        <w:wordWrap/>
        <w:overflowPunct/>
        <w:topLinePunct w:val="0"/>
        <w:autoSpaceDE/>
        <w:autoSpaceDN/>
        <w:bidi w:val="0"/>
        <w:spacing w:line="281" w:lineRule="auto"/>
        <w:ind w:firstLine="482" w:firstLineChars="200"/>
        <w:textAlignment w:val="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276"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（3）小型和微型企业最后报价扣除计算。</w:t>
      </w:r>
    </w:p>
    <w:p>
      <w:pPr>
        <w:keepNext w:val="0"/>
        <w:keepLines w:val="0"/>
        <w:pageBreakBefore w:val="0"/>
        <w:kinsoku/>
        <w:wordWrap/>
        <w:overflowPunct/>
        <w:topLinePunct w:val="0"/>
        <w:autoSpaceDE/>
        <w:autoSpaceDN/>
        <w:bidi w:val="0"/>
        <w:spacing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按照《政府采购促进中小企业发展暂行办法》（财库[2011]181号）、《广西壮族自治区财政厅关于贯彻落实政府采购支持中小企业发展政策的通知》（桂财采[2022]31号），对小型和微型企业最后报价给予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%的扣除，扣除后的价格为评标报价，即评标报价=最后报价×（1-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%）；大中型企业与小型、微型企业组成联合体竞标，</w:t>
      </w:r>
      <w:r>
        <w:rPr>
          <w:rFonts w:hint="eastAsia" w:ascii="宋体" w:hAnsi="宋体" w:eastAsia="宋体" w:cs="宋体"/>
          <w:color w:val="auto"/>
          <w:sz w:val="24"/>
          <w:szCs w:val="24"/>
          <w:lang w:eastAsia="zh-CN"/>
        </w:rPr>
        <w:t>或大中型企业向小微企业分包的，</w:t>
      </w:r>
      <w:r>
        <w:rPr>
          <w:rFonts w:hint="eastAsia" w:ascii="宋体" w:hAnsi="宋体" w:eastAsia="宋体" w:cs="宋体"/>
          <w:color w:val="auto"/>
          <w:sz w:val="24"/>
          <w:szCs w:val="24"/>
        </w:rPr>
        <w:t>联合体</w:t>
      </w:r>
      <w:r>
        <w:rPr>
          <w:rFonts w:hint="eastAsia" w:ascii="宋体" w:hAnsi="宋体" w:eastAsia="宋体" w:cs="宋体"/>
          <w:color w:val="auto"/>
          <w:sz w:val="24"/>
          <w:szCs w:val="24"/>
          <w:lang w:eastAsia="zh-CN"/>
        </w:rPr>
        <w:t>或者大中型企业</w:t>
      </w:r>
      <w:r>
        <w:rPr>
          <w:rFonts w:hint="eastAsia" w:ascii="宋体" w:hAnsi="宋体" w:eastAsia="宋体" w:cs="宋体"/>
          <w:color w:val="auto"/>
          <w:sz w:val="24"/>
          <w:szCs w:val="24"/>
        </w:rPr>
        <w:t>最后报价给予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%的扣除，扣除后的价格为评标报价，即评标报价=最后报价×（1-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%）；除上述情况外，评标报价=最后报价。</w:t>
      </w:r>
    </w:p>
    <w:p>
      <w:pPr>
        <w:keepNext w:val="0"/>
        <w:keepLines w:val="0"/>
        <w:pageBreakBefore w:val="0"/>
        <w:kinsoku/>
        <w:wordWrap/>
        <w:overflowPunct/>
        <w:topLinePunct w:val="0"/>
        <w:autoSpaceDE/>
        <w:autoSpaceDN/>
        <w:bidi w:val="0"/>
        <w:spacing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按照《财政部、司法部关于政府采购支持监狱企业发展有关问题的通知》（财库〔2014〕68号）之规定，监狱企业视同小型、微型企业，享受预留份额、评审中价格扣除等政府采购政策。</w:t>
      </w:r>
    </w:p>
    <w:p>
      <w:pPr>
        <w:keepNext w:val="0"/>
        <w:keepLines w:val="0"/>
        <w:pageBreakBefore w:val="0"/>
        <w:kinsoku/>
        <w:wordWrap/>
        <w:overflowPunct/>
        <w:topLinePunct w:val="0"/>
        <w:autoSpaceDE/>
        <w:autoSpaceDN/>
        <w:bidi w:val="0"/>
        <w:spacing w:line="27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keepNext w:val="0"/>
        <w:keepLines w:val="0"/>
        <w:pageBreakBefore w:val="0"/>
        <w:kinsoku/>
        <w:wordWrap/>
        <w:overflowPunct/>
        <w:topLinePunct w:val="0"/>
        <w:autoSpaceDE/>
        <w:autoSpaceDN/>
        <w:bidi w:val="0"/>
        <w:spacing w:line="276" w:lineRule="auto"/>
        <w:ind w:firstLine="48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rPr>
        <w:t>25.5本项目是以政府采购预算价为最高限价，当</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的最终竞标报价超出政府采购预算价时，采购人不能支付的，谈判小组对其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将不予以评审。</w:t>
      </w:r>
      <w:r>
        <w:rPr>
          <w:rFonts w:hint="eastAsia" w:ascii="宋体" w:hAnsi="宋体" w:eastAsia="宋体" w:cs="宋体"/>
          <w:color w:val="auto"/>
          <w:sz w:val="24"/>
          <w:highlight w:val="none"/>
          <w:lang w:eastAsia="zh-CN"/>
        </w:rPr>
        <w:t>本项目采购预算价为：</w:t>
      </w:r>
      <w:r>
        <w:rPr>
          <w:rFonts w:hint="eastAsia" w:ascii="宋体" w:hAnsi="宋体" w:eastAsia="宋体" w:cs="宋体"/>
          <w:color w:val="auto"/>
          <w:sz w:val="24"/>
          <w:highlight w:val="none"/>
          <w:u w:val="single"/>
          <w:lang w:eastAsia="zh-CN"/>
        </w:rPr>
        <w:t>人民币壹佰玖拾叁万肆仟陆佰肆拾万元整（¥1934640.00）。</w:t>
      </w:r>
    </w:p>
    <w:p>
      <w:pPr>
        <w:keepNext w:val="0"/>
        <w:keepLines w:val="0"/>
        <w:pageBreakBefore w:val="0"/>
        <w:kinsoku/>
        <w:wordWrap/>
        <w:overflowPunct/>
        <w:topLinePunct w:val="0"/>
        <w:autoSpaceDE/>
        <w:autoSpaceDN/>
        <w:bidi w:val="0"/>
        <w:spacing w:line="276" w:lineRule="auto"/>
        <w:ind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 评标内容的保密</w:t>
      </w:r>
    </w:p>
    <w:p>
      <w:pPr>
        <w:keepNext w:val="0"/>
        <w:keepLines w:val="0"/>
        <w:pageBreakBefore w:val="0"/>
        <w:kinsoku/>
        <w:wordWrap/>
        <w:overflowPunct/>
        <w:topLinePunct w:val="0"/>
        <w:autoSpaceDE/>
        <w:autoSpaceDN/>
        <w:bidi w:val="0"/>
        <w:spacing w:line="276" w:lineRule="auto"/>
        <w:ind w:firstLine="480"/>
        <w:textAlignment w:val="auto"/>
        <w:rPr>
          <w:rFonts w:hint="eastAsia" w:ascii="宋体" w:hAnsi="宋体" w:eastAsia="宋体" w:cs="宋体"/>
          <w:color w:val="auto"/>
          <w:sz w:val="24"/>
        </w:rPr>
      </w:pPr>
      <w:r>
        <w:rPr>
          <w:rFonts w:hint="eastAsia" w:ascii="宋体" w:hAnsi="宋体" w:eastAsia="宋体" w:cs="宋体"/>
          <w:bCs/>
          <w:color w:val="auto"/>
          <w:sz w:val="24"/>
        </w:rPr>
        <w:t>26</w:t>
      </w:r>
      <w:r>
        <w:rPr>
          <w:rFonts w:hint="eastAsia" w:ascii="宋体" w:hAnsi="宋体" w:eastAsia="宋体" w:cs="宋体"/>
          <w:color w:val="auto"/>
          <w:sz w:val="24"/>
        </w:rPr>
        <w:t>.1 在评标活动中，凡属于审查、澄清、评价和比较竞标的有关资料及有关授予合同的信息，都不应向</w:t>
      </w:r>
      <w:r>
        <w:rPr>
          <w:rFonts w:hint="eastAsia" w:ascii="宋体" w:hAnsi="宋体" w:eastAsia="宋体" w:cs="宋体"/>
          <w:color w:val="auto"/>
          <w:sz w:val="24"/>
          <w:lang w:eastAsia="zh-CN"/>
        </w:rPr>
        <w:t>供应商</w:t>
      </w:r>
      <w:r>
        <w:rPr>
          <w:rFonts w:hint="eastAsia" w:ascii="宋体" w:hAnsi="宋体" w:eastAsia="宋体" w:cs="宋体"/>
          <w:color w:val="auto"/>
          <w:sz w:val="24"/>
        </w:rPr>
        <w:t>或与评标无关的其他人泄露。</w:t>
      </w:r>
    </w:p>
    <w:p>
      <w:pPr>
        <w:keepNext w:val="0"/>
        <w:keepLines w:val="0"/>
        <w:pageBreakBefore w:val="0"/>
        <w:kinsoku/>
        <w:wordWrap/>
        <w:overflowPunct/>
        <w:topLinePunct w:val="0"/>
        <w:autoSpaceDE/>
        <w:autoSpaceDN/>
        <w:bidi w:val="0"/>
        <w:spacing w:line="276" w:lineRule="auto"/>
        <w:ind w:firstLine="360"/>
        <w:textAlignment w:val="auto"/>
        <w:rPr>
          <w:rFonts w:hint="eastAsia" w:ascii="宋体" w:hAnsi="宋体" w:eastAsia="宋体" w:cs="宋体"/>
          <w:color w:val="auto"/>
          <w:sz w:val="24"/>
        </w:rPr>
      </w:pPr>
      <w:r>
        <w:rPr>
          <w:rFonts w:hint="eastAsia" w:ascii="宋体" w:hAnsi="宋体" w:eastAsia="宋体" w:cs="宋体"/>
          <w:bCs/>
          <w:color w:val="auto"/>
          <w:sz w:val="24"/>
        </w:rPr>
        <w:t>26</w:t>
      </w:r>
      <w:r>
        <w:rPr>
          <w:rFonts w:hint="eastAsia" w:ascii="宋体" w:hAnsi="宋体" w:eastAsia="宋体" w:cs="宋体"/>
          <w:color w:val="auto"/>
          <w:sz w:val="24"/>
        </w:rPr>
        <w:t>.2 在</w:t>
      </w:r>
      <w:r>
        <w:rPr>
          <w:rFonts w:hint="eastAsia" w:ascii="宋体" w:hAnsi="宋体" w:eastAsia="宋体" w:cs="宋体"/>
          <w:color w:val="auto"/>
          <w:sz w:val="24"/>
          <w:lang w:eastAsia="zh-CN"/>
        </w:rPr>
        <w:t>响应文件</w:t>
      </w:r>
      <w:r>
        <w:rPr>
          <w:rFonts w:hint="eastAsia" w:ascii="宋体" w:hAnsi="宋体" w:eastAsia="宋体" w:cs="宋体"/>
          <w:color w:val="auto"/>
          <w:sz w:val="24"/>
        </w:rPr>
        <w:t>的审查、澄清、评价和比较以及授予合同的过程中，</w:t>
      </w:r>
      <w:r>
        <w:rPr>
          <w:rFonts w:hint="eastAsia" w:ascii="宋体" w:hAnsi="宋体" w:eastAsia="宋体" w:cs="宋体"/>
          <w:color w:val="auto"/>
          <w:sz w:val="24"/>
          <w:lang w:eastAsia="zh-CN"/>
        </w:rPr>
        <w:t>供应商</w:t>
      </w:r>
      <w:r>
        <w:rPr>
          <w:rFonts w:hint="eastAsia" w:ascii="宋体" w:hAnsi="宋体" w:eastAsia="宋体" w:cs="宋体"/>
          <w:color w:val="auto"/>
          <w:sz w:val="24"/>
        </w:rPr>
        <w:t>对采购人和谈判小组成员施加影响的任何行为，都将导致被取消竞标资格。</w:t>
      </w:r>
    </w:p>
    <w:p>
      <w:pPr>
        <w:pStyle w:val="10"/>
        <w:keepNext w:val="0"/>
        <w:keepLines w:val="0"/>
        <w:pageBreakBefore w:val="0"/>
        <w:kinsoku/>
        <w:wordWrap/>
        <w:overflowPunct/>
        <w:topLinePunct w:val="0"/>
        <w:autoSpaceDE/>
        <w:autoSpaceDN/>
        <w:bidi w:val="0"/>
        <w:spacing w:line="276" w:lineRule="auto"/>
        <w:textAlignment w:val="auto"/>
        <w:outlineLvl w:val="2"/>
        <w:rPr>
          <w:rFonts w:hint="eastAsia" w:ascii="宋体" w:hAnsi="宋体" w:eastAsia="宋体" w:cs="宋体"/>
          <w:b/>
          <w:color w:val="auto"/>
          <w:sz w:val="24"/>
          <w:szCs w:val="24"/>
          <w:lang w:eastAsia="zh-CN"/>
        </w:rPr>
      </w:pPr>
      <w:bookmarkStart w:id="5" w:name="_Toc300675940"/>
      <w:bookmarkStart w:id="6" w:name="_Toc156106957"/>
      <w:bookmarkStart w:id="7" w:name="_Toc300676150"/>
      <w:r>
        <w:rPr>
          <w:rFonts w:hint="eastAsia" w:ascii="宋体" w:hAnsi="宋体" w:eastAsia="宋体" w:cs="宋体"/>
          <w:b/>
          <w:color w:val="auto"/>
          <w:sz w:val="24"/>
          <w:szCs w:val="24"/>
        </w:rPr>
        <w:t>27.无效的</w:t>
      </w:r>
      <w:bookmarkEnd w:id="5"/>
      <w:bookmarkEnd w:id="6"/>
      <w:bookmarkEnd w:id="7"/>
      <w:r>
        <w:rPr>
          <w:rFonts w:hint="eastAsia" w:ascii="宋体" w:hAnsi="宋体" w:eastAsia="宋体" w:cs="宋体"/>
          <w:b/>
          <w:color w:val="auto"/>
          <w:sz w:val="24"/>
          <w:szCs w:val="24"/>
          <w:lang w:eastAsia="zh-CN"/>
        </w:rPr>
        <w:t>响应文件</w:t>
      </w:r>
    </w:p>
    <w:p>
      <w:pPr>
        <w:pStyle w:val="10"/>
        <w:keepNext w:val="0"/>
        <w:keepLines w:val="0"/>
        <w:pageBreakBefore w:val="0"/>
        <w:kinsoku/>
        <w:wordWrap/>
        <w:overflowPunct/>
        <w:topLinePunct w:val="0"/>
        <w:autoSpaceDE/>
        <w:autoSpaceDN/>
        <w:bidi w:val="0"/>
        <w:spacing w:line="276"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如出现下列情况之一，将会在评标中按照无效文件处理。</w:t>
      </w:r>
    </w:p>
    <w:p>
      <w:pPr>
        <w:pStyle w:val="10"/>
        <w:keepNext w:val="0"/>
        <w:keepLines w:val="0"/>
        <w:pageBreakBefore w:val="0"/>
        <w:numPr>
          <w:ilvl w:val="0"/>
          <w:numId w:val="2"/>
        </w:numPr>
        <w:kinsoku/>
        <w:wordWrap/>
        <w:overflowPunct/>
        <w:topLinePunct w:val="0"/>
        <w:autoSpaceDE/>
        <w:autoSpaceDN/>
        <w:bidi w:val="0"/>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未按规定缴纳竞标保证金或未交竞标保证金的；</w:t>
      </w:r>
    </w:p>
    <w:p>
      <w:pPr>
        <w:pStyle w:val="10"/>
        <w:keepNext w:val="0"/>
        <w:keepLines w:val="0"/>
        <w:pageBreakBefore w:val="0"/>
        <w:numPr>
          <w:ilvl w:val="0"/>
          <w:numId w:val="2"/>
        </w:numPr>
        <w:kinsoku/>
        <w:wordWrap/>
        <w:overflowPunct/>
        <w:topLinePunct w:val="0"/>
        <w:autoSpaceDE/>
        <w:autoSpaceDN/>
        <w:bidi w:val="0"/>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规定要求密封、签署、盖章的；</w:t>
      </w:r>
    </w:p>
    <w:p>
      <w:pPr>
        <w:pStyle w:val="10"/>
        <w:keepNext w:val="0"/>
        <w:keepLines w:val="0"/>
        <w:pageBreakBefore w:val="0"/>
        <w:numPr>
          <w:ilvl w:val="0"/>
          <w:numId w:val="2"/>
        </w:numPr>
        <w:kinsoku/>
        <w:wordWrap/>
        <w:overflowPunct/>
        <w:topLinePunct w:val="0"/>
        <w:autoSpaceDE/>
        <w:autoSpaceDN/>
        <w:bidi w:val="0"/>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不具备</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中规定资格要求的；</w:t>
      </w:r>
    </w:p>
    <w:p>
      <w:pPr>
        <w:pStyle w:val="10"/>
        <w:keepNext w:val="0"/>
        <w:keepLines w:val="0"/>
        <w:pageBreakBefore w:val="0"/>
        <w:numPr>
          <w:ilvl w:val="0"/>
          <w:numId w:val="2"/>
        </w:numPr>
        <w:kinsoku/>
        <w:wordWrap/>
        <w:overflowPunct/>
        <w:topLinePunct w:val="0"/>
        <w:autoSpaceDE/>
        <w:autoSpaceDN/>
        <w:bidi w:val="0"/>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不符合法律、法规的；</w:t>
      </w:r>
    </w:p>
    <w:p>
      <w:pPr>
        <w:pStyle w:val="10"/>
        <w:keepNext w:val="0"/>
        <w:keepLines w:val="0"/>
        <w:pageBreakBefore w:val="0"/>
        <w:numPr>
          <w:ilvl w:val="0"/>
          <w:numId w:val="2"/>
        </w:numPr>
        <w:kinsoku/>
        <w:wordWrap/>
        <w:overflowPunct/>
        <w:topLinePunct w:val="0"/>
        <w:autoSpaceDE/>
        <w:autoSpaceDN/>
        <w:bidi w:val="0"/>
        <w:spacing w:line="276" w:lineRule="auto"/>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的最终报价超过了采购预算的；</w:t>
      </w:r>
    </w:p>
    <w:p>
      <w:pPr>
        <w:pStyle w:val="10"/>
        <w:keepNext w:val="0"/>
        <w:keepLines w:val="0"/>
        <w:pageBreakBefore w:val="0"/>
        <w:numPr>
          <w:ilvl w:val="0"/>
          <w:numId w:val="2"/>
        </w:numPr>
        <w:kinsoku/>
        <w:wordWrap/>
        <w:overflowPunct/>
        <w:topLinePunct w:val="0"/>
        <w:autoSpaceDE/>
        <w:autoSpaceDN/>
        <w:bidi w:val="0"/>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不符合</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中规定的其它实质性要求并且在谈判规定的时间内无法说明和补充的；</w:t>
      </w:r>
    </w:p>
    <w:p>
      <w:pPr>
        <w:pStyle w:val="10"/>
        <w:keepNext w:val="0"/>
        <w:keepLines w:val="0"/>
        <w:pageBreakBefore w:val="0"/>
        <w:numPr>
          <w:ilvl w:val="0"/>
          <w:numId w:val="2"/>
        </w:numPr>
        <w:kinsoku/>
        <w:wordWrap/>
        <w:overflowPunct/>
        <w:topLinePunct w:val="0"/>
        <w:autoSpaceDE/>
        <w:autoSpaceDN/>
        <w:bidi w:val="0"/>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中提出实质性要求和条件作出完全响应的；</w:t>
      </w:r>
    </w:p>
    <w:p>
      <w:pPr>
        <w:pStyle w:val="10"/>
        <w:keepNext w:val="0"/>
        <w:keepLines w:val="0"/>
        <w:pageBreakBefore w:val="0"/>
        <w:numPr>
          <w:ilvl w:val="0"/>
          <w:numId w:val="2"/>
        </w:numPr>
        <w:tabs>
          <w:tab w:val="left" w:pos="515"/>
          <w:tab w:val="clear" w:pos="780"/>
        </w:tabs>
        <w:kinsoku/>
        <w:wordWrap/>
        <w:overflowPunct/>
        <w:topLinePunct w:val="0"/>
        <w:autoSpaceDE/>
        <w:autoSpaceDN/>
        <w:bidi w:val="0"/>
        <w:spacing w:line="276"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lang w:eastAsia="zh-CN"/>
        </w:rPr>
        <w:t>响应文件</w:t>
      </w:r>
      <w:r>
        <w:rPr>
          <w:rFonts w:hint="eastAsia" w:ascii="宋体" w:hAnsi="宋体" w:eastAsia="宋体" w:cs="宋体"/>
          <w:bCs/>
          <w:color w:val="auto"/>
          <w:sz w:val="24"/>
          <w:szCs w:val="24"/>
        </w:rPr>
        <w:t>由同一单位或者个人编制；</w:t>
      </w:r>
    </w:p>
    <w:p>
      <w:pPr>
        <w:pStyle w:val="10"/>
        <w:keepNext w:val="0"/>
        <w:keepLines w:val="0"/>
        <w:pageBreakBefore w:val="0"/>
        <w:numPr>
          <w:ilvl w:val="0"/>
          <w:numId w:val="2"/>
        </w:numPr>
        <w:tabs>
          <w:tab w:val="left" w:pos="515"/>
          <w:tab w:val="clear" w:pos="780"/>
        </w:tabs>
        <w:kinsoku/>
        <w:wordWrap/>
        <w:overflowPunct/>
        <w:topLinePunct w:val="0"/>
        <w:autoSpaceDE/>
        <w:autoSpaceDN/>
        <w:bidi w:val="0"/>
        <w:spacing w:line="276"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委托同一单位或者个人办理</w:t>
      </w:r>
      <w:r>
        <w:rPr>
          <w:rFonts w:hint="eastAsia" w:ascii="宋体" w:hAnsi="宋体" w:eastAsia="宋体" w:cs="宋体"/>
          <w:color w:val="auto"/>
          <w:sz w:val="24"/>
          <w:szCs w:val="24"/>
        </w:rPr>
        <w:t>竞标</w:t>
      </w:r>
      <w:r>
        <w:rPr>
          <w:rFonts w:hint="eastAsia" w:ascii="宋体" w:hAnsi="宋体" w:eastAsia="宋体" w:cs="宋体"/>
          <w:bCs/>
          <w:color w:val="auto"/>
          <w:sz w:val="24"/>
          <w:szCs w:val="24"/>
        </w:rPr>
        <w:t>事宜；</w:t>
      </w:r>
    </w:p>
    <w:p>
      <w:pPr>
        <w:pStyle w:val="10"/>
        <w:keepNext w:val="0"/>
        <w:keepLines w:val="0"/>
        <w:pageBreakBefore w:val="0"/>
        <w:tabs>
          <w:tab w:val="left" w:pos="515"/>
        </w:tabs>
        <w:kinsoku/>
        <w:wordWrap/>
        <w:overflowPunct/>
        <w:topLinePunct w:val="0"/>
        <w:autoSpaceDE/>
        <w:autoSpaceDN/>
        <w:bidi w:val="0"/>
        <w:spacing w:line="276" w:lineRule="auto"/>
        <w:ind w:firstLine="360" w:firstLineChars="1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（10）不同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lang w:eastAsia="zh-CN"/>
        </w:rPr>
        <w:t>响应文件</w:t>
      </w:r>
      <w:r>
        <w:rPr>
          <w:rFonts w:hint="eastAsia" w:ascii="宋体" w:hAnsi="宋体" w:eastAsia="宋体" w:cs="宋体"/>
          <w:bCs/>
          <w:color w:val="auto"/>
          <w:sz w:val="24"/>
          <w:szCs w:val="24"/>
        </w:rPr>
        <w:t>异常一致或者</w:t>
      </w:r>
      <w:r>
        <w:rPr>
          <w:rFonts w:hint="eastAsia" w:ascii="宋体" w:hAnsi="宋体" w:eastAsia="宋体" w:cs="宋体"/>
          <w:color w:val="auto"/>
          <w:sz w:val="24"/>
          <w:szCs w:val="24"/>
        </w:rPr>
        <w:t>竞标</w:t>
      </w:r>
      <w:r>
        <w:rPr>
          <w:rFonts w:hint="eastAsia" w:ascii="宋体" w:hAnsi="宋体" w:eastAsia="宋体" w:cs="宋体"/>
          <w:bCs/>
          <w:color w:val="auto"/>
          <w:sz w:val="24"/>
          <w:szCs w:val="24"/>
        </w:rPr>
        <w:t>报价呈规律性差异；</w:t>
      </w:r>
    </w:p>
    <w:p>
      <w:pPr>
        <w:pStyle w:val="10"/>
        <w:keepNext w:val="0"/>
        <w:keepLines w:val="0"/>
        <w:pageBreakBefore w:val="0"/>
        <w:tabs>
          <w:tab w:val="left" w:pos="515"/>
        </w:tabs>
        <w:kinsoku/>
        <w:wordWrap/>
        <w:overflowPunct/>
        <w:topLinePunct w:val="0"/>
        <w:autoSpaceDE/>
        <w:autoSpaceDN/>
        <w:bidi w:val="0"/>
        <w:spacing w:line="276" w:lineRule="auto"/>
        <w:ind w:firstLine="360" w:firstLineChars="1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（11）不同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lang w:eastAsia="zh-CN"/>
        </w:rPr>
        <w:t>响应文件</w:t>
      </w:r>
      <w:r>
        <w:rPr>
          <w:rFonts w:hint="eastAsia" w:ascii="宋体" w:hAnsi="宋体" w:eastAsia="宋体" w:cs="宋体"/>
          <w:bCs/>
          <w:color w:val="auto"/>
          <w:sz w:val="24"/>
          <w:szCs w:val="24"/>
        </w:rPr>
        <w:t>相互混装；</w:t>
      </w:r>
    </w:p>
    <w:p>
      <w:pPr>
        <w:pStyle w:val="10"/>
        <w:keepNext w:val="0"/>
        <w:keepLines w:val="0"/>
        <w:pageBreakBefore w:val="0"/>
        <w:tabs>
          <w:tab w:val="left" w:pos="515"/>
        </w:tabs>
        <w:kinsoku/>
        <w:wordWrap/>
        <w:overflowPunct/>
        <w:topLinePunct w:val="0"/>
        <w:autoSpaceDE/>
        <w:autoSpaceDN/>
        <w:bidi w:val="0"/>
        <w:spacing w:line="276" w:lineRule="auto"/>
        <w:ind w:firstLine="360" w:firstLineChars="1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（12）不同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rPr>
        <w:t>竞标</w:t>
      </w:r>
      <w:r>
        <w:rPr>
          <w:rFonts w:hint="eastAsia" w:ascii="宋体" w:hAnsi="宋体" w:eastAsia="宋体" w:cs="宋体"/>
          <w:bCs/>
          <w:color w:val="auto"/>
          <w:sz w:val="24"/>
          <w:szCs w:val="24"/>
        </w:rPr>
        <w:t>保证金从同一单位或者个人的账户转出。</w:t>
      </w:r>
    </w:p>
    <w:p>
      <w:pPr>
        <w:pStyle w:val="10"/>
        <w:keepNext w:val="0"/>
        <w:keepLines w:val="0"/>
        <w:pageBreakBefore w:val="0"/>
        <w:kinsoku/>
        <w:wordWrap/>
        <w:overflowPunct/>
        <w:topLinePunct w:val="0"/>
        <w:autoSpaceDE/>
        <w:autoSpaceDN/>
        <w:bidi w:val="0"/>
        <w:spacing w:line="276" w:lineRule="auto"/>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bookmarkStart w:id="8" w:name="_Toc300675941"/>
      <w:bookmarkStart w:id="9" w:name="_Toc300676151"/>
      <w:bookmarkStart w:id="10" w:name="_Toc156106958"/>
      <w:r>
        <w:rPr>
          <w:rFonts w:hint="eastAsia" w:ascii="宋体" w:hAnsi="宋体" w:eastAsia="宋体" w:cs="宋体"/>
          <w:b/>
          <w:color w:val="auto"/>
          <w:sz w:val="24"/>
          <w:szCs w:val="24"/>
        </w:rPr>
        <w:t>28.废标</w:t>
      </w:r>
      <w:bookmarkEnd w:id="8"/>
      <w:bookmarkEnd w:id="9"/>
      <w:bookmarkEnd w:id="10"/>
    </w:p>
    <w:p>
      <w:pPr>
        <w:pStyle w:val="10"/>
        <w:keepNext w:val="0"/>
        <w:keepLines w:val="0"/>
        <w:pageBreakBefore w:val="0"/>
        <w:kinsoku/>
        <w:wordWrap/>
        <w:overflowPunct/>
        <w:topLinePunct w:val="0"/>
        <w:autoSpaceDE/>
        <w:autoSpaceDN/>
        <w:bidi w:val="0"/>
        <w:spacing w:line="276" w:lineRule="auto"/>
        <w:ind w:firstLine="435"/>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26.1采购项目出现下列情形之一的，采购代理机构将予以废标：</w:t>
      </w:r>
    </w:p>
    <w:p>
      <w:pPr>
        <w:pStyle w:val="10"/>
        <w:keepNext w:val="0"/>
        <w:keepLines w:val="0"/>
        <w:pageBreakBefore w:val="0"/>
        <w:kinsoku/>
        <w:wordWrap/>
        <w:overflowPunct/>
        <w:topLinePunct w:val="0"/>
        <w:autoSpaceDE/>
        <w:autoSpaceDN/>
        <w:bidi w:val="0"/>
        <w:spacing w:line="276" w:lineRule="auto"/>
        <w:ind w:firstLine="435"/>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评标过程中符合专业条件或者对谈判采购文件作实质响应的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不足三家的；</w:t>
      </w:r>
    </w:p>
    <w:p>
      <w:pPr>
        <w:pStyle w:val="10"/>
        <w:keepNext w:val="0"/>
        <w:keepLines w:val="0"/>
        <w:pageBreakBefore w:val="0"/>
        <w:kinsoku/>
        <w:wordWrap/>
        <w:overflowPunct/>
        <w:topLinePunct w:val="0"/>
        <w:autoSpaceDE/>
        <w:autoSpaceDN/>
        <w:bidi w:val="0"/>
        <w:spacing w:line="276"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pStyle w:val="10"/>
        <w:keepNext w:val="0"/>
        <w:keepLines w:val="0"/>
        <w:pageBreakBefore w:val="0"/>
        <w:kinsoku/>
        <w:wordWrap/>
        <w:overflowPunct/>
        <w:topLinePunct w:val="0"/>
        <w:autoSpaceDE/>
        <w:autoSpaceDN/>
        <w:bidi w:val="0"/>
        <w:spacing w:line="276"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的最终报价均超出预算价，采购人不能支付的；</w:t>
      </w:r>
    </w:p>
    <w:p>
      <w:pPr>
        <w:pStyle w:val="10"/>
        <w:keepNext w:val="0"/>
        <w:keepLines w:val="0"/>
        <w:pageBreakBefore w:val="0"/>
        <w:kinsoku/>
        <w:wordWrap/>
        <w:overflowPunct/>
        <w:topLinePunct w:val="0"/>
        <w:autoSpaceDE/>
        <w:autoSpaceDN/>
        <w:bidi w:val="0"/>
        <w:spacing w:line="276"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pStyle w:val="10"/>
        <w:keepNext w:val="0"/>
        <w:keepLines w:val="0"/>
        <w:pageBreakBefore w:val="0"/>
        <w:kinsoku/>
        <w:wordWrap/>
        <w:overflowPunct/>
        <w:topLinePunct w:val="0"/>
        <w:autoSpaceDE/>
        <w:autoSpaceDN/>
        <w:bidi w:val="0"/>
        <w:spacing w:line="276" w:lineRule="auto"/>
        <w:ind w:firstLine="42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26.2废标后，采购代理机构将把废标理由通知所有</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w:t>
      </w:r>
    </w:p>
    <w:p>
      <w:pPr>
        <w:keepNext/>
        <w:keepLines/>
        <w:pageBreakBefore w:val="0"/>
        <w:kinsoku/>
        <w:wordWrap/>
        <w:overflowPunct/>
        <w:topLinePunct w:val="0"/>
        <w:autoSpaceDE/>
        <w:autoSpaceDN/>
        <w:bidi w:val="0"/>
        <w:spacing w:line="281" w:lineRule="auto"/>
        <w:jc w:val="center"/>
        <w:textAlignment w:val="auto"/>
        <w:rPr>
          <w:rFonts w:hint="eastAsia" w:ascii="宋体" w:hAnsi="宋体" w:eastAsia="宋体" w:cs="宋体"/>
          <w:b/>
          <w:color w:val="auto"/>
          <w:sz w:val="28"/>
        </w:rPr>
      </w:pPr>
      <w:bookmarkStart w:id="11" w:name="_Toc156106960"/>
      <w:bookmarkStart w:id="12" w:name="_Toc300675943"/>
      <w:bookmarkStart w:id="13" w:name="_Toc300676153"/>
      <w:r>
        <w:rPr>
          <w:rFonts w:hint="eastAsia" w:ascii="宋体" w:hAnsi="宋体" w:eastAsia="宋体" w:cs="宋体"/>
          <w:b/>
          <w:color w:val="auto"/>
          <w:sz w:val="28"/>
        </w:rPr>
        <w:t>七、合同授予</w:t>
      </w:r>
    </w:p>
    <w:p>
      <w:pPr>
        <w:pStyle w:val="10"/>
        <w:pageBreakBefore w:val="0"/>
        <w:kinsoku/>
        <w:wordWrap/>
        <w:overflowPunct/>
        <w:topLinePunct w:val="0"/>
        <w:autoSpaceDE/>
        <w:autoSpaceDN/>
        <w:bidi w:val="0"/>
        <w:spacing w:line="281" w:lineRule="auto"/>
        <w:ind w:firstLine="241" w:firstLineChars="100"/>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29.成交公告</w:t>
      </w:r>
      <w:bookmarkEnd w:id="11"/>
      <w:bookmarkEnd w:id="12"/>
      <w:bookmarkEnd w:id="13"/>
    </w:p>
    <w:p>
      <w:pPr>
        <w:pageBreakBefore w:val="0"/>
        <w:kinsoku/>
        <w:wordWrap/>
        <w:overflowPunct/>
        <w:topLinePunct w:val="0"/>
        <w:autoSpaceDE/>
        <w:autoSpaceDN/>
        <w:bidi w:val="0"/>
        <w:spacing w:line="281" w:lineRule="auto"/>
        <w:textAlignment w:val="auto"/>
        <w:rPr>
          <w:rFonts w:hint="eastAsia" w:ascii="宋体" w:hAnsi="宋体" w:eastAsia="宋体" w:cs="宋体"/>
          <w:color w:val="auto"/>
        </w:rPr>
      </w:pPr>
    </w:p>
    <w:p>
      <w:pPr>
        <w:pStyle w:val="1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29.1本公司在谈判工作完成2个工作日内将谈判报告送采购人，采购人在5个工作日内按照评标报告中推荐的成交候选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顺序确定成交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，成交结果将在中国政府采购网（http://www.ccgp.gov.cn）、广西壮族自治区政府采购网</w:t>
      </w:r>
      <w:r>
        <w:rPr>
          <w:rFonts w:hint="eastAsia" w:ascii="宋体" w:hAnsi="宋体" w:eastAsia="宋体" w:cs="宋体"/>
          <w:color w:val="auto"/>
          <w:sz w:val="24"/>
          <w:szCs w:val="24"/>
          <w:lang w:eastAsia="zh-CN"/>
        </w:rPr>
        <w:t>（http://zfcg.gxzf.gov.cn/）</w:t>
      </w:r>
      <w:r>
        <w:rPr>
          <w:rFonts w:hint="eastAsia" w:hAnsi="宋体" w:cs="宋体"/>
          <w:color w:val="auto"/>
          <w:sz w:val="24"/>
          <w:szCs w:val="24"/>
          <w:lang w:eastAsia="zh-CN"/>
        </w:rPr>
        <w:t>、</w:t>
      </w:r>
      <w:r>
        <w:rPr>
          <w:rFonts w:hint="eastAsia" w:ascii="宋体" w:hAnsi="宋体" w:eastAsia="宋体" w:cs="宋体"/>
          <w:color w:val="auto"/>
          <w:sz w:val="24"/>
          <w:szCs w:val="24"/>
        </w:rPr>
        <w:t>等网上发布。</w:t>
      </w:r>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如对成交公告有异议，可以在成交公告发布后七个工作日内以书面形式向采购代理机构提出质疑。采购代理机构将在收到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的书面形式质疑后七个工作日内做出答复，但答复的内容不得涉及商业密秘。</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29.3质疑和投诉书面要求：</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(1)质疑人或投诉人的单位名称或姓名、详细地址、邮政编码、联系电话等；</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(2)被质疑人或被投诉人的单位名称或姓名等；</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(3)质疑或投诉的事实及理由；</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(4)有关违规违法的情况和有效证明材料；</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(5)质疑人或投诉人的签章及质疑或投诉时间；</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⑹</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质疑书递交方式：质疑人的法定代表人凭本人身份证原件或授权委托代理人凭法定代表人授权委托书原件和本人身份证原件同时持质疑书原件递交至采购代理机构。</w:t>
      </w:r>
    </w:p>
    <w:p>
      <w:pPr>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如不按规定质疑或投诉的，视为无效投诉，不予受理。</w:t>
      </w:r>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29.4质疑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必须首先经过质疑程序，在对采购代理机构的答复不满意或者采购代理机构未在规定的时间内做出答复的，可以在答复期满后十五个工作日内书面向同级政府采购监督管理部门投诉。</w:t>
      </w:r>
    </w:p>
    <w:p>
      <w:pPr>
        <w:pStyle w:val="10"/>
        <w:keepNext w:val="0"/>
        <w:keepLines w:val="0"/>
        <w:pageBreakBefore w:val="0"/>
        <w:kinsoku/>
        <w:wordWrap/>
        <w:overflowPunct/>
        <w:topLinePunct w:val="0"/>
        <w:autoSpaceDE/>
        <w:autoSpaceDN/>
        <w:bidi w:val="0"/>
        <w:spacing w:line="281" w:lineRule="auto"/>
        <w:textAlignment w:val="auto"/>
        <w:outlineLvl w:val="2"/>
        <w:rPr>
          <w:rFonts w:hint="eastAsia" w:ascii="宋体" w:hAnsi="宋体" w:eastAsia="宋体" w:cs="宋体"/>
          <w:b/>
          <w:bCs/>
          <w:color w:val="auto"/>
          <w:sz w:val="24"/>
          <w:szCs w:val="24"/>
        </w:rPr>
      </w:pPr>
      <w:bookmarkStart w:id="14" w:name="_Toc156106961"/>
      <w:bookmarkStart w:id="15" w:name="_Toc300676154"/>
      <w:bookmarkStart w:id="16" w:name="_Toc300675944"/>
      <w:r>
        <w:rPr>
          <w:rFonts w:hint="eastAsia" w:ascii="宋体" w:hAnsi="宋体" w:eastAsia="宋体" w:cs="宋体"/>
          <w:b/>
          <w:bCs/>
          <w:color w:val="auto"/>
          <w:sz w:val="24"/>
          <w:szCs w:val="24"/>
        </w:rPr>
        <w:t>30.成交通知</w:t>
      </w:r>
      <w:bookmarkEnd w:id="14"/>
      <w:bookmarkEnd w:id="15"/>
      <w:bookmarkEnd w:id="16"/>
    </w:p>
    <w:p>
      <w:pPr>
        <w:pStyle w:val="10"/>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30.1在发布成交公告的同时，本公司将向成交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发出成交通知书。</w:t>
      </w:r>
    </w:p>
    <w:p>
      <w:pPr>
        <w:pStyle w:val="10"/>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30.2本公司无义务向落标的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解释落标原因和退还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pPr>
        <w:pStyle w:val="10"/>
        <w:keepNext w:val="0"/>
        <w:keepLines w:val="0"/>
        <w:pageBreakBefore w:val="0"/>
        <w:kinsoku/>
        <w:wordWrap/>
        <w:overflowPunct/>
        <w:topLinePunct w:val="0"/>
        <w:autoSpaceDE/>
        <w:autoSpaceDN/>
        <w:bidi w:val="0"/>
        <w:spacing w:line="281" w:lineRule="auto"/>
        <w:textAlignment w:val="auto"/>
        <w:outlineLvl w:val="2"/>
        <w:rPr>
          <w:rFonts w:hint="eastAsia" w:ascii="宋体" w:hAnsi="宋体" w:eastAsia="宋体" w:cs="宋体"/>
          <w:b/>
          <w:color w:val="auto"/>
          <w:sz w:val="24"/>
          <w:szCs w:val="24"/>
        </w:rPr>
      </w:pPr>
      <w:bookmarkStart w:id="17" w:name="_Toc147250544"/>
      <w:bookmarkStart w:id="18" w:name="_Toc300675945"/>
      <w:bookmarkStart w:id="19" w:name="_Toc147250388"/>
      <w:bookmarkStart w:id="20" w:name="_Toc147250342"/>
      <w:bookmarkStart w:id="21" w:name="_Toc300676155"/>
      <w:bookmarkStart w:id="22" w:name="_Toc156106962"/>
      <w:r>
        <w:rPr>
          <w:rFonts w:hint="eastAsia" w:ascii="宋体" w:hAnsi="宋体" w:eastAsia="宋体" w:cs="宋体"/>
          <w:b/>
          <w:bCs/>
          <w:color w:val="auto"/>
          <w:sz w:val="24"/>
          <w:szCs w:val="24"/>
        </w:rPr>
        <w:t>31.</w:t>
      </w:r>
      <w:r>
        <w:rPr>
          <w:rFonts w:hint="eastAsia" w:ascii="宋体" w:hAnsi="宋体" w:eastAsia="宋体" w:cs="宋体"/>
          <w:b/>
          <w:color w:val="auto"/>
          <w:sz w:val="24"/>
          <w:szCs w:val="24"/>
        </w:rPr>
        <w:t>合同授予标准</w:t>
      </w:r>
      <w:bookmarkEnd w:id="17"/>
      <w:bookmarkEnd w:id="18"/>
      <w:bookmarkEnd w:id="19"/>
      <w:bookmarkEnd w:id="20"/>
      <w:bookmarkEnd w:id="21"/>
      <w:bookmarkEnd w:id="22"/>
    </w:p>
    <w:p>
      <w:pPr>
        <w:pStyle w:val="10"/>
        <w:keepNext w:val="0"/>
        <w:keepLines w:val="0"/>
        <w:pageBreakBefore w:val="0"/>
        <w:kinsoku/>
        <w:wordWrap/>
        <w:overflowPunct/>
        <w:topLinePunct w:val="0"/>
        <w:autoSpaceDE/>
        <w:autoSpaceDN/>
        <w:bidi w:val="0"/>
        <w:spacing w:line="281" w:lineRule="auto"/>
        <w:ind w:firstLine="435"/>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31.1合同授予被确定为实质上</w:t>
      </w:r>
      <w:r>
        <w:rPr>
          <w:rFonts w:hint="eastAsia" w:ascii="宋体" w:hAnsi="宋体" w:eastAsia="宋体" w:cs="宋体"/>
          <w:color w:val="auto"/>
          <w:sz w:val="24"/>
          <w:szCs w:val="24"/>
        </w:rPr>
        <w:t>响应谈判文件要</w:t>
      </w:r>
      <w:r>
        <w:rPr>
          <w:rFonts w:hint="eastAsia" w:ascii="宋体" w:hAnsi="宋体" w:eastAsia="宋体" w:cs="宋体"/>
          <w:bCs/>
          <w:color w:val="auto"/>
          <w:sz w:val="24"/>
          <w:szCs w:val="24"/>
        </w:rPr>
        <w:t>求，评标认为具备履行合同能力，报价最低的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w:t>
      </w:r>
    </w:p>
    <w:p>
      <w:pPr>
        <w:pStyle w:val="10"/>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31.2 采购人应按照评标报告中推荐的成交候选</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顺序确定成交</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w:t>
      </w:r>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31</w:t>
      </w:r>
      <w:r>
        <w:rPr>
          <w:rFonts w:hint="eastAsia" w:ascii="宋体" w:hAnsi="宋体" w:eastAsia="宋体" w:cs="宋体"/>
          <w:color w:val="auto"/>
          <w:sz w:val="24"/>
          <w:szCs w:val="24"/>
        </w:rPr>
        <w:t>.3成交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因不可抗力或者自身原因不能履行采购合同的，采购人可以合格的成交候选人中另行确定成交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，没有合格的成交候选人的，重新开展采购活动，但由于排名第一的成交候选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放弃成交资格或未按规定签订合同，造成本项目的合同成交价提高（指采购人选择第二成交候选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为成交人后导致成交金额高于违约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的成交价），所超出违约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的成交价差额部分由违约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承担赔偿责任。</w:t>
      </w:r>
    </w:p>
    <w:p>
      <w:pPr>
        <w:pStyle w:val="10"/>
        <w:keepNext w:val="0"/>
        <w:keepLines w:val="0"/>
        <w:pageBreakBefore w:val="0"/>
        <w:kinsoku/>
        <w:wordWrap/>
        <w:overflowPunct/>
        <w:topLinePunct w:val="0"/>
        <w:autoSpaceDE/>
        <w:autoSpaceDN/>
        <w:bidi w:val="0"/>
        <w:spacing w:line="281" w:lineRule="auto"/>
        <w:textAlignment w:val="auto"/>
        <w:outlineLvl w:val="2"/>
        <w:rPr>
          <w:rFonts w:hint="eastAsia" w:ascii="宋体" w:hAnsi="宋体" w:eastAsia="宋体" w:cs="宋体"/>
          <w:color w:val="auto"/>
          <w:sz w:val="24"/>
          <w:szCs w:val="24"/>
        </w:rPr>
      </w:pPr>
      <w:bookmarkStart w:id="23" w:name="_Toc300676156"/>
      <w:bookmarkStart w:id="24" w:name="_Toc156106963"/>
      <w:bookmarkStart w:id="25" w:name="_Toc300675946"/>
      <w:r>
        <w:rPr>
          <w:rFonts w:hint="eastAsia" w:ascii="宋体" w:hAnsi="宋体" w:eastAsia="宋体" w:cs="宋体"/>
          <w:b/>
          <w:color w:val="auto"/>
          <w:sz w:val="24"/>
          <w:szCs w:val="24"/>
        </w:rPr>
        <w:t>32.签订合同</w:t>
      </w:r>
      <w:bookmarkEnd w:id="23"/>
      <w:bookmarkEnd w:id="24"/>
      <w:bookmarkEnd w:id="25"/>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在收到成交通知书后，按成交通知书中规定的时间、地点与采购人签订合同。</w:t>
      </w:r>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32.2如成交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不按成交通知书的规定签订合同，则按成交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违约处理，采购代理机构对成交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竞标的全部竞标保证金将不予退还，同时还应对采购人承担违约责任。</w:t>
      </w:r>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32.3合同签订必须按《中华人民共和国政府采购法》、《政府采购非招标采购方式管理办法》和《中华人民共和国合同法》，否则由此造成的后果由采购人负责。</w:t>
      </w:r>
    </w:p>
    <w:p>
      <w:pPr>
        <w:pStyle w:val="10"/>
        <w:keepNext w:val="0"/>
        <w:keepLines w:val="0"/>
        <w:pageBreakBefore w:val="0"/>
        <w:kinsoku/>
        <w:wordWrap/>
        <w:overflowPunct/>
        <w:topLinePunct w:val="0"/>
        <w:autoSpaceDE/>
        <w:autoSpaceDN/>
        <w:bidi w:val="0"/>
        <w:spacing w:line="281" w:lineRule="auto"/>
        <w:ind w:left="6" w:firstLine="439"/>
        <w:textAlignment w:val="auto"/>
        <w:rPr>
          <w:rFonts w:hint="eastAsia" w:ascii="宋体" w:hAnsi="宋体" w:eastAsia="宋体" w:cs="宋体"/>
          <w:color w:val="auto"/>
          <w:sz w:val="24"/>
          <w:szCs w:val="24"/>
        </w:rPr>
      </w:pPr>
      <w:bookmarkStart w:id="26" w:name="_Toc205632338"/>
      <w:bookmarkStart w:id="27" w:name="_Toc290489558"/>
      <w:bookmarkStart w:id="28" w:name="_Toc290489636"/>
      <w:r>
        <w:rPr>
          <w:rFonts w:hint="eastAsia" w:ascii="宋体" w:hAnsi="宋体" w:eastAsia="宋体" w:cs="宋体"/>
          <w:color w:val="auto"/>
          <w:sz w:val="24"/>
          <w:szCs w:val="24"/>
        </w:rPr>
        <w:t>32.4成交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因不可抗力或者自身原因不能履行采购合同的，</w:t>
      </w:r>
      <w:bookmarkEnd w:id="26"/>
      <w:r>
        <w:rPr>
          <w:rFonts w:hint="eastAsia" w:ascii="宋体" w:hAnsi="宋体" w:eastAsia="宋体" w:cs="宋体"/>
          <w:color w:val="auto"/>
          <w:sz w:val="24"/>
          <w:szCs w:val="24"/>
        </w:rPr>
        <w:t>采购单位可以从合格的成交候选人中另行确定成交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，没有合格的成交候选人的，重新开展采购活动。《政府采购法实施条例》第四十九条中标或者成交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拒绝与采购人签订合同的，采购人可以按照评审报告推荐的中标或者成交候选人名单排序，确定下一候选人为中标或者成交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，也可以重新开展政府采购活动。但由于排名第一的成交候选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放弃成交资格或未按规定签订合同，造成本项目的合同成交价提高（指采购人选择第二成交候选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为成交人后导致成交金额高于违约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的成交价），所超出违约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的成交价差额部分由违约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承担赔偿责任。</w:t>
      </w:r>
      <w:bookmarkEnd w:id="27"/>
      <w:bookmarkEnd w:id="28"/>
    </w:p>
    <w:p>
      <w:pPr>
        <w:pStyle w:val="10"/>
        <w:keepNext w:val="0"/>
        <w:keepLines w:val="0"/>
        <w:pageBreakBefore w:val="0"/>
        <w:kinsoku/>
        <w:wordWrap/>
        <w:overflowPunct/>
        <w:topLinePunct w:val="0"/>
        <w:autoSpaceDE/>
        <w:autoSpaceDN/>
        <w:bidi w:val="0"/>
        <w:spacing w:line="281" w:lineRule="auto"/>
        <w:textAlignment w:val="auto"/>
        <w:outlineLvl w:val="2"/>
        <w:rPr>
          <w:rFonts w:hint="eastAsia" w:ascii="宋体" w:hAnsi="宋体" w:eastAsia="宋体" w:cs="宋体"/>
          <w:b/>
          <w:color w:val="auto"/>
          <w:sz w:val="24"/>
          <w:szCs w:val="24"/>
        </w:rPr>
      </w:pPr>
      <w:bookmarkStart w:id="29" w:name="_Toc300675947"/>
      <w:bookmarkStart w:id="30" w:name="_Toc156106964"/>
      <w:bookmarkStart w:id="31" w:name="_Toc300676157"/>
      <w:r>
        <w:rPr>
          <w:rFonts w:hint="eastAsia" w:ascii="宋体" w:hAnsi="宋体" w:eastAsia="宋体" w:cs="宋体"/>
          <w:b/>
          <w:color w:val="auto"/>
          <w:sz w:val="24"/>
          <w:szCs w:val="24"/>
        </w:rPr>
        <w:t>33.履约保证金</w:t>
      </w:r>
      <w:bookmarkEnd w:id="29"/>
      <w:bookmarkEnd w:id="30"/>
      <w:bookmarkEnd w:id="31"/>
    </w:p>
    <w:p>
      <w:pPr>
        <w:pStyle w:val="10"/>
        <w:keepNext w:val="0"/>
        <w:keepLines w:val="0"/>
        <w:pageBreakBefore w:val="0"/>
        <w:kinsoku/>
        <w:wordWrap/>
        <w:overflowPunct/>
        <w:topLinePunct w:val="0"/>
        <w:autoSpaceDE/>
        <w:autoSpaceDN/>
        <w:bidi w:val="0"/>
        <w:spacing w:line="281" w:lineRule="auto"/>
        <w:ind w:firstLine="482" w:firstLineChars="200"/>
        <w:textAlignment w:val="auto"/>
        <w:outlineLvl w:val="1"/>
        <w:rPr>
          <w:rFonts w:hint="eastAsia" w:ascii="宋体" w:hAnsi="宋体" w:eastAsia="宋体" w:cs="宋体"/>
          <w:b/>
          <w:bCs/>
          <w:color w:val="auto"/>
          <w:sz w:val="24"/>
          <w:szCs w:val="24"/>
          <w:lang w:eastAsia="zh-CN"/>
        </w:rPr>
      </w:pPr>
      <w:bookmarkStart w:id="32" w:name="_Toc156106965"/>
      <w:bookmarkStart w:id="33" w:name="_Toc300675948"/>
      <w:bookmarkStart w:id="34" w:name="_Toc300676158"/>
      <w:r>
        <w:rPr>
          <w:rFonts w:hint="eastAsia" w:hAnsi="宋体" w:cs="宋体"/>
          <w:b/>
          <w:bCs/>
          <w:color w:val="auto"/>
          <w:sz w:val="24"/>
          <w:szCs w:val="24"/>
          <w:lang w:eastAsia="zh-CN"/>
        </w:rPr>
        <w:t>无</w:t>
      </w:r>
    </w:p>
    <w:p>
      <w:pPr>
        <w:pStyle w:val="10"/>
        <w:keepNext w:val="0"/>
        <w:keepLines w:val="0"/>
        <w:pageBreakBefore w:val="0"/>
        <w:kinsoku/>
        <w:wordWrap/>
        <w:overflowPunct/>
        <w:topLinePunct w:val="0"/>
        <w:autoSpaceDE/>
        <w:autoSpaceDN/>
        <w:bidi w:val="0"/>
        <w:spacing w:line="281" w:lineRule="auto"/>
        <w:ind w:firstLine="3869" w:firstLineChars="1606"/>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八、其他事项</w:t>
      </w:r>
      <w:bookmarkEnd w:id="32"/>
      <w:bookmarkEnd w:id="33"/>
      <w:bookmarkEnd w:id="34"/>
    </w:p>
    <w:p>
      <w:pPr>
        <w:pStyle w:val="10"/>
        <w:keepNext w:val="0"/>
        <w:keepLines w:val="0"/>
        <w:pageBreakBefore w:val="0"/>
        <w:kinsoku/>
        <w:wordWrap/>
        <w:overflowPunct/>
        <w:topLinePunct w:val="0"/>
        <w:autoSpaceDE/>
        <w:autoSpaceDN/>
        <w:bidi w:val="0"/>
        <w:spacing w:line="281" w:lineRule="auto"/>
        <w:textAlignment w:val="auto"/>
        <w:outlineLvl w:val="2"/>
        <w:rPr>
          <w:rFonts w:hint="eastAsia" w:ascii="宋体" w:hAnsi="宋体" w:eastAsia="宋体" w:cs="宋体"/>
          <w:b/>
          <w:bCs/>
          <w:color w:val="auto"/>
          <w:sz w:val="24"/>
          <w:szCs w:val="24"/>
        </w:rPr>
      </w:pPr>
      <w:bookmarkStart w:id="35" w:name="_Toc295666041"/>
      <w:bookmarkStart w:id="36" w:name="_Toc156106966"/>
      <w:bookmarkStart w:id="37" w:name="_Toc295666183"/>
      <w:r>
        <w:rPr>
          <w:rFonts w:hint="eastAsia" w:ascii="宋体" w:hAnsi="宋体" w:eastAsia="宋体" w:cs="宋体"/>
          <w:b/>
          <w:bCs/>
          <w:color w:val="auto"/>
          <w:sz w:val="24"/>
          <w:szCs w:val="24"/>
        </w:rPr>
        <w:t>34.成交服务费</w:t>
      </w:r>
      <w:bookmarkEnd w:id="35"/>
      <w:bookmarkEnd w:id="36"/>
      <w:bookmarkEnd w:id="37"/>
    </w:p>
    <w:p>
      <w:pPr>
        <w:pStyle w:val="7"/>
        <w:keepNext w:val="0"/>
        <w:keepLines w:val="0"/>
        <w:pageBreakBefore w:val="0"/>
        <w:kinsoku/>
        <w:wordWrap/>
        <w:overflowPunct/>
        <w:topLinePunct w:val="0"/>
        <w:autoSpaceDE/>
        <w:autoSpaceDN/>
        <w:bidi w:val="0"/>
        <w:spacing w:line="281" w:lineRule="auto"/>
        <w:ind w:firstLine="480" w:firstLineChars="200"/>
        <w:textAlignment w:val="auto"/>
        <w:rPr>
          <w:rFonts w:hint="eastAsia" w:ascii="宋体" w:hAnsi="宋体" w:eastAsia="宋体" w:cs="宋体"/>
          <w:color w:val="auto"/>
          <w:sz w:val="24"/>
        </w:rPr>
      </w:pPr>
      <w:bookmarkStart w:id="38" w:name="_Toc295666185"/>
      <w:bookmarkStart w:id="39" w:name="_Toc295666043"/>
      <w:bookmarkStart w:id="40" w:name="_Toc156106967"/>
      <w:r>
        <w:rPr>
          <w:rFonts w:hint="eastAsia" w:ascii="宋体" w:hAnsi="宋体" w:eastAsia="宋体" w:cs="宋体"/>
          <w:color w:val="auto"/>
          <w:sz w:val="24"/>
        </w:rPr>
        <w:t>34.1由成交单位向采购代理机构支付。具体为：</w:t>
      </w:r>
      <w:r>
        <w:rPr>
          <w:rFonts w:hint="eastAsia" w:ascii="宋体" w:hAnsi="宋体" w:eastAsia="宋体" w:cs="宋体"/>
          <w:b w:val="0"/>
          <w:bCs w:val="0"/>
          <w:color w:val="auto"/>
          <w:sz w:val="24"/>
          <w:szCs w:val="24"/>
          <w:lang w:eastAsia="zh-CN"/>
        </w:rPr>
        <w:t>采购代理服务费，根据《国家发展改革委关于进一步放开建设项目专业服务价格的通知》（发改价格〔2015〕299号）要求，按市场价计算执行：（100万以内（包括100万）部分，按成交金额的1</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%计取，100万到500万（包括500万）部分按成交金额的</w:t>
      </w: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%计取）标准收取</w:t>
      </w:r>
      <w:r>
        <w:rPr>
          <w:rFonts w:hint="eastAsia" w:ascii="宋体" w:hAnsi="宋体" w:eastAsia="宋体" w:cs="宋体"/>
          <w:color w:val="auto"/>
          <w:kern w:val="2"/>
          <w:sz w:val="24"/>
          <w:szCs w:val="24"/>
          <w:lang w:val="en-US" w:eastAsia="zh-CN" w:bidi="ar-SA"/>
        </w:rPr>
        <w:t>，由成交人在领取成交通知书时以现金或转账方式一次性向采购代理机构支付。</w:t>
      </w:r>
    </w:p>
    <w:p>
      <w:pPr>
        <w:pStyle w:val="10"/>
        <w:keepNext w:val="0"/>
        <w:keepLines w:val="0"/>
        <w:pageBreakBefore w:val="0"/>
        <w:kinsoku/>
        <w:wordWrap/>
        <w:overflowPunct/>
        <w:topLinePunct w:val="0"/>
        <w:autoSpaceDE/>
        <w:autoSpaceDN/>
        <w:bidi w:val="0"/>
        <w:spacing w:line="281" w:lineRule="auto"/>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35.解释权</w:t>
      </w:r>
      <w:bookmarkEnd w:id="38"/>
      <w:bookmarkEnd w:id="39"/>
      <w:bookmarkEnd w:id="40"/>
    </w:p>
    <w:p>
      <w:pPr>
        <w:pStyle w:val="10"/>
        <w:keepNext w:val="0"/>
        <w:keepLines w:val="0"/>
        <w:pageBreakBefore w:val="0"/>
        <w:kinsoku/>
        <w:wordWrap/>
        <w:overflowPunct/>
        <w:topLinePunct w:val="0"/>
        <w:autoSpaceDE/>
        <w:autoSpaceDN/>
        <w:bidi w:val="0"/>
        <w:spacing w:line="281"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35.1本谈判采购文件是根据国家有关法律、法规以及政府采购管理有关规定和参照国际惯例编制，解释权属本采购代理机构。</w:t>
      </w:r>
    </w:p>
    <w:p>
      <w:pPr>
        <w:keepNext w:val="0"/>
        <w:keepLines w:val="0"/>
        <w:pageBreakBefore w:val="0"/>
        <w:kinsoku/>
        <w:wordWrap/>
        <w:overflowPunct/>
        <w:topLinePunct w:val="0"/>
        <w:autoSpaceDE/>
        <w:autoSpaceDN/>
        <w:bidi w:val="0"/>
        <w:spacing w:line="281" w:lineRule="auto"/>
        <w:textAlignment w:val="auto"/>
        <w:rPr>
          <w:rFonts w:hint="eastAsia" w:ascii="宋体" w:hAnsi="宋体" w:eastAsia="宋体" w:cs="宋体"/>
          <w:b/>
          <w:color w:val="auto"/>
          <w:sz w:val="24"/>
        </w:rPr>
      </w:pPr>
      <w:r>
        <w:rPr>
          <w:rFonts w:hint="eastAsia" w:ascii="宋体" w:hAnsi="宋体" w:eastAsia="宋体" w:cs="宋体"/>
          <w:b/>
          <w:color w:val="auto"/>
          <w:sz w:val="24"/>
        </w:rPr>
        <w:t>36. 重新采购</w:t>
      </w:r>
    </w:p>
    <w:p>
      <w:pPr>
        <w:keepNext w:val="0"/>
        <w:keepLines w:val="0"/>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36.1 有下列情形之一的，应予以重新采购：</w:t>
      </w:r>
    </w:p>
    <w:p>
      <w:pPr>
        <w:keepNext w:val="0"/>
        <w:keepLines w:val="0"/>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⑴竞标截止时间止，</w:t>
      </w:r>
      <w:r>
        <w:rPr>
          <w:rFonts w:hint="eastAsia" w:ascii="宋体" w:hAnsi="宋体" w:eastAsia="宋体" w:cs="宋体"/>
          <w:color w:val="auto"/>
          <w:sz w:val="24"/>
          <w:lang w:eastAsia="zh-CN"/>
        </w:rPr>
        <w:t>供应商</w:t>
      </w:r>
      <w:r>
        <w:rPr>
          <w:rFonts w:hint="eastAsia" w:ascii="宋体" w:hAnsi="宋体" w:eastAsia="宋体" w:cs="宋体"/>
          <w:color w:val="auto"/>
          <w:sz w:val="24"/>
        </w:rPr>
        <w:t>不足3家的。</w:t>
      </w:r>
    </w:p>
    <w:p>
      <w:pPr>
        <w:keepNext w:val="0"/>
        <w:keepLines w:val="0"/>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⑵符合专业条件的</w:t>
      </w:r>
      <w:r>
        <w:rPr>
          <w:rFonts w:hint="eastAsia" w:ascii="宋体" w:hAnsi="宋体" w:eastAsia="宋体" w:cs="宋体"/>
          <w:color w:val="auto"/>
          <w:sz w:val="24"/>
          <w:lang w:eastAsia="zh-CN"/>
        </w:rPr>
        <w:t>供应商</w:t>
      </w:r>
      <w:r>
        <w:rPr>
          <w:rFonts w:hint="eastAsia" w:ascii="宋体" w:hAnsi="宋体" w:eastAsia="宋体" w:cs="宋体"/>
          <w:color w:val="auto"/>
          <w:sz w:val="24"/>
        </w:rPr>
        <w:t>或者对竞争性谈判文件作实质响应的</w:t>
      </w:r>
      <w:r>
        <w:rPr>
          <w:rFonts w:hint="eastAsia" w:ascii="宋体" w:hAnsi="宋体" w:eastAsia="宋体" w:cs="宋体"/>
          <w:color w:val="auto"/>
          <w:sz w:val="24"/>
          <w:lang w:eastAsia="zh-CN"/>
        </w:rPr>
        <w:t>供应商</w:t>
      </w:r>
      <w:r>
        <w:rPr>
          <w:rFonts w:hint="eastAsia" w:ascii="宋体" w:hAnsi="宋体" w:eastAsia="宋体" w:cs="宋体"/>
          <w:color w:val="auto"/>
          <w:sz w:val="24"/>
        </w:rPr>
        <w:t>不足三家的；</w:t>
      </w:r>
    </w:p>
    <w:p>
      <w:pPr>
        <w:keepNext w:val="0"/>
        <w:keepLines w:val="0"/>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⑶出现影响采购公正的违法、违规行为的；</w:t>
      </w:r>
    </w:p>
    <w:p>
      <w:pPr>
        <w:keepNext w:val="0"/>
        <w:keepLines w:val="0"/>
        <w:pageBreakBefore w:val="0"/>
        <w:kinsoku/>
        <w:wordWrap/>
        <w:overflowPunct/>
        <w:topLinePunct w:val="0"/>
        <w:autoSpaceDE/>
        <w:autoSpaceDN/>
        <w:bidi w:val="0"/>
        <w:spacing w:line="281"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⑷因重大变故，采购任务取消的。</w:t>
      </w:r>
    </w:p>
    <w:p>
      <w:pPr>
        <w:pStyle w:val="3"/>
        <w:rPr>
          <w:rFonts w:hint="eastAsia"/>
          <w:color w:val="auto"/>
        </w:rPr>
      </w:pPr>
    </w:p>
    <w:p>
      <w:pPr>
        <w:rPr>
          <w:rFonts w:hint="eastAsia"/>
          <w:color w:val="auto"/>
        </w:rPr>
      </w:pPr>
    </w:p>
    <w:p>
      <w:pPr>
        <w:pStyle w:val="2"/>
        <w:rPr>
          <w:rFonts w:hint="eastAsia"/>
          <w:color w:val="auto"/>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ab/>
      </w:r>
      <w:r>
        <w:rPr>
          <w:rFonts w:hint="eastAsia" w:ascii="宋体" w:hAnsi="宋体" w:eastAsia="宋体" w:cs="宋体"/>
          <w:bCs/>
          <w:color w:val="auto"/>
          <w:kern w:val="2"/>
          <w:sz w:val="21"/>
          <w:szCs w:val="21"/>
        </w:rPr>
        <w:tab/>
      </w:r>
    </w:p>
    <w:p>
      <w:pPr>
        <w:keepNext/>
        <w:spacing w:line="40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第三章货物需求一览表</w:t>
      </w:r>
    </w:p>
    <w:p>
      <w:pPr>
        <w:pStyle w:val="10"/>
        <w:spacing w:line="500" w:lineRule="exact"/>
        <w:ind w:left="220" w:leftChars="100" w:firstLine="3685" w:firstLineChars="1147"/>
        <w:rPr>
          <w:rFonts w:hint="eastAsia" w:ascii="宋体" w:hAnsi="宋体" w:eastAsia="宋体" w:cs="宋体"/>
          <w:b/>
          <w:color w:val="auto"/>
          <w:sz w:val="32"/>
          <w:szCs w:val="32"/>
        </w:rPr>
      </w:pPr>
      <w:r>
        <w:rPr>
          <w:rFonts w:hint="eastAsia" w:ascii="宋体" w:hAnsi="宋体" w:eastAsia="宋体" w:cs="宋体"/>
          <w:b/>
          <w:color w:val="auto"/>
          <w:sz w:val="32"/>
          <w:szCs w:val="32"/>
        </w:rPr>
        <w:t>货物需求一览表</w:t>
      </w:r>
    </w:p>
    <w:p>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right="101" w:rightChars="46" w:firstLine="435" w:firstLineChars="197"/>
        <w:jc w:val="both"/>
        <w:textAlignment w:val="auto"/>
        <w:rPr>
          <w:rFonts w:hint="eastAsia" w:ascii="宋体" w:hAnsi="宋体" w:eastAsia="宋体" w:cs="宋体"/>
          <w:b/>
          <w:bCs/>
          <w:color w:val="auto"/>
          <w:szCs w:val="21"/>
        </w:rPr>
      </w:pPr>
      <w:r>
        <w:rPr>
          <w:rFonts w:hint="eastAsia" w:ascii="宋体" w:hAnsi="宋体" w:eastAsia="宋体" w:cs="宋体"/>
          <w:b/>
          <w:bCs/>
          <w:color w:val="auto"/>
          <w:szCs w:val="21"/>
        </w:rPr>
        <w:t>本一览表中的技术参数及性能要求，则仅起参考作用，报价人的报价产品，参数及规格要求要</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101" w:rightChars="46"/>
        <w:jc w:val="both"/>
        <w:textAlignment w:val="auto"/>
        <w:rPr>
          <w:rFonts w:hint="eastAsia" w:ascii="宋体" w:hAnsi="宋体" w:eastAsia="宋体" w:cs="宋体"/>
          <w:b/>
          <w:bCs/>
          <w:color w:val="auto"/>
          <w:szCs w:val="21"/>
        </w:rPr>
      </w:pPr>
      <w:r>
        <w:rPr>
          <w:rFonts w:hint="eastAsia" w:ascii="宋体" w:hAnsi="宋体" w:eastAsia="宋体" w:cs="宋体"/>
          <w:b/>
          <w:bCs/>
          <w:color w:val="auto"/>
          <w:szCs w:val="21"/>
        </w:rPr>
        <w:t>实质上相当于或优于参考技术参数及性能的要求。</w:t>
      </w:r>
    </w:p>
    <w:p>
      <w:pPr>
        <w:pStyle w:val="2"/>
        <w:rPr>
          <w:rFonts w:hint="eastAsia"/>
          <w:color w:val="auto"/>
        </w:rPr>
      </w:pPr>
    </w:p>
    <w:tbl>
      <w:tblPr>
        <w:tblStyle w:val="16"/>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626"/>
        <w:gridCol w:w="4"/>
        <w:gridCol w:w="68"/>
        <w:gridCol w:w="7"/>
        <w:gridCol w:w="735"/>
        <w:gridCol w:w="26"/>
        <w:gridCol w:w="6387"/>
        <w:gridCol w:w="109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80" w:type="dxa"/>
            <w:gridSpan w:val="10"/>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32"/>
                <w:szCs w:val="32"/>
                <w:lang w:val="en-US" w:eastAsia="zh-CN" w:bidi="ar"/>
              </w:rPr>
              <w:t>一、</w:t>
            </w:r>
            <w:r>
              <w:rPr>
                <w:rFonts w:hint="eastAsia" w:ascii="宋体" w:hAnsi="宋体" w:eastAsia="宋体" w:cs="宋体"/>
                <w:b/>
                <w:bCs/>
                <w:color w:val="auto"/>
                <w:kern w:val="0"/>
                <w:sz w:val="32"/>
                <w:szCs w:val="32"/>
                <w:lang w:bidi="ar"/>
              </w:rPr>
              <w:t>三楼：全彩高清LED屏系统设备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28" w:type="dxa"/>
            <w:gridSpan w:val="2"/>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室内P1.538全彩系列</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一、单元板技术参数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1.像数点间距 1.538mm 像素密度 422500Dots/㎡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2.像素构成 1R1G1B 灯管封装 1212/1010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3.尺寸(长*宽*厚) 320*160*15mm 重量 0.52kg±0.01kg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4.结构特点 灯驱合一 单元板分辨率 208*104=21632Dots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5.输入电压(直流) 4.2±0.1V 最大电流 ≤5A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6.单元板功率 ≤25W 驱动方式 1/52恒流驱动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7.40A电源带单元板数 6张 80A电源带单元板数 12张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二、箱体技术参数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1.箱体规格(长*宽*厚) 640*480*80mm（厚度含模组、箱体）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2.箱体分辨率 416*312=129792 Dots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3.箱体面积 0.307㎡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4.箱体重量 9.7kg±0.05 kg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5.最大功耗（单元板功率*一个箱体的单元板个数） ≤178W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6.平均功耗（最大功率的1/3） ≤59W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7.配电功率(电源利用率78%即最大功率÷78%) ≤228W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8.亮度 ≥500cd/㎡ 亮度均匀性 ＞0.95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9.屏幕水平视角 140±10度 屏幕垂直视角 130±10度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10.最佳视距 ≥1.6m 使用环境 室内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11.每平方单元板最大功率 ≤580W/㎡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12.配电功率（每平方最大功率÷78%÷85%） ≤875W/m2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13.灰度等级 红、绿、蓝各14bits 显示颜色 43980亿种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14.换帧频率 ≥60帧/秒 刷新频率 ≥3840Hz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15.控制方式 计算机控制，逐点一一对应，视频同步，实时显示 亮度调节 256级手动/自动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16.输入信号 DVI/VGA，视频(多种制式)RGBHV、复合视频信号、S-VIDEO YpbPr(HDTV)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17.使用寿命 ≥10万小时 平均无故障时间 ≥1万小时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18.衰减率(工作3年) ≤15％ 连续失控点 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19.离散失控点 ＜0.0001，出厂时为0 盲点率 ＜0.0003，出厂时为0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20.工作温度范围 -20-40℃ 工作湿度范围 10％-65％RH(无结露)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21.防护性能 超温/过载/掉电/图像补偿/各种校正技术/过流/过压/防雷(可选项)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22.屏幕水平平整度 ＜1mm/㎡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23.屏幕垂直平整度 ＜1mm/㎡ </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7.885</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平板电脑</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1.屏幕尺寸：10.1英寸</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2.屏幕材质：IPS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3.分辨率：1920x1200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4.支持多点触控，全贴合电容触摸屏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5.Kirin659，8 Core A53，4*2.36 GHz+4*1.7GHz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6.机身内存（ROM）：16 GB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7.运行内存（RAM）：2 GB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8.IEEE 802.11 b/g/n@2.4 GHz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9.IEEE 802.11 a/n/ac@5GHz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10.锂聚合物电池容量：典型值：5100mAh，额定值：4980mAh</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PoE</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11.工作温度：0℃~35℃（32℉～95℉）</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12.存储温度：–20℃~45℃（–4℉～113℉）</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13.工作湿度：5%～95%，非凝结</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14.Touch尺寸：39.1mm x 182mm x 275.3mm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15.包装尺寸：127mm x 236mm x 341mm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16.净重: 0.907Kg 毛重: 2.1Kg</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17.CCC、CE、无线电型号核准证书</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办公平板</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1.65寸4K60fps触控屏、8米48KHz拾音阵列MIC、4扬声器于一体；</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2.RAM 8G，Flash 64G，安卓操作系统，可扩展ops的Windows系统；</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3.4K柔光屏:光学防蓝光/专业色彩校准/环境光自适应；</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4.变屏:一碰投屏/隐私保护/手机画面反向控制/投影码、投屏器、DLNA投屏；智绘妙笔：</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5.自研笔迹追踪算法/智能识别/扫码带走；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6.企业级安全信任：云、管、端、芯全链路保护/CCRC高安全等级认证</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7.无缝0贴合触控屏幕，莫氏7级硬度，90%NTSC高色域，178度可视角度，</w:t>
            </w:r>
            <w:r>
              <w:rPr>
                <w:rFonts w:hint="eastAsia" w:ascii="宋体" w:hAnsi="宋体" w:eastAsia="宋体" w:cs="宋体"/>
                <w:color w:val="auto"/>
                <w:kern w:val="0"/>
                <w:sz w:val="20"/>
                <w:szCs w:val="20"/>
                <w:highlight w:val="none"/>
                <w:lang w:bidi="ar"/>
              </w:rPr>
              <w:t>应用商城100+适配应用等。（标配2支手写笔）</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挂墙支架</w:t>
            </w:r>
          </w:p>
        </w:tc>
        <w:tc>
          <w:tcPr>
            <w:tcW w:w="6387"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国标定制</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无线投屏器</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 媒体转换单元-USB-3840*2160-1.5W-5V-中英文-无线投屏器</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电脑模块</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配置板模块-OPS-IdeaHub Series OPS I5-OPS(I5-8500,16DDR4,256G SSD,4K60,windows10)</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接收卡</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1、支持逐点亮色度校正，配合软件和相机，对每个灯点的亮度和色度进行校正。</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2、支持快速亮暗线调节，用来消除灯板与灯板、箱体与箱体之间的缝隙。</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3、支持3D 功能，配合支持 3D 功能的控制器，,开启 3D 功能，设置 3D 参数， 使显示屏播放画面显示 3D 效果。</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4、超大带载：自带8个HUB75接口，最大支持带载128×512；</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5、支持Mapping 功能，启用 Mapping 功能后，目标箱体上会显示接收卡编号和网口信息，可以清晰获取接收卡的位置和走线方式。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6、支持接收卡预存画面设置，可以将指定图片设置为显示屏的开机画面、网线断开或无视频源信号时的画面。</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7、支持温度和电压监测，可以监测自身的温度和电压，无需其他外设，在软件端可以查看接收卡的温度和电压。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8、支持液晶模块， 5pin 液晶模块用于显示接收卡的温度、电压、单次运行时间和总运行时间。</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9、误码率监测，配合 LCT软件，接收卡之间通讯时，监测传输链路上的数据丢包情况。</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10、支持固件程序回读，在 LCT软件上可以回读接收卡的固件程序并保存到本地。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11、支持配置参数回读，在 LCT软件 上可以回读接收卡配置参数并保存到本地。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12、通过主备冗余机制增加接收卡串联的可靠性。主备串联线路中，当其中一条线路出现故障时，另一条线路会即时工作，保证显示屏正常工作。</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13、支持通过 LCT 软件在接收卡上保存两份接收卡配置参数，其中一份作为备份参数。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14、接收卡支持出厂时保存了两份应用程序，以防程序更新异常导致的升级卡死。</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30.00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全彩屏管理控制系统软件</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支持通用窗口，打折窗口，多种视频格式、图片、动画、Office文件、文字、时钟、走马灯、天气、计时、温湿度、流媒体、网页、采集卡、摄像头、Rss简讯等内容；</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2.丰富的媒体属性：包括透明、背景颜色、背景图片、透明度、音量、显示比例、出入场特效、特效速度、文字颜色、炫彩效果、字体、风格等；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 支持应用模板，可直接载用，也可以自定义模板，模板中可灵活设置窗口数量，坐标，数量，页面支持一个或多个窗口同时显示；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 支持多个窗口个数不同的页面按次数或播放时长切换播放，且切换过程平滑无黑帧；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 可设置不同的日期和时间播放不同的节目页；</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 可实现多台异地显示屏同步播放；</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 支持两种播放模式，本机播放和异步播放，用户可根据使用环境切换至所需模式；投标时提供软件功能截图；</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✱为保证投标软件的专业性和权威性，投标时提供LED显示屏控制软件和播放软件计算机软件著作权证书，并加盖厂家鲜章；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✱控制系统软件支持画面控制，可实现正常显示，画面黑屏，冻结，测试画面，通道切换特效等功能，实现对屏体的显示控制，投标时提供符合CMA认证的软件检测报告，并加盖厂家鲜章；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✱控制系统软件支持对输入分辨率的调节，可按照屏体调节预设分辨率和自定义分辨率，实现对信号源分辨率的控制，投标时提供符合CMA认证的软件检测报告，并加盖厂家鲜章；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✱系统软件支持配置信息管理，可通过文件配置信息导出导入对应参数，实现参数信息的导入和备份，投标时提供符合CMA认证的控制器嵌入式软件检测报告，并加盖厂家鲜章；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✱系统软件满足多用户模式登录，高级用户登录可实现对屏体参数调节，演示模式可实现软件功能的演示操作，方便用户多模式选择登录，投标时提供符合CMA认证的控制器嵌入式软件检测报告，并加盖厂家鲜章；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✱系统软件支持多屏管理，可实现将单个屏幕进行组合管理，投标时提供符合CMA认证的控制器嵌入式软件检测报告，并加盖厂家鲜章；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✱系统软件支持多批次调节，可以将不同批次灯板通过调节显示达到均衡，投标时提供符合CMA认证的控制器嵌入式软件检测报告，并加盖厂家鲜章；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✱系统软件支持快速调节亮暗线功能，可快速将箱子合并后产生的不同亮度调节均衡，投标时提供符合CMA认证的控制器嵌入式软件检测报告，并加盖厂家鲜章；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✱支持添加温湿度窗口，可将窗口边框，温度，显示字体，颜色以及温湿度播放属性进行设置调整和播放，投标时提供符合CMA认证的温度探测器嵌入式软件检测报告，并加盖厂家鲜章；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✱系统可多平台运行，投标时提供国产麒麟操作系统认证证书复印件，并加盖厂家鲜章；</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LED显示屏电源</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1.输入电压：200-240Vac,40-63Hz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2.输出电流：40A/输出电压：4.5V</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3.泄漏电流：&lt;1ma（Vin：230）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4.保护功能：输入欠压；过载保护；短路保护</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5.工作温度：-30~50℃/储存温度：-40~80℃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6.功率因数：0.50@230Vac</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7.绝缘电压：I/P-O/P:3.0KVac;I/P-FG:1.5KVac;O/P-FG:0.5KVac</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8.纹波及噪声：≤150mV</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9.能效效率转换≥90%</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60.00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视频处理器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设备采用2U金属结构机箱，外壳防护等级符合《GB/T4208-2017》中IP20标准要求，机箱采用精密数控折弯及模具冲压成型，通过激光切割保证加工精度及成型质量；零部件间通过拉铆及螺钉紧固，保证主体强度。（提供CMA、CAL、CNAS、ILAC-MRA认可的公安部检验报告）</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设备前面板内嵌3.5英寸IPS液晶屏，采用LED背光设计，分辨率高达320×480，无需连接额外的电脑和软件，在设备端即可实时查看监控设备运行参数与状态，方便快捷。（提供CMA、CAL、CNAS、ILAC-MRA认可的公安部检验报告）</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3、支持通过设备前面板液晶，上电显示开机LOGO，并实时查看设备名称、设备接口连接状态、运行状态（温度、电压、风扇），以及IP地址。（提供CMA、CAL、CNAS、ILAC-MRA认可的公安部检验报告）</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卓越的可维护性设计，支持输入板卡、输出板卡、预监板卡的热插拔功能，设备无需关机重启和设置，更换板卡后快速恢复之前图层数据，保证画面正常播放，可实现板卡灵活更换，维护便捷。（提供CMA、CAL、CNAS、ILAC-MRA认可的公安部检验报告）</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5、卓越的散热系统设计，采用左进右出的强制风冷循环模式，在环境温度45℃下，可保证设备长期稳定运转。</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6、设备具备输入板卡、输出板卡、预监板卡、主控板卡， 均采用插卡式设计，同时内置数据交换背板，支持设备温度、电压、风扇在线状态监测。（提供CMA、CAL、CNAS、ILAC-MRA认可的公安部检验报告）</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7、单台设备最大支持12路HDMI或DVI输入和32路网口输出+4路10G光口输出（或40路网口输出）或16路HDMI、DVI输入和8路HDMI、DVI输出。（提供CMA、CAL、CNAS、ILAC-MRA认可的公安部检验报告）</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8、单个二合一网口输出卡最大输出视频分辨率为5120 x 2048或10240 x 972,带载宽度和高度最大可达10240，单台设备最多可接入2张二合一网口输出卡。（提供CMA、CAL、CNAS、ILAC-MRA认可的公安部检验报告）</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9、支持将预监板卡槽位复用为输入板卡槽位，可灵活扩展输入板卡数量，无需修改固件可自适应识别板卡类型并完成智能参数配置。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10、支持通过内嵌BS拼接器配置软件，在线完成固件升级，固件版本智能向前兼容，升级过程安全、稳定、快速，成功率高达100%，且可实时刷新显示设备及各板卡的固件版本信息，便于现场快速确认升级结果。</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11，支持屏幕非规则建屏，且可实现单卡单接口建屏，单卡最大支持创建4个屏幕，单台设备最大支持创建高达8个屏幕。</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12，支持自检功能：包括：运行情况，CPU，EMMC，交叉点通讯，内存，电压，温度等状态；（提供CMA、CAL、CNAS、ILAC-MRA认可的公安部检验报告）</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11</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控制管理电脑</w:t>
            </w:r>
          </w:p>
        </w:tc>
        <w:tc>
          <w:tcPr>
            <w:tcW w:w="6387" w:type="dxa"/>
            <w:vAlign w:val="center"/>
          </w:tcPr>
          <w:p>
            <w:pPr>
              <w:keepNext w:val="0"/>
              <w:keepLines w:val="0"/>
              <w:widowControl/>
              <w:numPr>
                <w:ilvl w:val="0"/>
                <w:numId w:val="4"/>
              </w:numPr>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参数要求：</w:t>
            </w:r>
          </w:p>
          <w:p>
            <w:pPr>
              <w:keepNext w:val="0"/>
              <w:keepLines w:val="0"/>
              <w:widowControl/>
              <w:numPr>
                <w:ilvl w:val="0"/>
                <w:numId w:val="5"/>
              </w:numPr>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CPU：英特尔I5-10400及以上，主频≥2.9G GHz，缓存≥12M ；</w:t>
            </w:r>
          </w:p>
          <w:p>
            <w:pPr>
              <w:keepNext w:val="0"/>
              <w:keepLines w:val="0"/>
              <w:widowControl/>
              <w:numPr>
                <w:ilvl w:val="0"/>
                <w:numId w:val="5"/>
              </w:numPr>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内存：≥8G DDR4 2400MHz内存，不少于2个DIMM插槽；</w:t>
            </w:r>
          </w:p>
          <w:p>
            <w:pPr>
              <w:keepNext w:val="0"/>
              <w:keepLines w:val="0"/>
              <w:widowControl/>
              <w:numPr>
                <w:ilvl w:val="0"/>
                <w:numId w:val="5"/>
              </w:numPr>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硬盘：≥1T机械硬盘+128固态硬盘，带硬盘减震设计，支持双硬盘；</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★4、主板：Intel B365N及以上芯片组,与主机同品牌；扩展≥1个PCI-E*16、≥2个PCI-E*1、≥1个PCI；不占用扩展插槽或增加外设，扩展第二串口和并口；主板集成10/100M/1000M 自适应以太网卡，可配备同品牌网络防雷器，防雷器通过权威部门检测认可，提供省级以上检测机构出具的相关检测报告（加盖厂家公章）。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5、光驱：无 6、显卡：2G独立显卡；        7、显示器：≥21.5寸LED显示器，分辨率≥1920*1080，显示器具有低蓝光功能，保护用眼安全。8、键鼠：USB光电鼠标、键盘，键盘防水且自带导水孔；9、机箱：顶置电源开关，机箱侧板、硬盘、光驱、扩展卡免工具拆卸，机型体积不大于15L; ≥8个USB接口，至少5个原生 USB3.0接口，整机防尘等级不低于国际标准IP5X级；10、电源：≥200W节能电源；二、软件功能要求：1）所有功能基于Windows平台，一键同传；方便操作主板集成硬盘保护，增量传输功能，具备断线提示、断点续传功能，支持动态显示网络故障点；2）出厂预安装Windows 10 home正版操作系统，操作系统不接受开机二次安装，需体现在装箱清单内。三、质量和服务保证：1、★投标产品具有3C认证、节能认证；2、★投标产品具备省级以上检测机构出具的平均无故障时间（MTBF）≥950000小时认证；所投产品制造厂商通过ISO50001能源管理体系认证证书3、★为保障投标产品的质量及售后服务，投标人如非生产厂家，供货时需提供原厂针对本项目的供货证明和售后服务承诺函原件。★四、售后服务：原厂3年免费保修服务,下1自然日上门修复（节假日不休），免人力＋部件费用,所有部件均为电脑原厂部件。</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室内LED屏幕固定钢结构</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1、专业工程定制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2、包含定制边框</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8.40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13</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一键启动配电箱</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主要功能：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1.含主控开关 、分路控制开关 、接地端子等控制元件。                                        2.含配电柜 、：配电柜应具有分步启动过流 ﹑过压保护功能 ；具有防腐 、防锈、防尘的功能 ；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3.采用一键启动功能 ，操用安全 ，方便，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4.电气防护具有过流 、短路、断路、过压等保护措施,</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28"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14</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系统集成</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包含整个项目的硬件集成、软件集成、数据和信息集成、技术与管理集成。将LED屏幕、</w:t>
            </w:r>
            <w:r>
              <w:rPr>
                <w:rFonts w:hint="eastAsia" w:ascii="宋体" w:hAnsi="宋体" w:eastAsia="宋体" w:cs="宋体"/>
                <w:color w:val="auto"/>
                <w:kern w:val="0"/>
                <w:sz w:val="20"/>
                <w:szCs w:val="20"/>
                <w:highlight w:val="none"/>
                <w:lang w:bidi="ar"/>
              </w:rPr>
              <w:t>音响系统、数字会议系统等</w:t>
            </w:r>
            <w:r>
              <w:rPr>
                <w:rFonts w:hint="eastAsia" w:ascii="宋体" w:hAnsi="宋体" w:eastAsia="宋体" w:cs="宋体"/>
                <w:color w:val="auto"/>
                <w:kern w:val="0"/>
                <w:sz w:val="20"/>
                <w:szCs w:val="20"/>
                <w:lang w:bidi="ar"/>
              </w:rPr>
              <w:t>不同设备集成到相互关联的统一和协调的系统之中，实现集中高效便捷便利的管理。</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1.00 </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40" w:hRule="atLeast"/>
        </w:trPr>
        <w:tc>
          <w:tcPr>
            <w:tcW w:w="9878" w:type="dxa"/>
            <w:gridSpan w:val="9"/>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36"/>
                <w:szCs w:val="36"/>
                <w:lang w:bidi="ar"/>
              </w:rPr>
            </w:pPr>
            <w:r>
              <w:rPr>
                <w:rFonts w:hint="eastAsia" w:ascii="宋体" w:hAnsi="宋体" w:eastAsia="宋体" w:cs="宋体"/>
                <w:b/>
                <w:bCs/>
                <w:color w:val="auto"/>
                <w:kern w:val="0"/>
                <w:sz w:val="32"/>
                <w:szCs w:val="32"/>
                <w:lang w:val="en-US" w:eastAsia="zh-CN" w:bidi="ar"/>
              </w:rPr>
              <w:t>二、</w:t>
            </w:r>
            <w:r>
              <w:rPr>
                <w:rFonts w:hint="eastAsia" w:ascii="宋体" w:hAnsi="宋体" w:eastAsia="宋体" w:cs="宋体"/>
                <w:b/>
                <w:bCs/>
                <w:color w:val="auto"/>
                <w:kern w:val="0"/>
                <w:sz w:val="32"/>
                <w:szCs w:val="32"/>
                <w:lang w:bidi="ar"/>
              </w:rPr>
              <w:t>三楼：专业音响、扩声、数字会议系统设备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40"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0"/>
                <w:szCs w:val="20"/>
                <w:lang w:bidi="ar"/>
              </w:rPr>
              <w:t>序号</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0"/>
                <w:szCs w:val="20"/>
                <w:lang w:bidi="ar"/>
              </w:rPr>
              <w:t>名称</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97"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全频扬声器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可选性：垂直覆盖 : 20度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均衡 : 音乐(平坦) / 语言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★抽头设置 : 70V/100V : 60W多抽头，8欧姆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★频率响应(-10dB) : 80Hz-20kHz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★灵敏度：(SPL @1m) : 93dB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★功率(低阻) : 150W ，峰值功率：500W</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★最大声压级 : 115dB(峰值121dB)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★覆盖控制频率(±20度) : 1500HZ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安装 : 10个M6吊挂点，包含墙装支架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尺寸 : 528 x 99 x 153 mm(20.8 x 3.9 x 6.0 in)</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56"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专业功率放大器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全新设计的Class-D功放引擎驱动，使用PLL技术实时控制转换特性轻质且稳定可靠，高品质清晰声音输出。                                                                                                                      ★功放模式：15种模式类型可供选择，具有灵活的板载PEQ、分频、滤波器、延迟和限制器等功能，通过LCD屏幕即可快速便捷地进行系统设置，基础模式甚至能够让零经验的用户根据自己的需求轻松配置系统，而高级模式为有经验的用户提供了更多用于声音各方面的精确控制预设</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★面板设置：通过USB传输监听数据，简单、直观的设置放大器的状态和通过USB传送数据的操作更为快速和便捷，                                                                                             ★内部设备和日志数据导出至USB闪存，可用于发生问题时的快速检测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★8种用户预设：具备8个可编程预设可被保存至USB驱动并与功放分享。</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★具有面板锁定功能，确保您的设置安全。                                                                                                              延迟：1.5 msec（模拟输入至扬声器）                                                                                                                                       输出功率8Ω:500W×2 、4Ω:850W×2</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信噪比:101dB (A记权, 8Ω, 增益设置 = +14dBu)                                                                                                                                            ★串扰：小于 -60dB                                                                                                                                             A/D D/A 转换器：AD/DA：24位线性，128 倍超采样 ,                                                                                                          频率响应:20Hz-20kHz,                                                                                                                                   功放类型：D类，平衡输出电路（BTL）                                                                                                                                                                                                                                       最大输入电压：+24dBu                                                                                                                              ★总谐波失真:0.1% (1kHz, 10W), 0.3% (1kHz, 半功率)                                                                                                                                                                                                                                                                                                         信号处理：输入总和D-CONTOUR（FOH/MAIN，MONITOR，OFF）；Delay（0 - 74msec）；HPF/LPF（截止频率20Hz~20kHz，带极性控制）； 扬声器处理器（6段PEQ+限制器+延迟）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★提供生产厂商设备针对本项目的授权书原件、供货证明原件和售后服务承诺书原件。                                                                      ★提供生产厂商ISO 9001:2008环境资质证书                                                                                                                                                                                                                                                              ★为保证当地快速的售后服务及货物质量保障，投标单位必须提供YAMAHA厂家授权书复印件，原件备查</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95"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数字控制调音台</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16通道调音台：最多10个话筒 / 16 个线路输入 (8 个单声道 + 4 个立体声) / 4 编组母线 + 1 立体声母线 / 4 AUX (包括 FX)</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★最多10个话筒 / 16个线路输入 (8个单声道 + 4个立体声)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★4编组母线 + 1立体声母线 ，4 AUX (包括FX)</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★“D-PRE”话放，带有倒向晶体管电路。</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★单旋钮压缩器，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★24-bit/192kHz 2进/2出 USB音频功能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★通过Apple iPad Camera Connection Kit / Lightning to USB Camera Adapter (连接适配器)与iPad (2或更高版本) 连接工作</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音频处理器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1、2进6出DSP音箱处理器、数字处理包括：增益、极性转换、参量均衡器棚架滤波器、时间延时、分频功能、压缩、限制和信号路由.</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立体声反馈抑制器2×12组快速跟踪陷波滤波器</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3、双28段图示均衡器经典的压缩器</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4、120A分谐波合成器</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5、2×3，2×4，2×5，2×6分频组合选择</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6、立体声多段参数均衡器</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7、立体声输出限幅器，音箱微调延时</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8、粉红噪声发生器</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9、Auto-EQ自动房间均衡补偿</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10、25个工厂预置/25个用户设置程式记忆库</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11、RTA-M实时频谱分析议话筒输入设于面板，带幻像供电</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12、24－Bit A/D转换器提供大于110dB的动态范围</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★供应商提供国家标准化管理委员会颁发的数字会议系统采用国际标准产品标志证书复印件（加盖生产企业公章）</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★产品具备ISO 9001:2008资质证书、产品具备高新企业资格证书。</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★生产厂家供应商提供生产厂商针对本项目的授权书原件、供货证明原件和售后服务承诺书原件。</w:t>
            </w:r>
          </w:p>
          <w:p>
            <w:pPr>
              <w:keepNext w:val="0"/>
              <w:keepLines w:val="0"/>
              <w:widowControl/>
              <w:numPr>
                <w:ilvl w:val="0"/>
                <w:numId w:val="6"/>
              </w:numPr>
              <w:suppressLineNumbers w:val="0"/>
              <w:spacing w:before="0" w:beforeAutospacing="0" w:afterAutospacing="0"/>
              <w:ind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★为保证当地快速的售后服务及货物质量保障，投标单位必须提供证明是本产品厂家授权经销商证书，原件备查。</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318"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数字反馈抑制器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1.会议系统中防啸叫的完美解决方案,线路内部采用了五段参量均衡和数字移频两重防啸叫技术，有效提高话筒的拾音距离，使话筒增益提高到5～14dB.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★特征1：内置ALC功能，放大信号失真小。用增益调整功能来提高设计自由度。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带有ALC功能，很容易控制过大信号的输入，并且放大的信号失真小。另外可以自由调整限幅电平 (过输入信号时的限制电平)和麦克风增益，根据配备设备可以任意设定。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★特征2：通过低输入噪声电压和设定高增益，为提高音质做贡献。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 麦克风放大器可以接收微小音声信号来进行放大。需要很高S/N比例的放大信号。NJM2783可以实现低输出噪声电压和高增益，可以达到100db以上的の高S/N比。故此可以大幅度的提高设备的音质。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技术参数：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1、话筒和线路输入移频效果切换开关选择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2、会议系统本地喇叭实现独立效果连接口(EFX)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★3、移频量：5 Hz±1 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★4、传声增益提升量5-14 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5、线路输入阻抗≥5KΩ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★6、线路输出阻抗≤600Ω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7、频率响应：非移频状态20 Hz-20K 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             移频状态150 Hz-15K 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8、工作电源电压    2.7～13V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9、单声道麦克风放大器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★10、配有Auto Level Control(ALC)功能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11、用外部元件可以来调节增益 (+20～63dB)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12、用外部元件来调整限幅电平 (200mVrms～2Vrms)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13、增益切换可能:0dB/20dB]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14、内置缓冲器放大器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15、低输入噪声电压:1μVrms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★供应商提供国家标准化管理委员会颁发的数字会议系统采用国际标准产品标志证书复印件（加盖生产企业公章）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★产品具备ISO 9001:2008资质证书、产品具备高新企业资格证书。</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★生产厂家供应商提供生产厂商针对本项目的授权书原件、供货证明原件和售后服务承诺书原件。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★为保证当地快速的售后服务及货物质量保障，投标单位必须提供证明是本产品厂家授权经销商证书，原件备查。</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423"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无线头戴话筒</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★配备有UniGuard® - 射频干扰(RFI)屏敝技术,符合RoHS规格</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★外壳上的一个隐藏的小型开关 UniSteep® ，可设定 80 Hz 高通滤波及平直回应。</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元件:固定充电背板，静电型电容式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★指向性:超心形单指向性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★频率响应:35-20,000 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★高通滤波:90 Hz, 18 dB/octave</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★开路灵敏度:-37 dB (14.1 mV) 以 1V 于 1 Pa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阻抗:250 欧姆</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★最大输入声压级:141 dB 声压, 1 kHz 于 1% T.H.D.</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动态范围 (典型值):112 dB, 1 kHz 于最高声压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信噪比:68 dB, 1 kHz 于 1Pa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★开关:平直，高通滤波</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幻像电源:直流 11-52V DC, 耗电 4 mA 典型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重量:135 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尺寸:457.2 mm - 长, 8.4 mm - 收音头直径, 18.9 mm - 底部直径</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输出端子:内置式3针卡农公头</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标配:AT8109 双层式防风海棉罩</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315"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数字无线讨论主机</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一、系统描述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本系统是一套工作于UHF频段的无线会议系统，全数字控制，具多种发言模式，可与视像主机连接实现视像跟踪功能。列席单元供电可使用普通电池，也可使用充电锂电池，既方便又环保。本系统操作简便、免工程安装、经济实用，是会议工程的首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1.1功能特点</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l采用FM调频实现声音信号传输，高保真，信噪比高，无声音延时。使用独有的新型防啸叫单指向高灵敏度电容咪芯，使会议声音几近完美。</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l音频信道和控制信道皆采用无线方式传送，无需铺设电缆，信号覆盖范园内可任意移动，使会场布置便捷灵活。</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l针对会议应用独立研发的数据通信算法，使信号范围内，系统响应速度不受列席单元多少影响。用户可灵活增减列席单元。出厂默认的系统列席单元容量为≦255个（含1主席)。</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l具有轮替1-2-3-4、限制1-2-3-4、主席专有多种会议发言模式，主控机可外接视像主机，实现会场列席单元的视像跟踪功能。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l超低功耗，列席单元大于8小时的连续发言时间和大于20小时的待机时间；配套的充电箱具有智能充电管理电路，有效保护电池，延长电池使用寿命和确保安全。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l大屏幕LCD显示。分级菜单设计，使操作简明方便。且有诸多如电量显示和欠压警告，频率信道和信号指示等功能。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l主控工采用全金属结构设计，庄重大方；列席单元采用工程塑料材质加上新颖的外型设计，内置天线，美观得体。</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l主控机带USB录音/播音模块，可实现USB录音/播音功能，亦可以通过蓝牙连接第三方蓝牙设备，并同步播放第三方蓝牙设备的音乐。</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1.2主控机技术指标：</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u电源输入：DC12V-15V，≧1A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u消耗功率：&lt; 7W</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u工作温度 -10℃ -- 40℃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u主控机尺寸（W×H×D）：485mm×100mm（2U，包括机箱脚垫）×355mm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u主控机重量：7.2 kg</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l音频信道</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u通信方式：UHF无线方式（单向）</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u信道数：5路（1主席单元通路，4代表单元通路）</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u频率范围：（频率段在500MHz --- 950MHz范围内可供选择）</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u解调方式：FM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u接收灵敏度：-100dBm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l控制信道</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u通信方式：UHF无线方式(双向）</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u信道数：16</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u频率范围：422.4MHz -- 438.4MHz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u调制方式：FSK</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u接收灵敏度：-100dBm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u辐射功率：≦+6dBm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u频率偏差：&lt;0.002</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u数据速率：100KBPS</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880"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大咪芯无线代表单元</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列席单元话筒技术指标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工作电源：DC 3.7V -- 4.5V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消耗功率： 待机≦360mW, 讲话状态≦630mW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工作温度  -10℃ --  40℃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咪杆长：400mm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尺寸（W×H×D）：170mm×5.8mm（不含咪杆）×120mm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重量：0.6 kg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音频信道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通信方式： UHF无线方式（单向）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信道数： 5路（1主席单元通路，4代表单元通路）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频率范围：（频率段在500MHz --- 950MHz 范围内可供选择）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调制方式：FM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最大调制量：60K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辐射功率：≦+9dBm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频率偏差：&lt;0.002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参考讲话距离：10cm--30cm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控制信道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通信方式：无线方式(双向）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信道数：16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频率范围：422.4MHz -- 438.4MHz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调制方式： FSK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接收灵敏度：-100dBm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辐射功率：≦+6dBm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频率偏差：&lt;0.002 </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060"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16位充电箱</w:t>
            </w:r>
          </w:p>
        </w:tc>
        <w:tc>
          <w:tcPr>
            <w:tcW w:w="6387" w:type="dxa"/>
            <w:vAlign w:val="center"/>
          </w:tcPr>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功率：200W</w:t>
            </w:r>
          </w:p>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2、充电位数：16位</w:t>
            </w:r>
          </w:p>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3、单位充电电流：700mA</w:t>
            </w:r>
          </w:p>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4、充电时间：约8小时</w:t>
            </w:r>
          </w:p>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5、状态指示：红灯闪动  - 充电中；绿灯 - 充电完成</w:t>
            </w:r>
          </w:p>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6、电源：110V-240V~50Hz/60Hz</w:t>
            </w:r>
          </w:p>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7、尺寸：620×370×175mm（拉杆可伸长380mm）</w:t>
            </w:r>
          </w:p>
          <w:p>
            <w:pPr>
              <w:keepNext w:val="0"/>
              <w:keepLines w:val="0"/>
              <w:widowControl/>
              <w:numPr>
                <w:ilvl w:val="0"/>
                <w:numId w:val="7"/>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8、重量：9kg (不含电池)</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26"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w:t>
            </w:r>
          </w:p>
        </w:tc>
        <w:tc>
          <w:tcPr>
            <w:tcW w:w="840" w:type="dxa"/>
            <w:gridSpan w:val="5"/>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8路电源时序器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8路大功率电源输出，一键控制电源时序动作，可选通电即启和手动功能，适合于音响工程，电视广播系统，电脑网络系统及电力设施等需要按秩序电源分配系统的场合</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能够按照由前级到后级逐个顺序启动设备，关闭供电电源时则由后级到前级的顺序关闭用电设备，这样就能够有效的统一管理控制各类用电设备，避免了人为地失误操作。确保了整个音响用电系统运行时的稳定性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★额定功率：3000W,总容量10A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★输出功率：，每路插座最大输出电流10A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重量：3.42KG</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规格（长*宽*高）mm ：1U 机箱425*265*48</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输入方式：3*2.5平方交流电源线，不带插头，与空气开关连接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输出方式：8路电源输出，标准通用三芯插座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功能：打开时由前级到后级逐个顺序启动，关闭时由后级到前级逐个顺序关闭，每路之间动作时间1.5秒</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36"/>
                <w:szCs w:val="36"/>
                <w:lang w:bidi="ar"/>
              </w:rPr>
            </w:pPr>
            <w:r>
              <w:rPr>
                <w:rFonts w:hint="eastAsia" w:ascii="宋体" w:hAnsi="宋体" w:eastAsia="宋体" w:cs="宋体"/>
                <w:b/>
                <w:bCs/>
                <w:color w:val="auto"/>
                <w:kern w:val="0"/>
                <w:sz w:val="32"/>
                <w:szCs w:val="32"/>
                <w:lang w:val="en-US" w:eastAsia="zh-CN" w:bidi="ar"/>
              </w:rPr>
              <w:t>三、</w:t>
            </w:r>
            <w:r>
              <w:rPr>
                <w:rFonts w:hint="eastAsia" w:ascii="宋体" w:hAnsi="宋体" w:eastAsia="宋体" w:cs="宋体"/>
                <w:b/>
                <w:bCs/>
                <w:color w:val="auto"/>
                <w:kern w:val="0"/>
                <w:sz w:val="32"/>
                <w:szCs w:val="32"/>
                <w:lang w:bidi="ar"/>
              </w:rPr>
              <w:t>三楼：远程音频视频会议设备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630" w:type="dxa"/>
            <w:gridSpan w:val="2"/>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5288"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一体化</w:t>
            </w:r>
          </w:p>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视频远程会议设备</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EagleEye IV 12倍光学镜头摄像头、博诣 IP 麦克风、电缆、蓝牙遥控器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视频标准和协议：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H.264 AVC、H.264 High Profile、H.264 SVC、H.265、RTV、H.239、H.264 视频差错消隐</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视频输入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HDCI</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HDMI</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USB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视频输出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 个 HDMI</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兼容触摸式显示器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人物视频分辨率</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自 2048 Kbps 起为 4K，30 fps (TX &amp;amp; RX)</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1740 Kbps 时 1080p 60 fps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1024 Kbps 时 1080p 30 fps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832 Kbps 时 720p 60 fps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512 Kbps 时 720p 30 fps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512 Kbps 时 4SIF/4CIF 60 fps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128 Kbps 时 4SIF/4CIF 30 fps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64 Kbps 时 SIF (352 x 240)、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64 kbps 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64 Kbps 时 QCIF (176 x 144)</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128 Kbps 时 w288p</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384 Kbps 时 w448</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512 Kbps 时 w576p</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内容视频分辨率</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输入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UHD (3840 x 2160)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HD (1920 x 1080p)</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WSXGA+ (1680 x 1050)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UXGA (1600 x 1200)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SXGA (1280 x 1024)</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WXGA (1280 x 768)</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HD (1280 x 720p)</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XGA (1024 x 768)</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SVGA (800 x 600)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输出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UHD (3840 x 2160)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WUXGA (1920 x 1200)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HD (1920 x 1080)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WSXGA+ (1680 x 1050)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SXGA+ (1400 x 1050)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SXGA (1280 x 1024)</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HD (1280 x 720)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XGA (1024 x 768)</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内容帧速</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5–60 fps（通话时，15 fps 下的分辨率最高达 4K）</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内容共享</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Content App 支持</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Apple Airplay</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Miracast</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HDMI 输入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音频输入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最多达 3 个 IP 麦克风阵列</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最多 4 个 Clink2 麦克风（使用 Poly 博诣麦克风 IP 适配器）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HDMI</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3.5 毫米立体声线路输入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音频输出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HDMI</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3.5 毫米立体声线路输出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其他接口</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 个 USB 3.0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USB-C*</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RS-232 8 针微型 DIN</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蓝牙 5.0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WiFi 802.11a/b/g/n/ac (MIMO) 多信道并发</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供将来使用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音频标准和协议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采用 Siren 22 技术的 22 kHz 带宽， G.719 （ M 模式）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采用 Siren 14 技术的 14 kHz 带宽， G.722.1 附录 C</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 kHz 带宽，采用 G.722、G.722.1</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3.4 kHz 带宽，采用 G.711、G.728、G.729A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网络</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支持 IPv4</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个 10/100/1G 以太网端口</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自动 MDIX</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 个 10/100/1G LLN，支持 POE+/PSE</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H.323 和/或高达 6Mbps 的 SIP</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丢包恢复（ LPR ）技术</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动态带宽分配</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MTU值可调</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RS232，支持 REST 和 CLI API</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支持网络代理 — Basic、Digest 和 NTLM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简单证书注册协议 (SCEP)</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安全性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媒体加密（H.323、SIP）：AES-128、AES-256</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支持 H.235.6</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授权访问管理员菜单、Web 界面和 API</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PKI/证书管理：</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TLS 1.2、1.1、1.0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支持自签名证书和 CA 签署式证书</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基于 CRL 和 OCSP 的证书吊销检查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本地帐户密码策略配置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安全配置文件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本地帐户和登录端口锁定</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安全默认值</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支持 TLS 的远程日志记录</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Active Directory 外部身份验证</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31"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系统集成、</w:t>
            </w:r>
          </w:p>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远端联调</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1.与外置设备的连接调试：如功放音响、屏幕等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2.网络调试</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3.系统整体调试</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36"/>
                <w:szCs w:val="36"/>
                <w:lang w:bidi="ar"/>
              </w:rPr>
            </w:pPr>
            <w:r>
              <w:rPr>
                <w:rFonts w:hint="eastAsia" w:ascii="宋体" w:hAnsi="宋体" w:eastAsia="宋体" w:cs="宋体"/>
                <w:b/>
                <w:bCs/>
                <w:color w:val="auto"/>
                <w:kern w:val="0"/>
                <w:sz w:val="32"/>
                <w:szCs w:val="32"/>
                <w:lang w:val="en-US" w:eastAsia="zh-CN" w:bidi="ar"/>
              </w:rPr>
              <w:t>四、</w:t>
            </w:r>
            <w:r>
              <w:rPr>
                <w:rFonts w:hint="eastAsia" w:ascii="宋体" w:hAnsi="宋体" w:eastAsia="宋体" w:cs="宋体"/>
                <w:b/>
                <w:bCs/>
                <w:color w:val="auto"/>
                <w:kern w:val="0"/>
                <w:sz w:val="32"/>
                <w:szCs w:val="32"/>
                <w:lang w:bidi="ar"/>
              </w:rPr>
              <w:t>三楼：无纸化会议系统设备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30" w:type="dxa"/>
            <w:gridSpan w:val="2"/>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44"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无纸化应用服务器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1、1U机架式服务器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2、Intel Xeon Processor E3-1230V3 3.3GHz 8M/80W</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3、8G/DDR4/2133或2400或2666MHzMHz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4、1TB企业硬盘3.5寸 7200RPM SATA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5、全汉单电550W</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6、C2907-660上架导轨套件</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976"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无纸化应用系统</w:t>
            </w:r>
          </w:p>
        </w:tc>
        <w:tc>
          <w:tcPr>
            <w:tcW w:w="6387" w:type="dxa"/>
            <w:vAlign w:val="center"/>
          </w:tcPr>
          <w:p>
            <w:pPr>
              <w:keepNext w:val="0"/>
              <w:keepLines w:val="0"/>
              <w:widowControl/>
              <w:numPr>
                <w:ilvl w:val="0"/>
                <w:numId w:val="8"/>
              </w:numPr>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运行环境：基于CS架构+BS运用，经我方确认后可接入第三方软件协同运行，支持一键切换系统语言，如中文简体、繁体字、英文、法文等，软件界面分辨率：1920*1080；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安全与保密：操作系统密码作为第一级安全防护。会议开始时参会人员输入密码（可定制指纹输入、刷卡、刷脸）后进入系统召开会议。会后资料整理支持输入密码进行二次验证确认，对重要文件可设置阅后即焚；</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跟据会议需求设置终端软件功能模块及参会人权限；包括会议签到（可设置免签到）、个性化呼叫服务、发起同屏、投影、会议信息及与会者信息查看、会议记录（word格式）、会议投票、上网服务、文件分发、电子白板（多人同享）、交流提示、文档资料导入导出等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4.支持导出会议模板及导入会议模板实现快速建会；</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★5.支持会议终端软件一键更新，并支持一键上传5级以上目录文件夹会议资料；</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★6.支持会场座位布局模式操作会议功能，操作可通过拖拽完成；</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★7.支持自定义终端显示模块，支持按用户需求显示/隐藏对应功能模块，支持按使用习惯排列功能模块所在的位置；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8.支持集中控制智能会议升降一体终端上升、下降、暂停，会议终端开机、关机、重启及应用软件开启、关闭、重启等等；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9.支持会议主持人为系统最高权限，对所有终端进行控制，强制统一打开某个会议文件进行投影或同步；强切投票界面、统计签到投票数据、更新人名显示、设备集中控制管理等高级功能；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10.主席功能：支持会议终端主席功能，支持单主席、双主席、多主席功能，主席具备发起签到、 系统自动签到、统一重置签到功能；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11.支持多会议管理功能，支持多会议室合并召开同一会议，支持分组召开不同会议，支持多会议预设，支持预先将不同会议按时间安排在不同会议室，支持按时间自动切换会议；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12.支持议题内加入文件夹，包含汇报人和汇报时间、保密权限、U盘下载权限开关等配置；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13.会议材料，支持设置文件为“可下载到 U 盘”或“不可下载”；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14.历史会议，可以输入关键词搜索历史记录，同时可以按照会议名称、会议室、开始时间、结束时间进行查询会议；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15.支持签到界面管理，可以随意修改签到界面的显示底图、字体及字体颜色、字体大小；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16.支持统一管理电子铭牌，可以根据需求修改铭牌的底图、字体及字体颜色、字体大小、显示位置等；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17.支持logo管理。支持自定义修改登录界面logo，及主界面logo；</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18.支持大屏锁屏功能，可以被控制息屏、亮屏、开机、关机、设备状态检测等操作。支持大屏默认显示底图修改；</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19.支持后台添加多组视频流，如rtsp/rtmp网络流，直接在终端视频服务内观看网络视频流；</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★20.支持配合发言系统实现语音转写；</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21.支持二次开发功能自定义及与办公OA系统对接，UI界面定制化等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★22.为了保障会议正常进行，避免会议中断异常，支持双机热备份技术。</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安全与保密：操作系统密码作为第一级安全防护。会议开始时参会人员输入密码（可定制指纹输入、刷卡、刷脸）后进入系统召开会议。会后资料整理支持输入密码进行二次验证确认，对重要文件可设置阅后即焚；（提供软件功能截图加盖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跟据会议需求设置终端软件功能模块及参会人权限；包括会议签到（可设置免签到）、个性化呼叫服务、发起同屏、投影、会议信息及与会者信息查看、会议记录（word格式）、会议投票、上网服务、文件分发、电子白板（多人同享）、交流提示、文档资料导入导出等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4.支持导出会议模板及导入会议模板实现快速建会；</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★5.支持会议终端软件一键更新，并支持一键上传5级以上目录文件夹会议资料；（提供软件功能截图加盖公章）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★6.支持会场座位布局模式操作会议功能，操作可通过拖拽完成；（提供软件功能截图加盖公章）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★7.支持自定义终端显示模块，支持按用户需求显示/隐藏对应功能模块，支持按使用习惯排列功能模块所在的位置；（提供软件功能截图加盖公章）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8.支持集中控制智能会议升降一体终端上升、下降、暂停，会议终端开机、关机、重启及应用软件开启、关闭、重启等等；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9.支持会议主持人为系统最高权限，对所有终端进行控制，强制统一打开某个会议文件进行投影或同步；强切投票界面、统计签到投票数据、更新人名显示、设备集中控制管理等高级功能；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10.主席功能：支持会议终端主席功能，支持单主席、双主席、多主席功能，主席具备发起签到、 系统自动签到、统一重置签到功能；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11.支持多会议管理功能，支持多会议室合并召开同一会议，支持分组召开不同会议，支持多会议预设，支持预先将不同会议按时间安排在不同会议室，支持按时间自动切换会议；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12.支持议题内加入文件夹，包含汇报人和汇报时间、保密权限、U盘下载权限开关等配置；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13.会议材料，支持设置文件为“可下载到 U 盘”或“不可下载”；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14.历史会议，可以输入关键词搜索历史记录，同时可以按照会议名称、会议室、开始时间、结束时间进行查询会议；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15.支持签到界面管理，可以随意修改签到界面的显示底图、字体及字体颜色、字体大小；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16.支持统一管理电子铭牌，可以根据需求修改铭牌的底图、字体及字体颜色、字体大小、显示位置等；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17.支持logo管理。支持自定义修改登录界面logo，及主界面logo；</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18.支持大屏锁屏功能，可以被控制息屏、亮屏、开机、关机、设备状态检测等操作。支持大屏默认显示底图修改；</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19.支持后台添加多组视频流，如rtsp/rtmp网络流，直接在终端视频服务内观看网络视频流；</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★20.支持配合发言系统实现语音转写；（提供软件功能截图加盖公章）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21.支持二次开发功能自定义及与办公OA系统对接，UI界面定制化等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★22.为了保障会议正常进行，避免会议中断异常，支持双机热备份技术。</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85"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超窄边液晶升降器</w:t>
            </w:r>
          </w:p>
        </w:tc>
        <w:tc>
          <w:tcPr>
            <w:tcW w:w="6387" w:type="dxa"/>
            <w:vAlign w:val="center"/>
          </w:tcPr>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外观尺寸： 413.2*59*580mm（长*宽*高）</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2、面板尺寸：430*70*3mm（长*宽*厚）</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3、开孔尺寸：415.2*61mm（建议实物开孔）(长*宽）</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4、屏幕尺寸：15.6寸，386.8x247.1mm（长*宽）</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5、屏幕比例：16:9</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6、屏幕分辨率：1920*1080</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7、背光类型：LED</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8、对比度：800:1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9、亮度：220</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10、屏幕边框宽度： 5mm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11、显示颜色： 262K( 6-bit)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12、黑白响应时间： 2-6ms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13、可视角度： 45/45/20/45( 左/右/上/下)</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14、采用10点触控投射式电容触摸屏/莫式7级，响应时间≤10ms</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15、信号接口：1路VGA输入、1路HDMI输入 2组RJ45（232/485）1路开/关机USB接口; 1路数据传输USB接口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16、升降时间： 28S</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17、后外壳： 铝合金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18、边缘厚度：≤=5mm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19、*仰角：0 -30°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20、电源供应：AC 220V/1.2A 50HAC/带电源环出</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21、电能消耗：&lt;40VA/台</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22、面板沉台尺寸：432*72*3(建议实物开孔） </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23、触控超薄高清显示屏及会议终端与升降器一体化设计，无外露连接线、无连接背板、无外露螺丝，保证升降显示触控屏整体美观大方。</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24、设备采用铝合金结构，优质铝材加上CNC精雕加工；宽度≤80mm；</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★25、智能会议升降一体终端，IPS视网膜高清屏；</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★26、支持≥2路视频输入，包括HDMI和VGA，当只有一路信号输入时，屏幕会自动识别信号，当两路信号同时输入时，可通过面板按键手动切换，当无信号输入时，屏幕自动进入省电模式。</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27、嵌入式转轴电动升降系统，自上而下顺装，具有电源保护功能，设备可通过中控及软件（232/485）协议进行分组或集中控制；</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28、桌面面板带USB接口，外接U盘临时上传会议文件或浏览文件并共享会议材料。</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29、面板配备单键升降控制按键。</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30、箱体配备屏幕控制按键。</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桌牌：</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尺寸：7英寸</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分辨率：1024(RGB)x600</w:t>
            </w:r>
          </w:p>
          <w:p>
            <w:pPr>
              <w:keepNext w:val="0"/>
              <w:keepLines w:val="0"/>
              <w:widowControl/>
              <w:numPr>
                <w:ilvl w:val="0"/>
                <w:numId w:val="9"/>
              </w:numPr>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其他内容：显示姓名/职务/单位名称/LOGO/会徽/会标等。</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04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无纸化客户端主机</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1.采用全新的框结构设计与全压铸工艺，外型沉稳大气、体积小巧、细节精致、轻薄机身却配备高端配置，支持多屏显示信号同时输出（HDMI、VGA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支持无纸化会议交互实现会议签到、个性化呼叫服务、发起同屏、投影、会议信息及与会者信息查看、会议记录（word格式）、会议投票、上网服务、文件分发、电子白板（多人同享）、交流提示、文档资料导入导出等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3.采用≥因特尔酷I5同等以上CPU，主频≥2.60Hz，内存≥4GB，硬盘≥60GB固态硬盘，window7操作系统，输出分辨率≥1920*1080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4.支持后台批量关机，批量网络唤醒方式开机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5.基本接口:VGA*1、HDMI*1、COM接口≥2、USB3.0*2、USB2.0*4、音频接口*1、RJ45*1</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6..功率： 60W  DC12V/5A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7..电源： AC220V 50/60HZ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8..材质:全钢结构+塑胶面板 </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无纸化客户端软件</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1.支持一键切换程序的界面背景、logo等信息.方便与会议主题相配合，比如会议参会单位主体不同时单位图标和企业UI视觉可导入更换；</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2．支持一键切换系统语言，如中文简体、繁体字、英文、法文等；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3．支持快速进入会议交流模块、会议材料、未读消息提示、等其他自定义功能；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4．支持双屏显示，副屏幕显示姓名/职务/单位名称/LOGO/会徽/会标等；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★5．支持直接在无纸化会议终端上进行手动签到,或者手写签到，并支持定制刷卡或指纹和人脸签到进入会议；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6．支持在会议终端上查看本次会议的参会人员以及其所坐的座位，真实的还原现场，并且显示签到情况、应到人数、实到人数；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7．支持会议议程以表格的形式将当前会议各项议程展现出来，并可以随时快速地查看对应议程的相关资料；</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8．支持查看文字资料、图片资料、视频资料等不同的会议资料，</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★9．文字材料支持原笔迹批注，常用文件格式Pdf、Word支持全文批注，批注文件自动上传致服务器原笔迹保存，并且在不同的设备登录，可自动同步；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10．支持图片材料手势移动、缩放、旋转、翻页；视频资料可点击播放；</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11．支持会议过程中参会人员可快速呼叫常用服务如茶水、笔、纸、毛巾等，也可自定义呼叫内容；</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12．支持匿名与实名制进行投票表决</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13．支持音视频会议文件投影申请到投影机或大屏幕与投影申请端同步显示；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14．支持参会人员可申请将自己的屏幕上的任意内容及音视频文件分享给其他的参会人，并支持外接U盘中音视频文件同屏给其他参会人，同屏端延时控制在毫秒以内，所有接收端音视频完全同步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15．支持在会议进行的过程中参会人之间可以进行点对点的文字、语音、文件等互动，并可选择一点对一点，一点对多点和群发。语言信息发布在会议终端桌面，只有对应的参会人使用蓝牙耳机才可以收听。文字和文件在会议终端打开查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16．支持参会人可点播观看实时视频和批注的文件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17．支持将直播视频窗口的实时视频任意拖动、放大、缩小、全屏，并可再次扔到原始窗口内.支持云摄像头联机将远端视频会议图像接入会场，支持外接电脑或笔记本HDMI信号到无纸化终端屏幕；</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18．支持同时观看多个视频文件，任意拖动窗口位置、缩放改变窗口大小、切换音频输出、双击单路全屏观看控制进度并可分享给其他参会人；窗口悬浮在桌面最上层，即可边看文档边观看视频，多层面多通道理解会议内容和对会议资料进行高效研判。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19．支持终端在电子白板讨论组内进行互动、多人对同一文档进行批注,使用橡皮擦/铅笔,清空白板,保存白板界面等功能；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20．支持会中u盘导入资料并分享给其他参会人观看,也可下载其他参会人分享的文件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21．支持客户端界面切换成window8以上版本的风格，更加清晰操作每一个功能；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22．支持悬浮按钮操作同屏、投影、打开记事本、进行批注、呼叫服务、打开软键盘、打开手写等功能；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23．会中可以对终端进行欢迎页面、会议信息、显示人名、会议标语等画面的切换</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24．支持对议题进行开启、结束等管理操作功能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★25．主持人可控制管理会议签到，控制签到开始、结束，支持统一签到、协助签到，可查看当前签到情况，签到过程结果实时投屏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★26．支持分组同屏功能，主席权限或秘书权限可指定某台终端的屏幕广播到其他一台或几台目标终端，支持4路不同的终端并发广播，提供同屏广播证书；</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27．具备计算器模块，支持界面弹出 Windows 系统计算器可进行简单运算</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28．支持投票：有隐私保护设置开关，允许每个表决终端的表决按键类似AB卷模式，相邻终端显示位置各不一样</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29．会议签到可以在会议安排界面，设置好会议开始时间，开始会议后，每台会议终端会出现签到界面，并且管理端可编辑签到界面的背景图片或颜色、字体格式、字体的大小、字体颜色、 签到按钮的颜色字体，签到界面的布局等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★30．会议帮助在客户端及管理端均有会议帮助，在不了解本软件的情况下，可以进入电子版的WORD 文档进行学习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31．在悬浮窗上显示个编号，发起同屏人和被同屏的区别</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★32．支持5级以上目录文件夹会议资料；</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★33．支持问卷调查，结果可在后台统计，可以智能统计每道题目、每个选项的投票数量，以及占比情况</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94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投屏一体化终端</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1、投影申请器此设备可自行将讲稿内容投影到教室大屏幕，或者由会议主持人管理后再投影。</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2、整机采用全铝外壳，防撞击、防腐蚀 ，阳极氧化，面板铝合金拉丝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3、输入接口:≥DC*1、≥RJ45*1、≥USB2.0*2</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4、输出接口:≥VGA*1、≥HDMI*1、≥AUDIO IN*1，≥AUDIO OUT*1</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3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投屏一体化终端软件</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★1、支持4路不同终端上的音视频会议文件或外接U盘资料投影申请到投影机或大屏幕并以4分割画面同步显示；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★2、支持当会场无同步信号时，大屏幕画面自动显示会议欢迎标语，避免大屏幕或投影机待机状态或无信号输入状态；</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3、支持VGA、HDMI信号输出，任何终端画面通过此接口输出至大屏幕或其他信号显示设备；</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★4、可把视频信号、文档、图片、桌面实时投影到大屏；                                                                                                                                                                                      5、输出分辨率:≥1920*1080，处理器:≥酷睿双核，内存:≥DDR3/4G，硬盘:≥60G(SSD固态硬盘）</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会务服务软件（win+andr）</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1.支持会议服务员的房间同时安装在服务员手机端（安卓系统）。当与会人员在终端上使用服务功能时，指导服务员根据呼叫人的地点.人物进行准确精细的服务。</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2、支持语音播报，将已经处理的请求与未处理请求进行分类。</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3、支持参会者可在终端上直接呼叫后台服务人员提供相应的会议服务，方便服务人员可快速的找到呼叫人。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4、支持与会议服务APP对接，服务内容及时发送给后勤服务人员。</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145"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千兆网络交换机</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华三企业级48口全千兆交换机 二层机架式防雷监控网络 MINI S1248 非网管傻瓜式（建议自采）</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8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安装调试及系统集成</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必配</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1"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11</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矩阵切换器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1.输入总容量不少于36路、输出总容量不少于36路；</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2.支持EDID管理功能；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3.支持随路音频切换功能；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4.支持音频解嵌功能；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5.支持音频加嵌功能；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6.支持在输入通道上叠加任意字符、动态时间，可自定义字体、颜色、大小、位置、背景色、透明度等参数；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7.对各个输入通道采用纯硬件处理技术，采用独享带宽方式为每个输入通道分配带宽，切换过程对其他信号无影响，实现了对输入通道的实时处理功能；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8.设备应支持SDI、HDMI、VGA、CVBS、YPbPr、DVI、HDBaseT等信号的混合输入；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9.设备应支持SDI、HDMI、VGA、CVBS、YPbPr、DVI、HDBaseT等信号的混合输出；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10.输入输出延迟低于2帧，支持60帧信号处理不丢帧；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11.支持60Hz帧率信号采集，无丢帧、无卡顿现象；</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12.支持单台设备能通过控制软件实现不同端口不同分辨率显示；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13.支持前面板按键控制、web控制、RS232指令控制；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14.最高分辨率支持1920×1080@60Hz并向下兼容其他分辨率；</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15.无缝切换＜15ms；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16.设备本身不少于8组场景保存、调用；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17.上位机软件支持输入信号丢失检测，信号丢失后改变颜色进行标识；</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18.支持板卡热插拔功能；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19.支持前面板液晶屏状态显示，通过前面板可以对矩阵进行切换以及预案调取；</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36"/>
                <w:szCs w:val="36"/>
                <w:lang w:bidi="ar"/>
              </w:rPr>
            </w:pPr>
            <w:r>
              <w:rPr>
                <w:rFonts w:hint="eastAsia" w:ascii="宋体" w:hAnsi="宋体" w:eastAsia="宋体" w:cs="宋体"/>
                <w:b/>
                <w:bCs/>
                <w:color w:val="auto"/>
                <w:kern w:val="0"/>
                <w:sz w:val="32"/>
                <w:szCs w:val="32"/>
                <w:lang w:val="en-US" w:eastAsia="zh-CN" w:bidi="ar"/>
              </w:rPr>
              <w:t>五、</w:t>
            </w:r>
            <w:r>
              <w:rPr>
                <w:rFonts w:hint="eastAsia" w:ascii="宋体" w:hAnsi="宋体" w:eastAsia="宋体" w:cs="宋体"/>
                <w:b/>
                <w:bCs/>
                <w:color w:val="auto"/>
                <w:kern w:val="0"/>
                <w:sz w:val="32"/>
                <w:szCs w:val="32"/>
                <w:lang w:bidi="ar"/>
              </w:rPr>
              <w:t>三楼：会议桌会议凳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78" w:hRule="atLeast"/>
        </w:trPr>
        <w:tc>
          <w:tcPr>
            <w:tcW w:w="630" w:type="dxa"/>
            <w:gridSpan w:val="2"/>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双层无纸化会议桌</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颜色：客户选定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基材：采用实木多层防火板，经过耐酸碱、防虫、防腐特殊处理,；</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配件：优质五金配件；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钛金色金属为边框</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油漆：高标聚脂环保清面漆，采用油漆无灰工艺, 漆面光泽度高，无颗粒、无气泡、无渣点,颜色均匀。</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胶合剂：采用环保胶合剂。环保符合国际标准(GB18584－2001甲醛释放量≦1.5mg/L)；</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升降口：参考升降机参数，内部使用优质铝合金架固定、坚固不易生锈。</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1.4米条桌</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优质绿色环保中密度纤板，面板采用 0.5㎜厚胡桃木皮贴面、胡桃实木封边、优质五金配件经过防虫、防腐等化学处理，各项技术指标均达IS9001国际标准。涂装：采用哑光聚脂漆，硬度大，耐压。</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2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主会桌主椅子</w:t>
            </w:r>
          </w:p>
        </w:tc>
        <w:tc>
          <w:tcPr>
            <w:tcW w:w="6387" w:type="dxa"/>
          </w:tcPr>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椅子主体：橡胶木实木                                   皮面：优质头层牛皮                                  海棉：采用高密度冷发泡PU定型海棉     油漆：高标聚脂环保清面漆，采用油漆无灰工艺, 漆面光泽度高，无颗粒、无气泡、无渣点,颜色均匀。 </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会议椅</w:t>
            </w:r>
          </w:p>
        </w:tc>
        <w:tc>
          <w:tcPr>
            <w:tcW w:w="6387" w:type="dxa"/>
          </w:tcPr>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椅子主体：橡胶木实木                                   皮面：优质头层牛皮                                  海棉：采用高密度冷发泡PU定型海棉     </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油漆：高标聚脂环保清面漆，采用油漆无灰工艺, 漆面光泽度高，无颗粒、无气泡、无渣点,颜色均匀。                  </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30</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36"/>
                <w:szCs w:val="36"/>
                <w:lang w:bidi="ar"/>
              </w:rPr>
            </w:pPr>
            <w:r>
              <w:rPr>
                <w:rFonts w:hint="eastAsia" w:ascii="宋体" w:hAnsi="宋体" w:eastAsia="宋体" w:cs="宋体"/>
                <w:b/>
                <w:bCs/>
                <w:color w:val="auto"/>
                <w:kern w:val="0"/>
                <w:sz w:val="32"/>
                <w:szCs w:val="32"/>
                <w:lang w:val="en-US" w:eastAsia="zh-CN" w:bidi="ar"/>
              </w:rPr>
              <w:t>六、</w:t>
            </w:r>
            <w:r>
              <w:rPr>
                <w:rFonts w:hint="eastAsia" w:ascii="宋体" w:hAnsi="宋体" w:eastAsia="宋体" w:cs="宋体"/>
                <w:b/>
                <w:bCs/>
                <w:color w:val="auto"/>
                <w:kern w:val="0"/>
                <w:sz w:val="32"/>
                <w:szCs w:val="32"/>
                <w:lang w:bidi="ar"/>
              </w:rPr>
              <w:t>三楼：平板电脑及扫描仪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630" w:type="dxa"/>
            <w:gridSpan w:val="2"/>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平板电脑</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海思麒麟820八核/8G内存/全网通5G版/前置800万后置800万/超薄10.4寸</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手写笔</w:t>
            </w:r>
          </w:p>
        </w:tc>
        <w:tc>
          <w:tcPr>
            <w:tcW w:w="6387" w:type="dxa"/>
            <w:noWrap/>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bCs/>
                <w:color w:val="auto"/>
                <w:kern w:val="2"/>
                <w:sz w:val="20"/>
                <w:szCs w:val="20"/>
              </w:rPr>
            </w:pPr>
            <w:r>
              <w:rPr>
                <w:rFonts w:hint="eastAsia" w:ascii="宋体" w:hAnsi="宋体" w:eastAsia="宋体" w:cs="宋体"/>
                <w:color w:val="auto"/>
                <w:kern w:val="0"/>
                <w:sz w:val="20"/>
                <w:szCs w:val="20"/>
                <w:lang w:bidi="ar"/>
              </w:rPr>
              <w:t>手写笔</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智能磁吸键盘</w:t>
            </w:r>
          </w:p>
        </w:tc>
        <w:tc>
          <w:tcPr>
            <w:tcW w:w="6387" w:type="dxa"/>
            <w:noWrap/>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bCs/>
                <w:color w:val="auto"/>
                <w:kern w:val="2"/>
                <w:sz w:val="20"/>
                <w:szCs w:val="20"/>
              </w:rPr>
            </w:pPr>
            <w:r>
              <w:rPr>
                <w:rFonts w:hint="eastAsia" w:ascii="宋体" w:hAnsi="宋体" w:eastAsia="宋体" w:cs="宋体"/>
                <w:color w:val="auto"/>
                <w:kern w:val="0"/>
                <w:sz w:val="20"/>
                <w:szCs w:val="20"/>
                <w:lang w:bidi="ar"/>
              </w:rPr>
              <w:t>智能磁吸键盘</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2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扫描仪</w:t>
            </w:r>
          </w:p>
        </w:tc>
        <w:tc>
          <w:tcPr>
            <w:tcW w:w="6387" w:type="dxa"/>
            <w:noWrap/>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自动送纸器（ADF），同时双面扫描；单面/双面、彩色/灰阶/黑白/自动（自动检测彩色、灰阶和黑白）；</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tabs>
                <w:tab w:val="left" w:pos="3081"/>
              </w:tabs>
              <w:spacing w:before="0" w:beforeAutospacing="0" w:afterAutospacing="0"/>
              <w:ind w:left="0" w:right="0"/>
              <w:jc w:val="left"/>
              <w:textAlignment w:val="center"/>
              <w:rPr>
                <w:rFonts w:hint="eastAsia" w:ascii="宋体" w:hAnsi="宋体" w:eastAsia="宋体" w:cs="宋体"/>
                <w:b/>
                <w:bCs/>
                <w:color w:val="auto"/>
                <w:kern w:val="0"/>
                <w:sz w:val="40"/>
                <w:szCs w:val="40"/>
                <w:lang w:bidi="ar"/>
              </w:rPr>
            </w:pPr>
            <w:r>
              <w:rPr>
                <w:rFonts w:hint="eastAsia" w:ascii="宋体" w:hAnsi="宋体" w:eastAsia="宋体" w:cs="宋体"/>
                <w:b/>
                <w:bCs/>
                <w:color w:val="auto"/>
                <w:kern w:val="0"/>
                <w:sz w:val="32"/>
                <w:szCs w:val="32"/>
                <w:lang w:val="en-US" w:eastAsia="zh-CN" w:bidi="ar"/>
              </w:rPr>
              <w:t>七、</w:t>
            </w:r>
            <w:r>
              <w:rPr>
                <w:rFonts w:hint="eastAsia" w:ascii="宋体" w:hAnsi="宋体" w:eastAsia="宋体" w:cs="宋体"/>
                <w:b/>
                <w:bCs/>
                <w:color w:val="auto"/>
                <w:kern w:val="0"/>
                <w:sz w:val="32"/>
                <w:szCs w:val="32"/>
                <w:lang w:bidi="ar"/>
              </w:rPr>
              <w:t>六楼：全彩高清LED屏系统设备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630" w:type="dxa"/>
            <w:gridSpan w:val="2"/>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室内P1.667全彩</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一、主要技术参数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1.物理点间距1.667（mm）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2.单元板尺寸320X160（mm）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3.单元箱体尺寸400×300×78（mm）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4.物理密度360000点/㎡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5.发光点颜色 1R1G1B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6.单元板分辨率192*96=18432(DOTS)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7.单元板重量 0.27 kg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8.箱体分辨率240*180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9.箱体面积0.12m²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10.压铸铝箱体重量3.83KG±0.05KG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11.最佳视距1m～25m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12.可视角度水平≧160° 垂直≥140°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13.平均功耗＜500W/㎡ 最大功耗＜1200w/㎡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14.控制方式：同步控制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15.显示卡 DVI显卡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16.驱动方式 1/30扫描 最大功率 ≤30W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17.刷新频率≧3840Hz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18.白平衡亮度 ≧1100cd/㎡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19.换帧频率≧50/60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20.亮度调节方式 驱动IC：ICN2053/MBI5153 16级可调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21.软件手动调节：100级可调100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二、计算机操作系统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1.WIN98、WINXP、WIN2000,etc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视屏信号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RF、S-Video、RGB、RGBHV、YUV、YC、COMPOSITION等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三、控制系统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1.PCTV卡（可选optional）+DVI显卡+主控卡+光纤传输（可选optional）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2.平均无故障时间 ≧5000小时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3.寿命 75000～100000小时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4.像素失控率  ＜0.0002件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5.项目分类 PH1.667-30S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6.封装形式 三合一 LED封装方式 1010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7.灯珠品牌 弘晟 </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9.120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315"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836"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全彩屏管理控制系统软件</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 支持通用窗口，打折窗口，多种视频格式、图片、动画、Office文件、文字、时钟、走马灯、天气、计时、温湿度、流媒体、网页、采集卡、摄像头、Rss简讯等内容；</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2.丰富的媒体属性：包括透明、背景颜色、背景图片、透明度、音量、显示比例、出入场特效、特效速度、文字颜色、炫彩效果、字体、风格等；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 支持应用模板，可直接载用，也可以自定义模板，模板中可灵活设置窗口数量，坐标，数量，页面支持一个或多个窗口同时显示；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 支持多个窗口个数不同的页面按次数或播放时长切换播放，且切换过程平滑无黑帧；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 可设置不同的日期和时间播放不同的节目页；</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 可实现多台异地显示屏同步播放；</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7. 支持两种播放模式，本机播放和异步播放，用户可根据使用环境切换至所需模式；投标时提供软件功能截图；</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 xml:space="preserve">1 </w:t>
            </w:r>
          </w:p>
        </w:tc>
        <w:tc>
          <w:tcPr>
            <w:tcW w:w="930"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909"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接收卡</w:t>
            </w:r>
          </w:p>
        </w:tc>
        <w:tc>
          <w:tcPr>
            <w:tcW w:w="6387" w:type="dxa"/>
            <w:vAlign w:val="center"/>
          </w:tcPr>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1.集成16路HUB75接口，无需再配转接板，更方便，成本更低；</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2.减少接插连接件，减少故障点，故障率更低；</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3.支持市场主流常规芯片、PWM芯片、士兰芯片；</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4.全新灰度引擎，低灰度表现更佳；</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5.可消除单元板设计引起的某行偏暗、低灰偏红、鬼影等细节问题；</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 xml:space="preserve">24 </w:t>
            </w:r>
          </w:p>
        </w:tc>
        <w:tc>
          <w:tcPr>
            <w:tcW w:w="930"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电源</w:t>
            </w:r>
          </w:p>
        </w:tc>
        <w:tc>
          <w:tcPr>
            <w:tcW w:w="6387" w:type="dxa"/>
            <w:vAlign w:val="center"/>
          </w:tcPr>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1.输入电压：200-240Vac,40-63Hz</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2.输出电流：40A/输出电压：4.5V</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3.泄漏电流：&lt;1ma（Vin：230）</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4.保护功能：输入欠压；过载保护；短路保护</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5.工作温度：-30~50℃/储存温度：-40~80℃</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6.功率因数：0.50@230Vac</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7.绝缘电压：I/P-O/P:3.0KVac;I/P-FG:1.5KVac;O/P-FG:0.5KVac</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8.纹波及噪声：≤150mV</w:t>
            </w:r>
          </w:p>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9.能效效率转换≥90%</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 xml:space="preserve">45 </w:t>
            </w:r>
          </w:p>
        </w:tc>
        <w:tc>
          <w:tcPr>
            <w:tcW w:w="930"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92"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5</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视频处理器</w:t>
            </w:r>
          </w:p>
        </w:tc>
        <w:tc>
          <w:tcPr>
            <w:tcW w:w="6387" w:type="dxa"/>
            <w:vAlign w:val="center"/>
          </w:tcPr>
          <w:p>
            <w:pPr>
              <w:keepNext w:val="0"/>
              <w:keepLines w:val="0"/>
              <w:widowControl/>
              <w:suppressLineNumbers w:val="0"/>
              <w:spacing w:before="0" w:beforeAutospacing="0" w:afterAutospacing="0"/>
              <w:ind w:left="0" w:right="0"/>
              <w:jc w:val="left"/>
              <w:textAlignment w:val="top"/>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6网口，帯载390万；三画面；横向最大4096，纵向最大4096,；输入：1×SDI，1×DVI，2×HDMI；输出6网口；选配：U盘脱机机播放，支持无线投屏，1×Audio，鼠标控制；</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 xml:space="preserve">1 </w:t>
            </w:r>
          </w:p>
        </w:tc>
        <w:tc>
          <w:tcPr>
            <w:tcW w:w="930"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6</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控制管理电脑</w:t>
            </w:r>
          </w:p>
        </w:tc>
        <w:tc>
          <w:tcPr>
            <w:tcW w:w="6387" w:type="dxa"/>
            <w:vAlign w:val="center"/>
          </w:tcPr>
          <w:p>
            <w:pPr>
              <w:keepNext w:val="0"/>
              <w:keepLines w:val="0"/>
              <w:widowControl/>
              <w:suppressLineNumbers w:val="0"/>
              <w:spacing w:before="0" w:beforeAutospacing="0" w:afterAutospacing="0"/>
              <w:ind w:left="0" w:right="0"/>
              <w:textAlignment w:val="top"/>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参数要求：1、CPU：英特尔I5-10400及以上，主频≥2.9G GHz，缓存≥12M ；2、内存：≥8G DDR4 2400MHz内存，不少于2个DIMM插槽；3、硬盘：≥1T机械硬盘+128固态硬盘，带硬盘减震设计，支持双硬盘；★4、主板：Intel B365N及以上芯片组,与主机同品牌；扩展≥1个PCI-E*16、≥2个PCI-E*1、≥1个PCI；不占用扩展插槽或增加外设，扩展第二串口和并口；主板集成10/100M/1000M 自适应以太网卡，可配备同品牌网络防雷器，防雷器通过权威部门检测认可，提供省级以上检测机构出具的相关检测报告（加盖厂家公章）。5、光驱：无 6、显卡：2G独立显卡；        7、显示器：≥21.5寸LED显示器，分辨率≥1920*1080，显示器具有低蓝光功能，保护用眼安全。8、键鼠：USB光电鼠标、键盘，键盘防水且自带导水孔；9、机箱：顶置电源开关，机箱侧板、硬盘、光驱、扩展卡免工具拆卸，机型体积不大于15L; ≥8个USB接口，至少5个原生 USB3.0接口，整机防尘等级不低于国际标准IP5X级；10、电源：≥200W节能电源；二、软件功能要求：1）所有功能基于Windows平台，一键同传；方便操作主板集成硬盘保护，增量传输功能，具备断线提示、断点续传功能，支持动态显示网络故障点；2）出厂预安装Windows 10 home正版操作系统，操作系统不接受开机二次安装，需体现在装箱清单内。三、质量和服务保证：1、★投标产品具有3C认证、节能认证；2、★投标产品具备省级以上检测机构出具的平均无故障时间（MTBF）≥950000小时认证；所投产品制造厂商通过ISO50001能源管理体系认证证书3、★为保障投标产品的质量及售后服务，投标人如非生产厂家，供货时需提供原厂针对本项目的供货证明和售后服务承诺函原件。★四、售后服务：原厂3年免费保修服务,下1自然日上门修复（节假日不休），免人力＋部件费用,所有部件均为电脑原厂部件。</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 xml:space="preserve">1 </w:t>
            </w:r>
          </w:p>
        </w:tc>
        <w:tc>
          <w:tcPr>
            <w:tcW w:w="930"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2"/>
                <w:szCs w:val="22"/>
              </w:rPr>
            </w:pPr>
            <w:r>
              <w:rPr>
                <w:rFonts w:hint="eastAsia" w:ascii="宋体" w:hAnsi="宋体" w:eastAsia="宋体" w:cs="宋体"/>
                <w:color w:val="auto"/>
                <w:kern w:val="0"/>
                <w:sz w:val="22"/>
                <w:szCs w:val="22"/>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780"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12</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室内LED显示屏上墙固定钢结构</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1、专业工程定制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2、包含定制边框</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9.73</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755" w:hRule="atLeast"/>
        </w:trPr>
        <w:tc>
          <w:tcPr>
            <w:tcW w:w="630"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13</w:t>
            </w:r>
          </w:p>
        </w:tc>
        <w:tc>
          <w:tcPr>
            <w:tcW w:w="836" w:type="dxa"/>
            <w:gridSpan w:val="4"/>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一键启动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配电箱</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主要功能：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1.含主控开关 、分路控制开关 、接地端子等控制元件。                                        2.含配电柜 、：配电柜应具有分步启动过流 ﹑过压保护功能 ；具有防腐 、防锈、防尘的功能 ；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 xml:space="preserve">3.采用一键启动功能 ，操用安全 ，方便，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4.电气防护具有过流 、短路、断路、过压等保护措施,</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1.00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870" w:hRule="atLeast"/>
        </w:trPr>
        <w:tc>
          <w:tcPr>
            <w:tcW w:w="9878" w:type="dxa"/>
            <w:gridSpan w:val="9"/>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2"/>
                <w:szCs w:val="32"/>
                <w:lang w:val="en-US" w:eastAsia="zh-CN" w:bidi="ar"/>
              </w:rPr>
              <w:t>八、</w:t>
            </w:r>
            <w:r>
              <w:rPr>
                <w:rFonts w:hint="eastAsia" w:ascii="宋体" w:hAnsi="宋体" w:eastAsia="宋体" w:cs="宋体"/>
                <w:b/>
                <w:bCs/>
                <w:color w:val="auto"/>
                <w:kern w:val="0"/>
                <w:sz w:val="32"/>
                <w:szCs w:val="32"/>
                <w:lang w:bidi="ar"/>
              </w:rPr>
              <w:t>六楼：音响扩声数字会议系统设备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53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b/>
                <w:bCs/>
                <w:color w:val="auto"/>
                <w:kern w:val="0"/>
                <w:sz w:val="20"/>
                <w:szCs w:val="20"/>
                <w:lang w:bidi="ar"/>
              </w:rPr>
              <w:t>序号</w:t>
            </w:r>
          </w:p>
        </w:tc>
        <w:tc>
          <w:tcPr>
            <w:tcW w:w="73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b/>
                <w:bCs/>
                <w:color w:val="auto"/>
                <w:kern w:val="0"/>
                <w:sz w:val="20"/>
                <w:szCs w:val="20"/>
                <w:lang w:bidi="ar"/>
              </w:rPr>
              <w:t>名称</w:t>
            </w:r>
          </w:p>
        </w:tc>
        <w:tc>
          <w:tcPr>
            <w:tcW w:w="6413"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b/>
                <w:bCs/>
                <w:color w:val="auto"/>
                <w:kern w:val="0"/>
                <w:sz w:val="20"/>
                <w:szCs w:val="20"/>
                <w:lang w:bidi="ar"/>
              </w:rPr>
              <w:t>技术规格</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b/>
                <w:bCs/>
                <w:color w:val="auto"/>
                <w:kern w:val="0"/>
                <w:sz w:val="20"/>
                <w:szCs w:val="20"/>
                <w:lang w:bidi="ar"/>
              </w:rPr>
              <w:t>数量</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735"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全频扬声器</w:t>
            </w:r>
          </w:p>
        </w:tc>
        <w:tc>
          <w:tcPr>
            <w:tcW w:w="6413"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二分频二单元设计用于各种语言和音乐扩声的应用场合，尤其适合用于各种注重语言清晰度的场所。配合专用吊挂件，安装快捷美观。采用12"纸锥低音单元与一个34mm聚酯膜钕磁压缩单元组成，两分频扬声器，低音反射式。                                                                                                                                                                     ★频响范围(-10dB)：48 Hz - 20 kHz，投射角度:水平:90°垂直60°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低音单元：12" 锥形单元，2.5" 高音单元：音圈，1.4"音圈，驱动单元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★额定功率：程序功率：350W；峰值功率；1000W                    标称阻抗：8Ω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★灵敏度(1W, 1m)：96dB SPL，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★最大声压级：125 dB SPL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 ★提供生产厂商设备彩页以及针对本项目的授权书原件、供货证明原件和售后服务承诺书原件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★提供生产厂商ISO 9001:2008环境资质证书</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2</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445"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2</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全频辅助扬声器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二分频二单元设计用于各种语言和音乐扩声的应用场合，尤其适合用于各种注重语言清晰度的场所。配合专用吊挂件，安装快捷美观。采用10"纸锥低音单元与一个34mm聚酯膜钕磁压缩单元组成，两分频扬声器，低音反射式.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扬声器类型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★频响范围(-10dB)：50 Hz - 20 kHz， 投射角度:水平:90°垂直60°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低音单元：10" 锥形单元，2" 高音单元：音圈，1"音圈，压缩驱动单元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★额定功率：程序功率：350W；峰值功率:700W ;标称阻抗：8Ω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★灵敏度(1W, 1m)：96dB SPL，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★最大声压级：125 dB SPL                                                                                     ★提供生产厂商设备彩页以及针对本项目的授权书原件、供货证明原件和售后服务承诺书原件。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 xml:space="preserve">  ★提供生产厂商ISO 9001:2008环境资质证书</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4</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3</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专业功率放大器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全新设计的Class-D功放引擎驱动，使用PLL技术实时控制转换特性轻质且稳定可靠，高品质清晰声音输出。                                                                                                                      ★功放模式：15种模式类型可供选择，具有灵活的板载PEQ、分频、滤波器、延迟和限制器等功能，通过LCD屏幕即可快速便捷地进行系统设置，基础模式甚至能够让零经验的用户根据自己的需求轻松配置系统，而高级模式为有经验的用户提供了更多用于声音各方面的精确控制预设</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★面板设置：通过USB传输监听数据，简单、直观的设置放大器的状态和通过USB传送数据的操作更为快速和便捷，                                                                                             ★内部设备和日志数据导出至USB闪存，可用于发生问题时的快速检测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★8种用户预设：具备8个可编程预设可被保存至USB驱动并与功放分享。</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★具有面板锁定功能，确保您的设置安全。                                                                                                              延迟：1.5 msec（模拟输入至扬声器）                                                                                                                                       输出功率8Ω:500W×2 、4Ω:750W×2</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信噪比:101dB (A记权, 8Ω, 增益设置 = +14dBu)                                                                                                                                            ★串扰：小于 -60dB                                                                                                                                             A/D D/A 转换器：AD/DA：24位线性，128 倍超采样 ,                                                                                                          频率响应:20Hz-20kHz,                                                                                                                                   功放类型：D类，平衡输出电路（BTL）                                                                                                                                                                                                                                       最大输入电压：+24dBu                                                                                                                              ★总谐波失真:0.1% (1kHz, 10W), 0.3% (1kHz, 半功率)                                                                                                                                                                                                                                                                                                         信号处理：输入总和D-CONTOUR（FOH/MAIN，MONITOR，OFF）；Delay（0 - 74msec）；HPF/LPF（截止频率20Hz~20kHz，带极性控制）； 扬声器处理器（6段PEQ+限制器+延迟）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★提供生产厂商设备针对本项目的授权书原件、供货证明原件和售后服务承诺书原件。                                                                      ★提供生产厂商ISO 9001:2008环境资质证书                                                                                                                                                                                                                                                              ★提供YAMAHA厂家授权书复印件，原件备查</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569"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4</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专业功率放大器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全新设计的Class-D功放引擎驱动，使用PLL技术实时控制转换特性轻质且稳定可靠，高品质清晰声音输出。                                                                                                                      ★功放模式：15种模式类型可供选择，具有灵活的板载PEQ、分频、滤波器、延迟和限制器等功能，通过LCD屏幕即可快速便捷地进行系统设置，基础模式甚至能够让零经验的用户根据自己的需求轻松配置系统，而高级模式为有经验的用户提供了更多用于声音各方面的精确控制预设</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★面板设置：通过USB传输监听数据，简单、直观的设置放大器的状态和通过USB传送数据的操作更为快速和便捷，                                                                                             ★内部设备和日志数据导出至USB闪存，可用于发生问题时的快速检测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★8种用户预设：具备8个可编程预设可被保存至USB驱动并与功放分享。</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★具有面板锁定功能，确保您的设置安全。                                                                                                              延迟：1.5 msec（模拟输入至扬声器）                                                                                                                                       输出功率8Ω:300W×2 、4Ω:550W×2</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信噪比:101dB (A记权, 8Ω, 增益设置 = +14dBu)                                                                                                                                            ★串扰：小于 -60dB                                                                                                                                             A/D D/A 转换器：AD/DA：24位线性，128 倍超采样 ,                                                                                                          频率响应:20Hz-20kHz,                                                                                                                                   功放类型：D类，平衡输出电路（BTL）                                                                                                                                                                                                                                       最大输入电压：+24dBu                                                                                                                              ★总谐波失真:0.1% (1kHz, 10W), 0.3% (1kHz, 半功率)                                                                                                                                                                                                                                                                                                         信号处理：输入总和D-CONTOUR（FOH/MAIN，MONITOR，OFF）；Delay（0 - 74msec）；HPF/LPF（截止频率20Hz~20kHz，带极性控制）； 扬声器处理器（6段PEQ+限制器+延迟）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★提供生产厂商设备针对本项目的授权书原件、供货证明原件和售后服务承诺书原件。                                                                      ★提供生产厂商ISO 9001:2008环境资质证书                                                                                                                                                                                                                                                              ★提供YAMAHA厂家授权书复印件，原件备查</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2</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867"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5</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数字控制调音台</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16通道调音台：最多10个话筒 / 16 个线路输入 (8 个单声道 + 4 个立体声) / 4 编组母线 + 1 立体声母线 / 4 AUX (包括 FX)</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★最多10个话筒 / 16个线路输入 (8个单声道 + 4个立体声)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★4编组母线 + 1立体声母线 ，4 AUX (包括FX)</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★“D-PRE”话放，带有倒向晶体管电路。</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★单旋钮压缩器，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★24-bit/192kHz 2进/2出 USB音频功能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★通过Apple iPad Camera Connection Kit / Lightning to USB Camera Adapter (连接适配器)与iPad (2或更高版本) 连接工作</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916"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6</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数字媒体音频处理器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1、3进6出DSP音箱处理器、数字处理包括：增益、极性转换、参量均衡器棚架滤波器、时间延时、分频功能、压缩、限制和信号路由，所有的处理都通过一对 120MHz 高性能 DSP 处理器。使用先进的DSP技术，从 24 bit，48kHz的delta—sigma A/D 转换器与 128 倍过采样。</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2、两个 USB 接口和 RS—232 接口可用于控制软件和 PC 连接，682毫秒输入延时，21毫秒输出延时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3、采用Linkwits-Riley，Bessel和Butterworth滤波器</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4、参量均衡器：全带宽，第1/64到4倍频程范围</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5、每个输出配有限幅器通过前面板、个人电脑或者MIDI可以进行编程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6、48kHz的采样频率独立的输入输出指示</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7、音箱的距离延时和侧面补声的控制舞台监听的调整及音箱保护：</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8、输入： 全平衡式接口，18K ohms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9、最大输入电平： +20dBu</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10、输入增益范围： -40dB to +12dB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11、输出：全平衡式接口，112 ohms</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12、最大输入电平： +20dBu</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13、输入增益范围： -40dB to +12dB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14、失真： &lt;0.01 @ 1KHz，+20dBu</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15、动态范围： &gt;110dB 20Hz - 20KHz 未加权</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16、输出噪音： &lt;-90dBu 未加权</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17、EQ滤波器段数： 输入4段参数，输出3段参数</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18、参数范围： 1/64Th倍频程 ~ 4倍频程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19、范围： +15/-30dB，0.1dB 增值</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★供应商提供国家标准化管理委员会颁发的数字会议系统采用国际标准产品标志证书复印件（加盖生产企业公章）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★产品具备ISO 9001:2008资质证书、产品具备高新企业资格证书。</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★生产厂家供应商提供生产厂商针对本项目的授权书原件、供货证明原件和售后服务承诺书原件。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★提供证明是本产品厂家授权经销商证书，原件备查。</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819"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7</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数字反馈抑制器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1.会议系统中防啸叫的完美解决方案,线路内部采用了五段参量均衡和数字移频两重防啸叫技术，有效提高话筒的拾音距离，使话筒增益提高到5～14dB.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★特征1：内置ALC功能，放大信号失真小。用增益调整功能来提高设计自由度。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带有ALC功能，很容易控制过大信号的输入，并且放大的信号失真小。另外可以自由调整限幅电平 (过输入信号时的限制电平)和麦克风增益，根据配备设备可以任意设定。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★特征2：通过低输入噪声电压和设定高增益，为提高音质做贡献。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 麦克风放大器可以接收微小音声信号来进行放大。需要很高S/N比例的放大信号。NJM2783可以实现低输出噪声电压和高增益，可以达到100db以上的の高S/N比。故此可以大幅度的提高设备的音质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技术参数：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1、话筒和线路输入移频效果切换开关选择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2、会议系统本地喇叭实现独立效果连接口(EFX)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★3、移频量：5 Hz±1 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★4、传声增益提升量5-14 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5、线路输入阻抗≥5KΩ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★6、线路输出阻抗≤600Ω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7、频率响应：非移频状态20 Hz-20K 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             移频状态150 Hz-15K Hz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8、工作电源电压    2.7～13V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9、单声道麦克风放大器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★10、配有Auto Level Control(ALC)功能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11、用外部元件可以来调节增益 (+20～63dB)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12、用外部元件来调整限幅电平 (200mVrms～2Vrms)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13、增益切换可能:0dB/20dB]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14、内置缓冲器放大器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15、低输入噪声电压:1μVrms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★供应商提供国家标准化管理委员会颁发的数字会议系统采用国际标准产品标志证书复印件（加盖生产企业公章）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★产品具备ISO 9001:2008资质证书、产品具备高新企业资格证书。</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★提供生产厂商针对本项目的授权书原件、供货证明原件和售后服务承诺书原件。</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★提供证明是本产品厂家授权经销商证书，原件备查。</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06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8</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数会议系统主控机</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主控机与会议系统单元的数字控制及声音信号采用同一电缆传送（八芯），可独立运作或外接电脑结合软件同步联动操作，脱离电脑时可具有下列几个功能：会议讨论、表决/选举/评议，系统具有高品质声音效果， 具三种会务管理模式：开放模式（FREE）、先进先出（FIFO）、限制发言（LIMIT）， 可直接选择显示文字种类功中文简体/中文繁体/英文，具有主席模式选择功能：可以选主席专用/主席普通，具有自动关机选择功能：可选自动关机有/无， 具有主席提示音选择功能：可选择有/无， 面板具有LCD液晶显示屏。122×32点阵显示会议模式。面板上具有功能键、旋钮供系统调节或设定之用，一主机具四组主端子可连接50套会议单元。并具有负载及短路保护功能。增加扩展设备可实现250台会议单元同时使用， 具一组音频讯号输入端子。可外接CD播放器等音源输入设备，具一组MIC输入端子，可外接手握MIC及无线MIC等信号，</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★具3组音频信号输出端子，可外接录音或音响设备，</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★频率响应：100Hz—18KHz：总谐波失真：在100Hz—18KHz会议系统声音输出小于0.1%，</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具有RS232连接插座可外接电脑，与电脑连接使用时，可以通过电脑管理软件实现脱离电脑时的所有功能外，增加了指定发言、申请发言、主席专有、设定发言时间等功能，内建1.5W监听喇叭，并具音量调节可安装于19寸的标准机柜中符合国际会议识别及国际安装标准UL，通过国家CCC安全认证</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★投标产品的会议系统生产商必须具备广东省著名产品商标证书及高新企业证书。                                                                               ★投标产品生产商必须具备数字会议系统采用国际标准产品标志证书（国家标准化管理委员会颁发）                                                                                                                                                                                                                                                                                  ★生产厂商必须具备OHSAS 18001：2007职业健康安全管理体系证书                                                                                              ★生产厂商必须具备ISA14001：2004环境管理体系认证证书</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★提供原厂家工厂授权书及售后服务承诺书，工厂供货确认函，否则视为无效投标</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94"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9</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大咪芯数字会议列席单元</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★1、内置14MM纯金振膜音头，超强指向性麦克风拾音技术，有效拾音距离可达80cm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2、T型总线手拉手连接技术，一台单元机或多台出现故障或更换不会影响到系统中其它单元机的工作，从而使系统具有更高可靠性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3、系统具有自动修复功能，支持线路的“热插拔”</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4、具有160*32的LCD显示屏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5、具麦克风发言按键及发言指示灯，可控制及显示麦克风开启/关闭</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6、单指向性、具防气爆音、内建防风防护罩之功能</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7、主席话筒具有主席优先控制按键，可启动系统提示音提醒所有出席人员注意，可设定永久终止或暂停终止所有发言代表麦克风单元动作</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8、单元由系统主机供电。输入电压为DC24V，属于安全范围</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9、系统中主席单元不受限制，并可置回路中位置</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10、具有强制切断代表单元麦克风发言的优先功能和主席优先的提示音</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11、具有主席专有模式：主席按PRIO键关闭发言状态的代表单体后，所有代表单元不能在开启，直至该主席单元结束发言关闭麦克风</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12、符合国际会议设备电器认证标准（IEC 60914）及国际安规标准UL或CE                                                                                                                                                              13、认证换能方式：电容式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13、频率响应：80Hz-15kHz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14、指向性：超心型指向</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15、输出阻抗（欧姆）：1200Ω</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16、灵敏度：-35dB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★17、信噪比：60dB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★18、等效噪声级：35dB(A)/20u Pa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19、总谐波失真：1%</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 xml:space="preserve">20、供电电压：系统DC24V </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★21、咪管长度：24 cm</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22、单支话筒重量：1.8 kg</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★供应商提供国家标准化管理委员会颁发的数字会议系统采用国际标准产品标志证书复印件（加盖生产企业公章）</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★投标产品具备ISO 9001:2008资质证书、产品具备高新企业资格证书。</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 xml:space="preserve">★生产厂家供应商提供生产厂商针对本项目的授权书原件、供货证明原件和售后服务承诺书原件。    </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10</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72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10</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 xml:space="preserve">真分集无线手持话筒 </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★配备有UniGuard® - 射频干扰(RFI)屏敝技术,符合RoHS规格</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★外壳上的一个隐藏的小型开关 UniSteep® ，可设定 80 Hz 高通滤波及平直回应。</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元件:固定充电背板，静电型电容式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★指向性:超心形单指向性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★频率响应:35-20,000 Hz</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★高通滤波:90 Hz, 18 dB/octave</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★开路灵敏度:-37 dB (14.1 mV) 以 1V 于 1 Pa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阻抗:250 欧姆</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★最大输入声压级:141 dB 声压, 1 kHz 于 1% T.H.D.</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动态范围 (典型值):112 dB, 1 kHz 于最高声压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信噪比:68 dB, 1 kHz 于 1Pa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★开关:平直，高通滤波</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幻像电源:直流 11-52V DC, 耗电 4 mA 典型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重量:135 克</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尺寸:457.2 mm - 长, 8.4 mm - 收音头直径, 18.9 mm - 底部直径</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输出端子:内置式3针卡农公头</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标配:AT8109 双层式防风海棉罩</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36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11</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8路电源时序器</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8路大功率电源输出，一键控制电源时序动作，可选通电即启和手动功能，适合于音响工程，电视广播系统，电脑网络系统及电力设施等需要按秩序电源分配系统的场合</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能够按照由前级到后级逐个顺序启动设备，关闭供电电源时则由后级到前级的顺序关闭用电设备，这样就能够有效的统一管理控制各类用电设备，避免了人为地失误操作。确保了整个音响用电系统运行时的稳定性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★额定功率：3000W,总容量10A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★输出功率：，每路插座最大输出电流10A</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输入方式：3*2.5平方交流电源线，不带插头，与空气开关连接</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输出方式：8路电源输出，标准通用三芯插座</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功能：打开时由前级到后级逐个顺序启动，关闭时由后级到前级逐个顺序关闭，每路之间动作时间1.5秒</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80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12</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无线移动扩声设备</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喇叭系统：5时全音域高效喇叭；电池容量：4段LED灯显示电量及充电状况。领夹式麦克风，自动频道搜寻同步锁定功能；频率范围：480-934MH z</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40"/>
                <w:szCs w:val="40"/>
                <w:lang w:bidi="ar"/>
              </w:rPr>
            </w:pPr>
            <w:r>
              <w:rPr>
                <w:rFonts w:hint="eastAsia" w:ascii="宋体" w:hAnsi="宋体" w:eastAsia="宋体" w:cs="宋体"/>
                <w:b/>
                <w:bCs/>
                <w:color w:val="auto"/>
                <w:kern w:val="0"/>
                <w:sz w:val="32"/>
                <w:szCs w:val="32"/>
                <w:lang w:val="en-US" w:eastAsia="zh-CN" w:bidi="ar"/>
              </w:rPr>
              <w:t>九、</w:t>
            </w:r>
            <w:r>
              <w:rPr>
                <w:rFonts w:hint="eastAsia" w:ascii="宋体" w:hAnsi="宋体" w:eastAsia="宋体" w:cs="宋体"/>
                <w:b/>
                <w:bCs/>
                <w:color w:val="auto"/>
                <w:kern w:val="0"/>
                <w:sz w:val="32"/>
                <w:szCs w:val="32"/>
                <w:lang w:bidi="ar"/>
              </w:rPr>
              <w:t>六楼：笔记本电脑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705" w:type="dxa"/>
            <w:gridSpan w:val="4"/>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761"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236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笔记本电脑</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机身颜色：银色</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内存：16GB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处理器：inteli5-四核</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存储：512GB</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显卡：intel Xe</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操作系统：win10</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摄像头：720P高清摄像头</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屏幕：13寸触控屏</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二年质保</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723"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赠品：电脑包</w:t>
            </w:r>
          </w:p>
        </w:tc>
        <w:tc>
          <w:tcPr>
            <w:tcW w:w="6387" w:type="dxa"/>
            <w:vAlign w:val="center"/>
          </w:tcPr>
          <w:p>
            <w:pPr>
              <w:keepNext w:val="0"/>
              <w:keepLines w:val="0"/>
              <w:widowControl/>
              <w:suppressLineNumbers w:val="0"/>
              <w:spacing w:before="0" w:beforeAutospacing="0" w:afterAutospacing="0"/>
              <w:ind w:left="0" w:right="0"/>
              <w:jc w:val="left"/>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赠品：电脑包</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82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赠品：无线鼠标</w:t>
            </w:r>
          </w:p>
        </w:tc>
        <w:tc>
          <w:tcPr>
            <w:tcW w:w="6387" w:type="dxa"/>
            <w:noWrap/>
            <w:vAlign w:val="center"/>
          </w:tcPr>
          <w:p>
            <w:pPr>
              <w:keepNext w:val="0"/>
              <w:keepLines w:val="0"/>
              <w:widowControl/>
              <w:suppressLineNumbers w:val="0"/>
              <w:spacing w:before="0" w:beforeAutospacing="0" w:afterAutospacing="0"/>
              <w:ind w:left="0" w:right="0"/>
              <w:jc w:val="left"/>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赠品：无线鼠标</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11</w:t>
            </w:r>
          </w:p>
        </w:tc>
        <w:tc>
          <w:tcPr>
            <w:tcW w:w="930"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40"/>
                <w:szCs w:val="40"/>
                <w:lang w:bidi="ar"/>
              </w:rPr>
            </w:pPr>
            <w:r>
              <w:rPr>
                <w:rFonts w:hint="eastAsia" w:ascii="宋体" w:hAnsi="宋体" w:eastAsia="宋体" w:cs="宋体"/>
                <w:b/>
                <w:bCs/>
                <w:color w:val="auto"/>
                <w:kern w:val="0"/>
                <w:sz w:val="32"/>
                <w:szCs w:val="32"/>
                <w:lang w:val="en-US" w:eastAsia="zh-CN" w:bidi="ar"/>
              </w:rPr>
              <w:t>十、</w:t>
            </w:r>
            <w:r>
              <w:rPr>
                <w:rFonts w:hint="eastAsia" w:ascii="宋体" w:hAnsi="宋体" w:eastAsia="宋体" w:cs="宋体"/>
                <w:b/>
                <w:bCs/>
                <w:color w:val="auto"/>
                <w:kern w:val="0"/>
                <w:sz w:val="32"/>
                <w:szCs w:val="32"/>
                <w:lang w:bidi="ar"/>
              </w:rPr>
              <w:t>六楼：水墨屏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705" w:type="dxa"/>
            <w:gridSpan w:val="4"/>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761" w:type="dxa"/>
            <w:gridSpan w:val="2"/>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92"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无线双面水墨屏</w:t>
            </w:r>
          </w:p>
        </w:tc>
        <w:tc>
          <w:tcPr>
            <w:tcW w:w="6387" w:type="dxa"/>
            <w:vAlign w:val="center"/>
          </w:tcPr>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电子纸会议桌牌具有环保，无光污染的特点。</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2.</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整体外观采用铝合金喷砂阳极氧化工艺，金属外观及木纹底座可供选择。</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3.</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节能省电，电池续航，7号锂铁电池满电量使用6个月以上(根据实际使用频率)。</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4.</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操作便捷，可以电脑上传EXCEL，通过蓝牙将信息推送到屏幕。</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5.</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上传人员名单：对需要参加会议的EXCEL文档里面的名单进行一键上传。（Excel表单的名单需要按照下载的人员名单模板进行排版，格式相同方可上传，名单模板里面的信息栏可以空，但是不能多。上传名单表时需要选择会议室归属。）</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6.</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人员列表：支持对已经上传或者已经添加的人员名单进行查询、修改、删除管理。也可直接推通过快速键盘添加新参会人员名单。</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7.</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前后屏可异屏显示，单独变更。显示内容包括参会人员名字、职务，单位、会议主题、会议议程以及会议内容。</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8.</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桌牌显示内容可通过上传图片进行修改，格式为PNG格式和JPEG格式两种。</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9.</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会议分组管理：可以对不同的会议进行分组设计，人员名单按照所分的组别来选择上传和添加。</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10.</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桌牌管理：可对每个桌牌设置别名，方便管理。</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11.</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桌牌列表：每个桌签都有唯一ID号</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12.</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会议分组列表：可以根据会议的需要进行会议室查询、增加等管理工作，每个会议所参会的人员名单可以直接筛选出来，大大提高会场布置的效率。</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规格</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屏幕：7.5寸三色电子墨水屏</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2.</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可视区域：161.0×96.0 mm</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3.</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分辨率：800*480</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4.</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DPI：124</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5.</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灰阶度： 2灰阶</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6.</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颜色：黑白红</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7.</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结构：直立双面横屏显示，底座本体一体</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8.</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产品重量：250±5g</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9.</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工作温度：0～35℃</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10.</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存储温度：-25～60℃</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11.</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电池续航：内置7号锂铁电池，满电量使用6个月以上</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12.</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功耗：刷屏平均工作电流30mA，待机电流0.1mA以下</w:t>
            </w:r>
          </w:p>
          <w:p>
            <w:pPr>
              <w:keepNext w:val="0"/>
              <w:keepLines w:val="0"/>
              <w:widowControl/>
              <w:suppressLineNumbers w:val="0"/>
              <w:spacing w:before="0" w:beforeAutospacing="0" w:afterAutospacing="0"/>
              <w:ind w:left="0" w:right="0"/>
              <w:jc w:val="left"/>
              <w:textAlignment w:val="center"/>
              <w:rPr>
                <w:rStyle w:val="58"/>
                <w:rFonts w:hint="eastAsia" w:ascii="宋体" w:hAnsi="宋体" w:eastAsia="宋体" w:cs="宋体"/>
                <w:color w:val="auto"/>
                <w:kern w:val="2"/>
                <w:lang w:eastAsia="zh-CN" w:bidi="ar"/>
              </w:rPr>
            </w:pPr>
            <w:r>
              <w:rPr>
                <w:rStyle w:val="58"/>
                <w:rFonts w:hint="eastAsia" w:ascii="宋体" w:hAnsi="宋体" w:eastAsia="宋体" w:cs="宋体"/>
                <w:color w:val="auto"/>
                <w:kern w:val="2"/>
                <w:lang w:bidi="ar"/>
              </w:rPr>
              <w:t>13.</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传图模式：通过显示屏正中央位置的NFC传图；通过手机蓝牙传图。保持0-5m范围内传输最佳。</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Style w:val="58"/>
                <w:rFonts w:hint="eastAsia" w:ascii="宋体" w:hAnsi="宋体" w:eastAsia="宋体" w:cs="宋体"/>
                <w:color w:val="auto"/>
                <w:kern w:val="2"/>
                <w:lang w:bidi="ar"/>
              </w:rPr>
              <w:t>14.</w:t>
            </w:r>
            <w:r>
              <w:rPr>
                <w:rStyle w:val="59"/>
                <w:rFonts w:hint="eastAsia" w:ascii="宋体" w:hAnsi="宋体" w:eastAsia="宋体" w:cs="宋体"/>
                <w:color w:val="auto"/>
                <w:kern w:val="2"/>
                <w:lang w:bidi="ar"/>
              </w:rPr>
              <w:t xml:space="preserve"> </w:t>
            </w:r>
            <w:r>
              <w:rPr>
                <w:rStyle w:val="58"/>
                <w:rFonts w:hint="eastAsia" w:ascii="宋体" w:hAnsi="宋体" w:eastAsia="宋体" w:cs="宋体"/>
                <w:color w:val="auto"/>
                <w:kern w:val="2"/>
                <w:lang w:bidi="ar"/>
              </w:rPr>
              <w:t>操作系统：支持android手机安装（不支持苹果手机）。</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705" w:type="dxa"/>
            <w:gridSpan w:val="4"/>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761" w:type="dxa"/>
            <w:gridSpan w:val="2"/>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网络交换机</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全网管全千兆智能安全接入交换机，24个10/100/1000M电口＋4个千兆SFP接口 ，                                                                                  交换容量 264Gbps  包转发率 96Mpps</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9878" w:type="dxa"/>
            <w:gridSpan w:val="9"/>
            <w:noWrap/>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b/>
                <w:bCs/>
                <w:color w:val="auto"/>
                <w:kern w:val="0"/>
                <w:sz w:val="48"/>
                <w:szCs w:val="48"/>
                <w:lang w:bidi="ar"/>
              </w:rPr>
            </w:pPr>
            <w:r>
              <w:rPr>
                <w:rFonts w:hint="eastAsia" w:ascii="宋体" w:hAnsi="宋体" w:eastAsia="宋体" w:cs="宋体"/>
                <w:b/>
                <w:bCs/>
                <w:color w:val="auto"/>
                <w:kern w:val="0"/>
                <w:sz w:val="32"/>
                <w:szCs w:val="32"/>
                <w:lang w:val="en-US" w:eastAsia="zh-CN" w:bidi="ar"/>
              </w:rPr>
              <w:t>十一、</w:t>
            </w:r>
            <w:r>
              <w:rPr>
                <w:rFonts w:hint="eastAsia" w:ascii="宋体" w:hAnsi="宋体" w:eastAsia="宋体" w:cs="宋体"/>
                <w:b/>
                <w:bCs/>
                <w:color w:val="auto"/>
                <w:kern w:val="0"/>
                <w:sz w:val="32"/>
                <w:szCs w:val="32"/>
                <w:lang w:bidi="ar"/>
              </w:rPr>
              <w:t>靖西财政局智能化控制室改造设备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20" w:hRule="atLeast"/>
        </w:trPr>
        <w:tc>
          <w:tcPr>
            <w:tcW w:w="698" w:type="dxa"/>
            <w:gridSpan w:val="3"/>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序号</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名称</w:t>
            </w:r>
          </w:p>
        </w:tc>
        <w:tc>
          <w:tcPr>
            <w:tcW w:w="6387"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技术规格</w:t>
            </w:r>
          </w:p>
        </w:tc>
        <w:tc>
          <w:tcPr>
            <w:tcW w:w="1095"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数量</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b/>
                <w:bCs/>
                <w:color w:val="auto"/>
                <w:kern w:val="2"/>
                <w:sz w:val="20"/>
                <w:szCs w:val="20"/>
              </w:rPr>
            </w:pPr>
            <w:r>
              <w:rPr>
                <w:rFonts w:hint="eastAsia" w:ascii="宋体" w:hAnsi="宋体" w:eastAsia="宋体" w:cs="宋体"/>
                <w:b/>
                <w:bCs/>
                <w:color w:val="auto"/>
                <w:kern w:val="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392"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768" w:type="dxa"/>
            <w:gridSpan w:val="3"/>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安全隔离与</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18"/>
                <w:szCs w:val="18"/>
                <w:lang w:bidi="ar"/>
              </w:rPr>
              <w:t>信息交换网闸</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性能参数：吞吐量 （网络层流量）：1Gbps，最大并发连接数：50万。</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18"/>
                <w:szCs w:val="18"/>
                <w:lang w:bidi="ar"/>
              </w:rPr>
              <w:t>吞吐量1Gbps，最大并发连接数50万。标配提供文件交换、数据库访问和同步、视频交换、组播代理、访问交换等功能模块。2U设备，“双主机+隔离卡”架构，单主机硬件信息：6电4光，内存4GB，硬盘64G SSD，冗余电源 500W。</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20</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w:t>
            </w:r>
          </w:p>
        </w:tc>
        <w:tc>
          <w:tcPr>
            <w:tcW w:w="768" w:type="dxa"/>
            <w:gridSpan w:val="3"/>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18"/>
                <w:szCs w:val="18"/>
                <w:lang w:bidi="ar"/>
              </w:rPr>
              <w:t>移动应用安全接入一体网关</w:t>
            </w:r>
          </w:p>
        </w:tc>
        <w:tc>
          <w:tcPr>
            <w:tcW w:w="6387" w:type="dxa"/>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性能参数：最大理论加密流量（Mbps）：150，最大理论并发用户数：600，IPSec加密最大流量（Mbps）：150，设备整机理论最大吞吐量：500Mbps，设备整机理论最大并发会话数：35w。</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硬件参数：规格：1U，内存大小：2G，硬盘容量：32GB SSD，电源：单电源，接口：4千兆电口。</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含：</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VPN网关管理软件 V7.0(*1套);</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企业移动管理模块(*1套);</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企业移动管理接入授权(*150套);</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产品质保(*3年);</w:t>
            </w:r>
          </w:p>
          <w:p>
            <w:pPr>
              <w:keepNext w:val="0"/>
              <w:keepLines w:val="0"/>
              <w:widowControl/>
              <w:suppressLineNumbers w:val="0"/>
              <w:spacing w:before="0" w:beforeAutospacing="0" w:afterAutospacing="0"/>
              <w:ind w:left="0" w:right="0"/>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18"/>
                <w:szCs w:val="18"/>
                <w:lang w:bidi="ar"/>
              </w:rPr>
              <w:t>软件升级(*3年);</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安全服务、系统集成</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硬件、软件联调，培训。</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内网服务器</w:t>
            </w:r>
          </w:p>
        </w:tc>
        <w:tc>
          <w:tcPr>
            <w:tcW w:w="6387" w:type="dxa"/>
            <w:vAlign w:val="center"/>
          </w:tcPr>
          <w:p>
            <w:pPr>
              <w:keepNext w:val="0"/>
              <w:keepLines w:val="0"/>
              <w:widowControl/>
              <w:suppressLineNumbers w:val="0"/>
              <w:spacing w:before="0" w:beforeAutospacing="0" w:afterAutospacing="0"/>
              <w:ind w:left="0" w:right="0"/>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配置2个4210 2.2G 10核，4条16G内存，配置2个2TB SATA，阵列后可用2TB.2个550w电源。</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外网服务器</w:t>
            </w:r>
          </w:p>
        </w:tc>
        <w:tc>
          <w:tcPr>
            <w:tcW w:w="6387" w:type="dxa"/>
            <w:vAlign w:val="center"/>
          </w:tcPr>
          <w:p>
            <w:pPr>
              <w:keepNext w:val="0"/>
              <w:keepLines w:val="0"/>
              <w:widowControl/>
              <w:suppressLineNumbers w:val="0"/>
              <w:spacing w:before="0" w:beforeAutospacing="0" w:afterAutospacing="0"/>
              <w:ind w:left="0" w:right="0"/>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配置2个4210 2.2G 10核，4条16G内存，配置2个2TB SATA，阵列后可用2TB.2个550w电源。</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服务器操作系统</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windows server 2019标准版</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提供未封装APP</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提供未封装深信服VPN SDK的APP，包含安卓、鸿蒙系统的版本，由深信服重新封装深信服VPN和沙箱功能；</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音视频线路改造</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按现场3楼会议室与六楼会议室与总计房接入线路</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69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w:t>
            </w:r>
          </w:p>
        </w:tc>
        <w:tc>
          <w:tcPr>
            <w:tcW w:w="768" w:type="dxa"/>
            <w:gridSpan w:val="3"/>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网络环境改造</w:t>
            </w:r>
          </w:p>
        </w:tc>
        <w:tc>
          <w:tcPr>
            <w:tcW w:w="6387"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2"/>
                <w:sz w:val="18"/>
                <w:szCs w:val="18"/>
              </w:rPr>
            </w:pPr>
            <w:r>
              <w:rPr>
                <w:rFonts w:hint="eastAsia" w:ascii="宋体" w:hAnsi="宋体" w:eastAsia="宋体" w:cs="宋体"/>
                <w:color w:val="auto"/>
                <w:kern w:val="0"/>
                <w:sz w:val="18"/>
                <w:szCs w:val="18"/>
                <w:lang w:bidi="ar"/>
              </w:rPr>
              <w:t>根据两个会议室接入总会议系统</w:t>
            </w:r>
          </w:p>
        </w:tc>
        <w:tc>
          <w:tcPr>
            <w:tcW w:w="1095" w:type="dxa"/>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930" w:type="dxa"/>
            <w:noWrap/>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1020" w:hRule="atLeast"/>
        </w:trPr>
        <w:tc>
          <w:tcPr>
            <w:tcW w:w="9878" w:type="dxa"/>
            <w:gridSpan w:val="9"/>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一、要求：</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确定成交人后，成交后的各货物单价不随时间、市场价格等因素的变动而改变，直至采购人完成采购任务为止，否则按成交人违约处理并取消成交资格。</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rPr>
              <w:t>二、质量标</w:t>
            </w:r>
            <w:r>
              <w:rPr>
                <w:rFonts w:hint="eastAsia" w:ascii="宋体" w:hAnsi="宋体" w:eastAsia="宋体" w:cs="宋体"/>
                <w:color w:val="auto"/>
                <w:kern w:val="2"/>
                <w:sz w:val="21"/>
                <w:szCs w:val="21"/>
                <w:highlight w:val="none"/>
              </w:rPr>
              <w:t>准：达到国家要求标准。</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三、质保期：质保期</w:t>
            </w:r>
            <w:r>
              <w:rPr>
                <w:rFonts w:hint="eastAsia" w:ascii="宋体" w:hAnsi="宋体" w:eastAsia="宋体" w:cs="宋体"/>
                <w:color w:val="auto"/>
                <w:kern w:val="2"/>
                <w:sz w:val="21"/>
                <w:szCs w:val="21"/>
                <w:highlight w:val="none"/>
                <w:lang w:val="en-US" w:eastAsia="zh-CN"/>
              </w:rPr>
              <w:t>1年</w:t>
            </w:r>
            <w:r>
              <w:rPr>
                <w:rFonts w:hint="eastAsia" w:ascii="宋体" w:hAnsi="宋体" w:eastAsia="宋体" w:cs="宋体"/>
                <w:color w:val="auto"/>
                <w:kern w:val="2"/>
                <w:sz w:val="21"/>
                <w:szCs w:val="21"/>
                <w:highlight w:val="none"/>
              </w:rPr>
              <w:t>（若生产厂商免费质保期超过此年限的，按生产厂商规定执行）。</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四、售后服务及其他要求：</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竞</w:t>
            </w:r>
            <w:r>
              <w:rPr>
                <w:rFonts w:hint="eastAsia" w:ascii="宋体" w:hAnsi="宋体" w:eastAsia="宋体" w:cs="宋体"/>
                <w:color w:val="auto"/>
                <w:kern w:val="2"/>
                <w:sz w:val="21"/>
                <w:szCs w:val="21"/>
                <w:highlight w:val="none"/>
              </w:rPr>
              <w:t>标所提供的所有设备必须是签订合同之日前两年内生产的机型，产品质保、售后服务升级至</w:t>
            </w:r>
            <w:r>
              <w:rPr>
                <w:rFonts w:hint="eastAsia" w:ascii="宋体" w:hAnsi="宋体" w:eastAsia="宋体" w:cs="宋体"/>
                <w:color w:val="auto"/>
                <w:kern w:val="2"/>
                <w:sz w:val="21"/>
                <w:szCs w:val="21"/>
                <w:highlight w:val="none"/>
                <w:lang w:eastAsia="zh-CN"/>
              </w:rPr>
              <w:t>1年</w:t>
            </w:r>
            <w:r>
              <w:rPr>
                <w:rFonts w:hint="eastAsia" w:ascii="宋体" w:hAnsi="宋体" w:eastAsia="宋体" w:cs="宋体"/>
                <w:color w:val="auto"/>
                <w:kern w:val="2"/>
                <w:sz w:val="21"/>
                <w:szCs w:val="21"/>
                <w:highlight w:val="none"/>
              </w:rPr>
              <w:t>（若</w:t>
            </w:r>
            <w:r>
              <w:rPr>
                <w:rFonts w:hint="eastAsia" w:ascii="宋体" w:hAnsi="宋体" w:eastAsia="宋体" w:cs="宋体"/>
                <w:color w:val="auto"/>
                <w:kern w:val="2"/>
                <w:sz w:val="21"/>
                <w:szCs w:val="21"/>
              </w:rPr>
              <w:t>生产厂商免费质保期超过此年限的，按生产厂商规定执行）及免费维修服务，质保期内，成交人将负责处理并解决故障，并免费更换有故障的零部件，一切费用由成交人负责。质保期满前一个月内成交人应负责一次免费全面检查，终身提供维修服务，质保期外维修只收材料成本费，软件部分提供终身免费升级。</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2.须提供符合规定的规格、质量、性能的产品，并按照相关国家质量标准检验的合格产品，其产品须符合国家有关规定及厂家承诺实行“三包”，由成交供应商安排工程师免费送货上门安装；</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3.培训：（1）交货时由生产厂商或国内代理商工程技术人员为用户提供使用技术培训，并使操作人员达到能独立、熟练操作及维护设备的程度。使用培训为验收要件之一，没有经过培训，视为没能完成验收。</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（2）培训对象：管理人员及维修人员。</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（3）培训形式：现场使用培训方式，供方培训使用方法进行示范操作，保证教会使用人员能正确使用。 </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3.技术支持：公司提供免费的技术服务，产品说明书和技术咨询及指导；</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4.交货地点：采购人指定地点；</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5.交货期：</w:t>
            </w:r>
            <w:r>
              <w:rPr>
                <w:rFonts w:hint="eastAsia" w:ascii="宋体" w:hAnsi="宋体" w:eastAsia="宋体" w:cs="宋体"/>
                <w:color w:val="auto"/>
                <w:kern w:val="2"/>
                <w:sz w:val="21"/>
                <w:szCs w:val="21"/>
                <w:lang w:eastAsia="zh-CN"/>
              </w:rPr>
              <w:t>签订合同之日起15日内完成供货并安装调试及交付正常使用；</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6.签订合同日期：自成交通知书发出之日起25个工作日内。</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7.付款方式：签订合同之日起，具备实施条件后 ，采购人在10个工作日内支付合同总金额的30%作为项目前期启动资金，安装调试及交付正常使用且验收合格后支付合同总金额的65%，一年后采购人自收到发票后30日内一次性付清余款。</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验收方式：（1）产品到达现场后，成交供应商应在采购人在场情况下当面开箱，共同清点、检查外观，作出开箱记录，双方签字确认。成交供应商应保证货物到达采购人所在地完好无损，如有缺漏、损坏，由成交人负责调换、补齐或赔偿。</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（2）成交人应提供完整的技术或服务资料、装箱单和合格证等，并派遣专业技术人员进行现场安装调试。</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（3）货物技术参数与采购合同一致，性能或指标达到国家相关规定的标准。</w:t>
            </w:r>
          </w:p>
          <w:p>
            <w:pPr>
              <w:keepNext w:val="0"/>
              <w:keepLines w:val="0"/>
              <w:widowControl/>
              <w:suppressLineNumbers w:val="0"/>
              <w:spacing w:before="0" w:beforeAutospacing="0" w:afterAutospacing="0"/>
              <w:ind w:left="0" w:right="0"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（4）其他验收要求按合同主要条款及格式执行。</w:t>
            </w:r>
          </w:p>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2"/>
                <w:sz w:val="21"/>
                <w:szCs w:val="21"/>
              </w:rPr>
              <w:t>备注：本项目报价包括货物、货物包装、装卸运输、保险、税费以及货物的安装、检测、验收、技术服务（包括技术资料的提供）、质保期保障、培训等所发生的一切费用。</w:t>
            </w:r>
          </w:p>
        </w:tc>
      </w:tr>
    </w:tbl>
    <w:p>
      <w:pPr>
        <w:pStyle w:val="2"/>
        <w:rPr>
          <w:rFonts w:hint="eastAsia" w:ascii="宋体" w:hAnsi="宋体" w:eastAsia="宋体" w:cs="宋体"/>
          <w:b/>
          <w:bCs/>
          <w:color w:val="auto"/>
          <w:szCs w:val="21"/>
        </w:rPr>
      </w:pPr>
    </w:p>
    <w:p>
      <w:pPr>
        <w:jc w:val="center"/>
        <w:rPr>
          <w:rFonts w:hint="eastAsia" w:ascii="宋体" w:hAnsi="宋体" w:eastAsia="宋体" w:cs="宋体"/>
          <w:b/>
          <w:bCs/>
          <w:color w:val="auto"/>
          <w:sz w:val="36"/>
          <w:szCs w:val="36"/>
        </w:rPr>
      </w:pPr>
    </w:p>
    <w:p>
      <w:pPr>
        <w:jc w:val="center"/>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pStyle w:val="10"/>
        <w:jc w:val="left"/>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微软雅黑" w:hAnsi="微软雅黑" w:eastAsia="微软雅黑" w:cs="微软雅黑"/>
          <w:color w:val="auto"/>
          <w:sz w:val="32"/>
          <w:szCs w:val="32"/>
          <w:highlight w:val="none"/>
          <w:lang w:val="en-US" w:eastAsia="zh-CN"/>
        </w:rPr>
        <w:t>1</w:t>
      </w:r>
      <w:r>
        <w:rPr>
          <w:rFonts w:hint="eastAsia" w:ascii="微软雅黑" w:hAnsi="微软雅黑" w:eastAsia="微软雅黑" w:cs="微软雅黑"/>
          <w:color w:val="auto"/>
          <w:sz w:val="32"/>
          <w:szCs w:val="32"/>
          <w:highlight w:val="none"/>
        </w:rPr>
        <w:t>：</w:t>
      </w:r>
    </w:p>
    <w:p>
      <w:pPr>
        <w:spacing w:line="528" w:lineRule="exact"/>
        <w:ind w:left="0" w:leftChars="0" w:firstLine="0" w:firstLineChars="0"/>
        <w:jc w:val="center"/>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16"/>
        <w:tblW w:w="4999" w:type="pct"/>
        <w:tblInd w:w="0" w:type="dxa"/>
        <w:tblLayout w:type="autofit"/>
        <w:tblCellMar>
          <w:top w:w="0" w:type="dxa"/>
          <w:left w:w="108" w:type="dxa"/>
          <w:bottom w:w="0" w:type="dxa"/>
          <w:right w:w="108" w:type="dxa"/>
        </w:tblCellMar>
      </w:tblPr>
      <w:tblGrid>
        <w:gridCol w:w="708"/>
        <w:gridCol w:w="1184"/>
        <w:gridCol w:w="1623"/>
        <w:gridCol w:w="1771"/>
        <w:gridCol w:w="4828"/>
      </w:tblGrid>
      <w:tr>
        <w:tblPrEx>
          <w:tblCellMar>
            <w:top w:w="0" w:type="dxa"/>
            <w:left w:w="108" w:type="dxa"/>
            <w:bottom w:w="0" w:type="dxa"/>
            <w:right w:w="108" w:type="dxa"/>
          </w:tblCellMar>
        </w:tblPrEx>
        <w:trPr>
          <w:trHeight w:val="745" w:hRule="atLeast"/>
        </w:trPr>
        <w:tc>
          <w:tcPr>
            <w:tcW w:w="350" w:type="pct"/>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品目序号</w:t>
            </w:r>
          </w:p>
        </w:tc>
        <w:tc>
          <w:tcPr>
            <w:tcW w:w="2262" w:type="pct"/>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名称</w:t>
            </w:r>
          </w:p>
        </w:tc>
        <w:tc>
          <w:tcPr>
            <w:tcW w:w="2386"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依据的标准</w:t>
            </w:r>
          </w:p>
        </w:tc>
      </w:tr>
      <w:tr>
        <w:tblPrEx>
          <w:tblCellMar>
            <w:top w:w="0" w:type="dxa"/>
            <w:left w:w="108" w:type="dxa"/>
            <w:bottom w:w="0" w:type="dxa"/>
            <w:right w:w="108" w:type="dxa"/>
          </w:tblCellMar>
        </w:tblPrEx>
        <w:trPr>
          <w:trHeight w:val="495" w:hRule="atLeast"/>
        </w:trPr>
        <w:tc>
          <w:tcPr>
            <w:tcW w:w="350"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585"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A020101计算机设备</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★A02010104台式计算机</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★A02010105便携式计算机</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★A02010107平板式微型计算机</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《微型计算机能效限定值及能效等级》（GB28380）</w:t>
            </w:r>
          </w:p>
        </w:tc>
      </w:tr>
      <w:tr>
        <w:tblPrEx>
          <w:tblCellMar>
            <w:top w:w="0" w:type="dxa"/>
            <w:left w:w="108" w:type="dxa"/>
            <w:bottom w:w="0" w:type="dxa"/>
            <w:right w:w="108" w:type="dxa"/>
          </w:tblCellMar>
        </w:tblPrEx>
        <w:trPr>
          <w:trHeight w:val="495" w:hRule="atLeast"/>
        </w:trPr>
        <w:tc>
          <w:tcPr>
            <w:tcW w:w="350"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585"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A020106输入输出设备</w:t>
            </w:r>
          </w:p>
        </w:tc>
        <w:tc>
          <w:tcPr>
            <w:tcW w:w="802"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A02010601打印设备</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A0201060101喷墨打印机</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★A0201060102激光打印机</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★A0201060104针式打印机</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A02010604显示设备</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★A0201060401液晶显示器</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《计算机显示器能效限定值及能效等级》（GB21520）</w:t>
            </w:r>
          </w:p>
        </w:tc>
      </w:tr>
      <w:tr>
        <w:tblPrEx>
          <w:tblCellMar>
            <w:top w:w="0" w:type="dxa"/>
            <w:left w:w="108" w:type="dxa"/>
            <w:bottom w:w="0" w:type="dxa"/>
            <w:right w:w="108" w:type="dxa"/>
          </w:tblCellMar>
        </w:tblPrEx>
        <w:trPr>
          <w:trHeight w:val="97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A02010609图形图像输入设备</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A0201060901扫描仪</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A020202投影仪</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《投影机能效限定值及能效等级》（GB32028）</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A020204多功能一体机</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A020519泵</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A02051901离心泵</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《清水离心泵能效限定值及节能评价值》（GB19762）</w:t>
            </w:r>
          </w:p>
        </w:tc>
      </w:tr>
      <w:tr>
        <w:tblPrEx>
          <w:tblCellMar>
            <w:top w:w="0" w:type="dxa"/>
            <w:left w:w="108" w:type="dxa"/>
            <w:bottom w:w="0" w:type="dxa"/>
            <w:right w:w="108" w:type="dxa"/>
          </w:tblCellMar>
        </w:tblPrEx>
        <w:trPr>
          <w:trHeight w:val="735" w:hRule="atLeast"/>
        </w:trPr>
        <w:tc>
          <w:tcPr>
            <w:tcW w:w="350"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585"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A020523制冷空调设备</w:t>
            </w:r>
          </w:p>
        </w:tc>
        <w:tc>
          <w:tcPr>
            <w:tcW w:w="802"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★A02052301制冷压缩机</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冷水机组</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水源热泵机组</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《水（地）源热泵机组能效限定值及能效等级》（GB30721）</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溴化锂吸收式冷水机组</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★A02052305空调机组</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多联式空调（热泵）机组(制冷量&gt;14000W)</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单元式空气调节机(制冷量&gt;14000W</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★A02052309专用制冷、空调设备</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机房空调</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《单元式空气调节机能效限定值及能效等级》（GB19576）</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A02052399其他制冷空调设备</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冷却塔</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A020601电机</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A020602变压器</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配电变压器</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《三相配电变压器能效限定值及能效等级》（GB20052）</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★A020609镇流器</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管型荧光灯镇流器</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《管形荧光灯镇流器能效限定值及能效等级》（GB17896）</w:t>
            </w:r>
          </w:p>
        </w:tc>
      </w:tr>
      <w:tr>
        <w:tblPrEx>
          <w:tblCellMar>
            <w:top w:w="0" w:type="dxa"/>
            <w:left w:w="108" w:type="dxa"/>
            <w:bottom w:w="0" w:type="dxa"/>
            <w:right w:w="108" w:type="dxa"/>
          </w:tblCellMar>
        </w:tblPrEx>
        <w:trPr>
          <w:trHeight w:val="495" w:hRule="atLeast"/>
        </w:trPr>
        <w:tc>
          <w:tcPr>
            <w:tcW w:w="350"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585"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A020618生活用电器</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A0206180101电冰箱</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《家用电冰箱耗电量限定值及能效等级》（GB 12021.2）</w:t>
            </w:r>
          </w:p>
        </w:tc>
      </w:tr>
      <w:tr>
        <w:tblPrEx>
          <w:tblCellMar>
            <w:top w:w="0" w:type="dxa"/>
            <w:left w:w="108" w:type="dxa"/>
            <w:bottom w:w="0" w:type="dxa"/>
            <w:right w:w="108" w:type="dxa"/>
          </w:tblCellMar>
        </w:tblPrEx>
        <w:trPr>
          <w:trHeight w:val="97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★A0206180203空调机</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房间空气调节器</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多联式空调（热泵）机组（制冷量≤ 14000W）</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单元式空气调节机(制冷量≤14000W)</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A0206180301洗衣机</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《电动洗衣机能效水效限定值及等级》（GB12021.4）</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A02061808热水器</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★电热水器</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《储水式电热水器能效限定值及能效等级》（GB21519）</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燃气热水器</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热泵热水器</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《热泵热水机（器）能效限定值及能效等级》（GB29541）</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太阳能热水系统</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《家用太阳能热水系统能效限定值及能效等级》（GB26969）</w:t>
            </w:r>
          </w:p>
        </w:tc>
      </w:tr>
      <w:tr>
        <w:tblPrEx>
          <w:tblCellMar>
            <w:top w:w="0" w:type="dxa"/>
            <w:left w:w="108" w:type="dxa"/>
            <w:bottom w:w="0" w:type="dxa"/>
            <w:right w:w="108" w:type="dxa"/>
          </w:tblCellMar>
        </w:tblPrEx>
        <w:trPr>
          <w:trHeight w:val="495" w:hRule="atLeast"/>
        </w:trPr>
        <w:tc>
          <w:tcPr>
            <w:tcW w:w="350"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585"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A020619照明设备</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★普通照明用双端荧光灯</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LED道路/隧道照明产品</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LED筒灯</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普通照明用非定向自镇流LED灯</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《室内照明用LED产品能效限定值及能效等级》（GB30255）</w:t>
            </w:r>
          </w:p>
        </w:tc>
      </w:tr>
      <w:tr>
        <w:tblPrEx>
          <w:tblCellMar>
            <w:top w:w="0" w:type="dxa"/>
            <w:left w:w="108" w:type="dxa"/>
            <w:bottom w:w="0" w:type="dxa"/>
            <w:right w:w="108" w:type="dxa"/>
          </w:tblCellMar>
        </w:tblPrEx>
        <w:trPr>
          <w:trHeight w:val="73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★A020910电视设备</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A02091001普通电视设备（电视机）</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《平板电视能效限定值及能效等级》（GB24850）</w:t>
            </w:r>
          </w:p>
        </w:tc>
      </w:tr>
      <w:tr>
        <w:tblPrEx>
          <w:tblCellMar>
            <w:top w:w="0" w:type="dxa"/>
            <w:left w:w="108" w:type="dxa"/>
            <w:bottom w:w="0" w:type="dxa"/>
            <w:right w:w="108" w:type="dxa"/>
          </w:tblCellMar>
        </w:tblPrEx>
        <w:trPr>
          <w:trHeight w:val="97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★A020911视频设备</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A02091107视频监控设备</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监视器</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A031210饮食炊事机械</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商用燃气灶具</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《商用燃气灶具能效限定值及能效等级》（GB30531）</w:t>
            </w:r>
          </w:p>
        </w:tc>
      </w:tr>
      <w:tr>
        <w:tblPrEx>
          <w:tblCellMar>
            <w:top w:w="0" w:type="dxa"/>
            <w:left w:w="108" w:type="dxa"/>
            <w:bottom w:w="0" w:type="dxa"/>
            <w:right w:w="108" w:type="dxa"/>
          </w:tblCellMar>
        </w:tblPrEx>
        <w:trPr>
          <w:trHeight w:val="285" w:hRule="atLeast"/>
        </w:trPr>
        <w:tc>
          <w:tcPr>
            <w:tcW w:w="350"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585"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★A060805便器</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坐便器</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《坐便器水效限定值及水效等级》（GB25502）</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蹲便器</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《蹲便器用水效率限定值及用水效率等级》（GB30717）</w:t>
            </w:r>
          </w:p>
        </w:tc>
      </w:tr>
      <w:tr>
        <w:tblPrEx>
          <w:tblCellMar>
            <w:top w:w="0" w:type="dxa"/>
            <w:left w:w="108" w:type="dxa"/>
            <w:bottom w:w="0" w:type="dxa"/>
            <w:right w:w="108" w:type="dxa"/>
          </w:tblCellMar>
        </w:tblPrEx>
        <w:trPr>
          <w:trHeight w:val="495" w:hRule="atLeast"/>
        </w:trPr>
        <w:tc>
          <w:tcPr>
            <w:tcW w:w="350"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585"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小便器</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《小便器用水效率限定值及用水效率等级》（GB28377）</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★A060806水嘴</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《水嘴用水效率限定值及用水效率等级》（GB 25501）</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A060807便器冲洗阀</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《便器冲洗阀用水效率限定值及用水效率等级》（GB28379）</w:t>
            </w:r>
          </w:p>
        </w:tc>
      </w:tr>
      <w:tr>
        <w:tblPrEx>
          <w:tblCellMar>
            <w:top w:w="0" w:type="dxa"/>
            <w:left w:w="108" w:type="dxa"/>
            <w:bottom w:w="0" w:type="dxa"/>
            <w:right w:w="108" w:type="dxa"/>
          </w:tblCellMar>
        </w:tblPrEx>
        <w:trPr>
          <w:trHeight w:val="495" w:hRule="atLeast"/>
        </w:trPr>
        <w:tc>
          <w:tcPr>
            <w:tcW w:w="35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58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A060810淋浴器</w:t>
            </w:r>
          </w:p>
        </w:tc>
        <w:tc>
          <w:tcPr>
            <w:tcW w:w="802"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75"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8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《淋浴器用水效率限定值及用水效率等级》（GB28378）</w:t>
            </w:r>
          </w:p>
        </w:tc>
      </w:tr>
    </w:tbl>
    <w:p>
      <w:pPr>
        <w:pStyle w:val="10"/>
        <w:jc w:val="left"/>
        <w:rPr>
          <w:rFonts w:hint="eastAsia" w:ascii="仿宋" w:hAnsi="仿宋" w:eastAsia="仿宋" w:cs="仿宋"/>
          <w:color w:val="auto"/>
          <w:highlight w:val="none"/>
        </w:rPr>
      </w:pPr>
      <w:r>
        <w:rPr>
          <w:rFonts w:hint="eastAsia" w:ascii="仿宋" w:hAnsi="仿宋" w:eastAsia="仿宋" w:cs="仿宋"/>
          <w:color w:val="auto"/>
          <w:highlight w:val="none"/>
        </w:rPr>
        <w:t>注：1.节能产品认证应依据相关国家标准的最新版本，依据国家标准中二级能效（水效）指标。</w:t>
      </w:r>
    </w:p>
    <w:p>
      <w:pPr>
        <w:pStyle w:val="10"/>
        <w:jc w:val="left"/>
        <w:rPr>
          <w:rFonts w:hint="eastAsia" w:ascii="Arial Unicode MS" w:hAnsi="Arial Unicode MS" w:eastAsia="Arial Unicode MS" w:cs="Arial Unicode MS"/>
          <w:color w:val="auto"/>
          <w:sz w:val="32"/>
          <w:szCs w:val="32"/>
          <w:highlight w:val="none"/>
        </w:rPr>
      </w:pPr>
      <w:r>
        <w:rPr>
          <w:rFonts w:hint="eastAsia" w:ascii="仿宋" w:hAnsi="仿宋" w:eastAsia="仿宋" w:cs="仿宋"/>
          <w:color w:val="auto"/>
          <w:highlight w:val="none"/>
        </w:rPr>
        <w:t xml:space="preserve">    2.以“★”标注的为政府强制采购产品。</w:t>
      </w:r>
      <w:r>
        <w:rPr>
          <w:rFonts w:hint="eastAsia" w:ascii="仿宋" w:hAnsi="仿宋" w:eastAsia="仿宋" w:cs="仿宋"/>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pPr>
        <w:spacing w:line="528" w:lineRule="exact"/>
        <w:ind w:left="0" w:leftChars="0" w:firstLine="0" w:firstLineChars="0"/>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16"/>
        <w:tblW w:w="9578" w:type="dxa"/>
        <w:tblInd w:w="250" w:type="dxa"/>
        <w:tblLayout w:type="fixed"/>
        <w:tblCellMar>
          <w:top w:w="0" w:type="dxa"/>
          <w:left w:w="108" w:type="dxa"/>
          <w:bottom w:w="0" w:type="dxa"/>
          <w:right w:w="108" w:type="dxa"/>
        </w:tblCellMar>
      </w:tblPr>
      <w:tblGrid>
        <w:gridCol w:w="2002"/>
        <w:gridCol w:w="2002"/>
        <w:gridCol w:w="857"/>
        <w:gridCol w:w="1858"/>
        <w:gridCol w:w="1716"/>
        <w:gridCol w:w="1143"/>
      </w:tblGrid>
      <w:tr>
        <w:tblPrEx>
          <w:tblCellMar>
            <w:top w:w="0" w:type="dxa"/>
            <w:left w:w="108" w:type="dxa"/>
            <w:bottom w:w="0" w:type="dxa"/>
            <w:right w:w="108" w:type="dxa"/>
          </w:tblCellMar>
        </w:tblPrEx>
        <w:trPr>
          <w:trHeight w:val="759" w:hRule="atLeast"/>
        </w:trPr>
        <w:tc>
          <w:tcPr>
            <w:tcW w:w="20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20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388" w:hRule="atLeast"/>
        </w:trPr>
        <w:tc>
          <w:tcPr>
            <w:tcW w:w="200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388" w:hRule="atLeast"/>
        </w:trPr>
        <w:tc>
          <w:tcPr>
            <w:tcW w:w="2002" w:type="dxa"/>
            <w:vMerge w:val="restart"/>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388" w:hRule="atLeast"/>
        </w:trPr>
        <w:tc>
          <w:tcPr>
            <w:tcW w:w="200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default" w:ascii="仿宋_GB2312" w:hAnsi="仿宋" w:eastAsia="仿宋_GB2312" w:cs="宋体"/>
                <w:b/>
                <w:bCs/>
                <w:color w:val="auto"/>
                <w:kern w:val="0"/>
                <w:sz w:val="18"/>
                <w:szCs w:val="18"/>
                <w:highlight w:val="none"/>
              </w:rPr>
            </w:pP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405" w:hRule="atLeast"/>
        </w:trPr>
        <w:tc>
          <w:tcPr>
            <w:tcW w:w="200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center"/>
              <w:textAlignment w:val="auto"/>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1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jc w:val="left"/>
              <w:textAlignment w:val="auto"/>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pStyle w:val="22"/>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本项目所属行业是</w:t>
      </w:r>
      <w:r>
        <w:rPr>
          <w:rFonts w:hint="eastAsia" w:ascii="仿宋_GB2312" w:hAnsi="仿宋" w:eastAsia="仿宋_GB2312"/>
          <w:color w:val="auto"/>
          <w:szCs w:val="21"/>
          <w:highlight w:val="none"/>
          <w:u w:val="single"/>
        </w:rPr>
        <w:t xml:space="preserve">  工业  </w:t>
      </w:r>
      <w:r>
        <w:rPr>
          <w:rFonts w:hint="eastAsia" w:ascii="仿宋_GB2312" w:hAnsi="仿宋" w:eastAsia="仿宋_GB2312"/>
          <w:color w:val="auto"/>
          <w:szCs w:val="21"/>
          <w:highlight w:val="none"/>
        </w:rPr>
        <w:t xml:space="preserve"> 。</w:t>
      </w:r>
    </w:p>
    <w:p>
      <w:pPr>
        <w:pStyle w:val="2"/>
        <w:rPr>
          <w:rFonts w:hint="eastAsia" w:ascii="宋体" w:hAnsi="宋体" w:eastAsia="宋体" w:cs="宋体"/>
          <w:b/>
          <w:bCs/>
          <w:color w:val="auto"/>
          <w:sz w:val="36"/>
          <w:szCs w:val="36"/>
        </w:rPr>
      </w:pP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第四章</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合同书</w:t>
      </w: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合同书（格式）</w:t>
      </w:r>
    </w:p>
    <w:p>
      <w:pPr>
        <w:spacing w:line="400" w:lineRule="exact"/>
        <w:ind w:right="480" w:firstLine="6930" w:firstLineChars="3300"/>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采购单位（甲方）：</w:t>
      </w:r>
      <w:r>
        <w:rPr>
          <w:rFonts w:hint="eastAsia" w:ascii="宋体" w:hAnsi="宋体" w:eastAsia="宋体" w:cs="宋体"/>
          <w:color w:val="auto"/>
          <w:sz w:val="21"/>
          <w:szCs w:val="21"/>
          <w:u w:val="single"/>
          <w:lang w:val="en-US" w:eastAsia="zh-CN"/>
        </w:rPr>
        <w:t xml:space="preserve">                          </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供 应 商（乙方）：</w:t>
      </w:r>
      <w:r>
        <w:rPr>
          <w:rFonts w:hint="eastAsia" w:ascii="宋体" w:hAnsi="宋体" w:eastAsia="宋体" w:cs="宋体"/>
          <w:color w:val="auto"/>
          <w:sz w:val="21"/>
          <w:szCs w:val="21"/>
          <w:u w:val="single"/>
          <w:lang w:val="en-US" w:eastAsia="zh-CN"/>
        </w:rPr>
        <w:t xml:space="preserve">                        </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 xml:space="preserve">签  订  地  点 ： </w:t>
      </w:r>
      <w:r>
        <w:rPr>
          <w:rFonts w:hint="eastAsia" w:ascii="宋体" w:hAnsi="宋体" w:eastAsia="宋体" w:cs="宋体"/>
          <w:color w:val="auto"/>
          <w:sz w:val="21"/>
          <w:szCs w:val="21"/>
          <w:u w:val="single"/>
          <w:lang w:val="en-US" w:eastAsia="zh-CN"/>
        </w:rPr>
        <w:t xml:space="preserve">                         </w:t>
      </w:r>
    </w:p>
    <w:p>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签 订 时 间：</w:t>
      </w:r>
      <w:r>
        <w:rPr>
          <w:rFonts w:hint="eastAsia" w:ascii="宋体" w:hAnsi="宋体" w:eastAsia="宋体" w:cs="宋体"/>
          <w:color w:val="auto"/>
          <w:sz w:val="21"/>
          <w:szCs w:val="21"/>
          <w:u w:val="single"/>
          <w:lang w:val="en-US" w:eastAsia="zh-CN"/>
        </w:rPr>
        <w:t xml:space="preserve">                              </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根据《中华人民共和国政府采购法》、《中华人民共和国合同法》等法律、法规规定，按照招标文件规定条款和成交供应商承诺，甲乙双方签订本合同。</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第一条　合同标的</w:t>
      </w:r>
    </w:p>
    <w:p>
      <w:pPr>
        <w:pStyle w:val="10"/>
        <w:keepNext w:val="0"/>
        <w:keepLines w:val="0"/>
        <w:pageBreakBefore w:val="0"/>
        <w:kinsoku/>
        <w:wordWrap/>
        <w:overflowPunct/>
        <w:topLinePunct w:val="0"/>
        <w:autoSpaceDE/>
        <w:autoSpaceDN/>
        <w:bidi w:val="0"/>
        <w:spacing w:line="240" w:lineRule="auto"/>
        <w:ind w:firstLine="420"/>
        <w:textAlignment w:val="auto"/>
        <w:rPr>
          <w:rFonts w:hint="eastAsia" w:ascii="宋体" w:hAnsi="宋体" w:eastAsia="宋体" w:cs="宋体"/>
          <w:b/>
          <w:color w:val="auto"/>
          <w:szCs w:val="21"/>
        </w:rPr>
      </w:pPr>
      <w:r>
        <w:rPr>
          <w:rFonts w:hint="eastAsia" w:ascii="宋体" w:hAnsi="宋体" w:eastAsia="宋体" w:cs="宋体"/>
          <w:color w:val="auto"/>
          <w:szCs w:val="21"/>
        </w:rPr>
        <w:t>1．根据成交通知书的成交内容，合同的总金额为：</w:t>
      </w:r>
      <w:r>
        <w:rPr>
          <w:rFonts w:hint="eastAsia" w:ascii="宋体" w:hAnsi="宋体" w:eastAsia="宋体" w:cs="宋体"/>
          <w:b/>
          <w:color w:val="auto"/>
          <w:szCs w:val="21"/>
        </w:rPr>
        <w:t>人民币（大写）</w:t>
      </w:r>
      <w:r>
        <w:rPr>
          <w:rFonts w:hint="eastAsia" w:hAnsi="宋体" w:cs="宋体"/>
          <w:b/>
          <w:color w:val="auto"/>
          <w:szCs w:val="21"/>
          <w:u w:val="single"/>
          <w:lang w:val="en-US" w:eastAsia="zh-CN"/>
        </w:rPr>
        <w:t xml:space="preserve">                 </w:t>
      </w:r>
      <w:r>
        <w:rPr>
          <w:rFonts w:hint="eastAsia" w:ascii="宋体" w:hAnsi="宋体" w:eastAsia="宋体" w:cs="宋体"/>
          <w:b/>
          <w:color w:val="auto"/>
          <w:szCs w:val="21"/>
          <w:u w:val="single"/>
        </w:rPr>
        <w:t>（￥       ）</w:t>
      </w:r>
      <w:r>
        <w:rPr>
          <w:rFonts w:hint="eastAsia" w:ascii="宋体" w:hAnsi="宋体" w:eastAsia="宋体" w:cs="宋体"/>
          <w:b/>
          <w:color w:val="auto"/>
          <w:szCs w:val="21"/>
        </w:rPr>
        <w:t>。</w:t>
      </w:r>
    </w:p>
    <w:p>
      <w:pPr>
        <w:pStyle w:val="10"/>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2．本合同所涉及的乙方应提供的货物和服务内容详见竞争性谈判采购“货物需求一览表”中所列内容。</w:t>
      </w:r>
    </w:p>
    <w:p>
      <w:pPr>
        <w:pStyle w:val="10"/>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3．乙方在保证本次竞争性谈判采购的货物在工程实施完成后才能完成本次货物供应，所供的货物单价执行成交单价，不因工期延长及物价上涨等因素而终止供货。</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第二条　质量保证</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1．乙方所提供的货物型号、技术规格、技术参数等质量必须与竞争性谈判采购文件要求和竞标文件承诺相一致。</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2．乙方所提供的货物必须是全新、未使用的原装产品，且在正常安装、使用和保养条件下，其使用寿命期内各项指标均达到质量要求。</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第三条　权利保证</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乙方应保证所提供货物在使用时不会侵犯任何第三方的专利权、商标权、工业设计权或其他权利。</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乙方应按采购文件规定的时间向甲方提供使用货物的有关技术资料。</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乙方保证所交付的货物的所有权完全属于乙方且无任何抵押、质押、查封等产权瑕疵。</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第四条　包装和运输</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1．乙方提供的货物均应按竞争性谈判采购文件要求的包装材料、包装标准、包装方式进行包装，每一包装单元内应附详细的装箱单和质量合格证。</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2．货物的运输方式：</w:t>
      </w:r>
      <w:r>
        <w:rPr>
          <w:rFonts w:hint="eastAsia" w:ascii="宋体" w:hAnsi="宋体" w:eastAsia="宋体" w:cs="宋体"/>
          <w:color w:val="auto"/>
          <w:sz w:val="21"/>
          <w:szCs w:val="21"/>
          <w:u w:val="single"/>
        </w:rPr>
        <w:t xml:space="preserve">成交人自行解决 </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3．乙方负责货物运输，货物运输合理损耗及计算方法：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第五条　交付和验收</w:t>
      </w:r>
    </w:p>
    <w:p>
      <w:pPr>
        <w:keepNext w:val="0"/>
        <w:keepLines w:val="0"/>
        <w:pageBreakBefore w:val="0"/>
        <w:kinsoku/>
        <w:wordWrap/>
        <w:overflowPunct/>
        <w:topLinePunct w:val="0"/>
        <w:autoSpaceDE/>
        <w:autoSpaceDN/>
        <w:bidi w:val="0"/>
        <w:spacing w:line="240"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1．交货时间：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点：</w:t>
      </w:r>
      <w:r>
        <w:rPr>
          <w:rFonts w:hint="eastAsia" w:ascii="宋体" w:hAnsi="宋体" w:eastAsia="宋体" w:cs="宋体"/>
          <w:color w:val="auto"/>
          <w:sz w:val="21"/>
          <w:szCs w:val="21"/>
          <w:u w:val="single"/>
        </w:rPr>
        <w:t>采购人指定地点</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2．乙方提供不符合采购及竞标文件和本合同规定的货物，甲方有权拒绝接受。</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3．乙方应将所提供货物的装箱清单、用户手册、原厂保修卡、随机资料、工具和备品、备件等交付给甲方，如有缺失应及时补齐，否则视为逾期交货。</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4．甲方应当在到货（安装、调试完）后七个工作日内进行验收，逾期不验收的，乙方可视同验收合格。验收合格后由甲乙双方签署货物验收单并加盖采购单位公章，甲乙双方各执一份。</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5．在验收过程中发现乙方有违约问题，可暂缓资金结算，待违约问题解决后，方可办理资金结算事宜。</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6．甲方对验收有异议的，在验收后五个工作日内以书面形式向乙方提出，乙方应自收到甲方书面异议后日内及时予以解决。</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第六条　安装和培训</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1．甲方应提供必要安装条件（如场地、电源、水源等）。</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2，乙方负责甲方有关人员的培训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培训时间、地点。</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第七条  售后服务、保修期</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1．乙方应按照国家有关法律法规和“三包”规定以及招投标文件和本合同所附的《服务承诺》，为甲方提供售后服务。</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2．货物保修起止时间：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3．乙方提供的服务承诺和售后服务及保修期责任等其它具体约定事项。（见合同附件）</w:t>
      </w:r>
    </w:p>
    <w:p>
      <w:pPr>
        <w:keepNext w:val="0"/>
        <w:keepLines w:val="0"/>
        <w:pageBreakBefore w:val="0"/>
        <w:kinsoku/>
        <w:wordWrap/>
        <w:overflowPunct/>
        <w:topLinePunct w:val="0"/>
        <w:autoSpaceDE/>
        <w:autoSpaceDN/>
        <w:bidi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第八条　付款方式</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1.当采购数量与实际使用数量不一致时，乙方应根据实际使用量供货，合同的最终结算金额按实际使用量乘以成交单价进行计算。</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2.资金性质：</w:t>
      </w:r>
      <w:r>
        <w:rPr>
          <w:rFonts w:hint="eastAsia" w:ascii="宋体" w:hAnsi="宋体" w:eastAsia="宋体" w:cs="宋体"/>
          <w:color w:val="auto"/>
          <w:sz w:val="21"/>
          <w:szCs w:val="21"/>
          <w:u w:val="single"/>
          <w:lang w:val="en-US" w:eastAsia="zh-CN"/>
        </w:rPr>
        <w:t xml:space="preserve">     财政性资金     </w:t>
      </w:r>
      <w:r>
        <w:rPr>
          <w:rFonts w:hint="eastAsia" w:ascii="宋体" w:hAnsi="宋体" w:eastAsia="宋体" w:cs="宋体"/>
          <w:color w:val="auto"/>
          <w:sz w:val="21"/>
          <w:szCs w:val="21"/>
        </w:rPr>
        <w:t>。</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sz w:val="21"/>
          <w:szCs w:val="21"/>
        </w:rPr>
        <w:t>3.付款方式：</w:t>
      </w:r>
      <w:r>
        <w:rPr>
          <w:rFonts w:hint="eastAsia" w:ascii="宋体" w:hAnsi="宋体" w:eastAsia="宋体" w:cs="宋体"/>
          <w:color w:val="auto"/>
          <w:kern w:val="0"/>
          <w:sz w:val="21"/>
          <w:szCs w:val="21"/>
          <w:lang w:val="en-US" w:eastAsia="zh-CN" w:bidi="ar-SA"/>
        </w:rPr>
        <w:t>签订合同之日起，具备实施条件后 ，采购人在10个工作日内支付合同总金额的30%作为项目前期启动资金，安装调试及交付正常使用且验收合格后支付合同总金额的65%，一年后采购人自收到发票后30日内一次性付清余款。</w:t>
      </w:r>
    </w:p>
    <w:p>
      <w:pPr>
        <w:pStyle w:val="23"/>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20"/>
        <w:textAlignment w:val="auto"/>
        <w:rPr>
          <w:rFonts w:hint="eastAsia" w:ascii="宋体" w:hAnsi="宋体" w:eastAsia="宋体" w:cs="宋体"/>
          <w:bCs/>
          <w:color w:val="auto"/>
          <w:kern w:val="2"/>
          <w:sz w:val="21"/>
          <w:szCs w:val="21"/>
          <w:highlight w:val="none"/>
          <w:lang w:eastAsia="zh-CN"/>
        </w:rPr>
      </w:pP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条　质保金</w:t>
      </w:r>
      <w:r>
        <w:rPr>
          <w:rFonts w:hint="eastAsia" w:ascii="宋体" w:hAnsi="宋体" w:eastAsia="宋体" w:cs="宋体"/>
          <w:b/>
          <w:bCs/>
          <w:color w:val="auto"/>
          <w:sz w:val="21"/>
          <w:szCs w:val="21"/>
          <w:highlight w:val="none"/>
          <w:lang w:eastAsia="zh-CN"/>
        </w:rPr>
        <w:t>：无。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第十条　税费</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本合同执行中相关的一切税费均由乙方承担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增值税普通发票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pStyle w:val="2"/>
        <w:keepNext w:val="0"/>
        <w:keepLines w:val="0"/>
        <w:pageBreakBefore w:val="0"/>
        <w:numPr>
          <w:ilvl w:val="0"/>
          <w:numId w:val="0"/>
        </w:numPr>
        <w:kinsoku/>
        <w:wordWrap/>
        <w:overflowPunct/>
        <w:topLinePunct w:val="0"/>
        <w:autoSpaceDE/>
        <w:autoSpaceDN/>
        <w:bidi w:val="0"/>
        <w:spacing w:line="24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第十一条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履约保证金：</w:t>
      </w:r>
      <w:r>
        <w:rPr>
          <w:rFonts w:hint="eastAsia" w:ascii="宋体" w:hAnsi="宋体" w:eastAsia="宋体" w:cs="宋体"/>
          <w:b w:val="0"/>
          <w:bCs w:val="0"/>
          <w:color w:val="auto"/>
          <w:sz w:val="21"/>
          <w:szCs w:val="21"/>
          <w:lang w:eastAsia="zh-CN"/>
        </w:rPr>
        <w:t>无</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240"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rPr>
        <w:t>条、质量保证及售后服务</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1.乙方应按招标文件规定的货物性能、技术要求、质量标准向甲方提供未经使用的全新产品。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对达不到要求者，根据实际情况，经双方协商，可按以下办法处理：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⑴更换：由乙方承担所发生的全部费用。</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⑵贬值处理：由甲乙双方合议定价。</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⑶退货处理：乙方应退还甲方支付的合同款，同时应承担该货物的直接费用（运输、保险、检验、货款利息及银行手续费等）。</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2．如在使用过程中发生质量问题，乙方在接到甲方通知后在</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小时内到达甲方现场处理。</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3．在质保期内，乙方应对货物出现的质量及安全问题负责处理解决并承担一切费用。</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4．上述的货物免费保修</w:t>
      </w:r>
      <w:r>
        <w:rPr>
          <w:rFonts w:hint="eastAsia" w:ascii="宋体" w:hAnsi="宋体" w:eastAsia="宋体" w:cs="宋体"/>
          <w:color w:val="auto"/>
          <w:sz w:val="21"/>
          <w:szCs w:val="21"/>
          <w:highlight w:val="none"/>
        </w:rPr>
        <w:t>期为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年，因</w:t>
      </w:r>
      <w:r>
        <w:rPr>
          <w:rFonts w:hint="eastAsia" w:ascii="宋体" w:hAnsi="宋体" w:eastAsia="宋体" w:cs="宋体"/>
          <w:color w:val="auto"/>
          <w:sz w:val="21"/>
          <w:szCs w:val="21"/>
        </w:rPr>
        <w:t>人为因素出现的故障不在免费保修范围内。超过保修期的机器设备，终生维修，维修时只收部件成本费。</w:t>
      </w:r>
    </w:p>
    <w:p>
      <w:pPr>
        <w:keepNext w:val="0"/>
        <w:keepLines w:val="0"/>
        <w:pageBreakBefore w:val="0"/>
        <w:kinsoku/>
        <w:wordWrap/>
        <w:overflowPunct/>
        <w:topLinePunct w:val="0"/>
        <w:autoSpaceDE/>
        <w:autoSpaceDN/>
        <w:bidi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三</w:t>
      </w:r>
      <w:r>
        <w:rPr>
          <w:rFonts w:hint="eastAsia" w:ascii="宋体" w:hAnsi="宋体" w:eastAsia="宋体" w:cs="宋体"/>
          <w:b/>
          <w:color w:val="auto"/>
          <w:sz w:val="21"/>
          <w:szCs w:val="21"/>
        </w:rPr>
        <w:t>条 调试和验收</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对乙方提交的货物依据竞争性谈判采购文件上的技术规格要求和国家有关质量标准进行现场初步验收，外观、单位重量、说明书符合竞争性谈判采购文件技术要求的，给予签收，初步验收不合格的不予签收。货到后，甲方应当在到货（安装、调试完）后七个工作日内进行验收。</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2．乙方交货前应对产品作出全面检查和对验收文件进行整理，并列出清单，作为甲方收货验收和使用的技术条件依据，检验的结果应随货物交甲方。</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3．甲方对乙方提供的货物在使用前进行调试时，乙方需负责安装并培训甲方的使用操作人员，并协助甲方一起调试，直到符合技术要求，甲方才做最终验收。</w:t>
      </w:r>
    </w:p>
    <w:p>
      <w:pPr>
        <w:keepNext w:val="0"/>
        <w:keepLines w:val="0"/>
        <w:pageBreakBefore w:val="0"/>
        <w:kinsoku/>
        <w:wordWrap/>
        <w:overflowPunct/>
        <w:topLinePunct w:val="0"/>
        <w:autoSpaceDE/>
        <w:autoSpaceDN/>
        <w:bidi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四</w:t>
      </w:r>
      <w:r>
        <w:rPr>
          <w:rFonts w:hint="eastAsia" w:ascii="宋体" w:hAnsi="宋体" w:eastAsia="宋体" w:cs="宋体"/>
          <w:b/>
          <w:color w:val="auto"/>
          <w:sz w:val="21"/>
          <w:szCs w:val="21"/>
        </w:rPr>
        <w:t>条 货物包装、发运及运输</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1．乙方应在货物发运前对其进行满足运输距离、防潮、防震、防锈和防破损装卸等要求包装，以保证货物安全运达甲方指定地点。</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2．使用说明书、质量检验证明书、随配附件和工具以及清单一并附于货物内。</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3．乙方在货物发运手续办理完毕后二十四小时内或货到甲方四十八小时前通知甲方，以准备接货。</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4．货物在交付甲方前发生的风险均由乙方负责。</w:t>
      </w:r>
    </w:p>
    <w:p>
      <w:pPr>
        <w:keepNext w:val="0"/>
        <w:keepLines w:val="0"/>
        <w:pageBreakBefore w:val="0"/>
        <w:kinsoku/>
        <w:wordWrap/>
        <w:overflowPunct/>
        <w:topLinePunct w:val="0"/>
        <w:autoSpaceDE/>
        <w:autoSpaceDN/>
        <w:bidi w:val="0"/>
        <w:spacing w:line="240" w:lineRule="auto"/>
        <w:ind w:firstLine="525" w:firstLineChars="250"/>
        <w:textAlignment w:val="auto"/>
        <w:rPr>
          <w:rFonts w:hint="eastAsia" w:ascii="宋体" w:hAnsi="宋体" w:eastAsia="宋体" w:cs="宋体"/>
          <w:color w:val="auto"/>
          <w:spacing w:val="-8"/>
          <w:sz w:val="21"/>
          <w:szCs w:val="21"/>
        </w:rPr>
      </w:pPr>
      <w:r>
        <w:rPr>
          <w:rFonts w:hint="eastAsia" w:ascii="宋体" w:hAnsi="宋体" w:eastAsia="宋体" w:cs="宋体"/>
          <w:color w:val="auto"/>
          <w:sz w:val="21"/>
          <w:szCs w:val="21"/>
        </w:rPr>
        <w:t>5．货</w:t>
      </w:r>
      <w:r>
        <w:rPr>
          <w:rFonts w:hint="eastAsia" w:ascii="宋体" w:hAnsi="宋体" w:eastAsia="宋体" w:cs="宋体"/>
          <w:color w:val="auto"/>
          <w:spacing w:val="-8"/>
          <w:sz w:val="21"/>
          <w:szCs w:val="21"/>
        </w:rPr>
        <w:t>物在规定的交付期限内由乙方送达甲方指定的地点视为交付，乙方同时需通知甲方货物已送达。</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五</w:t>
      </w:r>
      <w:r>
        <w:rPr>
          <w:rFonts w:hint="eastAsia" w:ascii="宋体" w:hAnsi="宋体" w:eastAsia="宋体" w:cs="宋体"/>
          <w:b/>
          <w:color w:val="auto"/>
          <w:sz w:val="21"/>
          <w:szCs w:val="21"/>
        </w:rPr>
        <w:t>条　违约责任</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eastAsia="宋体" w:cs="宋体"/>
          <w:color w:val="auto"/>
          <w:sz w:val="21"/>
          <w:szCs w:val="21"/>
          <w:u w:val="single"/>
        </w:rPr>
        <w:t xml:space="preserve"> 5%</w:t>
      </w:r>
      <w:r>
        <w:rPr>
          <w:rFonts w:hint="eastAsia" w:ascii="宋体" w:hAnsi="宋体" w:eastAsia="宋体" w:cs="宋体"/>
          <w:color w:val="auto"/>
          <w:sz w:val="21"/>
          <w:szCs w:val="21"/>
        </w:rPr>
        <w:t xml:space="preserve">违约金并赔偿甲方经济损失。 </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2．乙方提供的货物如侵犯了第三方合法权益而引发的任何纠纷或诉讼，均由乙方负责交涉并承担全部责任。</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3．因包装、运输引起的货物损坏，按质量不合格处理。</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4．甲方无故延期接收货物、乙方逾期交货的，每天向对方偿付违约货款额</w:t>
      </w:r>
      <w:r>
        <w:rPr>
          <w:rFonts w:hint="eastAsia" w:ascii="宋体" w:hAnsi="宋体" w:eastAsia="宋体" w:cs="宋体"/>
          <w:color w:val="auto"/>
          <w:sz w:val="21"/>
          <w:szCs w:val="21"/>
          <w:u w:val="single"/>
        </w:rPr>
        <w:t>3‰</w:t>
      </w:r>
      <w:r>
        <w:rPr>
          <w:rFonts w:hint="eastAsia" w:ascii="宋体" w:hAnsi="宋体" w:eastAsia="宋体" w:cs="宋体"/>
          <w:color w:val="auto"/>
          <w:sz w:val="21"/>
          <w:szCs w:val="21"/>
        </w:rPr>
        <w:t>违约金，但违约金累计不得超过违约货款额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，超过天对方有权解除合同，违约方承担因此给对方造成的经济损失；甲方延期付货款的，每天向乙方偿付延期货款额</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滞纳金，但滞纳金累计不得超过延期货款额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5．乙方未按本合同和竞标文件中规定的服务承诺提供售后服务的，乙方应按本合同合计金额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向甲方支付违约金。</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6．乙方提供的货物在质量保证期内，因设计、工艺或材料的缺陷和其它质量原因造成的问题，由乙方负责，费用从质量保证金中扣除，不足另补。</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7．其它违约行为按违约货款额5%收取违约金并赔偿经济损失。</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六</w:t>
      </w:r>
      <w:r>
        <w:rPr>
          <w:rFonts w:hint="eastAsia" w:ascii="宋体" w:hAnsi="宋体" w:eastAsia="宋体" w:cs="宋体"/>
          <w:b/>
          <w:color w:val="auto"/>
          <w:sz w:val="21"/>
          <w:szCs w:val="21"/>
        </w:rPr>
        <w:t>条 不可抗力事件处理</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3．不可抗力事件延续一百二十天以上，双方应通过友好协商，确定是否继续履行合同。</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七</w:t>
      </w:r>
      <w:r>
        <w:rPr>
          <w:rFonts w:hint="eastAsia" w:ascii="宋体" w:hAnsi="宋体" w:eastAsia="宋体" w:cs="宋体"/>
          <w:b/>
          <w:color w:val="auto"/>
          <w:sz w:val="21"/>
          <w:szCs w:val="21"/>
        </w:rPr>
        <w:t>条  合同争议解决</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2．因履行本合同引起的或与本合同有关的争议，甲乙双方应首先通过友好协商解决，如果协商不能解决，可向仲裁委员会申请仲裁或向项目所在地人民法院提起诉讼。</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3．诉讼期间，本合同继续履行。</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八</w:t>
      </w:r>
      <w:r>
        <w:rPr>
          <w:rFonts w:hint="eastAsia" w:ascii="宋体" w:hAnsi="宋体" w:eastAsia="宋体" w:cs="宋体"/>
          <w:b/>
          <w:color w:val="auto"/>
          <w:sz w:val="21"/>
          <w:szCs w:val="21"/>
        </w:rPr>
        <w:t>条 诉讼</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双方在执行合同中所发生的一切争议，应通过协商解决。如协商不能解决，可向仲裁委员会申请仲裁或向本合同签订地点人民法院提起诉讼。</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九</w:t>
      </w:r>
      <w:r>
        <w:rPr>
          <w:rFonts w:hint="eastAsia" w:ascii="宋体" w:hAnsi="宋体" w:eastAsia="宋体" w:cs="宋体"/>
          <w:b/>
          <w:color w:val="auto"/>
          <w:sz w:val="21"/>
          <w:szCs w:val="21"/>
        </w:rPr>
        <w:t>条 合同生效及其它</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2．合同执行中涉及采购资金和采购内容修改或补充的，须经财政部门审批，并签书面补充协议报财政部门备案，方可作为主合同不可分割的一部分。</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3．本合同未尽事宜，遵照《合同法》有关条文执行。</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eastAsia="zh-CN"/>
        </w:rPr>
        <w:t>二十</w:t>
      </w:r>
      <w:r>
        <w:rPr>
          <w:rFonts w:hint="eastAsia" w:ascii="宋体" w:hAnsi="宋体" w:eastAsia="宋体" w:cs="宋体"/>
          <w:b/>
          <w:color w:val="auto"/>
          <w:sz w:val="21"/>
          <w:szCs w:val="21"/>
        </w:rPr>
        <w:t>条 合同的变更、终止与转让</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1．除《中华人民共和国政府采购法》第五十条规定的情形外，本合同一经签订，甲乙双方不得擅自变更、中止或终止。</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2．乙方不得擅自转让（无进口资格的供应商委托进口货物除外）其应履行的合同义务。</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第二十</w:t>
      </w: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条 签订本合同依据</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1．谈判采购文件；</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2．乙方提供的竞标文件；</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3．竞标函；</w:t>
      </w:r>
    </w:p>
    <w:p>
      <w:pPr>
        <w:keepNext w:val="0"/>
        <w:keepLines w:val="0"/>
        <w:pageBreakBefore w:val="0"/>
        <w:widowControl/>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4．成交通知书。</w:t>
      </w:r>
    </w:p>
    <w:p>
      <w:pPr>
        <w:keepNext w:val="0"/>
        <w:keepLines w:val="0"/>
        <w:pageBreakBefore w:val="0"/>
        <w:widowControl/>
        <w:kinsoku/>
        <w:wordWrap/>
        <w:overflowPunct/>
        <w:topLinePunct w:val="0"/>
        <w:autoSpaceDE/>
        <w:autoSpaceDN/>
        <w:bidi w:val="0"/>
        <w:adjustRightInd w:val="0"/>
        <w:snapToGrid w:val="0"/>
        <w:spacing w:line="240" w:lineRule="auto"/>
        <w:ind w:firstLine="527" w:firstLineChars="25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第二十</w:t>
      </w: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rPr>
        <w:t xml:space="preserve">条 </w:t>
      </w:r>
      <w:r>
        <w:rPr>
          <w:rFonts w:hint="eastAsia" w:ascii="宋体" w:hAnsi="宋体" w:eastAsia="宋体" w:cs="宋体"/>
          <w:color w:val="auto"/>
          <w:sz w:val="21"/>
          <w:szCs w:val="21"/>
        </w:rPr>
        <w:t xml:space="preserve"> 本合同一式四份，甲乙双方各执</w:t>
      </w:r>
      <w:r>
        <w:rPr>
          <w:rFonts w:hint="eastAsia" w:ascii="宋体" w:hAnsi="宋体" w:eastAsia="宋体" w:cs="宋体"/>
          <w:color w:val="auto"/>
          <w:sz w:val="21"/>
          <w:szCs w:val="21"/>
          <w:lang w:eastAsia="zh-CN"/>
        </w:rPr>
        <w:t>两</w:t>
      </w:r>
      <w:r>
        <w:rPr>
          <w:rFonts w:hint="eastAsia" w:ascii="宋体" w:hAnsi="宋体" w:eastAsia="宋体" w:cs="宋体"/>
          <w:color w:val="auto"/>
          <w:sz w:val="21"/>
          <w:szCs w:val="21"/>
        </w:rPr>
        <w:t>份，具有同等法律效力。</w:t>
      </w:r>
    </w:p>
    <w:tbl>
      <w:tblPr>
        <w:tblStyle w:val="16"/>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40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甲方（章）</w:t>
            </w:r>
          </w:p>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单位地址：</w:t>
            </w:r>
          </w:p>
        </w:tc>
        <w:tc>
          <w:tcPr>
            <w:tcW w:w="441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乙方（章）</w:t>
            </w:r>
          </w:p>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40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法定代表人或委托代理人：</w:t>
            </w:r>
          </w:p>
        </w:tc>
        <w:tc>
          <w:tcPr>
            <w:tcW w:w="441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40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电话：</w:t>
            </w:r>
          </w:p>
        </w:tc>
        <w:tc>
          <w:tcPr>
            <w:tcW w:w="441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40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电子邮箱：</w:t>
            </w:r>
          </w:p>
        </w:tc>
        <w:tc>
          <w:tcPr>
            <w:tcW w:w="441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40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开户银行：</w:t>
            </w:r>
          </w:p>
        </w:tc>
        <w:tc>
          <w:tcPr>
            <w:tcW w:w="441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440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账号：</w:t>
            </w:r>
          </w:p>
        </w:tc>
        <w:tc>
          <w:tcPr>
            <w:tcW w:w="441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40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邮政编码：</w:t>
            </w:r>
          </w:p>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年   月   日</w:t>
            </w:r>
          </w:p>
        </w:tc>
        <w:tc>
          <w:tcPr>
            <w:tcW w:w="441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邮政编码：</w:t>
            </w:r>
          </w:p>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819" w:type="dxa"/>
            <w:gridSpan w:val="2"/>
            <w:tcBorders>
              <w:left w:val="single" w:color="FFFFFF" w:sz="4" w:space="0"/>
              <w:bottom w:val="single" w:color="FFFFFF" w:sz="4" w:space="0"/>
              <w:right w:val="single" w:color="FFFFFF" w:sz="4" w:space="0"/>
            </w:tcBorders>
          </w:tcPr>
          <w:p>
            <w:pPr>
              <w:keepNext w:val="0"/>
              <w:keepLines w:val="0"/>
              <w:pageBreakBefore w:val="0"/>
              <w:widowControl/>
              <w:suppressLineNumbers w:val="0"/>
              <w:kinsoku/>
              <w:wordWrap/>
              <w:overflowPunct/>
              <w:topLinePunct w:val="0"/>
              <w:autoSpaceDE/>
              <w:autoSpaceDN/>
              <w:bidi w:val="0"/>
              <w:spacing w:before="0" w:beforeAutospacing="0" w:afterAutospacing="0" w:line="276" w:lineRule="auto"/>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rPr>
              <w:t>注：本合同样本仅供参考，具体内容由采购人和成交单位协商确定。</w:t>
            </w:r>
          </w:p>
        </w:tc>
      </w:tr>
    </w:tbl>
    <w:p>
      <w:pPr>
        <w:jc w:val="center"/>
        <w:rPr>
          <w:rFonts w:hint="eastAsia" w:ascii="宋体" w:hAnsi="宋体" w:eastAsia="宋体" w:cs="宋体"/>
          <w:b/>
          <w:bCs/>
          <w:color w:val="auto"/>
          <w:sz w:val="36"/>
          <w:szCs w:val="36"/>
        </w:rPr>
      </w:pP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第五章  </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pPr>
        <w:rPr>
          <w:rFonts w:hint="eastAsia" w:ascii="宋体" w:hAnsi="宋体" w:eastAsia="宋体" w:cs="宋体"/>
          <w:color w:val="auto"/>
          <w:sz w:val="24"/>
        </w:rPr>
      </w:pPr>
      <w:r>
        <w:rPr>
          <w:rFonts w:hint="eastAsia" w:ascii="宋体" w:hAnsi="宋体" w:eastAsia="宋体" w:cs="宋体"/>
          <w:color w:val="auto"/>
          <w:sz w:val="24"/>
        </w:rPr>
        <w:t>（用于</w:t>
      </w:r>
      <w:r>
        <w:rPr>
          <w:rFonts w:hint="eastAsia" w:ascii="宋体" w:hAnsi="宋体" w:eastAsia="宋体" w:cs="宋体"/>
          <w:color w:val="auto"/>
          <w:sz w:val="24"/>
          <w:lang w:eastAsia="zh-CN"/>
        </w:rPr>
        <w:t>响应文件</w:t>
      </w:r>
      <w:r>
        <w:rPr>
          <w:rFonts w:hint="eastAsia" w:ascii="宋体" w:hAnsi="宋体" w:eastAsia="宋体" w:cs="宋体"/>
          <w:color w:val="auto"/>
          <w:sz w:val="24"/>
        </w:rPr>
        <w:t>封面）</w:t>
      </w:r>
    </w:p>
    <w:p>
      <w:pPr>
        <w:rPr>
          <w:rFonts w:hint="eastAsia" w:ascii="宋体" w:hAnsi="宋体" w:eastAsia="宋体" w:cs="宋体"/>
          <w:color w:val="auto"/>
          <w:sz w:val="28"/>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 标 文 件</w:t>
      </w:r>
    </w:p>
    <w:p>
      <w:pPr>
        <w:jc w:val="center"/>
        <w:rPr>
          <w:rFonts w:hint="eastAsia" w:ascii="宋体" w:hAnsi="宋体" w:eastAsia="宋体" w:cs="宋体"/>
          <w:b/>
          <w:color w:val="auto"/>
          <w:sz w:val="44"/>
          <w:szCs w:val="44"/>
        </w:rPr>
      </w:pPr>
    </w:p>
    <w:p>
      <w:pPr>
        <w:rPr>
          <w:rFonts w:hint="eastAsia" w:ascii="宋体" w:hAnsi="宋体" w:eastAsia="宋体" w:cs="宋体"/>
          <w:b/>
          <w:bCs/>
          <w:color w:val="auto"/>
          <w:sz w:val="28"/>
          <w:szCs w:val="28"/>
        </w:rPr>
      </w:pPr>
    </w:p>
    <w:p>
      <w:pPr>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rPr>
        <w:t xml:space="preserve">                            </w:t>
      </w:r>
    </w:p>
    <w:p>
      <w:pPr>
        <w:ind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名称：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（盖单位公章）</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响应文件</w:t>
      </w:r>
      <w:r>
        <w:rPr>
          <w:rFonts w:hint="eastAsia" w:ascii="宋体" w:hAnsi="宋体" w:eastAsia="宋体" w:cs="宋体"/>
          <w:b/>
          <w:bCs/>
          <w:color w:val="auto"/>
          <w:sz w:val="28"/>
          <w:szCs w:val="28"/>
        </w:rPr>
        <w:t>内容：</w:t>
      </w:r>
      <w:r>
        <w:rPr>
          <w:rFonts w:hint="eastAsia" w:ascii="宋体" w:hAnsi="宋体" w:eastAsia="宋体" w:cs="宋体"/>
          <w:b/>
          <w:bCs/>
          <w:color w:val="auto"/>
          <w:sz w:val="28"/>
          <w:szCs w:val="28"/>
          <w:u w:val="single"/>
        </w:rPr>
        <w:t xml:space="preserve">             资格</w:t>
      </w:r>
      <w:r>
        <w:rPr>
          <w:rFonts w:hint="eastAsia" w:ascii="宋体" w:hAnsi="宋体" w:eastAsia="宋体" w:cs="宋体"/>
          <w:b/>
          <w:bCs/>
          <w:color w:val="auto"/>
          <w:sz w:val="28"/>
          <w:szCs w:val="28"/>
          <w:u w:val="single"/>
          <w:lang w:eastAsia="zh-CN"/>
        </w:rPr>
        <w:t>审查文件</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法定代表人（负责人）或其委托代理人：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（签    字）     </w:t>
      </w:r>
    </w:p>
    <w:p>
      <w:pPr>
        <w:spacing w:line="360" w:lineRule="auto"/>
        <w:ind w:firstLine="1734" w:firstLineChars="617"/>
        <w:rPr>
          <w:rFonts w:hint="eastAsia" w:ascii="宋体" w:hAnsi="宋体" w:eastAsia="宋体" w:cs="宋体"/>
          <w:b/>
          <w:bCs/>
          <w:color w:val="auto"/>
          <w:sz w:val="28"/>
          <w:szCs w:val="28"/>
        </w:rPr>
      </w:pPr>
      <w:r>
        <w:rPr>
          <w:rFonts w:hint="eastAsia" w:ascii="宋体" w:hAnsi="宋体" w:eastAsia="宋体" w:cs="宋体"/>
          <w:b/>
          <w:bCs/>
          <w:color w:val="auto"/>
          <w:sz w:val="28"/>
          <w:szCs w:val="28"/>
        </w:rPr>
        <w:t>日期：__________年_____月_____日</w:t>
      </w:r>
    </w:p>
    <w:p>
      <w:pPr>
        <w:jc w:val="both"/>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p>
    <w:p>
      <w:pPr>
        <w:pStyle w:val="2"/>
        <w:rPr>
          <w:rFonts w:hint="eastAsia" w:ascii="宋体" w:hAnsi="宋体" w:eastAsia="宋体" w:cs="宋体"/>
          <w:b/>
          <w:color w:val="auto"/>
          <w:sz w:val="30"/>
          <w:szCs w:val="30"/>
        </w:rPr>
      </w:pPr>
    </w:p>
    <w:p>
      <w:pPr>
        <w:pStyle w:val="2"/>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目</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录</w:t>
      </w:r>
    </w:p>
    <w:p>
      <w:pPr>
        <w:pStyle w:val="2"/>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资格</w:t>
      </w:r>
      <w:r>
        <w:rPr>
          <w:rFonts w:hint="eastAsia" w:ascii="宋体" w:hAnsi="宋体" w:eastAsia="宋体" w:cs="宋体"/>
          <w:color w:val="auto"/>
          <w:sz w:val="28"/>
          <w:szCs w:val="28"/>
          <w:lang w:eastAsia="zh-CN"/>
        </w:rPr>
        <w:t>文件</w:t>
      </w:r>
    </w:p>
    <w:p>
      <w:pPr>
        <w:pStyle w:val="2"/>
        <w:rPr>
          <w:rFonts w:hint="eastAsia" w:ascii="宋体" w:hAnsi="宋体" w:eastAsia="宋体" w:cs="宋体"/>
          <w:color w:val="auto"/>
          <w:sz w:val="28"/>
          <w:szCs w:val="28"/>
        </w:rPr>
      </w:pPr>
    </w:p>
    <w:p>
      <w:pPr>
        <w:pStyle w:val="2"/>
        <w:ind w:firstLine="600" w:firstLineChars="250"/>
        <w:rPr>
          <w:rFonts w:hint="eastAsia" w:ascii="宋体" w:hAnsi="宋体" w:eastAsia="宋体" w:cs="宋体"/>
          <w:color w:val="auto"/>
          <w:sz w:val="24"/>
          <w:szCs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szCs w:val="24"/>
        </w:rPr>
        <w:t>有效的营业执照副本</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、组织机构代码证副本</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、税务登记证副本</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（或加载有统一社会信用代码的‘三证合一’营业执照副本</w:t>
      </w:r>
      <w:r>
        <w:rPr>
          <w:rFonts w:hint="eastAsia" w:ascii="宋体" w:hAnsi="宋体" w:eastAsia="宋体" w:cs="宋体"/>
          <w:color w:val="auto"/>
          <w:sz w:val="24"/>
          <w:szCs w:val="24"/>
          <w:lang w:eastAsia="zh-CN"/>
        </w:rPr>
        <w:t>复印件</w:t>
      </w:r>
      <w:r>
        <w:rPr>
          <w:rFonts w:hint="eastAsia" w:ascii="宋体" w:hAnsi="宋体" w:eastAsia="宋体" w:cs="宋体"/>
          <w:color w:val="auto"/>
          <w:sz w:val="24"/>
          <w:szCs w:val="24"/>
        </w:rPr>
        <w:t>）；</w:t>
      </w:r>
    </w:p>
    <w:p>
      <w:pPr>
        <w:spacing w:line="44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法定代表人资格证明书和法定代表人身份证复印件；</w:t>
      </w:r>
    </w:p>
    <w:p>
      <w:pPr>
        <w:spacing w:line="440" w:lineRule="exact"/>
        <w:ind w:firstLine="600" w:firstLineChars="25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近</w:t>
      </w:r>
      <w:r>
        <w:rPr>
          <w:rFonts w:hint="eastAsia" w:ascii="宋体" w:hAnsi="宋体" w:eastAsia="宋体" w:cs="宋体"/>
          <w:color w:val="auto"/>
          <w:sz w:val="24"/>
          <w:szCs w:val="24"/>
        </w:rPr>
        <w:t>半年内任意三个月的依法缴纳税费或依法免缴税费的证明；</w:t>
      </w:r>
    </w:p>
    <w:p>
      <w:pPr>
        <w:pStyle w:val="2"/>
        <w:ind w:firstLine="600" w:firstLineChars="25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）提供供应商近半年内连续三个月的依法缴纳的依法缴纳社保凭证复印件</w:t>
      </w:r>
      <w:r>
        <w:rPr>
          <w:rFonts w:hint="eastAsia" w:ascii="宋体" w:hAnsi="宋体" w:eastAsia="宋体" w:cs="宋体"/>
          <w:color w:val="auto"/>
          <w:sz w:val="24"/>
        </w:rPr>
        <w:t>；</w:t>
      </w:r>
    </w:p>
    <w:p>
      <w:pPr>
        <w:spacing w:line="440" w:lineRule="exact"/>
        <w:ind w:firstLine="600" w:firstLineChars="25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）提供竞标人202</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年度通过中介审计的有效财务审计报告或202</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年度财务会计报表复印件（新成立单位按实际提供）</w:t>
      </w:r>
      <w:r>
        <w:rPr>
          <w:rFonts w:hint="eastAsia" w:ascii="宋体" w:hAnsi="宋体" w:eastAsia="宋体" w:cs="宋体"/>
          <w:color w:val="auto"/>
          <w:sz w:val="24"/>
        </w:rPr>
        <w:t>；</w:t>
      </w:r>
    </w:p>
    <w:p>
      <w:pPr>
        <w:spacing w:line="44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法定代表人授权委托书原件和委托代理人身份证复印件；（委托代理时须提供）；</w:t>
      </w:r>
    </w:p>
    <w:p>
      <w:pPr>
        <w:spacing w:line="44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szCs w:val="24"/>
          <w:lang w:eastAsia="zh-CN"/>
        </w:rPr>
        <w:t>提供本单位参加政府采购活动前3年内在经营活动中没有重大违法记录的书面声明。</w:t>
      </w:r>
    </w:p>
    <w:p>
      <w:pPr>
        <w:spacing w:line="440" w:lineRule="exact"/>
        <w:ind w:firstLine="600" w:firstLineChars="250"/>
        <w:rPr>
          <w:rFonts w:hint="eastAsia" w:ascii="宋体" w:hAnsi="宋体" w:eastAsia="宋体" w:cs="宋体"/>
          <w:color w:val="auto"/>
          <w:sz w:val="24"/>
          <w:lang w:eastAsia="zh-CN"/>
        </w:rPr>
      </w:pPr>
    </w:p>
    <w:p>
      <w:pPr>
        <w:pStyle w:val="10"/>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以上内容中的第（1）～（</w:t>
      </w:r>
      <w:r>
        <w:rPr>
          <w:rFonts w:hint="eastAsia" w:hAnsi="宋体" w:cs="宋体"/>
          <w:b/>
          <w:color w:val="auto"/>
          <w:sz w:val="24"/>
          <w:szCs w:val="24"/>
          <w:lang w:val="en-US" w:eastAsia="zh-CN"/>
        </w:rPr>
        <w:t>7</w:t>
      </w:r>
      <w:r>
        <w:rPr>
          <w:rFonts w:hint="eastAsia" w:ascii="宋体" w:hAnsi="宋体" w:eastAsia="宋体" w:cs="宋体"/>
          <w:b/>
          <w:color w:val="auto"/>
          <w:sz w:val="24"/>
          <w:szCs w:val="24"/>
        </w:rPr>
        <w:t>）项必须提交. 其中第（</w:t>
      </w:r>
      <w:r>
        <w:rPr>
          <w:rFonts w:hint="eastAsia" w:hAnsi="宋体" w:cs="宋体"/>
          <w:b/>
          <w:color w:val="auto"/>
          <w:sz w:val="24"/>
          <w:szCs w:val="24"/>
          <w:lang w:val="en-US" w:eastAsia="zh-CN"/>
        </w:rPr>
        <w:t>6</w:t>
      </w:r>
      <w:r>
        <w:rPr>
          <w:rFonts w:hint="eastAsia" w:ascii="宋体" w:hAnsi="宋体" w:eastAsia="宋体" w:cs="宋体"/>
          <w:b/>
          <w:color w:val="auto"/>
          <w:sz w:val="24"/>
          <w:szCs w:val="24"/>
        </w:rPr>
        <w:t>）项只需在委托代理时必须提交。</w:t>
      </w:r>
    </w:p>
    <w:p>
      <w:pPr>
        <w:pStyle w:val="2"/>
        <w:rPr>
          <w:rFonts w:hint="eastAsia" w:ascii="宋体" w:hAnsi="宋体" w:eastAsia="宋体" w:cs="宋体"/>
          <w:color w:val="auto"/>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lang w:eastAsia="zh-CN"/>
        </w:rPr>
      </w:pPr>
    </w:p>
    <w:p>
      <w:pPr>
        <w:jc w:val="center"/>
        <w:rPr>
          <w:rFonts w:hint="eastAsia" w:ascii="宋体" w:hAnsi="宋体" w:eastAsia="宋体" w:cs="宋体"/>
          <w:b/>
          <w:color w:val="auto"/>
          <w:sz w:val="44"/>
          <w:szCs w:val="44"/>
        </w:rPr>
      </w:pPr>
    </w:p>
    <w:p>
      <w:pPr>
        <w:pStyle w:val="5"/>
        <w:rPr>
          <w:rFonts w:hint="eastAsia" w:ascii="宋体" w:hAnsi="宋体" w:eastAsia="宋体" w:cs="宋体"/>
          <w:color w:val="auto"/>
        </w:rPr>
      </w:pPr>
    </w:p>
    <w:p>
      <w:pPr>
        <w:jc w:val="center"/>
        <w:rPr>
          <w:rFonts w:hint="eastAsia" w:ascii="宋体" w:hAnsi="宋体" w:eastAsia="宋体" w:cs="宋体"/>
          <w:b/>
          <w:color w:val="auto"/>
          <w:sz w:val="44"/>
          <w:szCs w:val="44"/>
        </w:rPr>
      </w:pPr>
    </w:p>
    <w:p>
      <w:pPr>
        <w:pStyle w:val="5"/>
        <w:rPr>
          <w:rFonts w:hint="eastAsia" w:ascii="宋体" w:hAnsi="宋体" w:eastAsia="宋体" w:cs="宋体"/>
          <w:color w:val="auto"/>
        </w:rPr>
      </w:pPr>
    </w:p>
    <w:p>
      <w:pPr>
        <w:pStyle w:val="5"/>
        <w:rPr>
          <w:rFonts w:hint="eastAsia" w:ascii="宋体" w:hAnsi="宋体" w:eastAsia="宋体" w:cs="宋体"/>
          <w:b/>
          <w:color w:val="auto"/>
          <w:sz w:val="44"/>
          <w:szCs w:val="44"/>
        </w:rPr>
      </w:pPr>
    </w:p>
    <w:p>
      <w:pPr>
        <w:rPr>
          <w:rFonts w:hint="eastAsia" w:ascii="宋体" w:hAnsi="宋体" w:eastAsia="宋体" w:cs="宋体"/>
          <w:color w:val="auto"/>
        </w:rPr>
      </w:pPr>
    </w:p>
    <w:p>
      <w:pPr>
        <w:pStyle w:val="25"/>
        <w:rPr>
          <w:rFonts w:hint="eastAsia" w:ascii="宋体" w:hAnsi="宋体" w:eastAsia="宋体" w:cs="宋体"/>
          <w:color w:val="auto"/>
        </w:rPr>
      </w:pPr>
    </w:p>
    <w:p>
      <w:pPr>
        <w:pStyle w:val="25"/>
        <w:rPr>
          <w:rFonts w:hint="eastAsia" w:ascii="宋体" w:hAnsi="宋体" w:eastAsia="宋体" w:cs="宋体"/>
          <w:color w:val="auto"/>
        </w:rPr>
      </w:pPr>
    </w:p>
    <w:p>
      <w:pPr>
        <w:pStyle w:val="25"/>
        <w:rPr>
          <w:rFonts w:hint="eastAsia" w:ascii="宋体" w:hAnsi="宋体" w:eastAsia="宋体" w:cs="宋体"/>
          <w:color w:val="auto"/>
        </w:rPr>
      </w:pPr>
    </w:p>
    <w:p>
      <w:pPr>
        <w:rPr>
          <w:rFonts w:hint="eastAsia" w:ascii="宋体" w:hAnsi="宋体" w:eastAsia="宋体" w:cs="宋体"/>
          <w:b/>
          <w:color w:val="auto"/>
          <w:sz w:val="28"/>
        </w:rPr>
      </w:pPr>
      <w:r>
        <w:rPr>
          <w:rFonts w:hint="eastAsia" w:ascii="宋体" w:hAnsi="宋体" w:eastAsia="宋体" w:cs="宋体"/>
          <w:b/>
          <w:color w:val="auto"/>
          <w:sz w:val="28"/>
        </w:rPr>
        <w:t>（1）有效的营业执照副本复印件、组织机构代码证副本复印件、税务登记证副本复印件（或加载有统一社会信用代码的‘三证合一’营业执照副本复印件）；</w:t>
      </w:r>
    </w:p>
    <w:p>
      <w:pPr>
        <w:rPr>
          <w:rFonts w:hint="eastAsia" w:ascii="宋体" w:hAnsi="宋体" w:eastAsia="宋体" w:cs="宋体"/>
          <w:b/>
          <w:color w:val="auto"/>
          <w:sz w:val="28"/>
        </w:rPr>
      </w:pPr>
    </w:p>
    <w:p>
      <w:pPr>
        <w:rPr>
          <w:rFonts w:hint="eastAsia" w:ascii="宋体" w:hAnsi="宋体" w:eastAsia="宋体" w:cs="宋体"/>
          <w:b/>
          <w:color w:val="auto"/>
          <w:sz w:val="28"/>
        </w:rPr>
      </w:pPr>
    </w:p>
    <w:p>
      <w:pPr>
        <w:rPr>
          <w:rFonts w:hint="eastAsia" w:ascii="宋体" w:hAnsi="宋体" w:eastAsia="宋体" w:cs="宋体"/>
          <w:b/>
          <w:color w:val="auto"/>
          <w:sz w:val="28"/>
        </w:rPr>
      </w:pPr>
      <w:r>
        <w:rPr>
          <w:rFonts w:hint="eastAsia" w:ascii="宋体" w:hAnsi="宋体" w:eastAsia="宋体" w:cs="宋体"/>
          <w:b/>
          <w:color w:val="auto"/>
          <w:sz w:val="28"/>
        </w:rPr>
        <w:t>（2）法定代表人资格证明书和法定代表人身份证复印件；</w:t>
      </w:r>
    </w:p>
    <w:p>
      <w:pPr>
        <w:rPr>
          <w:rFonts w:hint="eastAsia" w:ascii="宋体" w:hAnsi="宋体" w:eastAsia="宋体" w:cs="宋体"/>
          <w:b/>
          <w:color w:val="auto"/>
          <w:sz w:val="28"/>
        </w:rPr>
      </w:pPr>
    </w:p>
    <w:p>
      <w:pPr>
        <w:rPr>
          <w:rFonts w:hint="eastAsia" w:ascii="宋体" w:hAnsi="宋体" w:eastAsia="宋体" w:cs="宋体"/>
          <w:color w:val="auto"/>
          <w:sz w:val="24"/>
        </w:rPr>
      </w:pPr>
      <w:r>
        <w:rPr>
          <w:rFonts w:hint="eastAsia" w:ascii="宋体" w:hAnsi="宋体" w:eastAsia="宋体" w:cs="宋体"/>
          <w:b/>
          <w:color w:val="auto"/>
          <w:sz w:val="28"/>
        </w:rPr>
        <w:t>附表：</w:t>
      </w:r>
    </w:p>
    <w:p>
      <w:pPr>
        <w:rPr>
          <w:rFonts w:hint="eastAsia" w:ascii="宋体" w:hAnsi="宋体" w:eastAsia="宋体" w:cs="宋体"/>
          <w:color w:val="auto"/>
          <w:sz w:val="24"/>
        </w:rPr>
      </w:pPr>
    </w:p>
    <w:p>
      <w:pPr>
        <w:keepNext/>
        <w:keepLines/>
        <w:spacing w:line="38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法定代表人（负责人）身份证明</w:t>
      </w:r>
    </w:p>
    <w:p>
      <w:pPr>
        <w:spacing w:line="500" w:lineRule="exact"/>
        <w:rPr>
          <w:rFonts w:hint="eastAsia" w:ascii="宋体" w:hAnsi="宋体" w:eastAsia="宋体" w:cs="宋体"/>
          <w:color w:val="auto"/>
          <w:sz w:val="24"/>
        </w:rPr>
      </w:pPr>
    </w:p>
    <w:p>
      <w:pPr>
        <w:spacing w:line="500" w:lineRule="exac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年     月     日</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特此证明。</w:t>
      </w:r>
    </w:p>
    <w:p>
      <w:pPr>
        <w:spacing w:line="500" w:lineRule="exact"/>
        <w:rPr>
          <w:rFonts w:hint="eastAsia" w:ascii="宋体" w:hAnsi="宋体" w:eastAsia="宋体" w:cs="宋体"/>
          <w:color w:val="auto"/>
          <w:sz w:val="24"/>
        </w:rPr>
      </w:pPr>
    </w:p>
    <w:p>
      <w:pPr>
        <w:spacing w:line="500" w:lineRule="exact"/>
        <w:rPr>
          <w:rFonts w:hint="eastAsia" w:ascii="宋体" w:hAnsi="宋体" w:eastAsia="宋体" w:cs="宋体"/>
          <w:color w:val="auto"/>
          <w:sz w:val="24"/>
        </w:rPr>
      </w:pPr>
    </w:p>
    <w:p>
      <w:pPr>
        <w:spacing w:line="500" w:lineRule="exact"/>
        <w:ind w:firstLine="6000" w:firstLineChars="25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（盖单位章）        </w:t>
      </w:r>
    </w:p>
    <w:p>
      <w:pPr>
        <w:spacing w:line="500" w:lineRule="exact"/>
        <w:ind w:firstLine="6120"/>
        <w:rPr>
          <w:rFonts w:hint="eastAsia" w:ascii="宋体" w:hAnsi="宋体" w:eastAsia="宋体" w:cs="宋体"/>
          <w:color w:val="auto"/>
          <w:sz w:val="24"/>
          <w:u w:val="single"/>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年   月   日</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附：法定代表人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身份证复印件。</w:t>
      </w:r>
    </w:p>
    <w:p>
      <w:pPr>
        <w:spacing w:line="400" w:lineRule="exact"/>
        <w:rPr>
          <w:rFonts w:hint="eastAsia" w:ascii="宋体" w:hAnsi="宋体" w:eastAsia="宋体" w:cs="宋体"/>
          <w:b/>
          <w:bCs/>
          <w:color w:val="auto"/>
          <w:sz w:val="28"/>
          <w:szCs w:val="28"/>
        </w:rPr>
      </w:pPr>
    </w:p>
    <w:p>
      <w:pPr>
        <w:spacing w:line="4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（3）提供供应商近半年内任意三个月的依法缴纳税费或依法免缴税费的证明；</w:t>
      </w:r>
    </w:p>
    <w:p>
      <w:pPr>
        <w:spacing w:line="4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（4）</w:t>
      </w:r>
      <w:r>
        <w:rPr>
          <w:rFonts w:hint="eastAsia" w:ascii="宋体" w:hAnsi="宋体" w:eastAsia="宋体" w:cs="宋体"/>
          <w:b/>
          <w:bCs/>
          <w:color w:val="auto"/>
          <w:sz w:val="28"/>
          <w:szCs w:val="28"/>
          <w:lang w:eastAsia="zh-CN"/>
        </w:rPr>
        <w:t>提供供应商近半年内连续三个月的依法缴纳的依法缴纳社保凭证复印件</w:t>
      </w:r>
      <w:r>
        <w:rPr>
          <w:rFonts w:hint="eastAsia" w:ascii="宋体" w:hAnsi="宋体" w:eastAsia="宋体" w:cs="宋体"/>
          <w:b/>
          <w:bCs/>
          <w:color w:val="auto"/>
          <w:sz w:val="28"/>
          <w:szCs w:val="28"/>
        </w:rPr>
        <w:t>；</w:t>
      </w:r>
    </w:p>
    <w:p>
      <w:pPr>
        <w:spacing w:line="40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（5）</w:t>
      </w:r>
      <w:r>
        <w:rPr>
          <w:rFonts w:hint="eastAsia" w:ascii="宋体" w:hAnsi="宋体" w:eastAsia="宋体" w:cs="宋体"/>
          <w:b/>
          <w:bCs/>
          <w:color w:val="auto"/>
          <w:sz w:val="28"/>
          <w:szCs w:val="28"/>
          <w:lang w:eastAsia="zh-CN"/>
        </w:rPr>
        <w:t>提供竞标人202</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年度通过中介审计的有效财务审计报告或202</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年度财务会计报表复印件（新成立单位按实际提供）</w:t>
      </w:r>
      <w:r>
        <w:rPr>
          <w:rFonts w:hint="eastAsia" w:ascii="宋体" w:hAnsi="宋体" w:eastAsia="宋体" w:cs="宋体"/>
          <w:b/>
          <w:bCs/>
          <w:color w:val="auto"/>
          <w:sz w:val="28"/>
          <w:szCs w:val="28"/>
        </w:rPr>
        <w:t>；</w:t>
      </w:r>
    </w:p>
    <w:p>
      <w:pPr>
        <w:spacing w:line="400" w:lineRule="exact"/>
        <w:rPr>
          <w:rFonts w:hint="eastAsia" w:ascii="宋体" w:hAnsi="宋体" w:eastAsia="宋体" w:cs="宋体"/>
          <w:b/>
          <w:bCs/>
          <w:color w:val="auto"/>
          <w:sz w:val="28"/>
          <w:szCs w:val="28"/>
        </w:rPr>
      </w:pPr>
    </w:p>
    <w:p>
      <w:pPr>
        <w:spacing w:line="400" w:lineRule="exact"/>
        <w:rPr>
          <w:rFonts w:hint="eastAsia" w:ascii="宋体" w:hAnsi="宋体" w:eastAsia="宋体" w:cs="宋体"/>
          <w:color w:val="auto"/>
        </w:rPr>
      </w:pPr>
      <w:r>
        <w:rPr>
          <w:rFonts w:hint="eastAsia" w:ascii="宋体" w:hAnsi="宋体" w:eastAsia="宋体" w:cs="宋体"/>
          <w:b/>
          <w:bCs/>
          <w:color w:val="auto"/>
          <w:sz w:val="28"/>
          <w:szCs w:val="28"/>
        </w:rPr>
        <w:t>（6）法定代表人授权委托书原件和委托代理人身份证复印件；（委托代理时须提供）；</w:t>
      </w:r>
    </w:p>
    <w:p>
      <w:pPr>
        <w:keepNext/>
        <w:keepLines/>
        <w:spacing w:line="380" w:lineRule="exact"/>
        <w:jc w:val="center"/>
        <w:rPr>
          <w:rFonts w:hint="eastAsia" w:ascii="宋体" w:hAnsi="宋体" w:eastAsia="宋体" w:cs="宋体"/>
          <w:b/>
          <w:color w:val="auto"/>
          <w:sz w:val="28"/>
        </w:rPr>
      </w:pPr>
      <w:r>
        <w:rPr>
          <w:rFonts w:hint="eastAsia" w:ascii="宋体" w:hAnsi="宋体" w:eastAsia="宋体" w:cs="宋体"/>
          <w:b/>
          <w:color w:val="auto"/>
          <w:sz w:val="28"/>
        </w:rPr>
        <w:t>授权委托书</w:t>
      </w:r>
    </w:p>
    <w:p>
      <w:pPr>
        <w:spacing w:line="500" w:lineRule="exact"/>
        <w:rPr>
          <w:rFonts w:hint="eastAsia" w:ascii="宋体" w:hAnsi="宋体" w:eastAsia="宋体" w:cs="宋体"/>
          <w:color w:val="auto"/>
          <w:sz w:val="28"/>
        </w:rPr>
      </w:pP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本人</w:t>
      </w:r>
      <w:r>
        <w:rPr>
          <w:rFonts w:hint="eastAsia" w:ascii="宋体" w:hAnsi="宋体" w:eastAsia="宋体" w:cs="宋体"/>
          <w:color w:val="auto"/>
          <w:sz w:val="24"/>
          <w:u w:val="single"/>
        </w:rPr>
        <w:t xml:space="preserve">       （姓名）</w:t>
      </w: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名称）</w:t>
      </w:r>
      <w:r>
        <w:rPr>
          <w:rFonts w:hint="eastAsia" w:ascii="宋体" w:hAnsi="宋体" w:eastAsia="宋体" w:cs="宋体"/>
          <w:color w:val="auto"/>
          <w:sz w:val="24"/>
        </w:rPr>
        <w:t>的法定代表人，现委托</w:t>
      </w:r>
      <w:r>
        <w:rPr>
          <w:rFonts w:hint="eastAsia" w:ascii="宋体" w:hAnsi="宋体" w:eastAsia="宋体" w:cs="宋体"/>
          <w:color w:val="auto"/>
          <w:sz w:val="24"/>
          <w:u w:val="single"/>
        </w:rPr>
        <w:t xml:space="preserve">            （姓名）</w:t>
      </w:r>
      <w:r>
        <w:rPr>
          <w:rFonts w:hint="eastAsia" w:ascii="宋体" w:hAnsi="宋体" w:eastAsia="宋体" w:cs="宋体"/>
          <w:color w:val="auto"/>
          <w:sz w:val="24"/>
        </w:rPr>
        <w:t>为我方代理人。代理人根据授权，以我方名义签署、澄清、说明、补正、递交、撤回、修改</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u w:val="single"/>
          <w:lang w:eastAsia="zh-CN"/>
        </w:rPr>
        <w:t>及项目编号</w:t>
      </w:r>
      <w:r>
        <w:rPr>
          <w:rFonts w:hint="eastAsia" w:ascii="宋体" w:hAnsi="宋体" w:eastAsia="宋体" w:cs="宋体"/>
          <w:color w:val="auto"/>
          <w:sz w:val="24"/>
          <w:u w:val="single"/>
        </w:rPr>
        <w:t>）</w:t>
      </w:r>
      <w:r>
        <w:rPr>
          <w:rFonts w:hint="eastAsia" w:ascii="宋体" w:hAnsi="宋体" w:eastAsia="宋体" w:cs="宋体"/>
          <w:color w:val="auto"/>
          <w:sz w:val="24"/>
          <w:lang w:eastAsia="zh-CN"/>
        </w:rPr>
        <w:t>响应文件</w:t>
      </w:r>
      <w:r>
        <w:rPr>
          <w:rFonts w:hint="eastAsia" w:ascii="宋体" w:hAnsi="宋体" w:eastAsia="宋体" w:cs="宋体"/>
          <w:color w:val="auto"/>
          <w:sz w:val="24"/>
        </w:rPr>
        <w:t>、签订合同和处理有关事宜，其法律后果由我方承担。</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代理人无转委托权。</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附：委托代理人身份证复印件</w:t>
      </w:r>
    </w:p>
    <w:p>
      <w:pPr>
        <w:spacing w:line="500" w:lineRule="exact"/>
        <w:rPr>
          <w:rFonts w:hint="eastAsia" w:ascii="宋体" w:hAnsi="宋体" w:eastAsia="宋体" w:cs="宋体"/>
          <w:color w:val="auto"/>
          <w:sz w:val="24"/>
        </w:rPr>
      </w:pP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（单位名称并盖公章）     </w:t>
      </w:r>
    </w:p>
    <w:p>
      <w:pPr>
        <w:spacing w:line="500" w:lineRule="exact"/>
        <w:ind w:firstLine="4560" w:firstLineChars="190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w:t>
      </w:r>
      <w:r>
        <w:rPr>
          <w:rFonts w:hint="eastAsia" w:ascii="宋体" w:hAnsi="宋体" w:eastAsia="宋体" w:cs="宋体"/>
          <w:color w:val="auto"/>
          <w:sz w:val="24"/>
          <w:u w:val="single"/>
        </w:rPr>
        <w:t xml:space="preserve">          （签字）</w:t>
      </w: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（签字）</w:t>
      </w: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500" w:lineRule="exact"/>
        <w:ind w:firstLine="4560" w:firstLineChars="1900"/>
        <w:rPr>
          <w:rFonts w:hint="eastAsia" w:ascii="宋体" w:hAnsi="宋体" w:eastAsia="宋体" w:cs="宋体"/>
          <w:color w:val="auto"/>
          <w:sz w:val="24"/>
          <w:u w:val="single"/>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年     月    日</w:t>
      </w:r>
    </w:p>
    <w:p>
      <w:pPr>
        <w:rPr>
          <w:rFonts w:hint="eastAsia" w:ascii="宋体" w:hAnsi="宋体" w:eastAsia="宋体" w:cs="宋体"/>
          <w:color w:val="auto"/>
          <w:sz w:val="24"/>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（7）提供本单位参加政府采购活动前3年内在经营活动中没有重大违法记录的书面声明。</w:t>
      </w: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pStyle w:val="2"/>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pStyle w:val="2"/>
        <w:rPr>
          <w:rFonts w:hint="eastAsia"/>
          <w:color w:val="auto"/>
        </w:rPr>
      </w:pPr>
    </w:p>
    <w:p>
      <w:pPr>
        <w:pStyle w:val="2"/>
        <w:rPr>
          <w:rFonts w:hint="eastAsia"/>
          <w:color w:val="auto"/>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 标 文 件</w:t>
      </w:r>
    </w:p>
    <w:p>
      <w:pPr>
        <w:jc w:val="center"/>
        <w:rPr>
          <w:rFonts w:hint="eastAsia" w:ascii="宋体" w:hAnsi="宋体" w:eastAsia="宋体" w:cs="宋体"/>
          <w:b/>
          <w:color w:val="auto"/>
          <w:sz w:val="44"/>
          <w:szCs w:val="44"/>
        </w:rPr>
      </w:pPr>
    </w:p>
    <w:p>
      <w:pPr>
        <w:rPr>
          <w:rFonts w:hint="eastAsia" w:ascii="宋体" w:hAnsi="宋体" w:eastAsia="宋体" w:cs="宋体"/>
          <w:b/>
          <w:bCs/>
          <w:color w:val="auto"/>
          <w:sz w:val="28"/>
          <w:szCs w:val="28"/>
        </w:rPr>
      </w:pPr>
    </w:p>
    <w:p>
      <w:pPr>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rPr>
        <w:t xml:space="preserve">                            </w:t>
      </w:r>
    </w:p>
    <w:p>
      <w:pPr>
        <w:ind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名称：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（盖单位公章）</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响应文件</w:t>
      </w:r>
      <w:r>
        <w:rPr>
          <w:rFonts w:hint="eastAsia" w:ascii="宋体" w:hAnsi="宋体" w:eastAsia="宋体" w:cs="宋体"/>
          <w:b/>
          <w:bCs/>
          <w:color w:val="auto"/>
          <w:sz w:val="28"/>
          <w:szCs w:val="28"/>
        </w:rPr>
        <w:t>内容：</w:t>
      </w:r>
      <w:r>
        <w:rPr>
          <w:rFonts w:hint="eastAsia" w:ascii="宋体" w:hAnsi="宋体" w:eastAsia="宋体" w:cs="宋体"/>
          <w:b/>
          <w:bCs/>
          <w:color w:val="auto"/>
          <w:sz w:val="28"/>
          <w:szCs w:val="28"/>
          <w:u w:val="single"/>
        </w:rPr>
        <w:t xml:space="preserve">             商务</w:t>
      </w:r>
      <w:r>
        <w:rPr>
          <w:rFonts w:hint="eastAsia" w:ascii="宋体" w:hAnsi="宋体" w:eastAsia="宋体" w:cs="宋体"/>
          <w:b/>
          <w:bCs/>
          <w:color w:val="auto"/>
          <w:sz w:val="28"/>
          <w:szCs w:val="28"/>
          <w:u w:val="single"/>
          <w:lang w:eastAsia="zh-CN"/>
        </w:rPr>
        <w:t>报价文件</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法定代表人（负责人）或其委托代理人：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（签    字）     </w:t>
      </w:r>
    </w:p>
    <w:p>
      <w:pPr>
        <w:spacing w:line="360" w:lineRule="auto"/>
        <w:ind w:firstLine="1734" w:firstLineChars="617"/>
        <w:rPr>
          <w:rFonts w:hint="eastAsia" w:ascii="宋体" w:hAnsi="宋体" w:eastAsia="宋体" w:cs="宋体"/>
          <w:b/>
          <w:bCs/>
          <w:color w:val="auto"/>
          <w:sz w:val="28"/>
          <w:szCs w:val="28"/>
        </w:rPr>
      </w:pPr>
      <w:r>
        <w:rPr>
          <w:rFonts w:hint="eastAsia" w:ascii="宋体" w:hAnsi="宋体" w:eastAsia="宋体" w:cs="宋体"/>
          <w:b/>
          <w:bCs/>
          <w:color w:val="auto"/>
          <w:sz w:val="28"/>
          <w:szCs w:val="28"/>
        </w:rPr>
        <w:t>日期：__________年_____月_____日</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pStyle w:val="2"/>
        <w:rPr>
          <w:rFonts w:hint="eastAsia"/>
          <w:color w:val="auto"/>
        </w:rPr>
      </w:pPr>
    </w:p>
    <w:p>
      <w:pPr>
        <w:jc w:val="center"/>
        <w:rPr>
          <w:rFonts w:hint="eastAsia" w:ascii="宋体" w:hAnsi="宋体" w:eastAsia="宋体" w:cs="宋体"/>
          <w:b/>
          <w:bCs/>
          <w:color w:val="auto"/>
          <w:sz w:val="30"/>
          <w:szCs w:val="30"/>
        </w:rPr>
      </w:pPr>
    </w:p>
    <w:p>
      <w:pPr>
        <w:pStyle w:val="5"/>
        <w:rPr>
          <w:rFonts w:hint="eastAsia" w:ascii="宋体" w:hAnsi="宋体" w:eastAsia="宋体" w:cs="宋体"/>
          <w:b/>
          <w:bCs/>
          <w:color w:val="auto"/>
          <w:sz w:val="30"/>
          <w:szCs w:val="30"/>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  录</w:t>
      </w:r>
    </w:p>
    <w:p>
      <w:pPr>
        <w:pStyle w:val="2"/>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商务</w:t>
      </w:r>
      <w:r>
        <w:rPr>
          <w:rFonts w:hint="eastAsia" w:ascii="宋体" w:hAnsi="宋体" w:eastAsia="宋体" w:cs="宋体"/>
          <w:b/>
          <w:bCs/>
          <w:color w:val="auto"/>
          <w:sz w:val="28"/>
          <w:szCs w:val="28"/>
          <w:lang w:eastAsia="zh-CN"/>
        </w:rPr>
        <w:t>文件</w:t>
      </w:r>
    </w:p>
    <w:p>
      <w:pPr>
        <w:pStyle w:val="2"/>
        <w:rPr>
          <w:rFonts w:hint="eastAsia"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竞标函（必须提供）；</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竞标函附表（必须提供）；</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）中小企业声明函或者残疾人福利性单位声明函或者供应商属于监狱企业的证明材料。</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认为需要说明的其它资料</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02" w:firstLineChars="183"/>
        <w:textAlignment w:val="auto"/>
        <w:rPr>
          <w:rFonts w:hint="eastAsia"/>
          <w:color w:val="auto"/>
        </w:rPr>
      </w:pPr>
    </w:p>
    <w:p>
      <w:pPr>
        <w:keepNext/>
        <w:keepLines/>
        <w:spacing w:line="380" w:lineRule="atLeast"/>
        <w:jc w:val="center"/>
        <w:rPr>
          <w:rFonts w:hint="eastAsia" w:ascii="宋体" w:hAnsi="宋体" w:eastAsia="宋体" w:cs="宋体"/>
          <w:color w:val="auto"/>
        </w:rPr>
      </w:pPr>
      <w:r>
        <w:rPr>
          <w:rFonts w:hint="eastAsia" w:ascii="宋体" w:hAnsi="宋体" w:eastAsia="宋体" w:cs="宋体"/>
          <w:color w:val="auto"/>
        </w:rPr>
        <w:br w:type="page"/>
      </w:r>
    </w:p>
    <w:p>
      <w:pPr>
        <w:keepNext/>
        <w:keepLines/>
        <w:spacing w:line="380" w:lineRule="atLeast"/>
        <w:jc w:val="center"/>
        <w:rPr>
          <w:rFonts w:hint="eastAsia" w:ascii="宋体" w:hAnsi="宋体" w:eastAsia="宋体" w:cs="宋体"/>
          <w:b/>
          <w:color w:val="auto"/>
          <w:sz w:val="28"/>
        </w:rPr>
      </w:pPr>
      <w:r>
        <w:rPr>
          <w:rFonts w:hint="eastAsia" w:ascii="宋体" w:hAnsi="宋体" w:eastAsia="宋体" w:cs="宋体"/>
          <w:b/>
          <w:color w:val="auto"/>
          <w:sz w:val="28"/>
        </w:rPr>
        <w:t>一、竞标函</w:t>
      </w:r>
    </w:p>
    <w:p>
      <w:pPr>
        <w:spacing w:line="440" w:lineRule="exact"/>
        <w:rPr>
          <w:rFonts w:hint="eastAsia" w:ascii="宋体" w:hAnsi="宋体" w:eastAsia="宋体" w:cs="宋体"/>
          <w:b/>
          <w:color w:val="auto"/>
          <w:sz w:val="24"/>
          <w:u w:val="single"/>
        </w:rPr>
      </w:pPr>
      <w:r>
        <w:rPr>
          <w:rFonts w:hint="eastAsia" w:ascii="宋体" w:hAnsi="宋体" w:eastAsia="宋体" w:cs="宋体"/>
          <w:bCs/>
          <w:color w:val="auto"/>
          <w:sz w:val="24"/>
          <w:u w:val="single"/>
        </w:rPr>
        <w:t>致</w:t>
      </w:r>
      <w:r>
        <w:rPr>
          <w:rFonts w:hint="eastAsia" w:ascii="宋体" w:hAnsi="宋体" w:eastAsia="宋体" w:cs="宋体"/>
          <w:b/>
          <w:color w:val="auto"/>
          <w:sz w:val="24"/>
          <w:u w:val="single"/>
        </w:rPr>
        <w:t xml:space="preserve">                   </w:t>
      </w:r>
      <w:r>
        <w:rPr>
          <w:rFonts w:hint="eastAsia" w:ascii="宋体" w:hAnsi="宋体" w:eastAsia="宋体" w:cs="宋体"/>
          <w:color w:val="auto"/>
          <w:sz w:val="24"/>
        </w:rPr>
        <w:t>(采购人)：</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项目的招标公告（项目编号：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），签字代表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（全名） 经正式授权并代表</w:t>
      </w:r>
      <w:r>
        <w:rPr>
          <w:rFonts w:hint="eastAsia" w:ascii="宋体" w:hAnsi="宋体" w:eastAsia="宋体" w:cs="宋体"/>
          <w:color w:val="auto"/>
          <w:sz w:val="24"/>
          <w:lang w:eastAsia="zh-CN"/>
        </w:rPr>
        <w:t>供应商</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名称）提交</w:t>
      </w:r>
      <w:r>
        <w:rPr>
          <w:rFonts w:hint="eastAsia" w:ascii="宋体" w:hAnsi="宋体" w:eastAsia="宋体" w:cs="宋体"/>
          <w:color w:val="auto"/>
          <w:sz w:val="24"/>
          <w:lang w:eastAsia="zh-CN"/>
        </w:rPr>
        <w:t>竞</w:t>
      </w:r>
      <w:r>
        <w:rPr>
          <w:rFonts w:hint="eastAsia" w:ascii="宋体" w:hAnsi="宋体" w:eastAsia="宋体" w:cs="宋体"/>
          <w:color w:val="auto"/>
          <w:sz w:val="24"/>
        </w:rPr>
        <w:t>标文件。</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pPr>
        <w:spacing w:line="440" w:lineRule="exact"/>
        <w:ind w:firstLine="480"/>
        <w:rPr>
          <w:rFonts w:hint="eastAsia" w:ascii="宋体" w:hAnsi="宋体" w:eastAsia="宋体" w:cs="宋体"/>
          <w:color w:val="auto"/>
          <w:sz w:val="24"/>
        </w:rPr>
      </w:pPr>
      <w:r>
        <w:rPr>
          <w:rFonts w:hint="eastAsia" w:ascii="宋体" w:hAnsi="宋体" w:eastAsia="宋体" w:cs="宋体"/>
          <w:b w:val="0"/>
          <w:bCs/>
          <w:color w:val="auto"/>
          <w:sz w:val="24"/>
          <w:szCs w:val="24"/>
        </w:rPr>
        <w:t>按</w:t>
      </w:r>
      <w:r>
        <w:rPr>
          <w:rFonts w:hint="eastAsia" w:ascii="宋体" w:hAnsi="宋体" w:eastAsia="宋体" w:cs="宋体"/>
          <w:b w:val="0"/>
          <w:bCs/>
          <w:color w:val="auto"/>
          <w:sz w:val="24"/>
          <w:szCs w:val="24"/>
          <w:lang w:eastAsia="zh-CN"/>
        </w:rPr>
        <w:t>竞争性</w:t>
      </w:r>
      <w:r>
        <w:rPr>
          <w:rFonts w:hint="eastAsia" w:ascii="宋体" w:hAnsi="宋体" w:eastAsia="宋体" w:cs="宋体"/>
          <w:b w:val="0"/>
          <w:bCs/>
          <w:color w:val="auto"/>
          <w:sz w:val="24"/>
          <w:szCs w:val="24"/>
        </w:rPr>
        <w:t>谈判文件采购需求和竞标函附表：竞标报价（大写）：</w:t>
      </w:r>
      <w:r>
        <w:rPr>
          <w:rFonts w:hint="eastAsia" w:ascii="宋体" w:hAnsi="宋体" w:eastAsia="宋体" w:cs="宋体"/>
          <w:b w:val="0"/>
          <w:bCs/>
          <w:color w:val="auto"/>
          <w:sz w:val="24"/>
          <w:szCs w:val="24"/>
          <w:u w:val="single"/>
        </w:rPr>
        <w:t xml:space="preserve"> 人民币           （￥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eastAsia="zh-CN"/>
        </w:rPr>
        <w:t>，交货</w:t>
      </w:r>
      <w:r>
        <w:rPr>
          <w:rFonts w:hint="eastAsia" w:ascii="宋体" w:hAnsi="宋体" w:eastAsia="宋体" w:cs="宋体"/>
          <w:b w:val="0"/>
          <w:bCs/>
          <w:color w:val="auto"/>
          <w:sz w:val="24"/>
          <w:szCs w:val="24"/>
        </w:rPr>
        <w:t>期: 签订合同之日起</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日内完成供货并安装调试及交付正常使用。</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w:t>
      </w:r>
      <w:r>
        <w:rPr>
          <w:rFonts w:hint="eastAsia" w:ascii="宋体" w:hAnsi="宋体" w:eastAsia="宋体" w:cs="宋体"/>
          <w:color w:val="auto"/>
          <w:sz w:val="24"/>
          <w:lang w:eastAsia="zh-CN"/>
        </w:rPr>
        <w:t>采购</w:t>
      </w:r>
      <w:r>
        <w:rPr>
          <w:rFonts w:hint="eastAsia" w:ascii="宋体" w:hAnsi="宋体" w:eastAsia="宋体" w:cs="宋体"/>
          <w:color w:val="auto"/>
          <w:sz w:val="24"/>
        </w:rPr>
        <w:t>文件”，包括修改文件（如有的话）以及全部参考资料和有关附件，已经了解我方对于</w:t>
      </w:r>
      <w:r>
        <w:rPr>
          <w:rFonts w:hint="eastAsia" w:ascii="宋体" w:hAnsi="宋体" w:eastAsia="宋体" w:cs="宋体"/>
          <w:color w:val="auto"/>
          <w:sz w:val="24"/>
          <w:lang w:eastAsia="zh-CN"/>
        </w:rPr>
        <w:t>采购</w:t>
      </w:r>
      <w:r>
        <w:rPr>
          <w:rFonts w:hint="eastAsia" w:ascii="宋体" w:hAnsi="宋体" w:eastAsia="宋体" w:cs="宋体"/>
          <w:color w:val="auto"/>
          <w:sz w:val="24"/>
        </w:rPr>
        <w:t>文件、采购过程、采购结果有依法进行询问、质疑、投诉的权利及相关渠道和要求。</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lang w:eastAsia="zh-CN"/>
        </w:rPr>
        <w:t>供应商</w:t>
      </w:r>
      <w:r>
        <w:rPr>
          <w:rFonts w:hint="eastAsia" w:ascii="宋体" w:hAnsi="宋体" w:eastAsia="宋体" w:cs="宋体"/>
          <w:color w:val="auto"/>
          <w:sz w:val="24"/>
        </w:rPr>
        <w:t>在参与竞争性谈判</w:t>
      </w:r>
      <w:r>
        <w:rPr>
          <w:rFonts w:hint="eastAsia" w:ascii="宋体" w:hAnsi="宋体" w:eastAsia="宋体" w:cs="宋体"/>
          <w:color w:val="auto"/>
          <w:sz w:val="24"/>
          <w:lang w:eastAsia="zh-CN"/>
        </w:rPr>
        <w:t>采购</w:t>
      </w:r>
      <w:r>
        <w:rPr>
          <w:rFonts w:hint="eastAsia" w:ascii="宋体" w:hAnsi="宋体" w:eastAsia="宋体" w:cs="宋体"/>
          <w:color w:val="auto"/>
          <w:sz w:val="24"/>
        </w:rPr>
        <w:t>之前已经与贵方进行了充分的沟通，完全理解并接受</w:t>
      </w:r>
      <w:r>
        <w:rPr>
          <w:rFonts w:hint="eastAsia" w:ascii="宋体" w:hAnsi="宋体" w:eastAsia="宋体" w:cs="宋体"/>
          <w:color w:val="auto"/>
          <w:sz w:val="24"/>
          <w:lang w:eastAsia="zh-CN"/>
        </w:rPr>
        <w:t>竞标文件</w:t>
      </w:r>
      <w:r>
        <w:rPr>
          <w:rFonts w:hint="eastAsia" w:ascii="宋体" w:hAnsi="宋体" w:eastAsia="宋体" w:cs="宋体"/>
          <w:color w:val="auto"/>
          <w:sz w:val="24"/>
        </w:rPr>
        <w:t>的各项规定和要求，对</w:t>
      </w:r>
      <w:r>
        <w:rPr>
          <w:rFonts w:hint="eastAsia" w:ascii="宋体" w:hAnsi="宋体" w:eastAsia="宋体" w:cs="宋体"/>
          <w:color w:val="auto"/>
          <w:sz w:val="24"/>
          <w:lang w:eastAsia="zh-CN"/>
        </w:rPr>
        <w:t>竞标文件</w:t>
      </w:r>
      <w:r>
        <w:rPr>
          <w:rFonts w:hint="eastAsia" w:ascii="宋体" w:hAnsi="宋体" w:eastAsia="宋体" w:cs="宋体"/>
          <w:color w:val="auto"/>
          <w:sz w:val="24"/>
        </w:rPr>
        <w:t>的合理性、合法性不再有异议。</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3. 本竞标有效期自开标日起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4. 如成交，本</w:t>
      </w:r>
      <w:r>
        <w:rPr>
          <w:rFonts w:hint="eastAsia" w:ascii="宋体" w:hAnsi="宋体" w:eastAsia="宋体" w:cs="宋体"/>
          <w:color w:val="auto"/>
          <w:sz w:val="24"/>
          <w:lang w:eastAsia="zh-CN"/>
        </w:rPr>
        <w:t>响应文件</w:t>
      </w:r>
      <w:r>
        <w:rPr>
          <w:rFonts w:hint="eastAsia" w:ascii="宋体" w:hAnsi="宋体" w:eastAsia="宋体" w:cs="宋体"/>
          <w:color w:val="auto"/>
          <w:sz w:val="24"/>
        </w:rPr>
        <w:t>至本项目合同履行完毕止均保持有效，本</w:t>
      </w:r>
      <w:r>
        <w:rPr>
          <w:rFonts w:hint="eastAsia" w:ascii="宋体" w:hAnsi="宋体" w:eastAsia="宋体" w:cs="宋体"/>
          <w:color w:val="auto"/>
          <w:sz w:val="24"/>
          <w:lang w:eastAsia="zh-CN"/>
        </w:rPr>
        <w:t>供应商</w:t>
      </w:r>
      <w:r>
        <w:rPr>
          <w:rFonts w:hint="eastAsia" w:ascii="宋体" w:hAnsi="宋体" w:eastAsia="宋体" w:cs="宋体"/>
          <w:color w:val="auto"/>
          <w:sz w:val="24"/>
        </w:rPr>
        <w:t>将按“</w:t>
      </w:r>
      <w:r>
        <w:rPr>
          <w:rFonts w:hint="eastAsia" w:ascii="宋体" w:hAnsi="宋体" w:eastAsia="宋体" w:cs="宋体"/>
          <w:color w:val="auto"/>
          <w:sz w:val="24"/>
          <w:lang w:eastAsia="zh-CN"/>
        </w:rPr>
        <w:t>采购</w:t>
      </w:r>
      <w:r>
        <w:rPr>
          <w:rFonts w:hint="eastAsia" w:ascii="宋体" w:hAnsi="宋体" w:eastAsia="宋体" w:cs="宋体"/>
          <w:color w:val="auto"/>
          <w:sz w:val="24"/>
        </w:rPr>
        <w:t>文件”及政府采购法律、法规的规定履行合同责任和义务。</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5. </w:t>
      </w:r>
      <w:r>
        <w:rPr>
          <w:rFonts w:hint="eastAsia" w:ascii="宋体" w:hAnsi="宋体" w:eastAsia="宋体" w:cs="宋体"/>
          <w:color w:val="auto"/>
          <w:sz w:val="24"/>
          <w:lang w:eastAsia="zh-CN"/>
        </w:rPr>
        <w:t>竞</w:t>
      </w:r>
      <w:r>
        <w:rPr>
          <w:rFonts w:hint="eastAsia" w:ascii="宋体" w:hAnsi="宋体" w:eastAsia="宋体" w:cs="宋体"/>
          <w:color w:val="auto"/>
          <w:sz w:val="24"/>
        </w:rPr>
        <w:t xml:space="preserve">标人同意本 </w:t>
      </w:r>
      <w:r>
        <w:rPr>
          <w:rFonts w:hint="eastAsia" w:ascii="宋体" w:hAnsi="宋体" w:eastAsia="宋体" w:cs="宋体"/>
          <w:color w:val="auto"/>
          <w:sz w:val="24"/>
          <w:lang w:eastAsia="zh-CN"/>
        </w:rPr>
        <w:t>采购</w:t>
      </w:r>
      <w:r>
        <w:rPr>
          <w:rFonts w:hint="eastAsia" w:ascii="宋体" w:hAnsi="宋体" w:eastAsia="宋体" w:cs="宋体"/>
          <w:color w:val="auto"/>
          <w:sz w:val="24"/>
        </w:rPr>
        <w:t>文件中 “竞标函附表 ” 和成交后签订的采购合同可用于公示，其中所有内容不涉及竞标人商业秘密。</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6. </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同意按照贵方要求提供与投标有关的一切数据或资料。</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7. 与本竞标有关的一切正式往来信函请寄：</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（单位名称并加盖公章）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邮编：</w:t>
      </w:r>
      <w:r>
        <w:rPr>
          <w:rFonts w:hint="eastAsia" w:ascii="宋体" w:hAnsi="宋体" w:eastAsia="宋体" w:cs="宋体"/>
          <w:color w:val="auto"/>
          <w:sz w:val="24"/>
          <w:u w:val="single"/>
        </w:rPr>
        <w:t xml:space="preserve">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传真：</w:t>
      </w:r>
      <w:r>
        <w:rPr>
          <w:rFonts w:hint="eastAsia" w:ascii="宋体" w:hAnsi="宋体" w:eastAsia="宋体" w:cs="宋体"/>
          <w:color w:val="auto"/>
          <w:sz w:val="24"/>
          <w:u w:val="single"/>
        </w:rPr>
        <w:t xml:space="preserve">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或授权委托人：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年     月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日</w:t>
      </w:r>
      <w:r>
        <w:rPr>
          <w:rFonts w:hint="eastAsia" w:ascii="宋体" w:hAnsi="宋体" w:eastAsia="宋体" w:cs="宋体"/>
          <w:color w:val="auto"/>
          <w:sz w:val="24"/>
          <w:u w:val="single"/>
        </w:rPr>
        <w:t xml:space="preserve"> </w:t>
      </w:r>
    </w:p>
    <w:p>
      <w:pPr>
        <w:keepNext/>
        <w:keepLines/>
        <w:spacing w:line="380" w:lineRule="atLeast"/>
        <w:jc w:val="center"/>
        <w:rPr>
          <w:rFonts w:hint="eastAsia" w:ascii="宋体" w:hAnsi="宋体" w:eastAsia="宋体" w:cs="宋体"/>
          <w:b/>
          <w:color w:val="auto"/>
          <w:sz w:val="28"/>
        </w:rPr>
      </w:pPr>
      <w:r>
        <w:rPr>
          <w:rFonts w:hint="eastAsia" w:ascii="宋体" w:hAnsi="宋体" w:eastAsia="宋体" w:cs="宋体"/>
          <w:b/>
          <w:color w:val="auto"/>
          <w:sz w:val="28"/>
        </w:rPr>
        <w:t>二、竞标函附表</w:t>
      </w:r>
    </w:p>
    <w:tbl>
      <w:tblPr>
        <w:tblStyle w:val="17"/>
        <w:tblpPr w:leftFromText="180" w:rightFromText="180" w:vertAnchor="text" w:horzAnchor="page" w:tblpX="1155" w:tblpY="998"/>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38"/>
        <w:gridCol w:w="3392"/>
        <w:gridCol w:w="1050"/>
        <w:gridCol w:w="795"/>
        <w:gridCol w:w="13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lang w:eastAsia="zh-CN"/>
              </w:rPr>
            </w:pPr>
            <w:r>
              <w:rPr>
                <w:rFonts w:hint="eastAsia" w:ascii="宋体" w:hAnsi="宋体" w:eastAsia="宋体" w:cs="宋体"/>
                <w:b/>
                <w:color w:val="auto"/>
                <w:kern w:val="2"/>
                <w:sz w:val="24"/>
                <w:szCs w:val="24"/>
                <w:lang w:eastAsia="zh-CN"/>
              </w:rPr>
              <w:t>序号</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eastAsia="zh-CN"/>
              </w:rPr>
              <w:t>货物</w:t>
            </w:r>
            <w:r>
              <w:rPr>
                <w:rFonts w:hint="eastAsia" w:ascii="宋体" w:hAnsi="宋体" w:eastAsia="宋体" w:cs="宋体"/>
                <w:b/>
                <w:color w:val="auto"/>
                <w:kern w:val="2"/>
                <w:sz w:val="24"/>
                <w:szCs w:val="24"/>
              </w:rPr>
              <w:t>名称</w:t>
            </w: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lang w:eastAsia="zh-CN"/>
              </w:rPr>
            </w:pPr>
            <w:r>
              <w:rPr>
                <w:rFonts w:hint="eastAsia" w:ascii="宋体" w:hAnsi="宋体" w:eastAsia="宋体" w:cs="宋体"/>
                <w:b/>
                <w:color w:val="auto"/>
                <w:kern w:val="2"/>
                <w:sz w:val="24"/>
                <w:szCs w:val="24"/>
                <w:lang w:eastAsia="zh-CN"/>
              </w:rPr>
              <w:t>技术规格（</w:t>
            </w:r>
            <w:r>
              <w:rPr>
                <w:rFonts w:hint="eastAsia" w:ascii="宋体" w:hAnsi="宋体" w:eastAsia="宋体" w:cs="宋体"/>
                <w:b w:val="0"/>
                <w:bCs/>
                <w:color w:val="auto"/>
                <w:kern w:val="2"/>
                <w:sz w:val="24"/>
                <w:szCs w:val="24"/>
                <w:lang w:eastAsia="zh-CN"/>
              </w:rPr>
              <w:t>包括：品牌、型号，如有</w:t>
            </w:r>
            <w:r>
              <w:rPr>
                <w:rFonts w:hint="eastAsia" w:ascii="宋体" w:hAnsi="宋体" w:eastAsia="宋体" w:cs="宋体"/>
                <w:b/>
                <w:color w:val="auto"/>
                <w:kern w:val="2"/>
                <w:sz w:val="24"/>
                <w:szCs w:val="24"/>
                <w:lang w:eastAsia="zh-CN"/>
              </w:rPr>
              <w:t>）</w:t>
            </w: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数量①</w:t>
            </w: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lang w:eastAsia="zh-CN"/>
              </w:rPr>
            </w:pPr>
            <w:r>
              <w:rPr>
                <w:rFonts w:hint="eastAsia" w:ascii="宋体" w:hAnsi="宋体" w:eastAsia="宋体" w:cs="宋体"/>
                <w:b/>
                <w:color w:val="auto"/>
                <w:kern w:val="2"/>
                <w:sz w:val="24"/>
                <w:szCs w:val="24"/>
                <w:lang w:eastAsia="zh-CN"/>
              </w:rPr>
              <w:t>单位</w:t>
            </w: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单价（元）②</w:t>
            </w: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合计（元）</w:t>
            </w:r>
          </w:p>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 xml:space="preserve"> </w:t>
            </w: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 xml:space="preserve"> </w:t>
            </w: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32"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tc>
        <w:tc>
          <w:tcPr>
            <w:tcW w:w="1038"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rPr>
              <w:t>竞标总报价</w:t>
            </w:r>
          </w:p>
        </w:tc>
        <w:tc>
          <w:tcPr>
            <w:tcW w:w="8222" w:type="dxa"/>
            <w:gridSpan w:val="5"/>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rPr>
              <w:t>人民币大写</w:t>
            </w:r>
            <w:r>
              <w:rPr>
                <w:rFonts w:hint="eastAsia" w:ascii="宋体" w:hAnsi="宋体" w:eastAsia="宋体" w:cs="宋体"/>
                <w:color w:val="auto"/>
                <w:kern w:val="2"/>
                <w:sz w:val="24"/>
                <w:u w:val="single"/>
              </w:rPr>
              <w:t xml:space="preserve">      </w:t>
            </w:r>
            <w:r>
              <w:rPr>
                <w:rFonts w:hint="eastAsia" w:ascii="宋体" w:hAnsi="宋体" w:eastAsia="宋体" w:cs="宋体"/>
                <w:color w:val="auto"/>
                <w:kern w:val="2"/>
                <w:sz w:val="24"/>
              </w:rPr>
              <w:t>（￥</w:t>
            </w:r>
            <w:r>
              <w:rPr>
                <w:rFonts w:hint="eastAsia" w:ascii="宋体" w:hAnsi="宋体" w:eastAsia="宋体" w:cs="宋体"/>
                <w:color w:val="auto"/>
                <w:kern w:val="2"/>
                <w:sz w:val="24"/>
                <w:u w:val="single"/>
              </w:rPr>
              <w:t xml:space="preserve">：    </w:t>
            </w:r>
            <w:r>
              <w:rPr>
                <w:rFonts w:hint="eastAsia" w:ascii="宋体" w:hAnsi="宋体" w:eastAsia="宋体" w:cs="宋体"/>
                <w:color w:val="auto"/>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32"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tc>
        <w:tc>
          <w:tcPr>
            <w:tcW w:w="1038" w:type="dxa"/>
            <w:vAlign w:val="center"/>
          </w:tcPr>
          <w:p>
            <w:pPr>
              <w:keepNext w:val="0"/>
              <w:keepLines w:val="0"/>
              <w:widowControl/>
              <w:suppressLineNumbers w:val="0"/>
              <w:spacing w:before="0" w:beforeAutospacing="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lang w:eastAsia="zh-CN"/>
              </w:rPr>
              <w:t>交货期</w:t>
            </w:r>
          </w:p>
        </w:tc>
        <w:tc>
          <w:tcPr>
            <w:tcW w:w="8222" w:type="dxa"/>
            <w:gridSpan w:val="5"/>
            <w:vAlign w:val="center"/>
          </w:tcPr>
          <w:p>
            <w:pPr>
              <w:keepNext w:val="0"/>
              <w:keepLines w:val="0"/>
              <w:widowControl/>
              <w:suppressLineNumbers w:val="0"/>
              <w:spacing w:before="240" w:beforeAutospacing="0" w:afterAutospacing="0" w:line="360" w:lineRule="auto"/>
              <w:ind w:left="0" w:right="0"/>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lang w:val="en-US" w:eastAsia="zh-CN"/>
              </w:rPr>
              <w:t xml:space="preserve"> </w:t>
            </w:r>
            <w:r>
              <w:rPr>
                <w:rFonts w:hint="eastAsia" w:ascii="宋体" w:hAnsi="宋体" w:eastAsia="宋体" w:cs="宋体"/>
                <w:color w:val="auto"/>
                <w:kern w:val="2"/>
                <w:sz w:val="24"/>
                <w:u w:val="none"/>
                <w:lang w:val="en-US" w:eastAsia="zh-CN"/>
              </w:rPr>
              <w:t xml:space="preserve"> 签订合同之日起</w:t>
            </w:r>
            <w:r>
              <w:rPr>
                <w:rFonts w:hint="eastAsia" w:ascii="宋体" w:hAnsi="宋体" w:eastAsia="宋体" w:cs="宋体"/>
                <w:color w:val="auto"/>
                <w:kern w:val="2"/>
                <w:sz w:val="24"/>
                <w:u w:val="single"/>
                <w:lang w:val="en-US" w:eastAsia="zh-CN"/>
              </w:rPr>
              <w:t xml:space="preserve">    </w:t>
            </w:r>
            <w:r>
              <w:rPr>
                <w:rFonts w:hint="eastAsia" w:ascii="宋体" w:hAnsi="宋体" w:eastAsia="宋体" w:cs="宋体"/>
                <w:color w:val="auto"/>
                <w:kern w:val="2"/>
                <w:sz w:val="24"/>
                <w:u w:val="none"/>
                <w:lang w:val="en-US" w:eastAsia="zh-CN"/>
              </w:rPr>
              <w:t xml:space="preserve">日内完成供货并安装调试及交付正常使用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32"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tc>
        <w:tc>
          <w:tcPr>
            <w:tcW w:w="1038"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rPr>
              <w:t>备注</w:t>
            </w:r>
          </w:p>
        </w:tc>
        <w:tc>
          <w:tcPr>
            <w:tcW w:w="8222" w:type="dxa"/>
            <w:gridSpan w:val="5"/>
            <w:vAlign w:val="center"/>
          </w:tcPr>
          <w:p>
            <w:pPr>
              <w:keepNext w:val="0"/>
              <w:keepLines w:val="0"/>
              <w:widowControl/>
              <w:suppressLineNumbers w:val="0"/>
              <w:spacing w:before="0" w:beforeAutospacing="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费用包括货物、货物包装、装卸运输、保险、税费以及货物的</w:t>
            </w:r>
            <w:r>
              <w:rPr>
                <w:rFonts w:hint="eastAsia" w:ascii="宋体" w:hAnsi="宋体" w:eastAsia="宋体" w:cs="宋体"/>
                <w:color w:val="auto"/>
                <w:kern w:val="2"/>
                <w:sz w:val="24"/>
                <w:szCs w:val="24"/>
                <w:lang w:eastAsia="zh-CN"/>
              </w:rPr>
              <w:t>安装、</w:t>
            </w:r>
            <w:r>
              <w:rPr>
                <w:rFonts w:hint="eastAsia" w:ascii="宋体" w:hAnsi="宋体" w:eastAsia="宋体" w:cs="宋体"/>
                <w:color w:val="auto"/>
                <w:kern w:val="2"/>
                <w:sz w:val="24"/>
                <w:szCs w:val="24"/>
              </w:rPr>
              <w:t>检测、验收、技术服务（包括技术资料的提供）、质保期保障、培训等所发生的一切费用。</w:t>
            </w:r>
          </w:p>
        </w:tc>
      </w:tr>
    </w:tbl>
    <w:p>
      <w:pPr>
        <w:rPr>
          <w:rFonts w:hint="eastAsia" w:ascii="宋体" w:hAnsi="宋体" w:eastAsia="宋体" w:cs="宋体"/>
          <w:color w:val="auto"/>
          <w:sz w:val="28"/>
        </w:rPr>
      </w:pPr>
    </w:p>
    <w:p>
      <w:pPr>
        <w:rPr>
          <w:rFonts w:hint="eastAsia" w:ascii="宋体" w:hAnsi="宋体" w:eastAsia="宋体" w:cs="宋体"/>
          <w:color w:val="auto"/>
          <w:sz w:val="28"/>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（单位名称并盖公章）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或授权委托人：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    字）        </w:t>
      </w:r>
    </w:p>
    <w:p>
      <w:pPr>
        <w:spacing w:line="500" w:lineRule="exact"/>
        <w:ind w:firstLine="1480" w:firstLineChars="617"/>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500" w:lineRule="exact"/>
        <w:rPr>
          <w:rFonts w:hint="eastAsia" w:ascii="宋体" w:hAnsi="宋体" w:eastAsia="宋体" w:cs="宋体"/>
          <w:color w:val="auto"/>
          <w:sz w:val="28"/>
        </w:rPr>
      </w:pPr>
    </w:p>
    <w:p>
      <w:pPr>
        <w:keepNext/>
        <w:keepLines/>
        <w:spacing w:line="380" w:lineRule="atLeast"/>
        <w:jc w:val="center"/>
        <w:rPr>
          <w:rFonts w:hint="eastAsia" w:ascii="宋体" w:hAnsi="宋体" w:eastAsia="宋体" w:cs="宋体"/>
          <w:color w:val="auto"/>
        </w:rPr>
      </w:pPr>
    </w:p>
    <w:p>
      <w:pPr>
        <w:pStyle w:val="2"/>
        <w:ind w:firstLine="0"/>
        <w:rPr>
          <w:rFonts w:hint="eastAsia" w:ascii="宋体" w:hAnsi="宋体" w:eastAsia="宋体" w:cs="宋体"/>
          <w:color w:val="auto"/>
        </w:rPr>
      </w:pPr>
    </w:p>
    <w:p>
      <w:pPr>
        <w:pStyle w:val="2"/>
        <w:rPr>
          <w:rFonts w:hint="eastAsia" w:ascii="宋体" w:hAnsi="宋体" w:eastAsia="宋体" w:cs="宋体"/>
          <w:color w:val="auto"/>
        </w:rPr>
      </w:pPr>
    </w:p>
    <w:p>
      <w:pPr>
        <w:pStyle w:val="2"/>
        <w:ind w:left="0" w:leftChars="0" w:firstLine="0" w:firstLineChars="0"/>
        <w:rPr>
          <w:rFonts w:hint="eastAsia" w:ascii="宋体" w:hAnsi="宋体" w:eastAsia="宋体" w:cs="宋体"/>
          <w:color w:val="auto"/>
        </w:rPr>
      </w:pPr>
    </w:p>
    <w:p>
      <w:pPr>
        <w:pStyle w:val="2"/>
        <w:ind w:left="0" w:leftChars="0" w:firstLine="0" w:firstLineChars="0"/>
        <w:rPr>
          <w:rFonts w:hint="eastAsia" w:ascii="宋体" w:hAnsi="宋体" w:eastAsia="宋体" w:cs="宋体"/>
          <w:color w:val="auto"/>
        </w:rPr>
      </w:pPr>
    </w:p>
    <w:p>
      <w:pPr>
        <w:pStyle w:val="2"/>
        <w:rPr>
          <w:rFonts w:hint="eastAsia" w:ascii="宋体" w:hAnsi="宋体" w:eastAsia="宋体" w:cs="宋体"/>
          <w:color w:val="auto"/>
        </w:rPr>
      </w:pPr>
    </w:p>
    <w:p>
      <w:pPr>
        <w:shd w:val="clear" w:color="auto" w:fill="FFFFFF"/>
        <w:spacing w:after="240" w:line="360" w:lineRule="atLeast"/>
        <w:ind w:firstLine="48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、中小企业声明函或者残疾人福利性单位声明函或者供应商属于监狱企业的证明材料</w:t>
      </w:r>
      <w:r>
        <w:rPr>
          <w:rFonts w:hint="eastAsia" w:ascii="宋体" w:hAnsi="宋体" w:eastAsia="宋体" w:cs="宋体"/>
          <w:b/>
          <w:bCs/>
          <w:color w:val="auto"/>
          <w:sz w:val="28"/>
          <w:szCs w:val="28"/>
          <w:lang w:eastAsia="zh-CN"/>
        </w:rPr>
        <w:t>。</w:t>
      </w:r>
    </w:p>
    <w:p>
      <w:pPr>
        <w:shd w:val="clear" w:color="auto" w:fill="FFFFFF"/>
        <w:spacing w:after="240" w:line="360" w:lineRule="atLeas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中小企业声明函（格式）</w:t>
      </w:r>
    </w:p>
    <w:p>
      <w:pPr>
        <w:pStyle w:val="5"/>
        <w:rPr>
          <w:rFonts w:hint="eastAsia" w:ascii="宋体" w:hAnsi="宋体" w:eastAsia="宋体" w:cs="宋体"/>
          <w:color w:val="auto"/>
        </w:rPr>
      </w:pPr>
    </w:p>
    <w:p>
      <w:pPr>
        <w:shd w:val="clear" w:color="auto" w:fill="FFFFFF"/>
        <w:spacing w:after="240" w:line="360" w:lineRule="atLeast"/>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本公司</w:t>
      </w:r>
      <w:r>
        <w:rPr>
          <w:rFonts w:hint="eastAsia" w:ascii="宋体" w:hAnsi="宋体" w:eastAsia="宋体" w:cs="宋体"/>
          <w:color w:val="auto"/>
          <w:sz w:val="24"/>
          <w:szCs w:val="24"/>
          <w:lang w:val="en-US" w:eastAsia="zh-CN"/>
        </w:rPr>
        <w:t>(联合体)</w:t>
      </w:r>
      <w:r>
        <w:rPr>
          <w:rFonts w:hint="eastAsia" w:ascii="宋体" w:hAnsi="宋体" w:eastAsia="宋体" w:cs="宋体"/>
          <w:color w:val="auto"/>
          <w:sz w:val="24"/>
          <w:szCs w:val="24"/>
        </w:rPr>
        <w:t>郑重声明，根据《政府采购促进中小企业发展</w:t>
      </w:r>
      <w:r>
        <w:rPr>
          <w:rFonts w:hint="eastAsia" w:ascii="宋体" w:hAnsi="宋体" w:eastAsia="宋体" w:cs="宋体"/>
          <w:color w:val="auto"/>
          <w:sz w:val="24"/>
          <w:szCs w:val="24"/>
          <w:lang w:eastAsia="zh-CN"/>
        </w:rPr>
        <w:t>管理</w:t>
      </w:r>
      <w:r>
        <w:rPr>
          <w:rFonts w:hint="eastAsia" w:ascii="宋体" w:hAnsi="宋体" w:eastAsia="宋体" w:cs="宋体"/>
          <w:color w:val="auto"/>
          <w:sz w:val="24"/>
          <w:szCs w:val="24"/>
        </w:rPr>
        <w:t>办法》（财库[</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号）的规定，本公司</w:t>
      </w:r>
      <w:r>
        <w:rPr>
          <w:rFonts w:hint="eastAsia" w:ascii="宋体" w:hAnsi="宋体" w:eastAsia="宋体" w:cs="宋体"/>
          <w:color w:val="auto"/>
          <w:sz w:val="24"/>
          <w:szCs w:val="24"/>
          <w:lang w:eastAsia="zh-CN"/>
        </w:rPr>
        <w:t>（联合体）参加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（单位名称）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的</w:t>
      </w:r>
      <w:r>
        <w:rPr>
          <w:rFonts w:hint="eastAsia" w:ascii="宋体" w:hAnsi="宋体" w:eastAsia="宋体" w:cs="宋体"/>
          <w:color w:val="auto"/>
          <w:sz w:val="24"/>
          <w:szCs w:val="24"/>
          <w:u w:val="single"/>
          <w:lang w:val="en-US" w:eastAsia="zh-CN"/>
        </w:rPr>
        <w:t xml:space="preserve">   （项目名称）    </w:t>
      </w:r>
      <w:r>
        <w:rPr>
          <w:rFonts w:hint="eastAsia" w:ascii="宋体" w:hAnsi="宋体" w:eastAsia="宋体" w:cs="宋体"/>
          <w:color w:val="auto"/>
          <w:sz w:val="24"/>
          <w:szCs w:val="24"/>
          <w:u w:val="none"/>
          <w:lang w:val="en-US" w:eastAsia="zh-CN"/>
        </w:rPr>
        <w:t>采购活动，提供的货物全部由符合政策要求的中小企业制造。相关企业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含联合体中的中小企业、签订分包意向协议的中小企业）的具体情况如下：</w:t>
      </w: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u w:val="none"/>
          <w:lang w:eastAsia="zh-CN"/>
        </w:rPr>
        <w:t>，属于</w:t>
      </w:r>
      <w:r>
        <w:rPr>
          <w:rFonts w:hint="eastAsia" w:ascii="宋体" w:hAnsi="宋体" w:eastAsia="宋体" w:cs="宋体"/>
          <w:color w:val="auto"/>
          <w:sz w:val="24"/>
          <w:szCs w:val="24"/>
          <w:u w:val="single"/>
          <w:lang w:val="en-US" w:eastAsia="zh-CN"/>
        </w:rPr>
        <w:t xml:space="preserve"> （采购文件中明确的所属行业）</w:t>
      </w:r>
      <w:r>
        <w:rPr>
          <w:rFonts w:hint="eastAsia" w:ascii="宋体" w:hAnsi="宋体" w:eastAsia="宋体" w:cs="宋体"/>
          <w:color w:val="auto"/>
          <w:sz w:val="24"/>
          <w:szCs w:val="24"/>
          <w:u w:val="none"/>
          <w:lang w:val="en-US" w:eastAsia="zh-CN"/>
        </w:rPr>
        <w:t>行业；制造商为</w:t>
      </w:r>
      <w:r>
        <w:rPr>
          <w:rFonts w:hint="eastAsia" w:ascii="宋体" w:hAnsi="宋体" w:eastAsia="宋体" w:cs="宋体"/>
          <w:color w:val="auto"/>
          <w:sz w:val="24"/>
          <w:szCs w:val="24"/>
          <w:u w:val="single"/>
          <w:lang w:val="en-US" w:eastAsia="zh-CN"/>
        </w:rPr>
        <w:t xml:space="preserve">  （企业名称）   </w:t>
      </w:r>
      <w:r>
        <w:rPr>
          <w:rFonts w:hint="eastAsia" w:ascii="宋体" w:hAnsi="宋体" w:eastAsia="宋体" w:cs="宋体"/>
          <w:color w:val="auto"/>
          <w:sz w:val="24"/>
          <w:szCs w:val="24"/>
          <w:u w:val="none"/>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万元，属于</w:t>
      </w:r>
      <w:r>
        <w:rPr>
          <w:rFonts w:hint="eastAsia" w:ascii="宋体" w:hAnsi="宋体" w:eastAsia="宋体" w:cs="宋体"/>
          <w:color w:val="auto"/>
          <w:sz w:val="24"/>
          <w:szCs w:val="24"/>
          <w:u w:val="single"/>
          <w:lang w:val="en-US" w:eastAsia="zh-CN"/>
        </w:rPr>
        <w:t xml:space="preserve"> （中型企业、小型企业、微型企业）</w:t>
      </w:r>
      <w:r>
        <w:rPr>
          <w:rFonts w:hint="eastAsia" w:ascii="宋体" w:hAnsi="宋体" w:eastAsia="宋体" w:cs="宋体"/>
          <w:color w:val="auto"/>
          <w:sz w:val="24"/>
          <w:szCs w:val="24"/>
          <w:u w:val="none"/>
          <w:lang w:val="en-US" w:eastAsia="zh-CN"/>
        </w:rPr>
        <w:t>，</w:t>
      </w: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u w:val="none"/>
          <w:lang w:eastAsia="zh-CN"/>
        </w:rPr>
        <w:t>，属于</w:t>
      </w:r>
      <w:r>
        <w:rPr>
          <w:rFonts w:hint="eastAsia" w:ascii="宋体" w:hAnsi="宋体" w:eastAsia="宋体" w:cs="宋体"/>
          <w:color w:val="auto"/>
          <w:sz w:val="24"/>
          <w:szCs w:val="24"/>
          <w:u w:val="single"/>
          <w:lang w:val="en-US" w:eastAsia="zh-CN"/>
        </w:rPr>
        <w:t xml:space="preserve"> （采购文件中明确的所属行业）</w:t>
      </w:r>
      <w:r>
        <w:rPr>
          <w:rFonts w:hint="eastAsia" w:ascii="宋体" w:hAnsi="宋体" w:eastAsia="宋体" w:cs="宋体"/>
          <w:color w:val="auto"/>
          <w:sz w:val="24"/>
          <w:szCs w:val="24"/>
          <w:u w:val="none"/>
          <w:lang w:val="en-US" w:eastAsia="zh-CN"/>
        </w:rPr>
        <w:t>行业；制造商为</w:t>
      </w:r>
      <w:r>
        <w:rPr>
          <w:rFonts w:hint="eastAsia" w:ascii="宋体" w:hAnsi="宋体" w:eastAsia="宋体" w:cs="宋体"/>
          <w:color w:val="auto"/>
          <w:sz w:val="24"/>
          <w:szCs w:val="24"/>
          <w:u w:val="single"/>
          <w:lang w:val="en-US" w:eastAsia="zh-CN"/>
        </w:rPr>
        <w:t xml:space="preserve">  （企业名称）   </w:t>
      </w:r>
      <w:r>
        <w:rPr>
          <w:rFonts w:hint="eastAsia" w:ascii="宋体" w:hAnsi="宋体" w:eastAsia="宋体" w:cs="宋体"/>
          <w:color w:val="auto"/>
          <w:sz w:val="24"/>
          <w:szCs w:val="24"/>
          <w:u w:val="none"/>
          <w:lang w:val="en-US" w:eastAsia="zh-CN"/>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万元，属于</w:t>
      </w:r>
      <w:r>
        <w:rPr>
          <w:rFonts w:hint="eastAsia" w:ascii="宋体" w:hAnsi="宋体" w:eastAsia="宋体" w:cs="宋体"/>
          <w:color w:val="auto"/>
          <w:sz w:val="24"/>
          <w:szCs w:val="24"/>
          <w:u w:val="single"/>
          <w:lang w:val="en-US" w:eastAsia="zh-CN"/>
        </w:rPr>
        <w:t xml:space="preserve"> （中型企业、小型企业、微型企业）</w:t>
      </w:r>
      <w:r>
        <w:rPr>
          <w:rFonts w:hint="eastAsia" w:ascii="宋体" w:hAnsi="宋体" w:eastAsia="宋体" w:cs="宋体"/>
          <w:color w:val="auto"/>
          <w:sz w:val="24"/>
          <w:szCs w:val="24"/>
          <w:u w:val="none"/>
          <w:lang w:val="en-US" w:eastAsia="zh-CN"/>
        </w:rPr>
        <w:t>，</w:t>
      </w:r>
    </w:p>
    <w:p>
      <w:pPr>
        <w:shd w:val="clear" w:color="auto" w:fill="FFFFFF"/>
        <w:spacing w:after="240" w:line="360" w:lineRule="atLeast"/>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p>
    <w:p>
      <w:pPr>
        <w:pStyle w:val="7"/>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以上企业，不属于大企业的分支机构，不存在控股股东为大企业的情形，也不存在与大企业的负责人为同一人的情形。</w:t>
      </w:r>
    </w:p>
    <w:p>
      <w:pPr>
        <w:pStyle w:val="7"/>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本企业对上述声明内容的真实性负责。如有虚假，将依法承担相应责任。</w:t>
      </w:r>
    </w:p>
    <w:p>
      <w:pPr>
        <w:pStyle w:val="7"/>
        <w:rPr>
          <w:rFonts w:hint="eastAsia" w:ascii="宋体" w:hAnsi="宋体" w:eastAsia="宋体" w:cs="宋体"/>
          <w:color w:val="auto"/>
          <w:sz w:val="24"/>
          <w:szCs w:val="24"/>
        </w:rPr>
      </w:pPr>
    </w:p>
    <w:p>
      <w:pPr>
        <w:pStyle w:val="7"/>
        <w:rPr>
          <w:rFonts w:hint="eastAsia" w:ascii="宋体" w:hAnsi="宋体" w:eastAsia="宋体" w:cs="宋体"/>
          <w:color w:val="auto"/>
          <w:sz w:val="24"/>
          <w:szCs w:val="24"/>
        </w:rPr>
      </w:pPr>
    </w:p>
    <w:p>
      <w:pPr>
        <w:tabs>
          <w:tab w:val="left" w:pos="4860"/>
        </w:tabs>
        <w:spacing w:line="588" w:lineRule="exact"/>
        <w:ind w:right="156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企业</w:t>
      </w:r>
      <w:r>
        <w:rPr>
          <w:rFonts w:hint="eastAsia" w:ascii="宋体" w:hAnsi="宋体" w:eastAsia="宋体" w:cs="宋体"/>
          <w:color w:val="auto"/>
          <w:sz w:val="24"/>
          <w:szCs w:val="24"/>
        </w:rPr>
        <w:t>名称（盖章）：</w:t>
      </w:r>
    </w:p>
    <w:p>
      <w:pPr>
        <w:tabs>
          <w:tab w:val="left" w:pos="4860"/>
        </w:tabs>
        <w:spacing w:line="588" w:lineRule="exact"/>
        <w:ind w:right="156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pStyle w:val="8"/>
        <w:rPr>
          <w:rFonts w:hint="eastAsia" w:ascii="宋体" w:hAnsi="宋体" w:eastAsia="宋体" w:cs="宋体"/>
          <w:color w:val="auto"/>
        </w:rPr>
      </w:pPr>
    </w:p>
    <w:p>
      <w:pPr>
        <w:pStyle w:val="7"/>
        <w:rPr>
          <w:rFonts w:hint="eastAsia" w:ascii="宋体" w:hAnsi="宋体" w:eastAsia="宋体" w:cs="宋体"/>
          <w:color w:val="auto"/>
          <w:sz w:val="24"/>
          <w:szCs w:val="24"/>
        </w:rPr>
      </w:pPr>
    </w:p>
    <w:p>
      <w:pPr>
        <w:pStyle w:val="7"/>
        <w:rPr>
          <w:rFonts w:hint="eastAsia" w:ascii="宋体" w:hAnsi="宋体" w:eastAsia="宋体" w:cs="宋体"/>
          <w:color w:val="auto"/>
          <w:sz w:val="24"/>
          <w:szCs w:val="24"/>
        </w:rPr>
      </w:pPr>
    </w:p>
    <w:p>
      <w:pPr>
        <w:pStyle w:val="7"/>
        <w:rPr>
          <w:rFonts w:hint="eastAsia" w:ascii="宋体" w:hAnsi="宋体" w:eastAsia="宋体" w:cs="宋体"/>
          <w:color w:val="auto"/>
          <w:sz w:val="24"/>
          <w:szCs w:val="24"/>
        </w:rPr>
      </w:pPr>
    </w:p>
    <w:p>
      <w:pPr>
        <w:pStyle w:val="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注：从业人员、营业收入、资产总额填报上一年度数据，无上一年数据的新成立企业可不填报。</w:t>
      </w:r>
    </w:p>
    <w:p>
      <w:pPr>
        <w:pStyle w:val="7"/>
        <w:rPr>
          <w:rFonts w:hint="eastAsia" w:ascii="宋体" w:hAnsi="宋体" w:eastAsia="宋体" w:cs="宋体"/>
          <w:color w:val="auto"/>
          <w:sz w:val="24"/>
          <w:szCs w:val="24"/>
        </w:rPr>
      </w:pPr>
    </w:p>
    <w:p>
      <w:pPr>
        <w:spacing w:line="588" w:lineRule="exact"/>
        <w:jc w:val="center"/>
        <w:rPr>
          <w:rFonts w:hint="eastAsia" w:ascii="宋体" w:hAnsi="宋体" w:eastAsia="宋体" w:cs="宋体"/>
          <w:b/>
          <w:color w:val="auto"/>
          <w:sz w:val="24"/>
          <w:szCs w:val="24"/>
        </w:rPr>
      </w:pPr>
    </w:p>
    <w:p>
      <w:pPr>
        <w:spacing w:line="588" w:lineRule="exact"/>
        <w:jc w:val="center"/>
        <w:rPr>
          <w:rFonts w:hint="eastAsia" w:ascii="宋体" w:hAnsi="宋体" w:eastAsia="宋体" w:cs="宋体"/>
          <w:b/>
          <w:color w:val="auto"/>
          <w:sz w:val="24"/>
          <w:szCs w:val="24"/>
        </w:rPr>
      </w:pPr>
    </w:p>
    <w:p>
      <w:pPr>
        <w:spacing w:line="588" w:lineRule="exact"/>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残疾人福利性单位声明函（格式）</w:t>
      </w:r>
    </w:p>
    <w:p>
      <w:pPr>
        <w:spacing w:line="588" w:lineRule="exact"/>
        <w:rPr>
          <w:rFonts w:hint="eastAsia" w:ascii="宋体" w:hAnsi="宋体" w:eastAsia="宋体" w:cs="宋体"/>
          <w:b/>
          <w:color w:val="auto"/>
          <w:spacing w:val="6"/>
          <w:sz w:val="24"/>
          <w:szCs w:val="24"/>
        </w:rPr>
      </w:pPr>
    </w:p>
    <w:p>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588" w:lineRule="exact"/>
        <w:ind w:firstLine="480" w:firstLineChars="200"/>
        <w:rPr>
          <w:rFonts w:hint="eastAsia" w:ascii="宋体" w:hAnsi="宋体" w:eastAsia="宋体" w:cs="宋体"/>
          <w:color w:val="auto"/>
          <w:sz w:val="24"/>
          <w:szCs w:val="24"/>
        </w:rPr>
      </w:pPr>
    </w:p>
    <w:p>
      <w:pPr>
        <w:spacing w:line="588" w:lineRule="exact"/>
        <w:ind w:firstLine="480" w:firstLineChars="200"/>
        <w:rPr>
          <w:rFonts w:hint="eastAsia" w:ascii="宋体" w:hAnsi="宋体" w:eastAsia="宋体" w:cs="宋体"/>
          <w:color w:val="auto"/>
          <w:sz w:val="24"/>
          <w:szCs w:val="24"/>
        </w:rPr>
      </w:pPr>
    </w:p>
    <w:p>
      <w:pPr>
        <w:tabs>
          <w:tab w:val="left" w:pos="4860"/>
        </w:tabs>
        <w:spacing w:line="588" w:lineRule="exact"/>
        <w:ind w:right="156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tabs>
          <w:tab w:val="left" w:pos="4860"/>
        </w:tabs>
        <w:spacing w:line="588" w:lineRule="exact"/>
        <w:ind w:right="156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pStyle w:val="8"/>
        <w:rPr>
          <w:rFonts w:hint="eastAsia" w:ascii="宋体" w:hAnsi="宋体" w:eastAsia="宋体" w:cs="宋体"/>
          <w:color w:val="auto"/>
        </w:rPr>
      </w:pPr>
    </w:p>
    <w:p>
      <w:pPr>
        <w:spacing w:after="156" w:line="400" w:lineRule="exact"/>
        <w:ind w:right="-285"/>
        <w:rPr>
          <w:rFonts w:hint="eastAsia" w:ascii="宋体" w:hAnsi="宋体" w:eastAsia="宋体" w:cs="宋体"/>
          <w:color w:val="auto"/>
          <w:sz w:val="18"/>
        </w:rPr>
      </w:pPr>
    </w:p>
    <w:p>
      <w:pPr>
        <w:spacing w:line="220" w:lineRule="atLeast"/>
        <w:rPr>
          <w:rFonts w:hint="eastAsia" w:ascii="宋体" w:hAnsi="宋体" w:eastAsia="宋体" w:cs="宋体"/>
          <w:color w:val="auto"/>
        </w:rPr>
      </w:pPr>
    </w:p>
    <w:p>
      <w:pPr>
        <w:jc w:val="center"/>
        <w:rPr>
          <w:rFonts w:hint="eastAsia" w:ascii="宋体" w:hAnsi="宋体" w:eastAsia="宋体" w:cs="宋体"/>
          <w:b/>
          <w:color w:val="auto"/>
          <w:sz w:val="44"/>
          <w:szCs w:val="44"/>
        </w:rPr>
      </w:pPr>
    </w:p>
    <w:p>
      <w:pPr>
        <w:pStyle w:val="2"/>
        <w:jc w:val="center"/>
        <w:rPr>
          <w:rFonts w:hint="eastAsia" w:ascii="宋体" w:hAnsi="宋体" w:eastAsia="宋体" w:cs="宋体"/>
          <w:b/>
          <w:bCs/>
          <w:color w:val="auto"/>
          <w:sz w:val="28"/>
          <w:szCs w:val="28"/>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四、供应商</w:t>
      </w:r>
      <w:r>
        <w:rPr>
          <w:rFonts w:hint="eastAsia" w:ascii="宋体" w:hAnsi="宋体" w:eastAsia="宋体" w:cs="宋体"/>
          <w:b/>
          <w:color w:val="auto"/>
          <w:sz w:val="28"/>
          <w:szCs w:val="28"/>
          <w:highlight w:val="none"/>
        </w:rPr>
        <w:t>认为需要说明的其它资料</w: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 标 文 件</w:t>
      </w:r>
    </w:p>
    <w:p>
      <w:pPr>
        <w:jc w:val="center"/>
        <w:rPr>
          <w:rFonts w:hint="eastAsia" w:ascii="宋体" w:hAnsi="宋体" w:eastAsia="宋体" w:cs="宋体"/>
          <w:b/>
          <w:color w:val="auto"/>
          <w:sz w:val="44"/>
          <w:szCs w:val="44"/>
        </w:rPr>
      </w:pPr>
    </w:p>
    <w:p>
      <w:pPr>
        <w:rPr>
          <w:rFonts w:hint="eastAsia" w:ascii="宋体" w:hAnsi="宋体" w:eastAsia="宋体" w:cs="宋体"/>
          <w:b/>
          <w:bCs/>
          <w:color w:val="auto"/>
          <w:sz w:val="28"/>
          <w:szCs w:val="28"/>
        </w:rPr>
      </w:pPr>
    </w:p>
    <w:p>
      <w:pPr>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rPr>
        <w:t xml:space="preserve">                            </w:t>
      </w:r>
    </w:p>
    <w:p>
      <w:pPr>
        <w:ind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名称：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（盖单位公章）</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响应文件</w:t>
      </w:r>
      <w:r>
        <w:rPr>
          <w:rFonts w:hint="eastAsia" w:ascii="宋体" w:hAnsi="宋体" w:eastAsia="宋体" w:cs="宋体"/>
          <w:b/>
          <w:bCs/>
          <w:color w:val="auto"/>
          <w:sz w:val="28"/>
          <w:szCs w:val="28"/>
        </w:rPr>
        <w:t>内容：</w:t>
      </w:r>
      <w:r>
        <w:rPr>
          <w:rFonts w:hint="eastAsia" w:ascii="宋体" w:hAnsi="宋体" w:eastAsia="宋体" w:cs="宋体"/>
          <w:b/>
          <w:bCs/>
          <w:color w:val="auto"/>
          <w:sz w:val="28"/>
          <w:szCs w:val="28"/>
          <w:u w:val="single"/>
        </w:rPr>
        <w:t xml:space="preserve">             技术</w:t>
      </w:r>
      <w:r>
        <w:rPr>
          <w:rFonts w:hint="eastAsia" w:ascii="宋体" w:hAnsi="宋体" w:eastAsia="宋体" w:cs="宋体"/>
          <w:b/>
          <w:bCs/>
          <w:color w:val="auto"/>
          <w:sz w:val="28"/>
          <w:szCs w:val="28"/>
          <w:u w:val="single"/>
          <w:lang w:eastAsia="zh-CN"/>
        </w:rPr>
        <w:t>文件</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法定代表人（负责人）或其委托代理人：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（签    字）     </w:t>
      </w:r>
    </w:p>
    <w:p>
      <w:pPr>
        <w:spacing w:line="360" w:lineRule="auto"/>
        <w:ind w:firstLine="1734" w:firstLineChars="617"/>
        <w:rPr>
          <w:rFonts w:hint="eastAsia" w:ascii="宋体" w:hAnsi="宋体" w:eastAsia="宋体" w:cs="宋体"/>
          <w:b/>
          <w:bCs/>
          <w:color w:val="auto"/>
          <w:sz w:val="28"/>
          <w:szCs w:val="28"/>
        </w:rPr>
      </w:pPr>
      <w:r>
        <w:rPr>
          <w:rFonts w:hint="eastAsia" w:ascii="宋体" w:hAnsi="宋体" w:eastAsia="宋体" w:cs="宋体"/>
          <w:b/>
          <w:bCs/>
          <w:color w:val="auto"/>
          <w:sz w:val="28"/>
          <w:szCs w:val="28"/>
        </w:rPr>
        <w:t>日期：__________年_____月_____日</w:t>
      </w:r>
    </w:p>
    <w:p>
      <w:pPr>
        <w:keepNext/>
        <w:keepLines/>
        <w:spacing w:line="380" w:lineRule="atLeast"/>
        <w:jc w:val="center"/>
        <w:rPr>
          <w:rFonts w:hint="eastAsia" w:ascii="宋体" w:hAnsi="宋体" w:eastAsia="宋体" w:cs="宋体"/>
          <w:color w:val="auto"/>
        </w:rPr>
      </w:pPr>
    </w:p>
    <w:p>
      <w:pPr>
        <w:keepNext/>
        <w:keepLines/>
        <w:spacing w:line="380" w:lineRule="atLeast"/>
        <w:jc w:val="cente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技术标</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）技术规格响应表</w:t>
      </w:r>
      <w:r>
        <w:rPr>
          <w:rFonts w:hint="eastAsia" w:ascii="宋体" w:hAnsi="宋体" w:eastAsia="宋体" w:cs="宋体"/>
          <w:color w:val="auto"/>
          <w:sz w:val="24"/>
          <w:szCs w:val="24"/>
        </w:rPr>
        <w:t>（必须提供）；</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）售后服务承诺书（必须提供）</w:t>
      </w:r>
      <w:r>
        <w:rPr>
          <w:rFonts w:hint="eastAsia" w:ascii="宋体" w:hAnsi="宋体" w:eastAsia="宋体" w:cs="宋体"/>
          <w:color w:val="auto"/>
          <w:sz w:val="24"/>
          <w:szCs w:val="24"/>
        </w:rPr>
        <w:t>；</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认为需要说明的其它资料。</w:t>
      </w: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10"/>
        <w:spacing w:before="240"/>
        <w:jc w:val="center"/>
        <w:rPr>
          <w:rFonts w:hint="eastAsia" w:ascii="宋体" w:hAnsi="宋体" w:eastAsia="宋体" w:cs="宋体"/>
          <w:b/>
          <w:color w:val="auto"/>
          <w:sz w:val="30"/>
          <w:u w:val="single"/>
          <w:lang w:eastAsia="zh-CN"/>
        </w:rPr>
      </w:pPr>
      <w:r>
        <w:rPr>
          <w:rFonts w:hint="eastAsia" w:ascii="宋体" w:hAnsi="宋体" w:eastAsia="宋体" w:cs="宋体"/>
          <w:b/>
          <w:color w:val="auto"/>
          <w:sz w:val="30"/>
        </w:rPr>
        <w:t>一、技术规格响应表</w:t>
      </w:r>
    </w:p>
    <w:p>
      <w:pPr>
        <w:spacing w:line="276" w:lineRule="auto"/>
        <w:rPr>
          <w:rFonts w:hint="eastAsia" w:ascii="宋体" w:hAnsi="宋体" w:eastAsia="宋体" w:cs="宋体"/>
          <w:b/>
          <w:color w:val="auto"/>
          <w:spacing w:val="-6"/>
        </w:rPr>
      </w:pP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065"/>
        <w:gridCol w:w="3532"/>
        <w:gridCol w:w="300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0" w:type="dxa"/>
            <w:vAlign w:val="center"/>
          </w:tcPr>
          <w:p>
            <w:pPr>
              <w:pStyle w:val="10"/>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rPr>
            </w:pPr>
            <w:r>
              <w:rPr>
                <w:rFonts w:hint="eastAsia" w:ascii="宋体" w:hAnsi="宋体" w:eastAsia="宋体" w:cs="宋体"/>
                <w:b w:val="0"/>
                <w:bCs w:val="0"/>
                <w:color w:val="auto"/>
                <w:spacing w:val="-20"/>
                <w:kern w:val="2"/>
                <w:sz w:val="24"/>
                <w:szCs w:val="24"/>
              </w:rPr>
              <w:t>项号</w:t>
            </w:r>
          </w:p>
        </w:tc>
        <w:tc>
          <w:tcPr>
            <w:tcW w:w="1065" w:type="dxa"/>
            <w:vAlign w:val="center"/>
          </w:tcPr>
          <w:p>
            <w:pPr>
              <w:pStyle w:val="10"/>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rPr>
            </w:pPr>
            <w:r>
              <w:rPr>
                <w:rFonts w:hint="eastAsia" w:ascii="宋体" w:hAnsi="宋体" w:eastAsia="宋体" w:cs="宋体"/>
                <w:b w:val="0"/>
                <w:bCs w:val="0"/>
                <w:color w:val="auto"/>
                <w:spacing w:val="-20"/>
                <w:kern w:val="2"/>
                <w:sz w:val="24"/>
                <w:szCs w:val="24"/>
                <w:lang w:eastAsia="zh-CN"/>
              </w:rPr>
              <w:t>货物</w:t>
            </w:r>
            <w:r>
              <w:rPr>
                <w:rFonts w:hint="eastAsia" w:ascii="宋体" w:hAnsi="宋体" w:eastAsia="宋体" w:cs="宋体"/>
                <w:b w:val="0"/>
                <w:bCs w:val="0"/>
                <w:color w:val="auto"/>
                <w:spacing w:val="-20"/>
                <w:kern w:val="2"/>
                <w:sz w:val="24"/>
                <w:szCs w:val="24"/>
              </w:rPr>
              <w:t>名称</w:t>
            </w:r>
          </w:p>
        </w:tc>
        <w:tc>
          <w:tcPr>
            <w:tcW w:w="3532" w:type="dxa"/>
            <w:vAlign w:val="center"/>
          </w:tcPr>
          <w:p>
            <w:pPr>
              <w:pStyle w:val="10"/>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lang w:eastAsia="zh-CN"/>
              </w:rPr>
            </w:pPr>
            <w:r>
              <w:rPr>
                <w:rFonts w:hint="eastAsia" w:ascii="宋体" w:hAnsi="宋体" w:eastAsia="宋体" w:cs="宋体"/>
                <w:b w:val="0"/>
                <w:bCs w:val="0"/>
                <w:color w:val="auto"/>
                <w:spacing w:val="-20"/>
                <w:kern w:val="2"/>
                <w:sz w:val="24"/>
                <w:szCs w:val="24"/>
              </w:rPr>
              <w:t>采购技术要求</w:t>
            </w:r>
          </w:p>
        </w:tc>
        <w:tc>
          <w:tcPr>
            <w:tcW w:w="3003" w:type="dxa"/>
            <w:vAlign w:val="center"/>
          </w:tcPr>
          <w:p>
            <w:pPr>
              <w:pStyle w:val="10"/>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lang w:eastAsia="zh-CN"/>
              </w:rPr>
            </w:pPr>
            <w:r>
              <w:rPr>
                <w:rFonts w:hint="eastAsia" w:ascii="宋体" w:hAnsi="宋体" w:eastAsia="宋体" w:cs="宋体"/>
                <w:b w:val="0"/>
                <w:bCs w:val="0"/>
                <w:color w:val="auto"/>
                <w:spacing w:val="-20"/>
                <w:kern w:val="2"/>
                <w:sz w:val="24"/>
                <w:szCs w:val="24"/>
              </w:rPr>
              <w:t>竞标技术规格</w:t>
            </w:r>
          </w:p>
        </w:tc>
        <w:tc>
          <w:tcPr>
            <w:tcW w:w="1434" w:type="dxa"/>
            <w:vAlign w:val="center"/>
          </w:tcPr>
          <w:p>
            <w:pPr>
              <w:pStyle w:val="10"/>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rPr>
            </w:pPr>
            <w:r>
              <w:rPr>
                <w:rFonts w:hint="eastAsia" w:ascii="宋体" w:hAnsi="宋体" w:eastAsia="宋体" w:cs="宋体"/>
                <w:b w:val="0"/>
                <w:bCs w:val="0"/>
                <w:color w:val="auto"/>
                <w:spacing w:val="-20"/>
                <w:kern w:val="2"/>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w:t>
            </w:r>
          </w:p>
        </w:tc>
        <w:tc>
          <w:tcPr>
            <w:tcW w:w="1065"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w:t>
            </w:r>
          </w:p>
        </w:tc>
        <w:tc>
          <w:tcPr>
            <w:tcW w:w="1065"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3</w:t>
            </w:r>
          </w:p>
        </w:tc>
        <w:tc>
          <w:tcPr>
            <w:tcW w:w="1065"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w:t>
            </w:r>
          </w:p>
        </w:tc>
        <w:tc>
          <w:tcPr>
            <w:tcW w:w="1065"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10"/>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bl>
    <w:p>
      <w:pPr>
        <w:pStyle w:val="10"/>
        <w:spacing w:before="240"/>
        <w:rPr>
          <w:rFonts w:hint="eastAsia" w:ascii="宋体" w:hAnsi="宋体" w:eastAsia="宋体" w:cs="宋体"/>
          <w:b/>
          <w:color w:val="auto"/>
        </w:rPr>
      </w:pPr>
      <w:r>
        <w:rPr>
          <w:rFonts w:hint="eastAsia" w:ascii="宋体" w:hAnsi="宋体" w:eastAsia="宋体" w:cs="宋体"/>
          <w:b/>
          <w:color w:val="auto"/>
        </w:rPr>
        <w:t>注：</w:t>
      </w:r>
    </w:p>
    <w:p>
      <w:pPr>
        <w:pStyle w:val="10"/>
        <w:numPr>
          <w:ilvl w:val="0"/>
          <w:numId w:val="10"/>
        </w:numPr>
        <w:spacing w:before="240"/>
        <w:rPr>
          <w:rFonts w:hint="eastAsia" w:ascii="宋体" w:hAnsi="宋体" w:eastAsia="宋体" w:cs="宋体"/>
          <w:bCs/>
          <w:color w:val="auto"/>
        </w:rPr>
      </w:pPr>
      <w:r>
        <w:rPr>
          <w:rFonts w:hint="eastAsia" w:ascii="宋体" w:hAnsi="宋体" w:eastAsia="宋体" w:cs="宋体"/>
          <w:bCs/>
          <w:color w:val="auto"/>
        </w:rPr>
        <w:t>竞标技术规格由</w:t>
      </w:r>
      <w:r>
        <w:rPr>
          <w:rFonts w:hint="eastAsia" w:ascii="宋体" w:hAnsi="宋体" w:eastAsia="宋体" w:cs="宋体"/>
          <w:bCs/>
          <w:color w:val="auto"/>
          <w:lang w:eastAsia="zh-CN"/>
        </w:rPr>
        <w:t>供应商</w:t>
      </w:r>
      <w:r>
        <w:rPr>
          <w:rFonts w:hint="eastAsia" w:ascii="宋体" w:hAnsi="宋体" w:eastAsia="宋体" w:cs="宋体"/>
          <w:bCs/>
          <w:color w:val="auto"/>
        </w:rPr>
        <w:t>按照</w:t>
      </w:r>
      <w:r>
        <w:rPr>
          <w:rFonts w:hint="eastAsia" w:ascii="宋体" w:hAnsi="宋体" w:eastAsia="宋体" w:cs="宋体"/>
          <w:bCs/>
          <w:color w:val="auto"/>
          <w:lang w:eastAsia="zh-CN"/>
        </w:rPr>
        <w:t>响应文件</w:t>
      </w:r>
      <w:r>
        <w:rPr>
          <w:rFonts w:hint="eastAsia" w:ascii="宋体" w:hAnsi="宋体" w:eastAsia="宋体" w:cs="宋体"/>
          <w:bCs/>
          <w:color w:val="auto"/>
        </w:rPr>
        <w:t>货物需求一览表对应的技术参数及性能进行填写。</w:t>
      </w:r>
    </w:p>
    <w:p>
      <w:pPr>
        <w:pStyle w:val="10"/>
        <w:numPr>
          <w:ilvl w:val="0"/>
          <w:numId w:val="10"/>
        </w:numPr>
        <w:spacing w:before="240"/>
        <w:rPr>
          <w:rFonts w:hint="eastAsia" w:ascii="宋体" w:hAnsi="宋体" w:eastAsia="宋体" w:cs="宋体"/>
          <w:bCs/>
          <w:color w:val="auto"/>
        </w:rPr>
      </w:pPr>
      <w:r>
        <w:rPr>
          <w:rFonts w:hint="eastAsia" w:ascii="宋体" w:hAnsi="宋体" w:eastAsia="宋体" w:cs="宋体"/>
          <w:bCs/>
          <w:color w:val="auto"/>
        </w:rPr>
        <w:t>此表竞标技术规格与竞标报价表和产品检验报告证书的技术指标不符的，以产品检验报告证书的技术指标为准。</w:t>
      </w:r>
    </w:p>
    <w:p>
      <w:pPr>
        <w:pStyle w:val="10"/>
        <w:numPr>
          <w:ilvl w:val="0"/>
          <w:numId w:val="10"/>
        </w:numPr>
        <w:spacing w:before="240"/>
        <w:rPr>
          <w:rFonts w:hint="eastAsia" w:ascii="宋体" w:hAnsi="宋体" w:eastAsia="宋体" w:cs="宋体"/>
          <w:bCs/>
          <w:color w:val="auto"/>
        </w:rPr>
      </w:pPr>
      <w:r>
        <w:rPr>
          <w:rFonts w:hint="eastAsia" w:ascii="宋体" w:hAnsi="宋体" w:eastAsia="宋体" w:cs="宋体"/>
          <w:bCs/>
          <w:color w:val="auto"/>
        </w:rPr>
        <w:t>竞标技术规格与采购技术要求相同的为</w:t>
      </w:r>
      <w:r>
        <w:rPr>
          <w:rFonts w:hint="eastAsia" w:ascii="宋体" w:hAnsi="宋体" w:eastAsia="宋体" w:cs="宋体"/>
          <w:b/>
          <w:bCs w:val="0"/>
          <w:color w:val="auto"/>
        </w:rPr>
        <w:t>无偏离</w:t>
      </w:r>
      <w:r>
        <w:rPr>
          <w:rFonts w:hint="eastAsia" w:ascii="宋体" w:hAnsi="宋体" w:eastAsia="宋体" w:cs="宋体"/>
          <w:bCs/>
          <w:color w:val="auto"/>
        </w:rPr>
        <w:t>，竞标技术规格高于采购技术要求的为</w:t>
      </w:r>
      <w:r>
        <w:rPr>
          <w:rFonts w:hint="eastAsia" w:ascii="宋体" w:hAnsi="宋体" w:eastAsia="宋体" w:cs="宋体"/>
          <w:b/>
          <w:bCs w:val="0"/>
          <w:color w:val="auto"/>
        </w:rPr>
        <w:t>正偏离</w:t>
      </w:r>
      <w:r>
        <w:rPr>
          <w:rFonts w:hint="eastAsia" w:ascii="宋体" w:hAnsi="宋体" w:eastAsia="宋体" w:cs="宋体"/>
          <w:bCs/>
          <w:color w:val="auto"/>
        </w:rPr>
        <w:t>，低于采购技术要求的为</w:t>
      </w:r>
      <w:r>
        <w:rPr>
          <w:rFonts w:hint="eastAsia" w:ascii="宋体" w:hAnsi="宋体" w:eastAsia="宋体" w:cs="宋体"/>
          <w:b/>
          <w:bCs w:val="0"/>
          <w:color w:val="auto"/>
        </w:rPr>
        <w:t>负偏离</w:t>
      </w:r>
      <w:r>
        <w:rPr>
          <w:rFonts w:hint="eastAsia" w:ascii="宋体" w:hAnsi="宋体" w:eastAsia="宋体" w:cs="宋体"/>
          <w:bCs/>
          <w:color w:val="auto"/>
        </w:rPr>
        <w:t xml:space="preserve">。 </w:t>
      </w:r>
    </w:p>
    <w:p>
      <w:pPr>
        <w:pStyle w:val="10"/>
        <w:spacing w:before="240"/>
        <w:jc w:val="center"/>
        <w:rPr>
          <w:rFonts w:hint="eastAsia" w:ascii="宋体" w:hAnsi="宋体" w:eastAsia="宋体" w:cs="宋体"/>
          <w:bCs/>
          <w:color w:val="auto"/>
          <w:sz w:val="24"/>
        </w:rPr>
      </w:pPr>
      <w:r>
        <w:rPr>
          <w:rFonts w:hint="eastAsia" w:ascii="宋体" w:hAnsi="宋体" w:eastAsia="宋体" w:cs="宋体"/>
          <w:bCs/>
          <w:color w:val="auto"/>
          <w:sz w:val="24"/>
        </w:rPr>
        <w:t xml:space="preserve">             </w:t>
      </w:r>
    </w:p>
    <w:p>
      <w:pPr>
        <w:pStyle w:val="10"/>
        <w:spacing w:before="240"/>
        <w:jc w:val="center"/>
        <w:rPr>
          <w:rFonts w:hint="eastAsia" w:ascii="宋体" w:hAnsi="宋体" w:eastAsia="宋体" w:cs="宋体"/>
          <w:bCs/>
          <w:color w:val="auto"/>
          <w:sz w:val="24"/>
        </w:rPr>
      </w:pPr>
    </w:p>
    <w:p>
      <w:pPr>
        <w:pStyle w:val="10"/>
        <w:keepNext w:val="0"/>
        <w:keepLines w:val="0"/>
        <w:pageBreakBefore w:val="0"/>
        <w:kinsoku/>
        <w:wordWrap/>
        <w:overflowPunct/>
        <w:topLinePunct w:val="0"/>
        <w:autoSpaceDE/>
        <w:autoSpaceDN/>
        <w:bidi w:val="0"/>
        <w:spacing w:before="240" w:line="360" w:lineRule="auto"/>
        <w:jc w:val="center"/>
        <w:rPr>
          <w:rFonts w:hint="eastAsia" w:ascii="宋体" w:hAnsi="宋体" w:eastAsia="宋体" w:cs="宋体"/>
          <w:color w:val="auto"/>
          <w:szCs w:val="21"/>
          <w:u w:val="single"/>
        </w:rPr>
      </w:pPr>
      <w:r>
        <w:rPr>
          <w:rFonts w:hint="eastAsia" w:ascii="宋体" w:hAnsi="宋体" w:eastAsia="宋体" w:cs="宋体"/>
          <w:bCs/>
          <w:color w:val="auto"/>
          <w:sz w:val="24"/>
          <w:lang w:val="en-US" w:eastAsia="zh-CN"/>
        </w:rPr>
        <w:t xml:space="preserve">          </w:t>
      </w:r>
      <w:r>
        <w:rPr>
          <w:rFonts w:hint="eastAsia" w:ascii="宋体" w:hAnsi="宋体" w:eastAsia="宋体" w:cs="宋体"/>
          <w:color w:val="auto"/>
          <w:szCs w:val="21"/>
          <w:lang w:eastAsia="zh-CN"/>
        </w:rPr>
        <w:t>供应商</w:t>
      </w:r>
      <w:r>
        <w:rPr>
          <w:rFonts w:hint="eastAsia" w:ascii="宋体" w:hAnsi="宋体" w:eastAsia="宋体" w:cs="宋体"/>
          <w:color w:val="auto"/>
          <w:szCs w:val="21"/>
        </w:rPr>
        <w:t>（公章）</w:t>
      </w:r>
      <w:r>
        <w:rPr>
          <w:rFonts w:hint="eastAsia" w:ascii="宋体" w:hAnsi="宋体" w:eastAsia="宋体" w:cs="宋体"/>
          <w:color w:val="auto"/>
          <w:szCs w:val="21"/>
          <w:u w:val="single"/>
        </w:rPr>
        <w:t xml:space="preserve">                            </w:t>
      </w:r>
    </w:p>
    <w:p>
      <w:pPr>
        <w:pStyle w:val="10"/>
        <w:keepNext w:val="0"/>
        <w:keepLines w:val="0"/>
        <w:pageBreakBefore w:val="0"/>
        <w:kinsoku/>
        <w:wordWrap/>
        <w:overflowPunct/>
        <w:topLinePunct w:val="0"/>
        <w:autoSpaceDE/>
        <w:autoSpaceDN/>
        <w:bidi w:val="0"/>
        <w:spacing w:before="240" w:line="360" w:lineRule="auto"/>
        <w:ind w:firstLine="4935" w:firstLineChars="2350"/>
        <w:rPr>
          <w:rFonts w:hint="eastAsia" w:ascii="宋体" w:hAnsi="宋体" w:eastAsia="宋体" w:cs="宋体"/>
          <w:bCs/>
          <w:color w:val="auto"/>
          <w:szCs w:val="21"/>
          <w:u w:val="single"/>
        </w:rPr>
      </w:pPr>
      <w:r>
        <w:rPr>
          <w:rFonts w:hint="eastAsia" w:ascii="宋体" w:hAnsi="宋体" w:eastAsia="宋体" w:cs="宋体"/>
          <w:color w:val="auto"/>
          <w:szCs w:val="21"/>
        </w:rPr>
        <w:t>法定代表人（负责人）或委托代理人签字</w:t>
      </w:r>
      <w:r>
        <w:rPr>
          <w:rFonts w:hint="eastAsia" w:ascii="宋体" w:hAnsi="宋体" w:eastAsia="宋体" w:cs="宋体"/>
          <w:color w:val="auto"/>
          <w:szCs w:val="21"/>
          <w:u w:val="single"/>
        </w:rPr>
        <w:t xml:space="preserve">                </w:t>
      </w:r>
    </w:p>
    <w:p>
      <w:pPr>
        <w:pStyle w:val="10"/>
        <w:keepNext w:val="0"/>
        <w:keepLines w:val="0"/>
        <w:pageBreakBefore w:val="0"/>
        <w:kinsoku/>
        <w:wordWrap/>
        <w:overflowPunct/>
        <w:topLinePunct w:val="0"/>
        <w:autoSpaceDE/>
        <w:autoSpaceDN/>
        <w:bidi w:val="0"/>
        <w:spacing w:before="240" w:line="360" w:lineRule="auto"/>
        <w:ind w:firstLine="4410" w:firstLineChars="2100"/>
        <w:rPr>
          <w:rFonts w:hint="eastAsia" w:ascii="宋体" w:hAnsi="宋体" w:eastAsia="宋体" w:cs="宋体"/>
          <w:bCs/>
          <w:color w:val="auto"/>
          <w:szCs w:val="21"/>
          <w:u w:val="single"/>
        </w:rPr>
      </w:pPr>
      <w:r>
        <w:rPr>
          <w:rFonts w:hint="eastAsia" w:ascii="宋体" w:hAnsi="宋体" w:eastAsia="宋体" w:cs="宋体"/>
          <w:bCs/>
          <w:color w:val="auto"/>
          <w:szCs w:val="21"/>
        </w:rPr>
        <w:t xml:space="preserve">     日期：</w:t>
      </w:r>
      <w:r>
        <w:rPr>
          <w:rFonts w:hint="eastAsia" w:ascii="宋体" w:hAnsi="宋体" w:eastAsia="宋体" w:cs="宋体"/>
          <w:bCs/>
          <w:color w:val="auto"/>
          <w:szCs w:val="21"/>
          <w:u w:val="single"/>
        </w:rPr>
        <w:t xml:space="preserve">                                    </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rPr>
      </w:pPr>
    </w:p>
    <w:p>
      <w:pPr>
        <w:keepNext/>
        <w:keepLines/>
        <w:spacing w:line="380" w:lineRule="atLeast"/>
        <w:jc w:val="cente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color w:val="auto"/>
        </w:rPr>
      </w:pPr>
    </w:p>
    <w:p>
      <w:pPr>
        <w:keepNext/>
        <w:keepLines/>
        <w:spacing w:line="38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二、售后服务承诺书（必须提供）</w:t>
      </w:r>
    </w:p>
    <w:p>
      <w:pPr>
        <w:keepNext/>
        <w:keepLines/>
        <w:spacing w:line="380" w:lineRule="atLeas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说明：由竞标人根据本项目实际情况及竞争性谈判文件要求自行拟定。</w:t>
      </w:r>
    </w:p>
    <w:p>
      <w:pPr>
        <w:keepNext/>
        <w:keepLines/>
        <w:spacing w:line="380" w:lineRule="atLeast"/>
        <w:jc w:val="center"/>
        <w:rPr>
          <w:rFonts w:hint="eastAsia" w:ascii="宋体" w:hAnsi="宋体" w:eastAsia="宋体" w:cs="宋体"/>
          <w:b/>
          <w:color w:val="auto"/>
          <w:sz w:val="28"/>
        </w:rPr>
      </w:pPr>
    </w:p>
    <w:p>
      <w:pPr>
        <w:keepNext/>
        <w:keepLines/>
        <w:spacing w:line="380" w:lineRule="atLeast"/>
        <w:jc w:val="cente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color w:val="auto"/>
        </w:rPr>
      </w:pPr>
    </w:p>
    <w:p>
      <w:pPr>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pStyle w:val="2"/>
        <w:rPr>
          <w:rFonts w:hint="eastAsia" w:ascii="宋体" w:hAnsi="宋体" w:eastAsia="宋体" w:cs="宋体"/>
          <w:b/>
          <w:color w:val="auto"/>
          <w:sz w:val="28"/>
        </w:rPr>
      </w:pPr>
    </w:p>
    <w:p>
      <w:pPr>
        <w:keepNext/>
        <w:keepLines/>
        <w:spacing w:line="380" w:lineRule="atLeast"/>
        <w:jc w:val="center"/>
        <w:rPr>
          <w:rFonts w:hint="eastAsia" w:ascii="宋体" w:hAnsi="宋体" w:eastAsia="宋体" w:cs="宋体"/>
          <w:b/>
          <w:color w:val="auto"/>
          <w:sz w:val="28"/>
        </w:rPr>
      </w:pPr>
    </w:p>
    <w:p>
      <w:pPr>
        <w:keepNext/>
        <w:keepLines/>
        <w:spacing w:line="380" w:lineRule="atLeast"/>
        <w:jc w:val="center"/>
        <w:rPr>
          <w:rFonts w:hint="eastAsia" w:ascii="宋体" w:hAnsi="宋体" w:eastAsia="宋体" w:cs="宋体"/>
          <w:color w:val="auto"/>
          <w:sz w:val="28"/>
        </w:rPr>
      </w:pPr>
      <w:r>
        <w:rPr>
          <w:rFonts w:hint="eastAsia" w:ascii="宋体" w:hAnsi="宋体" w:eastAsia="宋体" w:cs="宋体"/>
          <w:b/>
          <w:color w:val="auto"/>
          <w:sz w:val="28"/>
        </w:rPr>
        <w:t>三、</w:t>
      </w:r>
      <w:r>
        <w:rPr>
          <w:rFonts w:hint="eastAsia" w:ascii="宋体" w:hAnsi="宋体" w:eastAsia="宋体" w:cs="宋体"/>
          <w:b/>
          <w:color w:val="auto"/>
          <w:sz w:val="28"/>
          <w:lang w:eastAsia="zh-CN"/>
        </w:rPr>
        <w:t>供应商</w:t>
      </w:r>
      <w:r>
        <w:rPr>
          <w:rFonts w:hint="eastAsia" w:ascii="宋体" w:hAnsi="宋体" w:eastAsia="宋体" w:cs="宋体"/>
          <w:b/>
          <w:color w:val="auto"/>
          <w:sz w:val="28"/>
        </w:rPr>
        <w:t>认为需要说明的其它资料</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认为需要提交的其它资料，如</w:t>
      </w:r>
      <w:r>
        <w:rPr>
          <w:rFonts w:hint="eastAsia" w:ascii="宋体" w:hAnsi="宋体" w:eastAsia="宋体" w:cs="宋体"/>
          <w:color w:val="auto"/>
          <w:sz w:val="24"/>
          <w:lang w:eastAsia="zh-CN"/>
        </w:rPr>
        <w:t>供应商</w:t>
      </w:r>
      <w:r>
        <w:rPr>
          <w:rFonts w:hint="eastAsia" w:ascii="宋体" w:hAnsi="宋体" w:eastAsia="宋体" w:cs="宋体"/>
          <w:color w:val="auto"/>
          <w:sz w:val="24"/>
        </w:rPr>
        <w:t>获奖荣誉证书、质量认证证书、</w:t>
      </w:r>
      <w:r>
        <w:rPr>
          <w:rFonts w:hint="eastAsia" w:ascii="宋体" w:hAnsi="宋体" w:eastAsia="宋体" w:cs="宋体"/>
          <w:color w:val="auto"/>
          <w:sz w:val="24"/>
          <w:lang w:eastAsia="zh-CN"/>
        </w:rPr>
        <w:t>供应商</w:t>
      </w:r>
      <w:r>
        <w:rPr>
          <w:rFonts w:hint="eastAsia" w:ascii="宋体" w:hAnsi="宋体" w:eastAsia="宋体" w:cs="宋体"/>
          <w:color w:val="auto"/>
          <w:sz w:val="24"/>
        </w:rPr>
        <w:t>简介、针对本项目所制定的保证措施及合理化建议等。</w:t>
      </w:r>
    </w:p>
    <w:p>
      <w:pPr>
        <w:spacing w:line="500" w:lineRule="exact"/>
        <w:rPr>
          <w:rFonts w:hint="eastAsia" w:ascii="宋体" w:hAnsi="宋体" w:eastAsia="宋体" w:cs="宋体"/>
          <w:color w:val="auto"/>
          <w:sz w:val="24"/>
        </w:rPr>
      </w:pPr>
    </w:p>
    <w:p>
      <w:pPr>
        <w:spacing w:line="360" w:lineRule="auto"/>
        <w:rPr>
          <w:rFonts w:hint="eastAsia" w:ascii="宋体" w:hAnsi="宋体" w:eastAsia="宋体" w:cs="宋体"/>
          <w:color w:val="auto"/>
          <w:lang w:eastAsia="zh-CN"/>
        </w:rPr>
      </w:pPr>
    </w:p>
    <w:sectPr>
      <w:footerReference r:id="rId9" w:type="default"/>
      <w:pgSz w:w="11906" w:h="16838"/>
      <w:pgMar w:top="694" w:right="872" w:bottom="744" w:left="1134" w:header="227" w:footer="170"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7A"/>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3</w:t>
    </w:r>
    <w:r>
      <w:rPr>
        <w:rFonts w:hAnsi="Times New Roman"/>
        <w:sz w:val="18"/>
      </w:rPr>
      <w:fldChar w:fldCharType="end"/>
    </w:r>
  </w:p>
  <w:p>
    <w:pPr>
      <w:tabs>
        <w:tab w:val="center" w:pos="4153"/>
        <w:tab w:val="right" w:pos="8306"/>
      </w:tabs>
      <w:ind w:right="360"/>
      <w:jc w:val="right"/>
      <w:rPr>
        <w:rFonts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jc w:val="right"/>
      <w:rPr>
        <w:rFonts w:hAnsi="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3</w:t>
                          </w:r>
                          <w:r>
                            <w:rPr>
                              <w:rFonts w:hAnsi="Times New Roman"/>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3</w:t>
                    </w:r>
                    <w:r>
                      <w:rPr>
                        <w:rFonts w:hAnsi="Times New Roman"/>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pBdr>
        <w:bottom w:val="single" w:color="auto" w:sz="4" w:space="0"/>
      </w:pBdr>
      <w:kinsoku/>
      <w:wordWrap/>
      <w:overflowPunct/>
      <w:topLinePunct w:val="0"/>
      <w:autoSpaceDE/>
      <w:autoSpaceDN/>
      <w:bidi w:val="0"/>
      <w:adjustRightInd w:val="0"/>
      <w:snapToGrid w:val="0"/>
      <w:spacing w:line="220" w:lineRule="atLeast"/>
      <w:ind w:firstLine="720" w:firstLineChars="400"/>
      <w:jc w:val="center"/>
      <w:textAlignment w:val="baseline"/>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靖西市财政局智能化会议室设备采购</w:t>
    </w:r>
    <w:r>
      <w:rPr>
        <w:rFonts w:hint="eastAsia" w:asciiTheme="minorEastAsia" w:hAnsiTheme="minorEastAsia" w:eastAsiaTheme="minorEastAsia" w:cstheme="minorEastAsia"/>
        <w:sz w:val="18"/>
        <w:szCs w:val="18"/>
        <w:lang w:val="en-US" w:eastAsia="zh-CN"/>
      </w:rPr>
      <w:t>(BSZC2022-J1-250630-BBWHY)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813DF"/>
    <w:multiLevelType w:val="singleLevel"/>
    <w:tmpl w:val="A86813DF"/>
    <w:lvl w:ilvl="0" w:tentative="0">
      <w:start w:val="1"/>
      <w:numFmt w:val="decimal"/>
      <w:suff w:val="nothing"/>
      <w:lvlText w:val="%1、"/>
      <w:lvlJc w:val="left"/>
    </w:lvl>
  </w:abstractNum>
  <w:abstractNum w:abstractNumId="1">
    <w:nsid w:val="BF6A2FB0"/>
    <w:multiLevelType w:val="singleLevel"/>
    <w:tmpl w:val="BF6A2FB0"/>
    <w:lvl w:ilvl="0" w:tentative="0">
      <w:start w:val="1"/>
      <w:numFmt w:val="chineseCounting"/>
      <w:suff w:val="nothing"/>
      <w:lvlText w:val="%1、"/>
      <w:lvlJc w:val="left"/>
      <w:rPr>
        <w:rFonts w:hint="eastAsia"/>
      </w:rPr>
    </w:lvl>
  </w:abstractNum>
  <w:abstractNum w:abstractNumId="2">
    <w:nsid w:val="D0354858"/>
    <w:multiLevelType w:val="singleLevel"/>
    <w:tmpl w:val="D0354858"/>
    <w:lvl w:ilvl="0" w:tentative="0">
      <w:start w:val="2"/>
      <w:numFmt w:val="decimal"/>
      <w:suff w:val="nothing"/>
      <w:lvlText w:val="%1、"/>
      <w:lvlJc w:val="left"/>
      <w:pPr>
        <w:ind w:left="0" w:firstLine="0"/>
      </w:pPr>
    </w:lvl>
  </w:abstractNum>
  <w:abstractNum w:abstractNumId="3">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0D1F616"/>
    <w:multiLevelType w:val="singleLevel"/>
    <w:tmpl w:val="30D1F616"/>
    <w:lvl w:ilvl="0" w:tentative="0">
      <w:start w:val="1"/>
      <w:numFmt w:val="decimal"/>
      <w:lvlText w:val="%1."/>
      <w:lvlJc w:val="left"/>
      <w:pPr>
        <w:tabs>
          <w:tab w:val="left" w:pos="312"/>
        </w:tabs>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6814A4F"/>
    <w:multiLevelType w:val="multilevel"/>
    <w:tmpl w:val="56814A4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7">
    <w:nsid w:val="5A09A5CD"/>
    <w:multiLevelType w:val="singleLevel"/>
    <w:tmpl w:val="5A09A5CD"/>
    <w:lvl w:ilvl="0" w:tentative="0">
      <w:start w:val="1"/>
      <w:numFmt w:val="decimal"/>
      <w:suff w:val="nothing"/>
      <w:lvlText w:val="%1．"/>
      <w:lvlJc w:val="left"/>
    </w:lvl>
  </w:abstractNum>
  <w:abstractNum w:abstractNumId="8">
    <w:nsid w:val="797AF924"/>
    <w:multiLevelType w:val="singleLevel"/>
    <w:tmpl w:val="797AF924"/>
    <w:lvl w:ilvl="0" w:tentative="0">
      <w:start w:val="1"/>
      <w:numFmt w:val="decimal"/>
      <w:suff w:val="nothing"/>
      <w:lvlText w:val="%1、"/>
      <w:lvlJc w:val="left"/>
    </w:lvl>
  </w:abstractNum>
  <w:abstractNum w:abstractNumId="9">
    <w:nsid w:val="7DEB0782"/>
    <w:multiLevelType w:val="singleLevel"/>
    <w:tmpl w:val="7DEB0782"/>
    <w:lvl w:ilvl="0" w:tentative="0">
      <w:start w:val="1"/>
      <w:numFmt w:val="decimal"/>
      <w:suff w:val="nothing"/>
      <w:lvlText w:val="%1、"/>
      <w:lvlJc w:val="left"/>
    </w:lvl>
  </w:abstractNum>
  <w:num w:numId="1">
    <w:abstractNumId w:val="5"/>
  </w:num>
  <w:num w:numId="2">
    <w:abstractNumId w:val="6"/>
  </w:num>
  <w:num w:numId="3">
    <w:abstractNumId w:val="7"/>
  </w:num>
  <w:num w:numId="4">
    <w:abstractNumId w:val="1"/>
  </w:num>
  <w:num w:numId="5">
    <w:abstractNumId w:val="8"/>
  </w:num>
  <w:num w:numId="6">
    <w:abstractNumId w:val="2"/>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WU5ZmY1MzE0NjI0NTRjNzQwZTU2ZTBhNTMyOTMifQ=="/>
  </w:docVars>
  <w:rsids>
    <w:rsidRoot w:val="37B373D5"/>
    <w:rsid w:val="00001E2C"/>
    <w:rsid w:val="00007768"/>
    <w:rsid w:val="000171AB"/>
    <w:rsid w:val="000350E1"/>
    <w:rsid w:val="000404BC"/>
    <w:rsid w:val="00041B20"/>
    <w:rsid w:val="00046E7F"/>
    <w:rsid w:val="00053A4D"/>
    <w:rsid w:val="000822E2"/>
    <w:rsid w:val="00091AB8"/>
    <w:rsid w:val="000A0684"/>
    <w:rsid w:val="000A4A52"/>
    <w:rsid w:val="000E29A9"/>
    <w:rsid w:val="000E62CE"/>
    <w:rsid w:val="000F6288"/>
    <w:rsid w:val="000F720E"/>
    <w:rsid w:val="0010547B"/>
    <w:rsid w:val="00106227"/>
    <w:rsid w:val="001141E0"/>
    <w:rsid w:val="00126AEE"/>
    <w:rsid w:val="001303F7"/>
    <w:rsid w:val="0013753C"/>
    <w:rsid w:val="00141F1A"/>
    <w:rsid w:val="001505FE"/>
    <w:rsid w:val="00173FDD"/>
    <w:rsid w:val="0017710C"/>
    <w:rsid w:val="00194D78"/>
    <w:rsid w:val="001A691A"/>
    <w:rsid w:val="001B1A7D"/>
    <w:rsid w:val="001B35D3"/>
    <w:rsid w:val="001C5E0A"/>
    <w:rsid w:val="001D27E0"/>
    <w:rsid w:val="001D5766"/>
    <w:rsid w:val="001E1DD2"/>
    <w:rsid w:val="001E6AFC"/>
    <w:rsid w:val="0020416F"/>
    <w:rsid w:val="002143EE"/>
    <w:rsid w:val="00220181"/>
    <w:rsid w:val="00224005"/>
    <w:rsid w:val="002274CC"/>
    <w:rsid w:val="00231BC4"/>
    <w:rsid w:val="002450D4"/>
    <w:rsid w:val="00247593"/>
    <w:rsid w:val="00265956"/>
    <w:rsid w:val="00296A67"/>
    <w:rsid w:val="002B4548"/>
    <w:rsid w:val="002C08F8"/>
    <w:rsid w:val="002C201D"/>
    <w:rsid w:val="002C5AF9"/>
    <w:rsid w:val="002D1AD9"/>
    <w:rsid w:val="002D4036"/>
    <w:rsid w:val="002E3F5B"/>
    <w:rsid w:val="002E67F7"/>
    <w:rsid w:val="00315E58"/>
    <w:rsid w:val="00316A3C"/>
    <w:rsid w:val="00332171"/>
    <w:rsid w:val="0034576C"/>
    <w:rsid w:val="00347106"/>
    <w:rsid w:val="00361A83"/>
    <w:rsid w:val="00380F12"/>
    <w:rsid w:val="0039598A"/>
    <w:rsid w:val="003C0501"/>
    <w:rsid w:val="003F2EA2"/>
    <w:rsid w:val="00400921"/>
    <w:rsid w:val="00404673"/>
    <w:rsid w:val="00406EBF"/>
    <w:rsid w:val="0042405F"/>
    <w:rsid w:val="0042576C"/>
    <w:rsid w:val="004263C1"/>
    <w:rsid w:val="00431A84"/>
    <w:rsid w:val="00433EFB"/>
    <w:rsid w:val="00434AB8"/>
    <w:rsid w:val="00443E2F"/>
    <w:rsid w:val="00475290"/>
    <w:rsid w:val="00492410"/>
    <w:rsid w:val="00497FA8"/>
    <w:rsid w:val="004C472D"/>
    <w:rsid w:val="004C5719"/>
    <w:rsid w:val="004E1A09"/>
    <w:rsid w:val="004F3A48"/>
    <w:rsid w:val="004F78DE"/>
    <w:rsid w:val="005134F7"/>
    <w:rsid w:val="0051447A"/>
    <w:rsid w:val="00531A4A"/>
    <w:rsid w:val="00533210"/>
    <w:rsid w:val="005430DF"/>
    <w:rsid w:val="00546B6A"/>
    <w:rsid w:val="005576F4"/>
    <w:rsid w:val="00562873"/>
    <w:rsid w:val="00577729"/>
    <w:rsid w:val="00586970"/>
    <w:rsid w:val="00586A12"/>
    <w:rsid w:val="0059058B"/>
    <w:rsid w:val="005B09CE"/>
    <w:rsid w:val="005B6CE5"/>
    <w:rsid w:val="005D2438"/>
    <w:rsid w:val="005E16D0"/>
    <w:rsid w:val="005E521B"/>
    <w:rsid w:val="00603E82"/>
    <w:rsid w:val="006053EE"/>
    <w:rsid w:val="006140F3"/>
    <w:rsid w:val="006141AD"/>
    <w:rsid w:val="0062499F"/>
    <w:rsid w:val="0063429A"/>
    <w:rsid w:val="00652C3D"/>
    <w:rsid w:val="0066015C"/>
    <w:rsid w:val="00663890"/>
    <w:rsid w:val="0067160D"/>
    <w:rsid w:val="00685907"/>
    <w:rsid w:val="0069746A"/>
    <w:rsid w:val="006B1C7C"/>
    <w:rsid w:val="006B28B7"/>
    <w:rsid w:val="006F0395"/>
    <w:rsid w:val="006F4243"/>
    <w:rsid w:val="0070202B"/>
    <w:rsid w:val="00707BD9"/>
    <w:rsid w:val="00717295"/>
    <w:rsid w:val="007320AF"/>
    <w:rsid w:val="00744E71"/>
    <w:rsid w:val="0075683D"/>
    <w:rsid w:val="00762346"/>
    <w:rsid w:val="00772167"/>
    <w:rsid w:val="00775257"/>
    <w:rsid w:val="00780A82"/>
    <w:rsid w:val="00780E55"/>
    <w:rsid w:val="0079071A"/>
    <w:rsid w:val="00793A49"/>
    <w:rsid w:val="00796903"/>
    <w:rsid w:val="007976B2"/>
    <w:rsid w:val="007A7AC4"/>
    <w:rsid w:val="007C45DB"/>
    <w:rsid w:val="007C63CC"/>
    <w:rsid w:val="007D5BE5"/>
    <w:rsid w:val="007E6B3A"/>
    <w:rsid w:val="007F3D11"/>
    <w:rsid w:val="00817640"/>
    <w:rsid w:val="0082740E"/>
    <w:rsid w:val="008369DA"/>
    <w:rsid w:val="00844E10"/>
    <w:rsid w:val="00850BB1"/>
    <w:rsid w:val="0085674C"/>
    <w:rsid w:val="0085702E"/>
    <w:rsid w:val="0087259F"/>
    <w:rsid w:val="00872FA5"/>
    <w:rsid w:val="008854C6"/>
    <w:rsid w:val="00891C22"/>
    <w:rsid w:val="00892CBB"/>
    <w:rsid w:val="008B1621"/>
    <w:rsid w:val="008E4EC8"/>
    <w:rsid w:val="00901024"/>
    <w:rsid w:val="00903111"/>
    <w:rsid w:val="0092264F"/>
    <w:rsid w:val="009235E5"/>
    <w:rsid w:val="00926473"/>
    <w:rsid w:val="0093082F"/>
    <w:rsid w:val="00937F32"/>
    <w:rsid w:val="00964BDD"/>
    <w:rsid w:val="009666CD"/>
    <w:rsid w:val="00986A9D"/>
    <w:rsid w:val="009A7B1E"/>
    <w:rsid w:val="009E6009"/>
    <w:rsid w:val="009E6330"/>
    <w:rsid w:val="009F357E"/>
    <w:rsid w:val="00A27073"/>
    <w:rsid w:val="00A45F4E"/>
    <w:rsid w:val="00A535C2"/>
    <w:rsid w:val="00A74FFE"/>
    <w:rsid w:val="00A821B2"/>
    <w:rsid w:val="00A86FC5"/>
    <w:rsid w:val="00AA625D"/>
    <w:rsid w:val="00AB6D8C"/>
    <w:rsid w:val="00AC22BC"/>
    <w:rsid w:val="00AC5BB7"/>
    <w:rsid w:val="00B00F48"/>
    <w:rsid w:val="00B257B6"/>
    <w:rsid w:val="00B35F22"/>
    <w:rsid w:val="00B51C8E"/>
    <w:rsid w:val="00B74CE3"/>
    <w:rsid w:val="00B7604B"/>
    <w:rsid w:val="00B7682B"/>
    <w:rsid w:val="00B84367"/>
    <w:rsid w:val="00B864E1"/>
    <w:rsid w:val="00B91F15"/>
    <w:rsid w:val="00B93541"/>
    <w:rsid w:val="00B96402"/>
    <w:rsid w:val="00B96DF5"/>
    <w:rsid w:val="00BC392C"/>
    <w:rsid w:val="00BE3DBB"/>
    <w:rsid w:val="00C030FA"/>
    <w:rsid w:val="00C20E21"/>
    <w:rsid w:val="00C227A7"/>
    <w:rsid w:val="00C2288D"/>
    <w:rsid w:val="00C35BFF"/>
    <w:rsid w:val="00C43050"/>
    <w:rsid w:val="00C519E9"/>
    <w:rsid w:val="00C63C26"/>
    <w:rsid w:val="00C7184A"/>
    <w:rsid w:val="00C75749"/>
    <w:rsid w:val="00C8541A"/>
    <w:rsid w:val="00C970C6"/>
    <w:rsid w:val="00CA011C"/>
    <w:rsid w:val="00CB59F4"/>
    <w:rsid w:val="00CC2BD1"/>
    <w:rsid w:val="00CD5199"/>
    <w:rsid w:val="00CD57F7"/>
    <w:rsid w:val="00CD6B37"/>
    <w:rsid w:val="00CE6B6B"/>
    <w:rsid w:val="00CE6CCD"/>
    <w:rsid w:val="00CF0D2C"/>
    <w:rsid w:val="00CF1972"/>
    <w:rsid w:val="00CF317B"/>
    <w:rsid w:val="00D045DD"/>
    <w:rsid w:val="00D247A6"/>
    <w:rsid w:val="00D249EA"/>
    <w:rsid w:val="00D45236"/>
    <w:rsid w:val="00D51463"/>
    <w:rsid w:val="00D65BBB"/>
    <w:rsid w:val="00D673CE"/>
    <w:rsid w:val="00D94C9D"/>
    <w:rsid w:val="00DC6008"/>
    <w:rsid w:val="00DD1B19"/>
    <w:rsid w:val="00DE06EA"/>
    <w:rsid w:val="00E221BF"/>
    <w:rsid w:val="00E266C8"/>
    <w:rsid w:val="00E459E3"/>
    <w:rsid w:val="00E52ABC"/>
    <w:rsid w:val="00E55866"/>
    <w:rsid w:val="00E60C37"/>
    <w:rsid w:val="00E67A8A"/>
    <w:rsid w:val="00E73B84"/>
    <w:rsid w:val="00E80333"/>
    <w:rsid w:val="00E8407F"/>
    <w:rsid w:val="00EA2A25"/>
    <w:rsid w:val="00EC08C5"/>
    <w:rsid w:val="00EC1E08"/>
    <w:rsid w:val="00ED1995"/>
    <w:rsid w:val="00ED3A9B"/>
    <w:rsid w:val="00EE6875"/>
    <w:rsid w:val="00EF3508"/>
    <w:rsid w:val="00EF6FCF"/>
    <w:rsid w:val="00F12577"/>
    <w:rsid w:val="00F2636A"/>
    <w:rsid w:val="00F276DF"/>
    <w:rsid w:val="00F358D8"/>
    <w:rsid w:val="00F66DA2"/>
    <w:rsid w:val="00F66FBE"/>
    <w:rsid w:val="00F701F2"/>
    <w:rsid w:val="00F77F4E"/>
    <w:rsid w:val="00F977F9"/>
    <w:rsid w:val="00FA37CA"/>
    <w:rsid w:val="00FD31E8"/>
    <w:rsid w:val="00FE63D7"/>
    <w:rsid w:val="01070E57"/>
    <w:rsid w:val="017C1F9B"/>
    <w:rsid w:val="01BC4337"/>
    <w:rsid w:val="02563788"/>
    <w:rsid w:val="025C4551"/>
    <w:rsid w:val="026E7B77"/>
    <w:rsid w:val="02913461"/>
    <w:rsid w:val="02DC1A7B"/>
    <w:rsid w:val="02DD5967"/>
    <w:rsid w:val="03347F2A"/>
    <w:rsid w:val="03491BB4"/>
    <w:rsid w:val="0358094D"/>
    <w:rsid w:val="03A01DED"/>
    <w:rsid w:val="03E56EE0"/>
    <w:rsid w:val="03EB2672"/>
    <w:rsid w:val="0400540A"/>
    <w:rsid w:val="044D2D68"/>
    <w:rsid w:val="045B6271"/>
    <w:rsid w:val="04C742A1"/>
    <w:rsid w:val="05732005"/>
    <w:rsid w:val="05945B80"/>
    <w:rsid w:val="05966E4C"/>
    <w:rsid w:val="059C360F"/>
    <w:rsid w:val="05CE4FA4"/>
    <w:rsid w:val="060B4A98"/>
    <w:rsid w:val="06224E46"/>
    <w:rsid w:val="067D4CBB"/>
    <w:rsid w:val="069D590C"/>
    <w:rsid w:val="06CB1F67"/>
    <w:rsid w:val="072E1CCA"/>
    <w:rsid w:val="08544435"/>
    <w:rsid w:val="08A2703A"/>
    <w:rsid w:val="08C42299"/>
    <w:rsid w:val="08CD689D"/>
    <w:rsid w:val="08F17FDE"/>
    <w:rsid w:val="097478A8"/>
    <w:rsid w:val="097C01EF"/>
    <w:rsid w:val="09E648E6"/>
    <w:rsid w:val="0A09042E"/>
    <w:rsid w:val="0A1E472F"/>
    <w:rsid w:val="0A4F37AC"/>
    <w:rsid w:val="0A66596F"/>
    <w:rsid w:val="0AB3405D"/>
    <w:rsid w:val="0B3B0375"/>
    <w:rsid w:val="0B652839"/>
    <w:rsid w:val="0B7730BB"/>
    <w:rsid w:val="0B956F0D"/>
    <w:rsid w:val="0BA94754"/>
    <w:rsid w:val="0C033703"/>
    <w:rsid w:val="0CC56F81"/>
    <w:rsid w:val="0CF67D0F"/>
    <w:rsid w:val="0D1004D9"/>
    <w:rsid w:val="0D631AAB"/>
    <w:rsid w:val="0DFC63DC"/>
    <w:rsid w:val="0E184597"/>
    <w:rsid w:val="0E2B56A1"/>
    <w:rsid w:val="0E922C55"/>
    <w:rsid w:val="0EB01BA7"/>
    <w:rsid w:val="0EF22A54"/>
    <w:rsid w:val="0F752E1B"/>
    <w:rsid w:val="0F80356F"/>
    <w:rsid w:val="0F8E5808"/>
    <w:rsid w:val="0FED1C75"/>
    <w:rsid w:val="107A6B0B"/>
    <w:rsid w:val="10AC760C"/>
    <w:rsid w:val="113E5E0A"/>
    <w:rsid w:val="11BF5581"/>
    <w:rsid w:val="11FA2E6E"/>
    <w:rsid w:val="122C6E50"/>
    <w:rsid w:val="123A4681"/>
    <w:rsid w:val="12B143EC"/>
    <w:rsid w:val="12D72524"/>
    <w:rsid w:val="12FB3F33"/>
    <w:rsid w:val="13144FF5"/>
    <w:rsid w:val="13751742"/>
    <w:rsid w:val="13CE71AD"/>
    <w:rsid w:val="13FF370A"/>
    <w:rsid w:val="14460F7A"/>
    <w:rsid w:val="146C3CB6"/>
    <w:rsid w:val="1510062B"/>
    <w:rsid w:val="15167BE9"/>
    <w:rsid w:val="152B4878"/>
    <w:rsid w:val="154003CC"/>
    <w:rsid w:val="157F629D"/>
    <w:rsid w:val="15A20CE5"/>
    <w:rsid w:val="15AA7032"/>
    <w:rsid w:val="15E34FD5"/>
    <w:rsid w:val="168C3376"/>
    <w:rsid w:val="168F301E"/>
    <w:rsid w:val="16B071CB"/>
    <w:rsid w:val="173C6841"/>
    <w:rsid w:val="175013AB"/>
    <w:rsid w:val="17574334"/>
    <w:rsid w:val="17B04EAD"/>
    <w:rsid w:val="17B32B88"/>
    <w:rsid w:val="18041730"/>
    <w:rsid w:val="182642F7"/>
    <w:rsid w:val="18421F7A"/>
    <w:rsid w:val="18481E85"/>
    <w:rsid w:val="1852020A"/>
    <w:rsid w:val="186A1305"/>
    <w:rsid w:val="190B34C0"/>
    <w:rsid w:val="19314B52"/>
    <w:rsid w:val="197E1343"/>
    <w:rsid w:val="19932B02"/>
    <w:rsid w:val="1A173803"/>
    <w:rsid w:val="1A387A4C"/>
    <w:rsid w:val="1A7C66B2"/>
    <w:rsid w:val="1A932FD8"/>
    <w:rsid w:val="1AB4215D"/>
    <w:rsid w:val="1AE54F7E"/>
    <w:rsid w:val="1B02426B"/>
    <w:rsid w:val="1B2D1349"/>
    <w:rsid w:val="1B4C763B"/>
    <w:rsid w:val="1B5D06F7"/>
    <w:rsid w:val="1BA201ED"/>
    <w:rsid w:val="1C176CBB"/>
    <w:rsid w:val="1C487865"/>
    <w:rsid w:val="1D002744"/>
    <w:rsid w:val="1D2F041D"/>
    <w:rsid w:val="1D7F7A43"/>
    <w:rsid w:val="1E3A69DC"/>
    <w:rsid w:val="1E5514FB"/>
    <w:rsid w:val="1EBF4F80"/>
    <w:rsid w:val="1F152DDC"/>
    <w:rsid w:val="1F312F57"/>
    <w:rsid w:val="1F9B2C9E"/>
    <w:rsid w:val="206930B0"/>
    <w:rsid w:val="207271E3"/>
    <w:rsid w:val="20AE2F4E"/>
    <w:rsid w:val="21224D81"/>
    <w:rsid w:val="218D14D5"/>
    <w:rsid w:val="21E2623C"/>
    <w:rsid w:val="22040EBE"/>
    <w:rsid w:val="22163800"/>
    <w:rsid w:val="222A0BDB"/>
    <w:rsid w:val="2234517A"/>
    <w:rsid w:val="22505DB5"/>
    <w:rsid w:val="22613D28"/>
    <w:rsid w:val="22AE0FC2"/>
    <w:rsid w:val="238A6761"/>
    <w:rsid w:val="23E85D13"/>
    <w:rsid w:val="23E86D68"/>
    <w:rsid w:val="244E4263"/>
    <w:rsid w:val="248F5CDE"/>
    <w:rsid w:val="252752F1"/>
    <w:rsid w:val="254638D3"/>
    <w:rsid w:val="25485ACF"/>
    <w:rsid w:val="255A2125"/>
    <w:rsid w:val="25635102"/>
    <w:rsid w:val="257C1486"/>
    <w:rsid w:val="25F80F27"/>
    <w:rsid w:val="26105DEF"/>
    <w:rsid w:val="2618131E"/>
    <w:rsid w:val="2688737F"/>
    <w:rsid w:val="26C62A83"/>
    <w:rsid w:val="26ED1E46"/>
    <w:rsid w:val="27691BE4"/>
    <w:rsid w:val="277C23FC"/>
    <w:rsid w:val="27DE0696"/>
    <w:rsid w:val="27F60822"/>
    <w:rsid w:val="280074F4"/>
    <w:rsid w:val="28162891"/>
    <w:rsid w:val="2826648B"/>
    <w:rsid w:val="284B225F"/>
    <w:rsid w:val="28622577"/>
    <w:rsid w:val="28A5118D"/>
    <w:rsid w:val="28D20239"/>
    <w:rsid w:val="29691828"/>
    <w:rsid w:val="29E26FAB"/>
    <w:rsid w:val="2A2F7323"/>
    <w:rsid w:val="2A40173C"/>
    <w:rsid w:val="2A441CDD"/>
    <w:rsid w:val="2AB70300"/>
    <w:rsid w:val="2AD72E9E"/>
    <w:rsid w:val="2AEA0FEE"/>
    <w:rsid w:val="2B9675FB"/>
    <w:rsid w:val="2B984272"/>
    <w:rsid w:val="2BAC31EC"/>
    <w:rsid w:val="2BD46588"/>
    <w:rsid w:val="2BE97DF6"/>
    <w:rsid w:val="2C2C09B2"/>
    <w:rsid w:val="2C9E55F8"/>
    <w:rsid w:val="2CEC326F"/>
    <w:rsid w:val="2D024CDA"/>
    <w:rsid w:val="2D1E7CAE"/>
    <w:rsid w:val="2D3F00F5"/>
    <w:rsid w:val="2D416C63"/>
    <w:rsid w:val="2D7918CE"/>
    <w:rsid w:val="2D863B10"/>
    <w:rsid w:val="2DA8185B"/>
    <w:rsid w:val="2DC96A65"/>
    <w:rsid w:val="2DDB449C"/>
    <w:rsid w:val="2DE33AEA"/>
    <w:rsid w:val="2DE43ED4"/>
    <w:rsid w:val="2E0775E8"/>
    <w:rsid w:val="2E171704"/>
    <w:rsid w:val="2E2B273D"/>
    <w:rsid w:val="2E9D0800"/>
    <w:rsid w:val="2ED956EA"/>
    <w:rsid w:val="2EDE28F2"/>
    <w:rsid w:val="2F441BAA"/>
    <w:rsid w:val="2F5F3ED2"/>
    <w:rsid w:val="2F75482D"/>
    <w:rsid w:val="2F7A1D56"/>
    <w:rsid w:val="2FAC77D4"/>
    <w:rsid w:val="2FD20A6E"/>
    <w:rsid w:val="2FF31CFF"/>
    <w:rsid w:val="304C7A22"/>
    <w:rsid w:val="30A139F1"/>
    <w:rsid w:val="31190629"/>
    <w:rsid w:val="31217DCE"/>
    <w:rsid w:val="315734A3"/>
    <w:rsid w:val="3162469E"/>
    <w:rsid w:val="32281490"/>
    <w:rsid w:val="32394335"/>
    <w:rsid w:val="3244697E"/>
    <w:rsid w:val="32726DB0"/>
    <w:rsid w:val="32D4366D"/>
    <w:rsid w:val="330C4D96"/>
    <w:rsid w:val="335A2134"/>
    <w:rsid w:val="337352F8"/>
    <w:rsid w:val="33F02D87"/>
    <w:rsid w:val="348A3684"/>
    <w:rsid w:val="349D513D"/>
    <w:rsid w:val="34FC7C98"/>
    <w:rsid w:val="34FF014C"/>
    <w:rsid w:val="354166A4"/>
    <w:rsid w:val="357D78BF"/>
    <w:rsid w:val="35D00DF7"/>
    <w:rsid w:val="36096B03"/>
    <w:rsid w:val="36535910"/>
    <w:rsid w:val="3653733F"/>
    <w:rsid w:val="3661055D"/>
    <w:rsid w:val="36DF0939"/>
    <w:rsid w:val="36EB7F3F"/>
    <w:rsid w:val="3737375E"/>
    <w:rsid w:val="37B373D5"/>
    <w:rsid w:val="37C379F9"/>
    <w:rsid w:val="384416C0"/>
    <w:rsid w:val="384E202A"/>
    <w:rsid w:val="386A1849"/>
    <w:rsid w:val="38B137D7"/>
    <w:rsid w:val="38CA351F"/>
    <w:rsid w:val="390B5C9D"/>
    <w:rsid w:val="394C6D65"/>
    <w:rsid w:val="396A3053"/>
    <w:rsid w:val="396F43AC"/>
    <w:rsid w:val="39AC09C1"/>
    <w:rsid w:val="39D74FE9"/>
    <w:rsid w:val="39E00306"/>
    <w:rsid w:val="3A3836C8"/>
    <w:rsid w:val="3A3D1646"/>
    <w:rsid w:val="3A596CC4"/>
    <w:rsid w:val="3AAF547F"/>
    <w:rsid w:val="3AB004C7"/>
    <w:rsid w:val="3ABD0C2F"/>
    <w:rsid w:val="3B15391D"/>
    <w:rsid w:val="3B453D25"/>
    <w:rsid w:val="3BBE2205"/>
    <w:rsid w:val="3BFB74DD"/>
    <w:rsid w:val="3C32287B"/>
    <w:rsid w:val="3C57205B"/>
    <w:rsid w:val="3C766C66"/>
    <w:rsid w:val="3C8146CC"/>
    <w:rsid w:val="3D125B66"/>
    <w:rsid w:val="3D187D24"/>
    <w:rsid w:val="3DB847AF"/>
    <w:rsid w:val="3DF052BB"/>
    <w:rsid w:val="3E561172"/>
    <w:rsid w:val="3E69087B"/>
    <w:rsid w:val="3EAF53EB"/>
    <w:rsid w:val="3F4D3228"/>
    <w:rsid w:val="3F566811"/>
    <w:rsid w:val="3F6C15F7"/>
    <w:rsid w:val="3F880408"/>
    <w:rsid w:val="3FD56043"/>
    <w:rsid w:val="3FF9430E"/>
    <w:rsid w:val="3FFD0992"/>
    <w:rsid w:val="403C53E4"/>
    <w:rsid w:val="4041644D"/>
    <w:rsid w:val="405C1CBF"/>
    <w:rsid w:val="407B618C"/>
    <w:rsid w:val="409538D1"/>
    <w:rsid w:val="411323D3"/>
    <w:rsid w:val="414508EB"/>
    <w:rsid w:val="415870AD"/>
    <w:rsid w:val="41D7136B"/>
    <w:rsid w:val="42116896"/>
    <w:rsid w:val="434C70F6"/>
    <w:rsid w:val="435322E2"/>
    <w:rsid w:val="43655C83"/>
    <w:rsid w:val="437053E5"/>
    <w:rsid w:val="43710C76"/>
    <w:rsid w:val="43A55FAF"/>
    <w:rsid w:val="43BF075E"/>
    <w:rsid w:val="43D3577F"/>
    <w:rsid w:val="443947A4"/>
    <w:rsid w:val="44AC1508"/>
    <w:rsid w:val="44E34649"/>
    <w:rsid w:val="44E51193"/>
    <w:rsid w:val="44E528D5"/>
    <w:rsid w:val="44FB7B92"/>
    <w:rsid w:val="45E26DC6"/>
    <w:rsid w:val="463C5CC7"/>
    <w:rsid w:val="464139A7"/>
    <w:rsid w:val="46447C18"/>
    <w:rsid w:val="46645F2F"/>
    <w:rsid w:val="466A0266"/>
    <w:rsid w:val="47194487"/>
    <w:rsid w:val="475950F1"/>
    <w:rsid w:val="47735579"/>
    <w:rsid w:val="47796170"/>
    <w:rsid w:val="47BD144F"/>
    <w:rsid w:val="47C47759"/>
    <w:rsid w:val="47F036D1"/>
    <w:rsid w:val="47F72AFD"/>
    <w:rsid w:val="487F1775"/>
    <w:rsid w:val="489A3F24"/>
    <w:rsid w:val="48A7019D"/>
    <w:rsid w:val="48C96D88"/>
    <w:rsid w:val="48E21E09"/>
    <w:rsid w:val="48FB00EE"/>
    <w:rsid w:val="48FF18B2"/>
    <w:rsid w:val="4919068A"/>
    <w:rsid w:val="496C1475"/>
    <w:rsid w:val="49BD613A"/>
    <w:rsid w:val="4A58022B"/>
    <w:rsid w:val="4A8E2B78"/>
    <w:rsid w:val="4A9131B8"/>
    <w:rsid w:val="4B1B445E"/>
    <w:rsid w:val="4B5A1437"/>
    <w:rsid w:val="4B867B01"/>
    <w:rsid w:val="4BEC1429"/>
    <w:rsid w:val="4C263EEC"/>
    <w:rsid w:val="4C963F8F"/>
    <w:rsid w:val="4CAC1843"/>
    <w:rsid w:val="4CBD5B69"/>
    <w:rsid w:val="4CE76B61"/>
    <w:rsid w:val="4D0E39D2"/>
    <w:rsid w:val="4D784B41"/>
    <w:rsid w:val="4DB34285"/>
    <w:rsid w:val="4DB93D25"/>
    <w:rsid w:val="4DC451D3"/>
    <w:rsid w:val="4DCC0D8B"/>
    <w:rsid w:val="4DD771DB"/>
    <w:rsid w:val="4E273CC4"/>
    <w:rsid w:val="4E4107C9"/>
    <w:rsid w:val="4E6A6AD2"/>
    <w:rsid w:val="4E9A7F73"/>
    <w:rsid w:val="4EE95545"/>
    <w:rsid w:val="4F1C0477"/>
    <w:rsid w:val="4F211DDD"/>
    <w:rsid w:val="4F3E2BAC"/>
    <w:rsid w:val="4F5D1EB9"/>
    <w:rsid w:val="4FE314E5"/>
    <w:rsid w:val="4FE76799"/>
    <w:rsid w:val="50785461"/>
    <w:rsid w:val="5080452C"/>
    <w:rsid w:val="50C22246"/>
    <w:rsid w:val="50CC3FEA"/>
    <w:rsid w:val="50CE28D9"/>
    <w:rsid w:val="515B3FF7"/>
    <w:rsid w:val="515E4D57"/>
    <w:rsid w:val="516F4977"/>
    <w:rsid w:val="51733650"/>
    <w:rsid w:val="51796CDC"/>
    <w:rsid w:val="51946337"/>
    <w:rsid w:val="51A83A80"/>
    <w:rsid w:val="51D03F6B"/>
    <w:rsid w:val="51FD5D60"/>
    <w:rsid w:val="521B5BBB"/>
    <w:rsid w:val="525D2518"/>
    <w:rsid w:val="5262309C"/>
    <w:rsid w:val="52B647F6"/>
    <w:rsid w:val="52E162CC"/>
    <w:rsid w:val="531236D0"/>
    <w:rsid w:val="534E5DDA"/>
    <w:rsid w:val="5395778F"/>
    <w:rsid w:val="53B3706D"/>
    <w:rsid w:val="53C12F2C"/>
    <w:rsid w:val="53C26966"/>
    <w:rsid w:val="5440050C"/>
    <w:rsid w:val="54AE785C"/>
    <w:rsid w:val="54F8083C"/>
    <w:rsid w:val="55076203"/>
    <w:rsid w:val="552E2E3E"/>
    <w:rsid w:val="554F7DA0"/>
    <w:rsid w:val="55D82F1C"/>
    <w:rsid w:val="56614AC6"/>
    <w:rsid w:val="56CC3DAD"/>
    <w:rsid w:val="56D92334"/>
    <w:rsid w:val="57435F46"/>
    <w:rsid w:val="57452F4C"/>
    <w:rsid w:val="57472724"/>
    <w:rsid w:val="578C1038"/>
    <w:rsid w:val="578F34C4"/>
    <w:rsid w:val="57E61B4F"/>
    <w:rsid w:val="57EA567B"/>
    <w:rsid w:val="581B0ED5"/>
    <w:rsid w:val="58366D9C"/>
    <w:rsid w:val="58DA29CD"/>
    <w:rsid w:val="58EE4A7D"/>
    <w:rsid w:val="591A1146"/>
    <w:rsid w:val="59342C89"/>
    <w:rsid w:val="593A55BA"/>
    <w:rsid w:val="5955105F"/>
    <w:rsid w:val="59724DA1"/>
    <w:rsid w:val="59A017F8"/>
    <w:rsid w:val="59A3383F"/>
    <w:rsid w:val="59B1641D"/>
    <w:rsid w:val="59C733D1"/>
    <w:rsid w:val="59F557DA"/>
    <w:rsid w:val="5A37016C"/>
    <w:rsid w:val="5A496CC0"/>
    <w:rsid w:val="5A7677A6"/>
    <w:rsid w:val="5A8F1E1F"/>
    <w:rsid w:val="5ABA510D"/>
    <w:rsid w:val="5AC62265"/>
    <w:rsid w:val="5ACF02B5"/>
    <w:rsid w:val="5AFA70CB"/>
    <w:rsid w:val="5B757D48"/>
    <w:rsid w:val="5BBF2292"/>
    <w:rsid w:val="5BBF655A"/>
    <w:rsid w:val="5BC5692B"/>
    <w:rsid w:val="5C1713EF"/>
    <w:rsid w:val="5C30517D"/>
    <w:rsid w:val="5C4220C0"/>
    <w:rsid w:val="5C52632C"/>
    <w:rsid w:val="5C806259"/>
    <w:rsid w:val="5CA43DAC"/>
    <w:rsid w:val="5CF920D7"/>
    <w:rsid w:val="5CFB0A76"/>
    <w:rsid w:val="5D122CF3"/>
    <w:rsid w:val="5D1C0125"/>
    <w:rsid w:val="5D24083A"/>
    <w:rsid w:val="5D800AFD"/>
    <w:rsid w:val="5D8B1482"/>
    <w:rsid w:val="5DC42740"/>
    <w:rsid w:val="5E160F25"/>
    <w:rsid w:val="5E3210E4"/>
    <w:rsid w:val="5E344D0E"/>
    <w:rsid w:val="5E72644D"/>
    <w:rsid w:val="5E947F61"/>
    <w:rsid w:val="5F1B6F21"/>
    <w:rsid w:val="5F2A402F"/>
    <w:rsid w:val="5F3B116B"/>
    <w:rsid w:val="5F6A4871"/>
    <w:rsid w:val="5FB33B33"/>
    <w:rsid w:val="5FB72CC4"/>
    <w:rsid w:val="5FCA0196"/>
    <w:rsid w:val="5FE66069"/>
    <w:rsid w:val="602809E8"/>
    <w:rsid w:val="60342A78"/>
    <w:rsid w:val="60420DCF"/>
    <w:rsid w:val="605C728A"/>
    <w:rsid w:val="60611127"/>
    <w:rsid w:val="607522B2"/>
    <w:rsid w:val="60E973AF"/>
    <w:rsid w:val="60F72C17"/>
    <w:rsid w:val="61274499"/>
    <w:rsid w:val="61327489"/>
    <w:rsid w:val="61467700"/>
    <w:rsid w:val="61921EBF"/>
    <w:rsid w:val="61C50567"/>
    <w:rsid w:val="61D86E23"/>
    <w:rsid w:val="61EE600F"/>
    <w:rsid w:val="61FE11AF"/>
    <w:rsid w:val="620F1D67"/>
    <w:rsid w:val="62923E62"/>
    <w:rsid w:val="63385699"/>
    <w:rsid w:val="63866E40"/>
    <w:rsid w:val="63A9526C"/>
    <w:rsid w:val="63DD598E"/>
    <w:rsid w:val="63E54454"/>
    <w:rsid w:val="646D5CA1"/>
    <w:rsid w:val="64854A90"/>
    <w:rsid w:val="64A61457"/>
    <w:rsid w:val="64A856E9"/>
    <w:rsid w:val="64BA0EB3"/>
    <w:rsid w:val="64BF0220"/>
    <w:rsid w:val="64E926C6"/>
    <w:rsid w:val="655D5C3F"/>
    <w:rsid w:val="658A053C"/>
    <w:rsid w:val="659C0901"/>
    <w:rsid w:val="65BB7C94"/>
    <w:rsid w:val="66036DB0"/>
    <w:rsid w:val="661E1B4D"/>
    <w:rsid w:val="6627587D"/>
    <w:rsid w:val="662A2083"/>
    <w:rsid w:val="66ED1880"/>
    <w:rsid w:val="678243B9"/>
    <w:rsid w:val="67C74C79"/>
    <w:rsid w:val="67DA7D95"/>
    <w:rsid w:val="67FD4A2D"/>
    <w:rsid w:val="68442729"/>
    <w:rsid w:val="698F68DD"/>
    <w:rsid w:val="69A342A7"/>
    <w:rsid w:val="69BF391E"/>
    <w:rsid w:val="69C2222A"/>
    <w:rsid w:val="69D05222"/>
    <w:rsid w:val="6A2B01D9"/>
    <w:rsid w:val="6A5812E3"/>
    <w:rsid w:val="6A697062"/>
    <w:rsid w:val="6AA656A7"/>
    <w:rsid w:val="6AE2046C"/>
    <w:rsid w:val="6B5516A0"/>
    <w:rsid w:val="6BCD6750"/>
    <w:rsid w:val="6BF05E62"/>
    <w:rsid w:val="6C0563C2"/>
    <w:rsid w:val="6C166A6C"/>
    <w:rsid w:val="6C7052FA"/>
    <w:rsid w:val="6C771919"/>
    <w:rsid w:val="6CB276A5"/>
    <w:rsid w:val="6CC25F03"/>
    <w:rsid w:val="6CC32205"/>
    <w:rsid w:val="6DAD6DB9"/>
    <w:rsid w:val="6DBF2708"/>
    <w:rsid w:val="6DCC7B1B"/>
    <w:rsid w:val="6E112C44"/>
    <w:rsid w:val="6E131AFA"/>
    <w:rsid w:val="6E1E0971"/>
    <w:rsid w:val="6EC20F09"/>
    <w:rsid w:val="6F1240F1"/>
    <w:rsid w:val="6F325849"/>
    <w:rsid w:val="6FE03EF5"/>
    <w:rsid w:val="7002006F"/>
    <w:rsid w:val="70111172"/>
    <w:rsid w:val="702242D6"/>
    <w:rsid w:val="702607B1"/>
    <w:rsid w:val="7072516A"/>
    <w:rsid w:val="70AF40F5"/>
    <w:rsid w:val="70C83E01"/>
    <w:rsid w:val="70E73649"/>
    <w:rsid w:val="70EB39FC"/>
    <w:rsid w:val="71BF7093"/>
    <w:rsid w:val="72092D0A"/>
    <w:rsid w:val="722F2188"/>
    <w:rsid w:val="7265064B"/>
    <w:rsid w:val="72D6309D"/>
    <w:rsid w:val="72F878BD"/>
    <w:rsid w:val="73625498"/>
    <w:rsid w:val="73A4483D"/>
    <w:rsid w:val="73AF381F"/>
    <w:rsid w:val="740F78A7"/>
    <w:rsid w:val="74443E9A"/>
    <w:rsid w:val="748370BB"/>
    <w:rsid w:val="74CE619A"/>
    <w:rsid w:val="7511393D"/>
    <w:rsid w:val="751D5A46"/>
    <w:rsid w:val="75520687"/>
    <w:rsid w:val="75935F82"/>
    <w:rsid w:val="75952454"/>
    <w:rsid w:val="75A637D7"/>
    <w:rsid w:val="76226102"/>
    <w:rsid w:val="76732D92"/>
    <w:rsid w:val="769A01BA"/>
    <w:rsid w:val="77185693"/>
    <w:rsid w:val="775F50E7"/>
    <w:rsid w:val="777477D4"/>
    <w:rsid w:val="77747CA7"/>
    <w:rsid w:val="78173BF9"/>
    <w:rsid w:val="782A3DBC"/>
    <w:rsid w:val="786473FD"/>
    <w:rsid w:val="789C0490"/>
    <w:rsid w:val="78A82852"/>
    <w:rsid w:val="78B707B8"/>
    <w:rsid w:val="796050A3"/>
    <w:rsid w:val="797029C3"/>
    <w:rsid w:val="797A1FC6"/>
    <w:rsid w:val="79A52890"/>
    <w:rsid w:val="79B5502D"/>
    <w:rsid w:val="79D123F7"/>
    <w:rsid w:val="79D3245D"/>
    <w:rsid w:val="7A594FBA"/>
    <w:rsid w:val="7A730C7B"/>
    <w:rsid w:val="7AAF27AB"/>
    <w:rsid w:val="7B100E61"/>
    <w:rsid w:val="7B3121DA"/>
    <w:rsid w:val="7B407934"/>
    <w:rsid w:val="7B564EC8"/>
    <w:rsid w:val="7B586D4C"/>
    <w:rsid w:val="7B8D277A"/>
    <w:rsid w:val="7B9D245B"/>
    <w:rsid w:val="7BCD2BAA"/>
    <w:rsid w:val="7C1377A3"/>
    <w:rsid w:val="7C587600"/>
    <w:rsid w:val="7CBA5209"/>
    <w:rsid w:val="7CEC32D6"/>
    <w:rsid w:val="7CEC599D"/>
    <w:rsid w:val="7CF77C96"/>
    <w:rsid w:val="7D3973F0"/>
    <w:rsid w:val="7D692906"/>
    <w:rsid w:val="7D704B31"/>
    <w:rsid w:val="7D782166"/>
    <w:rsid w:val="7DD45D0A"/>
    <w:rsid w:val="7DE251D4"/>
    <w:rsid w:val="7DE53CC0"/>
    <w:rsid w:val="7DE60A6B"/>
    <w:rsid w:val="7DE84B42"/>
    <w:rsid w:val="7E49615E"/>
    <w:rsid w:val="7E4F3264"/>
    <w:rsid w:val="7EBA57D8"/>
    <w:rsid w:val="7F1F3E8E"/>
    <w:rsid w:val="7FC444B4"/>
    <w:rsid w:val="7FE31957"/>
    <w:rsid w:val="7FEA1BCA"/>
    <w:rsid w:val="7FFE5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9"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locked/>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qFormat/>
    <w:locked/>
    <w:uiPriority w:val="0"/>
    <w:pPr>
      <w:keepNext/>
      <w:keepLines/>
      <w:spacing w:line="380" w:lineRule="atLeast"/>
      <w:jc w:val="center"/>
      <w:outlineLvl w:val="1"/>
    </w:pPr>
    <w:rPr>
      <w:rFonts w:ascii="Arial" w:hAnsi="Arial" w:eastAsia="黑体"/>
      <w:bCs/>
      <w:kern w:val="0"/>
      <w:sz w:val="32"/>
      <w:szCs w:val="32"/>
    </w:rPr>
  </w:style>
  <w:style w:type="paragraph" w:styleId="5">
    <w:name w:val="heading 3"/>
    <w:basedOn w:val="1"/>
    <w:next w:val="1"/>
    <w:link w:val="44"/>
    <w:qFormat/>
    <w:locked/>
    <w:uiPriority w:val="99"/>
    <w:pPr>
      <w:keepNext/>
      <w:keepLines/>
      <w:spacing w:line="24" w:lineRule="auto"/>
      <w:outlineLvl w:val="2"/>
    </w:pPr>
    <w:rPr>
      <w:rFonts w:ascii="宋体" w:hAnsi="宋体"/>
      <w:b/>
      <w:bCs/>
      <w:sz w:val="24"/>
      <w:szCs w:val="32"/>
    </w:rPr>
  </w:style>
  <w:style w:type="paragraph" w:styleId="6">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unhideWhenUsed/>
    <w:qFormat/>
    <w:uiPriority w:val="99"/>
    <w:pPr>
      <w:spacing w:line="360" w:lineRule="atLeast"/>
      <w:ind w:firstLine="420"/>
      <w:textAlignment w:val="baseline"/>
    </w:pPr>
    <w:rPr>
      <w:szCs w:val="20"/>
    </w:rPr>
  </w:style>
  <w:style w:type="paragraph" w:styleId="7">
    <w:name w:val="annotation text"/>
    <w:basedOn w:val="1"/>
    <w:link w:val="26"/>
    <w:qFormat/>
    <w:uiPriority w:val="99"/>
  </w:style>
  <w:style w:type="paragraph" w:styleId="8">
    <w:name w:val="Body Text"/>
    <w:basedOn w:val="1"/>
    <w:next w:val="9"/>
    <w:link w:val="27"/>
    <w:qFormat/>
    <w:uiPriority w:val="99"/>
    <w:pPr>
      <w:widowControl w:val="0"/>
      <w:adjustRightInd/>
      <w:snapToGrid/>
      <w:spacing w:after="0"/>
      <w:jc w:val="center"/>
    </w:pPr>
    <w:rPr>
      <w:rFonts w:ascii="Times New Roman" w:hAnsi="Times New Roman" w:eastAsia="宋体"/>
      <w:sz w:val="52"/>
      <w:szCs w:val="20"/>
    </w:rPr>
  </w:style>
  <w:style w:type="paragraph" w:styleId="9">
    <w:name w:val="Body Text 2"/>
    <w:basedOn w:val="1"/>
    <w:unhideWhenUsed/>
    <w:qFormat/>
    <w:uiPriority w:val="99"/>
    <w:pPr>
      <w:spacing w:after="120" w:line="480" w:lineRule="auto"/>
    </w:pPr>
  </w:style>
  <w:style w:type="paragraph" w:styleId="10">
    <w:name w:val="Plain Text"/>
    <w:basedOn w:val="1"/>
    <w:next w:val="1"/>
    <w:link w:val="33"/>
    <w:qFormat/>
    <w:uiPriority w:val="0"/>
    <w:pPr>
      <w:widowControl w:val="0"/>
      <w:adjustRightInd/>
      <w:snapToGrid/>
      <w:spacing w:after="0"/>
      <w:jc w:val="both"/>
    </w:pPr>
    <w:rPr>
      <w:rFonts w:ascii="宋体" w:hAnsi="Calibri" w:eastAsia="宋体"/>
      <w:sz w:val="21"/>
      <w:szCs w:val="20"/>
    </w:rPr>
  </w:style>
  <w:style w:type="paragraph" w:styleId="11">
    <w:name w:val="Balloon Text"/>
    <w:basedOn w:val="1"/>
    <w:link w:val="32"/>
    <w:semiHidden/>
    <w:qFormat/>
    <w:uiPriority w:val="99"/>
    <w:rPr>
      <w:sz w:val="18"/>
      <w:szCs w:val="18"/>
    </w:rPr>
  </w:style>
  <w:style w:type="paragraph" w:styleId="12">
    <w:name w:val="footer"/>
    <w:basedOn w:val="1"/>
    <w:next w:val="1"/>
    <w:link w:val="29"/>
    <w:qFormat/>
    <w:uiPriority w:val="99"/>
    <w:pPr>
      <w:tabs>
        <w:tab w:val="center" w:pos="4153"/>
        <w:tab w:val="right" w:pos="8306"/>
      </w:tabs>
    </w:pPr>
    <w:rPr>
      <w:sz w:val="18"/>
      <w:szCs w:val="18"/>
    </w:rPr>
  </w:style>
  <w:style w:type="paragraph" w:styleId="13">
    <w:name w:val="header"/>
    <w:basedOn w:val="1"/>
    <w:link w:val="30"/>
    <w:qFormat/>
    <w:uiPriority w:val="99"/>
    <w:pPr>
      <w:pBdr>
        <w:bottom w:val="single" w:color="auto" w:sz="6" w:space="1"/>
      </w:pBdr>
      <w:tabs>
        <w:tab w:val="center" w:pos="4153"/>
        <w:tab w:val="right" w:pos="8306"/>
      </w:tabs>
      <w:jc w:val="center"/>
    </w:pPr>
    <w:rPr>
      <w:sz w:val="18"/>
      <w:szCs w:val="18"/>
    </w:rPr>
  </w:style>
  <w:style w:type="paragraph" w:styleId="14">
    <w:name w:val="Normal (Web)"/>
    <w:basedOn w:val="1"/>
    <w:next w:val="1"/>
    <w:qFormat/>
    <w:uiPriority w:val="99"/>
    <w:pPr>
      <w:adjustRightInd/>
      <w:snapToGrid/>
      <w:spacing w:before="280" w:after="280"/>
      <w:jc w:val="both"/>
    </w:pPr>
    <w:rPr>
      <w:rFonts w:ascii="宋体" w:hAnsi="Times New Roman" w:eastAsia="宋体"/>
      <w:sz w:val="24"/>
      <w:szCs w:val="20"/>
    </w:rPr>
  </w:style>
  <w:style w:type="paragraph" w:styleId="15">
    <w:name w:val="annotation subject"/>
    <w:basedOn w:val="7"/>
    <w:next w:val="7"/>
    <w:link w:val="31"/>
    <w:semiHidden/>
    <w:qFormat/>
    <w:uiPriority w:val="99"/>
    <w:rPr>
      <w:b/>
      <w:bC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unhideWhenUsed/>
    <w:qFormat/>
    <w:uiPriority w:val="99"/>
    <w:rPr>
      <w:rFonts w:ascii="微软雅黑" w:hAnsi="微软雅黑" w:eastAsia="微软雅黑" w:cs="微软雅黑"/>
      <w:color w:val="02396F"/>
      <w:u w:val="single"/>
    </w:rPr>
  </w:style>
  <w:style w:type="character" w:styleId="20">
    <w:name w:val="Hyperlink"/>
    <w:basedOn w:val="18"/>
    <w:unhideWhenUsed/>
    <w:qFormat/>
    <w:uiPriority w:val="99"/>
    <w:rPr>
      <w:rFonts w:hint="eastAsia" w:ascii="微软雅黑" w:hAnsi="微软雅黑" w:eastAsia="微软雅黑" w:cs="微软雅黑"/>
      <w:color w:val="02396F"/>
      <w:u w:val="single"/>
    </w:rPr>
  </w:style>
  <w:style w:type="character" w:styleId="21">
    <w:name w:val="annotation reference"/>
    <w:basedOn w:val="18"/>
    <w:semiHidden/>
    <w:qFormat/>
    <w:uiPriority w:val="99"/>
    <w:rPr>
      <w:rFonts w:cs="Times New Roman"/>
      <w:sz w:val="21"/>
      <w:szCs w:val="21"/>
    </w:rPr>
  </w:style>
  <w:style w:type="paragraph" w:customStyle="1" w:styleId="22">
    <w:name w:val="表格文字"/>
    <w:basedOn w:val="1"/>
    <w:qFormat/>
    <w:uiPriority w:val="99"/>
    <w:pPr>
      <w:spacing w:before="25" w:after="25"/>
      <w:ind w:firstLine="315" w:firstLineChars="150"/>
      <w:jc w:val="left"/>
    </w:pPr>
    <w:rPr>
      <w:bCs/>
      <w:color w:val="000000"/>
      <w:szCs w:val="21"/>
    </w:rPr>
  </w:style>
  <w:style w:type="paragraph" w:customStyle="1" w:styleId="2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26">
    <w:name w:val="批注文字 Char"/>
    <w:basedOn w:val="18"/>
    <w:link w:val="7"/>
    <w:semiHidden/>
    <w:qFormat/>
    <w:locked/>
    <w:uiPriority w:val="99"/>
    <w:rPr>
      <w:rFonts w:ascii="Tahoma" w:hAnsi="Tahoma" w:eastAsia="微软雅黑" w:cs="Times New Roman"/>
      <w:kern w:val="0"/>
      <w:sz w:val="22"/>
    </w:rPr>
  </w:style>
  <w:style w:type="character" w:customStyle="1" w:styleId="27">
    <w:name w:val="正文文本 Char"/>
    <w:basedOn w:val="18"/>
    <w:link w:val="8"/>
    <w:semiHidden/>
    <w:qFormat/>
    <w:locked/>
    <w:uiPriority w:val="99"/>
    <w:rPr>
      <w:rFonts w:ascii="Tahoma" w:hAnsi="Tahoma" w:eastAsia="微软雅黑" w:cs="Times New Roman"/>
      <w:kern w:val="0"/>
      <w:sz w:val="22"/>
    </w:rPr>
  </w:style>
  <w:style w:type="character" w:customStyle="1" w:styleId="28">
    <w:name w:val="Plain Text Char"/>
    <w:basedOn w:val="18"/>
    <w:link w:val="10"/>
    <w:semiHidden/>
    <w:qFormat/>
    <w:locked/>
    <w:uiPriority w:val="99"/>
    <w:rPr>
      <w:rFonts w:ascii="宋体" w:hAnsi="Courier New" w:cs="Courier New"/>
      <w:kern w:val="0"/>
      <w:sz w:val="21"/>
      <w:szCs w:val="21"/>
    </w:rPr>
  </w:style>
  <w:style w:type="character" w:customStyle="1" w:styleId="29">
    <w:name w:val="页脚 Char"/>
    <w:basedOn w:val="18"/>
    <w:link w:val="12"/>
    <w:semiHidden/>
    <w:qFormat/>
    <w:locked/>
    <w:uiPriority w:val="99"/>
    <w:rPr>
      <w:rFonts w:ascii="Tahoma" w:hAnsi="Tahoma" w:eastAsia="微软雅黑" w:cs="Times New Roman"/>
      <w:kern w:val="0"/>
      <w:sz w:val="18"/>
      <w:szCs w:val="18"/>
    </w:rPr>
  </w:style>
  <w:style w:type="character" w:customStyle="1" w:styleId="30">
    <w:name w:val="页眉 Char"/>
    <w:basedOn w:val="18"/>
    <w:link w:val="13"/>
    <w:semiHidden/>
    <w:qFormat/>
    <w:locked/>
    <w:uiPriority w:val="99"/>
    <w:rPr>
      <w:rFonts w:ascii="Tahoma" w:hAnsi="Tahoma" w:eastAsia="微软雅黑" w:cs="Times New Roman"/>
      <w:kern w:val="0"/>
      <w:sz w:val="18"/>
      <w:szCs w:val="18"/>
    </w:rPr>
  </w:style>
  <w:style w:type="character" w:customStyle="1" w:styleId="31">
    <w:name w:val="批注主题 Char"/>
    <w:basedOn w:val="26"/>
    <w:link w:val="15"/>
    <w:semiHidden/>
    <w:qFormat/>
    <w:locked/>
    <w:uiPriority w:val="99"/>
    <w:rPr>
      <w:b/>
      <w:bCs/>
    </w:rPr>
  </w:style>
  <w:style w:type="character" w:customStyle="1" w:styleId="32">
    <w:name w:val="批注框文本 Char"/>
    <w:basedOn w:val="18"/>
    <w:link w:val="11"/>
    <w:semiHidden/>
    <w:qFormat/>
    <w:locked/>
    <w:uiPriority w:val="99"/>
    <w:rPr>
      <w:rFonts w:ascii="Tahoma" w:hAnsi="Tahoma" w:eastAsia="微软雅黑" w:cs="Times New Roman"/>
      <w:kern w:val="0"/>
      <w:sz w:val="2"/>
    </w:rPr>
  </w:style>
  <w:style w:type="character" w:customStyle="1" w:styleId="33">
    <w:name w:val="纯文本 Char"/>
    <w:link w:val="10"/>
    <w:qFormat/>
    <w:locked/>
    <w:uiPriority w:val="0"/>
    <w:rPr>
      <w:rFonts w:ascii="宋体" w:eastAsia="宋体"/>
      <w:sz w:val="21"/>
      <w:lang w:val="en-US" w:eastAsia="zh-CN"/>
    </w:rPr>
  </w:style>
  <w:style w:type="character" w:customStyle="1" w:styleId="34">
    <w:name w:val="gjfg"/>
    <w:basedOn w:val="18"/>
    <w:qFormat/>
    <w:uiPriority w:val="0"/>
  </w:style>
  <w:style w:type="character" w:customStyle="1" w:styleId="35">
    <w:name w:val="cfdate"/>
    <w:basedOn w:val="18"/>
    <w:qFormat/>
    <w:uiPriority w:val="0"/>
    <w:rPr>
      <w:color w:val="333333"/>
      <w:sz w:val="18"/>
      <w:szCs w:val="18"/>
    </w:rPr>
  </w:style>
  <w:style w:type="character" w:customStyle="1" w:styleId="36">
    <w:name w:val="displayarti"/>
    <w:basedOn w:val="18"/>
    <w:qFormat/>
    <w:uiPriority w:val="0"/>
    <w:rPr>
      <w:color w:val="FFFFFF"/>
      <w:shd w:val="clear" w:color="auto" w:fill="A00000"/>
    </w:rPr>
  </w:style>
  <w:style w:type="character" w:customStyle="1" w:styleId="37">
    <w:name w:val="redfilenumber"/>
    <w:basedOn w:val="18"/>
    <w:qFormat/>
    <w:uiPriority w:val="0"/>
    <w:rPr>
      <w:color w:val="BA2636"/>
      <w:sz w:val="18"/>
      <w:szCs w:val="18"/>
    </w:rPr>
  </w:style>
  <w:style w:type="character" w:customStyle="1" w:styleId="38">
    <w:name w:val="qxdate"/>
    <w:basedOn w:val="18"/>
    <w:qFormat/>
    <w:uiPriority w:val="0"/>
    <w:rPr>
      <w:color w:val="333333"/>
      <w:sz w:val="18"/>
      <w:szCs w:val="18"/>
    </w:rPr>
  </w:style>
  <w:style w:type="character" w:customStyle="1" w:styleId="39">
    <w:name w:val="redfilefwwh"/>
    <w:basedOn w:val="18"/>
    <w:qFormat/>
    <w:uiPriority w:val="0"/>
    <w:rPr>
      <w:color w:val="BA2636"/>
      <w:sz w:val="18"/>
      <w:szCs w:val="18"/>
    </w:rPr>
  </w:style>
  <w:style w:type="paragraph" w:customStyle="1" w:styleId="40">
    <w:name w:val="修订1"/>
    <w:hidden/>
    <w:unhideWhenUsed/>
    <w:qFormat/>
    <w:uiPriority w:val="99"/>
    <w:rPr>
      <w:rFonts w:ascii="Tahoma" w:hAnsi="Tahoma" w:eastAsia="微软雅黑" w:cs="Times New Roman"/>
      <w:sz w:val="22"/>
      <w:szCs w:val="22"/>
      <w:lang w:val="en-US" w:eastAsia="zh-CN" w:bidi="ar-SA"/>
    </w:rPr>
  </w:style>
  <w:style w:type="paragraph" w:styleId="41">
    <w:name w:val="No Spacing"/>
    <w:qFormat/>
    <w:uiPriority w:val="1"/>
    <w:pPr>
      <w:spacing w:after="0" w:line="240" w:lineRule="auto"/>
    </w:pPr>
    <w:rPr>
      <w:rFonts w:ascii="宋体" w:hAnsi="宋体" w:eastAsia="宋体" w:cs="宋体"/>
      <w:sz w:val="24"/>
      <w:szCs w:val="24"/>
      <w:lang w:val="en-US" w:eastAsia="zh-CN" w:bidi="ar-SA"/>
    </w:rPr>
  </w:style>
  <w:style w:type="paragraph" w:customStyle="1" w:styleId="42">
    <w:name w:val="Table Paragraph"/>
    <w:basedOn w:val="1"/>
    <w:qFormat/>
    <w:uiPriority w:val="1"/>
    <w:pPr>
      <w:adjustRightInd/>
      <w:snapToGrid/>
      <w:spacing w:after="0"/>
      <w:ind w:left="103"/>
    </w:pPr>
    <w:rPr>
      <w:rFonts w:ascii="宋体" w:hAnsi="宋体" w:eastAsia="宋体" w:cs="宋体"/>
      <w:lang w:eastAsia="en-US"/>
    </w:rPr>
  </w:style>
  <w:style w:type="paragraph" w:customStyle="1" w:styleId="43">
    <w:name w:val="p0"/>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44">
    <w:name w:val="标题 3 Char"/>
    <w:basedOn w:val="18"/>
    <w:link w:val="5"/>
    <w:qFormat/>
    <w:uiPriority w:val="0"/>
    <w:rPr>
      <w:rFonts w:hint="default" w:ascii="Tahoma" w:hAnsi="Tahoma" w:eastAsia="微软雅黑" w:cs="Times New Roman"/>
      <w:b/>
      <w:kern w:val="0"/>
      <w:sz w:val="32"/>
      <w:szCs w:val="32"/>
    </w:rPr>
  </w:style>
  <w:style w:type="paragraph" w:customStyle="1" w:styleId="45">
    <w:name w:val="列出段落1"/>
    <w:basedOn w:val="1"/>
    <w:qFormat/>
    <w:uiPriority w:val="0"/>
    <w:pPr>
      <w:ind w:firstLine="420" w:firstLineChars="200"/>
    </w:pPr>
    <w:rPr>
      <w:rFonts w:ascii="Calibri" w:hAnsi="Calibri"/>
      <w:szCs w:val="21"/>
    </w:rPr>
  </w:style>
  <w:style w:type="paragraph" w:styleId="46">
    <w:name w:val="List Paragraph"/>
    <w:basedOn w:val="1"/>
    <w:qFormat/>
    <w:uiPriority w:val="99"/>
    <w:pPr>
      <w:ind w:firstLine="420" w:firstLineChars="200"/>
    </w:pPr>
  </w:style>
  <w:style w:type="character" w:customStyle="1" w:styleId="47">
    <w:name w:val="font21"/>
    <w:basedOn w:val="18"/>
    <w:qFormat/>
    <w:uiPriority w:val="0"/>
    <w:rPr>
      <w:rFonts w:hint="eastAsia" w:ascii="宋体" w:hAnsi="宋体" w:eastAsia="宋体" w:cs="宋体"/>
      <w:color w:val="000000"/>
      <w:sz w:val="24"/>
      <w:szCs w:val="24"/>
      <w:u w:val="none"/>
    </w:rPr>
  </w:style>
  <w:style w:type="character" w:customStyle="1" w:styleId="48">
    <w:name w:val="font01"/>
    <w:basedOn w:val="18"/>
    <w:qFormat/>
    <w:uiPriority w:val="0"/>
    <w:rPr>
      <w:rFonts w:ascii="Calibri" w:hAnsi="Calibri" w:cs="Calibri"/>
      <w:color w:val="000000"/>
      <w:sz w:val="24"/>
      <w:szCs w:val="24"/>
      <w:u w:val="none"/>
    </w:rPr>
  </w:style>
  <w:style w:type="character" w:customStyle="1" w:styleId="49">
    <w:name w:val="font11"/>
    <w:basedOn w:val="18"/>
    <w:qFormat/>
    <w:uiPriority w:val="0"/>
    <w:rPr>
      <w:rFonts w:hint="eastAsia" w:ascii="宋体" w:hAnsi="宋体" w:eastAsia="宋体" w:cs="宋体"/>
      <w:b/>
      <w:color w:val="000000"/>
      <w:sz w:val="24"/>
      <w:szCs w:val="24"/>
      <w:u w:val="none"/>
    </w:rPr>
  </w:style>
  <w:style w:type="character" w:customStyle="1" w:styleId="50">
    <w:name w:val="font51"/>
    <w:basedOn w:val="18"/>
    <w:qFormat/>
    <w:uiPriority w:val="0"/>
    <w:rPr>
      <w:rFonts w:hint="eastAsia" w:ascii="宋体" w:hAnsi="宋体" w:eastAsia="宋体" w:cs="宋体"/>
      <w:color w:val="000000"/>
      <w:sz w:val="24"/>
      <w:szCs w:val="24"/>
      <w:u w:val="none"/>
    </w:rPr>
  </w:style>
  <w:style w:type="paragraph" w:customStyle="1" w:styleId="51">
    <w:name w:val="标题 5（有编号）（绿盟科技）"/>
    <w:basedOn w:val="1"/>
    <w:next w:val="5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5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3">
    <w:name w:val="font31"/>
    <w:basedOn w:val="18"/>
    <w:qFormat/>
    <w:uiPriority w:val="0"/>
    <w:rPr>
      <w:rFonts w:hint="eastAsia" w:ascii="宋体" w:hAnsi="宋体" w:eastAsia="宋体" w:cs="宋体"/>
      <w:color w:val="000000"/>
      <w:sz w:val="24"/>
      <w:szCs w:val="24"/>
      <w:u w:val="none"/>
      <w:vertAlign w:val="superscript"/>
    </w:rPr>
  </w:style>
  <w:style w:type="character" w:customStyle="1" w:styleId="54">
    <w:name w:val="font41"/>
    <w:basedOn w:val="18"/>
    <w:qFormat/>
    <w:uiPriority w:val="0"/>
    <w:rPr>
      <w:rFonts w:hint="eastAsia" w:ascii="宋体" w:hAnsi="宋体" w:eastAsia="宋体" w:cs="宋体"/>
      <w:color w:val="000000"/>
      <w:sz w:val="24"/>
      <w:szCs w:val="24"/>
      <w:u w:val="none"/>
    </w:rPr>
  </w:style>
  <w:style w:type="character" w:customStyle="1" w:styleId="55">
    <w:name w:val="font112"/>
    <w:basedOn w:val="18"/>
    <w:qFormat/>
    <w:uiPriority w:val="0"/>
    <w:rPr>
      <w:rFonts w:hint="eastAsia" w:ascii="宋体" w:hAnsi="宋体" w:eastAsia="宋体" w:cs="宋体"/>
      <w:b/>
      <w:bCs/>
      <w:color w:val="000000"/>
      <w:sz w:val="20"/>
      <w:szCs w:val="20"/>
      <w:u w:val="none"/>
    </w:rPr>
  </w:style>
  <w:style w:type="character" w:customStyle="1" w:styleId="56">
    <w:name w:val="NormalCharacter"/>
    <w:semiHidden/>
    <w:qFormat/>
    <w:uiPriority w:val="0"/>
    <w:rPr>
      <w:rFonts w:ascii="Calibri" w:hAnsi="Calibri" w:eastAsia="宋体"/>
      <w:kern w:val="2"/>
      <w:sz w:val="21"/>
      <w:szCs w:val="24"/>
      <w:lang w:val="en-US" w:eastAsia="zh-CN" w:bidi="ar-SA"/>
    </w:rPr>
  </w:style>
  <w:style w:type="paragraph" w:customStyle="1" w:styleId="57">
    <w:name w:val="UserStyle_0"/>
    <w:basedOn w:val="1"/>
    <w:qFormat/>
    <w:uiPriority w:val="0"/>
    <w:pPr>
      <w:ind w:firstLine="420" w:firstLineChars="200"/>
      <w:jc w:val="both"/>
      <w:textAlignment w:val="baseline"/>
    </w:pPr>
    <w:rPr>
      <w:kern w:val="2"/>
      <w:sz w:val="21"/>
      <w:szCs w:val="22"/>
      <w:lang w:val="en-US" w:eastAsia="zh-CN" w:bidi="ar-SA"/>
    </w:rPr>
  </w:style>
  <w:style w:type="character" w:customStyle="1" w:styleId="58">
    <w:name w:val="font81"/>
    <w:basedOn w:val="18"/>
    <w:qFormat/>
    <w:uiPriority w:val="0"/>
    <w:rPr>
      <w:rFonts w:hint="eastAsia" w:ascii="宋体" w:hAnsi="宋体" w:eastAsia="宋体" w:cs="宋体"/>
      <w:color w:val="000000"/>
      <w:sz w:val="20"/>
      <w:szCs w:val="20"/>
      <w:u w:val="none"/>
    </w:rPr>
  </w:style>
  <w:style w:type="character" w:customStyle="1" w:styleId="59">
    <w:name w:val="font181"/>
    <w:basedOn w:val="1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50119</Words>
  <Characters>58268</Characters>
  <Lines>169</Lines>
  <Paragraphs>47</Paragraphs>
  <TotalTime>25</TotalTime>
  <ScaleCrop>false</ScaleCrop>
  <LinksUpToDate>false</LinksUpToDate>
  <CharactersWithSpaces>70066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2018-05-29T01:03:00Z</dcterms:created>
  <dc:creator>教头</dc:creator>
  <cp:lastModifiedBy>Ling</cp:lastModifiedBy>
  <cp:lastPrinted>2022-11-09T08:27:00Z</cp:lastPrinted>
  <dcterms:modified xsi:type="dcterms:W3CDTF">2022-12-13T02:36:56Z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F87CA8728E3047E1B8C2DCB473C45479</vt:lpwstr>
  </property>
  <property fmtid="{D5CDD505-2E9C-101B-9397-08002B2CF9AE}" pid="4" name="commondata">
    <vt:lpwstr>eyJoZGlkIjoiZmNjNWU5ZmY1MzE0NjI0NTRjNzQwZTU2ZTBhNTMyOTMifQ==</vt:lpwstr>
  </property>
</Properties>
</file>