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rPr>
      </w:pPr>
    </w:p>
    <w:p>
      <w:pPr>
        <w:spacing w:before="156" w:beforeLines="50" w:line="600" w:lineRule="exact"/>
        <w:jc w:val="center"/>
        <w:rPr>
          <w:rFonts w:ascii="宋体" w:hAnsi="宋体" w:cs="宋体"/>
          <w:b/>
          <w:bCs/>
          <w:sz w:val="72"/>
          <w:szCs w:val="72"/>
        </w:rPr>
      </w:pPr>
      <w:r>
        <w:rPr>
          <w:rFonts w:hint="eastAsia" w:ascii="宋体" w:hAnsi="宋体" w:cs="宋体"/>
          <w:b/>
          <w:bCs/>
          <w:sz w:val="72"/>
          <w:szCs w:val="72"/>
        </w:rPr>
        <w:t>竞争性谈判采购文件</w:t>
      </w:r>
    </w:p>
    <w:p>
      <w:pPr>
        <w:snapToGrid w:val="0"/>
        <w:spacing w:before="156" w:beforeLines="50" w:line="360" w:lineRule="auto"/>
        <w:rPr>
          <w:rFonts w:ascii="宋体" w:hAnsi="宋体" w:cs="宋体"/>
          <w:sz w:val="30"/>
          <w:szCs w:val="72"/>
        </w:rPr>
      </w:pPr>
    </w:p>
    <w:p>
      <w:pPr>
        <w:pStyle w:val="16"/>
        <w:snapToGrid w:val="0"/>
        <w:spacing w:before="120" w:after="120" w:line="360" w:lineRule="auto"/>
        <w:jc w:val="center"/>
        <w:rPr>
          <w:rFonts w:hAnsi="宋体" w:cs="宋体"/>
          <w:b/>
          <w:bCs/>
          <w:sz w:val="30"/>
          <w:szCs w:val="30"/>
        </w:rPr>
      </w:pPr>
      <w:r>
        <w:rPr>
          <w:rFonts w:hint="eastAsia"/>
          <w:sz w:val="28"/>
        </w:rPr>
        <w:drawing>
          <wp:inline distT="0" distB="0" distL="0" distR="0">
            <wp:extent cx="2514600" cy="2266950"/>
            <wp:effectExtent l="19050" t="0" r="0" b="0"/>
            <wp:docPr id="1" name="图片 1"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宏亚logo"/>
                    <pic:cNvPicPr>
                      <a:picLocks noChangeAspect="1" noChangeArrowheads="1"/>
                    </pic:cNvPicPr>
                  </pic:nvPicPr>
                  <pic:blipFill>
                    <a:blip r:embed="rId12" cstate="print"/>
                    <a:srcRect/>
                    <a:stretch>
                      <a:fillRect/>
                    </a:stretch>
                  </pic:blipFill>
                  <pic:spPr>
                    <a:xfrm>
                      <a:off x="0" y="0"/>
                      <a:ext cx="2514600" cy="2266950"/>
                    </a:xfrm>
                    <a:prstGeom prst="rect">
                      <a:avLst/>
                    </a:prstGeom>
                    <a:noFill/>
                    <a:ln w="9525">
                      <a:noFill/>
                      <a:miter lim="800000"/>
                      <a:headEnd/>
                      <a:tailEnd/>
                    </a:ln>
                  </pic:spPr>
                </pic:pic>
              </a:graphicData>
            </a:graphic>
          </wp:inline>
        </w:drawing>
      </w:r>
    </w:p>
    <w:p>
      <w:pPr>
        <w:pStyle w:val="16"/>
        <w:snapToGrid w:val="0"/>
        <w:spacing w:before="120" w:after="120" w:line="360" w:lineRule="auto"/>
        <w:ind w:firstLine="1440" w:firstLineChars="450"/>
        <w:jc w:val="left"/>
        <w:rPr>
          <w:rFonts w:hAnsi="宋体" w:cs="宋体"/>
          <w:b/>
          <w:sz w:val="32"/>
          <w:szCs w:val="32"/>
        </w:rPr>
      </w:pPr>
    </w:p>
    <w:p>
      <w:pPr>
        <w:pStyle w:val="16"/>
        <w:snapToGrid w:val="0"/>
        <w:spacing w:before="120" w:after="120" w:line="360" w:lineRule="auto"/>
        <w:jc w:val="left"/>
        <w:rPr>
          <w:rFonts w:hAnsi="宋体" w:cs="宋体"/>
          <w:b/>
          <w:sz w:val="32"/>
          <w:szCs w:val="32"/>
        </w:rPr>
      </w:pPr>
    </w:p>
    <w:p>
      <w:pPr>
        <w:pStyle w:val="16"/>
        <w:snapToGrid w:val="0"/>
        <w:spacing w:before="120" w:after="120" w:line="480" w:lineRule="auto"/>
        <w:jc w:val="left"/>
        <w:rPr>
          <w:rFonts w:hAnsi="宋体" w:cs="宋体"/>
          <w:b/>
          <w:bCs/>
          <w:sz w:val="30"/>
          <w:szCs w:val="30"/>
        </w:rPr>
      </w:pPr>
      <w:r>
        <w:rPr>
          <w:rFonts w:hint="eastAsia" w:hAnsi="宋体" w:cs="宋体"/>
          <w:b/>
          <w:sz w:val="32"/>
          <w:szCs w:val="32"/>
        </w:rPr>
        <w:t>项目编号：</w:t>
      </w:r>
      <w:r>
        <w:rPr>
          <w:rFonts w:hint="eastAsia" w:hAnsi="宋体" w:cs="宋体"/>
          <w:b/>
          <w:sz w:val="32"/>
          <w:szCs w:val="32"/>
          <w:u w:val="single"/>
        </w:rPr>
        <w:t>GXZC2021-J1-002296-HYJS</w:t>
      </w:r>
    </w:p>
    <w:p>
      <w:pPr>
        <w:snapToGrid w:val="0"/>
        <w:spacing w:before="156" w:beforeLines="50" w:line="480" w:lineRule="auto"/>
        <w:ind w:left="1606" w:hanging="1600" w:hangingChars="500"/>
        <w:rPr>
          <w:rFonts w:ascii="宋体" w:hAnsi="宋体" w:cs="宋体"/>
          <w:b/>
          <w:sz w:val="32"/>
          <w:szCs w:val="32"/>
        </w:rPr>
      </w:pPr>
      <w:r>
        <w:rPr>
          <w:rFonts w:hint="eastAsia" w:ascii="宋体" w:hAnsi="宋体" w:cs="宋体"/>
          <w:b/>
          <w:sz w:val="32"/>
          <w:szCs w:val="32"/>
        </w:rPr>
        <w:t>项目名称：</w:t>
      </w:r>
      <w:r>
        <w:rPr>
          <w:rFonts w:hint="eastAsia" w:ascii="宋体" w:hAnsi="宋体" w:cs="宋体"/>
          <w:b/>
          <w:kern w:val="0"/>
          <w:sz w:val="32"/>
          <w:szCs w:val="32"/>
          <w:u w:val="single"/>
        </w:rPr>
        <w:t>南宁师范大学学业测评与教学质量监测平台（阅卷系统）建设项目</w:t>
      </w:r>
    </w:p>
    <w:p>
      <w:pPr>
        <w:snapToGrid w:val="0"/>
        <w:spacing w:before="156" w:beforeLines="50" w:line="480" w:lineRule="auto"/>
        <w:rPr>
          <w:rFonts w:ascii="宋体" w:hAnsi="宋体" w:cs="宋体"/>
          <w:b/>
          <w:kern w:val="0"/>
          <w:sz w:val="32"/>
          <w:szCs w:val="32"/>
          <w:u w:val="single"/>
        </w:rPr>
      </w:pPr>
      <w:r>
        <w:rPr>
          <w:rFonts w:hint="eastAsia" w:ascii="宋体" w:hAnsi="宋体" w:cs="宋体"/>
          <w:b/>
          <w:sz w:val="32"/>
          <w:szCs w:val="32"/>
        </w:rPr>
        <w:t>采购单位：</w:t>
      </w:r>
      <w:r>
        <w:rPr>
          <w:rFonts w:hint="eastAsia" w:ascii="宋体" w:hAnsi="宋体" w:cs="宋体"/>
          <w:b/>
          <w:kern w:val="0"/>
          <w:sz w:val="32"/>
          <w:szCs w:val="32"/>
          <w:u w:val="single"/>
        </w:rPr>
        <w:t>南宁师范大学</w:t>
      </w:r>
    </w:p>
    <w:p>
      <w:pPr>
        <w:snapToGrid w:val="0"/>
        <w:spacing w:before="156" w:beforeLines="50" w:line="480" w:lineRule="auto"/>
        <w:rPr>
          <w:rFonts w:ascii="宋体" w:hAnsi="宋体" w:cs="宋体"/>
          <w:b/>
          <w:sz w:val="32"/>
          <w:szCs w:val="32"/>
        </w:rPr>
      </w:pPr>
      <w:r>
        <w:rPr>
          <w:rFonts w:hint="eastAsia" w:ascii="宋体" w:hAnsi="宋体" w:cs="宋体"/>
          <w:b/>
          <w:sz w:val="32"/>
          <w:szCs w:val="32"/>
        </w:rPr>
        <w:t>采购代理机构：</w:t>
      </w:r>
      <w:r>
        <w:rPr>
          <w:rFonts w:hint="eastAsia" w:ascii="宋体" w:hAnsi="宋体" w:cs="宋体"/>
          <w:b/>
          <w:sz w:val="32"/>
          <w:szCs w:val="32"/>
          <w:u w:val="single"/>
        </w:rPr>
        <w:t>广西北部湾宏亚建设管理有限公司</w:t>
      </w:r>
    </w:p>
    <w:p>
      <w:pPr>
        <w:snapToGrid w:val="0"/>
        <w:spacing w:before="156" w:beforeLines="50" w:line="360" w:lineRule="auto"/>
        <w:jc w:val="center"/>
        <w:rPr>
          <w:rFonts w:ascii="宋体" w:hAnsi="宋体" w:cs="宋体"/>
          <w:b/>
          <w:sz w:val="28"/>
          <w:szCs w:val="28"/>
        </w:rPr>
      </w:pPr>
    </w:p>
    <w:p>
      <w:pPr>
        <w:snapToGrid w:val="0"/>
        <w:spacing w:before="156" w:beforeLines="50" w:line="360" w:lineRule="auto"/>
        <w:jc w:val="center"/>
        <w:rPr>
          <w:rFonts w:ascii="宋体" w:hAnsi="宋体" w:cs="宋体"/>
          <w:b/>
          <w:sz w:val="28"/>
          <w:szCs w:val="28"/>
        </w:rPr>
      </w:pPr>
      <w:r>
        <w:rPr>
          <w:rFonts w:hint="eastAsia" w:ascii="宋体" w:hAnsi="宋体" w:cs="宋体"/>
          <w:b/>
          <w:sz w:val="28"/>
          <w:szCs w:val="28"/>
          <w:u w:val="single"/>
        </w:rPr>
        <w:t>2021</w:t>
      </w:r>
      <w:r>
        <w:rPr>
          <w:rFonts w:hint="eastAsia" w:ascii="宋体" w:hAnsi="宋体" w:cs="宋体"/>
          <w:b/>
          <w:sz w:val="28"/>
          <w:szCs w:val="28"/>
        </w:rPr>
        <w:t>年</w:t>
      </w:r>
      <w:r>
        <w:rPr>
          <w:rFonts w:hint="eastAsia" w:ascii="宋体" w:hAnsi="宋体" w:cs="宋体"/>
          <w:b/>
          <w:sz w:val="28"/>
          <w:szCs w:val="28"/>
          <w:u w:val="single"/>
        </w:rPr>
        <w:t>9</w:t>
      </w:r>
      <w:r>
        <w:rPr>
          <w:rFonts w:hint="eastAsia" w:ascii="宋体" w:hAnsi="宋体" w:cs="宋体"/>
          <w:b/>
          <w:sz w:val="28"/>
          <w:szCs w:val="28"/>
        </w:rPr>
        <w:t>月</w:t>
      </w:r>
    </w:p>
    <w:p>
      <w:pPr>
        <w:jc w:val="center"/>
        <w:rPr>
          <w:rFonts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709" w:footer="709" w:gutter="0"/>
          <w:pgNumType w:start="0"/>
          <w:cols w:space="720" w:num="1"/>
          <w:titlePg/>
          <w:docGrid w:type="linesAndChars" w:linePitch="312" w:charSpace="0"/>
        </w:sectPr>
      </w:pPr>
    </w:p>
    <w:p>
      <w:pPr>
        <w:jc w:val="center"/>
        <w:rPr>
          <w:rFonts w:asciiTheme="minorEastAsia" w:hAnsiTheme="minorEastAsia" w:eastAsiaTheme="minorEastAsia"/>
          <w:sz w:val="36"/>
          <w:szCs w:val="36"/>
        </w:rPr>
      </w:pPr>
      <w:bookmarkStart w:id="0" w:name="_Toc23360_WPSOffice_Type1"/>
      <w:r>
        <w:rPr>
          <w:rFonts w:asciiTheme="minorEastAsia" w:hAnsiTheme="minorEastAsia" w:eastAsiaTheme="minorEastAsia"/>
          <w:sz w:val="36"/>
          <w:szCs w:val="36"/>
        </w:rPr>
        <w:t>目录</w:t>
      </w:r>
      <w:bookmarkEnd w:id="0"/>
    </w:p>
    <w:p>
      <w:pPr>
        <w:pStyle w:val="22"/>
        <w:tabs>
          <w:tab w:val="right" w:leader="dot" w:pos="9628"/>
        </w:tabs>
        <w:rPr>
          <w:rFonts w:asciiTheme="minorHAnsi" w:hAnsiTheme="minorHAnsi" w:eastAsiaTheme="minorEastAsia" w:cstheme="minorBidi"/>
          <w:sz w:val="30"/>
          <w:szCs w:val="30"/>
        </w:rPr>
      </w:pPr>
      <w:r>
        <w:rPr>
          <w:rFonts w:cs="宋体" w:asciiTheme="minorEastAsia" w:hAnsiTheme="minorEastAsia" w:eastAsiaTheme="minorEastAsia"/>
          <w:b/>
          <w:sz w:val="28"/>
          <w:szCs w:val="28"/>
        </w:rPr>
        <w:fldChar w:fldCharType="begin"/>
      </w:r>
      <w:r>
        <w:rPr>
          <w:rFonts w:hint="eastAsia" w:cs="宋体" w:asciiTheme="minorEastAsia" w:hAnsiTheme="minorEastAsia" w:eastAsiaTheme="minorEastAsia"/>
          <w:b/>
          <w:sz w:val="28"/>
          <w:szCs w:val="28"/>
        </w:rPr>
        <w:instrText xml:space="preserve">TOC \o "1-3" \h \z \u</w:instrText>
      </w:r>
      <w:r>
        <w:rPr>
          <w:rFonts w:cs="宋体" w:asciiTheme="minorEastAsia" w:hAnsiTheme="minorEastAsia" w:eastAsiaTheme="minorEastAsia"/>
          <w:b/>
          <w:sz w:val="28"/>
          <w:szCs w:val="28"/>
        </w:rPr>
        <w:fldChar w:fldCharType="separate"/>
      </w:r>
      <w:r>
        <w:fldChar w:fldCharType="begin"/>
      </w:r>
      <w:r>
        <w:instrText xml:space="preserve"> HYPERLINK \l "_Toc26800527" </w:instrText>
      </w:r>
      <w:r>
        <w:fldChar w:fldCharType="separate"/>
      </w:r>
      <w:r>
        <w:rPr>
          <w:rStyle w:val="41"/>
          <w:rFonts w:hint="eastAsia"/>
          <w:color w:val="auto"/>
          <w:sz w:val="30"/>
          <w:szCs w:val="30"/>
        </w:rPr>
        <w:t>第一章竞争性谈判公告</w:t>
      </w:r>
      <w:r>
        <w:rPr>
          <w:sz w:val="30"/>
          <w:szCs w:val="30"/>
        </w:rPr>
        <w:tab/>
      </w:r>
      <w:r>
        <w:rPr>
          <w:sz w:val="30"/>
          <w:szCs w:val="30"/>
        </w:rPr>
        <w:fldChar w:fldCharType="begin"/>
      </w:r>
      <w:r>
        <w:rPr>
          <w:sz w:val="30"/>
          <w:szCs w:val="30"/>
        </w:rPr>
        <w:instrText xml:space="preserve"> PAGEREF _Toc26800527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9628"/>
        </w:tabs>
        <w:rPr>
          <w:rFonts w:asciiTheme="minorHAnsi" w:hAnsiTheme="minorHAnsi" w:eastAsiaTheme="minorEastAsia" w:cstheme="minorBidi"/>
          <w:sz w:val="30"/>
          <w:szCs w:val="30"/>
        </w:rPr>
      </w:pPr>
      <w:r>
        <w:fldChar w:fldCharType="begin"/>
      </w:r>
      <w:r>
        <w:instrText xml:space="preserve"> HYPERLINK \l "_Toc26800528" </w:instrText>
      </w:r>
      <w:r>
        <w:fldChar w:fldCharType="separate"/>
      </w:r>
      <w:r>
        <w:rPr>
          <w:rStyle w:val="41"/>
          <w:rFonts w:hint="eastAsia"/>
          <w:color w:val="auto"/>
          <w:sz w:val="30"/>
          <w:szCs w:val="30"/>
        </w:rPr>
        <w:t>第二章谈判供应商须知及前附表</w:t>
      </w:r>
      <w:r>
        <w:rPr>
          <w:sz w:val="30"/>
          <w:szCs w:val="30"/>
        </w:rPr>
        <w:tab/>
      </w:r>
      <w:r>
        <w:rPr>
          <w:rFonts w:hint="eastAsia"/>
          <w:sz w:val="30"/>
          <w:szCs w:val="30"/>
        </w:rPr>
        <w:t>4</w:t>
      </w:r>
      <w:r>
        <w:rPr>
          <w:rFonts w:hint="eastAsia"/>
          <w:sz w:val="30"/>
          <w:szCs w:val="30"/>
        </w:rPr>
        <w:fldChar w:fldCharType="end"/>
      </w:r>
    </w:p>
    <w:p>
      <w:pPr>
        <w:pStyle w:val="22"/>
        <w:tabs>
          <w:tab w:val="right" w:leader="dot" w:pos="9628"/>
        </w:tabs>
        <w:rPr>
          <w:rFonts w:asciiTheme="minorHAnsi" w:hAnsiTheme="minorHAnsi" w:eastAsiaTheme="minorEastAsia" w:cstheme="minorBidi"/>
          <w:sz w:val="30"/>
          <w:szCs w:val="30"/>
        </w:rPr>
      </w:pPr>
      <w:r>
        <w:fldChar w:fldCharType="begin"/>
      </w:r>
      <w:r>
        <w:instrText xml:space="preserve"> HYPERLINK \l "_Toc26800535" </w:instrText>
      </w:r>
      <w:r>
        <w:fldChar w:fldCharType="separate"/>
      </w:r>
      <w:r>
        <w:rPr>
          <w:rStyle w:val="41"/>
          <w:rFonts w:hint="eastAsia"/>
          <w:color w:val="auto"/>
          <w:sz w:val="30"/>
          <w:szCs w:val="30"/>
        </w:rPr>
        <w:t>第三章采购项目需求一览表</w:t>
      </w:r>
      <w:r>
        <w:rPr>
          <w:sz w:val="30"/>
          <w:szCs w:val="30"/>
        </w:rPr>
        <w:tab/>
      </w:r>
      <w:r>
        <w:rPr>
          <w:sz w:val="30"/>
          <w:szCs w:val="30"/>
        </w:rPr>
        <w:fldChar w:fldCharType="begin"/>
      </w:r>
      <w:r>
        <w:rPr>
          <w:sz w:val="30"/>
          <w:szCs w:val="30"/>
        </w:rPr>
        <w:instrText xml:space="preserve"> PAGEREF _Toc26800535 \h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22"/>
        <w:tabs>
          <w:tab w:val="right" w:leader="dot" w:pos="9628"/>
        </w:tabs>
        <w:rPr>
          <w:rFonts w:asciiTheme="minorHAnsi" w:hAnsiTheme="minorHAnsi" w:eastAsiaTheme="minorEastAsia" w:cstheme="minorBidi"/>
          <w:sz w:val="30"/>
          <w:szCs w:val="30"/>
        </w:rPr>
      </w:pPr>
      <w:r>
        <w:fldChar w:fldCharType="begin"/>
      </w:r>
      <w:r>
        <w:instrText xml:space="preserve"> HYPERLINK \l "_Toc26800537" </w:instrText>
      </w:r>
      <w:r>
        <w:fldChar w:fldCharType="separate"/>
      </w:r>
      <w:r>
        <w:rPr>
          <w:rStyle w:val="41"/>
          <w:rFonts w:hint="eastAsia"/>
          <w:color w:val="auto"/>
          <w:sz w:val="30"/>
          <w:szCs w:val="30"/>
        </w:rPr>
        <w:t>第四章竞争性谈判响应文件格式</w:t>
      </w:r>
      <w:r>
        <w:rPr>
          <w:sz w:val="30"/>
          <w:szCs w:val="30"/>
        </w:rPr>
        <w:tab/>
      </w:r>
      <w:r>
        <w:rPr>
          <w:sz w:val="30"/>
          <w:szCs w:val="30"/>
        </w:rPr>
        <w:fldChar w:fldCharType="begin"/>
      </w:r>
      <w:r>
        <w:rPr>
          <w:sz w:val="30"/>
          <w:szCs w:val="30"/>
        </w:rPr>
        <w:instrText xml:space="preserve"> PAGEREF _Toc26800537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22"/>
        <w:tabs>
          <w:tab w:val="right" w:leader="dot" w:pos="9628"/>
        </w:tabs>
        <w:rPr>
          <w:rFonts w:asciiTheme="minorHAnsi" w:hAnsiTheme="minorHAnsi" w:eastAsiaTheme="minorEastAsia" w:cstheme="minorBidi"/>
          <w:sz w:val="30"/>
          <w:szCs w:val="30"/>
        </w:rPr>
      </w:pPr>
      <w:r>
        <w:fldChar w:fldCharType="begin"/>
      </w:r>
      <w:r>
        <w:instrText xml:space="preserve"> HYPERLINK \l "_Toc26800560" </w:instrText>
      </w:r>
      <w:r>
        <w:fldChar w:fldCharType="separate"/>
      </w:r>
      <w:r>
        <w:rPr>
          <w:rStyle w:val="41"/>
          <w:rFonts w:hint="eastAsia"/>
          <w:color w:val="auto"/>
          <w:sz w:val="30"/>
          <w:szCs w:val="30"/>
        </w:rPr>
        <w:t>第五章合同主要条款</w:t>
      </w:r>
      <w:r>
        <w:rPr>
          <w:sz w:val="30"/>
          <w:szCs w:val="30"/>
        </w:rPr>
        <w:tab/>
      </w:r>
      <w:r>
        <w:rPr>
          <w:sz w:val="30"/>
          <w:szCs w:val="30"/>
        </w:rPr>
        <w:fldChar w:fldCharType="begin"/>
      </w:r>
      <w:r>
        <w:rPr>
          <w:sz w:val="30"/>
          <w:szCs w:val="30"/>
        </w:rPr>
        <w:instrText xml:space="preserve"> PAGEREF _Toc26800560 \h </w:instrText>
      </w:r>
      <w:r>
        <w:rPr>
          <w:sz w:val="30"/>
          <w:szCs w:val="30"/>
        </w:rPr>
        <w:fldChar w:fldCharType="separate"/>
      </w:r>
      <w:r>
        <w:rPr>
          <w:sz w:val="30"/>
          <w:szCs w:val="30"/>
        </w:rPr>
        <w:t>45</w:t>
      </w:r>
      <w:r>
        <w:rPr>
          <w:sz w:val="30"/>
          <w:szCs w:val="30"/>
        </w:rPr>
        <w:fldChar w:fldCharType="end"/>
      </w:r>
      <w:r>
        <w:rPr>
          <w:sz w:val="30"/>
          <w:szCs w:val="30"/>
        </w:rPr>
        <w:fldChar w:fldCharType="end"/>
      </w:r>
    </w:p>
    <w:p>
      <w:pPr>
        <w:pStyle w:val="22"/>
        <w:tabs>
          <w:tab w:val="right" w:leader="dot" w:pos="9628"/>
        </w:tabs>
        <w:rPr>
          <w:rFonts w:asciiTheme="minorHAnsi" w:hAnsiTheme="minorHAnsi" w:eastAsiaTheme="minorEastAsia" w:cstheme="minorBidi"/>
          <w:sz w:val="30"/>
          <w:szCs w:val="30"/>
        </w:rPr>
      </w:pPr>
      <w:r>
        <w:fldChar w:fldCharType="begin"/>
      </w:r>
      <w:r>
        <w:instrText xml:space="preserve"> HYPERLINK \l "_Toc26800561" </w:instrText>
      </w:r>
      <w:r>
        <w:fldChar w:fldCharType="separate"/>
      </w:r>
      <w:r>
        <w:rPr>
          <w:rStyle w:val="41"/>
          <w:rFonts w:hint="eastAsia"/>
          <w:color w:val="auto"/>
          <w:sz w:val="30"/>
          <w:szCs w:val="30"/>
        </w:rPr>
        <w:t>第六章评审方法</w:t>
      </w:r>
      <w:r>
        <w:rPr>
          <w:sz w:val="30"/>
          <w:szCs w:val="30"/>
        </w:rPr>
        <w:tab/>
      </w:r>
      <w:r>
        <w:rPr>
          <w:sz w:val="30"/>
          <w:szCs w:val="30"/>
        </w:rPr>
        <w:fldChar w:fldCharType="begin"/>
      </w:r>
      <w:r>
        <w:rPr>
          <w:sz w:val="30"/>
          <w:szCs w:val="30"/>
        </w:rPr>
        <w:instrText xml:space="preserve"> PAGEREF _Toc26800561 \h </w:instrText>
      </w:r>
      <w:r>
        <w:rPr>
          <w:sz w:val="30"/>
          <w:szCs w:val="30"/>
        </w:rPr>
        <w:fldChar w:fldCharType="separate"/>
      </w:r>
      <w:r>
        <w:rPr>
          <w:sz w:val="30"/>
          <w:szCs w:val="30"/>
        </w:rPr>
        <w:t>53</w:t>
      </w:r>
      <w:r>
        <w:rPr>
          <w:sz w:val="30"/>
          <w:szCs w:val="30"/>
        </w:rPr>
        <w:fldChar w:fldCharType="end"/>
      </w:r>
      <w:r>
        <w:rPr>
          <w:sz w:val="30"/>
          <w:szCs w:val="30"/>
        </w:rPr>
        <w:fldChar w:fldCharType="end"/>
      </w:r>
    </w:p>
    <w:p>
      <w:pPr>
        <w:pStyle w:val="16"/>
        <w:spacing w:line="500" w:lineRule="exact"/>
        <w:jc w:val="center"/>
        <w:outlineLvl w:val="0"/>
        <w:rPr>
          <w:rFonts w:cs="宋体" w:asciiTheme="minorEastAsia" w:hAnsiTheme="minorEastAsia" w:eastAsiaTheme="minorEastAsia"/>
          <w:b/>
          <w:sz w:val="28"/>
          <w:szCs w:val="28"/>
        </w:rPr>
      </w:pPr>
      <w:r>
        <w:rPr>
          <w:rFonts w:cs="宋体" w:asciiTheme="minorEastAsia" w:hAnsiTheme="minorEastAsia" w:eastAsiaTheme="minorEastAsia"/>
          <w:b/>
          <w:sz w:val="28"/>
          <w:szCs w:val="28"/>
        </w:rPr>
        <w:fldChar w:fldCharType="end"/>
      </w:r>
    </w:p>
    <w:p>
      <w:pPr>
        <w:pStyle w:val="3"/>
        <w:sectPr>
          <w:footerReference r:id="rId9" w:type="default"/>
          <w:pgSz w:w="11906" w:h="16838"/>
          <w:pgMar w:top="1134" w:right="1134" w:bottom="1134" w:left="1134" w:header="709" w:footer="709" w:gutter="0"/>
          <w:cols w:space="720" w:num="1"/>
          <w:docGrid w:type="linesAndChars" w:linePitch="312" w:charSpace="0"/>
        </w:sectPr>
      </w:pPr>
    </w:p>
    <w:p>
      <w:pPr>
        <w:pStyle w:val="3"/>
      </w:pPr>
      <w:bookmarkStart w:id="1" w:name="_Toc23251292"/>
      <w:bookmarkStart w:id="2" w:name="_Toc30985_WPSOffice_Level1"/>
      <w:bookmarkStart w:id="3" w:name="_Toc26800527"/>
      <w:r>
        <w:rPr>
          <w:rFonts w:hint="eastAsia"/>
        </w:rPr>
        <w:t>第一章  竞争性谈判公告</w:t>
      </w:r>
      <w:bookmarkEnd w:id="1"/>
      <w:bookmarkEnd w:id="2"/>
      <w:bookmarkEnd w:id="3"/>
    </w:p>
    <w:p>
      <w:pPr>
        <w:pStyle w:val="16"/>
        <w:spacing w:line="400" w:lineRule="exact"/>
        <w:jc w:val="center"/>
        <w:rPr>
          <w:rFonts w:hAnsi="宋体" w:cs="宋体"/>
          <w:b/>
          <w:sz w:val="32"/>
          <w:szCs w:val="32"/>
        </w:rPr>
      </w:pPr>
      <w:r>
        <w:rPr>
          <w:rFonts w:hint="eastAsia" w:hAnsi="宋体" w:cs="宋体"/>
          <w:b/>
          <w:sz w:val="32"/>
          <w:szCs w:val="32"/>
        </w:rPr>
        <w:t>广西北部湾宏亚建设管理有限公司关于南宁师范大学学业测评与教学质量监测平台（阅卷系统）建设项目 （GXZC2021-J1-002296-HYJS）</w:t>
      </w:r>
    </w:p>
    <w:p>
      <w:pPr>
        <w:pStyle w:val="16"/>
        <w:spacing w:line="400" w:lineRule="exact"/>
        <w:jc w:val="center"/>
        <w:rPr>
          <w:rFonts w:hAnsi="宋体" w:cs="宋体"/>
          <w:b/>
          <w:sz w:val="32"/>
          <w:szCs w:val="32"/>
        </w:rPr>
      </w:pPr>
      <w:r>
        <w:rPr>
          <w:rFonts w:hint="eastAsia" w:hAnsi="宋体" w:cs="宋体"/>
          <w:b/>
          <w:sz w:val="32"/>
          <w:szCs w:val="32"/>
        </w:rPr>
        <w:t>竞争性谈判公告</w:t>
      </w:r>
    </w:p>
    <w:p>
      <w:pPr>
        <w:spacing w:line="360" w:lineRule="auto"/>
        <w:rPr>
          <w:szCs w:val="21"/>
        </w:rPr>
      </w:pPr>
      <w:bookmarkStart w:id="4" w:name="_Toc26800528"/>
      <w:bookmarkStart w:id="5" w:name="_Toc23251293"/>
      <w:bookmarkStart w:id="6" w:name="_Toc29141_WPSOffice_Level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szCs w:val="21"/>
        </w:rPr>
      </w:pPr>
      <w:r>
        <w:rPr>
          <w:rFonts w:hint="eastAsia" w:asci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szCs w:val="21"/>
        </w:rPr>
      </w:pPr>
      <w:r>
        <w:rPr>
          <w:rFonts w:hint="eastAsia" w:ascii="宋体"/>
          <w:szCs w:val="21"/>
          <w:u w:val="single"/>
        </w:rPr>
        <w:t>南宁师范大学学业测评与教学质量监测平台（阅卷系统）建设项目</w:t>
      </w:r>
      <w:r>
        <w:rPr>
          <w:rFonts w:hint="eastAsia" w:ascii="宋体"/>
          <w:szCs w:val="21"/>
        </w:rPr>
        <w:t>的潜在供应商应在广西北部湾宏亚建设管理有限公司（南宁市高新区科园大道东四路7号远信光电产业大楼25层2517号）获取采购文件，并于202</w:t>
      </w:r>
      <w:r>
        <w:rPr>
          <w:rFonts w:hint="eastAsia" w:ascii="宋体"/>
          <w:szCs w:val="21"/>
          <w:lang w:val="en-US" w:eastAsia="zh-CN"/>
        </w:rPr>
        <w:t>1</w:t>
      </w:r>
      <w:r>
        <w:rPr>
          <w:rFonts w:hint="eastAsia" w:ascii="宋体"/>
          <w:szCs w:val="21"/>
        </w:rPr>
        <w:t>年</w:t>
      </w:r>
      <w:r>
        <w:rPr>
          <w:rFonts w:hint="eastAsia" w:ascii="宋体"/>
          <w:szCs w:val="21"/>
          <w:lang w:val="en-US" w:eastAsia="zh-CN"/>
        </w:rPr>
        <w:t>10</w:t>
      </w:r>
      <w:r>
        <w:rPr>
          <w:rFonts w:hint="eastAsia" w:ascii="宋体"/>
          <w:szCs w:val="21"/>
        </w:rPr>
        <w:t>月</w:t>
      </w:r>
      <w:r>
        <w:rPr>
          <w:rFonts w:hint="eastAsia" w:ascii="宋体"/>
          <w:szCs w:val="21"/>
          <w:lang w:val="en-US" w:eastAsia="zh-CN"/>
        </w:rPr>
        <w:t>11</w:t>
      </w:r>
      <w:r>
        <w:rPr>
          <w:rFonts w:hint="eastAsia" w:ascii="宋体"/>
          <w:szCs w:val="21"/>
        </w:rPr>
        <w:t>日</w:t>
      </w:r>
      <w:r>
        <w:rPr>
          <w:rFonts w:hint="eastAsia" w:ascii="宋体"/>
          <w:szCs w:val="21"/>
          <w:lang w:val="en-US" w:eastAsia="zh-CN"/>
        </w:rPr>
        <w:t>09</w:t>
      </w:r>
      <w:r>
        <w:rPr>
          <w:rFonts w:hint="eastAsia" w:ascii="宋体"/>
          <w:szCs w:val="21"/>
        </w:rPr>
        <w:t>点</w:t>
      </w:r>
      <w:r>
        <w:rPr>
          <w:rFonts w:hint="eastAsia" w:ascii="宋体"/>
          <w:szCs w:val="21"/>
          <w:lang w:val="en-US" w:eastAsia="zh-CN"/>
        </w:rPr>
        <w:t>30</w:t>
      </w:r>
      <w:r>
        <w:rPr>
          <w:rFonts w:hint="eastAsia" w:ascii="宋体"/>
          <w:szCs w:val="21"/>
        </w:rPr>
        <w:t>分（北京时间）前提交响应</w:t>
      </w:r>
      <w:r>
        <w:rPr>
          <w:rFonts w:ascii="宋体"/>
          <w:szCs w:val="21"/>
        </w:rPr>
        <w:t>文件</w:t>
      </w:r>
      <w:r>
        <w:rPr>
          <w:rFonts w:hint="eastAsia" w:ascii="宋体"/>
          <w:szCs w:val="21"/>
        </w:rPr>
        <w:t>。</w:t>
      </w:r>
    </w:p>
    <w:p>
      <w:pPr>
        <w:keepNext/>
        <w:keepLines/>
        <w:spacing w:before="260" w:after="260" w:line="360" w:lineRule="auto"/>
        <w:outlineLvl w:val="1"/>
        <w:rPr>
          <w:rFonts w:ascii="宋体"/>
          <w:b/>
          <w:szCs w:val="21"/>
        </w:rPr>
      </w:pPr>
      <w:bookmarkStart w:id="7" w:name="_Toc28359012"/>
      <w:bookmarkStart w:id="8" w:name="_Toc35393798"/>
      <w:bookmarkStart w:id="9" w:name="_Toc35393629"/>
      <w:bookmarkStart w:id="10" w:name="_Toc28359089"/>
      <w:r>
        <w:rPr>
          <w:rFonts w:hint="eastAsia" w:ascii="宋体"/>
          <w:b/>
          <w:szCs w:val="21"/>
        </w:rPr>
        <w:t>一、项目基本情况</w:t>
      </w:r>
      <w:bookmarkEnd w:id="7"/>
      <w:bookmarkEnd w:id="8"/>
      <w:bookmarkEnd w:id="9"/>
      <w:bookmarkEnd w:id="10"/>
    </w:p>
    <w:p>
      <w:pPr>
        <w:spacing w:line="360" w:lineRule="auto"/>
        <w:ind w:firstLine="420" w:firstLineChars="200"/>
        <w:rPr>
          <w:rFonts w:ascii="宋体"/>
          <w:szCs w:val="21"/>
        </w:rPr>
      </w:pPr>
      <w:r>
        <w:rPr>
          <w:rFonts w:hint="eastAsia" w:ascii="宋体"/>
          <w:szCs w:val="21"/>
        </w:rPr>
        <w:t>项目编号：GXZC2021-J1-002296-HYJS</w:t>
      </w:r>
    </w:p>
    <w:p>
      <w:pPr>
        <w:spacing w:line="360" w:lineRule="auto"/>
        <w:ind w:firstLine="420" w:firstLineChars="200"/>
        <w:rPr>
          <w:rFonts w:ascii="宋体"/>
          <w:szCs w:val="21"/>
          <w:u w:val="single"/>
        </w:rPr>
      </w:pPr>
      <w:r>
        <w:rPr>
          <w:rFonts w:hint="eastAsia" w:ascii="宋体"/>
          <w:szCs w:val="21"/>
        </w:rPr>
        <w:t>项目名称：</w:t>
      </w:r>
      <w:r>
        <w:rPr>
          <w:rFonts w:hint="eastAsia" w:ascii="宋体"/>
          <w:szCs w:val="21"/>
          <w:u w:val="single"/>
        </w:rPr>
        <w:t>南宁师范大学学业测评与教学质量监测平台（阅卷系统）建设项目</w:t>
      </w:r>
    </w:p>
    <w:p>
      <w:pPr>
        <w:spacing w:line="360" w:lineRule="auto"/>
        <w:ind w:firstLine="420" w:firstLineChars="200"/>
        <w:rPr>
          <w:rFonts w:ascii="宋体"/>
          <w:szCs w:val="21"/>
        </w:rPr>
      </w:pPr>
      <w:r>
        <w:rPr>
          <w:rFonts w:hint="eastAsia" w:ascii="宋体"/>
          <w:szCs w:val="21"/>
        </w:rPr>
        <w:t>采购方式：竞争性谈判采购</w:t>
      </w:r>
    </w:p>
    <w:p>
      <w:pPr>
        <w:spacing w:line="360" w:lineRule="auto"/>
        <w:ind w:firstLine="420" w:firstLineChars="200"/>
        <w:rPr>
          <w:rFonts w:ascii="宋体"/>
          <w:szCs w:val="21"/>
        </w:rPr>
      </w:pPr>
      <w:r>
        <w:rPr>
          <w:rFonts w:hint="eastAsia" w:ascii="宋体"/>
          <w:szCs w:val="21"/>
        </w:rPr>
        <w:t>预算金额：72.1万元</w:t>
      </w:r>
    </w:p>
    <w:p>
      <w:pPr>
        <w:spacing w:line="360" w:lineRule="auto"/>
        <w:ind w:firstLine="420" w:firstLineChars="200"/>
        <w:rPr>
          <w:rFonts w:ascii="宋体"/>
          <w:szCs w:val="21"/>
        </w:rPr>
      </w:pPr>
      <w:r>
        <w:rPr>
          <w:rFonts w:hint="eastAsia" w:ascii="宋体"/>
          <w:szCs w:val="21"/>
        </w:rPr>
        <w:t>最高限价：72.1万元</w:t>
      </w:r>
    </w:p>
    <w:p>
      <w:pPr>
        <w:spacing w:line="276" w:lineRule="auto"/>
        <w:ind w:firstLine="420" w:firstLineChars="200"/>
        <w:rPr>
          <w:rFonts w:ascii="宋体"/>
          <w:szCs w:val="21"/>
        </w:rPr>
      </w:pPr>
      <w:r>
        <w:rPr>
          <w:rFonts w:hint="eastAsia" w:ascii="宋体"/>
          <w:szCs w:val="21"/>
        </w:rPr>
        <w:t>采购需求：</w:t>
      </w:r>
    </w:p>
    <w:p>
      <w:pPr>
        <w:spacing w:line="360" w:lineRule="auto"/>
        <w:ind w:firstLine="420" w:firstLineChars="200"/>
        <w:rPr>
          <w:rFonts w:ascii="宋体"/>
          <w:szCs w:val="21"/>
        </w:rPr>
      </w:pPr>
      <w:r>
        <w:rPr>
          <w:rFonts w:hint="eastAsia" w:ascii="宋体"/>
          <w:szCs w:val="21"/>
        </w:rPr>
        <w:t>学业测评与在线阅卷平台1套、光标阅读机（含开发接口）6台、学院识别客户端1项、安装实施和售后服务1项，具体内容和数量以竞争性谈判文件第三章《采购项目需求一览表》为准。</w:t>
      </w:r>
    </w:p>
    <w:p>
      <w:pPr>
        <w:spacing w:line="360" w:lineRule="auto"/>
        <w:ind w:firstLine="420" w:firstLineChars="200"/>
        <w:rPr>
          <w:rFonts w:ascii="宋体"/>
          <w:szCs w:val="21"/>
        </w:rPr>
      </w:pPr>
      <w:r>
        <w:rPr>
          <w:rFonts w:hint="eastAsia" w:ascii="宋体"/>
          <w:szCs w:val="21"/>
        </w:rPr>
        <w:t>合同履行期限：</w:t>
      </w:r>
      <w:r>
        <w:rPr>
          <w:rFonts w:hint="eastAsia" w:ascii="宋体" w:hAnsi="宋体" w:cs="宋体"/>
          <w:szCs w:val="21"/>
        </w:rPr>
        <w:t>自交货完毕并最终验收合格交付使用之日起质保期1年</w:t>
      </w:r>
      <w:r>
        <w:rPr>
          <w:rFonts w:hint="eastAsia" w:ascii="宋体"/>
          <w:szCs w:val="21"/>
        </w:rPr>
        <w:t>。</w:t>
      </w:r>
    </w:p>
    <w:p>
      <w:pPr>
        <w:spacing w:line="360" w:lineRule="auto"/>
        <w:ind w:firstLine="420" w:firstLineChars="200"/>
        <w:rPr>
          <w:rFonts w:ascii="宋体"/>
          <w:szCs w:val="21"/>
        </w:rPr>
      </w:pPr>
      <w:r>
        <w:rPr>
          <w:rFonts w:hint="eastAsia" w:ascii="宋体"/>
          <w:szCs w:val="21"/>
        </w:rPr>
        <w:t>本项目不接受联合体。</w:t>
      </w:r>
    </w:p>
    <w:p>
      <w:pPr>
        <w:keepNext/>
        <w:keepLines/>
        <w:spacing w:before="260" w:after="260" w:line="360" w:lineRule="auto"/>
        <w:outlineLvl w:val="1"/>
        <w:rPr>
          <w:rFonts w:ascii="宋体"/>
          <w:b/>
          <w:szCs w:val="21"/>
        </w:rPr>
      </w:pPr>
      <w:bookmarkStart w:id="11" w:name="_Toc28359090"/>
      <w:bookmarkStart w:id="12" w:name="_Toc35393630"/>
      <w:bookmarkStart w:id="13" w:name="_Toc35393799"/>
      <w:bookmarkStart w:id="14" w:name="_Toc28359013"/>
      <w:r>
        <w:rPr>
          <w:rFonts w:hint="eastAsia" w:ascii="宋体"/>
          <w:b/>
          <w:szCs w:val="21"/>
        </w:rPr>
        <w:t>二、申请人的资格要求</w:t>
      </w:r>
      <w:bookmarkEnd w:id="11"/>
      <w:bookmarkEnd w:id="12"/>
      <w:bookmarkEnd w:id="13"/>
      <w:bookmarkEnd w:id="14"/>
    </w:p>
    <w:p>
      <w:pPr>
        <w:spacing w:line="360" w:lineRule="auto"/>
        <w:ind w:firstLine="420" w:firstLineChars="200"/>
        <w:rPr>
          <w:rFonts w:ascii="宋体"/>
          <w:szCs w:val="21"/>
        </w:rPr>
      </w:pPr>
      <w:r>
        <w:rPr>
          <w:rFonts w:hint="eastAsia" w:ascii="宋体"/>
          <w:szCs w:val="21"/>
        </w:rPr>
        <w:t>1.满足《中华人民共和国政府采购法》第二十二条规定；</w:t>
      </w:r>
    </w:p>
    <w:p>
      <w:pPr>
        <w:wordWrap w:val="0"/>
        <w:snapToGrid w:val="0"/>
        <w:spacing w:line="360" w:lineRule="auto"/>
        <w:ind w:firstLine="420" w:firstLineChars="200"/>
        <w:jc w:val="left"/>
        <w:rPr>
          <w:rFonts w:ascii="宋体"/>
          <w:szCs w:val="21"/>
        </w:rPr>
      </w:pPr>
      <w:bookmarkStart w:id="15" w:name="_Toc28359014"/>
      <w:bookmarkStart w:id="16" w:name="_Toc28359091"/>
      <w:r>
        <w:rPr>
          <w:rFonts w:hint="eastAsia" w:ascii="宋体"/>
          <w:szCs w:val="21"/>
        </w:rPr>
        <w:t>2.落实政府采购政策需满足的资格要求：无；</w:t>
      </w:r>
    </w:p>
    <w:p>
      <w:pPr>
        <w:wordWrap w:val="0"/>
        <w:snapToGrid w:val="0"/>
        <w:spacing w:line="360" w:lineRule="auto"/>
        <w:ind w:firstLine="420" w:firstLineChars="200"/>
        <w:jc w:val="left"/>
        <w:rPr>
          <w:rFonts w:ascii="宋体"/>
          <w:szCs w:val="21"/>
        </w:rPr>
      </w:pPr>
      <w:r>
        <w:rPr>
          <w:rFonts w:hint="eastAsia" w:ascii="宋体"/>
          <w:szCs w:val="21"/>
        </w:rPr>
        <w:t>3.本项目的特定资格要求：</w:t>
      </w:r>
      <w:bookmarkStart w:id="17" w:name="_Toc35393800"/>
      <w:bookmarkStart w:id="18" w:name="_Toc35393631"/>
      <w:r>
        <w:rPr>
          <w:rFonts w:hint="eastAsia" w:ascii="宋体"/>
          <w:szCs w:val="21"/>
        </w:rPr>
        <w:t>无；</w:t>
      </w:r>
    </w:p>
    <w:p>
      <w:pPr>
        <w:wordWrap w:val="0"/>
        <w:snapToGrid w:val="0"/>
        <w:spacing w:line="360" w:lineRule="auto"/>
        <w:ind w:firstLine="420" w:firstLineChars="200"/>
        <w:jc w:val="left"/>
        <w:rPr>
          <w:rFonts w:ascii="宋体"/>
          <w:szCs w:val="21"/>
        </w:rPr>
      </w:pPr>
      <w:r>
        <w:rPr>
          <w:rFonts w:hint="eastAsia" w:ascii="宋体"/>
          <w:szCs w:val="21"/>
        </w:rPr>
        <w:t>4.国内注册（指按国家工商行政管理有关规定要求注册的）从事或经营本次采购货物或服务，并在人员、设备、资金等方面具有相应的能力的供应商。</w:t>
      </w:r>
    </w:p>
    <w:p>
      <w:pPr>
        <w:wordWrap w:val="0"/>
        <w:snapToGrid w:val="0"/>
        <w:spacing w:line="360" w:lineRule="auto"/>
        <w:ind w:firstLine="420" w:firstLineChars="200"/>
        <w:jc w:val="left"/>
        <w:rPr>
          <w:rFonts w:ascii="宋体"/>
          <w:szCs w:val="21"/>
        </w:rPr>
      </w:pPr>
      <w:r>
        <w:rPr>
          <w:rFonts w:hint="eastAsia" w:ascii="宋体"/>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ordWrap w:val="0"/>
        <w:snapToGrid w:val="0"/>
        <w:spacing w:line="360" w:lineRule="auto"/>
        <w:ind w:firstLine="420" w:firstLineChars="200"/>
        <w:jc w:val="left"/>
        <w:rPr>
          <w:rFonts w:ascii="宋体" w:hAnsi="宋体"/>
          <w:szCs w:val="21"/>
        </w:rPr>
      </w:pPr>
      <w:r>
        <w:rPr>
          <w:rFonts w:hint="eastAsia" w:ascii="宋体"/>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outlineLvl w:val="1"/>
        <w:rPr>
          <w:rFonts w:ascii="宋体"/>
          <w:b/>
          <w:szCs w:val="21"/>
        </w:rPr>
      </w:pPr>
      <w:r>
        <w:rPr>
          <w:rFonts w:hint="eastAsia" w:ascii="宋体"/>
          <w:b/>
          <w:szCs w:val="21"/>
        </w:rPr>
        <w:t>三、获取采购文件</w:t>
      </w:r>
      <w:bookmarkEnd w:id="15"/>
      <w:bookmarkEnd w:id="16"/>
      <w:bookmarkEnd w:id="17"/>
      <w:bookmarkEnd w:id="18"/>
    </w:p>
    <w:p>
      <w:pPr>
        <w:spacing w:line="360" w:lineRule="auto"/>
        <w:ind w:firstLine="420" w:firstLineChars="200"/>
        <w:rPr>
          <w:rFonts w:ascii="宋体"/>
          <w:szCs w:val="21"/>
        </w:rPr>
      </w:pPr>
      <w:r>
        <w:rPr>
          <w:rFonts w:hint="eastAsia" w:ascii="宋体"/>
          <w:szCs w:val="21"/>
        </w:rPr>
        <w:t>时间：</w:t>
      </w:r>
      <w:r>
        <w:rPr>
          <w:rFonts w:hint="eastAsia" w:ascii="宋体"/>
          <w:szCs w:val="21"/>
          <w:u w:val="single"/>
        </w:rPr>
        <w:t>2021 年</w:t>
      </w:r>
      <w:r>
        <w:rPr>
          <w:rFonts w:hint="eastAsia" w:ascii="宋体"/>
          <w:szCs w:val="21"/>
          <w:u w:val="single"/>
          <w:lang w:val="en-US" w:eastAsia="zh-CN"/>
        </w:rPr>
        <w:t>9</w:t>
      </w:r>
      <w:r>
        <w:rPr>
          <w:rFonts w:hint="eastAsia" w:ascii="宋体"/>
          <w:szCs w:val="21"/>
          <w:u w:val="single"/>
        </w:rPr>
        <w:t>月</w:t>
      </w:r>
      <w:r>
        <w:rPr>
          <w:rFonts w:hint="eastAsia" w:ascii="宋体"/>
          <w:szCs w:val="21"/>
          <w:u w:val="single"/>
          <w:lang w:val="en-US" w:eastAsia="zh-CN"/>
        </w:rPr>
        <w:t>29</w:t>
      </w:r>
      <w:r>
        <w:rPr>
          <w:rFonts w:hint="eastAsia" w:ascii="宋体"/>
          <w:szCs w:val="21"/>
          <w:u w:val="single"/>
        </w:rPr>
        <w:t>日至 2021年</w:t>
      </w:r>
      <w:r>
        <w:rPr>
          <w:rFonts w:hint="eastAsia" w:ascii="宋体"/>
          <w:szCs w:val="21"/>
          <w:u w:val="single"/>
          <w:lang w:val="en-US" w:eastAsia="zh-CN"/>
        </w:rPr>
        <w:t>10</w:t>
      </w:r>
      <w:r>
        <w:rPr>
          <w:rFonts w:hint="eastAsia" w:ascii="宋体"/>
          <w:szCs w:val="21"/>
          <w:u w:val="single"/>
        </w:rPr>
        <w:t>月</w:t>
      </w:r>
      <w:r>
        <w:rPr>
          <w:rFonts w:hint="eastAsia" w:ascii="宋体"/>
          <w:szCs w:val="21"/>
          <w:u w:val="single"/>
          <w:lang w:val="en-US" w:eastAsia="zh-CN"/>
        </w:rPr>
        <w:t>9</w:t>
      </w:r>
      <w:r>
        <w:rPr>
          <w:rFonts w:hint="eastAsia" w:ascii="宋体"/>
          <w:szCs w:val="21"/>
          <w:u w:val="single"/>
        </w:rPr>
        <w:t>日，每天上午08:00至12:00　，下午15:00至17:30</w:t>
      </w:r>
      <w:r>
        <w:rPr>
          <w:rFonts w:hint="eastAsia" w:ascii="宋体"/>
          <w:szCs w:val="21"/>
        </w:rPr>
        <w:t>（北京时间，</w:t>
      </w:r>
      <w:r>
        <w:rPr>
          <w:rFonts w:ascii="宋体"/>
          <w:szCs w:val="21"/>
        </w:rPr>
        <w:t>法定节假日</w:t>
      </w:r>
      <w:r>
        <w:rPr>
          <w:rFonts w:hint="eastAsia" w:ascii="宋体"/>
          <w:szCs w:val="21"/>
        </w:rPr>
        <w:t>除外 ）</w:t>
      </w:r>
    </w:p>
    <w:p>
      <w:pPr>
        <w:spacing w:line="360" w:lineRule="auto"/>
        <w:ind w:firstLine="420" w:firstLineChars="200"/>
        <w:rPr>
          <w:rFonts w:ascii="宋体"/>
          <w:szCs w:val="21"/>
        </w:rPr>
      </w:pPr>
      <w:r>
        <w:rPr>
          <w:rFonts w:hint="eastAsia" w:ascii="宋体"/>
          <w:szCs w:val="21"/>
        </w:rPr>
        <w:t>地点：广西北部湾宏亚建设管理有限公司（南宁市高新区科园大道东四路7号远信光电产业大楼25层2517号）。</w:t>
      </w:r>
    </w:p>
    <w:p>
      <w:pPr>
        <w:spacing w:line="360" w:lineRule="auto"/>
        <w:ind w:firstLine="540"/>
        <w:rPr>
          <w:rFonts w:ascii="宋体" w:hAnsi="宋体" w:cs="宋体"/>
          <w:szCs w:val="21"/>
          <w:u w:val="single"/>
        </w:rPr>
      </w:pPr>
      <w:r>
        <w:rPr>
          <w:rFonts w:hint="eastAsia" w:ascii="宋体"/>
          <w:szCs w:val="21"/>
        </w:rPr>
        <w:t>方式：现场购买，</w:t>
      </w:r>
      <w:r>
        <w:rPr>
          <w:rFonts w:hint="eastAsia" w:ascii="宋体" w:hAnsi="宋体"/>
          <w:szCs w:val="21"/>
        </w:rPr>
        <w:t>须由供应商的法定代表人（负责人）携带法人身份证明或有效营业执照及身份证原件购买或授权代理人携带法定代表人（负责人）授权书原件</w:t>
      </w:r>
      <w:r>
        <w:rPr>
          <w:rFonts w:hint="eastAsia" w:ascii="宋体" w:hAnsi="宋体"/>
          <w:szCs w:val="21"/>
          <w:shd w:val="clear" w:color="auto" w:fill="FFFFFF"/>
        </w:rPr>
        <w:t>（法定代表人（负责人）授权书</w:t>
      </w:r>
      <w:r>
        <w:rPr>
          <w:rFonts w:hint="eastAsia" w:ascii="宋体" w:hAnsi="宋体"/>
          <w:szCs w:val="21"/>
        </w:rPr>
        <w:t>必须有法定代表人（负责人）签字，必须注明项目名称及编号，并明确委托权限</w:t>
      </w:r>
      <w:r>
        <w:rPr>
          <w:rFonts w:hint="eastAsia" w:ascii="宋体" w:hAnsi="宋体"/>
          <w:szCs w:val="21"/>
          <w:shd w:val="clear" w:color="auto" w:fill="FFFFFF"/>
        </w:rPr>
        <w:t>）</w:t>
      </w:r>
      <w:r>
        <w:rPr>
          <w:rFonts w:hint="eastAsia" w:ascii="宋体" w:hAnsi="宋体"/>
          <w:szCs w:val="21"/>
        </w:rPr>
        <w:t>及身份证原件购买，材料齐全且合格后方可购买竞争性谈判文件，</w:t>
      </w:r>
      <w:r>
        <w:rPr>
          <w:rFonts w:hint="eastAsia" w:ascii="宋体" w:hAnsi="宋体" w:cs="宋体"/>
          <w:szCs w:val="21"/>
        </w:rPr>
        <w:t>（</w:t>
      </w:r>
      <w:r>
        <w:rPr>
          <w:rFonts w:hint="eastAsia" w:ascii="宋体" w:hAnsi="宋体" w:cs="宋体"/>
          <w:b/>
          <w:szCs w:val="21"/>
        </w:rPr>
        <w:t>注：为了</w:t>
      </w:r>
      <w:r>
        <w:rPr>
          <w:rFonts w:hint="eastAsia" w:ascii="宋体" w:hAnsi="宋体" w:cs="宋体"/>
          <w:b/>
          <w:bCs/>
          <w:szCs w:val="21"/>
        </w:rPr>
        <w:t>配合采购单位政府采购项目执行和备案，未在政采云注册的供应商可在获取竞争性谈判采购文件后登录政采云进行注册，如在操作过程中遇到问题或者需要技术支持，请致电政采云客服热线：400-881-7190</w:t>
      </w:r>
      <w:r>
        <w:rPr>
          <w:rFonts w:hint="eastAsia" w:ascii="宋体" w:hAnsi="宋体" w:cs="宋体"/>
          <w:szCs w:val="21"/>
        </w:rPr>
        <w:t>）。</w:t>
      </w:r>
    </w:p>
    <w:p>
      <w:pPr>
        <w:spacing w:line="360" w:lineRule="auto"/>
        <w:ind w:firstLine="420" w:firstLineChars="200"/>
        <w:rPr>
          <w:rFonts w:ascii="宋体"/>
          <w:szCs w:val="21"/>
        </w:rPr>
      </w:pPr>
      <w:r>
        <w:rPr>
          <w:rFonts w:hint="eastAsia" w:ascii="宋体"/>
          <w:szCs w:val="21"/>
        </w:rPr>
        <w:t>售价：</w:t>
      </w:r>
      <w:r>
        <w:rPr>
          <w:rFonts w:hint="eastAsia" w:ascii="宋体" w:hAnsi="宋体"/>
          <w:szCs w:val="21"/>
        </w:rPr>
        <w:t>￥</w:t>
      </w:r>
      <w:r>
        <w:rPr>
          <w:rFonts w:hint="eastAsia" w:ascii="宋体" w:hAnsi="宋体" w:cs="Arial"/>
          <w:szCs w:val="21"/>
        </w:rPr>
        <w:t>250元（人民币）</w:t>
      </w:r>
      <w:r>
        <w:rPr>
          <w:rFonts w:hint="eastAsia" w:ascii="宋体"/>
          <w:szCs w:val="21"/>
        </w:rPr>
        <w:t>。</w:t>
      </w:r>
    </w:p>
    <w:p>
      <w:pPr>
        <w:keepNext/>
        <w:keepLines/>
        <w:spacing w:before="260" w:after="260" w:line="360" w:lineRule="auto"/>
        <w:outlineLvl w:val="1"/>
        <w:rPr>
          <w:rFonts w:ascii="宋体"/>
          <w:b/>
          <w:szCs w:val="21"/>
        </w:rPr>
      </w:pPr>
      <w:bookmarkStart w:id="19" w:name="_Toc35393801"/>
      <w:bookmarkStart w:id="20" w:name="_Toc28359015"/>
      <w:bookmarkStart w:id="21" w:name="_Toc28359092"/>
      <w:bookmarkStart w:id="22" w:name="_Toc35393632"/>
      <w:r>
        <w:rPr>
          <w:rFonts w:hint="eastAsia" w:ascii="宋体"/>
          <w:b/>
          <w:szCs w:val="21"/>
        </w:rPr>
        <w:t>四、响应文件提交</w:t>
      </w:r>
      <w:bookmarkEnd w:id="19"/>
      <w:bookmarkEnd w:id="20"/>
      <w:bookmarkEnd w:id="21"/>
      <w:bookmarkEnd w:id="22"/>
    </w:p>
    <w:p>
      <w:pPr>
        <w:wordWrap w:val="0"/>
        <w:snapToGrid w:val="0"/>
        <w:spacing w:line="360" w:lineRule="auto"/>
        <w:ind w:firstLine="420" w:firstLineChars="200"/>
        <w:rPr>
          <w:rFonts w:ascii="宋体"/>
          <w:szCs w:val="21"/>
        </w:rPr>
      </w:pPr>
      <w:r>
        <w:rPr>
          <w:rFonts w:hint="eastAsia" w:ascii="宋体"/>
          <w:szCs w:val="21"/>
        </w:rPr>
        <w:t>截止时间：</w:t>
      </w:r>
      <w:r>
        <w:rPr>
          <w:rFonts w:hint="eastAsia" w:ascii="宋体"/>
          <w:szCs w:val="21"/>
          <w:u w:val="single"/>
        </w:rPr>
        <w:t>2021年</w:t>
      </w:r>
      <w:r>
        <w:rPr>
          <w:rFonts w:hint="eastAsia" w:ascii="宋体"/>
          <w:szCs w:val="21"/>
          <w:u w:val="single"/>
          <w:lang w:val="en-US" w:eastAsia="zh-CN"/>
        </w:rPr>
        <w:t>10</w:t>
      </w:r>
      <w:r>
        <w:rPr>
          <w:rFonts w:hint="eastAsia" w:ascii="宋体"/>
          <w:szCs w:val="21"/>
          <w:u w:val="single"/>
        </w:rPr>
        <w:t>月</w:t>
      </w:r>
      <w:r>
        <w:rPr>
          <w:rFonts w:hint="eastAsia" w:ascii="宋体"/>
          <w:szCs w:val="21"/>
          <w:u w:val="single"/>
          <w:lang w:val="en-US" w:eastAsia="zh-CN"/>
        </w:rPr>
        <w:t>11</w:t>
      </w:r>
      <w:r>
        <w:rPr>
          <w:rFonts w:hint="eastAsia" w:ascii="宋体"/>
          <w:szCs w:val="21"/>
          <w:u w:val="single"/>
        </w:rPr>
        <w:t xml:space="preserve"> 日</w:t>
      </w:r>
      <w:r>
        <w:rPr>
          <w:rFonts w:hint="eastAsia" w:ascii="宋体"/>
          <w:szCs w:val="21"/>
          <w:u w:val="single"/>
          <w:lang w:val="en-US" w:eastAsia="zh-CN"/>
        </w:rPr>
        <w:t>09</w:t>
      </w:r>
      <w:r>
        <w:rPr>
          <w:rFonts w:hint="eastAsia" w:ascii="宋体"/>
          <w:szCs w:val="21"/>
          <w:u w:val="single"/>
        </w:rPr>
        <w:t xml:space="preserve"> 点</w:t>
      </w:r>
      <w:r>
        <w:rPr>
          <w:rFonts w:hint="eastAsia" w:ascii="宋体"/>
          <w:szCs w:val="21"/>
          <w:u w:val="single"/>
          <w:lang w:val="en-US" w:eastAsia="zh-CN"/>
        </w:rPr>
        <w:t>30</w:t>
      </w:r>
      <w:r>
        <w:rPr>
          <w:rFonts w:hint="eastAsia" w:ascii="宋体"/>
          <w:szCs w:val="21"/>
          <w:u w:val="single"/>
        </w:rPr>
        <w:t>分</w:t>
      </w:r>
      <w:r>
        <w:rPr>
          <w:rFonts w:hint="eastAsia" w:ascii="宋体"/>
          <w:szCs w:val="21"/>
        </w:rPr>
        <w:t>（北京时间）地点：</w:t>
      </w:r>
      <w:bookmarkStart w:id="23" w:name="_Toc28359093"/>
      <w:bookmarkStart w:id="24" w:name="_Toc35393633"/>
      <w:bookmarkStart w:id="25" w:name="_Toc28359016"/>
      <w:bookmarkStart w:id="26" w:name="_Toc35393802"/>
      <w:r>
        <w:rPr>
          <w:rFonts w:hint="eastAsia" w:ascii="宋体"/>
          <w:szCs w:val="21"/>
        </w:rPr>
        <w:t>广西北部湾宏亚建设管理有限公司（南宁市高新区科园大道东四路7号远信光电产业大楼25层2516号）</w:t>
      </w:r>
    </w:p>
    <w:p>
      <w:pPr>
        <w:numPr>
          <w:ilvl w:val="0"/>
          <w:numId w:val="2"/>
        </w:numPr>
        <w:wordWrap w:val="0"/>
        <w:snapToGrid w:val="0"/>
        <w:spacing w:line="360" w:lineRule="auto"/>
        <w:outlineLvl w:val="1"/>
        <w:rPr>
          <w:rFonts w:ascii="宋体"/>
          <w:szCs w:val="21"/>
        </w:rPr>
      </w:pPr>
      <w:r>
        <w:rPr>
          <w:rFonts w:hint="eastAsia" w:ascii="宋体"/>
          <w:b/>
          <w:szCs w:val="21"/>
        </w:rPr>
        <w:t>开启</w:t>
      </w:r>
      <w:bookmarkEnd w:id="23"/>
      <w:bookmarkEnd w:id="24"/>
      <w:bookmarkEnd w:id="25"/>
      <w:bookmarkEnd w:id="26"/>
      <w:r>
        <w:rPr>
          <w:rFonts w:hint="eastAsia" w:ascii="宋体"/>
          <w:b/>
          <w:szCs w:val="21"/>
        </w:rPr>
        <w:t>时间</w:t>
      </w:r>
    </w:p>
    <w:p>
      <w:pPr>
        <w:wordWrap w:val="0"/>
        <w:snapToGrid w:val="0"/>
        <w:spacing w:line="360" w:lineRule="auto"/>
        <w:ind w:firstLine="420" w:firstLineChars="200"/>
        <w:rPr>
          <w:rFonts w:ascii="宋体"/>
          <w:szCs w:val="21"/>
        </w:rPr>
      </w:pPr>
      <w:r>
        <w:rPr>
          <w:rFonts w:hint="eastAsia" w:ascii="宋体"/>
          <w:szCs w:val="21"/>
          <w:u w:val="single"/>
        </w:rPr>
        <w:t>2021年</w:t>
      </w:r>
      <w:r>
        <w:rPr>
          <w:rFonts w:hint="eastAsia" w:ascii="宋体"/>
          <w:szCs w:val="21"/>
          <w:u w:val="single"/>
          <w:lang w:val="en-US" w:eastAsia="zh-CN"/>
        </w:rPr>
        <w:t>10</w:t>
      </w:r>
      <w:r>
        <w:rPr>
          <w:rFonts w:hint="eastAsia" w:ascii="宋体"/>
          <w:szCs w:val="21"/>
          <w:u w:val="single"/>
        </w:rPr>
        <w:t>月</w:t>
      </w:r>
      <w:r>
        <w:rPr>
          <w:rFonts w:hint="eastAsia" w:ascii="宋体"/>
          <w:szCs w:val="21"/>
          <w:u w:val="single"/>
          <w:lang w:val="en-US" w:eastAsia="zh-CN"/>
        </w:rPr>
        <w:t>11</w:t>
      </w:r>
      <w:r>
        <w:rPr>
          <w:rFonts w:hint="eastAsia" w:ascii="宋体"/>
          <w:szCs w:val="21"/>
          <w:u w:val="single"/>
        </w:rPr>
        <w:t xml:space="preserve"> 日</w:t>
      </w:r>
      <w:r>
        <w:rPr>
          <w:rFonts w:hint="eastAsia" w:ascii="宋体"/>
          <w:szCs w:val="21"/>
          <w:u w:val="single"/>
          <w:lang w:val="en-US" w:eastAsia="zh-CN"/>
        </w:rPr>
        <w:t>09</w:t>
      </w:r>
      <w:r>
        <w:rPr>
          <w:rFonts w:hint="eastAsia" w:ascii="宋体"/>
          <w:szCs w:val="21"/>
          <w:u w:val="single"/>
        </w:rPr>
        <w:t xml:space="preserve"> 点</w:t>
      </w:r>
      <w:r>
        <w:rPr>
          <w:rFonts w:hint="eastAsia" w:ascii="宋体"/>
          <w:szCs w:val="21"/>
          <w:u w:val="single"/>
          <w:lang w:val="en-US" w:eastAsia="zh-CN"/>
        </w:rPr>
        <w:t>30</w:t>
      </w:r>
      <w:r>
        <w:rPr>
          <w:rFonts w:hint="eastAsia" w:ascii="宋体"/>
          <w:szCs w:val="21"/>
          <w:u w:val="single"/>
        </w:rPr>
        <w:t>分</w:t>
      </w:r>
      <w:r>
        <w:rPr>
          <w:rFonts w:hint="eastAsia" w:ascii="宋体"/>
          <w:szCs w:val="21"/>
        </w:rPr>
        <w:t>（北京时间）</w:t>
      </w:r>
    </w:p>
    <w:p>
      <w:pPr>
        <w:spacing w:line="360" w:lineRule="auto"/>
        <w:ind w:firstLine="420" w:firstLineChars="200"/>
        <w:rPr>
          <w:rFonts w:ascii="宋体"/>
          <w:szCs w:val="21"/>
        </w:rPr>
      </w:pPr>
      <w:r>
        <w:rPr>
          <w:rFonts w:hint="eastAsia" w:ascii="宋体"/>
          <w:szCs w:val="21"/>
        </w:rPr>
        <w:t>地点：广西北部湾宏亚建设管理有限公司（南宁市高新区科园大道东四路7号远信光电产业大楼25层2516号）</w:t>
      </w:r>
    </w:p>
    <w:p>
      <w:pPr>
        <w:keepNext/>
        <w:keepLines/>
        <w:spacing w:before="260" w:after="260" w:line="360" w:lineRule="auto"/>
        <w:outlineLvl w:val="1"/>
        <w:rPr>
          <w:rFonts w:ascii="宋体"/>
          <w:b/>
          <w:szCs w:val="21"/>
        </w:rPr>
      </w:pPr>
      <w:bookmarkStart w:id="27" w:name="_Toc28359017"/>
      <w:bookmarkStart w:id="28" w:name="_Toc28359094"/>
      <w:bookmarkStart w:id="29" w:name="_Toc35393634"/>
      <w:bookmarkStart w:id="30" w:name="_Toc35393803"/>
      <w:r>
        <w:rPr>
          <w:rFonts w:hint="eastAsia" w:ascii="宋体"/>
          <w:b/>
          <w:szCs w:val="21"/>
        </w:rPr>
        <w:t>六、公告期限</w:t>
      </w:r>
      <w:bookmarkEnd w:id="27"/>
      <w:bookmarkEnd w:id="28"/>
      <w:bookmarkEnd w:id="29"/>
      <w:bookmarkEnd w:id="30"/>
    </w:p>
    <w:p>
      <w:pPr>
        <w:spacing w:line="360" w:lineRule="auto"/>
        <w:ind w:firstLine="420" w:firstLineChars="200"/>
        <w:rPr>
          <w:rFonts w:ascii="宋体"/>
          <w:szCs w:val="21"/>
        </w:rPr>
      </w:pPr>
      <w:r>
        <w:rPr>
          <w:rFonts w:hint="eastAsia" w:ascii="宋体"/>
          <w:szCs w:val="21"/>
        </w:rPr>
        <w:t>自本公告发布之日起3个工作日。</w:t>
      </w:r>
      <w:bookmarkStart w:id="31" w:name="_Toc35393635"/>
      <w:bookmarkStart w:id="32" w:name="_Toc35393804"/>
    </w:p>
    <w:p>
      <w:pPr>
        <w:spacing w:line="360" w:lineRule="auto"/>
        <w:outlineLvl w:val="1"/>
        <w:rPr>
          <w:rFonts w:ascii="宋体"/>
          <w:b/>
          <w:szCs w:val="21"/>
        </w:rPr>
      </w:pPr>
      <w:r>
        <w:rPr>
          <w:rFonts w:hint="eastAsia" w:ascii="宋体"/>
          <w:b/>
          <w:szCs w:val="21"/>
        </w:rPr>
        <w:t>七、其他补充事宜</w:t>
      </w:r>
      <w:bookmarkEnd w:id="31"/>
      <w:bookmarkEnd w:id="32"/>
    </w:p>
    <w:p>
      <w:pPr>
        <w:spacing w:line="360" w:lineRule="auto"/>
        <w:ind w:firstLine="420" w:firstLineChars="200"/>
        <w:rPr>
          <w:rFonts w:ascii="宋体"/>
          <w:szCs w:val="21"/>
        </w:rPr>
      </w:pPr>
      <w:r>
        <w:rPr>
          <w:rFonts w:hint="eastAsia" w:ascii="宋体"/>
          <w:szCs w:val="21"/>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pPr>
        <w:spacing w:line="360" w:lineRule="auto"/>
        <w:ind w:firstLine="420" w:firstLineChars="200"/>
        <w:rPr>
          <w:rFonts w:ascii="宋体"/>
          <w:szCs w:val="21"/>
        </w:rPr>
      </w:pPr>
      <w:r>
        <w:rPr>
          <w:rFonts w:hint="eastAsia" w:ascii="宋体"/>
          <w:szCs w:val="21"/>
        </w:rPr>
        <w:t>2、谈判保证金：人民币8000元整，谈判保证金必须足额缴纳。</w:t>
      </w:r>
    </w:p>
    <w:p>
      <w:pPr>
        <w:spacing w:line="360" w:lineRule="auto"/>
        <w:ind w:firstLine="420" w:firstLineChars="200"/>
        <w:rPr>
          <w:rFonts w:ascii="宋体"/>
          <w:szCs w:val="21"/>
        </w:rPr>
      </w:pPr>
      <w:r>
        <w:rPr>
          <w:rFonts w:hint="eastAsia" w:ascii="宋体"/>
          <w:szCs w:val="21"/>
        </w:rPr>
        <w:t>供应商应于竞争性谈判响应文件递交截止时间前将谈判保证金以电汇、转账、汇票等非现金形式交至广西北部湾宏亚建设管理有限公司账户，并确保到账。开户名称：广西北部湾宏亚建设管理有限公司南宁分公司，开户银行：广西北部湾银行南宁市秀灵支行，银行账号：805011663788888。</w:t>
      </w:r>
    </w:p>
    <w:p>
      <w:pPr>
        <w:spacing w:line="400" w:lineRule="exact"/>
        <w:ind w:firstLine="420" w:firstLineChars="200"/>
        <w:rPr>
          <w:rFonts w:ascii="宋体" w:hAnsi="宋体"/>
          <w:szCs w:val="21"/>
        </w:rPr>
      </w:pPr>
      <w:bookmarkStart w:id="33" w:name="_Toc35393636"/>
      <w:bookmarkStart w:id="34" w:name="_Toc28359018"/>
      <w:bookmarkStart w:id="35" w:name="_Toc35393805"/>
      <w:bookmarkStart w:id="36" w:name="_Toc28359095"/>
      <w:r>
        <w:rPr>
          <w:rFonts w:hint="eastAsia" w:ascii="宋体" w:hAnsi="宋体"/>
          <w:szCs w:val="21"/>
        </w:rPr>
        <w:t>3、逾期送达或未按规定密封的响应文件将被拒绝；没有购买采购文件的供应商的响应文件将被拒绝。</w:t>
      </w:r>
    </w:p>
    <w:p>
      <w:pPr>
        <w:spacing w:line="400" w:lineRule="exact"/>
        <w:ind w:firstLine="420" w:firstLineChars="200"/>
        <w:rPr>
          <w:rFonts w:ascii="宋体" w:hAnsi="宋体"/>
          <w:szCs w:val="21"/>
        </w:rPr>
      </w:pPr>
      <w:r>
        <w:rPr>
          <w:rFonts w:hint="eastAsia" w:ascii="宋体" w:hAnsi="宋体"/>
          <w:szCs w:val="21"/>
        </w:rPr>
        <w:t>4、响应文件提交截止时间后，采购代理机构将组织谈判小组与谈判供应商进行谈判，具体时间由采购代理机构另行通知。地点：广西北部湾宏亚建设管理有限公司（南宁市高新区科园大道东四路7号远信光电产业大楼25层2516号），参加谈判的法定代表人（负责人）或委托代理人必须持证件（法定代表人（负责人）凭身份证或委托代理人凭法人授权委托书原件和身份证）依时到达指定地点等候当面谈判。</w:t>
      </w:r>
    </w:p>
    <w:p>
      <w:pPr>
        <w:spacing w:line="400" w:lineRule="exact"/>
        <w:ind w:firstLine="420" w:firstLineChars="200"/>
        <w:rPr>
          <w:rFonts w:ascii="宋体" w:hAnsi="宋体" w:cs="Arial"/>
          <w:szCs w:val="21"/>
        </w:rPr>
      </w:pPr>
      <w:r>
        <w:rPr>
          <w:rFonts w:hint="eastAsia" w:ascii="宋体" w:hAnsi="宋体" w:cs="Arial"/>
          <w:szCs w:val="21"/>
        </w:rPr>
        <w:t>5、网上查询地址：中国政府采购网（www.ccgp.gov.cn）、广西政府采购网（zfcg.gxzf.gov.cn）、广西北部湾宏亚建设管理有限公司（http://www.xn--jlqs92a.com/）。</w:t>
      </w:r>
    </w:p>
    <w:p>
      <w:pPr>
        <w:keepNext/>
        <w:keepLines/>
        <w:spacing w:before="260" w:after="260" w:line="360" w:lineRule="auto"/>
        <w:outlineLvl w:val="1"/>
        <w:rPr>
          <w:rFonts w:ascii="宋体"/>
          <w:b/>
          <w:szCs w:val="21"/>
        </w:rPr>
      </w:pPr>
      <w:r>
        <w:rPr>
          <w:rFonts w:hint="eastAsia" w:ascii="宋体"/>
          <w:b/>
          <w:szCs w:val="21"/>
        </w:rPr>
        <w:t>八、凡对本次采购提出询问，请按</w:t>
      </w:r>
      <w:r>
        <w:rPr>
          <w:rFonts w:ascii="宋体"/>
          <w:b/>
          <w:szCs w:val="21"/>
        </w:rPr>
        <w:t>以下方式</w:t>
      </w:r>
      <w:r>
        <w:rPr>
          <w:rFonts w:hint="eastAsia" w:ascii="宋体"/>
          <w:b/>
          <w:szCs w:val="21"/>
        </w:rPr>
        <w:t>联系。</w:t>
      </w:r>
      <w:bookmarkEnd w:id="33"/>
      <w:bookmarkEnd w:id="34"/>
      <w:bookmarkEnd w:id="35"/>
      <w:bookmarkEnd w:id="36"/>
    </w:p>
    <w:p>
      <w:pPr>
        <w:keepNext/>
        <w:keepLines/>
        <w:spacing w:before="260" w:after="260" w:line="360" w:lineRule="auto"/>
        <w:ind w:firstLine="630" w:firstLineChars="300"/>
        <w:jc w:val="left"/>
        <w:outlineLvl w:val="2"/>
        <w:rPr>
          <w:rFonts w:ascii="宋体"/>
          <w:szCs w:val="21"/>
        </w:rPr>
      </w:pPr>
      <w:bookmarkStart w:id="37" w:name="_Toc35393806"/>
      <w:bookmarkStart w:id="38" w:name="_Toc28359019"/>
      <w:bookmarkStart w:id="39" w:name="_Toc35393637"/>
      <w:bookmarkStart w:id="40" w:name="_Toc28359096"/>
      <w:r>
        <w:rPr>
          <w:rFonts w:hint="eastAsia" w:ascii="宋体"/>
          <w:szCs w:val="21"/>
        </w:rPr>
        <w:t>1.采购人信息</w:t>
      </w:r>
      <w:bookmarkEnd w:id="37"/>
      <w:bookmarkEnd w:id="38"/>
      <w:bookmarkEnd w:id="39"/>
      <w:bookmarkEnd w:id="40"/>
    </w:p>
    <w:p>
      <w:pPr>
        <w:spacing w:line="360" w:lineRule="auto"/>
        <w:ind w:firstLine="630" w:firstLineChars="300"/>
        <w:jc w:val="left"/>
        <w:rPr>
          <w:rFonts w:ascii="宋体"/>
          <w:szCs w:val="21"/>
        </w:rPr>
      </w:pPr>
      <w:r>
        <w:rPr>
          <w:rFonts w:hint="eastAsia" w:ascii="宋体"/>
          <w:szCs w:val="21"/>
        </w:rPr>
        <w:t>名    称：南宁师范大学</w:t>
      </w:r>
    </w:p>
    <w:p>
      <w:pPr>
        <w:spacing w:line="360" w:lineRule="auto"/>
        <w:ind w:firstLine="630" w:firstLineChars="300"/>
        <w:jc w:val="left"/>
        <w:rPr>
          <w:rFonts w:ascii="宋体"/>
          <w:szCs w:val="21"/>
        </w:rPr>
      </w:pPr>
      <w:r>
        <w:rPr>
          <w:rFonts w:hint="eastAsia" w:ascii="宋体"/>
          <w:szCs w:val="21"/>
        </w:rPr>
        <w:t>地    址：广西壮族自治区南宁市明秀东路175号</w:t>
      </w:r>
    </w:p>
    <w:p>
      <w:pPr>
        <w:spacing w:line="360" w:lineRule="auto"/>
        <w:ind w:firstLine="630" w:firstLineChars="300"/>
        <w:jc w:val="left"/>
        <w:rPr>
          <w:rFonts w:ascii="宋体"/>
          <w:szCs w:val="21"/>
        </w:rPr>
      </w:pPr>
      <w:r>
        <w:rPr>
          <w:rFonts w:hint="eastAsia" w:ascii="宋体"/>
          <w:szCs w:val="21"/>
        </w:rPr>
        <w:t>联系方式：0771-3908051　</w:t>
      </w:r>
    </w:p>
    <w:p>
      <w:pPr>
        <w:keepNext/>
        <w:keepLines/>
        <w:spacing w:before="260" w:after="260" w:line="360" w:lineRule="auto"/>
        <w:ind w:firstLine="630" w:firstLineChars="300"/>
        <w:jc w:val="left"/>
        <w:outlineLvl w:val="2"/>
        <w:rPr>
          <w:rFonts w:ascii="宋体"/>
          <w:szCs w:val="21"/>
        </w:rPr>
      </w:pPr>
      <w:bookmarkStart w:id="41" w:name="_Toc28359097"/>
      <w:bookmarkStart w:id="42" w:name="_Toc28359020"/>
      <w:bookmarkStart w:id="43" w:name="_Toc35393807"/>
      <w:bookmarkStart w:id="44" w:name="_Toc35393638"/>
      <w:r>
        <w:rPr>
          <w:rFonts w:hint="eastAsia" w:ascii="宋体"/>
          <w:szCs w:val="21"/>
        </w:rPr>
        <w:t>2.采购代理机构信息</w:t>
      </w:r>
      <w:bookmarkEnd w:id="41"/>
      <w:bookmarkEnd w:id="42"/>
      <w:bookmarkEnd w:id="43"/>
      <w:bookmarkEnd w:id="44"/>
    </w:p>
    <w:p>
      <w:pPr>
        <w:spacing w:line="360" w:lineRule="auto"/>
        <w:ind w:firstLine="630" w:firstLineChars="300"/>
        <w:jc w:val="left"/>
        <w:rPr>
          <w:rFonts w:ascii="宋体"/>
          <w:szCs w:val="21"/>
        </w:rPr>
      </w:pPr>
      <w:r>
        <w:rPr>
          <w:rFonts w:hint="eastAsia" w:ascii="宋体"/>
          <w:szCs w:val="21"/>
        </w:rPr>
        <w:t>名    称：广西北部湾宏亚建设管理有限公司</w:t>
      </w:r>
    </w:p>
    <w:p>
      <w:pPr>
        <w:spacing w:line="360" w:lineRule="auto"/>
        <w:ind w:firstLine="630" w:firstLineChars="300"/>
        <w:jc w:val="left"/>
        <w:rPr>
          <w:rFonts w:ascii="宋体"/>
          <w:szCs w:val="21"/>
        </w:rPr>
      </w:pPr>
      <w:r>
        <w:rPr>
          <w:rFonts w:hint="eastAsia" w:ascii="宋体"/>
          <w:szCs w:val="21"/>
        </w:rPr>
        <w:t>地　　址：南宁市高新区科园大道东四路7号远信光电产业大楼25层2517号</w:t>
      </w:r>
    </w:p>
    <w:p>
      <w:pPr>
        <w:spacing w:line="360" w:lineRule="auto"/>
        <w:ind w:firstLine="630" w:firstLineChars="300"/>
        <w:jc w:val="left"/>
        <w:rPr>
          <w:rFonts w:ascii="宋体"/>
          <w:szCs w:val="21"/>
        </w:rPr>
      </w:pPr>
      <w:r>
        <w:rPr>
          <w:rFonts w:hint="eastAsia" w:ascii="宋体"/>
          <w:szCs w:val="21"/>
        </w:rPr>
        <w:t>联系方式：</w:t>
      </w:r>
      <w:r>
        <w:rPr>
          <w:rFonts w:ascii="宋体"/>
          <w:szCs w:val="21"/>
        </w:rPr>
        <w:t>0771-5670712</w:t>
      </w:r>
    </w:p>
    <w:p>
      <w:pPr>
        <w:keepNext/>
        <w:keepLines/>
        <w:spacing w:before="260" w:after="260" w:line="360" w:lineRule="auto"/>
        <w:ind w:firstLine="630" w:firstLineChars="300"/>
        <w:jc w:val="left"/>
        <w:outlineLvl w:val="2"/>
        <w:rPr>
          <w:rFonts w:ascii="宋体"/>
          <w:szCs w:val="21"/>
        </w:rPr>
      </w:pPr>
      <w:bookmarkStart w:id="45" w:name="_Toc35393808"/>
      <w:bookmarkStart w:id="46" w:name="_Toc35393639"/>
      <w:bookmarkStart w:id="47" w:name="_Toc28359098"/>
      <w:bookmarkStart w:id="48" w:name="_Toc28359021"/>
      <w:r>
        <w:rPr>
          <w:rFonts w:hint="eastAsia" w:ascii="宋体"/>
          <w:szCs w:val="21"/>
        </w:rPr>
        <w:t>3.项目联系</w:t>
      </w:r>
      <w:r>
        <w:rPr>
          <w:rFonts w:ascii="宋体"/>
          <w:szCs w:val="21"/>
        </w:rPr>
        <w:t>方式</w:t>
      </w:r>
      <w:bookmarkEnd w:id="45"/>
      <w:bookmarkEnd w:id="46"/>
      <w:bookmarkEnd w:id="47"/>
      <w:bookmarkEnd w:id="48"/>
    </w:p>
    <w:p>
      <w:pPr>
        <w:spacing w:line="360" w:lineRule="auto"/>
        <w:ind w:firstLine="630" w:firstLineChars="300"/>
        <w:jc w:val="left"/>
        <w:rPr>
          <w:rFonts w:ascii="宋体"/>
          <w:szCs w:val="21"/>
        </w:rPr>
      </w:pPr>
      <w:r>
        <w:rPr>
          <w:rFonts w:hint="eastAsia" w:ascii="宋体"/>
          <w:szCs w:val="21"/>
        </w:rPr>
        <w:t>项目联系人：卢小玲</w:t>
      </w:r>
    </w:p>
    <w:p>
      <w:pPr>
        <w:spacing w:line="360" w:lineRule="auto"/>
        <w:ind w:firstLine="630" w:firstLineChars="300"/>
        <w:jc w:val="left"/>
        <w:rPr>
          <w:rFonts w:ascii="宋体"/>
          <w:szCs w:val="21"/>
        </w:rPr>
      </w:pPr>
      <w:r>
        <w:rPr>
          <w:rFonts w:hint="eastAsia" w:ascii="宋体"/>
          <w:szCs w:val="21"/>
        </w:rPr>
        <w:t>电　　 话：</w:t>
      </w:r>
      <w:r>
        <w:rPr>
          <w:rFonts w:ascii="宋体"/>
          <w:szCs w:val="21"/>
        </w:rPr>
        <w:t>077</w:t>
      </w:r>
      <w:r>
        <w:rPr>
          <w:rFonts w:hint="eastAsia" w:ascii="宋体"/>
          <w:szCs w:val="21"/>
        </w:rPr>
        <w:t>1</w:t>
      </w:r>
      <w:r>
        <w:rPr>
          <w:rFonts w:ascii="宋体"/>
          <w:szCs w:val="21"/>
        </w:rPr>
        <w:t>-</w:t>
      </w:r>
      <w:r>
        <w:rPr>
          <w:rFonts w:hint="eastAsia" w:ascii="宋体"/>
          <w:szCs w:val="21"/>
        </w:rPr>
        <w:t>5670712　　</w:t>
      </w:r>
    </w:p>
    <w:p>
      <w:pPr>
        <w:pStyle w:val="45"/>
        <w:ind w:firstLine="420"/>
      </w:pPr>
    </w:p>
    <w:p>
      <w:pPr>
        <w:snapToGrid w:val="0"/>
        <w:spacing w:line="360" w:lineRule="auto"/>
        <w:ind w:left="5040" w:leftChars="2100" w:hanging="630" w:hangingChars="300"/>
        <w:jc w:val="left"/>
        <w:rPr>
          <w:rFonts w:ascii="宋体" w:hAnsi="宋体"/>
        </w:rPr>
      </w:pPr>
      <w:r>
        <w:rPr>
          <w:rFonts w:hint="eastAsia" w:ascii="宋体" w:hAnsi="宋体" w:cs="Arial"/>
          <w:szCs w:val="21"/>
        </w:rPr>
        <w:t>广西北部湾宏亚建设管理有限公司</w:t>
      </w:r>
    </w:p>
    <w:p>
      <w:pPr>
        <w:snapToGrid w:val="0"/>
        <w:spacing w:line="360" w:lineRule="auto"/>
        <w:ind w:left="5040" w:leftChars="2350" w:hanging="105" w:hangingChars="50"/>
        <w:jc w:val="left"/>
        <w:rPr>
          <w:rFonts w:ascii="宋体" w:hAnsi="宋体"/>
        </w:rPr>
      </w:pPr>
      <w:r>
        <w:rPr>
          <w:rFonts w:hint="eastAsia" w:ascii="宋体" w:hAnsi="宋体"/>
        </w:rPr>
        <w:t>2021年</w:t>
      </w:r>
      <w:r>
        <w:rPr>
          <w:rFonts w:hint="eastAsia" w:ascii="宋体" w:hAnsi="宋体"/>
          <w:lang w:val="en-US" w:eastAsia="zh-CN"/>
        </w:rPr>
        <w:t>9</w:t>
      </w:r>
      <w:r>
        <w:rPr>
          <w:rFonts w:hint="eastAsia" w:ascii="宋体" w:hAnsi="宋体"/>
        </w:rPr>
        <w:t>月</w:t>
      </w:r>
      <w:r>
        <w:rPr>
          <w:rFonts w:hint="eastAsia" w:ascii="宋体" w:hAnsi="宋体"/>
          <w:lang w:val="en-US" w:eastAsia="zh-CN"/>
        </w:rPr>
        <w:t>29</w:t>
      </w:r>
      <w:r>
        <w:rPr>
          <w:rFonts w:hint="eastAsia" w:ascii="宋体" w:hAnsi="宋体"/>
        </w:rPr>
        <w:t>日</w:t>
      </w:r>
    </w:p>
    <w:p>
      <w:pPr>
        <w:jc w:val="left"/>
        <w:rPr>
          <w:rFonts w:ascii="宋体" w:hAnsi="宋体"/>
        </w:rPr>
      </w:pPr>
      <w:r>
        <w:rPr>
          <w:rFonts w:hint="eastAsia" w:ascii="宋体" w:hAnsi="宋体"/>
        </w:rPr>
        <w:br w:type="page"/>
      </w:r>
    </w:p>
    <w:p>
      <w:pPr>
        <w:snapToGrid w:val="0"/>
        <w:spacing w:line="360" w:lineRule="auto"/>
        <w:ind w:left="5040" w:leftChars="2100" w:hanging="630" w:hangingChars="300"/>
        <w:jc w:val="left"/>
        <w:rPr>
          <w:rFonts w:ascii="宋体" w:hAnsi="宋体"/>
        </w:rPr>
      </w:pPr>
    </w:p>
    <w:p>
      <w:pPr>
        <w:pStyle w:val="3"/>
      </w:pPr>
      <w:r>
        <w:rPr>
          <w:rFonts w:hint="eastAsia"/>
        </w:rPr>
        <w:t>第二章  谈判供应商须知及前附表</w:t>
      </w:r>
      <w:bookmarkEnd w:id="4"/>
      <w:bookmarkEnd w:id="5"/>
      <w:bookmarkEnd w:id="6"/>
    </w:p>
    <w:p>
      <w:pPr>
        <w:jc w:val="center"/>
        <w:rPr>
          <w:rFonts w:ascii="宋体" w:hAnsi="宋体" w:cs="宋体"/>
          <w:b/>
          <w:sz w:val="32"/>
        </w:rPr>
      </w:pPr>
      <w:r>
        <w:rPr>
          <w:rFonts w:hint="eastAsia" w:ascii="宋体" w:hAnsi="宋体" w:cs="宋体"/>
          <w:b/>
          <w:sz w:val="32"/>
        </w:rPr>
        <w:t>谈判供应商须知前附表</w:t>
      </w:r>
    </w:p>
    <w:tbl>
      <w:tblPr>
        <w:tblStyle w:val="31"/>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vAlign w:val="center"/>
          </w:tcPr>
          <w:p>
            <w:pPr>
              <w:spacing w:line="360" w:lineRule="exact"/>
              <w:jc w:val="center"/>
              <w:rPr>
                <w:rFonts w:ascii="宋体" w:hAnsi="宋体" w:cs="宋体"/>
                <w:b/>
                <w:szCs w:val="21"/>
              </w:rPr>
            </w:pPr>
            <w:r>
              <w:rPr>
                <w:rFonts w:hint="eastAsia" w:ascii="宋体" w:hAnsi="宋体" w:cs="宋体"/>
                <w:b/>
                <w:szCs w:val="21"/>
              </w:rPr>
              <w:t>序号</w:t>
            </w:r>
          </w:p>
        </w:tc>
        <w:tc>
          <w:tcPr>
            <w:tcW w:w="945" w:type="dxa"/>
            <w:vAlign w:val="center"/>
          </w:tcPr>
          <w:p>
            <w:pPr>
              <w:spacing w:line="360" w:lineRule="exact"/>
              <w:jc w:val="center"/>
              <w:rPr>
                <w:rFonts w:ascii="宋体" w:hAnsi="宋体" w:cs="宋体"/>
                <w:b/>
                <w:szCs w:val="21"/>
              </w:rPr>
            </w:pPr>
            <w:r>
              <w:rPr>
                <w:rFonts w:hint="eastAsia" w:ascii="宋体" w:hAnsi="宋体" w:cs="宋体"/>
                <w:b/>
                <w:szCs w:val="21"/>
              </w:rPr>
              <w:t>条款号</w:t>
            </w:r>
          </w:p>
        </w:tc>
        <w:tc>
          <w:tcPr>
            <w:tcW w:w="7862" w:type="dxa"/>
            <w:vAlign w:val="center"/>
          </w:tcPr>
          <w:p>
            <w:pPr>
              <w:spacing w:line="360" w:lineRule="exact"/>
              <w:jc w:val="center"/>
              <w:rPr>
                <w:rFonts w:ascii="宋体" w:hAnsi="宋体" w:cs="宋体"/>
                <w:b/>
                <w:szCs w:val="21"/>
              </w:rPr>
            </w:pPr>
            <w:r>
              <w:rPr>
                <w:rFonts w:hint="eastAsia" w:ascii="宋体" w:hAnsi="宋体" w:cs="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360" w:lineRule="exact"/>
              <w:rPr>
                <w:rFonts w:ascii="宋体" w:hAnsi="宋体" w:cs="宋体"/>
                <w:szCs w:val="21"/>
              </w:rPr>
            </w:pPr>
            <w:r>
              <w:rPr>
                <w:rFonts w:hint="eastAsia" w:ascii="宋体" w:hAnsi="宋体" w:cs="宋体"/>
                <w:b/>
                <w:szCs w:val="21"/>
              </w:rPr>
              <w:t>项目名称：</w:t>
            </w:r>
            <w:r>
              <w:rPr>
                <w:rFonts w:hint="eastAsia" w:ascii="宋体" w:hAnsi="宋体" w:cs="宋体"/>
                <w:szCs w:val="21"/>
              </w:rPr>
              <w:t>南宁师范大学学业测评与教学质量监测平台（阅卷系统）建设项目</w:t>
            </w:r>
          </w:p>
          <w:p>
            <w:pPr>
              <w:spacing w:line="360" w:lineRule="exact"/>
              <w:rPr>
                <w:rFonts w:ascii="宋体" w:hAnsi="宋体" w:cs="宋体"/>
                <w:szCs w:val="21"/>
              </w:rPr>
            </w:pPr>
            <w:r>
              <w:rPr>
                <w:rFonts w:hint="eastAsia" w:ascii="宋体" w:hAnsi="宋体" w:cs="宋体"/>
                <w:b/>
                <w:szCs w:val="21"/>
              </w:rPr>
              <w:t>项目编号：</w:t>
            </w:r>
            <w:r>
              <w:rPr>
                <w:rFonts w:hint="eastAsia" w:ascii="宋体" w:hAnsi="宋体" w:cs="宋体"/>
                <w:szCs w:val="21"/>
              </w:rPr>
              <w:t>GXZC2021-J1-002296-HYJS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2</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360" w:lineRule="exact"/>
              <w:rPr>
                <w:rFonts w:ascii="宋体" w:hAnsi="宋体" w:cs="宋体"/>
                <w:b/>
                <w:szCs w:val="21"/>
              </w:rPr>
            </w:pPr>
            <w:r>
              <w:rPr>
                <w:rFonts w:hint="eastAsia" w:ascii="宋体" w:hAnsi="宋体" w:cs="宋体"/>
                <w:b/>
                <w:szCs w:val="21"/>
              </w:rPr>
              <w:t>采购预算金额（人民币）：</w:t>
            </w:r>
            <w:r>
              <w:rPr>
                <w:rFonts w:hint="eastAsia" w:ascii="宋体" w:hAnsi="宋体" w:cs="宋体"/>
                <w:szCs w:val="21"/>
              </w:rPr>
              <w:t>72.1万元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945" w:type="dxa"/>
            <w:vAlign w:val="center"/>
          </w:tcPr>
          <w:p>
            <w:pPr>
              <w:spacing w:line="360" w:lineRule="exact"/>
              <w:jc w:val="center"/>
              <w:rPr>
                <w:rFonts w:ascii="宋体" w:hAnsi="宋体" w:cs="宋体"/>
                <w:szCs w:val="21"/>
              </w:rPr>
            </w:pPr>
            <w:r>
              <w:rPr>
                <w:rFonts w:hint="eastAsia" w:ascii="宋体" w:hAnsi="宋体" w:cs="宋体"/>
                <w:szCs w:val="21"/>
              </w:rPr>
              <w:t>3.1</w:t>
            </w:r>
          </w:p>
        </w:tc>
        <w:tc>
          <w:tcPr>
            <w:tcW w:w="7862" w:type="dxa"/>
            <w:vAlign w:val="center"/>
          </w:tcPr>
          <w:p>
            <w:pPr>
              <w:spacing w:line="360" w:lineRule="exact"/>
              <w:rPr>
                <w:rFonts w:ascii="宋体" w:hAnsi="宋体" w:cs="宋体"/>
                <w:b/>
                <w:szCs w:val="21"/>
              </w:rPr>
            </w:pPr>
            <w:r>
              <w:rPr>
                <w:rFonts w:hint="eastAsia" w:ascii="宋体" w:hAnsi="宋体" w:cs="宋体"/>
                <w:b/>
                <w:szCs w:val="21"/>
              </w:rPr>
              <w:t>申请人的资格要求：</w:t>
            </w:r>
          </w:p>
          <w:p>
            <w:pPr>
              <w:spacing w:line="360" w:lineRule="auto"/>
              <w:ind w:firstLine="420" w:firstLineChars="200"/>
              <w:rPr>
                <w:rFonts w:ascii="宋体"/>
                <w:szCs w:val="21"/>
              </w:rPr>
            </w:pPr>
            <w:r>
              <w:rPr>
                <w:rFonts w:hint="eastAsia" w:ascii="宋体"/>
                <w:szCs w:val="21"/>
              </w:rPr>
              <w:t>1.满足《中华人民共和国政府采购法》第二十二条规定；</w:t>
            </w:r>
          </w:p>
          <w:p>
            <w:pPr>
              <w:wordWrap w:val="0"/>
              <w:snapToGrid w:val="0"/>
              <w:spacing w:line="360" w:lineRule="auto"/>
              <w:ind w:firstLine="420" w:firstLineChars="200"/>
              <w:jc w:val="left"/>
              <w:rPr>
                <w:rFonts w:ascii="宋体"/>
                <w:szCs w:val="21"/>
              </w:rPr>
            </w:pPr>
            <w:r>
              <w:rPr>
                <w:rFonts w:hint="eastAsia" w:ascii="宋体"/>
                <w:szCs w:val="21"/>
              </w:rPr>
              <w:t>2.落实政府采购政策需满足的资格要求：无；</w:t>
            </w:r>
          </w:p>
          <w:p>
            <w:pPr>
              <w:wordWrap w:val="0"/>
              <w:snapToGrid w:val="0"/>
              <w:spacing w:line="360" w:lineRule="auto"/>
              <w:ind w:firstLine="420" w:firstLineChars="200"/>
              <w:jc w:val="left"/>
              <w:rPr>
                <w:rFonts w:ascii="宋体"/>
                <w:szCs w:val="21"/>
              </w:rPr>
            </w:pPr>
            <w:r>
              <w:rPr>
                <w:rFonts w:hint="eastAsia" w:ascii="宋体"/>
                <w:szCs w:val="21"/>
              </w:rPr>
              <w:t>3.本项目的特定资格要求：无；</w:t>
            </w:r>
          </w:p>
          <w:p>
            <w:pPr>
              <w:wordWrap w:val="0"/>
              <w:snapToGrid w:val="0"/>
              <w:spacing w:line="360" w:lineRule="auto"/>
              <w:ind w:firstLine="420" w:firstLineChars="200"/>
              <w:jc w:val="left"/>
              <w:rPr>
                <w:rFonts w:ascii="宋体"/>
                <w:szCs w:val="21"/>
              </w:rPr>
            </w:pPr>
            <w:r>
              <w:rPr>
                <w:rFonts w:hint="eastAsia" w:ascii="宋体"/>
                <w:szCs w:val="21"/>
              </w:rPr>
              <w:t>4.国内注册（指按国家工商行政管理有关规定要求注册的）从事或经营本次采购货物或服务，并在人员、设备、资金等方面具有相应的能力的供应商。</w:t>
            </w:r>
          </w:p>
          <w:p>
            <w:pPr>
              <w:wordWrap w:val="0"/>
              <w:snapToGrid w:val="0"/>
              <w:spacing w:line="360" w:lineRule="auto"/>
              <w:ind w:firstLine="420" w:firstLineChars="200"/>
              <w:jc w:val="left"/>
              <w:rPr>
                <w:rFonts w:ascii="宋体"/>
                <w:szCs w:val="21"/>
              </w:rPr>
            </w:pPr>
            <w:r>
              <w:rPr>
                <w:rFonts w:hint="eastAsia" w:ascii="宋体"/>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ascii="宋体" w:hAnsi="宋体" w:cs="宋体"/>
                <w:szCs w:val="21"/>
              </w:rPr>
            </w:pPr>
            <w:r>
              <w:rPr>
                <w:rFonts w:hint="eastAsia" w:ascii="宋体"/>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945" w:type="dxa"/>
            <w:vAlign w:val="center"/>
          </w:tcPr>
          <w:p>
            <w:pPr>
              <w:spacing w:line="360" w:lineRule="exact"/>
              <w:jc w:val="center"/>
              <w:rPr>
                <w:rFonts w:ascii="宋体" w:hAnsi="宋体" w:cs="宋体"/>
                <w:szCs w:val="21"/>
              </w:rPr>
            </w:pPr>
            <w:r>
              <w:rPr>
                <w:rFonts w:hint="eastAsia" w:ascii="宋体" w:hAnsi="宋体" w:cs="宋体"/>
                <w:szCs w:val="21"/>
              </w:rPr>
              <w:t>8.1</w:t>
            </w:r>
          </w:p>
        </w:tc>
        <w:tc>
          <w:tcPr>
            <w:tcW w:w="7862" w:type="dxa"/>
            <w:vAlign w:val="center"/>
          </w:tcPr>
          <w:p>
            <w:pPr>
              <w:pStyle w:val="16"/>
              <w:spacing w:line="360" w:lineRule="exact"/>
              <w:rPr>
                <w:rFonts w:hAnsi="宋体" w:cs="宋体"/>
                <w:szCs w:val="21"/>
              </w:rPr>
            </w:pPr>
            <w:r>
              <w:rPr>
                <w:rFonts w:hint="eastAsia" w:hAnsi="宋体" w:cs="宋体"/>
                <w:b/>
                <w:szCs w:val="21"/>
              </w:rPr>
              <w:t>谈判报价：</w:t>
            </w:r>
            <w:r>
              <w:rPr>
                <w:rFonts w:hint="eastAsia" w:hAnsi="宋体" w:cs="宋体"/>
                <w:szCs w:val="21"/>
              </w:rPr>
              <w:t>谈判供应商</w:t>
            </w:r>
            <w:r>
              <w:rPr>
                <w:rFonts w:hint="eastAsia" w:hAnsi="宋体" w:cs="宋体"/>
                <w:bCs/>
                <w:szCs w:val="21"/>
              </w:rPr>
              <w:t>须就《采购项目需求一览表》中全部的采购要求和服务内容作完整唯一报价。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945" w:type="dxa"/>
            <w:vAlign w:val="center"/>
          </w:tcPr>
          <w:p>
            <w:pPr>
              <w:spacing w:line="360" w:lineRule="exact"/>
              <w:jc w:val="center"/>
              <w:rPr>
                <w:rFonts w:ascii="宋体" w:hAnsi="宋体" w:cs="宋体"/>
                <w:szCs w:val="21"/>
              </w:rPr>
            </w:pPr>
            <w:r>
              <w:rPr>
                <w:rFonts w:hint="eastAsia" w:ascii="宋体" w:hAnsi="宋体" w:cs="宋体"/>
                <w:szCs w:val="21"/>
              </w:rPr>
              <w:t>9.1</w:t>
            </w:r>
          </w:p>
        </w:tc>
        <w:tc>
          <w:tcPr>
            <w:tcW w:w="7862" w:type="dxa"/>
            <w:vAlign w:val="center"/>
          </w:tcPr>
          <w:p>
            <w:pPr>
              <w:spacing w:line="360" w:lineRule="exact"/>
              <w:rPr>
                <w:rFonts w:ascii="宋体" w:hAnsi="宋体" w:cs="宋体"/>
                <w:szCs w:val="21"/>
              </w:rPr>
            </w:pPr>
            <w:r>
              <w:rPr>
                <w:rFonts w:hint="eastAsia" w:ascii="宋体" w:hAnsi="宋体" w:cs="宋体"/>
                <w:b/>
                <w:szCs w:val="21"/>
              </w:rPr>
              <w:t>竞争性谈判响应文件份数：</w:t>
            </w:r>
            <w:r>
              <w:rPr>
                <w:rFonts w:hint="eastAsia" w:ascii="宋体" w:hAnsi="宋体" w:cs="宋体"/>
                <w:szCs w:val="21"/>
              </w:rPr>
              <w:t>正本一份，副本三份，</w:t>
            </w:r>
            <w:r>
              <w:rPr>
                <w:rFonts w:hint="eastAsia" w:cs="宋体"/>
              </w:rPr>
              <w:t>电子版竞争性谈判响应文件一份。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6</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360" w:lineRule="exact"/>
              <w:rPr>
                <w:rFonts w:ascii="宋体" w:hAnsi="宋体" w:cs="宋体"/>
                <w:szCs w:val="21"/>
              </w:rPr>
            </w:pPr>
            <w:r>
              <w:rPr>
                <w:rFonts w:hint="eastAsia" w:ascii="宋体" w:hAnsi="宋体" w:cs="宋体"/>
                <w:b/>
                <w:szCs w:val="21"/>
              </w:rPr>
              <w:t>竞标有效期：</w:t>
            </w:r>
            <w:r>
              <w:rPr>
                <w:rFonts w:hint="eastAsia" w:ascii="宋体" w:hAnsi="宋体" w:cs="宋体"/>
                <w:szCs w:val="21"/>
              </w:rPr>
              <w:t>竞标截止之日起60天内。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7</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400" w:lineRule="exact"/>
              <w:rPr>
                <w:rFonts w:ascii="宋体" w:hAnsi="宋体" w:cs="宋体"/>
                <w:b/>
                <w:szCs w:val="21"/>
              </w:rPr>
            </w:pPr>
            <w:r>
              <w:rPr>
                <w:rFonts w:hint="eastAsia" w:ascii="宋体" w:hAnsi="宋体" w:cs="宋体"/>
                <w:b/>
                <w:szCs w:val="21"/>
              </w:rPr>
              <w:t>竞标保证金：</w:t>
            </w:r>
          </w:p>
          <w:p>
            <w:pPr>
              <w:spacing w:line="400" w:lineRule="exact"/>
              <w:ind w:left="315" w:hanging="315" w:hangingChars="150"/>
              <w:rPr>
                <w:rFonts w:ascii="宋体" w:hAnsi="宋体" w:cs="宋体"/>
                <w:szCs w:val="21"/>
              </w:rPr>
            </w:pPr>
            <w:r>
              <w:rPr>
                <w:rFonts w:hint="eastAsia" w:ascii="宋体" w:hAnsi="宋体" w:cs="宋体"/>
                <w:szCs w:val="21"/>
              </w:rPr>
              <w:t>1、</w:t>
            </w:r>
            <w:r>
              <w:rPr>
                <w:rFonts w:hint="eastAsia" w:ascii="宋体" w:hAnsi="宋体" w:cs="宋体"/>
                <w:spacing w:val="-4"/>
                <w:szCs w:val="21"/>
              </w:rPr>
              <w:t>竞标保证金应用人民币，80</w:t>
            </w:r>
            <w:r>
              <w:rPr>
                <w:rFonts w:hint="eastAsia" w:ascii="宋体" w:hAnsi="宋体" w:cs="宋体"/>
                <w:szCs w:val="21"/>
              </w:rPr>
              <w:t>00.00元；</w:t>
            </w:r>
            <w:r>
              <w:rPr>
                <w:rFonts w:hint="eastAsia" w:ascii="宋体" w:hAnsi="宋体" w:cs="宋体"/>
                <w:b/>
                <w:szCs w:val="21"/>
              </w:rPr>
              <w:t>竞标保证金必须足额缴纳。</w:t>
            </w:r>
          </w:p>
          <w:p>
            <w:pPr>
              <w:pStyle w:val="16"/>
              <w:spacing w:line="400" w:lineRule="exact"/>
              <w:rPr>
                <w:rFonts w:hAnsi="宋体" w:cs="宋体"/>
                <w:szCs w:val="21"/>
              </w:rPr>
            </w:pPr>
            <w:r>
              <w:rPr>
                <w:rFonts w:hint="eastAsia" w:hAnsi="宋体" w:cs="宋体"/>
                <w:szCs w:val="21"/>
              </w:rPr>
              <w:t>2、竞标保证金应在竞标有效期内保持有效。</w:t>
            </w:r>
          </w:p>
          <w:p>
            <w:pPr>
              <w:spacing w:line="400" w:lineRule="exact"/>
              <w:rPr>
                <w:rFonts w:ascii="宋体" w:hAnsi="宋体" w:cs="宋体"/>
                <w:szCs w:val="21"/>
              </w:rPr>
            </w:pPr>
            <w:r>
              <w:rPr>
                <w:rFonts w:hint="eastAsia" w:ascii="宋体" w:hAnsi="宋体" w:cs="宋体"/>
                <w:szCs w:val="21"/>
              </w:rPr>
              <w:t>3、谈判供应商须按规定提交竞标保证金。否则，其竞标无效。</w:t>
            </w:r>
          </w:p>
          <w:p>
            <w:pPr>
              <w:spacing w:line="400" w:lineRule="exact"/>
              <w:ind w:left="315" w:hanging="315" w:hangingChars="150"/>
              <w:rPr>
                <w:rFonts w:ascii="宋体" w:hAnsi="宋体" w:cs="宋体"/>
                <w:b/>
                <w:szCs w:val="21"/>
              </w:rPr>
            </w:pPr>
            <w:r>
              <w:rPr>
                <w:rFonts w:hint="eastAsia" w:ascii="宋体" w:hAnsi="宋体" w:cs="宋体"/>
                <w:szCs w:val="21"/>
              </w:rPr>
              <w:t>4、保证金缴纳形式：谈判供应商必须于截标时间截止前将竞标保证金通过单位银行账户以电汇、转账、汇票等非现金形式交至广西北部湾宏亚建设管理有限公司的银行账户并确保到账，否则，其竞标将被拒绝。开户名称：</w:t>
            </w:r>
            <w:r>
              <w:rPr>
                <w:rFonts w:hint="eastAsia" w:ascii="宋体"/>
                <w:szCs w:val="21"/>
              </w:rPr>
              <w:t>广西北部湾宏亚建设管理有限公司南宁分公司</w:t>
            </w:r>
            <w:r>
              <w:rPr>
                <w:rFonts w:hint="eastAsia" w:ascii="宋体" w:hAnsi="宋体" w:cs="宋体"/>
                <w:szCs w:val="21"/>
              </w:rPr>
              <w:t>，开户银行：</w:t>
            </w:r>
            <w:r>
              <w:rPr>
                <w:rFonts w:hint="eastAsia" w:ascii="宋体"/>
                <w:szCs w:val="21"/>
              </w:rPr>
              <w:t>广西北部湾银行南宁市秀灵支行</w:t>
            </w:r>
            <w:r>
              <w:rPr>
                <w:rFonts w:hint="eastAsia" w:ascii="宋体" w:hAnsi="宋体" w:cs="宋体"/>
                <w:szCs w:val="21"/>
              </w:rPr>
              <w:t>，银行账号：</w:t>
            </w:r>
            <w:r>
              <w:rPr>
                <w:rFonts w:hint="eastAsia" w:ascii="宋体"/>
                <w:szCs w:val="21"/>
              </w:rPr>
              <w:t>805011663788888</w:t>
            </w:r>
            <w:r>
              <w:rPr>
                <w:rFonts w:hint="eastAsia" w:ascii="宋体" w:hAnsi="宋体" w:cs="宋体"/>
                <w:szCs w:val="21"/>
              </w:rPr>
              <w:t>。</w:t>
            </w:r>
            <w:r>
              <w:rPr>
                <w:rFonts w:hint="eastAsia" w:ascii="宋体" w:hAnsi="宋体" w:cs="宋体"/>
                <w:b/>
                <w:szCs w:val="21"/>
              </w:rPr>
              <w:t>办理竞标保证金手续时，请务必在银行进账单或电汇单的附言或用途栏上注明项目编号、分标号（如有）及“竞标保证金”字样等信息，以免耽误竞标及退款。</w:t>
            </w:r>
          </w:p>
          <w:p>
            <w:pPr>
              <w:spacing w:line="400" w:lineRule="exact"/>
              <w:ind w:left="315" w:hanging="315" w:hangingChars="150"/>
              <w:rPr>
                <w:rFonts w:ascii="宋体" w:hAnsi="宋体" w:cs="宋体"/>
                <w:szCs w:val="21"/>
              </w:rPr>
            </w:pPr>
            <w:r>
              <w:rPr>
                <w:rFonts w:hint="eastAsia" w:ascii="宋体" w:hAnsi="宋体" w:cs="宋体"/>
                <w:szCs w:val="21"/>
              </w:rPr>
              <w:t>5、未成交供应商的竞标保证金在成交通知书发出后5个工作日内退还，成交供应商的竞标保证金在采购合同签订后五个工作日内退还，竞标保证金不计息。</w:t>
            </w:r>
          </w:p>
          <w:p>
            <w:pPr>
              <w:spacing w:line="400" w:lineRule="exact"/>
              <w:ind w:left="315" w:hanging="315" w:hangingChars="150"/>
              <w:rPr>
                <w:rFonts w:ascii="宋体" w:hAnsi="宋体" w:cs="宋体"/>
                <w:szCs w:val="21"/>
              </w:rPr>
            </w:pPr>
            <w:r>
              <w:rPr>
                <w:rFonts w:hint="eastAsia" w:ascii="宋体" w:hAnsi="宋体" w:cs="宋体"/>
                <w:szCs w:val="21"/>
              </w:rPr>
              <w:t>6、谈判供应商有下列情形之一的，竞标保证金将不予退还：</w:t>
            </w:r>
          </w:p>
          <w:p>
            <w:pPr>
              <w:spacing w:line="400" w:lineRule="exact"/>
              <w:ind w:left="315" w:hanging="315" w:hangingChars="150"/>
              <w:rPr>
                <w:rFonts w:ascii="宋体" w:hAnsi="宋体" w:cs="宋体"/>
                <w:szCs w:val="21"/>
              </w:rPr>
            </w:pPr>
            <w:r>
              <w:rPr>
                <w:rFonts w:hint="eastAsia" w:ascii="宋体" w:hAnsi="宋体" w:cs="宋体"/>
                <w:szCs w:val="21"/>
              </w:rPr>
              <w:t>（1）谈判供应商在提交响应文件截止时间后撤回响应文件的。</w:t>
            </w:r>
          </w:p>
          <w:p>
            <w:pPr>
              <w:spacing w:line="400" w:lineRule="exact"/>
              <w:ind w:left="315" w:hanging="315" w:hangingChars="150"/>
              <w:rPr>
                <w:rFonts w:ascii="宋体" w:hAnsi="宋体" w:cs="宋体"/>
                <w:szCs w:val="21"/>
              </w:rPr>
            </w:pPr>
            <w:r>
              <w:rPr>
                <w:rFonts w:hint="eastAsia" w:ascii="宋体" w:hAnsi="宋体" w:cs="宋体"/>
                <w:szCs w:val="21"/>
              </w:rPr>
              <w:t>（2）谈判供应商在响应文件中提供虚假材料的。</w:t>
            </w:r>
          </w:p>
          <w:p>
            <w:pPr>
              <w:spacing w:line="400" w:lineRule="exact"/>
              <w:ind w:left="525" w:hanging="525" w:hangingChars="250"/>
              <w:rPr>
                <w:rFonts w:ascii="宋体" w:hAnsi="宋体" w:cs="宋体"/>
                <w:szCs w:val="21"/>
              </w:rPr>
            </w:pPr>
            <w:r>
              <w:rPr>
                <w:rFonts w:hint="eastAsia" w:ascii="宋体" w:hAnsi="宋体" w:cs="宋体"/>
                <w:szCs w:val="21"/>
              </w:rPr>
              <w:t>（3）除因不可抗力或谈判文件认可的情形以外，成交供应商不与采购人签订合同的。</w:t>
            </w:r>
          </w:p>
          <w:p>
            <w:pPr>
              <w:spacing w:line="400" w:lineRule="exact"/>
              <w:ind w:left="315" w:hanging="315" w:hangingChars="150"/>
              <w:rPr>
                <w:rFonts w:ascii="宋体" w:hAnsi="宋体" w:cs="宋体"/>
                <w:szCs w:val="21"/>
              </w:rPr>
            </w:pPr>
            <w:r>
              <w:rPr>
                <w:rFonts w:hint="eastAsia" w:ascii="宋体" w:hAnsi="宋体" w:cs="宋体"/>
                <w:szCs w:val="21"/>
              </w:rPr>
              <w:t>（4）谈判供应商与采购人、其他供应商或者采购代理机构恶意串通的。</w:t>
            </w:r>
          </w:p>
          <w:p>
            <w:pPr>
              <w:spacing w:line="400" w:lineRule="exact"/>
              <w:rPr>
                <w:rFonts w:ascii="宋体" w:hAnsi="宋体" w:cs="宋体"/>
                <w:szCs w:val="21"/>
              </w:rPr>
            </w:pPr>
            <w:r>
              <w:rPr>
                <w:rFonts w:hint="eastAsia" w:ascii="宋体" w:hAnsi="宋体" w:cs="宋体"/>
                <w:szCs w:val="21"/>
              </w:rPr>
              <w:t>（5）其他严重扰乱政府采购程序的。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8</w:t>
            </w:r>
          </w:p>
        </w:tc>
        <w:tc>
          <w:tcPr>
            <w:tcW w:w="945" w:type="dxa"/>
            <w:vAlign w:val="center"/>
          </w:tcPr>
          <w:p>
            <w:pPr>
              <w:spacing w:line="360" w:lineRule="exact"/>
              <w:jc w:val="center"/>
              <w:rPr>
                <w:rFonts w:ascii="宋体" w:hAnsi="宋体" w:cs="宋体"/>
                <w:szCs w:val="21"/>
              </w:rPr>
            </w:pPr>
          </w:p>
        </w:tc>
        <w:tc>
          <w:tcPr>
            <w:tcW w:w="7862" w:type="dxa"/>
            <w:vAlign w:val="center"/>
          </w:tcPr>
          <w:p>
            <w:pPr>
              <w:pStyle w:val="16"/>
              <w:spacing w:line="360" w:lineRule="exact"/>
              <w:rPr>
                <w:rFonts w:hAnsi="宋体" w:cs="宋体"/>
                <w:szCs w:val="21"/>
              </w:rPr>
            </w:pPr>
            <w:r>
              <w:rPr>
                <w:rFonts w:hint="eastAsia" w:hAnsi="宋体" w:cs="宋体"/>
                <w:b/>
                <w:szCs w:val="21"/>
              </w:rPr>
              <w:t>竞争性谈判响应文件递交截止时间：</w:t>
            </w:r>
            <w:r>
              <w:rPr>
                <w:rFonts w:hint="eastAsia" w:ascii="宋体"/>
                <w:szCs w:val="21"/>
                <w:u w:val="single"/>
              </w:rPr>
              <w:t>2021年</w:t>
            </w:r>
            <w:r>
              <w:rPr>
                <w:rFonts w:hint="eastAsia" w:ascii="宋体"/>
                <w:szCs w:val="21"/>
                <w:u w:val="single"/>
                <w:lang w:val="en-US" w:eastAsia="zh-CN"/>
              </w:rPr>
              <w:t>10</w:t>
            </w:r>
            <w:r>
              <w:rPr>
                <w:rFonts w:hint="eastAsia" w:ascii="宋体"/>
                <w:szCs w:val="21"/>
                <w:u w:val="single"/>
              </w:rPr>
              <w:t>月</w:t>
            </w:r>
            <w:r>
              <w:rPr>
                <w:rFonts w:hint="eastAsia" w:ascii="宋体"/>
                <w:szCs w:val="21"/>
                <w:u w:val="single"/>
                <w:lang w:val="en-US" w:eastAsia="zh-CN"/>
              </w:rPr>
              <w:t>11</w:t>
            </w:r>
            <w:r>
              <w:rPr>
                <w:rFonts w:hint="eastAsia" w:ascii="宋体"/>
                <w:szCs w:val="21"/>
                <w:u w:val="single"/>
              </w:rPr>
              <w:t xml:space="preserve"> 日</w:t>
            </w:r>
            <w:r>
              <w:rPr>
                <w:rFonts w:hint="eastAsia" w:ascii="宋体"/>
                <w:szCs w:val="21"/>
                <w:u w:val="single"/>
                <w:lang w:val="en-US" w:eastAsia="zh-CN"/>
              </w:rPr>
              <w:t>09</w:t>
            </w:r>
            <w:r>
              <w:rPr>
                <w:rFonts w:hint="eastAsia" w:ascii="宋体"/>
                <w:szCs w:val="21"/>
                <w:u w:val="single"/>
              </w:rPr>
              <w:t xml:space="preserve"> 点</w:t>
            </w:r>
            <w:r>
              <w:rPr>
                <w:rFonts w:hint="eastAsia" w:ascii="宋体"/>
                <w:szCs w:val="21"/>
                <w:u w:val="single"/>
                <w:lang w:val="en-US" w:eastAsia="zh-CN"/>
              </w:rPr>
              <w:t>30</w:t>
            </w:r>
            <w:r>
              <w:rPr>
                <w:rFonts w:hint="eastAsia" w:ascii="宋体"/>
                <w:szCs w:val="21"/>
                <w:u w:val="single"/>
              </w:rPr>
              <w:t>分</w:t>
            </w:r>
            <w:r>
              <w:rPr>
                <w:rFonts w:hint="eastAsia" w:hAnsi="宋体" w:cs="宋体"/>
                <w:szCs w:val="21"/>
              </w:rPr>
              <w:t>（此为竞标截止时间）。</w:t>
            </w:r>
          </w:p>
          <w:p>
            <w:pPr>
              <w:pStyle w:val="16"/>
              <w:spacing w:line="360" w:lineRule="exact"/>
              <w:rPr>
                <w:rFonts w:hAnsi="宋体" w:cs="宋体"/>
                <w:szCs w:val="21"/>
              </w:rPr>
            </w:pPr>
            <w:r>
              <w:rPr>
                <w:rFonts w:hint="eastAsia" w:hAnsi="宋体" w:cs="宋体"/>
                <w:b/>
                <w:szCs w:val="21"/>
              </w:rPr>
              <w:t>地址：</w:t>
            </w:r>
            <w:r>
              <w:rPr>
                <w:rFonts w:hint="eastAsia" w:hAnsi="宋体" w:cs="宋体"/>
                <w:szCs w:val="21"/>
              </w:rPr>
              <w:t>广西北部湾宏亚建设管理有限公司开标厅（南宁市高新区科园大道东四路7号远信光电产业大楼25层2516号）。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9</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360" w:lineRule="exact"/>
              <w:rPr>
                <w:rFonts w:ascii="宋体" w:hAnsi="宋体" w:cs="宋体"/>
                <w:szCs w:val="21"/>
              </w:rPr>
            </w:pPr>
            <w:r>
              <w:rPr>
                <w:rFonts w:hint="eastAsia" w:ascii="宋体" w:hAnsi="宋体" w:cs="宋体"/>
                <w:b/>
                <w:szCs w:val="21"/>
              </w:rPr>
              <w:t>谈判时间：</w:t>
            </w:r>
            <w:r>
              <w:rPr>
                <w:rFonts w:hint="eastAsia" w:ascii="宋体"/>
                <w:szCs w:val="21"/>
                <w:u w:val="single"/>
              </w:rPr>
              <w:t>2021年</w:t>
            </w:r>
            <w:r>
              <w:rPr>
                <w:rFonts w:hint="eastAsia" w:ascii="宋体"/>
                <w:szCs w:val="21"/>
                <w:u w:val="single"/>
                <w:lang w:val="en-US" w:eastAsia="zh-CN"/>
              </w:rPr>
              <w:t>10</w:t>
            </w:r>
            <w:r>
              <w:rPr>
                <w:rFonts w:hint="eastAsia" w:ascii="宋体"/>
                <w:szCs w:val="21"/>
                <w:u w:val="single"/>
              </w:rPr>
              <w:t>月</w:t>
            </w:r>
            <w:r>
              <w:rPr>
                <w:rFonts w:hint="eastAsia" w:ascii="宋体"/>
                <w:szCs w:val="21"/>
                <w:u w:val="single"/>
                <w:lang w:val="en-US" w:eastAsia="zh-CN"/>
              </w:rPr>
              <w:t>11</w:t>
            </w:r>
            <w:r>
              <w:rPr>
                <w:rFonts w:hint="eastAsia" w:ascii="宋体"/>
                <w:szCs w:val="21"/>
                <w:u w:val="single"/>
              </w:rPr>
              <w:t xml:space="preserve"> 日</w:t>
            </w:r>
            <w:r>
              <w:rPr>
                <w:rFonts w:hint="eastAsia" w:ascii="宋体"/>
                <w:szCs w:val="21"/>
                <w:u w:val="single"/>
                <w:lang w:val="en-US" w:eastAsia="zh-CN"/>
              </w:rPr>
              <w:t>09</w:t>
            </w:r>
            <w:r>
              <w:rPr>
                <w:rFonts w:hint="eastAsia" w:ascii="宋体"/>
                <w:szCs w:val="21"/>
                <w:u w:val="single"/>
              </w:rPr>
              <w:t xml:space="preserve"> 点</w:t>
            </w:r>
            <w:r>
              <w:rPr>
                <w:rFonts w:hint="eastAsia" w:ascii="宋体"/>
                <w:szCs w:val="21"/>
                <w:u w:val="single"/>
                <w:lang w:val="en-US" w:eastAsia="zh-CN"/>
              </w:rPr>
              <w:t>30</w:t>
            </w:r>
            <w:r>
              <w:rPr>
                <w:rFonts w:hint="eastAsia" w:ascii="宋体"/>
                <w:szCs w:val="21"/>
                <w:u w:val="single"/>
              </w:rPr>
              <w:t>分</w:t>
            </w:r>
            <w:bookmarkStart w:id="101" w:name="_GoBack"/>
            <w:bookmarkEnd w:id="101"/>
            <w:r>
              <w:rPr>
                <w:rFonts w:hint="eastAsia" w:ascii="宋体" w:hAnsi="宋体" w:cs="宋体"/>
                <w:szCs w:val="21"/>
              </w:rPr>
              <w:t>截标后（具体时间由采购代理机构另行通知）。</w:t>
            </w:r>
          </w:p>
          <w:p>
            <w:pPr>
              <w:pStyle w:val="16"/>
              <w:spacing w:line="360" w:lineRule="exact"/>
              <w:rPr>
                <w:rFonts w:hAnsi="宋体" w:cs="宋体"/>
                <w:szCs w:val="21"/>
              </w:rPr>
            </w:pPr>
            <w:r>
              <w:rPr>
                <w:rFonts w:hint="eastAsia" w:hAnsi="宋体" w:cs="宋体"/>
                <w:b/>
                <w:szCs w:val="21"/>
              </w:rPr>
              <w:t>谈判地点：</w:t>
            </w:r>
            <w:r>
              <w:rPr>
                <w:rFonts w:hint="eastAsia" w:hAnsi="宋体" w:cs="宋体"/>
                <w:szCs w:val="21"/>
              </w:rPr>
              <w:t>广西北部湾宏亚建设管理有限公司评标室。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10</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360" w:lineRule="exact"/>
              <w:rPr>
                <w:rFonts w:ascii="宋体" w:hAnsi="宋体" w:cs="宋体"/>
                <w:szCs w:val="21"/>
              </w:rPr>
            </w:pPr>
            <w:r>
              <w:rPr>
                <w:rFonts w:hint="eastAsia" w:ascii="宋体" w:hAnsi="宋体" w:cs="宋体"/>
                <w:b/>
                <w:szCs w:val="21"/>
              </w:rPr>
              <w:t>代理服务费：</w:t>
            </w:r>
            <w:r>
              <w:rPr>
                <w:rFonts w:hint="eastAsia" w:ascii="宋体" w:hAnsi="宋体" w:cs="宋体"/>
                <w:szCs w:val="21"/>
              </w:rPr>
              <w:t>本项目的代理服务费详见《谈判供应商须知》第九条“特别说明”中代理服务费的相关规定。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6" w:type="dxa"/>
            <w:vAlign w:val="center"/>
          </w:tcPr>
          <w:p>
            <w:pPr>
              <w:spacing w:line="360" w:lineRule="exact"/>
              <w:jc w:val="center"/>
              <w:rPr>
                <w:rFonts w:ascii="宋体" w:hAnsi="宋体" w:cs="宋体"/>
                <w:szCs w:val="21"/>
              </w:rPr>
            </w:pPr>
            <w:r>
              <w:rPr>
                <w:rFonts w:hint="eastAsia" w:ascii="宋体" w:hAnsi="宋体" w:cs="宋体"/>
                <w:szCs w:val="21"/>
              </w:rPr>
              <w:t>11</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360" w:lineRule="exact"/>
              <w:rPr>
                <w:rFonts w:ascii="宋体" w:hAnsi="宋体" w:cs="宋体"/>
                <w:szCs w:val="21"/>
              </w:rPr>
            </w:pPr>
            <w:r>
              <w:rPr>
                <w:rFonts w:hint="eastAsia" w:ascii="宋体" w:hAnsi="宋体" w:cs="宋体"/>
                <w:b/>
                <w:szCs w:val="21"/>
              </w:rPr>
              <w:t>现场考察：无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6" w:type="dxa"/>
            <w:vAlign w:val="center"/>
          </w:tcPr>
          <w:p>
            <w:pPr>
              <w:spacing w:line="360" w:lineRule="exact"/>
              <w:jc w:val="center"/>
              <w:rPr>
                <w:rFonts w:ascii="宋体" w:hAnsi="宋体" w:cs="宋体"/>
                <w:szCs w:val="21"/>
              </w:rPr>
            </w:pPr>
            <w:r>
              <w:rPr>
                <w:rFonts w:ascii="宋体" w:hAnsi="宋体" w:cs="宋体"/>
                <w:szCs w:val="21"/>
              </w:rPr>
              <w:t>12</w:t>
            </w:r>
          </w:p>
        </w:tc>
        <w:tc>
          <w:tcPr>
            <w:tcW w:w="945" w:type="dxa"/>
            <w:vAlign w:val="center"/>
          </w:tcPr>
          <w:p>
            <w:pPr>
              <w:spacing w:line="360" w:lineRule="exact"/>
              <w:jc w:val="center"/>
              <w:rPr>
                <w:rFonts w:ascii="宋体" w:hAnsi="宋体" w:cs="宋体"/>
                <w:szCs w:val="21"/>
              </w:rPr>
            </w:pPr>
          </w:p>
        </w:tc>
        <w:tc>
          <w:tcPr>
            <w:tcW w:w="7862" w:type="dxa"/>
            <w:vAlign w:val="center"/>
          </w:tcPr>
          <w:p>
            <w:pPr>
              <w:spacing w:line="360" w:lineRule="exact"/>
              <w:rPr>
                <w:rFonts w:ascii="宋体" w:hAnsi="宋体" w:cs="宋体"/>
                <w:b/>
                <w:szCs w:val="21"/>
              </w:rPr>
            </w:pPr>
            <w:r>
              <w:rPr>
                <w:rFonts w:hint="eastAsia" w:ascii="宋体" w:hAnsi="宋体" w:cs="宋体"/>
                <w:b/>
                <w:szCs w:val="21"/>
              </w:rPr>
              <w:t>评分标准：</w:t>
            </w:r>
            <w:r>
              <w:rPr>
                <w:rFonts w:hint="eastAsia" w:ascii="宋体" w:hAnsi="宋体" w:cs="宋体"/>
                <w:szCs w:val="21"/>
              </w:rPr>
              <w:t>详见第六章评审方法</w:t>
            </w:r>
          </w:p>
        </w:tc>
      </w:tr>
    </w:tbl>
    <w:p>
      <w:pPr>
        <w:jc w:val="center"/>
        <w:rPr>
          <w:rFonts w:ascii="宋体" w:hAnsi="宋体" w:cs="宋体"/>
          <w:b/>
          <w:sz w:val="32"/>
        </w:rPr>
      </w:pPr>
    </w:p>
    <w:p>
      <w:pPr>
        <w:pStyle w:val="16"/>
        <w:spacing w:line="240" w:lineRule="exact"/>
        <w:rPr>
          <w:rFonts w:hAnsi="宋体" w:cs="宋体"/>
        </w:rPr>
      </w:pPr>
    </w:p>
    <w:p>
      <w:pPr>
        <w:spacing w:line="400" w:lineRule="exact"/>
        <w:jc w:val="center"/>
        <w:rPr>
          <w:rFonts w:ascii="宋体" w:hAnsi="宋体" w:cs="宋体"/>
          <w:b/>
          <w:sz w:val="32"/>
        </w:rPr>
      </w:pPr>
      <w:r>
        <w:rPr>
          <w:rFonts w:hint="eastAsia" w:ascii="宋体" w:hAnsi="宋体" w:cs="宋体"/>
          <w:b/>
          <w:sz w:val="32"/>
        </w:rPr>
        <w:br w:type="page"/>
      </w:r>
      <w:r>
        <w:rPr>
          <w:rFonts w:hint="eastAsia" w:ascii="宋体" w:hAnsi="宋体" w:cs="宋体"/>
          <w:b/>
          <w:sz w:val="32"/>
        </w:rPr>
        <w:t>谈判供应商须知</w:t>
      </w:r>
    </w:p>
    <w:p>
      <w:pPr>
        <w:spacing w:line="400" w:lineRule="exact"/>
        <w:rPr>
          <w:rFonts w:ascii="宋体" w:hAnsi="宋体" w:cs="宋体"/>
          <w:szCs w:val="21"/>
        </w:rPr>
      </w:pPr>
    </w:p>
    <w:p>
      <w:pPr>
        <w:spacing w:line="400" w:lineRule="exact"/>
        <w:ind w:firstLine="420" w:firstLineChars="200"/>
        <w:rPr>
          <w:rFonts w:ascii="宋体" w:hAnsi="宋体" w:cs="宋体"/>
          <w:b/>
          <w:szCs w:val="21"/>
        </w:rPr>
      </w:pPr>
      <w:r>
        <w:rPr>
          <w:rFonts w:hint="eastAsia" w:ascii="宋体" w:hAnsi="宋体" w:cs="宋体"/>
          <w:b/>
          <w:szCs w:val="21"/>
        </w:rPr>
        <w:t>一、总　则</w:t>
      </w:r>
    </w:p>
    <w:p>
      <w:pPr>
        <w:spacing w:line="400" w:lineRule="exact"/>
        <w:ind w:firstLine="420" w:firstLineChars="200"/>
        <w:rPr>
          <w:rFonts w:ascii="宋体" w:hAnsi="宋体" w:cs="宋体"/>
          <w:szCs w:val="21"/>
        </w:rPr>
      </w:pPr>
      <w:r>
        <w:rPr>
          <w:rFonts w:hint="eastAsia" w:ascii="宋体" w:hAnsi="宋体" w:cs="宋体"/>
          <w:szCs w:val="21"/>
        </w:rPr>
        <w:t>1. 适用范围</w:t>
      </w:r>
    </w:p>
    <w:p>
      <w:pPr>
        <w:spacing w:line="400" w:lineRule="exact"/>
        <w:ind w:firstLine="420" w:firstLineChars="200"/>
        <w:rPr>
          <w:rFonts w:ascii="宋体" w:hAnsi="宋体" w:cs="宋体"/>
          <w:szCs w:val="21"/>
        </w:rPr>
      </w:pPr>
      <w:r>
        <w:rPr>
          <w:rFonts w:hint="eastAsia" w:ascii="宋体" w:hAnsi="宋体" w:cs="宋体"/>
          <w:szCs w:val="21"/>
        </w:rPr>
        <w:t>1.1 本文件仅适用于本文件中所叙述的货物、服务类政府采购项目。</w:t>
      </w:r>
    </w:p>
    <w:p>
      <w:pPr>
        <w:spacing w:line="400" w:lineRule="exact"/>
        <w:ind w:firstLine="420" w:firstLineChars="200"/>
        <w:rPr>
          <w:rFonts w:ascii="宋体" w:hAnsi="宋体" w:cs="宋体"/>
          <w:szCs w:val="21"/>
        </w:rPr>
      </w:pPr>
      <w:r>
        <w:rPr>
          <w:rFonts w:hint="eastAsia" w:ascii="宋体" w:hAnsi="宋体" w:cs="宋体"/>
          <w:szCs w:val="21"/>
        </w:rPr>
        <w:t>2. 定义</w:t>
      </w:r>
    </w:p>
    <w:p>
      <w:pPr>
        <w:spacing w:line="400" w:lineRule="exact"/>
        <w:ind w:firstLine="420" w:firstLineChars="200"/>
        <w:rPr>
          <w:rFonts w:ascii="宋体" w:hAnsi="宋体" w:cs="宋体"/>
          <w:szCs w:val="21"/>
        </w:rPr>
      </w:pPr>
      <w:r>
        <w:rPr>
          <w:rFonts w:hint="eastAsia" w:ascii="宋体" w:hAnsi="宋体" w:cs="宋体"/>
          <w:szCs w:val="21"/>
        </w:rPr>
        <w:t>2.1“采购人”是指：南宁师范大学。</w:t>
      </w:r>
    </w:p>
    <w:p>
      <w:pPr>
        <w:spacing w:line="400" w:lineRule="exact"/>
        <w:ind w:firstLine="420" w:firstLineChars="200"/>
        <w:rPr>
          <w:rFonts w:ascii="宋体" w:hAnsi="宋体" w:cs="宋体"/>
          <w:szCs w:val="21"/>
        </w:rPr>
      </w:pPr>
      <w:r>
        <w:rPr>
          <w:rFonts w:hint="eastAsia" w:ascii="宋体" w:hAnsi="宋体" w:cs="宋体"/>
          <w:szCs w:val="21"/>
        </w:rPr>
        <w:t>2.2“采购代理机构”是指：广西北部湾宏亚建设管理有限公司。</w:t>
      </w:r>
    </w:p>
    <w:p>
      <w:pPr>
        <w:spacing w:line="400" w:lineRule="exact"/>
        <w:ind w:firstLine="420" w:firstLineChars="200"/>
        <w:rPr>
          <w:rFonts w:ascii="宋体" w:hAnsi="宋体" w:cs="宋体"/>
          <w:szCs w:val="21"/>
        </w:rPr>
      </w:pPr>
      <w:r>
        <w:rPr>
          <w:rFonts w:hint="eastAsia" w:ascii="宋体" w:hAnsi="宋体" w:cs="宋体"/>
          <w:szCs w:val="21"/>
        </w:rPr>
        <w:t>2.3“谈判供应商”是指响应本文件要求，参加谈判的法人或者其他组织。如果该供应商在本次谈判中成交，即成为“成交供应商”。</w:t>
      </w:r>
    </w:p>
    <w:p>
      <w:pPr>
        <w:spacing w:line="400" w:lineRule="exact"/>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pPr>
        <w:spacing w:line="400" w:lineRule="exact"/>
        <w:ind w:firstLine="420" w:firstLineChars="200"/>
        <w:rPr>
          <w:rFonts w:ascii="宋体" w:hAnsi="宋体" w:cs="宋体"/>
          <w:szCs w:val="21"/>
        </w:rPr>
      </w:pPr>
      <w:r>
        <w:rPr>
          <w:rFonts w:hint="eastAsia" w:ascii="宋体" w:hAnsi="宋体" w:cs="宋体"/>
          <w:szCs w:val="21"/>
        </w:rPr>
        <w:t>2.5“工程”按照招标竞标法及其实施条例必须进行招标的工程建设项目以外的工程建设项目。</w:t>
      </w:r>
    </w:p>
    <w:p>
      <w:pPr>
        <w:spacing w:line="400" w:lineRule="exact"/>
        <w:ind w:firstLine="420" w:firstLineChars="200"/>
        <w:rPr>
          <w:rFonts w:ascii="宋体" w:hAnsi="宋体" w:cs="宋体"/>
          <w:szCs w:val="21"/>
        </w:rPr>
      </w:pPr>
      <w:r>
        <w:rPr>
          <w:rFonts w:hint="eastAsia" w:ascii="宋体" w:hAnsi="宋体" w:cs="宋体"/>
          <w:szCs w:val="21"/>
        </w:rPr>
        <w:t>2.6“服务”是指除货物和工程以外的其他政府采购对象。</w:t>
      </w:r>
    </w:p>
    <w:p>
      <w:pPr>
        <w:spacing w:line="400" w:lineRule="exact"/>
        <w:ind w:firstLine="420" w:firstLineChars="200"/>
        <w:rPr>
          <w:rFonts w:ascii="宋体" w:hAnsi="宋体" w:cs="宋体"/>
          <w:szCs w:val="21"/>
        </w:rPr>
      </w:pPr>
      <w:r>
        <w:rPr>
          <w:rFonts w:hint="eastAsia" w:ascii="宋体" w:hAnsi="宋体" w:cs="宋体"/>
          <w:szCs w:val="21"/>
        </w:rPr>
        <w:t>2.7“竞争性谈判响应文件” 简称“响应文件”，是指：供应商根据本文件要求，编制包含报价、技术和服务等所有内容的文件。</w:t>
      </w:r>
    </w:p>
    <w:p>
      <w:pPr>
        <w:spacing w:line="400" w:lineRule="exact"/>
        <w:ind w:firstLine="420" w:firstLineChars="200"/>
        <w:rPr>
          <w:rFonts w:ascii="宋体" w:hAnsi="宋体" w:cs="宋体"/>
          <w:szCs w:val="21"/>
        </w:rPr>
      </w:pPr>
      <w:r>
        <w:rPr>
          <w:rFonts w:hint="eastAsia" w:ascii="宋体" w:hAnsi="宋体" w:cs="宋体"/>
          <w:szCs w:val="21"/>
        </w:rPr>
        <w:t>2.8“竞争性谈判采购文件”简称“采购文件”。</w:t>
      </w:r>
    </w:p>
    <w:p>
      <w:pPr>
        <w:spacing w:line="400" w:lineRule="exact"/>
        <w:ind w:firstLine="420" w:firstLineChars="200"/>
        <w:rPr>
          <w:rFonts w:ascii="宋体" w:hAnsi="宋体" w:cs="宋体"/>
          <w:szCs w:val="21"/>
        </w:rPr>
      </w:pPr>
      <w:r>
        <w:rPr>
          <w:rFonts w:hint="eastAsia" w:ascii="宋体" w:hAnsi="宋体" w:cs="宋体"/>
          <w:szCs w:val="21"/>
        </w:rPr>
        <w:t>2.9“▲”系指实质性要求条款。</w:t>
      </w:r>
    </w:p>
    <w:p>
      <w:pPr>
        <w:spacing w:line="400" w:lineRule="exact"/>
        <w:ind w:firstLine="420" w:firstLineChars="200"/>
        <w:rPr>
          <w:rFonts w:ascii="宋体" w:hAnsi="宋体" w:cs="宋体"/>
          <w:b/>
          <w:szCs w:val="21"/>
        </w:rPr>
      </w:pPr>
      <w:r>
        <w:rPr>
          <w:rFonts w:hint="eastAsia" w:ascii="宋体" w:hAnsi="宋体" w:cs="宋体"/>
          <w:b/>
          <w:szCs w:val="21"/>
        </w:rPr>
        <w:t>3. 谈判供应商资格</w:t>
      </w:r>
    </w:p>
    <w:p>
      <w:pPr>
        <w:spacing w:line="400" w:lineRule="exact"/>
        <w:ind w:firstLine="420" w:firstLineChars="200"/>
        <w:rPr>
          <w:rFonts w:ascii="宋体" w:hAnsi="宋体" w:cs="宋体"/>
          <w:b/>
          <w:szCs w:val="21"/>
        </w:rPr>
      </w:pPr>
      <w:r>
        <w:rPr>
          <w:rFonts w:hint="eastAsia" w:ascii="宋体" w:hAnsi="宋体" w:cs="宋体"/>
          <w:b/>
          <w:szCs w:val="21"/>
        </w:rPr>
        <w:t>3.1.满足《中华人民共和国政府采购法》第二十二条规定；</w:t>
      </w:r>
    </w:p>
    <w:p>
      <w:pPr>
        <w:spacing w:line="400" w:lineRule="exact"/>
        <w:ind w:firstLine="420" w:firstLineChars="200"/>
        <w:rPr>
          <w:rFonts w:ascii="宋体" w:hAnsi="宋体" w:cs="宋体"/>
          <w:b/>
          <w:szCs w:val="21"/>
        </w:rPr>
      </w:pPr>
      <w:r>
        <w:rPr>
          <w:rFonts w:hint="eastAsia" w:ascii="宋体" w:hAnsi="宋体" w:cs="宋体"/>
          <w:b/>
          <w:szCs w:val="21"/>
        </w:rPr>
        <w:t>3.落实政府采购政策需满足的资格要求：无；</w:t>
      </w:r>
    </w:p>
    <w:p>
      <w:pPr>
        <w:spacing w:line="400" w:lineRule="exact"/>
        <w:ind w:firstLine="420" w:firstLineChars="200"/>
        <w:rPr>
          <w:rFonts w:ascii="宋体" w:hAnsi="宋体" w:cs="宋体"/>
          <w:b/>
          <w:szCs w:val="21"/>
        </w:rPr>
      </w:pPr>
      <w:r>
        <w:rPr>
          <w:rFonts w:hint="eastAsia" w:ascii="宋体" w:hAnsi="宋体" w:cs="宋体"/>
          <w:b/>
          <w:szCs w:val="21"/>
        </w:rPr>
        <w:t>3.3.本项目的特定资格要求：无；</w:t>
      </w:r>
    </w:p>
    <w:p>
      <w:pPr>
        <w:pStyle w:val="14"/>
        <w:ind w:firstLine="420" w:firstLineChars="200"/>
        <w:rPr>
          <w:rFonts w:hAnsi="宋体" w:cs="宋体"/>
          <w:b/>
          <w:kern w:val="2"/>
          <w:sz w:val="21"/>
          <w:szCs w:val="21"/>
        </w:rPr>
      </w:pPr>
      <w:r>
        <w:rPr>
          <w:rFonts w:hint="eastAsia" w:hAnsi="宋体" w:cs="宋体"/>
          <w:b/>
          <w:kern w:val="2"/>
          <w:sz w:val="21"/>
          <w:szCs w:val="21"/>
        </w:rPr>
        <w:t>3.4.国内注册（指按国家工商行政管理有关规定要求注册的）从事或经营本次采购货物或服务，并在人员、设备、资金等方面具有相应的能力的供应商。</w:t>
      </w:r>
    </w:p>
    <w:p>
      <w:pPr>
        <w:pStyle w:val="14"/>
        <w:ind w:firstLine="420" w:firstLineChars="200"/>
        <w:rPr>
          <w:rFonts w:hAnsi="宋体" w:cs="宋体"/>
          <w:b/>
          <w:kern w:val="2"/>
          <w:sz w:val="21"/>
          <w:szCs w:val="21"/>
        </w:rPr>
      </w:pPr>
      <w:r>
        <w:rPr>
          <w:rFonts w:hint="eastAsia" w:hAnsi="宋体" w:cs="宋体"/>
          <w:b/>
          <w:kern w:val="2"/>
          <w:sz w:val="21"/>
          <w:szCs w:val="21"/>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4"/>
        <w:ind w:firstLine="420" w:firstLineChars="200"/>
        <w:rPr>
          <w:rFonts w:hAnsi="宋体" w:cs="宋体"/>
          <w:b/>
          <w:kern w:val="2"/>
          <w:sz w:val="21"/>
          <w:szCs w:val="21"/>
        </w:rPr>
      </w:pPr>
      <w:r>
        <w:rPr>
          <w:rFonts w:hint="eastAsia" w:hAnsi="宋体" w:cs="宋体"/>
          <w:b/>
          <w:kern w:val="2"/>
          <w:sz w:val="21"/>
          <w:szCs w:val="21"/>
        </w:rPr>
        <w:t>3.6.对在“信用中国”网站(www.creditchina.gov.cn)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ascii="宋体" w:hAnsi="宋体" w:cs="宋体"/>
          <w:b/>
          <w:szCs w:val="21"/>
        </w:rPr>
      </w:pPr>
      <w:r>
        <w:rPr>
          <w:rFonts w:hint="eastAsia" w:ascii="宋体" w:hAnsi="宋体" w:cs="宋体"/>
          <w:b/>
          <w:szCs w:val="21"/>
        </w:rPr>
        <w:t>3.7. 本项目不接受联合体参与谈判采购活动。</w:t>
      </w:r>
    </w:p>
    <w:p>
      <w:pPr>
        <w:spacing w:line="400" w:lineRule="exact"/>
        <w:ind w:firstLine="420" w:firstLineChars="200"/>
        <w:rPr>
          <w:rFonts w:ascii="宋体" w:hAnsi="宋体" w:cs="宋体"/>
          <w:b/>
          <w:szCs w:val="21"/>
        </w:rPr>
      </w:pPr>
      <w:r>
        <w:rPr>
          <w:rFonts w:hint="eastAsia" w:ascii="宋体" w:hAnsi="宋体" w:cs="宋体"/>
          <w:b/>
          <w:szCs w:val="21"/>
        </w:rPr>
        <w:t>3.8. 本项目不接受未购买本谈判文件的供应商竞标。</w:t>
      </w:r>
    </w:p>
    <w:p>
      <w:pPr>
        <w:spacing w:line="400" w:lineRule="exact"/>
        <w:ind w:firstLine="420" w:firstLineChars="200"/>
        <w:rPr>
          <w:rFonts w:ascii="宋体" w:hAnsi="宋体" w:cs="宋体"/>
          <w:szCs w:val="21"/>
        </w:rPr>
      </w:pPr>
      <w:r>
        <w:rPr>
          <w:rFonts w:hint="eastAsia" w:ascii="宋体" w:hAnsi="宋体" w:cs="宋体"/>
          <w:szCs w:val="21"/>
        </w:rPr>
        <w:t>4. 谈判费用</w:t>
      </w:r>
    </w:p>
    <w:p>
      <w:pPr>
        <w:spacing w:line="400" w:lineRule="exact"/>
        <w:ind w:firstLine="420" w:firstLineChars="200"/>
        <w:rPr>
          <w:rFonts w:ascii="宋体" w:hAnsi="宋体" w:cs="宋体"/>
          <w:szCs w:val="21"/>
        </w:rPr>
      </w:pPr>
      <w:r>
        <w:rPr>
          <w:rFonts w:hint="eastAsia" w:ascii="宋体" w:hAnsi="宋体" w:cs="宋体"/>
          <w:szCs w:val="21"/>
        </w:rPr>
        <w:t>4.1 谈判供应商应自行承担所有与编写和提交竞争性谈判响应文件有关的费用，不论谈判结果如何，采购人和广西北部湾宏亚建设管理有限公司在任何情况下无义务和责任承担此类费用。</w:t>
      </w:r>
    </w:p>
    <w:p>
      <w:pPr>
        <w:spacing w:line="400" w:lineRule="exact"/>
        <w:ind w:firstLine="420" w:firstLineChars="200"/>
        <w:rPr>
          <w:rFonts w:ascii="宋体" w:hAnsi="宋体" w:cs="宋体"/>
          <w:b/>
          <w:szCs w:val="21"/>
        </w:rPr>
      </w:pPr>
      <w:r>
        <w:rPr>
          <w:rFonts w:hint="eastAsia" w:ascii="宋体" w:hAnsi="宋体" w:cs="宋体"/>
          <w:b/>
          <w:szCs w:val="21"/>
        </w:rPr>
        <w:t>5. 质疑和投诉</w:t>
      </w:r>
    </w:p>
    <w:p>
      <w:pPr>
        <w:spacing w:line="400" w:lineRule="exact"/>
        <w:ind w:firstLine="420" w:firstLineChars="200"/>
        <w:rPr>
          <w:rFonts w:ascii="宋体" w:hAnsi="宋体" w:cs="宋体"/>
          <w:szCs w:val="21"/>
        </w:rPr>
      </w:pPr>
      <w:r>
        <w:rPr>
          <w:rFonts w:hint="eastAsia" w:ascii="宋体" w:hAnsi="宋体" w:cs="宋体"/>
          <w:szCs w:val="21"/>
        </w:rPr>
        <w:t>5.1 供应商认为采购文件、采购过程或成交结果使自己的合法权益受到损害的，应当在知道或者应知其权益受到损害之日起七个工作日内，以书面形式向采购人、采购代理机构提出质疑。供应商对采购代理机构的质疑答复不满意或者采购代理机构未在规定时间内作出答复的，可以在答复期满后十五个工作日内向同级采购监管部门投诉。</w:t>
      </w:r>
    </w:p>
    <w:p>
      <w:pPr>
        <w:spacing w:line="400" w:lineRule="exact"/>
        <w:ind w:firstLine="420" w:firstLineChars="200"/>
        <w:rPr>
          <w:rFonts w:ascii="宋体" w:hAnsi="宋体" w:cs="宋体"/>
          <w:szCs w:val="21"/>
        </w:rPr>
      </w:pPr>
      <w:r>
        <w:rPr>
          <w:rFonts w:hint="eastAsia" w:ascii="宋体" w:hAnsi="宋体" w:cs="宋体"/>
          <w:szCs w:val="21"/>
        </w:rPr>
        <w:t>5.2提出质疑的供应商应当是参与所质疑项目采购活动的供应商。供应商提出质疑应当采用书面形式，应当按《政府采购质疑和投诉办法》的规定提交质疑函和必要的证明材料。</w:t>
      </w:r>
    </w:p>
    <w:p>
      <w:pPr>
        <w:spacing w:line="400" w:lineRule="exact"/>
        <w:ind w:firstLine="420" w:firstLineChars="200"/>
        <w:rPr>
          <w:rFonts w:ascii="宋体" w:hAnsi="宋体" w:cs="宋体"/>
          <w:szCs w:val="21"/>
        </w:rPr>
      </w:pPr>
      <w:r>
        <w:rPr>
          <w:rFonts w:hint="eastAsia" w:ascii="宋体" w:hAnsi="宋体" w:cs="宋体"/>
          <w:szCs w:val="21"/>
        </w:rPr>
        <w:t>5.3 供应商应通过现场递交或邮寄的方式提交质疑函（原件），供应商应在法定质疑期内一次性提出针对同一采购程序环节的质疑，重复提交的不再受理。质疑函应按财政部制定的范本编制，并按《政府采购质疑和投诉办法》的规定签字、盖章。</w:t>
      </w:r>
    </w:p>
    <w:p>
      <w:pPr>
        <w:spacing w:line="400" w:lineRule="exact"/>
        <w:ind w:firstLine="420" w:firstLineChars="200"/>
        <w:rPr>
          <w:rFonts w:ascii="宋体" w:hAnsi="宋体" w:cs="宋体"/>
          <w:szCs w:val="21"/>
        </w:rPr>
      </w:pPr>
      <w:r>
        <w:rPr>
          <w:rFonts w:hint="eastAsia" w:ascii="宋体" w:hAnsi="宋体" w:cs="宋体"/>
          <w:szCs w:val="21"/>
        </w:rPr>
        <w:t>质疑联系部门：广西北部湾宏亚建设管理有限公司</w:t>
      </w:r>
    </w:p>
    <w:p>
      <w:pPr>
        <w:spacing w:line="400" w:lineRule="exact"/>
        <w:ind w:firstLine="420" w:firstLineChars="200"/>
        <w:rPr>
          <w:rFonts w:ascii="宋体" w:hAnsi="宋体" w:cs="宋体"/>
          <w:szCs w:val="21"/>
        </w:rPr>
      </w:pPr>
      <w:r>
        <w:rPr>
          <w:rFonts w:hint="eastAsia" w:ascii="宋体" w:hAnsi="宋体" w:cs="宋体"/>
          <w:szCs w:val="21"/>
        </w:rPr>
        <w:t>质疑联系人：卢小玲         联系电话：</w:t>
      </w:r>
      <w:r>
        <w:rPr>
          <w:rFonts w:ascii="宋体" w:hAnsi="宋体" w:cs="宋体"/>
          <w:szCs w:val="21"/>
        </w:rPr>
        <w:t>0771-5670712</w:t>
      </w:r>
    </w:p>
    <w:p>
      <w:pPr>
        <w:spacing w:line="400" w:lineRule="exact"/>
        <w:ind w:firstLine="420" w:firstLineChars="200"/>
        <w:rPr>
          <w:rFonts w:ascii="宋体" w:hAnsi="宋体" w:cs="宋体"/>
          <w:szCs w:val="21"/>
        </w:rPr>
      </w:pPr>
      <w:r>
        <w:rPr>
          <w:rFonts w:hint="eastAsia" w:ascii="宋体" w:hAnsi="宋体" w:cs="宋体"/>
          <w:szCs w:val="21"/>
        </w:rPr>
        <w:t>通讯地址：南宁市高新区科园大道东四路7号远信光电产业大楼25层2517号</w:t>
      </w:r>
    </w:p>
    <w:p>
      <w:pPr>
        <w:spacing w:line="400" w:lineRule="exact"/>
        <w:ind w:firstLine="420" w:firstLineChars="200"/>
        <w:rPr>
          <w:rFonts w:ascii="宋体" w:hAnsi="宋体" w:cs="宋体"/>
          <w:b/>
          <w:szCs w:val="21"/>
        </w:rPr>
      </w:pPr>
      <w:r>
        <w:rPr>
          <w:rFonts w:hint="eastAsia" w:ascii="宋体" w:hAnsi="宋体" w:cs="宋体"/>
          <w:b/>
          <w:szCs w:val="21"/>
        </w:rPr>
        <w:t>二、竞争性谈判响应文件的编制</w:t>
      </w:r>
    </w:p>
    <w:p>
      <w:pPr>
        <w:spacing w:line="400" w:lineRule="exact"/>
        <w:ind w:firstLine="420" w:firstLineChars="200"/>
        <w:rPr>
          <w:rFonts w:ascii="宋体" w:hAnsi="宋体" w:cs="宋体"/>
          <w:szCs w:val="21"/>
        </w:rPr>
      </w:pPr>
      <w:r>
        <w:rPr>
          <w:rFonts w:hint="eastAsia" w:ascii="宋体" w:hAnsi="宋体" w:cs="宋体"/>
          <w:szCs w:val="21"/>
        </w:rPr>
        <w:t>6.竞争性谈判响应文件编制基本要求</w:t>
      </w:r>
    </w:p>
    <w:p>
      <w:pPr>
        <w:spacing w:line="400" w:lineRule="exact"/>
        <w:ind w:firstLine="420" w:firstLineChars="200"/>
        <w:rPr>
          <w:rFonts w:ascii="宋体" w:hAnsi="宋体" w:cs="宋体"/>
          <w:szCs w:val="21"/>
        </w:rPr>
      </w:pPr>
      <w:r>
        <w:rPr>
          <w:rFonts w:hint="eastAsia" w:ascii="宋体" w:hAnsi="宋体" w:cs="宋体"/>
          <w:szCs w:val="21"/>
        </w:rPr>
        <w:t>6.1谈判供应商对竞争性谈判响应文件的编制应按要求装订和封装。</w:t>
      </w:r>
    </w:p>
    <w:p>
      <w:pPr>
        <w:spacing w:line="400" w:lineRule="exact"/>
        <w:ind w:firstLine="420" w:firstLineChars="200"/>
        <w:rPr>
          <w:rFonts w:ascii="宋体" w:hAnsi="宋体" w:cs="宋体"/>
          <w:szCs w:val="21"/>
        </w:rPr>
      </w:pPr>
      <w:r>
        <w:rPr>
          <w:rFonts w:hint="eastAsia" w:ascii="宋体" w:hAnsi="宋体" w:cs="宋体"/>
          <w:szCs w:val="21"/>
        </w:rPr>
        <w:t>6.2谈判供应商提交的竞争性谈判响应文件以及谈判供应商与广西北部湾宏亚建设管理有限公司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00" w:lineRule="exact"/>
        <w:ind w:firstLine="420" w:firstLineChars="200"/>
        <w:rPr>
          <w:rFonts w:ascii="宋体" w:hAnsi="宋体" w:cs="宋体"/>
          <w:szCs w:val="21"/>
        </w:rPr>
      </w:pPr>
      <w:r>
        <w:rPr>
          <w:rFonts w:hint="eastAsia" w:ascii="宋体" w:hAnsi="宋体" w:cs="宋体"/>
          <w:szCs w:val="21"/>
        </w:rPr>
        <w:t>6.3谈判供应商应认真阅读、并充分理解本文件的全部内容（包括所有的补充、修改内容），承诺并履行本文件中各项条款规定及要求。</w:t>
      </w:r>
    </w:p>
    <w:p>
      <w:pPr>
        <w:spacing w:line="400" w:lineRule="exact"/>
        <w:ind w:firstLine="420" w:firstLineChars="200"/>
        <w:rPr>
          <w:rFonts w:ascii="宋体" w:hAnsi="宋体" w:cs="宋体"/>
          <w:szCs w:val="21"/>
        </w:rPr>
      </w:pPr>
      <w:r>
        <w:rPr>
          <w:rFonts w:hint="eastAsia" w:ascii="宋体" w:hAnsi="宋体" w:cs="宋体"/>
          <w:szCs w:val="21"/>
        </w:rPr>
        <w:t>6.4竞争性谈判响应文件必须按本文件的全部内容，包括所有的补充通知及附件进行编制。</w:t>
      </w:r>
    </w:p>
    <w:p>
      <w:pPr>
        <w:spacing w:line="400" w:lineRule="exact"/>
        <w:ind w:firstLine="420" w:firstLineChars="200"/>
        <w:rPr>
          <w:rFonts w:ascii="宋体" w:hAnsi="宋体" w:cs="宋体"/>
          <w:szCs w:val="21"/>
        </w:rPr>
      </w:pPr>
      <w:r>
        <w:rPr>
          <w:rFonts w:hint="eastAsia" w:ascii="宋体" w:hAnsi="宋体" w:cs="宋体"/>
          <w:szCs w:val="21"/>
        </w:rPr>
        <w:t>6.5如因谈判供应商只填写和提供了本文件要求的部分内容和附件，而给谈判小组评审造成困难，其可能导致的结果和责任由谈判供应商自行承担。</w:t>
      </w:r>
    </w:p>
    <w:p>
      <w:pPr>
        <w:spacing w:line="400" w:lineRule="exact"/>
        <w:ind w:firstLine="420" w:firstLineChars="200"/>
        <w:rPr>
          <w:rFonts w:ascii="宋体" w:hAnsi="宋体" w:cs="宋体"/>
          <w:szCs w:val="21"/>
        </w:rPr>
      </w:pPr>
      <w:r>
        <w:rPr>
          <w:rFonts w:hint="eastAsia" w:ascii="宋体" w:hAnsi="宋体" w:cs="宋体"/>
          <w:szCs w:val="21"/>
        </w:rPr>
        <w:t>6.6竞争性谈判响应文件的组成：竞争性谈判响应文件应分为价格文件和商务技术文件两个部分组成。</w:t>
      </w:r>
    </w:p>
    <w:p>
      <w:pPr>
        <w:spacing w:line="400" w:lineRule="exact"/>
        <w:ind w:firstLine="420" w:firstLineChars="200"/>
        <w:rPr>
          <w:rFonts w:ascii="宋体" w:hAnsi="宋体" w:cs="宋体"/>
          <w:szCs w:val="21"/>
        </w:rPr>
      </w:pPr>
      <w:r>
        <w:rPr>
          <w:rFonts w:hint="eastAsia" w:ascii="宋体" w:hAnsi="宋体" w:cs="宋体"/>
          <w:szCs w:val="21"/>
        </w:rPr>
        <w:t>6.6.1价格文件</w:t>
      </w:r>
    </w:p>
    <w:p>
      <w:pPr>
        <w:spacing w:line="400" w:lineRule="exact"/>
        <w:ind w:firstLine="420" w:firstLineChars="200"/>
        <w:rPr>
          <w:rFonts w:ascii="宋体" w:hAnsi="宋体" w:cs="宋体"/>
          <w:szCs w:val="21"/>
        </w:rPr>
      </w:pPr>
      <w:r>
        <w:rPr>
          <w:rFonts w:hint="eastAsia" w:ascii="宋体" w:hAnsi="宋体" w:cs="宋体"/>
          <w:szCs w:val="21"/>
        </w:rPr>
        <w:t>1）谈判报价表；（格式详见第四章“竞争性谈判响应文件格式”，</w:t>
      </w:r>
      <w:r>
        <w:rPr>
          <w:rFonts w:hint="eastAsia" w:ascii="宋体" w:hAnsi="宋体" w:cs="宋体"/>
          <w:b/>
          <w:szCs w:val="21"/>
        </w:rPr>
        <w:t>必须提供，否则竞标无效</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2）竞标保证金缴纳证明。（</w:t>
      </w:r>
      <w:r>
        <w:rPr>
          <w:rFonts w:hint="eastAsia" w:ascii="宋体" w:hAnsi="宋体" w:cs="宋体"/>
          <w:b/>
          <w:szCs w:val="21"/>
        </w:rPr>
        <w:t>必须提供，否则竞标无效</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6.6.2 商务技术文件（</w:t>
      </w:r>
      <w:r>
        <w:rPr>
          <w:rFonts w:hint="eastAsia" w:ascii="宋体" w:hAnsi="宋体" w:cs="宋体"/>
          <w:b/>
          <w:szCs w:val="21"/>
        </w:rPr>
        <w:t>注明“必须提供”的必须提供，否则竞标无效</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1）谈判书；（格式详见第四章“竞争性谈判响应文件格式”，</w:t>
      </w:r>
      <w:r>
        <w:rPr>
          <w:rFonts w:hint="eastAsia" w:ascii="宋体" w:hAnsi="宋体" w:cs="宋体"/>
          <w:b/>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2）技术响应及偏离情况说明表；（格式详见第四章“竞争性谈判响应文件格式”，</w:t>
      </w:r>
      <w:r>
        <w:rPr>
          <w:rFonts w:hint="eastAsia" w:ascii="宋体" w:hAnsi="宋体" w:cs="宋体"/>
          <w:b/>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3）商务响应及偏离情况说明表；（格式详见第四章“竞争性谈判响应文件格式”，</w:t>
      </w:r>
      <w:r>
        <w:rPr>
          <w:rFonts w:hint="eastAsia" w:ascii="宋体" w:hAnsi="宋体" w:cs="宋体"/>
          <w:b/>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4）供应商有效的加载统一社会信用代码的营业执照等主体资格证明副本复印件；（</w:t>
      </w:r>
      <w:r>
        <w:rPr>
          <w:rFonts w:hint="eastAsia" w:ascii="宋体" w:hAnsi="宋体" w:cs="宋体"/>
          <w:b/>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5）生产、经营、销售许可证（如国家实行强制性要求的）；</w:t>
      </w:r>
    </w:p>
    <w:p>
      <w:pPr>
        <w:spacing w:line="390" w:lineRule="exact"/>
        <w:ind w:firstLine="420" w:firstLineChars="200"/>
        <w:rPr>
          <w:rFonts w:ascii="宋体" w:hAnsi="宋体" w:cs="宋体"/>
          <w:szCs w:val="21"/>
        </w:rPr>
      </w:pPr>
      <w:r>
        <w:rPr>
          <w:rFonts w:hint="eastAsia" w:ascii="宋体" w:hAnsi="宋体" w:cs="宋体"/>
          <w:szCs w:val="21"/>
        </w:rPr>
        <w:t>6）法定代表人身份证复印件（</w:t>
      </w:r>
      <w:r>
        <w:rPr>
          <w:rFonts w:hint="eastAsia" w:ascii="宋体" w:hAnsi="宋体" w:cs="宋体"/>
          <w:b/>
          <w:szCs w:val="21"/>
        </w:rPr>
        <w:t>必须提供</w:t>
      </w:r>
      <w:r>
        <w:rPr>
          <w:rFonts w:hint="eastAsia" w:ascii="宋体" w:hAnsi="宋体" w:cs="宋体"/>
          <w:szCs w:val="21"/>
        </w:rPr>
        <w:t>），委托代理时还须提供法定代表人授权委托书原件及被授权人身份证复印件（格式详见第四章“竞争性谈判响应文件格式”，</w:t>
      </w:r>
      <w:r>
        <w:rPr>
          <w:rFonts w:hint="eastAsia" w:ascii="宋体" w:hAnsi="宋体" w:cs="宋体"/>
          <w:b/>
          <w:szCs w:val="21"/>
        </w:rPr>
        <w:t>委托代理时必须提供</w:t>
      </w:r>
      <w:r>
        <w:rPr>
          <w:rFonts w:hint="eastAsia" w:ascii="宋体" w:hAnsi="宋体" w:cs="宋体"/>
          <w:szCs w:val="21"/>
        </w:rPr>
        <w:t xml:space="preserve">）； </w:t>
      </w:r>
    </w:p>
    <w:p>
      <w:pPr>
        <w:spacing w:line="39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供应商至本项目竞标截止之日起近半年以来连续三个月的依法缴纳税收证明[税费凭证复印件，或者依法缴纳税费或依法免缴税费的证明（复印件，格式自拟），</w:t>
      </w:r>
      <w:r>
        <w:rPr>
          <w:rFonts w:hint="eastAsia" w:ascii="宋体" w:hAnsi="宋体" w:cs="宋体"/>
          <w:b/>
          <w:szCs w:val="21"/>
        </w:rPr>
        <w:t>必须提供</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供应商至本项目竞标截止之日起近半年以来连续三个月的项目实施人员社保证明复印件（社保证明必须经供应商所在地的社保部门盖章确认，社保证明名单要与项目实施人员一览表人员名单相一致，依法不参与社保的人员，应出具相关的证明文件；</w:t>
      </w:r>
      <w:r>
        <w:rPr>
          <w:rFonts w:hint="eastAsia" w:ascii="宋体" w:hAnsi="宋体" w:cs="宋体"/>
          <w:b/>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8）供应商参加政府采购活动前3年内在经营活动中没有重大违法记录的书面声明（</w:t>
      </w:r>
      <w:r>
        <w:rPr>
          <w:rFonts w:hint="eastAsia" w:ascii="宋体" w:hAnsi="宋体" w:cs="宋体"/>
          <w:b/>
          <w:bCs/>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9）采购文件列明的其他资料（</w:t>
      </w:r>
      <w:r>
        <w:rPr>
          <w:rFonts w:hint="eastAsia" w:ascii="宋体" w:hAnsi="宋体" w:cs="宋体"/>
          <w:b/>
          <w:szCs w:val="21"/>
        </w:rPr>
        <w:t>注明必须提供的必须提供，否则竞标无效</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10）供货清单。</w:t>
      </w:r>
    </w:p>
    <w:p>
      <w:pPr>
        <w:spacing w:line="390" w:lineRule="exact"/>
        <w:ind w:firstLine="420" w:firstLineChars="200"/>
        <w:rPr>
          <w:rFonts w:ascii="宋体" w:hAnsi="宋体" w:cs="宋体"/>
          <w:szCs w:val="21"/>
        </w:rPr>
      </w:pPr>
      <w:r>
        <w:rPr>
          <w:rFonts w:hint="eastAsia" w:ascii="宋体" w:hAnsi="宋体" w:cs="宋体"/>
          <w:szCs w:val="21"/>
        </w:rPr>
        <w:t>11）详细的货物名称、型号、规格、数量、性能、内部配置、使用原材料、使用的技术、工艺等详细情况及资料。</w:t>
      </w:r>
    </w:p>
    <w:p>
      <w:pPr>
        <w:spacing w:line="390" w:lineRule="exact"/>
        <w:ind w:firstLine="420" w:firstLineChars="200"/>
        <w:rPr>
          <w:rFonts w:ascii="宋体" w:hAnsi="宋体" w:cs="宋体"/>
          <w:szCs w:val="21"/>
        </w:rPr>
      </w:pPr>
      <w:r>
        <w:rPr>
          <w:rFonts w:hint="eastAsia" w:ascii="宋体" w:hAnsi="宋体" w:cs="宋体"/>
          <w:szCs w:val="21"/>
        </w:rPr>
        <w:t>12）产品样本、使用保养说明书、图纸等技术资料、质量保证措施等。</w:t>
      </w:r>
    </w:p>
    <w:p>
      <w:pPr>
        <w:spacing w:line="390" w:lineRule="exact"/>
        <w:ind w:firstLine="420" w:firstLineChars="200"/>
        <w:rPr>
          <w:rFonts w:ascii="宋体" w:hAnsi="宋体" w:cs="宋体"/>
          <w:szCs w:val="21"/>
        </w:rPr>
      </w:pPr>
      <w:r>
        <w:rPr>
          <w:rFonts w:hint="eastAsia" w:ascii="宋体" w:hAnsi="宋体" w:cs="宋体"/>
          <w:szCs w:val="21"/>
        </w:rPr>
        <w:t>13）证明竞标产品满足采购文件要求的其他证明文件（货物制造、检验、验收执行的标准；货物认证、检测报告、鉴定证书；产品获奖证书等）。</w:t>
      </w:r>
    </w:p>
    <w:p>
      <w:pPr>
        <w:snapToGrid w:val="0"/>
        <w:spacing w:line="390" w:lineRule="exact"/>
        <w:ind w:firstLine="411" w:firstLineChars="196"/>
        <w:outlineLvl w:val="1"/>
        <w:rPr>
          <w:rFonts w:ascii="宋体" w:hAnsi="宋体" w:cs="宋体"/>
          <w:szCs w:val="21"/>
        </w:rPr>
      </w:pPr>
      <w:bookmarkStart w:id="49" w:name="_Toc23251528"/>
      <w:bookmarkStart w:id="50" w:name="_Toc23251603"/>
      <w:bookmarkStart w:id="51" w:name="_Toc26800529"/>
      <w:r>
        <w:rPr>
          <w:rFonts w:hint="eastAsia" w:ascii="宋体" w:hAnsi="宋体" w:cs="宋体"/>
          <w:szCs w:val="21"/>
        </w:rPr>
        <w:t>14）供应商的信誉、荣誉证书，供应商质量管理和质量保证体系等方面的认证证书，节能环保等方面的证书等复印件。</w:t>
      </w:r>
      <w:bookmarkEnd w:id="49"/>
      <w:bookmarkEnd w:id="50"/>
      <w:bookmarkEnd w:id="51"/>
    </w:p>
    <w:p>
      <w:pPr>
        <w:spacing w:line="390" w:lineRule="exact"/>
        <w:ind w:firstLine="420" w:firstLineChars="200"/>
        <w:rPr>
          <w:rFonts w:ascii="宋体" w:hAnsi="宋体" w:cs="宋体"/>
          <w:szCs w:val="21"/>
        </w:rPr>
      </w:pPr>
      <w:r>
        <w:rPr>
          <w:rFonts w:hint="eastAsia" w:ascii="宋体" w:hAnsi="宋体" w:cs="宋体"/>
          <w:szCs w:val="21"/>
        </w:rPr>
        <w:t>15）</w:t>
      </w:r>
      <w:r>
        <w:rPr>
          <w:rFonts w:hint="eastAsia" w:ascii="宋体" w:hAnsi="宋体" w:cs="宋体"/>
          <w:bCs/>
          <w:szCs w:val="21"/>
        </w:rPr>
        <w:t>售后服务方案，</w:t>
      </w:r>
      <w:r>
        <w:rPr>
          <w:rFonts w:hint="eastAsia" w:ascii="宋体" w:hAnsi="宋体" w:cs="宋体"/>
          <w:szCs w:val="21"/>
        </w:rPr>
        <w:t>提供的切实可行的售后服务承诺（</w:t>
      </w:r>
      <w:r>
        <w:rPr>
          <w:rFonts w:hint="eastAsia" w:ascii="宋体" w:hAnsi="宋体"/>
          <w:szCs w:val="21"/>
        </w:rPr>
        <w:t>内容包括但不限于：明确保修期、故障响应时间、售后服务技术人员名单和联系方式、定期走访用户具体时间、保修期限外零配件若损坏，提供零配件优惠服务方案等</w:t>
      </w:r>
      <w:r>
        <w:rPr>
          <w:rFonts w:hint="eastAsia" w:ascii="宋体" w:hAnsi="宋体" w:cs="宋体"/>
          <w:szCs w:val="21"/>
        </w:rPr>
        <w:t>）（格式自拟</w:t>
      </w:r>
      <w:r>
        <w:rPr>
          <w:rFonts w:hint="eastAsia" w:ascii="宋体" w:hAnsi="宋体" w:cs="宋体"/>
          <w:b/>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16）项目实施人员一览表。（格式详见第四章“竞争性谈判响应文件格式”</w:t>
      </w:r>
      <w:r>
        <w:rPr>
          <w:rFonts w:hint="eastAsia" w:ascii="宋体" w:hAnsi="宋体" w:cs="宋体"/>
          <w:b/>
          <w:szCs w:val="21"/>
        </w:rPr>
        <w:t>，必须提供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17）供应商自2020年（含2020年）以来经会计师事务所或有资质审计机构出具的审计报告复印件（2021 年新成立的公司应提供公司成立日之后次月起到截标时间截止前一个月的财务报表复印件）或其基本开户银行出具有效的资信证明或财政部门认可的政府采购专业担保机构出具的竞标担保函。（格式自拟，复印件加盖供应商公章，</w:t>
      </w:r>
      <w:r>
        <w:rPr>
          <w:rFonts w:hint="eastAsia" w:ascii="宋体" w:hAnsi="宋体" w:cs="宋体"/>
          <w:b/>
          <w:szCs w:val="21"/>
        </w:rPr>
        <w:t>如有提供</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18）中小企业声明函（谈判供应商如为中小微型企业的请按第四章要求的格式填写（附件六），否则不予享受优惠政策）。</w:t>
      </w:r>
    </w:p>
    <w:p>
      <w:pPr>
        <w:spacing w:line="390" w:lineRule="exact"/>
        <w:ind w:firstLine="420" w:firstLineChars="200"/>
        <w:rPr>
          <w:rFonts w:ascii="宋体" w:hAnsi="宋体" w:cs="宋体"/>
          <w:szCs w:val="21"/>
        </w:rPr>
      </w:pPr>
      <w:r>
        <w:rPr>
          <w:rFonts w:hint="eastAsia" w:ascii="宋体" w:hAnsi="宋体" w:cs="宋体"/>
          <w:szCs w:val="21"/>
        </w:rPr>
        <w:t>19）监狱企业由省级以上监狱管理局、戒毒管理局（含新疆生产建设兵团）出具的属于监狱企业的证明文件。</w:t>
      </w:r>
    </w:p>
    <w:p>
      <w:pPr>
        <w:spacing w:line="390" w:lineRule="exact"/>
        <w:ind w:firstLine="420" w:firstLineChars="200"/>
        <w:rPr>
          <w:rFonts w:ascii="宋体" w:hAnsi="宋体" w:cs="宋体"/>
          <w:szCs w:val="21"/>
        </w:rPr>
      </w:pPr>
      <w:r>
        <w:rPr>
          <w:rFonts w:hint="eastAsia" w:ascii="宋体" w:hAnsi="宋体" w:cs="宋体"/>
          <w:szCs w:val="21"/>
        </w:rPr>
        <w:t>20）残疾人福利性单位声明函（供应商如为残疾人福利性单位的请按第四章要求的格式填写，否则不予享受优惠政策）。</w:t>
      </w:r>
    </w:p>
    <w:p>
      <w:pPr>
        <w:spacing w:line="390" w:lineRule="exact"/>
        <w:ind w:firstLine="420" w:firstLineChars="200"/>
        <w:rPr>
          <w:rFonts w:ascii="宋体" w:hAnsi="宋体" w:cs="宋体"/>
          <w:szCs w:val="21"/>
        </w:rPr>
      </w:pPr>
      <w:r>
        <w:rPr>
          <w:rFonts w:hint="eastAsia" w:ascii="宋体" w:hAnsi="宋体" w:cs="宋体"/>
          <w:szCs w:val="21"/>
        </w:rPr>
        <w:t>21）供应商认为可以证明其能力或业绩的其他材料以及供应商认为需要提供的其他有关资料。</w:t>
      </w:r>
    </w:p>
    <w:p>
      <w:pPr>
        <w:spacing w:line="390" w:lineRule="exact"/>
        <w:ind w:firstLine="420" w:firstLineChars="200"/>
        <w:rPr>
          <w:rFonts w:ascii="宋体" w:hAnsi="宋体" w:cs="宋体"/>
          <w:bCs/>
          <w:szCs w:val="21"/>
        </w:rPr>
      </w:pPr>
      <w:r>
        <w:rPr>
          <w:rFonts w:hint="eastAsia" w:ascii="宋体" w:hAnsi="宋体" w:cs="宋体"/>
          <w:bCs/>
          <w:szCs w:val="21"/>
        </w:rPr>
        <w:t>以上有关材料应真实有效，并加盖供应商公章（扫描公章无效）。属于“必须提供”的文件必须于本项目截标前与响应文件同时提交，否则，竞标无效。其余由供应商视自身情况自行提交。</w:t>
      </w:r>
    </w:p>
    <w:p>
      <w:pPr>
        <w:spacing w:line="380" w:lineRule="exact"/>
        <w:ind w:firstLine="420" w:firstLineChars="200"/>
        <w:rPr>
          <w:rFonts w:ascii="宋体" w:hAnsi="宋体" w:cs="宋体"/>
          <w:szCs w:val="21"/>
        </w:rPr>
      </w:pPr>
      <w:r>
        <w:rPr>
          <w:rFonts w:hint="eastAsia" w:ascii="宋体" w:hAnsi="宋体"/>
          <w:b/>
          <w:szCs w:val="21"/>
        </w:rPr>
        <w:t>▲特别说明：谈判报价表、</w:t>
      </w:r>
      <w:r>
        <w:rPr>
          <w:rFonts w:hint="eastAsia" w:ascii="宋体" w:hAnsi="宋体"/>
          <w:b/>
          <w:bCs/>
          <w:szCs w:val="21"/>
        </w:rPr>
        <w:t>谈判书、法定代表人授权委托书、技术响应及偏离情况说明表、商务响应及偏离情况说明表必须按格式要求由法定代表人或委托代理人签名并加盖单位公章</w:t>
      </w:r>
      <w:r>
        <w:rPr>
          <w:rFonts w:hint="eastAsia" w:ascii="宋体" w:hAnsi="宋体"/>
          <w:b/>
          <w:szCs w:val="21"/>
        </w:rPr>
        <w:t>。（必须按其要求，否则竞标无效）</w:t>
      </w:r>
    </w:p>
    <w:p>
      <w:pPr>
        <w:spacing w:line="390" w:lineRule="exact"/>
        <w:ind w:firstLine="420" w:firstLineChars="200"/>
        <w:rPr>
          <w:rFonts w:ascii="宋体" w:hAnsi="宋体" w:cs="宋体"/>
          <w:szCs w:val="21"/>
        </w:rPr>
      </w:pPr>
      <w:r>
        <w:rPr>
          <w:rFonts w:hint="eastAsia" w:ascii="宋体" w:hAnsi="宋体" w:cs="宋体"/>
          <w:szCs w:val="21"/>
        </w:rPr>
        <w:t>7. 计量单位</w:t>
      </w:r>
    </w:p>
    <w:p>
      <w:pPr>
        <w:spacing w:line="390" w:lineRule="exact"/>
        <w:ind w:firstLine="420" w:firstLineChars="200"/>
        <w:rPr>
          <w:rFonts w:ascii="宋体" w:hAnsi="宋体" w:cs="宋体"/>
          <w:szCs w:val="21"/>
        </w:rPr>
      </w:pPr>
      <w:r>
        <w:rPr>
          <w:rFonts w:hint="eastAsia" w:ascii="宋体" w:hAnsi="宋体" w:cs="宋体"/>
          <w:szCs w:val="21"/>
        </w:rPr>
        <w:t>7.1除技术要求中另有规定外，本文件所要求使用的计量单位均应采用国家法定计量单位。</w:t>
      </w:r>
    </w:p>
    <w:p>
      <w:pPr>
        <w:spacing w:line="390" w:lineRule="exact"/>
        <w:ind w:firstLine="420" w:firstLineChars="200"/>
        <w:rPr>
          <w:rFonts w:ascii="宋体" w:hAnsi="宋体" w:cs="宋体"/>
          <w:b/>
          <w:szCs w:val="21"/>
        </w:rPr>
      </w:pPr>
      <w:r>
        <w:rPr>
          <w:rFonts w:hint="eastAsia" w:ascii="宋体" w:hAnsi="宋体" w:cs="宋体"/>
          <w:b/>
          <w:szCs w:val="21"/>
        </w:rPr>
        <w:t>三、谈判报价要求</w:t>
      </w:r>
    </w:p>
    <w:p>
      <w:pPr>
        <w:spacing w:line="390" w:lineRule="exact"/>
        <w:ind w:firstLine="420" w:firstLineChars="200"/>
        <w:rPr>
          <w:rFonts w:ascii="宋体" w:hAnsi="宋体" w:cs="宋体"/>
          <w:b/>
          <w:szCs w:val="21"/>
        </w:rPr>
      </w:pPr>
      <w:r>
        <w:rPr>
          <w:rFonts w:hint="eastAsia" w:ascii="宋体" w:hAnsi="宋体" w:cs="宋体"/>
          <w:szCs w:val="21"/>
        </w:rPr>
        <w:t>8.1谈判报价：</w:t>
      </w:r>
      <w:r>
        <w:rPr>
          <w:rFonts w:hint="eastAsia" w:ascii="宋体" w:hAnsi="宋体" w:cs="宋体"/>
          <w:b/>
          <w:szCs w:val="21"/>
        </w:rPr>
        <w:t>谈判供应商须就《采购项目需求一览表》中全部的采购要求和服务内容作完整唯一报价。</w:t>
      </w:r>
    </w:p>
    <w:p>
      <w:pPr>
        <w:spacing w:line="390" w:lineRule="exact"/>
        <w:ind w:firstLine="420" w:firstLineChars="200"/>
        <w:rPr>
          <w:rFonts w:ascii="宋体" w:hAnsi="宋体" w:cs="宋体"/>
          <w:szCs w:val="21"/>
        </w:rPr>
      </w:pPr>
      <w:r>
        <w:rPr>
          <w:rFonts w:hint="eastAsia" w:ascii="宋体" w:hAnsi="宋体" w:cs="宋体"/>
          <w:szCs w:val="21"/>
        </w:rPr>
        <w:t>8.2对于本文件中未列明，而谈判供应商认为必需的费用也需列入总报价。在合同实施时，采购人将不予支付成交供应商没有列入的项目费用，并认为此项目的费用已包括在总报价中。</w:t>
      </w:r>
    </w:p>
    <w:p>
      <w:pPr>
        <w:spacing w:line="390" w:lineRule="exact"/>
        <w:ind w:firstLine="420" w:firstLineChars="200"/>
        <w:rPr>
          <w:rFonts w:ascii="宋体" w:hAnsi="宋体" w:cs="宋体"/>
          <w:szCs w:val="21"/>
        </w:rPr>
      </w:pPr>
      <w:r>
        <w:rPr>
          <w:rFonts w:hint="eastAsia" w:ascii="宋体" w:hAnsi="宋体" w:cs="宋体"/>
          <w:szCs w:val="21"/>
        </w:rPr>
        <w:t>8.3 成交供应商负责本项目所采购的货物、工程、服务的全部工作。</w:t>
      </w:r>
    </w:p>
    <w:p>
      <w:pPr>
        <w:spacing w:line="390" w:lineRule="exact"/>
        <w:ind w:firstLine="420" w:firstLineChars="200"/>
        <w:rPr>
          <w:rFonts w:ascii="宋体" w:hAnsi="宋体" w:cs="宋体"/>
          <w:szCs w:val="21"/>
        </w:rPr>
      </w:pPr>
      <w:r>
        <w:rPr>
          <w:rFonts w:hint="eastAsia" w:ascii="宋体" w:hAnsi="宋体" w:cs="宋体"/>
          <w:szCs w:val="21"/>
        </w:rPr>
        <w:t>8.4</w:t>
      </w:r>
      <w:r>
        <w:rPr>
          <w:rFonts w:hint="eastAsia" w:ascii="宋体" w:hAnsi="宋体"/>
          <w:szCs w:val="21"/>
        </w:rPr>
        <w:t>供应商应在谈判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谈判时被接受，其后果由供应商自负</w:t>
      </w:r>
      <w:r>
        <w:rPr>
          <w:rFonts w:hint="eastAsia" w:ascii="宋体" w:hAnsi="宋体" w:cs="宋体"/>
          <w:szCs w:val="21"/>
        </w:rPr>
        <w:t>。</w:t>
      </w:r>
    </w:p>
    <w:p>
      <w:pPr>
        <w:spacing w:line="390" w:lineRule="exact"/>
        <w:ind w:firstLine="420" w:firstLineChars="200"/>
        <w:rPr>
          <w:rFonts w:ascii="宋体" w:hAnsi="宋体" w:cs="宋体"/>
          <w:b/>
          <w:szCs w:val="21"/>
        </w:rPr>
      </w:pPr>
      <w:r>
        <w:rPr>
          <w:rFonts w:hint="eastAsia" w:ascii="宋体" w:hAnsi="宋体" w:cs="宋体"/>
          <w:b/>
          <w:szCs w:val="21"/>
        </w:rPr>
        <w:t>四、竞争性谈判响应文件的份数、封装和递交</w:t>
      </w:r>
    </w:p>
    <w:p>
      <w:pPr>
        <w:spacing w:line="390" w:lineRule="exact"/>
        <w:ind w:firstLine="420" w:firstLineChars="200"/>
        <w:rPr>
          <w:rFonts w:ascii="宋体" w:hAnsi="宋体" w:cs="宋体"/>
          <w:szCs w:val="21"/>
        </w:rPr>
      </w:pPr>
      <w:r>
        <w:rPr>
          <w:rFonts w:hint="eastAsia" w:ascii="宋体" w:hAnsi="宋体" w:cs="宋体"/>
          <w:szCs w:val="21"/>
        </w:rPr>
        <w:t>9. 竞争性谈判响应文件的份数和封装</w:t>
      </w:r>
    </w:p>
    <w:p>
      <w:pPr>
        <w:spacing w:line="390" w:lineRule="exact"/>
        <w:ind w:firstLine="420" w:firstLineChars="200"/>
        <w:rPr>
          <w:rFonts w:ascii="宋体" w:hAnsi="宋体" w:cs="宋体"/>
          <w:szCs w:val="21"/>
        </w:rPr>
      </w:pPr>
      <w:r>
        <w:rPr>
          <w:rFonts w:hint="eastAsia" w:ascii="宋体" w:hAnsi="宋体" w:cs="宋体"/>
          <w:szCs w:val="21"/>
        </w:rPr>
        <w:t>9.1</w:t>
      </w:r>
      <w:r>
        <w:rPr>
          <w:rFonts w:hint="eastAsia" w:ascii="宋体" w:hAnsi="宋体"/>
          <w:szCs w:val="21"/>
        </w:rPr>
        <w:t>谈判供应商应将所有竞争性谈判响应文件按第四章“竞争性谈判响应文件格式”的要求和顺序合并装订成一册，其中正本一份，副本三份，</w:t>
      </w:r>
      <w:r>
        <w:rPr>
          <w:rFonts w:hint="eastAsia" w:cs="宋体"/>
        </w:rPr>
        <w:t>电子版竞争性谈判响应文件一份，</w:t>
      </w:r>
      <w:r>
        <w:rPr>
          <w:rFonts w:hint="eastAsia" w:ascii="宋体" w:hAnsi="宋体"/>
          <w:szCs w:val="21"/>
        </w:rPr>
        <w:t>并</w:t>
      </w:r>
      <w:r>
        <w:rPr>
          <w:rFonts w:hAnsi="宋体"/>
          <w:szCs w:val="21"/>
        </w:rPr>
        <w:t>在每个文本封面上标明“正本”或“副本”</w:t>
      </w:r>
      <w:r>
        <w:rPr>
          <w:rFonts w:hint="eastAsia" w:ascii="宋体" w:hAnsi="宋体"/>
          <w:szCs w:val="21"/>
        </w:rPr>
        <w:t>。谈判供应商</w:t>
      </w:r>
      <w:r>
        <w:rPr>
          <w:rFonts w:hAnsi="宋体"/>
          <w:szCs w:val="21"/>
        </w:rPr>
        <w:t>应</w:t>
      </w:r>
      <w:r>
        <w:rPr>
          <w:rFonts w:hint="eastAsia" w:hAnsi="宋体"/>
          <w:szCs w:val="21"/>
        </w:rPr>
        <w:t>尽量</w:t>
      </w:r>
      <w:r>
        <w:rPr>
          <w:rFonts w:hAnsi="宋体"/>
          <w:szCs w:val="21"/>
        </w:rPr>
        <w:t>将正、副本一并装入一个文件袋中进行包装，</w:t>
      </w:r>
      <w:r>
        <w:rPr>
          <w:rFonts w:hint="eastAsia" w:cs="宋体"/>
        </w:rPr>
        <w:t>电子版响应文件拷到U盘后单独密封封装，</w:t>
      </w:r>
      <w:r>
        <w:rPr>
          <w:rFonts w:hint="eastAsia" w:hAnsi="宋体"/>
          <w:szCs w:val="21"/>
        </w:rPr>
        <w:t>同时将</w:t>
      </w:r>
      <w:r>
        <w:rPr>
          <w:rFonts w:hAnsi="宋体"/>
          <w:szCs w:val="21"/>
        </w:rPr>
        <w:t>正、副本</w:t>
      </w:r>
      <w:r>
        <w:rPr>
          <w:rFonts w:hint="eastAsia" w:hAnsi="宋体"/>
          <w:szCs w:val="21"/>
        </w:rPr>
        <w:t>和</w:t>
      </w:r>
      <w:r>
        <w:rPr>
          <w:rFonts w:hint="eastAsia" w:cs="宋体"/>
        </w:rPr>
        <w:t>电子版U盘一起</w:t>
      </w:r>
      <w:r>
        <w:rPr>
          <w:rFonts w:hAnsi="宋体"/>
          <w:szCs w:val="21"/>
        </w:rPr>
        <w:t>加以密封，并在封贴处密封签章（公章、密封章、法定代表人或</w:t>
      </w:r>
      <w:r>
        <w:rPr>
          <w:rFonts w:hint="eastAsia" w:hAnsi="宋体"/>
          <w:szCs w:val="21"/>
        </w:rPr>
        <w:t>委托代理人</w:t>
      </w:r>
      <w:r>
        <w:rPr>
          <w:rFonts w:hAnsi="宋体"/>
          <w:szCs w:val="21"/>
        </w:rPr>
        <w:t>签字均可）</w:t>
      </w:r>
      <w:r>
        <w:rPr>
          <w:rFonts w:hint="eastAsia" w:ascii="宋体" w:hAnsi="宋体" w:cs="宋体"/>
          <w:szCs w:val="21"/>
        </w:rPr>
        <w:t>。</w:t>
      </w:r>
    </w:p>
    <w:p>
      <w:pPr>
        <w:spacing w:line="390" w:lineRule="exact"/>
        <w:ind w:firstLine="420" w:firstLineChars="200"/>
        <w:rPr>
          <w:rFonts w:ascii="宋体" w:hAnsi="宋体"/>
          <w:szCs w:val="21"/>
        </w:rPr>
      </w:pPr>
      <w:r>
        <w:rPr>
          <w:rFonts w:hint="eastAsia" w:ascii="宋体" w:hAnsi="宋体"/>
          <w:szCs w:val="21"/>
        </w:rPr>
        <w:t>9.2竞争性谈判响应文件的</w:t>
      </w:r>
      <w:r>
        <w:rPr>
          <w:rFonts w:hAnsi="宋体"/>
          <w:szCs w:val="21"/>
        </w:rPr>
        <w:t>文件袋</w:t>
      </w:r>
      <w:r>
        <w:rPr>
          <w:rFonts w:hint="eastAsia" w:ascii="宋体" w:hAnsi="宋体"/>
          <w:szCs w:val="21"/>
        </w:rPr>
        <w:t>上应写明：</w:t>
      </w:r>
    </w:p>
    <w:p>
      <w:pPr>
        <w:spacing w:line="390" w:lineRule="exact"/>
        <w:ind w:firstLine="420" w:firstLineChars="200"/>
        <w:rPr>
          <w:rFonts w:ascii="宋体" w:hAnsi="宋体"/>
          <w:szCs w:val="21"/>
        </w:rPr>
      </w:pPr>
      <w:r>
        <w:rPr>
          <w:rFonts w:hint="eastAsia" w:ascii="宋体" w:hAnsi="宋体"/>
          <w:szCs w:val="21"/>
        </w:rPr>
        <w:t>1）项目名称：；</w:t>
      </w:r>
    </w:p>
    <w:p>
      <w:pPr>
        <w:spacing w:line="390" w:lineRule="exact"/>
        <w:ind w:firstLine="420" w:firstLineChars="200"/>
        <w:rPr>
          <w:rFonts w:ascii="宋体" w:hAnsi="宋体"/>
          <w:szCs w:val="21"/>
        </w:rPr>
      </w:pPr>
      <w:r>
        <w:rPr>
          <w:rFonts w:hint="eastAsia" w:ascii="宋体" w:hAnsi="宋体"/>
          <w:szCs w:val="21"/>
        </w:rPr>
        <w:t>2）项目编号：；</w:t>
      </w:r>
    </w:p>
    <w:p>
      <w:pPr>
        <w:spacing w:line="390" w:lineRule="exact"/>
        <w:ind w:firstLine="420" w:firstLineChars="200"/>
        <w:rPr>
          <w:rFonts w:ascii="宋体" w:hAnsi="宋体"/>
          <w:szCs w:val="21"/>
        </w:rPr>
      </w:pPr>
      <w:r>
        <w:rPr>
          <w:rFonts w:hint="eastAsia" w:ascii="宋体" w:hAnsi="宋体"/>
          <w:szCs w:val="21"/>
        </w:rPr>
        <w:t>3）分标号（如有）：；</w:t>
      </w:r>
    </w:p>
    <w:p>
      <w:pPr>
        <w:spacing w:line="390" w:lineRule="exact"/>
        <w:ind w:firstLine="420" w:firstLineChars="200"/>
        <w:rPr>
          <w:rFonts w:ascii="宋体" w:hAnsi="宋体"/>
          <w:szCs w:val="21"/>
        </w:rPr>
      </w:pPr>
      <w:r>
        <w:rPr>
          <w:rFonts w:hint="eastAsia" w:ascii="宋体" w:hAnsi="宋体"/>
          <w:szCs w:val="21"/>
        </w:rPr>
        <w:t>4）谈判供应商名称：。</w:t>
      </w:r>
    </w:p>
    <w:p>
      <w:pPr>
        <w:spacing w:line="390" w:lineRule="exact"/>
        <w:ind w:firstLine="420" w:firstLineChars="200"/>
        <w:rPr>
          <w:rFonts w:ascii="宋体" w:hAnsi="宋体"/>
          <w:szCs w:val="21"/>
        </w:rPr>
      </w:pPr>
      <w:r>
        <w:rPr>
          <w:rFonts w:hint="eastAsia" w:ascii="宋体" w:hAnsi="宋体"/>
          <w:szCs w:val="21"/>
        </w:rPr>
        <w:t>9.3电子版竞争性谈判响应文件的文件袋上应写明：</w:t>
      </w:r>
    </w:p>
    <w:p>
      <w:pPr>
        <w:spacing w:line="390" w:lineRule="exact"/>
        <w:ind w:firstLine="420" w:firstLineChars="200"/>
        <w:rPr>
          <w:rFonts w:ascii="宋体" w:hAnsi="宋体"/>
          <w:szCs w:val="21"/>
        </w:rPr>
      </w:pPr>
      <w:r>
        <w:rPr>
          <w:rFonts w:hint="eastAsia" w:ascii="宋体" w:hAnsi="宋体"/>
          <w:szCs w:val="21"/>
        </w:rPr>
        <w:t>1）项目名称：；</w:t>
      </w:r>
    </w:p>
    <w:p>
      <w:pPr>
        <w:spacing w:line="390" w:lineRule="exact"/>
        <w:ind w:firstLine="420" w:firstLineChars="200"/>
        <w:rPr>
          <w:rFonts w:ascii="宋体" w:hAnsi="宋体"/>
          <w:szCs w:val="21"/>
        </w:rPr>
      </w:pPr>
      <w:r>
        <w:rPr>
          <w:rFonts w:hint="eastAsia" w:ascii="宋体" w:hAnsi="宋体"/>
          <w:szCs w:val="21"/>
        </w:rPr>
        <w:t>2）项目编号：；</w:t>
      </w:r>
    </w:p>
    <w:p>
      <w:pPr>
        <w:spacing w:line="390" w:lineRule="exact"/>
        <w:ind w:firstLine="420" w:firstLineChars="200"/>
        <w:rPr>
          <w:rFonts w:ascii="宋体" w:hAnsi="宋体"/>
          <w:szCs w:val="21"/>
        </w:rPr>
      </w:pPr>
      <w:r>
        <w:rPr>
          <w:rFonts w:hint="eastAsia" w:ascii="宋体" w:hAnsi="宋体"/>
          <w:szCs w:val="21"/>
        </w:rPr>
        <w:t>3）分标号（如有）：；</w:t>
      </w:r>
    </w:p>
    <w:p>
      <w:pPr>
        <w:spacing w:line="390" w:lineRule="exact"/>
        <w:ind w:firstLine="420" w:firstLineChars="200"/>
        <w:rPr>
          <w:rFonts w:ascii="宋体" w:hAnsi="宋体"/>
          <w:szCs w:val="21"/>
        </w:rPr>
      </w:pPr>
      <w:r>
        <w:rPr>
          <w:rFonts w:hint="eastAsia" w:ascii="宋体" w:hAnsi="宋体"/>
          <w:szCs w:val="21"/>
        </w:rPr>
        <w:t>4）谈判供应商名称：。</w:t>
      </w:r>
    </w:p>
    <w:p>
      <w:pPr>
        <w:spacing w:line="390" w:lineRule="exact"/>
        <w:ind w:firstLine="420" w:firstLineChars="200"/>
        <w:rPr>
          <w:rFonts w:ascii="宋体" w:hAnsi="宋体" w:cs="宋体"/>
          <w:szCs w:val="21"/>
        </w:rPr>
      </w:pPr>
      <w:r>
        <w:rPr>
          <w:rFonts w:hint="eastAsia" w:ascii="宋体" w:hAnsi="宋体" w:cs="宋体"/>
          <w:szCs w:val="21"/>
        </w:rPr>
        <w:t>10. 竞争性谈判响应文件的递交</w:t>
      </w:r>
    </w:p>
    <w:p>
      <w:pPr>
        <w:spacing w:line="390" w:lineRule="exact"/>
        <w:ind w:firstLine="420" w:firstLineChars="200"/>
        <w:rPr>
          <w:rFonts w:ascii="宋体" w:hAnsi="宋体" w:cs="宋体"/>
          <w:szCs w:val="21"/>
        </w:rPr>
      </w:pPr>
      <w:r>
        <w:rPr>
          <w:rFonts w:hint="eastAsia" w:ascii="宋体" w:hAnsi="宋体" w:cs="宋体"/>
          <w:szCs w:val="21"/>
        </w:rPr>
        <w:t>10.1所有竞争性响应文件应于“第二章 谈判供应商须知及前附表”中规定的截止时间前递交到规定地点。</w:t>
      </w:r>
    </w:p>
    <w:p>
      <w:pPr>
        <w:spacing w:line="390" w:lineRule="exact"/>
        <w:ind w:firstLine="420" w:firstLineChars="200"/>
        <w:rPr>
          <w:rFonts w:ascii="宋体" w:hAnsi="宋体" w:cs="宋体"/>
          <w:szCs w:val="21"/>
        </w:rPr>
      </w:pPr>
      <w:r>
        <w:rPr>
          <w:rFonts w:hint="eastAsia" w:ascii="宋体" w:hAnsi="宋体" w:cs="宋体"/>
          <w:szCs w:val="21"/>
        </w:rPr>
        <w:t>10.2未按本须知要求密封的竞争性谈判响应文件，广西北部湾宏亚建设管理有限公司将拒收。</w:t>
      </w:r>
    </w:p>
    <w:p>
      <w:pPr>
        <w:spacing w:line="390" w:lineRule="exact"/>
        <w:ind w:firstLine="420" w:firstLineChars="200"/>
        <w:rPr>
          <w:rFonts w:ascii="宋体" w:hAnsi="宋体" w:cs="宋体"/>
          <w:szCs w:val="21"/>
        </w:rPr>
      </w:pPr>
      <w:r>
        <w:rPr>
          <w:rFonts w:hint="eastAsia" w:ascii="宋体" w:hAnsi="宋体" w:cs="宋体"/>
          <w:szCs w:val="21"/>
        </w:rPr>
        <w:t>11. 迟交的竞争性谈判响应文件</w:t>
      </w:r>
    </w:p>
    <w:p>
      <w:pPr>
        <w:spacing w:line="390" w:lineRule="exact"/>
        <w:ind w:firstLine="420" w:firstLineChars="200"/>
        <w:rPr>
          <w:rFonts w:ascii="宋体" w:hAnsi="宋体" w:cs="宋体"/>
          <w:szCs w:val="21"/>
        </w:rPr>
      </w:pPr>
      <w:r>
        <w:rPr>
          <w:rFonts w:hint="eastAsia" w:ascii="宋体" w:hAnsi="宋体" w:cs="宋体"/>
          <w:szCs w:val="21"/>
        </w:rPr>
        <w:t>11.1按《中华人民共和国政府采购法》的规定，广西北部湾宏亚建设管理有限公司将拒绝或原封退回在规定的递交竞争性谈判响应文件截止时间之后收到的任何竞争性谈判响应文件。</w:t>
      </w:r>
    </w:p>
    <w:p>
      <w:pPr>
        <w:spacing w:line="390" w:lineRule="exact"/>
        <w:ind w:firstLine="420" w:firstLineChars="200"/>
        <w:rPr>
          <w:rFonts w:ascii="宋体" w:hAnsi="宋体" w:cs="宋体"/>
          <w:b/>
          <w:szCs w:val="21"/>
        </w:rPr>
      </w:pPr>
      <w:r>
        <w:rPr>
          <w:rFonts w:hint="eastAsia" w:ascii="宋体" w:hAnsi="宋体" w:cs="宋体"/>
          <w:b/>
          <w:szCs w:val="21"/>
        </w:rPr>
        <w:t>五、谈判及最后报价</w:t>
      </w:r>
    </w:p>
    <w:p>
      <w:pPr>
        <w:spacing w:line="390" w:lineRule="exact"/>
        <w:ind w:firstLine="420" w:firstLineChars="200"/>
        <w:rPr>
          <w:rFonts w:ascii="宋体" w:hAnsi="宋体" w:cs="宋体"/>
          <w:szCs w:val="21"/>
        </w:rPr>
      </w:pPr>
      <w:r>
        <w:rPr>
          <w:rFonts w:hint="eastAsia" w:ascii="宋体" w:hAnsi="宋体" w:cs="宋体"/>
          <w:szCs w:val="21"/>
        </w:rPr>
        <w:t>12. 谈判及最后报价</w:t>
      </w:r>
    </w:p>
    <w:p>
      <w:pPr>
        <w:spacing w:line="390" w:lineRule="exact"/>
        <w:ind w:firstLine="420" w:firstLineChars="200"/>
        <w:rPr>
          <w:rFonts w:ascii="宋体" w:hAnsi="宋体" w:cs="宋体"/>
          <w:szCs w:val="21"/>
        </w:rPr>
      </w:pPr>
      <w:r>
        <w:rPr>
          <w:rFonts w:hint="eastAsia" w:ascii="宋体" w:hAnsi="宋体" w:cs="宋体"/>
          <w:szCs w:val="21"/>
        </w:rPr>
        <w:t>12.1谈判小组将对响应文件进行评审，并根据谈判文件规定的程序、评定成交的标准等事项与实质性响应谈判文件要求的供应商进行谈判。未实质性响应谈判文件的响应文件按无效处理，谈判小组应当告知有关供应商。</w:t>
      </w:r>
    </w:p>
    <w:p>
      <w:pPr>
        <w:spacing w:line="390" w:lineRule="exact"/>
        <w:ind w:firstLine="420" w:firstLineChars="200"/>
        <w:rPr>
          <w:rFonts w:ascii="宋体" w:hAnsi="宋体" w:cs="宋体"/>
          <w:szCs w:val="21"/>
        </w:rPr>
      </w:pPr>
      <w:r>
        <w:rPr>
          <w:rFonts w:hint="eastAsia" w:ascii="宋体" w:hAnsi="宋体" w:cs="宋体"/>
          <w:szCs w:val="21"/>
        </w:rPr>
        <w:t>12.2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20" w:firstLineChars="200"/>
        <w:rPr>
          <w:rFonts w:ascii="宋体" w:hAnsi="宋体" w:cs="宋体"/>
          <w:szCs w:val="21"/>
        </w:rPr>
      </w:pPr>
      <w:r>
        <w:rPr>
          <w:rFonts w:hint="eastAsia" w:ascii="宋体" w:hAnsi="宋体" w:cs="宋体"/>
          <w:szCs w:val="21"/>
        </w:rPr>
        <w:t>谈判小组要求供应商澄清、说明或者更正响应文件应当以书面形式作出。供应商的澄清、说明或者更正应当由法定代表人或其授权代表签字或者加盖公章。</w:t>
      </w:r>
    </w:p>
    <w:p>
      <w:pPr>
        <w:spacing w:line="390" w:lineRule="exact"/>
        <w:ind w:firstLine="420" w:firstLineChars="200"/>
        <w:rPr>
          <w:rFonts w:ascii="宋体" w:hAnsi="宋体" w:cs="宋体"/>
          <w:szCs w:val="21"/>
        </w:rPr>
      </w:pPr>
      <w:r>
        <w:rPr>
          <w:rFonts w:hint="eastAsia" w:ascii="宋体" w:hAnsi="宋体" w:cs="宋体"/>
          <w:szCs w:val="21"/>
        </w:rPr>
        <w:t>12.3谈判小组所有成员将集中与单一供应商分别进行谈判，并给予所有参加谈判的供应商平等的谈判机会。</w:t>
      </w:r>
    </w:p>
    <w:p>
      <w:pPr>
        <w:spacing w:line="390" w:lineRule="exact"/>
        <w:ind w:firstLine="420" w:firstLineChars="200"/>
        <w:rPr>
          <w:rFonts w:ascii="宋体" w:hAnsi="宋体" w:cs="宋体"/>
          <w:szCs w:val="21"/>
        </w:rPr>
      </w:pPr>
      <w:r>
        <w:rPr>
          <w:rFonts w:hint="eastAsia" w:ascii="宋体" w:hAnsi="宋体" w:cs="宋体"/>
          <w:szCs w:val="21"/>
        </w:rPr>
        <w:t>12.4在谈判过程中，谈判小组可以根据谈判文件和谈判情况实质性变动采购需求中的技术、服务要求以及合同草案条款，但不得变动谈判文件中的其他内容。实质性变动的内容，须经采购人代表确认。</w:t>
      </w:r>
    </w:p>
    <w:p>
      <w:pPr>
        <w:spacing w:line="390" w:lineRule="exact"/>
        <w:ind w:firstLine="420" w:firstLineChars="200"/>
        <w:rPr>
          <w:rFonts w:ascii="宋体" w:hAnsi="宋体" w:cs="宋体"/>
          <w:szCs w:val="21"/>
        </w:rPr>
      </w:pPr>
      <w:r>
        <w:rPr>
          <w:rFonts w:hint="eastAsia" w:ascii="宋体" w:hAnsi="宋体" w:cs="宋体"/>
          <w:szCs w:val="21"/>
        </w:rPr>
        <w:t>12.5对谈判文件作出的实质性变动是谈判文件的有效组成部分，谈判小组应当及时以书面形式同时通知所有参加谈判的供应商。</w:t>
      </w:r>
    </w:p>
    <w:p>
      <w:pPr>
        <w:spacing w:line="390" w:lineRule="exact"/>
        <w:ind w:firstLine="420" w:firstLineChars="200"/>
        <w:rPr>
          <w:rFonts w:ascii="宋体" w:hAnsi="宋体" w:cs="宋体"/>
          <w:szCs w:val="21"/>
        </w:rPr>
      </w:pPr>
      <w:r>
        <w:rPr>
          <w:rFonts w:hint="eastAsia" w:ascii="宋体" w:hAnsi="宋体" w:cs="宋体"/>
          <w:szCs w:val="21"/>
        </w:rPr>
        <w:t>12.6谈判供应商应当按照谈判文件的变动情况和谈判小组的要求重新提交响应文件，并由其法定代表人或委托代理人签字或者加盖公章。由委托代理人签字的，应当附法定代表人授权书。供应商为自然人的，应当由本人签字。</w:t>
      </w:r>
    </w:p>
    <w:p>
      <w:pPr>
        <w:spacing w:line="390" w:lineRule="exact"/>
        <w:ind w:firstLine="420" w:firstLineChars="200"/>
        <w:rPr>
          <w:rFonts w:ascii="宋体" w:hAnsi="宋体" w:cs="宋体"/>
          <w:szCs w:val="21"/>
        </w:rPr>
      </w:pPr>
      <w:r>
        <w:rPr>
          <w:rFonts w:hint="eastAsia" w:ascii="宋体" w:hAnsi="宋体" w:cs="宋体"/>
          <w:szCs w:val="21"/>
        </w:rPr>
        <w:t>12.7谈判文件能够详细列明采购标的的技术、服务要求的，谈判结束后，谈判小组应当要求所有继续参加谈判的供应商在规定时间内提交最后报价，提交最后报价的供应商不得少于3家（政府采购法律法规规定可以为2家的情况除外）。</w:t>
      </w:r>
    </w:p>
    <w:p>
      <w:pPr>
        <w:spacing w:line="390" w:lineRule="exact"/>
        <w:ind w:firstLine="420" w:firstLineChars="200"/>
        <w:rPr>
          <w:rFonts w:ascii="宋体" w:hAnsi="宋体" w:cs="宋体"/>
          <w:szCs w:val="21"/>
        </w:rPr>
      </w:pPr>
      <w:r>
        <w:rPr>
          <w:rFonts w:hint="eastAsia" w:ascii="宋体" w:hAnsi="宋体" w:cs="宋体"/>
          <w:szCs w:val="21"/>
        </w:rPr>
        <w:t>12.8谈判文件不能详细列明采购标的的技术、服务要求，需经谈判由供应商提供最终设计方案或解决方案的，谈判结束后，谈判小组应当按照少数服从多数的原则投票推荐3家以上供应商的设计方案或者解决方案（政府采购法律法规规定可以为2家的情况除外），并要求其在规定时间内提交最后报价。</w:t>
      </w:r>
    </w:p>
    <w:p>
      <w:pPr>
        <w:snapToGrid w:val="0"/>
        <w:spacing w:line="390" w:lineRule="exact"/>
        <w:ind w:firstLine="420" w:firstLineChars="200"/>
        <w:rPr>
          <w:rFonts w:ascii="宋体" w:hAnsi="宋体" w:cs="宋体"/>
          <w:szCs w:val="21"/>
        </w:rPr>
      </w:pPr>
      <w:r>
        <w:rPr>
          <w:rFonts w:hint="eastAsia" w:ascii="宋体" w:hAnsi="宋体" w:cs="宋体"/>
          <w:szCs w:val="21"/>
        </w:rPr>
        <w:t>12.9谈判供应商重新提交的响应文件、最后报价等均为竞争性谈判响应文件的有效组成部分，与竞争性谈判响应文件同具法律效力。谈判供应商应在规定时间内将上述文件密封递交至谈判小组，逾时不交的，视同放弃谈判，谈判响应无效。</w:t>
      </w:r>
    </w:p>
    <w:p>
      <w:pPr>
        <w:spacing w:line="390" w:lineRule="exact"/>
        <w:ind w:firstLine="420" w:firstLineChars="200"/>
        <w:rPr>
          <w:rFonts w:ascii="宋体" w:hAnsi="宋体" w:cs="宋体"/>
          <w:szCs w:val="21"/>
        </w:rPr>
      </w:pPr>
      <w:r>
        <w:rPr>
          <w:rFonts w:hint="eastAsia" w:ascii="宋体" w:hAnsi="宋体" w:cs="宋体"/>
          <w:szCs w:val="21"/>
        </w:rPr>
        <w:t>12.10在采购过程中符合竞争要求的谈判供应商或者报价未超过采购预算的谈判供应商不足3家的（政府采购法律法规规定可以为2家的情况除外），采购人或者采购代理机构将终止竞争性谈判采购活动，发布项目终止公告并说明原因，重新开展采购活动。</w:t>
      </w:r>
    </w:p>
    <w:p>
      <w:pPr>
        <w:spacing w:line="390" w:lineRule="exact"/>
        <w:ind w:firstLine="420" w:firstLineChars="200"/>
        <w:rPr>
          <w:rFonts w:ascii="宋体" w:hAnsi="宋体" w:cs="宋体"/>
          <w:szCs w:val="21"/>
        </w:rPr>
      </w:pPr>
      <w:r>
        <w:rPr>
          <w:rFonts w:hint="eastAsia" w:ascii="宋体" w:hAnsi="宋体" w:cs="宋体"/>
          <w:szCs w:val="21"/>
        </w:rPr>
        <w:t>12.11本项目政府采购预算详见《竞争性谈判公告》。</w:t>
      </w:r>
    </w:p>
    <w:p>
      <w:pPr>
        <w:spacing w:line="390" w:lineRule="exact"/>
        <w:ind w:firstLine="420" w:firstLineChars="200"/>
        <w:rPr>
          <w:rFonts w:ascii="宋体" w:hAnsi="宋体" w:cs="宋体"/>
          <w:szCs w:val="21"/>
        </w:rPr>
      </w:pPr>
      <w:r>
        <w:rPr>
          <w:rFonts w:hint="eastAsia" w:ascii="宋体" w:hAnsi="宋体" w:cs="宋体"/>
          <w:szCs w:val="21"/>
        </w:rPr>
        <w:t>13.竞标无效</w:t>
      </w:r>
    </w:p>
    <w:p>
      <w:pPr>
        <w:spacing w:line="390" w:lineRule="exact"/>
        <w:ind w:firstLine="420" w:firstLineChars="200"/>
        <w:rPr>
          <w:rFonts w:ascii="宋体" w:hAnsi="宋体" w:cs="宋体"/>
          <w:szCs w:val="21"/>
        </w:rPr>
      </w:pPr>
      <w:r>
        <w:rPr>
          <w:rFonts w:hint="eastAsia" w:ascii="宋体" w:hAnsi="宋体" w:cs="宋体"/>
          <w:szCs w:val="21"/>
        </w:rPr>
        <w:t>13.1竞争性谈判响应文件如有下列情况之一，将视为未实质性响应谈判文件，按竞标无效处理：</w:t>
      </w:r>
    </w:p>
    <w:p>
      <w:pPr>
        <w:spacing w:line="370" w:lineRule="exact"/>
        <w:ind w:firstLine="420" w:firstLineChars="200"/>
        <w:rPr>
          <w:rFonts w:ascii="宋体" w:hAnsi="宋体"/>
          <w:szCs w:val="21"/>
        </w:rPr>
      </w:pPr>
      <w:r>
        <w:rPr>
          <w:rFonts w:ascii="宋体" w:hAnsi="宋体"/>
          <w:szCs w:val="21"/>
        </w:rPr>
        <w:t>（1）应交未交或不足额交竞标保证金的；</w:t>
      </w:r>
    </w:p>
    <w:p>
      <w:pPr>
        <w:spacing w:line="370" w:lineRule="exact"/>
        <w:ind w:firstLine="420" w:firstLineChars="200"/>
        <w:rPr>
          <w:rFonts w:ascii="宋体" w:hAnsi="宋体"/>
          <w:szCs w:val="21"/>
        </w:rPr>
      </w:pPr>
      <w:r>
        <w:rPr>
          <w:rFonts w:ascii="宋体" w:hAnsi="宋体"/>
          <w:szCs w:val="21"/>
        </w:rPr>
        <w:t>（2）未按采购文件规定要求密封、签署、盖章的；</w:t>
      </w:r>
    </w:p>
    <w:p>
      <w:pPr>
        <w:spacing w:line="370" w:lineRule="exact"/>
        <w:ind w:firstLine="420" w:firstLineChars="200"/>
        <w:rPr>
          <w:rFonts w:ascii="宋体" w:hAnsi="宋体"/>
          <w:szCs w:val="21"/>
        </w:rPr>
      </w:pPr>
      <w:r>
        <w:rPr>
          <w:rFonts w:ascii="宋体" w:hAnsi="宋体"/>
          <w:szCs w:val="21"/>
        </w:rPr>
        <w:t>（3）不具备采购文件中规定资格要求的；</w:t>
      </w:r>
    </w:p>
    <w:p>
      <w:pPr>
        <w:spacing w:line="370" w:lineRule="exact"/>
        <w:ind w:firstLine="420" w:firstLineChars="200"/>
        <w:rPr>
          <w:rFonts w:ascii="宋体" w:hAnsi="宋体"/>
          <w:szCs w:val="21"/>
        </w:rPr>
      </w:pPr>
      <w:r>
        <w:rPr>
          <w:rFonts w:ascii="宋体" w:hAnsi="宋体"/>
          <w:szCs w:val="21"/>
        </w:rPr>
        <w:t>（4）采购项目完成期限</w:t>
      </w:r>
      <w:r>
        <w:rPr>
          <w:rFonts w:hint="eastAsia" w:ascii="宋体" w:hAnsi="宋体"/>
          <w:szCs w:val="21"/>
        </w:rPr>
        <w:t>、质保期、交货时间、交货地点、付款方式等不符合</w:t>
      </w:r>
      <w:r>
        <w:rPr>
          <w:rFonts w:ascii="宋体" w:hAnsi="宋体"/>
          <w:szCs w:val="21"/>
        </w:rPr>
        <w:t>采购</w:t>
      </w:r>
      <w:r>
        <w:rPr>
          <w:rFonts w:hint="eastAsia" w:ascii="宋体" w:hAnsi="宋体"/>
          <w:szCs w:val="21"/>
        </w:rPr>
        <w:t>文件要求的</w:t>
      </w:r>
      <w:r>
        <w:rPr>
          <w:rFonts w:ascii="宋体" w:hAnsi="宋体"/>
          <w:szCs w:val="21"/>
        </w:rPr>
        <w:t>；</w:t>
      </w:r>
    </w:p>
    <w:p>
      <w:pPr>
        <w:spacing w:line="370" w:lineRule="exact"/>
        <w:ind w:firstLine="420" w:firstLineChars="200"/>
        <w:rPr>
          <w:rFonts w:ascii="宋体" w:hAnsi="宋体"/>
          <w:szCs w:val="21"/>
        </w:rPr>
      </w:pPr>
      <w:r>
        <w:rPr>
          <w:rFonts w:ascii="宋体" w:hAnsi="宋体"/>
          <w:szCs w:val="21"/>
        </w:rPr>
        <w:t>（5）</w:t>
      </w:r>
      <w:r>
        <w:rPr>
          <w:rFonts w:hint="eastAsia" w:ascii="宋体" w:hAnsi="宋体"/>
          <w:szCs w:val="21"/>
        </w:rPr>
        <w:t>竞标产品</w:t>
      </w:r>
      <w:r>
        <w:rPr>
          <w:rFonts w:ascii="宋体" w:hAnsi="宋体"/>
          <w:szCs w:val="21"/>
        </w:rPr>
        <w:t>明显不符合</w:t>
      </w:r>
      <w:r>
        <w:rPr>
          <w:rFonts w:hint="eastAsia" w:ascii="宋体" w:hAnsi="宋体"/>
          <w:szCs w:val="21"/>
        </w:rPr>
        <w:t>采购文件规定的</w:t>
      </w:r>
      <w:r>
        <w:rPr>
          <w:rFonts w:ascii="宋体" w:hAnsi="宋体"/>
          <w:szCs w:val="21"/>
        </w:rPr>
        <w:t>技术规格、技术标准</w:t>
      </w:r>
      <w:r>
        <w:rPr>
          <w:rFonts w:hint="eastAsia" w:ascii="宋体" w:hAnsi="宋体"/>
          <w:szCs w:val="21"/>
        </w:rPr>
        <w:t>、</w:t>
      </w:r>
      <w:r>
        <w:rPr>
          <w:rFonts w:ascii="宋体" w:hAnsi="宋体"/>
          <w:szCs w:val="21"/>
        </w:rPr>
        <w:t>检验标准</w:t>
      </w:r>
      <w:r>
        <w:rPr>
          <w:rFonts w:hint="eastAsia" w:ascii="宋体" w:hAnsi="宋体"/>
          <w:szCs w:val="21"/>
        </w:rPr>
        <w:t>等</w:t>
      </w:r>
      <w:r>
        <w:rPr>
          <w:rFonts w:ascii="宋体" w:hAnsi="宋体"/>
          <w:szCs w:val="21"/>
        </w:rPr>
        <w:t>要求的；</w:t>
      </w:r>
    </w:p>
    <w:p>
      <w:pPr>
        <w:spacing w:line="370" w:lineRule="exact"/>
        <w:ind w:firstLine="420" w:firstLineChars="200"/>
        <w:rPr>
          <w:rFonts w:ascii="宋体" w:hAnsi="宋体"/>
          <w:szCs w:val="21"/>
        </w:rPr>
      </w:pPr>
      <w:r>
        <w:rPr>
          <w:rFonts w:ascii="宋体" w:hAnsi="宋体"/>
          <w:szCs w:val="21"/>
        </w:rPr>
        <w:t>（6）</w:t>
      </w:r>
      <w:r>
        <w:rPr>
          <w:rFonts w:hint="eastAsia" w:ascii="宋体" w:hAnsi="宋体"/>
          <w:szCs w:val="21"/>
        </w:rPr>
        <w:t>竞争性谈判响应文件</w:t>
      </w:r>
      <w:r>
        <w:rPr>
          <w:rFonts w:ascii="宋体" w:hAnsi="宋体"/>
          <w:szCs w:val="21"/>
        </w:rPr>
        <w:t>附有采购人不能接受的条件</w:t>
      </w:r>
      <w:r>
        <w:rPr>
          <w:rFonts w:hint="eastAsia" w:ascii="宋体" w:hAnsi="宋体"/>
          <w:szCs w:val="21"/>
        </w:rPr>
        <w:t>的</w:t>
      </w:r>
      <w:r>
        <w:rPr>
          <w:rFonts w:ascii="宋体" w:hAnsi="宋体"/>
          <w:szCs w:val="21"/>
        </w:rPr>
        <w:t>；</w:t>
      </w:r>
    </w:p>
    <w:p>
      <w:pPr>
        <w:spacing w:line="370" w:lineRule="exact"/>
        <w:ind w:firstLine="420" w:firstLineChars="200"/>
        <w:rPr>
          <w:rFonts w:ascii="宋体" w:hAnsi="宋体"/>
          <w:szCs w:val="21"/>
        </w:rPr>
      </w:pPr>
      <w:r>
        <w:rPr>
          <w:rFonts w:ascii="宋体" w:hAnsi="宋体"/>
          <w:szCs w:val="21"/>
        </w:rPr>
        <w:t>（7）不符合法律、法规和采购文件中规定的其他实质性要求的</w:t>
      </w:r>
      <w:r>
        <w:rPr>
          <w:rFonts w:hint="eastAsia" w:ascii="宋体" w:hAnsi="宋体"/>
          <w:szCs w:val="21"/>
        </w:rPr>
        <w:t>；</w:t>
      </w:r>
    </w:p>
    <w:p>
      <w:pPr>
        <w:spacing w:line="370" w:lineRule="exact"/>
        <w:ind w:firstLine="420" w:firstLineChars="200"/>
        <w:rPr>
          <w:rFonts w:ascii="宋体" w:hAnsi="宋体"/>
          <w:szCs w:val="21"/>
        </w:rPr>
      </w:pPr>
      <w:r>
        <w:rPr>
          <w:rFonts w:hint="eastAsia" w:ascii="宋体" w:hAnsi="宋体"/>
          <w:szCs w:val="21"/>
        </w:rPr>
        <w:t>（8）未按第四章“竞争性谈判响应文件格式”</w:t>
      </w:r>
      <w:r>
        <w:rPr>
          <w:rFonts w:hint="eastAsia"/>
          <w:szCs w:val="21"/>
        </w:rPr>
        <w:t>中</w:t>
      </w:r>
      <w:r>
        <w:rPr>
          <w:szCs w:val="21"/>
        </w:rPr>
        <w:t>的</w:t>
      </w:r>
      <w:r>
        <w:rPr>
          <w:rFonts w:hint="eastAsia" w:ascii="宋体" w:hAnsi="宋体"/>
          <w:szCs w:val="21"/>
        </w:rPr>
        <w:t>要求的格式编写竞标响应文件、或者</w:t>
      </w:r>
      <w:r>
        <w:rPr>
          <w:rFonts w:hint="eastAsia" w:hAnsi="宋体"/>
        </w:rPr>
        <w:t>填写项目错误、</w:t>
      </w:r>
      <w:r>
        <w:rPr>
          <w:rFonts w:hint="eastAsia" w:ascii="宋体" w:hAnsi="宋体"/>
          <w:szCs w:val="21"/>
        </w:rPr>
        <w:t>或者</w:t>
      </w:r>
      <w:r>
        <w:rPr>
          <w:rFonts w:hint="eastAsia" w:hAnsi="宋体"/>
        </w:rPr>
        <w:t>项目不齐全的或者内容虚假的</w:t>
      </w:r>
      <w:r>
        <w:rPr>
          <w:rFonts w:hint="eastAsia"/>
          <w:szCs w:val="21"/>
        </w:rPr>
        <w:t>；</w:t>
      </w:r>
    </w:p>
    <w:p>
      <w:pPr>
        <w:spacing w:line="390" w:lineRule="exact"/>
        <w:ind w:firstLine="420" w:firstLineChars="200"/>
        <w:rPr>
          <w:rFonts w:hAnsi="宋体"/>
          <w:szCs w:val="21"/>
        </w:rPr>
      </w:pPr>
      <w:r>
        <w:rPr>
          <w:rFonts w:hint="eastAsia" w:ascii="宋体" w:hAnsi="宋体"/>
          <w:szCs w:val="21"/>
        </w:rPr>
        <w:t>（9）</w:t>
      </w:r>
      <w:r>
        <w:rPr>
          <w:rFonts w:hint="eastAsia"/>
          <w:szCs w:val="21"/>
        </w:rPr>
        <w:t>未按规定时间内购买本项目竞争性谈判采购文件的</w:t>
      </w:r>
      <w:r>
        <w:rPr>
          <w:rFonts w:hint="eastAsia" w:ascii="宋体" w:hAnsi="宋体" w:cs="宋体"/>
          <w:szCs w:val="21"/>
        </w:rPr>
        <w:t>。</w:t>
      </w:r>
    </w:p>
    <w:p>
      <w:pPr>
        <w:spacing w:line="390" w:lineRule="exact"/>
        <w:ind w:firstLine="420" w:firstLineChars="200"/>
        <w:rPr>
          <w:rFonts w:ascii="宋体" w:hAnsi="宋体" w:cs="宋体"/>
          <w:b/>
          <w:szCs w:val="21"/>
        </w:rPr>
      </w:pPr>
      <w:r>
        <w:rPr>
          <w:rFonts w:hint="eastAsia" w:ascii="宋体" w:hAnsi="宋体" w:cs="宋体"/>
          <w:b/>
          <w:szCs w:val="21"/>
        </w:rPr>
        <w:t>六、确定成交供应商</w:t>
      </w:r>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14.确定成交供应商办法</w:t>
      </w:r>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14.1本项目的评标原则、评定办法、成交候选供应商推荐及成交供应商确定原则详见“第六章 评审方法”。</w:t>
      </w:r>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14.2谈判小组将在质量和服务均能满足采购文件实质性响应要求的前提下，按评标价由低到高排列成交候选供应商顺序，推荐前三名为成交候选供应商（政府采购法律法规规定可以为2家的情况除外），并编写评审报告。</w:t>
      </w:r>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14.3采购人将在收到评审报告后5个工作日内，按照成交供应商确定原则从评审报告提出的成交候选供应商中确定成交供应商。</w:t>
      </w:r>
    </w:p>
    <w:p>
      <w:pPr>
        <w:widowControl/>
        <w:tabs>
          <w:tab w:val="left" w:pos="540"/>
        </w:tabs>
        <w:spacing w:line="390" w:lineRule="exact"/>
        <w:ind w:firstLine="420" w:firstLineChars="200"/>
        <w:rPr>
          <w:rFonts w:ascii="宋体" w:hAnsi="宋体" w:cs="宋体"/>
          <w:szCs w:val="21"/>
        </w:rPr>
      </w:pPr>
      <w:r>
        <w:rPr>
          <w:rFonts w:hint="eastAsia" w:ascii="宋体" w:hAnsi="宋体" w:cs="宋体"/>
          <w:szCs w:val="21"/>
        </w:rPr>
        <w:t>14.4采购人确定成交供应商后，采购代理机构将在中国政府采购网、广西壮族自治区政府采购网、广西北部湾宏亚建设管理有限公司网上公告成交结果，同时向成交供应商发出成交通知书。</w:t>
      </w:r>
    </w:p>
    <w:p>
      <w:pPr>
        <w:spacing w:line="390" w:lineRule="exact"/>
        <w:ind w:firstLine="420" w:firstLineChars="200"/>
        <w:rPr>
          <w:rFonts w:ascii="宋体" w:hAnsi="宋体" w:cs="宋体"/>
          <w:b/>
          <w:szCs w:val="21"/>
        </w:rPr>
      </w:pPr>
      <w:r>
        <w:rPr>
          <w:rFonts w:hint="eastAsia" w:ascii="宋体" w:hAnsi="宋体" w:cs="宋体"/>
          <w:b/>
          <w:szCs w:val="21"/>
        </w:rPr>
        <w:t>七、签订合同</w:t>
      </w:r>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15. 成交供应商在收到成交通知书后，按规定与采购人签订政府采购合同。</w:t>
      </w:r>
    </w:p>
    <w:p>
      <w:pPr>
        <w:spacing w:line="390" w:lineRule="exact"/>
        <w:ind w:firstLine="420" w:firstLineChars="200"/>
        <w:rPr>
          <w:rFonts w:ascii="宋体" w:hAnsi="宋体" w:cs="宋体"/>
          <w:b/>
          <w:szCs w:val="21"/>
        </w:rPr>
      </w:pPr>
      <w:r>
        <w:rPr>
          <w:rFonts w:hint="eastAsia" w:ascii="宋体" w:hAnsi="宋体" w:cs="宋体"/>
          <w:b/>
          <w:szCs w:val="21"/>
        </w:rPr>
        <w:t>八、适用法律</w:t>
      </w:r>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16.采购当事人的一切活动均适用于《中华人民共和国政府采购法》、《政府采购非招标采购方式管理办法》及相关规定。</w:t>
      </w:r>
    </w:p>
    <w:p>
      <w:pPr>
        <w:widowControl/>
        <w:tabs>
          <w:tab w:val="left" w:pos="540"/>
        </w:tabs>
        <w:spacing w:line="390" w:lineRule="exact"/>
        <w:ind w:firstLine="420" w:firstLineChars="200"/>
        <w:jc w:val="left"/>
        <w:rPr>
          <w:rFonts w:ascii="宋体" w:hAnsi="宋体" w:cs="宋体"/>
          <w:b/>
          <w:szCs w:val="21"/>
        </w:rPr>
      </w:pPr>
      <w:r>
        <w:rPr>
          <w:rFonts w:hint="eastAsia" w:ascii="宋体" w:hAnsi="宋体" w:cs="宋体"/>
          <w:b/>
          <w:szCs w:val="21"/>
        </w:rPr>
        <w:t>九、特别说明</w:t>
      </w:r>
    </w:p>
    <w:p>
      <w:pPr>
        <w:snapToGrid w:val="0"/>
        <w:spacing w:line="390" w:lineRule="exact"/>
        <w:ind w:firstLine="411" w:firstLineChars="196"/>
        <w:outlineLvl w:val="1"/>
        <w:rPr>
          <w:rFonts w:ascii="宋体" w:hAnsi="宋体" w:cs="宋体"/>
          <w:szCs w:val="21"/>
        </w:rPr>
      </w:pPr>
      <w:bookmarkStart w:id="52" w:name="_Toc23251604"/>
      <w:bookmarkStart w:id="53" w:name="_Toc26800530"/>
      <w:bookmarkStart w:id="54" w:name="_Toc23251529"/>
      <w:r>
        <w:rPr>
          <w:rFonts w:hint="eastAsia" w:ascii="宋体" w:hAnsi="宋体" w:cs="宋体"/>
          <w:szCs w:val="21"/>
        </w:rPr>
        <w:t>▲17.供应商所使用的资格、信誉、荣誉、业绩与企业认证必须为本法人所拥有。供应商所使用的采购项目实施人员必须为本法人或控股公司员工。</w:t>
      </w:r>
      <w:bookmarkEnd w:id="52"/>
      <w:bookmarkEnd w:id="53"/>
      <w:bookmarkEnd w:id="54"/>
    </w:p>
    <w:p>
      <w:pPr>
        <w:snapToGrid w:val="0"/>
        <w:spacing w:line="390" w:lineRule="exact"/>
        <w:ind w:firstLine="411" w:firstLineChars="196"/>
        <w:outlineLvl w:val="1"/>
        <w:rPr>
          <w:rFonts w:ascii="宋体" w:hAnsi="宋体" w:cs="宋体"/>
          <w:szCs w:val="21"/>
        </w:rPr>
      </w:pPr>
      <w:bookmarkStart w:id="55" w:name="_Toc26800531"/>
      <w:bookmarkStart w:id="56" w:name="_Toc23251605"/>
      <w:bookmarkStart w:id="57" w:name="_Toc23251530"/>
      <w:r>
        <w:rPr>
          <w:rFonts w:hint="eastAsia" w:ascii="宋体" w:hAnsi="宋体" w:cs="宋体"/>
          <w:szCs w:val="21"/>
        </w:rPr>
        <w:t>▲18.供应商应仔细阅读竞争性谈判文件的所有内容，按照竞争性谈判文件的要求提交响应文件，并对所提供的全部资料的真实性承担法律责任。</w:t>
      </w:r>
      <w:bookmarkEnd w:id="55"/>
      <w:bookmarkEnd w:id="56"/>
      <w:bookmarkEnd w:id="57"/>
    </w:p>
    <w:p>
      <w:pPr>
        <w:snapToGrid w:val="0"/>
        <w:spacing w:line="390" w:lineRule="exact"/>
        <w:ind w:firstLine="411" w:firstLineChars="196"/>
        <w:outlineLvl w:val="1"/>
        <w:rPr>
          <w:rFonts w:ascii="宋体" w:hAnsi="宋体" w:cs="宋体"/>
          <w:szCs w:val="21"/>
        </w:rPr>
      </w:pPr>
      <w:bookmarkStart w:id="58" w:name="_Toc26800532"/>
      <w:bookmarkStart w:id="59" w:name="_Toc23251606"/>
      <w:bookmarkStart w:id="60" w:name="_Toc23251531"/>
      <w:r>
        <w:rPr>
          <w:rFonts w:hint="eastAsia" w:ascii="宋体" w:hAnsi="宋体" w:cs="宋体"/>
          <w:szCs w:val="21"/>
        </w:rPr>
        <w:t>▲19.供应商在竞标活动中提供任何虚假材料，其竞标响应无效，并报监管部门查处；成交后发现的，成交供应商须依照《中华人民共和国消费者权益保护法》第49条之规定双倍赔偿采购人，且民事赔偿并不免除违法供应商的行政与刑事责任。</w:t>
      </w:r>
      <w:bookmarkEnd w:id="58"/>
      <w:bookmarkEnd w:id="59"/>
      <w:bookmarkEnd w:id="60"/>
    </w:p>
    <w:p>
      <w:pPr>
        <w:snapToGrid w:val="0"/>
        <w:spacing w:line="390" w:lineRule="exact"/>
        <w:ind w:firstLine="411" w:firstLineChars="196"/>
        <w:outlineLvl w:val="1"/>
        <w:rPr>
          <w:rFonts w:ascii="宋体" w:hAnsi="宋体" w:cs="宋体"/>
          <w:szCs w:val="21"/>
        </w:rPr>
      </w:pPr>
      <w:bookmarkStart w:id="61" w:name="_Toc23251532"/>
      <w:bookmarkStart w:id="62" w:name="_Toc23251607"/>
      <w:bookmarkStart w:id="63" w:name="_Toc26800533"/>
      <w:r>
        <w:rPr>
          <w:rFonts w:hint="eastAsia" w:ascii="宋体" w:hAnsi="宋体" w:cs="宋体"/>
          <w:szCs w:val="21"/>
        </w:rPr>
        <w:t>▲20.根据财政部《关于在政府采购活动中查询及使用信用记录有关问题的通知》（财库〔2016〕125号）的规定，在本项目</w:t>
      </w:r>
      <w:r>
        <w:rPr>
          <w:rFonts w:hint="eastAsia" w:ascii="宋体" w:hAnsi="宋体" w:cs="宋体"/>
          <w:b/>
          <w:szCs w:val="21"/>
        </w:rPr>
        <w:t>竞标截止时间前</w:t>
      </w:r>
      <w:r>
        <w:rPr>
          <w:rFonts w:hint="eastAsia" w:ascii="宋体" w:hAnsi="宋体" w:cs="宋体"/>
          <w:szCs w:val="21"/>
        </w:rPr>
        <w:t>，供应商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被拒绝。</w:t>
      </w:r>
      <w:bookmarkEnd w:id="61"/>
      <w:bookmarkEnd w:id="62"/>
      <w:bookmarkEnd w:id="63"/>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tabs>
          <w:tab w:val="left" w:pos="540"/>
        </w:tabs>
        <w:spacing w:line="390" w:lineRule="exact"/>
        <w:ind w:firstLine="420" w:firstLineChars="200"/>
        <w:jc w:val="left"/>
        <w:rPr>
          <w:rFonts w:ascii="宋体" w:hAnsi="宋体" w:cs="宋体"/>
          <w:szCs w:val="21"/>
        </w:rPr>
      </w:pPr>
      <w:r>
        <w:rPr>
          <w:rFonts w:hint="eastAsia" w:ascii="宋体" w:hAnsi="宋体" w:cs="宋体"/>
          <w:szCs w:val="21"/>
        </w:rPr>
        <w:t>21.代理服务费</w:t>
      </w:r>
    </w:p>
    <w:p>
      <w:pPr>
        <w:snapToGrid w:val="0"/>
        <w:spacing w:line="390" w:lineRule="exact"/>
        <w:ind w:firstLine="411" w:firstLineChars="196"/>
        <w:outlineLvl w:val="1"/>
        <w:rPr>
          <w:rFonts w:ascii="宋体" w:hAnsi="宋体" w:cs="宋体"/>
          <w:szCs w:val="21"/>
        </w:rPr>
      </w:pPr>
      <w:bookmarkStart w:id="64" w:name="_Toc23251608"/>
      <w:bookmarkStart w:id="65" w:name="_Toc23251533"/>
      <w:bookmarkStart w:id="66" w:name="_Toc26800534"/>
      <w:r>
        <w:rPr>
          <w:rFonts w:hint="eastAsia" w:ascii="宋体" w:hAnsi="宋体" w:cs="宋体"/>
          <w:szCs w:val="21"/>
        </w:rPr>
        <w:t>21.1本项目的代理服务费按国家发展计划委员会计价格[2002]1980号《招标代理服务费管理暂行办法》收费标准（货物招标类）及发改价格[2011]534号文的规定标准向成交供应商收取，领取成交通知书前，成交供应商应向采购代理机构一次性付清代理服务费，否则采购代理机构有权不予以办理。</w:t>
      </w:r>
      <w:bookmarkEnd w:id="64"/>
      <w:bookmarkEnd w:id="65"/>
      <w:bookmarkEnd w:id="66"/>
    </w:p>
    <w:p>
      <w:pPr>
        <w:spacing w:line="360" w:lineRule="exact"/>
        <w:ind w:firstLine="420" w:firstLineChars="200"/>
        <w:rPr>
          <w:rFonts w:hAnsi="宋体"/>
        </w:rPr>
      </w:pPr>
    </w:p>
    <w:p>
      <w:pPr>
        <w:spacing w:line="360" w:lineRule="exact"/>
        <w:ind w:firstLine="420" w:firstLineChars="200"/>
        <w:rPr>
          <w:rFonts w:hAnsi="宋体"/>
        </w:rPr>
      </w:pPr>
    </w:p>
    <w:p>
      <w:pPr>
        <w:spacing w:line="360" w:lineRule="exact"/>
        <w:ind w:firstLine="420" w:firstLineChars="200"/>
        <w:rPr>
          <w:rFonts w:hAnsi="宋体"/>
        </w:rPr>
      </w:pPr>
    </w:p>
    <w:p>
      <w:pPr>
        <w:spacing w:line="360" w:lineRule="exact"/>
        <w:ind w:firstLine="420" w:firstLineChars="200"/>
        <w:rPr>
          <w:rFonts w:hAnsi="宋体"/>
        </w:rPr>
      </w:pPr>
      <w:r>
        <w:rPr>
          <w:rFonts w:hint="eastAsia" w:hAnsi="宋体"/>
        </w:rPr>
        <w:t>代理服务收费标准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rPr>
                <w:szCs w:val="21"/>
              </w:rPr>
            </w:pPr>
            <w:r>
              <w:rPr>
                <w:rFonts w:hint="eastAsia"/>
                <w:szCs w:val="21"/>
              </w:rPr>
              <w:t xml:space="preserve">               费率</w:t>
            </w:r>
          </w:p>
          <w:p>
            <w:pPr>
              <w:rPr>
                <w:szCs w:val="21"/>
              </w:rPr>
            </w:pPr>
            <w:r>
              <w:rPr>
                <w:rFonts w:hint="eastAsia"/>
                <w:szCs w:val="21"/>
              </w:rPr>
              <w:t>中标金额</w:t>
            </w:r>
          </w:p>
        </w:tc>
        <w:tc>
          <w:tcPr>
            <w:tcW w:w="1659" w:type="dxa"/>
            <w:vAlign w:val="center"/>
          </w:tcPr>
          <w:p>
            <w:pPr>
              <w:ind w:firstLine="105" w:firstLineChars="50"/>
              <w:jc w:val="center"/>
              <w:rPr>
                <w:szCs w:val="21"/>
              </w:rPr>
            </w:pPr>
            <w:r>
              <w:rPr>
                <w:rFonts w:hint="eastAsia"/>
                <w:szCs w:val="21"/>
              </w:rPr>
              <w:t>货物招标</w:t>
            </w:r>
          </w:p>
        </w:tc>
        <w:tc>
          <w:tcPr>
            <w:tcW w:w="1532" w:type="dxa"/>
            <w:vAlign w:val="center"/>
          </w:tcPr>
          <w:p>
            <w:pPr>
              <w:jc w:val="center"/>
              <w:rPr>
                <w:szCs w:val="21"/>
              </w:rPr>
            </w:pPr>
            <w:r>
              <w:rPr>
                <w:rFonts w:hint="eastAsia"/>
                <w:szCs w:val="21"/>
              </w:rPr>
              <w:t>服务招标</w:t>
            </w:r>
          </w:p>
        </w:tc>
        <w:tc>
          <w:tcPr>
            <w:tcW w:w="1546"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szCs w:val="21"/>
              </w:rPr>
            </w:pPr>
            <w:r>
              <w:rPr>
                <w:rFonts w:hint="eastAsia"/>
                <w:szCs w:val="21"/>
              </w:rPr>
              <w:t>100万元以下</w:t>
            </w:r>
          </w:p>
        </w:tc>
        <w:tc>
          <w:tcPr>
            <w:tcW w:w="1659" w:type="dxa"/>
          </w:tcPr>
          <w:p>
            <w:pPr>
              <w:rPr>
                <w:szCs w:val="21"/>
              </w:rPr>
            </w:pPr>
            <w:r>
              <w:rPr>
                <w:rFonts w:ascii="宋体" w:hAnsi="宋体" w:cs="宋体"/>
                <w:kern w:val="0"/>
                <w:szCs w:val="21"/>
              </w:rPr>
              <w:t xml:space="preserve">1.5% </w:t>
            </w:r>
          </w:p>
        </w:tc>
        <w:tc>
          <w:tcPr>
            <w:tcW w:w="1532" w:type="dxa"/>
          </w:tcPr>
          <w:p>
            <w:pPr>
              <w:ind w:firstLine="210" w:firstLineChars="100"/>
              <w:rPr>
                <w:szCs w:val="21"/>
              </w:rPr>
            </w:pPr>
            <w:r>
              <w:rPr>
                <w:rFonts w:ascii="宋体" w:hAnsi="宋体" w:cs="宋体"/>
                <w:kern w:val="0"/>
                <w:szCs w:val="21"/>
              </w:rPr>
              <w:t>1.5%</w:t>
            </w:r>
          </w:p>
        </w:tc>
        <w:tc>
          <w:tcPr>
            <w:tcW w:w="1546" w:type="dxa"/>
          </w:tcPr>
          <w:p>
            <w:pPr>
              <w:ind w:firstLine="210" w:firstLineChars="100"/>
              <w:rPr>
                <w:szCs w:val="21"/>
              </w:rPr>
            </w:pPr>
            <w:r>
              <w:rPr>
                <w:rFonts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659" w:type="dxa"/>
          </w:tcPr>
          <w:p>
            <w:pPr>
              <w:ind w:firstLine="210" w:firstLineChars="100"/>
              <w:rPr>
                <w:szCs w:val="21"/>
              </w:rPr>
            </w:pPr>
            <w:r>
              <w:rPr>
                <w:rFonts w:ascii="宋体" w:hAnsi="宋体" w:cs="宋体"/>
                <w:kern w:val="0"/>
                <w:szCs w:val="21"/>
              </w:rPr>
              <w:t xml:space="preserve">1.1% </w:t>
            </w:r>
          </w:p>
        </w:tc>
        <w:tc>
          <w:tcPr>
            <w:tcW w:w="1532" w:type="dxa"/>
          </w:tcPr>
          <w:p>
            <w:pPr>
              <w:ind w:firstLine="210" w:firstLineChars="100"/>
              <w:rPr>
                <w:szCs w:val="21"/>
              </w:rPr>
            </w:pPr>
            <w:r>
              <w:rPr>
                <w:rFonts w:ascii="宋体" w:hAnsi="宋体" w:cs="宋体"/>
                <w:kern w:val="0"/>
                <w:szCs w:val="21"/>
              </w:rPr>
              <w:t>0.8%</w:t>
            </w:r>
          </w:p>
        </w:tc>
        <w:tc>
          <w:tcPr>
            <w:tcW w:w="1546" w:type="dxa"/>
          </w:tcPr>
          <w:p>
            <w:pPr>
              <w:ind w:firstLine="210" w:firstLineChars="100"/>
              <w:rPr>
                <w:szCs w:val="21"/>
              </w:rPr>
            </w:pPr>
            <w:r>
              <w:rPr>
                <w:rFonts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659" w:type="dxa"/>
          </w:tcPr>
          <w:p>
            <w:pPr>
              <w:rPr>
                <w:szCs w:val="21"/>
              </w:rPr>
            </w:pPr>
            <w:r>
              <w:rPr>
                <w:rFonts w:ascii="宋体" w:hAnsi="宋体" w:cs="宋体"/>
                <w:kern w:val="0"/>
                <w:szCs w:val="21"/>
              </w:rPr>
              <w:t xml:space="preserve">0.8% </w:t>
            </w:r>
          </w:p>
        </w:tc>
        <w:tc>
          <w:tcPr>
            <w:tcW w:w="1532" w:type="dxa"/>
          </w:tcPr>
          <w:p>
            <w:pPr>
              <w:ind w:firstLine="210" w:firstLineChars="100"/>
              <w:rPr>
                <w:szCs w:val="21"/>
              </w:rPr>
            </w:pPr>
            <w:r>
              <w:rPr>
                <w:rFonts w:ascii="宋体" w:hAnsi="宋体" w:cs="宋体"/>
                <w:kern w:val="0"/>
                <w:szCs w:val="21"/>
              </w:rPr>
              <w:t>0.45%</w:t>
            </w:r>
          </w:p>
        </w:tc>
        <w:tc>
          <w:tcPr>
            <w:tcW w:w="1546" w:type="dxa"/>
          </w:tcPr>
          <w:p>
            <w:pPr>
              <w:ind w:firstLine="210" w:firstLineChars="100"/>
              <w:rPr>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659" w:type="dxa"/>
          </w:tcPr>
          <w:p>
            <w:pPr>
              <w:ind w:firstLine="210" w:firstLineChars="100"/>
              <w:rPr>
                <w:szCs w:val="21"/>
              </w:rPr>
            </w:pPr>
            <w:r>
              <w:rPr>
                <w:rFonts w:ascii="宋体" w:hAnsi="宋体" w:cs="宋体"/>
                <w:kern w:val="0"/>
                <w:szCs w:val="21"/>
              </w:rPr>
              <w:t xml:space="preserve">0.5% </w:t>
            </w:r>
          </w:p>
        </w:tc>
        <w:tc>
          <w:tcPr>
            <w:tcW w:w="1532" w:type="dxa"/>
          </w:tcPr>
          <w:p>
            <w:pPr>
              <w:ind w:firstLine="210" w:firstLineChars="100"/>
              <w:rPr>
                <w:szCs w:val="21"/>
              </w:rPr>
            </w:pPr>
            <w:r>
              <w:rPr>
                <w:rFonts w:ascii="宋体" w:hAnsi="宋体" w:cs="宋体"/>
                <w:kern w:val="0"/>
                <w:szCs w:val="21"/>
              </w:rPr>
              <w:t>0.25%</w:t>
            </w:r>
          </w:p>
        </w:tc>
        <w:tc>
          <w:tcPr>
            <w:tcW w:w="1546" w:type="dxa"/>
          </w:tcPr>
          <w:p>
            <w:pPr>
              <w:ind w:firstLine="210" w:firstLineChars="100"/>
              <w:rPr>
                <w:szCs w:val="21"/>
              </w:rPr>
            </w:pPr>
            <w:r>
              <w:rPr>
                <w:rFonts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rFonts w:ascii="宋体" w:hAnsi="宋体"/>
                <w:szCs w:val="21"/>
              </w:rPr>
            </w:pPr>
            <w:r>
              <w:rPr>
                <w:rFonts w:hint="eastAsia" w:ascii="宋体" w:hAnsi="宋体"/>
                <w:szCs w:val="21"/>
              </w:rPr>
              <w:t>5000万元～1亿元</w:t>
            </w:r>
          </w:p>
        </w:tc>
        <w:tc>
          <w:tcPr>
            <w:tcW w:w="1659" w:type="dxa"/>
          </w:tcPr>
          <w:p>
            <w:pPr>
              <w:ind w:firstLine="210" w:firstLineChars="100"/>
              <w:rPr>
                <w:rFonts w:ascii="宋体" w:hAnsi="宋体"/>
                <w:szCs w:val="21"/>
              </w:rPr>
            </w:pPr>
            <w:r>
              <w:rPr>
                <w:rFonts w:ascii="宋体" w:hAnsi="宋体" w:cs="宋体"/>
                <w:kern w:val="0"/>
                <w:szCs w:val="21"/>
              </w:rPr>
              <w:t xml:space="preserve">0.25% </w:t>
            </w:r>
          </w:p>
        </w:tc>
        <w:tc>
          <w:tcPr>
            <w:tcW w:w="1532" w:type="dxa"/>
          </w:tcPr>
          <w:p>
            <w:pPr>
              <w:ind w:firstLine="210" w:firstLineChars="100"/>
              <w:rPr>
                <w:rFonts w:ascii="宋体" w:hAnsi="宋体"/>
                <w:szCs w:val="21"/>
              </w:rPr>
            </w:pPr>
            <w:r>
              <w:rPr>
                <w:rFonts w:ascii="宋体" w:hAnsi="宋体" w:cs="宋体"/>
                <w:kern w:val="0"/>
                <w:szCs w:val="21"/>
              </w:rPr>
              <w:t>0.1%</w:t>
            </w:r>
          </w:p>
        </w:tc>
        <w:tc>
          <w:tcPr>
            <w:tcW w:w="1546" w:type="dxa"/>
          </w:tcPr>
          <w:p>
            <w:pPr>
              <w:ind w:firstLine="210" w:firstLineChars="100"/>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rFonts w:ascii="宋体" w:hAnsi="宋体"/>
                <w:szCs w:val="21"/>
              </w:rPr>
            </w:pPr>
            <w:r>
              <w:rPr>
                <w:rFonts w:hint="eastAsia" w:ascii="宋体" w:hAnsi="宋体"/>
                <w:szCs w:val="21"/>
              </w:rPr>
              <w:t>1～5亿元</w:t>
            </w:r>
          </w:p>
        </w:tc>
        <w:tc>
          <w:tcPr>
            <w:tcW w:w="1659" w:type="dxa"/>
          </w:tcPr>
          <w:p>
            <w:pPr>
              <w:ind w:firstLine="210" w:firstLineChars="100"/>
              <w:rPr>
                <w:rFonts w:ascii="宋体" w:hAnsi="宋体"/>
                <w:szCs w:val="21"/>
              </w:rPr>
            </w:pPr>
            <w:r>
              <w:rPr>
                <w:rFonts w:hint="eastAsia" w:ascii="宋体" w:hAnsi="宋体"/>
                <w:szCs w:val="21"/>
              </w:rPr>
              <w:t>0.05%</w:t>
            </w:r>
          </w:p>
        </w:tc>
        <w:tc>
          <w:tcPr>
            <w:tcW w:w="1532" w:type="dxa"/>
          </w:tcPr>
          <w:p>
            <w:pPr>
              <w:rPr>
                <w:rFonts w:ascii="宋体" w:hAnsi="宋体"/>
                <w:szCs w:val="21"/>
              </w:rPr>
            </w:pPr>
            <w:r>
              <w:rPr>
                <w:rFonts w:hint="eastAsia" w:ascii="宋体" w:hAnsi="宋体"/>
                <w:szCs w:val="21"/>
              </w:rPr>
              <w:t xml:space="preserve">  0.05%</w:t>
            </w:r>
          </w:p>
        </w:tc>
        <w:tc>
          <w:tcPr>
            <w:tcW w:w="1546" w:type="dxa"/>
          </w:tcPr>
          <w:p>
            <w:pPr>
              <w:rPr>
                <w:rFonts w:ascii="宋体" w:hAnsi="宋体"/>
                <w:szCs w:val="21"/>
              </w:rPr>
            </w:pPr>
            <w:r>
              <w:rPr>
                <w:rFonts w:hint="eastAsia" w:ascii="宋体" w:hAnsi="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rFonts w:ascii="宋体" w:hAnsi="宋体"/>
                <w:szCs w:val="21"/>
              </w:rPr>
            </w:pPr>
            <w:r>
              <w:rPr>
                <w:rFonts w:hint="eastAsia" w:ascii="宋体" w:hAnsi="宋体"/>
                <w:szCs w:val="21"/>
              </w:rPr>
              <w:t>5～10亿元</w:t>
            </w:r>
          </w:p>
        </w:tc>
        <w:tc>
          <w:tcPr>
            <w:tcW w:w="1659" w:type="dxa"/>
          </w:tcPr>
          <w:p>
            <w:pPr>
              <w:ind w:firstLine="105" w:firstLineChars="50"/>
              <w:rPr>
                <w:rFonts w:ascii="宋体" w:hAnsi="宋体"/>
                <w:szCs w:val="21"/>
              </w:rPr>
            </w:pPr>
            <w:r>
              <w:rPr>
                <w:rFonts w:hint="eastAsia" w:ascii="宋体" w:hAnsi="宋体"/>
                <w:szCs w:val="21"/>
              </w:rPr>
              <w:t>0.035%</w:t>
            </w:r>
          </w:p>
        </w:tc>
        <w:tc>
          <w:tcPr>
            <w:tcW w:w="1532" w:type="dxa"/>
          </w:tcPr>
          <w:p>
            <w:pPr>
              <w:rPr>
                <w:rFonts w:ascii="宋体" w:hAnsi="宋体"/>
                <w:szCs w:val="21"/>
              </w:rPr>
            </w:pPr>
            <w:r>
              <w:rPr>
                <w:rFonts w:hint="eastAsia" w:ascii="宋体" w:hAnsi="宋体"/>
                <w:szCs w:val="21"/>
              </w:rPr>
              <w:t xml:space="preserve">  0.035%</w:t>
            </w:r>
          </w:p>
        </w:tc>
        <w:tc>
          <w:tcPr>
            <w:tcW w:w="1546" w:type="dxa"/>
          </w:tcPr>
          <w:p>
            <w:pPr>
              <w:ind w:firstLine="105" w:firstLineChars="50"/>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rFonts w:ascii="宋体" w:hAnsi="宋体"/>
                <w:szCs w:val="21"/>
              </w:rPr>
            </w:pPr>
            <w:r>
              <w:rPr>
                <w:rFonts w:hint="eastAsia" w:ascii="宋体" w:hAnsi="宋体"/>
                <w:szCs w:val="21"/>
              </w:rPr>
              <w:t>10～50亿元</w:t>
            </w:r>
          </w:p>
        </w:tc>
        <w:tc>
          <w:tcPr>
            <w:tcW w:w="1659" w:type="dxa"/>
          </w:tcPr>
          <w:p>
            <w:pPr>
              <w:ind w:firstLine="105" w:firstLineChars="50"/>
              <w:rPr>
                <w:rFonts w:ascii="宋体" w:hAnsi="宋体"/>
                <w:szCs w:val="21"/>
              </w:rPr>
            </w:pPr>
            <w:r>
              <w:rPr>
                <w:rFonts w:hint="eastAsia" w:ascii="宋体" w:hAnsi="宋体"/>
                <w:szCs w:val="21"/>
              </w:rPr>
              <w:t>0.008%</w:t>
            </w:r>
          </w:p>
        </w:tc>
        <w:tc>
          <w:tcPr>
            <w:tcW w:w="1532" w:type="dxa"/>
          </w:tcPr>
          <w:p>
            <w:pPr>
              <w:ind w:firstLine="210" w:firstLineChars="100"/>
              <w:rPr>
                <w:rFonts w:ascii="宋体" w:hAnsi="宋体"/>
                <w:szCs w:val="21"/>
              </w:rPr>
            </w:pPr>
            <w:r>
              <w:rPr>
                <w:rFonts w:hint="eastAsia" w:ascii="宋体" w:hAnsi="宋体"/>
                <w:szCs w:val="21"/>
              </w:rPr>
              <w:t>0.008%</w:t>
            </w:r>
          </w:p>
        </w:tc>
        <w:tc>
          <w:tcPr>
            <w:tcW w:w="1546" w:type="dxa"/>
          </w:tcPr>
          <w:p>
            <w:pPr>
              <w:ind w:firstLine="105" w:firstLineChars="50"/>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rFonts w:ascii="宋体" w:hAnsi="宋体"/>
                <w:szCs w:val="21"/>
              </w:rPr>
            </w:pPr>
            <w:r>
              <w:rPr>
                <w:rFonts w:hint="eastAsia" w:ascii="宋体" w:hAnsi="宋体"/>
                <w:szCs w:val="21"/>
              </w:rPr>
              <w:t>50～100亿元</w:t>
            </w:r>
          </w:p>
        </w:tc>
        <w:tc>
          <w:tcPr>
            <w:tcW w:w="1659" w:type="dxa"/>
          </w:tcPr>
          <w:p>
            <w:pPr>
              <w:rPr>
                <w:rFonts w:ascii="宋体" w:hAnsi="宋体"/>
                <w:szCs w:val="21"/>
              </w:rPr>
            </w:pPr>
            <w:r>
              <w:rPr>
                <w:rFonts w:hint="eastAsia" w:ascii="宋体" w:hAnsi="宋体"/>
                <w:szCs w:val="21"/>
              </w:rPr>
              <w:t xml:space="preserve"> 0.006%</w:t>
            </w:r>
          </w:p>
        </w:tc>
        <w:tc>
          <w:tcPr>
            <w:tcW w:w="1532" w:type="dxa"/>
          </w:tcPr>
          <w:p>
            <w:pPr>
              <w:ind w:firstLine="210" w:firstLineChars="100"/>
              <w:rPr>
                <w:rFonts w:ascii="宋体" w:hAnsi="宋体"/>
                <w:szCs w:val="21"/>
              </w:rPr>
            </w:pPr>
            <w:r>
              <w:rPr>
                <w:rFonts w:hint="eastAsia" w:ascii="宋体" w:hAnsi="宋体"/>
                <w:szCs w:val="21"/>
              </w:rPr>
              <w:t>0.006%</w:t>
            </w:r>
          </w:p>
        </w:tc>
        <w:tc>
          <w:tcPr>
            <w:tcW w:w="1546" w:type="dxa"/>
          </w:tcPr>
          <w:p>
            <w:pPr>
              <w:ind w:firstLine="105" w:firstLineChars="50"/>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rPr>
                <w:rFonts w:ascii="宋体" w:hAnsi="宋体"/>
                <w:szCs w:val="21"/>
              </w:rPr>
            </w:pPr>
            <w:r>
              <w:rPr>
                <w:rFonts w:hint="eastAsia" w:ascii="宋体" w:hAnsi="宋体"/>
                <w:szCs w:val="21"/>
              </w:rPr>
              <w:t>100亿以上</w:t>
            </w:r>
          </w:p>
        </w:tc>
        <w:tc>
          <w:tcPr>
            <w:tcW w:w="1659" w:type="dxa"/>
          </w:tcPr>
          <w:p>
            <w:pPr>
              <w:rPr>
                <w:rFonts w:ascii="宋体" w:hAnsi="宋体"/>
                <w:szCs w:val="21"/>
              </w:rPr>
            </w:pPr>
            <w:r>
              <w:rPr>
                <w:rFonts w:hint="eastAsia" w:ascii="宋体" w:hAnsi="宋体"/>
                <w:szCs w:val="21"/>
              </w:rPr>
              <w:t xml:space="preserve"> 0.004%</w:t>
            </w:r>
          </w:p>
        </w:tc>
        <w:tc>
          <w:tcPr>
            <w:tcW w:w="1532" w:type="dxa"/>
          </w:tcPr>
          <w:p>
            <w:pPr>
              <w:ind w:firstLine="210" w:firstLineChars="100"/>
              <w:rPr>
                <w:rFonts w:ascii="宋体" w:hAnsi="宋体"/>
                <w:szCs w:val="21"/>
              </w:rPr>
            </w:pPr>
            <w:r>
              <w:rPr>
                <w:rFonts w:hint="eastAsia" w:ascii="宋体" w:hAnsi="宋体"/>
                <w:szCs w:val="21"/>
              </w:rPr>
              <w:t>0.004%</w:t>
            </w:r>
          </w:p>
        </w:tc>
        <w:tc>
          <w:tcPr>
            <w:tcW w:w="1546" w:type="dxa"/>
          </w:tcPr>
          <w:p>
            <w:pPr>
              <w:ind w:firstLine="105" w:firstLineChars="50"/>
              <w:rPr>
                <w:rFonts w:ascii="宋体" w:hAnsi="宋体"/>
                <w:szCs w:val="21"/>
              </w:rPr>
            </w:pPr>
            <w:r>
              <w:rPr>
                <w:rFonts w:hint="eastAsia" w:ascii="宋体" w:hAnsi="宋体"/>
                <w:szCs w:val="21"/>
              </w:rPr>
              <w:t>0.004%</w:t>
            </w:r>
          </w:p>
        </w:tc>
      </w:tr>
    </w:tbl>
    <w:p>
      <w:pPr>
        <w:snapToGrid w:val="0"/>
        <w:spacing w:line="390" w:lineRule="exact"/>
        <w:ind w:firstLine="411" w:firstLineChars="196"/>
        <w:outlineLvl w:val="1"/>
        <w:rPr>
          <w:rFonts w:ascii="宋体" w:hAnsi="宋体" w:cs="宋体"/>
          <w:szCs w:val="21"/>
        </w:rPr>
      </w:pPr>
    </w:p>
    <w:p>
      <w:pPr>
        <w:pStyle w:val="3"/>
      </w:pPr>
      <w:r>
        <w:rPr>
          <w:rFonts w:hint="eastAsia"/>
          <w:szCs w:val="21"/>
        </w:rPr>
        <w:br w:type="page"/>
      </w:r>
      <w:bookmarkStart w:id="67" w:name="_Toc26800535"/>
      <w:r>
        <w:rPr>
          <w:rFonts w:hint="eastAsia"/>
        </w:rPr>
        <w:t>第三章  采购项目需求一览表</w:t>
      </w:r>
      <w:bookmarkEnd w:id="67"/>
    </w:p>
    <w:p>
      <w:pPr>
        <w:spacing w:line="400" w:lineRule="exact"/>
        <w:ind w:firstLine="411" w:firstLineChars="196"/>
        <w:rPr>
          <w:rFonts w:ascii="宋体" w:hAnsi="宋体" w:cs="宋体"/>
          <w:b/>
          <w:bCs/>
        </w:rPr>
      </w:pPr>
      <w:r>
        <w:rPr>
          <w:rFonts w:hint="eastAsia" w:ascii="宋体" w:hAnsi="宋体" w:cs="宋体"/>
          <w:b/>
          <w:bCs/>
        </w:rPr>
        <w:t>说明：</w:t>
      </w:r>
    </w:p>
    <w:p>
      <w:pPr>
        <w:spacing w:line="400" w:lineRule="exact"/>
        <w:ind w:left="-10" w:leftChars="-5" w:right="2" w:rightChars="1" w:firstLine="420" w:firstLineChars="200"/>
        <w:rPr>
          <w:rFonts w:ascii="宋体" w:hAnsi="宋体" w:cs="宋体"/>
          <w:b/>
          <w:bCs/>
        </w:rPr>
      </w:pPr>
      <w:r>
        <w:rPr>
          <w:rFonts w:hint="eastAsia" w:ascii="宋体" w:hAnsi="宋体" w:cs="宋体"/>
          <w:b/>
          <w:bCs/>
        </w:rPr>
        <w:t>1、谈判供应商所提供的产品实质上应相当于或优于本需求中的技术参数性能（配置）要求。</w:t>
      </w:r>
    </w:p>
    <w:p>
      <w:pPr>
        <w:spacing w:line="400" w:lineRule="exact"/>
        <w:ind w:left="-10" w:leftChars="-5" w:right="2" w:rightChars="1" w:firstLine="420" w:firstLineChars="200"/>
        <w:rPr>
          <w:rFonts w:ascii="宋体" w:hAnsi="宋体" w:cs="宋体"/>
          <w:b/>
          <w:bCs/>
        </w:rPr>
      </w:pPr>
      <w:r>
        <w:rPr>
          <w:rFonts w:hint="eastAsia" w:ascii="宋体" w:hAnsi="宋体" w:cs="宋体"/>
          <w:b/>
          <w:bCs/>
        </w:rPr>
        <w:t>2、本一览表的技术参数及性能（配置）不明确或有误的，谈判供应商请以详细、正确的技术参数性能（配置）同时填写谈判报价表和技术响应及偏离情况说明表。</w:t>
      </w:r>
    </w:p>
    <w:p>
      <w:pPr>
        <w:spacing w:line="400" w:lineRule="exact"/>
        <w:ind w:left="-10" w:leftChars="-5" w:right="2" w:rightChars="1" w:firstLine="420" w:firstLineChars="200"/>
        <w:rPr>
          <w:rFonts w:ascii="宋体" w:hAnsi="宋体" w:cs="宋体"/>
          <w:b/>
          <w:bCs/>
        </w:rPr>
      </w:pPr>
      <w:r>
        <w:rPr>
          <w:rFonts w:hint="eastAsia" w:ascii="宋体" w:hAnsi="宋体" w:cs="宋体"/>
          <w:b/>
          <w:bCs/>
        </w:rPr>
        <w:t>3、凡在“技术参数及性能（配置）要求”中表述为“标配”或“标准配置”的设备，谈判供应商应在谈判报价明细表中将其标配参数详细列明。</w:t>
      </w:r>
    </w:p>
    <w:p>
      <w:pPr>
        <w:spacing w:line="400" w:lineRule="exact"/>
        <w:ind w:left="-10" w:leftChars="-5" w:right="2" w:rightChars="1" w:firstLine="420" w:firstLineChars="200"/>
        <w:rPr>
          <w:rFonts w:ascii="宋体" w:hAnsi="宋体" w:cs="宋体"/>
          <w:szCs w:val="21"/>
        </w:rPr>
      </w:pPr>
      <w:r>
        <w:rPr>
          <w:rFonts w:hint="eastAsia" w:ascii="宋体" w:hAnsi="宋体" w:cs="宋体"/>
          <w:b/>
          <w:bCs/>
        </w:rPr>
        <w:t>4、本项目中标注“</w:t>
      </w:r>
      <w:r>
        <w:rPr>
          <w:rFonts w:hint="eastAsia" w:ascii="宋体" w:hAnsi="宋体"/>
          <w:b/>
          <w:szCs w:val="21"/>
        </w:rPr>
        <w:t>★</w:t>
      </w:r>
      <w:r>
        <w:rPr>
          <w:rFonts w:hint="eastAsia" w:ascii="宋体" w:hAnsi="宋体" w:cs="宋体"/>
          <w:b/>
          <w:bCs/>
        </w:rPr>
        <w:t>”号的要求为实质性要求和条件，对这些关键性要求的任何不满足将导致竞标无效</w:t>
      </w:r>
      <w:r>
        <w:rPr>
          <w:rFonts w:hint="eastAsia" w:ascii="宋体" w:hAnsi="宋体" w:cs="宋体"/>
          <w:szCs w:val="21"/>
        </w:rPr>
        <w:t>。</w:t>
      </w:r>
    </w:p>
    <w:p>
      <w:pPr>
        <w:spacing w:line="400" w:lineRule="exact"/>
        <w:ind w:left="-10" w:leftChars="-5" w:right="2" w:rightChars="1" w:firstLine="420" w:firstLineChars="200"/>
        <w:rPr>
          <w:rFonts w:ascii="宋体" w:hAnsi="宋体" w:cs="宋体"/>
          <w:b/>
          <w:szCs w:val="21"/>
        </w:rPr>
      </w:pPr>
      <w:r>
        <w:rPr>
          <w:rFonts w:hint="eastAsia" w:ascii="宋体" w:hAnsi="宋体" w:cs="宋体"/>
          <w:b/>
          <w:szCs w:val="21"/>
        </w:rPr>
        <w:t>采购预算金额（人民币）：柒拾贰万壹仟元整（￥721000.00）。最后报价超过</w:t>
      </w:r>
      <w:r>
        <w:rPr>
          <w:rFonts w:hint="eastAsia" w:ascii="宋体" w:hAnsi="宋体" w:cs="宋体"/>
          <w:b/>
          <w:szCs w:val="21"/>
          <w:lang w:val="en-US" w:eastAsia="zh-CN"/>
        </w:rPr>
        <w:t>最高限价</w:t>
      </w:r>
      <w:r>
        <w:rPr>
          <w:rFonts w:hint="eastAsia" w:ascii="宋体" w:hAnsi="宋体" w:cs="宋体"/>
          <w:b/>
          <w:szCs w:val="21"/>
        </w:rPr>
        <w:t>的为无效竞标。</w:t>
      </w:r>
    </w:p>
    <w:tbl>
      <w:tblPr>
        <w:tblStyle w:val="31"/>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86"/>
        <w:gridCol w:w="900"/>
        <w:gridCol w:w="705"/>
        <w:gridCol w:w="542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38" w:type="dxa"/>
            <w:gridSpan w:val="6"/>
            <w:vAlign w:val="center"/>
          </w:tcPr>
          <w:p>
            <w:pPr>
              <w:rPr>
                <w:rFonts w:ascii="宋体" w:hAnsi="宋体" w:cs="宋体"/>
                <w:b/>
                <w:bCs/>
                <w:szCs w:val="21"/>
              </w:rPr>
            </w:pPr>
            <w:r>
              <w:rPr>
                <w:rFonts w:hint="eastAsia" w:ascii="宋体" w:hAnsi="宋体" w:cs="宋体"/>
                <w:b/>
                <w:bCs/>
                <w:szCs w:val="21"/>
              </w:rPr>
              <w:t>一、采购项目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91" w:type="dxa"/>
            <w:vAlign w:val="center"/>
          </w:tcPr>
          <w:p>
            <w:pPr>
              <w:jc w:val="center"/>
              <w:rPr>
                <w:rFonts w:ascii="宋体" w:hAnsi="宋体" w:cs="宋体"/>
                <w:b/>
                <w:szCs w:val="21"/>
              </w:rPr>
            </w:pPr>
            <w:r>
              <w:rPr>
                <w:rFonts w:hint="eastAsia" w:ascii="宋体" w:hAnsi="宋体" w:cs="宋体"/>
                <w:b/>
                <w:szCs w:val="21"/>
              </w:rPr>
              <w:t>序号</w:t>
            </w:r>
          </w:p>
        </w:tc>
        <w:tc>
          <w:tcPr>
            <w:tcW w:w="1686" w:type="dxa"/>
            <w:vAlign w:val="center"/>
          </w:tcPr>
          <w:p>
            <w:pPr>
              <w:jc w:val="center"/>
              <w:rPr>
                <w:rFonts w:ascii="宋体" w:hAnsi="宋体" w:cs="宋体"/>
                <w:b/>
                <w:szCs w:val="21"/>
              </w:rPr>
            </w:pPr>
            <w:r>
              <w:rPr>
                <w:rFonts w:hint="eastAsia" w:ascii="宋体" w:hAnsi="宋体" w:cs="宋体"/>
                <w:b/>
                <w:szCs w:val="21"/>
              </w:rPr>
              <w:t>货物名称</w:t>
            </w:r>
          </w:p>
        </w:tc>
        <w:tc>
          <w:tcPr>
            <w:tcW w:w="900" w:type="dxa"/>
            <w:vAlign w:val="center"/>
          </w:tcPr>
          <w:p>
            <w:pPr>
              <w:jc w:val="center"/>
              <w:rPr>
                <w:rFonts w:ascii="宋体" w:hAnsi="宋体" w:cs="宋体"/>
                <w:b/>
                <w:szCs w:val="21"/>
              </w:rPr>
            </w:pPr>
            <w:r>
              <w:rPr>
                <w:rFonts w:hint="eastAsia" w:ascii="宋体" w:hAnsi="宋体" w:cs="宋体"/>
                <w:b/>
                <w:szCs w:val="21"/>
              </w:rPr>
              <w:t>单位</w:t>
            </w:r>
          </w:p>
        </w:tc>
        <w:tc>
          <w:tcPr>
            <w:tcW w:w="705" w:type="dxa"/>
            <w:vAlign w:val="center"/>
          </w:tcPr>
          <w:p>
            <w:pPr>
              <w:jc w:val="center"/>
              <w:rPr>
                <w:rFonts w:ascii="宋体" w:hAnsi="宋体" w:cs="宋体"/>
                <w:b/>
                <w:szCs w:val="21"/>
              </w:rPr>
            </w:pPr>
            <w:r>
              <w:rPr>
                <w:rFonts w:hint="eastAsia" w:ascii="宋体" w:hAnsi="宋体" w:cs="宋体"/>
                <w:b/>
                <w:szCs w:val="21"/>
              </w:rPr>
              <w:t>数量</w:t>
            </w:r>
          </w:p>
        </w:tc>
        <w:tc>
          <w:tcPr>
            <w:tcW w:w="5423" w:type="dxa"/>
            <w:vAlign w:val="center"/>
          </w:tcPr>
          <w:p>
            <w:pPr>
              <w:jc w:val="center"/>
              <w:rPr>
                <w:rFonts w:ascii="宋体" w:hAnsi="宋体" w:cs="宋体"/>
                <w:b/>
                <w:szCs w:val="21"/>
              </w:rPr>
            </w:pPr>
            <w:r>
              <w:rPr>
                <w:rFonts w:hint="eastAsia" w:ascii="宋体" w:hAnsi="宋体" w:cs="宋体"/>
                <w:b/>
                <w:szCs w:val="21"/>
              </w:rPr>
              <w:t>需求参数</w:t>
            </w:r>
          </w:p>
        </w:tc>
        <w:tc>
          <w:tcPr>
            <w:tcW w:w="733"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86" w:type="dxa"/>
            <w:vAlign w:val="center"/>
          </w:tcPr>
          <w:p>
            <w:pPr>
              <w:pStyle w:val="91"/>
              <w:spacing w:line="360" w:lineRule="auto"/>
              <w:jc w:val="center"/>
              <w:rPr>
                <w:rFonts w:cs="宋体" w:asciiTheme="minorEastAsia" w:hAnsiTheme="minorEastAsia"/>
                <w:szCs w:val="21"/>
              </w:rPr>
            </w:pPr>
            <w:r>
              <w:rPr>
                <w:rFonts w:hint="eastAsia" w:ascii="宋体" w:hAnsi="宋体" w:eastAsia="宋体" w:cs="Times New Roman"/>
                <w:szCs w:val="21"/>
              </w:rPr>
              <w:t>学业测评与在线阅卷平台</w:t>
            </w:r>
          </w:p>
        </w:tc>
        <w:tc>
          <w:tcPr>
            <w:tcW w:w="900"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套</w:t>
            </w:r>
          </w:p>
        </w:tc>
        <w:tc>
          <w:tcPr>
            <w:tcW w:w="705"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1</w:t>
            </w:r>
          </w:p>
        </w:tc>
        <w:tc>
          <w:tcPr>
            <w:tcW w:w="5423" w:type="dxa"/>
            <w:vAlign w:val="center"/>
          </w:tcPr>
          <w:p>
            <w:pPr>
              <w:pStyle w:val="91"/>
              <w:spacing w:line="360" w:lineRule="auto"/>
              <w:rPr>
                <w:rFonts w:ascii="宋体" w:hAnsi="宋体" w:eastAsia="宋体" w:cs="Times New Roman"/>
                <w:szCs w:val="21"/>
              </w:rPr>
            </w:pPr>
            <w:r>
              <w:rPr>
                <w:rFonts w:hint="eastAsia" w:ascii="宋体" w:hAnsi="宋体" w:eastAsia="宋体"/>
                <w:szCs w:val="21"/>
              </w:rPr>
              <w:t>一.</w:t>
            </w:r>
            <w:r>
              <w:rPr>
                <w:rFonts w:hint="eastAsia" w:ascii="宋体" w:hAnsi="宋体" w:eastAsia="宋体" w:cs="Times New Roman"/>
                <w:szCs w:val="21"/>
              </w:rPr>
              <w:t>平台建设</w:t>
            </w:r>
            <w:r>
              <w:rPr>
                <w:rFonts w:hint="eastAsia" w:ascii="宋体" w:hAnsi="宋体" w:eastAsia="宋体"/>
                <w:szCs w:val="21"/>
              </w:rPr>
              <w:t>的目标和</w:t>
            </w:r>
            <w:r>
              <w:rPr>
                <w:rFonts w:hint="eastAsia" w:ascii="宋体" w:hAnsi="宋体" w:eastAsia="宋体" w:cs="Times New Roman"/>
                <w:szCs w:val="21"/>
              </w:rPr>
              <w:t>基本内容</w:t>
            </w:r>
          </w:p>
          <w:p>
            <w:pPr>
              <w:snapToGrid w:val="0"/>
              <w:spacing w:before="156" w:beforeLines="50" w:line="360" w:lineRule="auto"/>
              <w:ind w:firstLine="420" w:firstLineChars="200"/>
              <w:rPr>
                <w:rFonts w:ascii="宋体" w:hAnsi="宋体"/>
                <w:szCs w:val="21"/>
              </w:rPr>
            </w:pPr>
            <w:r>
              <w:rPr>
                <w:rFonts w:hint="eastAsia" w:ascii="宋体" w:hAnsi="宋体"/>
                <w:szCs w:val="21"/>
              </w:rPr>
              <w:t xml:space="preserve"> 学业测评与教学质量监测平台，可以</w:t>
            </w:r>
            <w:r>
              <w:rPr>
                <w:rFonts w:ascii="宋体" w:hAnsi="宋体"/>
                <w:szCs w:val="21"/>
              </w:rPr>
              <w:t>满足</w:t>
            </w:r>
            <w:r>
              <w:rPr>
                <w:rFonts w:hint="eastAsia" w:ascii="宋体" w:hAnsi="宋体"/>
                <w:szCs w:val="21"/>
              </w:rPr>
              <w:t>二</w:t>
            </w:r>
            <w:r>
              <w:rPr>
                <w:rFonts w:ascii="宋体" w:hAnsi="宋体"/>
                <w:szCs w:val="21"/>
              </w:rPr>
              <w:t>个</w:t>
            </w:r>
            <w:r>
              <w:rPr>
                <w:rFonts w:hint="eastAsia" w:ascii="宋体" w:hAnsi="宋体"/>
                <w:szCs w:val="21"/>
              </w:rPr>
              <w:t>场景</w:t>
            </w:r>
            <w:r>
              <w:rPr>
                <w:rFonts w:ascii="宋体" w:hAnsi="宋体"/>
                <w:szCs w:val="21"/>
              </w:rPr>
              <w:t>的考试阅卷</w:t>
            </w:r>
            <w:r>
              <w:rPr>
                <w:rFonts w:hint="eastAsia" w:ascii="宋体" w:hAnsi="宋体"/>
                <w:szCs w:val="21"/>
              </w:rPr>
              <w:t>及学情分析诊断</w:t>
            </w:r>
            <w:r>
              <w:rPr>
                <w:rFonts w:ascii="宋体" w:hAnsi="宋体"/>
                <w:szCs w:val="21"/>
              </w:rPr>
              <w:t>要求。</w:t>
            </w:r>
          </w:p>
          <w:p>
            <w:pPr>
              <w:snapToGrid w:val="0"/>
              <w:spacing w:before="156" w:beforeLines="50" w:line="360" w:lineRule="auto"/>
              <w:ind w:firstLine="420" w:firstLineChars="200"/>
              <w:rPr>
                <w:rFonts w:ascii="宋体" w:hAnsi="宋体"/>
                <w:szCs w:val="21"/>
              </w:rPr>
            </w:pPr>
            <w:r>
              <w:rPr>
                <w:rFonts w:ascii="宋体" w:hAnsi="宋体"/>
                <w:szCs w:val="21"/>
              </w:rPr>
              <w:t>全校统测：由学校统一组织举行，</w:t>
            </w:r>
            <w:r>
              <w:rPr>
                <w:rFonts w:hint="eastAsia" w:ascii="宋体" w:hAnsi="宋体"/>
                <w:szCs w:val="21"/>
              </w:rPr>
              <w:t>学校</w:t>
            </w:r>
            <w:r>
              <w:rPr>
                <w:rFonts w:ascii="宋体" w:hAnsi="宋体"/>
                <w:szCs w:val="21"/>
              </w:rPr>
              <w:t>全部学院参加。包括</w:t>
            </w:r>
            <w:r>
              <w:rPr>
                <w:rFonts w:hint="eastAsia" w:ascii="宋体" w:hAnsi="宋体"/>
                <w:szCs w:val="21"/>
              </w:rPr>
              <w:t>常规大学英语、思想政治</w:t>
            </w:r>
            <w:r>
              <w:rPr>
                <w:rFonts w:ascii="宋体" w:hAnsi="宋体"/>
                <w:szCs w:val="21"/>
              </w:rPr>
              <w:t>、</w:t>
            </w:r>
            <w:r>
              <w:rPr>
                <w:rFonts w:hint="eastAsia" w:ascii="宋体" w:hAnsi="宋体"/>
                <w:szCs w:val="21"/>
              </w:rPr>
              <w:t>高等数学、教育学、教育心理学等公共科目考试</w:t>
            </w:r>
            <w:r>
              <w:rPr>
                <w:rFonts w:ascii="宋体" w:hAnsi="宋体"/>
                <w:szCs w:val="21"/>
              </w:rPr>
              <w:t>。</w:t>
            </w:r>
          </w:p>
          <w:p>
            <w:pPr>
              <w:snapToGrid w:val="0"/>
              <w:spacing w:before="156" w:beforeLines="50" w:line="360" w:lineRule="auto"/>
              <w:ind w:firstLine="420" w:firstLineChars="200"/>
              <w:rPr>
                <w:rFonts w:ascii="宋体" w:hAnsi="宋体"/>
                <w:szCs w:val="21"/>
              </w:rPr>
            </w:pPr>
            <w:r>
              <w:rPr>
                <w:rFonts w:hint="eastAsia" w:ascii="宋体" w:hAnsi="宋体"/>
                <w:szCs w:val="21"/>
              </w:rPr>
              <w:t>学校公共科目的阅卷，可设置</w:t>
            </w:r>
            <w:r>
              <w:rPr>
                <w:rFonts w:ascii="宋体" w:hAnsi="宋体"/>
                <w:szCs w:val="21"/>
              </w:rPr>
              <w:t>管理员账号</w:t>
            </w:r>
            <w:r>
              <w:rPr>
                <w:rFonts w:hint="eastAsia" w:ascii="宋体" w:hAnsi="宋体"/>
                <w:szCs w:val="21"/>
              </w:rPr>
              <w:t>，在各学院扫描上传，教师在本学院通过校园网或互联网阅卷。阅卷完毕，学校可以通过平台进行全校成绩分析及教学质量评价，平台提供校级、学院、老师等多种角色的在线查询和分析报告下载。同时成绩数据下发学院，与校内考试统一管理实现历次成绩分析</w:t>
            </w:r>
            <w:r>
              <w:rPr>
                <w:rFonts w:ascii="宋体" w:hAnsi="宋体"/>
                <w:szCs w:val="21"/>
              </w:rPr>
              <w:t>。</w:t>
            </w:r>
          </w:p>
          <w:p>
            <w:pPr>
              <w:snapToGrid w:val="0"/>
              <w:spacing w:before="156" w:beforeLines="50" w:line="360" w:lineRule="auto"/>
              <w:ind w:firstLine="420" w:firstLineChars="200"/>
              <w:rPr>
                <w:rFonts w:ascii="宋体" w:hAnsi="宋体"/>
                <w:szCs w:val="21"/>
              </w:rPr>
            </w:pPr>
            <w:r>
              <w:rPr>
                <w:rFonts w:ascii="宋体" w:hAnsi="宋体"/>
                <w:szCs w:val="21"/>
              </w:rPr>
              <w:t>学院考试：</w:t>
            </w:r>
            <w:r>
              <w:rPr>
                <w:rFonts w:hint="eastAsia" w:ascii="宋体" w:hAnsi="宋体"/>
                <w:szCs w:val="21"/>
              </w:rPr>
              <w:t>可</w:t>
            </w:r>
            <w:r>
              <w:rPr>
                <w:rFonts w:ascii="宋体" w:hAnsi="宋体"/>
                <w:szCs w:val="21"/>
              </w:rPr>
              <w:t>由单一学院自主发起，在自己学院范围内的一个或多个年级举行的考试，包括年级测验、</w:t>
            </w:r>
            <w:r>
              <w:rPr>
                <w:rFonts w:hint="eastAsia" w:ascii="宋体" w:hAnsi="宋体"/>
                <w:szCs w:val="21"/>
              </w:rPr>
              <w:t>班级测验、</w:t>
            </w:r>
            <w:r>
              <w:rPr>
                <w:rFonts w:ascii="宋体" w:hAnsi="宋体"/>
                <w:szCs w:val="21"/>
              </w:rPr>
              <w:t>期中期末考试等，整个考试组织及阅卷工作由学院管理员自行开展。</w:t>
            </w:r>
            <w:r>
              <w:rPr>
                <w:rFonts w:hint="eastAsia" w:ascii="宋体" w:hAnsi="宋体"/>
                <w:szCs w:val="21"/>
              </w:rPr>
              <w:t>阅卷结束，平台为学院、教师、学生等提供教学质量分析报告和在线查询。</w:t>
            </w:r>
          </w:p>
          <w:p>
            <w:pPr>
              <w:snapToGrid w:val="0"/>
              <w:spacing w:before="156" w:beforeLines="50" w:line="360" w:lineRule="auto"/>
              <w:ind w:firstLine="420" w:firstLineChars="200"/>
              <w:rPr>
                <w:rFonts w:ascii="宋体" w:hAnsi="宋体"/>
                <w:szCs w:val="21"/>
              </w:rPr>
            </w:pPr>
            <w:r>
              <w:rPr>
                <w:rFonts w:hint="eastAsia" w:ascii="宋体" w:hAnsi="宋体"/>
                <w:szCs w:val="21"/>
              </w:rPr>
              <w:t>针对每种考试及阅卷要求，</w:t>
            </w:r>
            <w:r>
              <w:rPr>
                <w:rFonts w:ascii="宋体" w:hAnsi="宋体"/>
                <w:szCs w:val="21"/>
              </w:rPr>
              <w:t>评卷教师可集中评卷，也可以在学院通过</w:t>
            </w:r>
            <w:r>
              <w:rPr>
                <w:rFonts w:hint="eastAsia" w:ascii="宋体" w:hAnsi="宋体"/>
                <w:szCs w:val="21"/>
              </w:rPr>
              <w:t>校园网或</w:t>
            </w:r>
            <w:r>
              <w:rPr>
                <w:rFonts w:ascii="宋体" w:hAnsi="宋体"/>
                <w:szCs w:val="21"/>
              </w:rPr>
              <w:t>互联网进行评卷，各学院只需要账户登录即可使用，无需维护系统。</w:t>
            </w:r>
          </w:p>
          <w:p>
            <w:pPr>
              <w:spacing w:line="360" w:lineRule="auto"/>
              <w:ind w:firstLine="420" w:firstLineChars="200"/>
              <w:rPr>
                <w:rFonts w:ascii="宋体" w:hAnsi="宋体"/>
                <w:szCs w:val="21"/>
              </w:rPr>
            </w:pPr>
            <w:r>
              <w:rPr>
                <w:rFonts w:hint="eastAsia" w:ascii="宋体" w:hAnsi="宋体"/>
                <w:szCs w:val="21"/>
              </w:rPr>
              <w:t>本平台，能够满足学校的教育教学质量的各种统计分析和评价，各项分析数据符合教育部教育测量学指标；能够满足学校教学质量评价相关文件提出的针对各学院、各教师的教学评价统计分析。</w:t>
            </w:r>
          </w:p>
          <w:p>
            <w:pPr>
              <w:spacing w:line="360" w:lineRule="auto"/>
              <w:rPr>
                <w:rFonts w:ascii="宋体" w:hAnsi="宋体"/>
                <w:szCs w:val="21"/>
              </w:rPr>
            </w:pPr>
            <w:r>
              <w:rPr>
                <w:rFonts w:hint="eastAsia" w:ascii="宋体" w:hAnsi="宋体"/>
                <w:szCs w:val="21"/>
              </w:rPr>
              <w:t>★1.实现学校阅卷平台化部署，提升学校考试管理水平，</w:t>
            </w:r>
            <w:r>
              <w:rPr>
                <w:rFonts w:ascii="宋体" w:hAnsi="宋体"/>
                <w:szCs w:val="21"/>
              </w:rPr>
              <w:t>将服务器及阅卷系统软件平台集中部署在学校机房。将扫描仪</w:t>
            </w:r>
            <w:r>
              <w:rPr>
                <w:rFonts w:hint="eastAsia" w:ascii="宋体" w:hAnsi="宋体"/>
                <w:szCs w:val="21"/>
              </w:rPr>
              <w:t>和扫描识别端软件</w:t>
            </w:r>
            <w:r>
              <w:rPr>
                <w:rFonts w:ascii="宋体" w:hAnsi="宋体"/>
                <w:szCs w:val="21"/>
              </w:rPr>
              <w:t>分散部署在</w:t>
            </w:r>
            <w:r>
              <w:rPr>
                <w:rFonts w:hint="eastAsia" w:ascii="宋体" w:hAnsi="宋体"/>
                <w:szCs w:val="21"/>
              </w:rPr>
              <w:t>有相关需要的</w:t>
            </w:r>
            <w:r>
              <w:rPr>
                <w:rFonts w:ascii="宋体" w:hAnsi="宋体"/>
                <w:szCs w:val="21"/>
              </w:rPr>
              <w:t>学院，</w:t>
            </w:r>
            <w:r>
              <w:rPr>
                <w:rFonts w:hint="eastAsia" w:ascii="宋体" w:hAnsi="宋体"/>
                <w:szCs w:val="21"/>
              </w:rPr>
              <w:t>学校组织统考时</w:t>
            </w:r>
            <w:r>
              <w:rPr>
                <w:rFonts w:ascii="宋体" w:hAnsi="宋体"/>
                <w:szCs w:val="21"/>
              </w:rPr>
              <w:t>由学院组织对试卷进行扫描</w:t>
            </w:r>
            <w:r>
              <w:rPr>
                <w:rFonts w:hint="eastAsia" w:ascii="宋体" w:hAnsi="宋体"/>
                <w:szCs w:val="21"/>
              </w:rPr>
              <w:t>上传学校教研平台，实现学院扫描、学院阅卷，学校端管理监控</w:t>
            </w:r>
            <w:r>
              <w:rPr>
                <w:rFonts w:ascii="宋体" w:hAnsi="宋体"/>
                <w:szCs w:val="21"/>
              </w:rPr>
              <w:t>。</w:t>
            </w:r>
          </w:p>
          <w:p>
            <w:pPr>
              <w:spacing w:before="156" w:beforeLines="50" w:line="360" w:lineRule="auto"/>
              <w:ind w:firstLine="420" w:firstLineChars="200"/>
              <w:jc w:val="left"/>
              <w:rPr>
                <w:rFonts w:ascii="宋体" w:hAnsi="宋体"/>
                <w:szCs w:val="21"/>
              </w:rPr>
            </w:pPr>
            <w:r>
              <w:rPr>
                <w:rFonts w:hint="eastAsia" w:ascii="宋体" w:hAnsi="宋体"/>
                <w:szCs w:val="21"/>
              </w:rPr>
              <w:t>系统网上阅卷支持B/S方式运行，可运行于互联网（Internet）、校园网，可实现浏览器阅卷、手机APP阅卷等。</w:t>
            </w:r>
          </w:p>
          <w:p>
            <w:pPr>
              <w:pStyle w:val="4"/>
              <w:spacing w:line="360" w:lineRule="auto"/>
              <w:rPr>
                <w:rFonts w:ascii="宋体" w:hAnsi="宋体" w:eastAsia="宋体" w:cs="宋体"/>
                <w:b w:val="0"/>
                <w:sz w:val="21"/>
                <w:szCs w:val="21"/>
              </w:rPr>
            </w:pPr>
            <w:r>
              <w:rPr>
                <w:rFonts w:hint="eastAsia" w:ascii="宋体" w:hAnsi="宋体" w:eastAsia="宋体" w:cs="宋体"/>
                <w:b w:val="0"/>
                <w:sz w:val="21"/>
                <w:szCs w:val="21"/>
              </w:rPr>
              <w:t>2.实现各类考试答题卡和试卷的高速扫描识别，大幅提高阅卷效率</w:t>
            </w:r>
          </w:p>
          <w:p>
            <w:pPr>
              <w:pStyle w:val="92"/>
              <w:rPr>
                <w:rFonts w:ascii="宋体" w:hAnsi="宋体"/>
                <w:szCs w:val="21"/>
              </w:rPr>
            </w:pPr>
            <w:r>
              <w:rPr>
                <w:rFonts w:hint="eastAsia" w:ascii="宋体" w:hAnsi="宋体"/>
                <w:szCs w:val="21"/>
              </w:rPr>
              <w:t>扫描识别是网络阅卷的数据采集第一环节，扫描图片的准确和效率直接影响到网络阅卷的操作。由于考试类别、专业、年级众多，学生的答题卡数量多而且分散, 扫描识别的工作量大，学校阅卷平台的扫描识别系统在保证扫描识别精度的情况下，需要保证扫描识别的准确、高效，保证阅卷的进度和时间。降低专业老师批改主客观题的时间。</w:t>
            </w:r>
          </w:p>
          <w:p>
            <w:pPr>
              <w:pStyle w:val="4"/>
              <w:spacing w:line="360" w:lineRule="auto"/>
              <w:rPr>
                <w:rFonts w:ascii="宋体" w:hAnsi="宋体" w:eastAsia="宋体" w:cs="宋体"/>
                <w:b w:val="0"/>
                <w:sz w:val="21"/>
                <w:szCs w:val="21"/>
              </w:rPr>
            </w:pPr>
            <w:r>
              <w:rPr>
                <w:rFonts w:hint="eastAsia" w:ascii="宋体" w:hAnsi="宋体" w:eastAsia="宋体" w:cs="宋体"/>
                <w:b w:val="0"/>
                <w:sz w:val="21"/>
                <w:szCs w:val="21"/>
              </w:rPr>
              <w:t>3.实现各类型考试的互联网（校园网）阅卷，方便老师阅卷，兼顾公平和效率</w:t>
            </w:r>
          </w:p>
          <w:p>
            <w:pPr>
              <w:pStyle w:val="92"/>
              <w:rPr>
                <w:rFonts w:ascii="宋体" w:hAnsi="宋体"/>
                <w:szCs w:val="21"/>
              </w:rPr>
            </w:pPr>
            <w:r>
              <w:rPr>
                <w:rFonts w:hint="eastAsia" w:ascii="宋体" w:hAnsi="宋体"/>
                <w:szCs w:val="21"/>
              </w:rPr>
              <w:t>学校阅卷平台包括网络阅卷平台模块，实现教师在同一个互联网阅卷平台进行阅卷。网上阅卷系统可以通过图像采集、切割等生成多个图像，将这些图像随机分发到各个评卷员，评卷员在不知道当前试卷归属学生的情况下评卷，支持1+1、2+1、2+1+1、3+1等多种多评机制，做到评卷过程的严谨，评卷结果的公正。并且支持单双评题目的任意切换，可以兼顾公平和效率。</w:t>
            </w:r>
          </w:p>
          <w:p>
            <w:pPr>
              <w:pStyle w:val="4"/>
              <w:spacing w:line="360" w:lineRule="auto"/>
              <w:rPr>
                <w:rFonts w:ascii="宋体" w:hAnsi="宋体" w:eastAsia="宋体" w:cs="宋体"/>
                <w:b w:val="0"/>
                <w:sz w:val="21"/>
                <w:szCs w:val="21"/>
              </w:rPr>
            </w:pPr>
            <w:r>
              <w:rPr>
                <w:rFonts w:hint="eastAsia" w:ascii="宋体" w:hAnsi="宋体" w:eastAsia="宋体" w:cs="宋体"/>
                <w:b w:val="0"/>
                <w:sz w:val="21"/>
                <w:szCs w:val="21"/>
              </w:rPr>
              <w:t>4.建设学校学情分析和评价系统，反馈教学情况，支持教学管理目标的提升</w:t>
            </w:r>
          </w:p>
          <w:p>
            <w:pPr>
              <w:pStyle w:val="92"/>
              <w:rPr>
                <w:rFonts w:ascii="宋体" w:hAnsi="宋体"/>
                <w:szCs w:val="21"/>
              </w:rPr>
            </w:pPr>
            <w:r>
              <w:rPr>
                <w:rFonts w:hint="eastAsia" w:ascii="宋体" w:hAnsi="宋体"/>
                <w:szCs w:val="21"/>
              </w:rPr>
              <w:t>学校阅卷平台包括针对的教学质量分析和教学质量评价系统，和学情数据查询系统。学校考试主管部门可以通过该系统对所有学校和学院进行的各年级、各学院、各专业、各教师的教学评价系统，进行教育教学质量的各种统计分析，各项分析数据符合教育部教育测量学指标。</w:t>
            </w:r>
          </w:p>
          <w:p>
            <w:pPr>
              <w:pStyle w:val="3"/>
              <w:spacing w:line="360" w:lineRule="auto"/>
              <w:ind w:left="630" w:hanging="630"/>
              <w:rPr>
                <w:rFonts w:ascii="宋体" w:hAnsi="宋体"/>
                <w:b w:val="0"/>
                <w:sz w:val="21"/>
                <w:szCs w:val="21"/>
              </w:rPr>
            </w:pPr>
            <w:r>
              <w:rPr>
                <w:rFonts w:hint="eastAsia" w:ascii="宋体" w:hAnsi="宋体"/>
                <w:b w:val="0"/>
                <w:sz w:val="21"/>
                <w:szCs w:val="21"/>
              </w:rPr>
              <w:t>二、平台建设的基本要求</w:t>
            </w:r>
          </w:p>
          <w:p>
            <w:pPr>
              <w:pStyle w:val="92"/>
              <w:rPr>
                <w:rFonts w:ascii="宋体" w:hAnsi="宋体"/>
                <w:szCs w:val="21"/>
              </w:rPr>
            </w:pPr>
            <w:r>
              <w:rPr>
                <w:rFonts w:hint="eastAsia" w:ascii="宋体" w:hAnsi="宋体"/>
                <w:szCs w:val="21"/>
              </w:rPr>
              <w:t>能够在考试结束后实现答题卡的扫描采集；</w:t>
            </w:r>
          </w:p>
          <w:p>
            <w:pPr>
              <w:pStyle w:val="92"/>
              <w:rPr>
                <w:rFonts w:ascii="宋体" w:hAnsi="宋体"/>
                <w:szCs w:val="21"/>
              </w:rPr>
            </w:pPr>
            <w:r>
              <w:rPr>
                <w:rFonts w:hint="eastAsia" w:ascii="宋体" w:hAnsi="宋体"/>
                <w:szCs w:val="21"/>
              </w:rPr>
              <w:t>能够在答题卡扫描识别结束后开展范围互联网阅卷，5-6天阅卷结束，并完成成绩合成和分析；</w:t>
            </w:r>
          </w:p>
          <w:p>
            <w:pPr>
              <w:pStyle w:val="92"/>
              <w:rPr>
                <w:rFonts w:ascii="宋体" w:hAnsi="宋体"/>
                <w:szCs w:val="21"/>
              </w:rPr>
            </w:pPr>
            <w:r>
              <w:rPr>
                <w:rFonts w:hint="eastAsia" w:ascii="宋体" w:hAnsi="宋体"/>
                <w:szCs w:val="21"/>
              </w:rPr>
              <w:t>能够进行全面的覆盖教育测量学的数据分析，能够建立以知识点掌握情况来进行的大数据分析；</w:t>
            </w:r>
          </w:p>
          <w:p>
            <w:pPr>
              <w:pStyle w:val="92"/>
              <w:rPr>
                <w:rFonts w:ascii="宋体" w:hAnsi="宋体"/>
                <w:szCs w:val="21"/>
              </w:rPr>
            </w:pPr>
            <w:r>
              <w:rPr>
                <w:rFonts w:hint="eastAsia" w:ascii="宋体" w:hAnsi="宋体"/>
                <w:szCs w:val="21"/>
              </w:rPr>
              <w:t>能够供任课教师、学院领导、教学主管部门对各项考试的教学质量分析和评价；</w:t>
            </w:r>
          </w:p>
          <w:p>
            <w:pPr>
              <w:pStyle w:val="92"/>
              <w:rPr>
                <w:rFonts w:ascii="宋体" w:hAnsi="宋体"/>
                <w:szCs w:val="21"/>
              </w:rPr>
            </w:pPr>
            <w:r>
              <w:rPr>
                <w:rFonts w:hint="eastAsia" w:ascii="宋体" w:hAnsi="宋体"/>
                <w:szCs w:val="21"/>
              </w:rPr>
              <w:t>能够反馈教学质量，使学院和教师能及时了解教学中存在的问题和缺陷，提高教研水平。</w:t>
            </w:r>
          </w:p>
          <w:p>
            <w:pPr>
              <w:pStyle w:val="5"/>
              <w:spacing w:line="360" w:lineRule="auto"/>
              <w:rPr>
                <w:rFonts w:ascii="宋体" w:hAnsi="宋体"/>
                <w:b w:val="0"/>
                <w:sz w:val="21"/>
                <w:szCs w:val="21"/>
              </w:rPr>
            </w:pPr>
            <w:r>
              <w:rPr>
                <w:rFonts w:hint="eastAsia" w:ascii="宋体" w:hAnsi="宋体"/>
                <w:b w:val="0"/>
                <w:sz w:val="21"/>
                <w:szCs w:val="21"/>
              </w:rPr>
              <w:t>1.操作便捷</w:t>
            </w:r>
          </w:p>
          <w:p>
            <w:pPr>
              <w:pStyle w:val="92"/>
              <w:rPr>
                <w:rFonts w:ascii="宋体" w:hAnsi="宋体"/>
                <w:szCs w:val="21"/>
              </w:rPr>
            </w:pPr>
            <w:r>
              <w:rPr>
                <w:rFonts w:hint="eastAsia" w:ascii="宋体" w:hAnsi="宋体"/>
                <w:szCs w:val="21"/>
              </w:rPr>
              <w:t>前台阅卷教师使用浏览器（客户端不需安装任何组件）即可完成所有评卷操作。评卷界面友好、结构清晰，简单培训或者不用培训就能掌握使用方法。能提供形式多样、操作方便的打分方式，减轻教师评卷负担，提高评卷效率。</w:t>
            </w:r>
          </w:p>
          <w:p>
            <w:pPr>
              <w:pStyle w:val="92"/>
              <w:rPr>
                <w:rFonts w:ascii="宋体" w:hAnsi="宋体"/>
                <w:szCs w:val="21"/>
              </w:rPr>
            </w:pPr>
            <w:r>
              <w:rPr>
                <w:rFonts w:hint="eastAsia" w:ascii="宋体" w:hAnsi="宋体"/>
                <w:szCs w:val="21"/>
              </w:rPr>
              <w:t>后台的扫描识别系统和考试项目定义系统操作灵活方便，不需要大量培训就能掌握整个系统的运行维护。</w:t>
            </w:r>
          </w:p>
          <w:p>
            <w:pPr>
              <w:spacing w:line="360" w:lineRule="auto"/>
              <w:rPr>
                <w:rFonts w:ascii="宋体" w:hAnsi="宋体"/>
                <w:szCs w:val="21"/>
              </w:rPr>
            </w:pPr>
            <w:r>
              <w:rPr>
                <w:rFonts w:hint="eastAsia" w:ascii="宋体" w:hAnsi="宋体"/>
                <w:szCs w:val="21"/>
              </w:rPr>
              <w:t xml:space="preserve">    因此，要求软件系统与核心设备光标阅读机须同步运行和售后，光标阅读机处理的数据，可以直接上传到本地查询系统，方便学生查阅成绩。</w:t>
            </w:r>
          </w:p>
          <w:p>
            <w:pPr>
              <w:spacing w:line="360" w:lineRule="auto"/>
              <w:rPr>
                <w:rFonts w:ascii="宋体" w:hAnsi="宋体"/>
                <w:szCs w:val="21"/>
              </w:rPr>
            </w:pPr>
            <w:r>
              <w:rPr>
                <w:rFonts w:hint="eastAsia" w:ascii="宋体" w:hAnsi="宋体"/>
                <w:szCs w:val="21"/>
              </w:rPr>
              <w:t xml:space="preserve">    平台要求数据库基于JAVA技术开发。MySQL数据对计算配置比较低，操作简单方便。适合各学院使用，无盗版和知识产权纠纷，数据库与评卷系统安装程序一体化，无需用户单独安装数据库；避免SQL Server数据库，对硬件要求高和版权纠纷。</w:t>
            </w:r>
          </w:p>
          <w:p>
            <w:pPr>
              <w:spacing w:line="360" w:lineRule="auto"/>
              <w:rPr>
                <w:rFonts w:ascii="宋体" w:hAnsi="宋体"/>
                <w:szCs w:val="21"/>
              </w:rPr>
            </w:pPr>
            <w:r>
              <w:rPr>
                <w:rFonts w:hint="eastAsia" w:ascii="宋体" w:hAnsi="宋体"/>
                <w:szCs w:val="21"/>
              </w:rPr>
              <w:t xml:space="preserve">    要求采用纯B/S架构，教师阅卷在WEB方式下进行，阅卷教师客户端无需下载任何插件，如ActiveX或Applet等。系统可以在安装有还原卡、使用无线网络的局域网阅卷，并且也可以在广域网阅卷，还支持平板电脑阅卷。杜绝采用C/S和B/S混合架构，需要电脑客户端装有插件，不方便使用。</w:t>
            </w:r>
          </w:p>
          <w:p>
            <w:pPr>
              <w:pStyle w:val="5"/>
              <w:spacing w:line="360" w:lineRule="auto"/>
              <w:rPr>
                <w:rFonts w:ascii="宋体" w:hAnsi="宋体"/>
                <w:b w:val="0"/>
                <w:sz w:val="21"/>
                <w:szCs w:val="21"/>
              </w:rPr>
            </w:pPr>
            <w:r>
              <w:rPr>
                <w:rFonts w:hint="eastAsia" w:ascii="宋体" w:hAnsi="宋体"/>
                <w:sz w:val="21"/>
                <w:szCs w:val="21"/>
              </w:rPr>
              <w:t>★</w:t>
            </w:r>
            <w:r>
              <w:rPr>
                <w:rFonts w:hint="eastAsia" w:ascii="宋体" w:hAnsi="宋体"/>
                <w:b w:val="0"/>
                <w:sz w:val="21"/>
                <w:szCs w:val="21"/>
              </w:rPr>
              <w:t>2. 稳定性</w:t>
            </w:r>
          </w:p>
          <w:p>
            <w:pPr>
              <w:pStyle w:val="92"/>
              <w:rPr>
                <w:rFonts w:ascii="宋体" w:hAnsi="宋体"/>
                <w:szCs w:val="21"/>
              </w:rPr>
            </w:pPr>
            <w:r>
              <w:rPr>
                <w:rFonts w:hint="eastAsia" w:ascii="宋体" w:hAnsi="宋体"/>
                <w:szCs w:val="21"/>
              </w:rPr>
              <w:t>系统使用模块化，流程清晰，运行维护简单；</w:t>
            </w:r>
          </w:p>
          <w:p>
            <w:pPr>
              <w:pStyle w:val="92"/>
              <w:rPr>
                <w:rFonts w:ascii="宋体" w:hAnsi="宋体"/>
                <w:szCs w:val="21"/>
              </w:rPr>
            </w:pPr>
            <w:r>
              <w:rPr>
                <w:rFonts w:hint="eastAsia" w:ascii="宋体" w:hAnsi="宋体"/>
                <w:szCs w:val="21"/>
              </w:rPr>
              <w:t>系统具备很高的稳定性和应用系统的容错能力，对误操作要能做出正确的判断和提示。</w:t>
            </w:r>
          </w:p>
          <w:p>
            <w:pPr>
              <w:pStyle w:val="92"/>
              <w:rPr>
                <w:rFonts w:ascii="宋体" w:hAnsi="宋体"/>
                <w:szCs w:val="21"/>
              </w:rPr>
            </w:pPr>
            <w:r>
              <w:rPr>
                <w:rFonts w:hint="eastAsia" w:ascii="宋体" w:hAnsi="宋体"/>
                <w:szCs w:val="21"/>
              </w:rPr>
              <w:t>因此，要求软件</w:t>
            </w:r>
            <w:r>
              <w:rPr>
                <w:rFonts w:ascii="宋体" w:hAnsi="宋体"/>
                <w:szCs w:val="21"/>
              </w:rPr>
              <w:t>系统和核心</w:t>
            </w:r>
            <w:r>
              <w:rPr>
                <w:rFonts w:hint="eastAsia" w:ascii="宋体" w:hAnsi="宋体"/>
                <w:szCs w:val="21"/>
              </w:rPr>
              <w:t>设备光标阅读机</w:t>
            </w:r>
            <w:r>
              <w:rPr>
                <w:rFonts w:ascii="宋体" w:hAnsi="宋体"/>
                <w:szCs w:val="21"/>
              </w:rPr>
              <w:t>属同一厂商</w:t>
            </w:r>
            <w:r>
              <w:rPr>
                <w:rFonts w:hint="eastAsia" w:ascii="宋体" w:hAnsi="宋体"/>
                <w:szCs w:val="21"/>
              </w:rPr>
              <w:t>和</w:t>
            </w:r>
            <w:r>
              <w:rPr>
                <w:rFonts w:ascii="宋体" w:hAnsi="宋体"/>
                <w:szCs w:val="21"/>
              </w:rPr>
              <w:t>品牌开发，确保无缝对接，方便</w:t>
            </w:r>
            <w:r>
              <w:rPr>
                <w:rFonts w:hint="eastAsia" w:ascii="宋体" w:hAnsi="宋体"/>
                <w:szCs w:val="21"/>
              </w:rPr>
              <w:t>未来</w:t>
            </w:r>
            <w:r>
              <w:rPr>
                <w:rFonts w:ascii="宋体" w:hAnsi="宋体"/>
                <w:szCs w:val="21"/>
              </w:rPr>
              <w:t>根据</w:t>
            </w:r>
            <w:r>
              <w:rPr>
                <w:rFonts w:hint="eastAsia" w:ascii="宋体" w:hAnsi="宋体"/>
                <w:szCs w:val="21"/>
              </w:rPr>
              <w:t>学校发展</w:t>
            </w:r>
            <w:r>
              <w:rPr>
                <w:rFonts w:ascii="宋体" w:hAnsi="宋体"/>
                <w:szCs w:val="21"/>
              </w:rPr>
              <w:t>需要</w:t>
            </w:r>
            <w:r>
              <w:rPr>
                <w:rFonts w:hint="eastAsia" w:ascii="宋体" w:hAnsi="宋体"/>
                <w:szCs w:val="21"/>
              </w:rPr>
              <w:t>做</w:t>
            </w:r>
            <w:r>
              <w:rPr>
                <w:rFonts w:ascii="宋体" w:hAnsi="宋体"/>
                <w:szCs w:val="21"/>
              </w:rPr>
              <w:t>个性化二次开发，升级。同时可以实现软硬件均本地化上门服务。</w:t>
            </w:r>
            <w:r>
              <w:rPr>
                <w:rFonts w:hint="eastAsia" w:ascii="宋体" w:hAnsi="宋体"/>
                <w:szCs w:val="21"/>
              </w:rPr>
              <w:t>避免了用户不掌握平台，</w:t>
            </w:r>
            <w:r>
              <w:rPr>
                <w:rFonts w:ascii="宋体" w:hAnsi="宋体"/>
                <w:szCs w:val="21"/>
              </w:rPr>
              <w:t>只有账号使用权，硬件东拼西凑，无法获得个性化定制，也无法软硬件协同升级和售后服务</w:t>
            </w:r>
            <w:r>
              <w:rPr>
                <w:rFonts w:hint="eastAsia" w:ascii="宋体" w:hAnsi="宋体"/>
                <w:szCs w:val="21"/>
              </w:rPr>
              <w:t>等不稳定和不安全的模式</w:t>
            </w:r>
            <w:r>
              <w:rPr>
                <w:rFonts w:ascii="宋体" w:hAnsi="宋体"/>
                <w:szCs w:val="21"/>
              </w:rPr>
              <w:t>。</w:t>
            </w:r>
          </w:p>
          <w:p>
            <w:pPr>
              <w:spacing w:line="360" w:lineRule="auto"/>
              <w:rPr>
                <w:rFonts w:ascii="宋体" w:hAnsi="宋体"/>
                <w:szCs w:val="21"/>
              </w:rPr>
            </w:pPr>
            <w:r>
              <w:rPr>
                <w:rFonts w:ascii="宋体" w:hAnsi="宋体"/>
                <w:szCs w:val="21"/>
              </w:rPr>
              <w:t>，</w:t>
            </w:r>
            <w:r>
              <w:rPr>
                <w:rFonts w:hint="eastAsia" w:ascii="宋体" w:hAnsi="宋体"/>
                <w:szCs w:val="21"/>
              </w:rPr>
              <w:t>具备高校、</w:t>
            </w:r>
            <w:r>
              <w:rPr>
                <w:rFonts w:ascii="宋体" w:hAnsi="宋体"/>
                <w:szCs w:val="21"/>
              </w:rPr>
              <w:t>国考、高考、中考</w:t>
            </w:r>
            <w:r>
              <w:rPr>
                <w:rFonts w:hint="eastAsia" w:ascii="宋体" w:hAnsi="宋体"/>
                <w:szCs w:val="21"/>
              </w:rPr>
              <w:t>、</w:t>
            </w:r>
            <w:r>
              <w:rPr>
                <w:rFonts w:ascii="宋体" w:hAnsi="宋体"/>
                <w:szCs w:val="21"/>
              </w:rPr>
              <w:t>地方性、学校级考试，本地化部署和应用的案例，对各类考试理解深刻，经验丰富。</w:t>
            </w:r>
            <w:r>
              <w:rPr>
                <w:rFonts w:hint="eastAsia" w:ascii="宋体" w:hAnsi="宋体"/>
                <w:szCs w:val="21"/>
              </w:rPr>
              <w:t>避免</w:t>
            </w:r>
            <w:r>
              <w:rPr>
                <w:rFonts w:ascii="宋体" w:hAnsi="宋体"/>
                <w:szCs w:val="21"/>
              </w:rPr>
              <w:t>只熟悉部分学科，</w:t>
            </w:r>
            <w:r>
              <w:rPr>
                <w:rFonts w:hint="eastAsia" w:ascii="宋体" w:hAnsi="宋体"/>
                <w:szCs w:val="21"/>
              </w:rPr>
              <w:t>只能使用</w:t>
            </w:r>
            <w:r>
              <w:rPr>
                <w:rFonts w:ascii="宋体" w:hAnsi="宋体"/>
                <w:szCs w:val="21"/>
              </w:rPr>
              <w:t>互联网</w:t>
            </w:r>
            <w:r>
              <w:rPr>
                <w:rFonts w:hint="eastAsia" w:ascii="宋体" w:hAnsi="宋体"/>
                <w:szCs w:val="21"/>
              </w:rPr>
              <w:t>阅卷</w:t>
            </w:r>
            <w:r>
              <w:rPr>
                <w:rFonts w:ascii="宋体" w:hAnsi="宋体"/>
                <w:szCs w:val="21"/>
              </w:rPr>
              <w:t>的无差别账号型应用，不能兼顾用户不同网络条件，不安全性和不可靠因素</w:t>
            </w:r>
            <w:r>
              <w:rPr>
                <w:rFonts w:hint="eastAsia" w:ascii="宋体" w:hAnsi="宋体"/>
                <w:szCs w:val="21"/>
              </w:rPr>
              <w:t>太多</w:t>
            </w:r>
            <w:r>
              <w:rPr>
                <w:rFonts w:ascii="宋体" w:hAnsi="宋体"/>
                <w:szCs w:val="21"/>
              </w:rPr>
              <w:t>。</w:t>
            </w:r>
          </w:p>
          <w:p>
            <w:pPr>
              <w:spacing w:line="360" w:lineRule="auto"/>
              <w:rPr>
                <w:rFonts w:ascii="宋体" w:hAnsi="宋体"/>
                <w:szCs w:val="21"/>
              </w:rPr>
            </w:pPr>
            <w:r>
              <w:rPr>
                <w:rFonts w:hint="eastAsia" w:ascii="宋体" w:hAnsi="宋体"/>
                <w:szCs w:val="21"/>
              </w:rPr>
              <w:t xml:space="preserve">    试卷扫描和识别既可以同步进行也可以异步进行，如有错误，则由校正模块进行交互式纠错处理。拥有实时扫描控制程序，不依赖包括扫描仪自带软件在内的其他通用图像扫描软件。</w:t>
            </w:r>
          </w:p>
          <w:p>
            <w:pPr>
              <w:pStyle w:val="5"/>
              <w:spacing w:line="360" w:lineRule="auto"/>
              <w:rPr>
                <w:rFonts w:ascii="宋体" w:hAnsi="宋体"/>
                <w:b w:val="0"/>
                <w:sz w:val="21"/>
                <w:szCs w:val="21"/>
              </w:rPr>
            </w:pPr>
            <w:r>
              <w:rPr>
                <w:rFonts w:hint="eastAsia" w:ascii="宋体" w:hAnsi="宋体"/>
                <w:b w:val="0"/>
                <w:sz w:val="21"/>
                <w:szCs w:val="21"/>
              </w:rPr>
              <w:t>3.实用性</w:t>
            </w:r>
          </w:p>
          <w:p>
            <w:pPr>
              <w:pStyle w:val="92"/>
              <w:rPr>
                <w:rFonts w:ascii="宋体" w:hAnsi="宋体"/>
                <w:szCs w:val="21"/>
              </w:rPr>
            </w:pPr>
            <w:r>
              <w:rPr>
                <w:rFonts w:hint="eastAsia" w:ascii="宋体" w:hAnsi="宋体"/>
                <w:szCs w:val="21"/>
              </w:rPr>
              <w:t>向评卷人员提供形式多样、操作方便打分方式；多种监控权限，提供丰富的阅卷质量监控功能，可以实时对阅卷质量进行监控，可以提供四级三评制模式下对阅卷质量有问题的教师及时报警提醒。</w:t>
            </w:r>
          </w:p>
          <w:p>
            <w:pPr>
              <w:pStyle w:val="92"/>
              <w:rPr>
                <w:rFonts w:ascii="宋体" w:hAnsi="宋体"/>
                <w:szCs w:val="21"/>
              </w:rPr>
            </w:pPr>
            <w:r>
              <w:rPr>
                <w:rFonts w:hint="eastAsia" w:ascii="宋体" w:hAnsi="宋体"/>
                <w:szCs w:val="21"/>
              </w:rPr>
              <w:t>运用多种教育统计分析方法，向各类角色用户提供多主体结构化分析报告和质量反馈。满足教学主管部门、任课教师、学生对考试信息进行查询、统计与管理，生成多种形式的报表格式。</w:t>
            </w:r>
          </w:p>
          <w:p>
            <w:pPr>
              <w:spacing w:line="360" w:lineRule="auto"/>
              <w:rPr>
                <w:rFonts w:ascii="宋体" w:hAnsi="宋体"/>
                <w:szCs w:val="21"/>
              </w:rPr>
            </w:pPr>
            <w:r>
              <w:rPr>
                <w:rFonts w:hint="eastAsia" w:ascii="宋体" w:hAnsi="宋体"/>
                <w:szCs w:val="21"/>
              </w:rPr>
              <w:t xml:space="preserve">   系统可以实现多个院系同时或单独使用，之间互不影响，便于平时各个学院的单元练习，小测等小型考试；也可以实现所有院的公共科目统一使用，统一阅卷，统一分析对比，可操作性强，灵活度高。</w:t>
            </w:r>
          </w:p>
          <w:p>
            <w:pPr>
              <w:pStyle w:val="5"/>
              <w:spacing w:line="360" w:lineRule="auto"/>
              <w:rPr>
                <w:rFonts w:ascii="宋体" w:hAnsi="宋体"/>
                <w:b w:val="0"/>
                <w:sz w:val="21"/>
                <w:szCs w:val="21"/>
              </w:rPr>
            </w:pPr>
            <w:r>
              <w:rPr>
                <w:rFonts w:hint="eastAsia" w:ascii="宋体" w:hAnsi="宋体"/>
                <w:sz w:val="21"/>
                <w:szCs w:val="21"/>
              </w:rPr>
              <w:t>★</w:t>
            </w:r>
            <w:r>
              <w:rPr>
                <w:rFonts w:hint="eastAsia" w:ascii="宋体" w:hAnsi="宋体"/>
                <w:b w:val="0"/>
                <w:sz w:val="21"/>
                <w:szCs w:val="21"/>
              </w:rPr>
              <w:t>4.安全</w:t>
            </w:r>
          </w:p>
          <w:p>
            <w:pPr>
              <w:pStyle w:val="92"/>
              <w:rPr>
                <w:rFonts w:ascii="宋体" w:hAnsi="宋体"/>
                <w:szCs w:val="21"/>
              </w:rPr>
            </w:pPr>
            <w:r>
              <w:rPr>
                <w:rFonts w:hint="eastAsia" w:ascii="宋体" w:hAnsi="宋体"/>
                <w:szCs w:val="21"/>
              </w:rPr>
              <w:t>系统应可以进行多元化的角色定义，分别授予不同的权限。通过角色权限管理，控制每个模块功能；可进行多种形式的数据的备份和数据还原。</w:t>
            </w:r>
          </w:p>
          <w:p>
            <w:pPr>
              <w:pStyle w:val="92"/>
              <w:ind w:firstLine="0" w:firstLineChars="0"/>
              <w:rPr>
                <w:rFonts w:ascii="宋体" w:hAnsi="宋体"/>
                <w:szCs w:val="21"/>
              </w:rPr>
            </w:pPr>
            <w:r>
              <w:rPr>
                <w:rFonts w:hint="eastAsia" w:ascii="宋体" w:hAnsi="宋体"/>
                <w:szCs w:val="21"/>
              </w:rPr>
              <w:t xml:space="preserve">    具备完整的数据库操作日志管理。</w:t>
            </w:r>
          </w:p>
          <w:p>
            <w:pPr>
              <w:spacing w:line="360" w:lineRule="auto"/>
              <w:rPr>
                <w:rFonts w:ascii="宋体" w:hAnsi="宋体"/>
                <w:szCs w:val="21"/>
              </w:rPr>
            </w:pPr>
            <w:r>
              <w:rPr>
                <w:rFonts w:hint="eastAsia" w:ascii="宋体" w:hAnsi="宋体"/>
                <w:szCs w:val="21"/>
              </w:rPr>
              <w:t xml:space="preserve">    系统必须</w:t>
            </w:r>
            <w:r>
              <w:rPr>
                <w:rFonts w:ascii="宋体" w:hAnsi="宋体"/>
                <w:szCs w:val="21"/>
              </w:rPr>
              <w:t>采用本地化部署，</w:t>
            </w:r>
            <w:r>
              <w:rPr>
                <w:rFonts w:hint="eastAsia" w:ascii="宋体" w:hAnsi="宋体"/>
                <w:szCs w:val="21"/>
              </w:rPr>
              <w:t>最终管理权由学校掌握。确保系统</w:t>
            </w:r>
            <w:r>
              <w:rPr>
                <w:rFonts w:ascii="宋体" w:hAnsi="宋体"/>
                <w:szCs w:val="21"/>
              </w:rPr>
              <w:t>可以在线阅卷，也可以离线阅卷，</w:t>
            </w:r>
            <w:r>
              <w:rPr>
                <w:rFonts w:hint="eastAsia" w:ascii="宋体" w:hAnsi="宋体"/>
                <w:szCs w:val="21"/>
              </w:rPr>
              <w:t>高度</w:t>
            </w:r>
            <w:r>
              <w:rPr>
                <w:rFonts w:ascii="宋体" w:hAnsi="宋体"/>
                <w:szCs w:val="21"/>
              </w:rPr>
              <w:t>安全可靠，避免了考试集中期互联网峰值时的“堵塞”。如有紧急情况，学校可以及时处理，</w:t>
            </w:r>
            <w:r>
              <w:rPr>
                <w:rFonts w:hint="eastAsia" w:ascii="宋体" w:hAnsi="宋体"/>
                <w:szCs w:val="21"/>
              </w:rPr>
              <w:t>安全</w:t>
            </w:r>
            <w:r>
              <w:rPr>
                <w:rFonts w:ascii="宋体" w:hAnsi="宋体"/>
                <w:szCs w:val="21"/>
              </w:rPr>
              <w:t>方便。避免第三方平台可能发生的试题泄露，知识产权流失，考试成绩信息被滥用。如有保密性质不允许上互联网的考试，本地化部署的优势将更加明显。，</w:t>
            </w:r>
            <w:r>
              <w:rPr>
                <w:rFonts w:hint="eastAsia" w:ascii="宋体" w:hAnsi="宋体"/>
                <w:szCs w:val="21"/>
              </w:rPr>
              <w:t>避免平台方变动而造成学校</w:t>
            </w:r>
            <w:r>
              <w:rPr>
                <w:rFonts w:ascii="宋体" w:hAnsi="宋体"/>
                <w:szCs w:val="21"/>
              </w:rPr>
              <w:t>考试信息</w:t>
            </w:r>
            <w:r>
              <w:rPr>
                <w:rFonts w:hint="eastAsia" w:ascii="宋体" w:hAnsi="宋体"/>
                <w:szCs w:val="21"/>
              </w:rPr>
              <w:t>的损失。</w:t>
            </w:r>
          </w:p>
          <w:p>
            <w:pPr>
              <w:pStyle w:val="5"/>
              <w:spacing w:line="360" w:lineRule="auto"/>
              <w:rPr>
                <w:rFonts w:ascii="宋体" w:hAnsi="宋体"/>
                <w:b w:val="0"/>
                <w:sz w:val="21"/>
                <w:szCs w:val="21"/>
              </w:rPr>
            </w:pPr>
            <w:r>
              <w:rPr>
                <w:rFonts w:hint="eastAsia" w:ascii="宋体" w:hAnsi="宋体"/>
                <w:sz w:val="21"/>
                <w:szCs w:val="21"/>
              </w:rPr>
              <w:t>★</w:t>
            </w:r>
            <w:r>
              <w:rPr>
                <w:rFonts w:hint="eastAsia" w:ascii="宋体" w:hAnsi="宋体"/>
                <w:b w:val="0"/>
                <w:sz w:val="21"/>
                <w:szCs w:val="21"/>
              </w:rPr>
              <w:t>5.可扩展性</w:t>
            </w:r>
          </w:p>
          <w:p>
            <w:pPr>
              <w:pStyle w:val="92"/>
              <w:rPr>
                <w:rFonts w:ascii="宋体" w:hAnsi="宋体"/>
                <w:szCs w:val="21"/>
              </w:rPr>
            </w:pPr>
            <w:r>
              <w:rPr>
                <w:rFonts w:hint="eastAsia" w:ascii="宋体" w:hAnsi="宋体"/>
                <w:szCs w:val="21"/>
              </w:rPr>
              <w:t>系统在开发过程中要充分考虑将来的功能模块扩展需求，能够方便地在原有系统中增加新开发的功能组件，或者能够平稳地升级到更高的版本。</w:t>
            </w:r>
          </w:p>
          <w:p>
            <w:pPr>
              <w:spacing w:line="360" w:lineRule="auto"/>
              <w:rPr>
                <w:rFonts w:ascii="宋体" w:hAnsi="宋体"/>
                <w:szCs w:val="21"/>
              </w:rPr>
            </w:pPr>
            <w:r>
              <w:rPr>
                <w:rFonts w:hint="eastAsia" w:ascii="宋体" w:hAnsi="宋体"/>
                <w:szCs w:val="21"/>
              </w:rPr>
              <w:t xml:space="preserve">    阅卷系统须可以对接市场上各种品牌的通用设备扫描仪，并且可以实现边扫描边识别。扫描仪设备须可以全国联保，南宁本地有服务中心，后期维护或者维修方便。避免阅卷软件平台自己生产的扫描仪且只能绑定自己阅卷系统，无法兼容市场上其他扫描仪，后期维修或者更换具有很大的局限性。</w:t>
            </w:r>
          </w:p>
          <w:p>
            <w:pPr>
              <w:pStyle w:val="5"/>
              <w:spacing w:line="360" w:lineRule="auto"/>
              <w:rPr>
                <w:rFonts w:ascii="宋体" w:hAnsi="宋体"/>
                <w:b w:val="0"/>
                <w:sz w:val="21"/>
                <w:szCs w:val="21"/>
              </w:rPr>
            </w:pPr>
            <w:r>
              <w:rPr>
                <w:rFonts w:hint="eastAsia" w:ascii="宋体" w:hAnsi="宋体"/>
                <w:sz w:val="21"/>
                <w:szCs w:val="21"/>
              </w:rPr>
              <w:t>★</w:t>
            </w:r>
            <w:r>
              <w:rPr>
                <w:rFonts w:hint="eastAsia" w:ascii="宋体" w:hAnsi="宋体"/>
                <w:b w:val="0"/>
                <w:sz w:val="21"/>
                <w:szCs w:val="21"/>
              </w:rPr>
              <w:t>6.经济性</w:t>
            </w:r>
          </w:p>
          <w:p>
            <w:pPr>
              <w:spacing w:line="360" w:lineRule="auto"/>
              <w:rPr>
                <w:rFonts w:ascii="宋体" w:hAnsi="宋体"/>
                <w:szCs w:val="21"/>
              </w:rPr>
            </w:pPr>
            <w:r>
              <w:rPr>
                <w:rFonts w:ascii="宋体" w:hAnsi="宋体"/>
                <w:szCs w:val="21"/>
              </w:rPr>
              <w:t>系统</w:t>
            </w:r>
            <w:r>
              <w:rPr>
                <w:rFonts w:hint="eastAsia" w:ascii="宋体" w:hAnsi="宋体"/>
                <w:szCs w:val="21"/>
              </w:rPr>
              <w:t>应</w:t>
            </w:r>
            <w:r>
              <w:rPr>
                <w:rFonts w:ascii="宋体" w:hAnsi="宋体"/>
                <w:szCs w:val="21"/>
              </w:rPr>
              <w:t>一次性建设，终生永久免费使用</w:t>
            </w:r>
            <w:r>
              <w:rPr>
                <w:rFonts w:hint="eastAsia" w:ascii="宋体" w:hAnsi="宋体"/>
                <w:szCs w:val="21"/>
              </w:rPr>
              <w:t>。要求系统不锁定扫描仪硬件，不锁定答题卡，做到对软硬件的开放和包容，方便更多考试类型，考卷类型，答题卡类型通用使用，降低学校考试成本。</w:t>
            </w:r>
          </w:p>
          <w:p>
            <w:pPr>
              <w:spacing w:line="360" w:lineRule="auto"/>
              <w:rPr>
                <w:rFonts w:ascii="宋体" w:hAnsi="宋体"/>
                <w:szCs w:val="21"/>
              </w:rPr>
            </w:pPr>
            <w:r>
              <w:rPr>
                <w:rFonts w:hint="eastAsia" w:ascii="宋体" w:hAnsi="宋体"/>
                <w:szCs w:val="21"/>
              </w:rPr>
              <w:t xml:space="preserve">    要求系统软件可以软件灵活安装配置，扫描和阅卷既可以共用一个主机一套数据，也可以分开，一台电脑扫描，另外的机器进行主观题阅卷</w:t>
            </w:r>
          </w:p>
          <w:p>
            <w:pPr>
              <w:pStyle w:val="91"/>
              <w:spacing w:line="360" w:lineRule="auto"/>
              <w:rPr>
                <w:rFonts w:ascii="宋体" w:hAnsi="宋体" w:eastAsia="宋体"/>
                <w:szCs w:val="21"/>
              </w:rPr>
            </w:pPr>
            <w:r>
              <w:rPr>
                <w:rFonts w:hint="eastAsia" w:ascii="宋体" w:hAnsi="宋体" w:eastAsia="宋体"/>
                <w:szCs w:val="21"/>
              </w:rPr>
              <w:t>三.平台建设的必要功能</w:t>
            </w:r>
          </w:p>
          <w:p>
            <w:pPr>
              <w:pStyle w:val="91"/>
              <w:spacing w:line="360" w:lineRule="auto"/>
              <w:rPr>
                <w:rFonts w:ascii="宋体" w:hAnsi="宋体" w:eastAsia="宋体"/>
                <w:szCs w:val="21"/>
              </w:rPr>
            </w:pPr>
            <w:r>
              <w:rPr>
                <w:rFonts w:hint="eastAsia" w:ascii="宋体" w:hAnsi="宋体" w:eastAsia="宋体"/>
                <w:szCs w:val="21"/>
              </w:rPr>
              <w:t>（一）学业测评与教学质量监测管理平台整体需求：</w:t>
            </w:r>
          </w:p>
          <w:p>
            <w:pPr>
              <w:pStyle w:val="91"/>
              <w:spacing w:line="360" w:lineRule="auto"/>
              <w:rPr>
                <w:rFonts w:ascii="宋体" w:hAnsi="宋体" w:eastAsia="宋体"/>
                <w:szCs w:val="21"/>
              </w:rPr>
            </w:pPr>
            <w:r>
              <w:rPr>
                <w:rFonts w:hint="eastAsia" w:ascii="宋体" w:hAnsi="宋体" w:eastAsia="宋体"/>
                <w:szCs w:val="21"/>
              </w:rPr>
              <w:t>★1. 实现本地化平台部署和应用。可以整个大学部署一套系统，支持各学院独立进行试卷的扫描和主观题的在线阅卷，试卷图片和成绩数据上传学校服务器，实现全校学科数据统一管理，提高阅卷效率，方便大学的学科成绩数据监控。须提供软件功能证明文件核对（加盖竞标人公章）。</w:t>
            </w:r>
          </w:p>
          <w:p>
            <w:pPr>
              <w:pStyle w:val="91"/>
              <w:spacing w:line="360" w:lineRule="auto"/>
              <w:rPr>
                <w:rFonts w:ascii="宋体" w:hAnsi="宋体" w:eastAsia="宋体"/>
                <w:szCs w:val="21"/>
              </w:rPr>
            </w:pPr>
            <w:r>
              <w:rPr>
                <w:rFonts w:hint="eastAsia" w:ascii="宋体" w:hAnsi="宋体" w:eastAsia="宋体"/>
                <w:szCs w:val="21"/>
              </w:rPr>
              <w:t>2. 系统能支持跨院系，跨专业学生考试，支持 500 科目以上同时阅卷功能。须提供软件功能证明文件核对（加盖竞标人公章）。</w:t>
            </w:r>
          </w:p>
          <w:p>
            <w:pPr>
              <w:pStyle w:val="91"/>
              <w:spacing w:line="360" w:lineRule="auto"/>
              <w:rPr>
                <w:rFonts w:ascii="宋体" w:hAnsi="宋体" w:eastAsia="宋体"/>
                <w:szCs w:val="21"/>
              </w:rPr>
            </w:pPr>
            <w:r>
              <w:rPr>
                <w:rFonts w:hint="eastAsia" w:ascii="宋体" w:hAnsi="宋体" w:eastAsia="宋体"/>
                <w:szCs w:val="21"/>
              </w:rPr>
              <w:t>3. 系统提供友好的系统管理界面，使得学院各教研室的任课教师通过简单培训后能独立操作，独立完成制卡、扫描、阅卷、成绩统计分析等任务，并能够运用该系统实施各院系的各项考试</w:t>
            </w:r>
          </w:p>
          <w:p>
            <w:pPr>
              <w:pStyle w:val="91"/>
              <w:spacing w:line="360" w:lineRule="auto"/>
              <w:rPr>
                <w:rFonts w:ascii="宋体" w:hAnsi="宋体" w:eastAsia="宋体"/>
                <w:szCs w:val="21"/>
              </w:rPr>
            </w:pPr>
            <w:r>
              <w:rPr>
                <w:rFonts w:hint="eastAsia" w:ascii="宋体" w:hAnsi="宋体" w:eastAsia="宋体"/>
                <w:szCs w:val="21"/>
              </w:rPr>
              <w:t>4.  系统实施部署方式灵活，支持分散模式和集中模式，系统可承担2000名以上教师同时在线评卷。</w:t>
            </w:r>
          </w:p>
          <w:p>
            <w:pPr>
              <w:pStyle w:val="91"/>
              <w:spacing w:line="360" w:lineRule="auto"/>
              <w:rPr>
                <w:rFonts w:ascii="宋体" w:hAnsi="宋体" w:eastAsia="宋体"/>
                <w:szCs w:val="21"/>
              </w:rPr>
            </w:pPr>
            <w:r>
              <w:rPr>
                <w:rFonts w:hint="eastAsia" w:ascii="宋体" w:hAnsi="宋体" w:eastAsia="宋体"/>
                <w:szCs w:val="21"/>
              </w:rPr>
              <w:t>★5.系统采用基于JAVA技术开发，数据库采用MYSQL数据库。无盗版和知识产权纠纷，数据库与评卷系统安装程序一体化，无需用户单独安装数据库。须提供软件功能证明文件核对（加盖竞标人公章）。</w:t>
            </w:r>
          </w:p>
          <w:p>
            <w:pPr>
              <w:pStyle w:val="91"/>
              <w:spacing w:line="360" w:lineRule="auto"/>
              <w:rPr>
                <w:rFonts w:ascii="宋体" w:hAnsi="宋体" w:eastAsia="宋体"/>
                <w:szCs w:val="21"/>
              </w:rPr>
            </w:pPr>
            <w:r>
              <w:rPr>
                <w:rFonts w:hint="eastAsia" w:ascii="宋体" w:hAnsi="宋体" w:eastAsia="宋体"/>
                <w:szCs w:val="21"/>
              </w:rPr>
              <w:t>6.  对所提供的软件产品提供三年免费升级与维护。软件开发方须提供针对本项目的供货证明和售后服务承诺书（加盖竞标人公章）。</w:t>
            </w:r>
          </w:p>
          <w:p>
            <w:pPr>
              <w:pStyle w:val="91"/>
              <w:spacing w:line="360" w:lineRule="auto"/>
              <w:rPr>
                <w:rFonts w:ascii="宋体" w:hAnsi="宋体" w:eastAsia="宋体"/>
                <w:szCs w:val="21"/>
              </w:rPr>
            </w:pPr>
            <w:r>
              <w:rPr>
                <w:rFonts w:hint="eastAsia" w:ascii="宋体" w:hAnsi="宋体" w:eastAsia="宋体"/>
                <w:szCs w:val="21"/>
              </w:rPr>
              <w:t>7.  软件对服务器要求，支持服务器采用WINXP/WIN7/WIN8/ WinServer2003/ WinServer2008/ win2012的32位及64位版本。</w:t>
            </w:r>
          </w:p>
          <w:p>
            <w:pPr>
              <w:pStyle w:val="91"/>
              <w:spacing w:line="360" w:lineRule="auto"/>
              <w:rPr>
                <w:rFonts w:ascii="宋体" w:hAnsi="宋体" w:eastAsia="宋体"/>
                <w:szCs w:val="21"/>
              </w:rPr>
            </w:pPr>
            <w:r>
              <w:rPr>
                <w:rFonts w:hint="eastAsia" w:ascii="宋体" w:hAnsi="宋体" w:eastAsia="宋体"/>
                <w:szCs w:val="21"/>
              </w:rPr>
              <w:t>8.识别技术采用主流的灰度或黑白识别技术，图像扫描采用256灰度扫描，图像分辨率在150dpi下保证图像的清晰度。须提供软件功能证明文件核对（加盖竞标人公章）。</w:t>
            </w:r>
          </w:p>
          <w:p>
            <w:pPr>
              <w:pStyle w:val="91"/>
              <w:spacing w:line="360" w:lineRule="auto"/>
              <w:rPr>
                <w:rFonts w:ascii="宋体" w:hAnsi="宋体" w:eastAsia="宋体"/>
                <w:szCs w:val="21"/>
              </w:rPr>
            </w:pPr>
            <w:r>
              <w:rPr>
                <w:rFonts w:hint="eastAsia" w:ascii="宋体" w:hAnsi="宋体" w:eastAsia="宋体"/>
                <w:szCs w:val="21"/>
              </w:rPr>
              <w:t>★9.试卷图象处理支持物理切割法和虚拟切割法，同时支持对多种图像格式的识别切割，比如对TIFF格式、JPG格式图片的切割，保证数据的安全性。须提供软件功能证明文件核对（加盖竞标人公章）。</w:t>
            </w:r>
          </w:p>
          <w:p>
            <w:pPr>
              <w:pStyle w:val="91"/>
              <w:spacing w:line="360" w:lineRule="auto"/>
              <w:rPr>
                <w:rFonts w:ascii="宋体" w:hAnsi="宋体" w:eastAsia="宋体"/>
                <w:szCs w:val="21"/>
              </w:rPr>
            </w:pPr>
            <w:r>
              <w:rPr>
                <w:rFonts w:hint="eastAsia" w:ascii="宋体" w:hAnsi="宋体" w:eastAsia="宋体"/>
                <w:szCs w:val="21"/>
              </w:rPr>
              <w:t xml:space="preserve">★10. </w:t>
            </w:r>
            <w:r>
              <w:rPr>
                <w:rFonts w:hint="eastAsia" w:ascii="宋体" w:hAnsi="宋体" w:eastAsia="宋体" w:cs="Times New Roman"/>
                <w:szCs w:val="21"/>
              </w:rPr>
              <w:t>兼容《</w:t>
            </w:r>
            <w:r>
              <w:rPr>
                <w:rFonts w:ascii="宋体" w:hAnsi="宋体" w:eastAsia="宋体" w:cs="Helvetica"/>
                <w:szCs w:val="21"/>
                <w:shd w:val="clear" w:color="auto" w:fill="FFFFFF"/>
              </w:rPr>
              <w:t>高等教育教学教研信息资源管理系统</w:t>
            </w:r>
            <w:r>
              <w:rPr>
                <w:rFonts w:hint="eastAsia" w:ascii="宋体" w:hAnsi="宋体" w:eastAsia="宋体" w:cs="Times New Roman"/>
                <w:szCs w:val="21"/>
              </w:rPr>
              <w:t>》、《</w:t>
            </w:r>
            <w:r>
              <w:rPr>
                <w:rFonts w:ascii="宋体" w:hAnsi="宋体" w:eastAsia="宋体" w:cs="Helvetica"/>
                <w:szCs w:val="21"/>
                <w:shd w:val="clear" w:color="auto" w:fill="FFFFFF"/>
              </w:rPr>
              <w:t>基础教育云数据资源管理系统</w:t>
            </w:r>
            <w:r>
              <w:rPr>
                <w:rFonts w:hint="eastAsia" w:ascii="宋体" w:hAnsi="宋体" w:eastAsia="宋体" w:cs="Times New Roman"/>
                <w:szCs w:val="21"/>
              </w:rPr>
              <w:t>》等教育类管理系统</w:t>
            </w:r>
            <w:r>
              <w:rPr>
                <w:rFonts w:hint="eastAsia" w:ascii="宋体" w:hAnsi="宋体" w:eastAsia="宋体"/>
                <w:szCs w:val="21"/>
              </w:rPr>
              <w:t>。投标须提供资源共享及端口开放证明文件（加盖竞标人公章）。</w:t>
            </w:r>
          </w:p>
          <w:p>
            <w:pPr>
              <w:pStyle w:val="91"/>
              <w:spacing w:line="360" w:lineRule="auto"/>
              <w:rPr>
                <w:rFonts w:ascii="宋体" w:hAnsi="宋体" w:eastAsia="宋体"/>
                <w:szCs w:val="21"/>
              </w:rPr>
            </w:pPr>
            <w:r>
              <w:rPr>
                <w:rFonts w:hint="eastAsia" w:ascii="宋体" w:hAnsi="宋体" w:eastAsia="宋体"/>
                <w:szCs w:val="21"/>
              </w:rPr>
              <w:t>（二）主观题阅卷：</w:t>
            </w:r>
          </w:p>
          <w:p>
            <w:pPr>
              <w:pStyle w:val="91"/>
              <w:spacing w:line="360" w:lineRule="auto"/>
              <w:rPr>
                <w:rFonts w:ascii="宋体" w:hAnsi="宋体" w:eastAsia="宋体"/>
                <w:szCs w:val="21"/>
              </w:rPr>
            </w:pPr>
            <w:r>
              <w:rPr>
                <w:rFonts w:hint="eastAsia" w:ascii="宋体" w:hAnsi="宋体" w:eastAsia="宋体"/>
                <w:szCs w:val="21"/>
              </w:rPr>
              <w:t>★1. 主观题网上评卷采用纯B/S架构，教师阅卷可在WEB方式下进行，也可在安卓平板电脑和苹果平板电脑上进行阅卷。阅卷教师客户端操作系统兼容XP、 win7、win8，浏览器兼容IE6、IE8、IE10等版本，无需下载任何插件，如ActiveX或Applet等。系统可以在安装有还原卡、使用无线网络的局域网阅卷，并且也可以在广域网阅卷。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 系统提供苹果iOS 、Android的教师客户端，教师端app支持手机阅卷功能和成绩分析、试题讲评、重点关注、学生个人报告、行为评价等功能；手机阅卷支持定值打分、累加、累减的自定义，支持定值打分的键盘排序，支持查看原卷、试题回评、标记优秀卷、批阅仲裁卷、项目进度监控等功能；不受时间、空间、地理的限制，真正实现随时随地阅卷和讲评。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3. 支持多个院系建立不同管理员权限，各个院系可单独管理，互不影响，也同时支持多个院系统一考试，统一管理；须提供软件功能截图核对（加盖竞标人公章）。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4. 支持学校管理员、子管理员、校长、院长、学科负责人、班主任、学科教师等多角色的权限管理。</w:t>
            </w:r>
          </w:p>
          <w:p>
            <w:pPr>
              <w:pStyle w:val="91"/>
              <w:spacing w:line="360" w:lineRule="auto"/>
              <w:rPr>
                <w:rFonts w:ascii="宋体" w:hAnsi="宋体" w:eastAsia="宋体"/>
                <w:szCs w:val="21"/>
              </w:rPr>
            </w:pPr>
            <w:r>
              <w:rPr>
                <w:rFonts w:hint="eastAsia" w:ascii="宋体" w:hAnsi="宋体" w:eastAsia="宋体"/>
                <w:szCs w:val="21"/>
              </w:rPr>
              <w:t>5. 支持学生账号、学籍号、学生手机号、学生班级信息一键导入。</w:t>
            </w:r>
          </w:p>
          <w:p>
            <w:pPr>
              <w:pStyle w:val="91"/>
              <w:spacing w:line="360" w:lineRule="auto"/>
              <w:rPr>
                <w:rFonts w:ascii="宋体" w:hAnsi="宋体" w:eastAsia="宋体"/>
                <w:szCs w:val="21"/>
              </w:rPr>
            </w:pPr>
            <w:r>
              <w:rPr>
                <w:rFonts w:hint="eastAsia" w:ascii="宋体" w:hAnsi="宋体" w:eastAsia="宋体"/>
                <w:szCs w:val="21"/>
              </w:rPr>
              <w:t>★6. 系统可以部署到学校本地服务器或者虚拟服务器，系统可为各个院系私有开放，可以通过统一界面登录，学院之间互不干涉，使用独立数据库，各个学院可以单独设置考试等，独立备份还原数据。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7. 实现答题卡模板复用。须提供软件功能截图核对（加盖竞标人公章）。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8. 实现主观题阅卷设置历史复用。须提供软件功能截图核对（加盖竞标人公章）。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9. 支持阅卷过程中自动屏蔽考生考号姓名等信息。须提供软件功能截图核对（加盖竞标人公章）。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10. 答题卡支持一人一卡或多卡，支持多科目同时扫描、阅卷，并支持搜索科目快捷定位。</w:t>
            </w:r>
          </w:p>
          <w:p>
            <w:pPr>
              <w:pStyle w:val="91"/>
              <w:spacing w:line="360" w:lineRule="auto"/>
              <w:rPr>
                <w:rFonts w:ascii="宋体" w:hAnsi="宋体" w:eastAsia="宋体"/>
                <w:szCs w:val="21"/>
              </w:rPr>
            </w:pPr>
            <w:r>
              <w:rPr>
                <w:rFonts w:hint="eastAsia" w:ascii="宋体" w:hAnsi="宋体" w:eastAsia="宋体"/>
                <w:szCs w:val="21"/>
              </w:rPr>
              <w:t>11. 支持对客户端扫描数据和图像上传进度的实时监控。</w:t>
            </w:r>
          </w:p>
          <w:p>
            <w:pPr>
              <w:pStyle w:val="91"/>
              <w:spacing w:line="360" w:lineRule="auto"/>
              <w:rPr>
                <w:rFonts w:ascii="宋体" w:hAnsi="宋体" w:eastAsia="宋体"/>
                <w:szCs w:val="21"/>
              </w:rPr>
            </w:pPr>
            <w:r>
              <w:rPr>
                <w:rFonts w:hint="eastAsia" w:ascii="宋体" w:hAnsi="宋体" w:eastAsia="宋体"/>
                <w:szCs w:val="21"/>
              </w:rPr>
              <w:t>12. 支持根据不同的考试阅卷管理要求，可以自定义多层次、不同职责的阅卷管理操作权限；能支持评卷教师、院系管理员与超级管理员的角色定义与权限管理。</w:t>
            </w:r>
          </w:p>
          <w:p>
            <w:pPr>
              <w:pStyle w:val="91"/>
              <w:spacing w:line="360" w:lineRule="auto"/>
              <w:rPr>
                <w:rFonts w:ascii="宋体" w:hAnsi="宋体" w:eastAsia="宋体"/>
                <w:szCs w:val="21"/>
              </w:rPr>
            </w:pPr>
            <w:r>
              <w:rPr>
                <w:rFonts w:hint="eastAsia" w:ascii="宋体" w:hAnsi="宋体" w:eastAsia="宋体"/>
                <w:szCs w:val="21"/>
              </w:rPr>
              <w:t>13. 系统支持阅卷过程中题目有无小题的更改，教师角色的调换。</w:t>
            </w:r>
          </w:p>
          <w:p>
            <w:pPr>
              <w:pStyle w:val="91"/>
              <w:spacing w:line="360" w:lineRule="auto"/>
              <w:rPr>
                <w:rFonts w:ascii="宋体" w:hAnsi="宋体" w:eastAsia="宋体"/>
                <w:szCs w:val="21"/>
              </w:rPr>
            </w:pPr>
            <w:r>
              <w:rPr>
                <w:rFonts w:hint="eastAsia" w:ascii="宋体" w:hAnsi="宋体" w:eastAsia="宋体"/>
                <w:szCs w:val="21"/>
              </w:rPr>
              <w:t>14. 系统支持对答卷内容批注、放大、缩小、打对、打叉、擦除、复原、划线、画圈、改底色等功能。</w:t>
            </w:r>
          </w:p>
          <w:p>
            <w:pPr>
              <w:pStyle w:val="91"/>
              <w:spacing w:line="360" w:lineRule="auto"/>
              <w:rPr>
                <w:rFonts w:ascii="宋体" w:hAnsi="宋体" w:eastAsia="宋体"/>
                <w:szCs w:val="21"/>
              </w:rPr>
            </w:pPr>
            <w:r>
              <w:rPr>
                <w:rFonts w:hint="eastAsia" w:ascii="宋体" w:hAnsi="宋体" w:eastAsia="宋体"/>
                <w:szCs w:val="21"/>
              </w:rPr>
              <w:t>15. 支持子科目与题组管理；可以在成绩合成之后选择拆分分析；可支持拆分A卷B卷。须提供软件功能截图核对（加盖竞标人公章）。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16. 支持对任意科目、任意题目进行单评、双评设置，并具有评卷仲裁及一致性检查功能；同时支持阅卷过程中自由切换单双评</w:t>
            </w:r>
          </w:p>
          <w:p>
            <w:pPr>
              <w:pStyle w:val="91"/>
              <w:spacing w:line="360" w:lineRule="auto"/>
              <w:rPr>
                <w:rFonts w:ascii="宋体" w:hAnsi="宋体" w:eastAsia="宋体"/>
                <w:szCs w:val="21"/>
              </w:rPr>
            </w:pPr>
            <w:r>
              <w:rPr>
                <w:rFonts w:hint="eastAsia" w:ascii="宋体" w:hAnsi="宋体" w:eastAsia="宋体"/>
                <w:szCs w:val="21"/>
              </w:rPr>
              <w:t>17. 支持单独题目或多个题目阅卷数据批量清除，重新阅卷，防止个别教师给分错误后修改困难。</w:t>
            </w:r>
          </w:p>
          <w:p>
            <w:pPr>
              <w:pStyle w:val="91"/>
              <w:spacing w:line="360" w:lineRule="auto"/>
              <w:rPr>
                <w:rFonts w:ascii="宋体" w:hAnsi="宋体" w:eastAsia="宋体"/>
                <w:szCs w:val="21"/>
              </w:rPr>
            </w:pPr>
            <w:r>
              <w:rPr>
                <w:rFonts w:hint="eastAsia" w:ascii="宋体" w:hAnsi="宋体" w:eastAsia="宋体"/>
                <w:szCs w:val="21"/>
              </w:rPr>
              <w:t>18. 支持分组定量管理，即支持多个学院打乱阅卷，也支持按照学院上传量来分发阅卷量，也支持各学院阅自己学生的试卷，也支持指定任务量给学院分发阅卷任务量。须提供软件功能截图核对（加盖竞标人公章）。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19. 支持阅卷过程中自动屏蔽考生的考号、姓名等个人信息；</w:t>
            </w:r>
          </w:p>
          <w:p>
            <w:pPr>
              <w:pStyle w:val="91"/>
              <w:spacing w:line="360" w:lineRule="auto"/>
              <w:rPr>
                <w:rFonts w:ascii="宋体" w:hAnsi="宋体" w:eastAsia="宋体"/>
                <w:szCs w:val="21"/>
              </w:rPr>
            </w:pPr>
            <w:r>
              <w:rPr>
                <w:rFonts w:hint="eastAsia" w:ascii="宋体" w:hAnsi="宋体" w:eastAsia="宋体"/>
                <w:szCs w:val="21"/>
              </w:rPr>
              <w:t>★20. 系统支持打分板功能，打分板可根据题目分值自动调整，并支持定值打分、累加、累减和自选累加、累减功能。 支持批注功能的收起和展开；支持打分板的收起和打开，支持打分板默认收起和打开。须提供软件功能截图核对（加盖竞标人公章）。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21. 实现客观题标准答案EXCEL导入或手工键入方式。</w:t>
            </w:r>
          </w:p>
          <w:p>
            <w:pPr>
              <w:pStyle w:val="91"/>
              <w:spacing w:line="360" w:lineRule="auto"/>
              <w:rPr>
                <w:rFonts w:ascii="宋体" w:hAnsi="宋体" w:eastAsia="宋体"/>
                <w:szCs w:val="21"/>
              </w:rPr>
            </w:pPr>
            <w:r>
              <w:rPr>
                <w:rFonts w:hint="eastAsia" w:ascii="宋体" w:hAnsi="宋体" w:eastAsia="宋体"/>
                <w:szCs w:val="21"/>
              </w:rPr>
              <w:t xml:space="preserve">22. 系统支持作文分项分功能，四档作文评分标准，并支持错字、字数扣分功能。须提供软件功能截图核对（加盖竞标人公章）。 </w:t>
            </w:r>
          </w:p>
          <w:p>
            <w:pPr>
              <w:pStyle w:val="91"/>
              <w:spacing w:line="360" w:lineRule="auto"/>
              <w:rPr>
                <w:rFonts w:ascii="宋体" w:hAnsi="宋体" w:eastAsia="宋体"/>
                <w:szCs w:val="21"/>
              </w:rPr>
            </w:pPr>
            <w:r>
              <w:rPr>
                <w:rFonts w:hint="eastAsia" w:ascii="宋体" w:hAnsi="宋体" w:eastAsia="宋体"/>
                <w:szCs w:val="21"/>
              </w:rPr>
              <w:t>23. 系统支持对标杆文的设定，阅卷教师在阅卷过程中可随时调阅组长提交的标杆文。须提供软件功能截图核对（加盖竞标人公章）。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24. 系统支持阅卷教师回评所有阅过的试卷，并可按照时间、分数进行复查。须提供软件功能截图核对（加盖竞标人公章）。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25. 系统支持对优秀试卷、典型试卷及其他问题试卷的标注功能，管理员可浏览导出所有标注的答卷，并可按照分数、分数段导出学生的试卷，方便老师了解各个区段的试卷信息。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26. 支持手写板判卷。USB手写板即插即用，无需单独安装驱动，完全替代鼠标与键盘，手写分数自动识别，手写批注自动实现留痕阅卷更方便更灵活，大大的提高了传统网上阅卷批注功能死板机械的缺点。</w:t>
            </w:r>
          </w:p>
          <w:p>
            <w:pPr>
              <w:pStyle w:val="91"/>
              <w:spacing w:line="360" w:lineRule="auto"/>
              <w:rPr>
                <w:rFonts w:ascii="宋体" w:hAnsi="宋体" w:eastAsia="宋体"/>
                <w:szCs w:val="21"/>
              </w:rPr>
            </w:pPr>
            <w:r>
              <w:rPr>
                <w:rFonts w:hint="eastAsia" w:ascii="宋体" w:hAnsi="宋体" w:eastAsia="宋体"/>
                <w:szCs w:val="21"/>
              </w:rPr>
              <w:t>27. 支持教师跨年级和跨科目阅卷，支持管理员分配阅卷任务和教师自主选择越阅卷任务。</w:t>
            </w:r>
          </w:p>
          <w:p>
            <w:pPr>
              <w:pStyle w:val="91"/>
              <w:spacing w:line="360" w:lineRule="auto"/>
              <w:rPr>
                <w:rFonts w:ascii="宋体" w:hAnsi="宋体" w:eastAsia="宋体"/>
                <w:szCs w:val="21"/>
              </w:rPr>
            </w:pPr>
            <w:r>
              <w:rPr>
                <w:rFonts w:hint="eastAsia" w:ascii="宋体" w:hAnsi="宋体" w:eastAsia="宋体"/>
                <w:szCs w:val="21"/>
              </w:rPr>
              <w:t>28. 可实现联考阅卷。支持大型联合考试云阅卷功能，可支持各校系统自动接入，分散扫描，分散存储图像，按服务器指令各扫描点（云端）同时分发试题；为了降低网络压力和中心服务器压力，各扫描点的图像传输不能经过中心云服务器，各个云端试题分发时采用流量均衡；每个阅卷教师都可以批改所有云端上的试题，阅卷数据实时传输到中心服务器。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29. 系统支持阅卷完毕后学生图像的还原功能，即可将学生的客观题分数、主观题分数、每道题目的分数、批注、阅卷时间、阅卷教师姓名还原到答题卡上，方便查询。须提供软件功能截图核对（加盖竞标人公章）。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30. 具有数据自动备份以及系统日志管理功能，数据回溯功能应能自动恢复数据到历史上的任意时刻，确保系统管理规范和数据安全。</w:t>
            </w:r>
          </w:p>
          <w:p>
            <w:pPr>
              <w:pStyle w:val="91"/>
              <w:spacing w:line="360" w:lineRule="auto"/>
              <w:rPr>
                <w:rFonts w:ascii="宋体" w:hAnsi="宋体" w:eastAsia="宋体"/>
                <w:szCs w:val="21"/>
              </w:rPr>
            </w:pPr>
            <w:r>
              <w:rPr>
                <w:rFonts w:hint="eastAsia" w:ascii="宋体" w:hAnsi="宋体" w:eastAsia="宋体"/>
                <w:szCs w:val="21"/>
              </w:rPr>
              <w:t>★31. 可直接对接光标阅读机采集的数据，并开放扩展接口。须提供软件功能截图核对（加盖竞标人公章）。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★32.</w:t>
            </w:r>
            <w:r>
              <w:rPr>
                <w:rFonts w:hint="eastAsia" w:ascii="宋体" w:hAnsi="宋体" w:eastAsia="宋体" w:cs="Times New Roman"/>
                <w:szCs w:val="21"/>
              </w:rPr>
              <w:t>兼容《</w:t>
            </w:r>
            <w:r>
              <w:rPr>
                <w:rFonts w:ascii="宋体" w:hAnsi="宋体" w:eastAsia="宋体" w:cs="Helvetica"/>
                <w:szCs w:val="21"/>
                <w:shd w:val="clear" w:color="auto" w:fill="FFFFFF"/>
              </w:rPr>
              <w:t>高等教育教学教研信息资源管理系统</w:t>
            </w:r>
            <w:r>
              <w:rPr>
                <w:rFonts w:hint="eastAsia" w:ascii="宋体" w:hAnsi="宋体" w:eastAsia="宋体" w:cs="Times New Roman"/>
                <w:szCs w:val="21"/>
              </w:rPr>
              <w:t>》、《</w:t>
            </w:r>
            <w:r>
              <w:rPr>
                <w:rFonts w:ascii="宋体" w:hAnsi="宋体" w:eastAsia="宋体" w:cs="Helvetica"/>
                <w:szCs w:val="21"/>
                <w:shd w:val="clear" w:color="auto" w:fill="FFFFFF"/>
              </w:rPr>
              <w:t>基础教育云数据资源管理系统</w:t>
            </w:r>
            <w:r>
              <w:rPr>
                <w:rFonts w:hint="eastAsia" w:ascii="宋体" w:hAnsi="宋体" w:eastAsia="宋体" w:cs="Times New Roman"/>
                <w:szCs w:val="21"/>
              </w:rPr>
              <w:t>》等教育类管理系统</w:t>
            </w:r>
            <w:r>
              <w:rPr>
                <w:rFonts w:hint="eastAsia" w:ascii="宋体" w:hAnsi="宋体" w:eastAsia="宋体"/>
                <w:szCs w:val="21"/>
              </w:rPr>
              <w:t>。投标须提供资源共享及端口开放证明文件（加盖竞标人公章）。</w:t>
            </w:r>
          </w:p>
          <w:p>
            <w:pPr>
              <w:pStyle w:val="91"/>
              <w:spacing w:line="360" w:lineRule="auto"/>
              <w:rPr>
                <w:rFonts w:ascii="宋体" w:hAnsi="宋体" w:eastAsia="宋体"/>
                <w:szCs w:val="21"/>
              </w:rPr>
            </w:pPr>
          </w:p>
          <w:p>
            <w:pPr>
              <w:pStyle w:val="91"/>
              <w:spacing w:line="360" w:lineRule="auto"/>
              <w:rPr>
                <w:rFonts w:ascii="宋体" w:hAnsi="宋体" w:eastAsia="宋体"/>
                <w:szCs w:val="21"/>
              </w:rPr>
            </w:pPr>
            <w:r>
              <w:rPr>
                <w:rFonts w:hint="eastAsia" w:ascii="宋体" w:hAnsi="宋体" w:eastAsia="宋体"/>
                <w:szCs w:val="21"/>
              </w:rPr>
              <w:t>（三）学情在线查询系统：</w:t>
            </w:r>
          </w:p>
          <w:p>
            <w:pPr>
              <w:pStyle w:val="91"/>
              <w:spacing w:line="360" w:lineRule="auto"/>
              <w:rPr>
                <w:rFonts w:ascii="宋体" w:hAnsi="宋体" w:eastAsia="宋体"/>
                <w:szCs w:val="21"/>
              </w:rPr>
            </w:pPr>
            <w:r>
              <w:rPr>
                <w:rFonts w:hint="eastAsia" w:ascii="宋体" w:hAnsi="宋体" w:eastAsia="宋体"/>
                <w:szCs w:val="21"/>
              </w:rPr>
              <w:t>1. 与网上阅卷系统数据库无缝对接，可按校级、院、教师、班级、考生等几个级别进行成绩统计分析，包括科目单科分、主观分、客观分、总分、题组分、小题分、知识点分等，可计算平均分、标准差、得分率、区分度、难度、及格率、优秀率、低分率、最高分、最低分、分数分布等，可生成各种范围的考生各种成绩的排名。支持全校、全院联网远程在线操作，支持至用户远程实时在线同时查询分析报表。</w:t>
            </w:r>
          </w:p>
          <w:p>
            <w:pPr>
              <w:pStyle w:val="91"/>
              <w:spacing w:line="360" w:lineRule="auto"/>
              <w:rPr>
                <w:rFonts w:ascii="宋体" w:hAnsi="宋体" w:eastAsia="宋体"/>
                <w:szCs w:val="21"/>
              </w:rPr>
            </w:pPr>
            <w:r>
              <w:rPr>
                <w:rFonts w:hint="eastAsia" w:ascii="宋体" w:hAnsi="宋体" w:eastAsia="宋体"/>
                <w:szCs w:val="21"/>
              </w:rPr>
              <w:t>2. 系统可管理考生资料，提供考生资料变更管理功能，并支持对考生的历次考试进行追踪，支持对学院、教师、班级、学生的历次追踪。</w:t>
            </w:r>
          </w:p>
          <w:p>
            <w:pPr>
              <w:pStyle w:val="91"/>
              <w:spacing w:line="360" w:lineRule="auto"/>
              <w:rPr>
                <w:rFonts w:ascii="宋体" w:hAnsi="宋体" w:eastAsia="宋体"/>
                <w:szCs w:val="21"/>
              </w:rPr>
            </w:pPr>
            <w:r>
              <w:rPr>
                <w:rFonts w:hint="eastAsia" w:ascii="宋体" w:hAnsi="宋体" w:eastAsia="宋体"/>
                <w:szCs w:val="21"/>
              </w:rPr>
              <w:t>3. 既支持由网上阅卷系统或光标阅读机自动上传，也支持以人工录入或Excel批量导入等方式获取教学质量监测与评估的各种原始数据；须提供软件功能截图核对（加盖竞标人公章）。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4. 支持按照原始分和总分比例计算四率，支持对教师、家长查询数据的关闭和开放设置，支持统计范围的灵活定义。</w:t>
            </w:r>
          </w:p>
          <w:p>
            <w:pPr>
              <w:pStyle w:val="91"/>
              <w:spacing w:line="360" w:lineRule="auto"/>
              <w:rPr>
                <w:rFonts w:ascii="宋体" w:hAnsi="宋体" w:eastAsia="宋体"/>
                <w:szCs w:val="21"/>
              </w:rPr>
            </w:pPr>
            <w:r>
              <w:rPr>
                <w:rFonts w:hint="eastAsia" w:ascii="宋体" w:hAnsi="宋体" w:eastAsia="宋体"/>
                <w:szCs w:val="21"/>
              </w:rPr>
              <w:t>5. 支持用户随时随地使用计算机或智能手机客户端轻松登录查询。须提供软件功能截图核对（加竞标人公章）。</w:t>
            </w:r>
          </w:p>
          <w:p>
            <w:pPr>
              <w:pStyle w:val="91"/>
              <w:spacing w:line="360" w:lineRule="auto"/>
              <w:rPr>
                <w:rFonts w:ascii="宋体" w:hAnsi="宋体" w:eastAsia="宋体"/>
                <w:szCs w:val="21"/>
              </w:rPr>
            </w:pPr>
            <w:r>
              <w:rPr>
                <w:rFonts w:hint="eastAsia" w:ascii="宋体" w:hAnsi="宋体" w:eastAsia="宋体"/>
                <w:szCs w:val="21"/>
              </w:rPr>
              <w:t>6. 平台系统支持校长、院长、年级主任、班主任、科目负责人、科任教师、家长等多种角色的多种权限的灵活定义，支持多角色的查询和管理。</w:t>
            </w:r>
          </w:p>
          <w:p>
            <w:pPr>
              <w:pStyle w:val="91"/>
              <w:spacing w:line="360" w:lineRule="auto"/>
              <w:rPr>
                <w:rFonts w:ascii="宋体" w:hAnsi="宋体" w:eastAsia="宋体"/>
                <w:szCs w:val="21"/>
              </w:rPr>
            </w:pPr>
            <w:r>
              <w:rPr>
                <w:rFonts w:hint="eastAsia" w:ascii="宋体" w:hAnsi="宋体" w:eastAsia="宋体"/>
                <w:szCs w:val="21"/>
              </w:rPr>
              <w:t>7. 平台根据学校不同角色提供不同的成绩图表分析，及时掌握学情。以教育测量学指标为指导，学校领导可以准确的掌握历次考试各年级、班级的三分四率、综合对比、通过率、各段分布、学科均衡等内容；教师可以了解到自己任课班级学生的成绩预警、高频错题、薄弱知识点。教师可以根据历次考试的学情概览、分段统计、重点关注、学科均衡、成绩简表、试卷分析、难度曲线、小题分析、小题错题追踪、错答学生图片、各水平段错题本、高分段错题本等功能制定一对多、一对一教学方案，进行对应教学。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8. 校级应用：校级领导和教研员可以随时查询全校考生大榜、全校各科目试题分析、各科目教学质量均衡情况，全校高分段各校分布、学科综合分析等。须提供软件功能截图核对（加盖竞标人公章）。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9. 校长、院长查看：上线情况、科目综合分析、科目均衡分析、盒须图分析、分数段对比、名次端对比、各层水平分布、成绩直方图、前x名分布、各班花名榜、综合成绩报告、教师对比、教师均差、一分一档等。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10. 年级主任、科目负责人查看：科目综合分析、科目均衡分析、盒须图分析、分数段对比、名次端对比、各层水平分布、成绩直方图、前x名分布、各班花名榜、综合成绩报告、教师对比等。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11. 班主任查看：历次考试的学情概览、分段统计、重点关注学生、学科均衡、班级成绩、成绩简表、名次段统计、试卷分析、小题分析、小题错题追踪、难度曲线、各水平段错题本、高分段错题本等。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12. 科任教师查看：历次考试的学情概览、分段统计、重点关注学生、学科均衡、班级成绩、名次段统计、试卷分析、小题分析、小题错题追踪、难度曲线、各水平段错题本、高分段错题本等。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13. 教师可以通过系统错题中心对班级高频错题、学生个性易错题分门别类加以管理，可随时下载进行一对多练习和讲解，方便整体提高及优秀生培养。老师指定题目，显示错题率，直接定位错答同学的答题内容，确定学生错答的原因，进行一对一错题讲解和一对一课程讲解。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14. 班级历次测评的知识点一键分析，定位班级学生的知识点缺陷。通过班级之间知识点比较，帮助老师找到教学的盲点；学生历次测评一键分析，定位和指导每个学生知识点方面的缺陷，找到任课老师需要关注的学生能力培养方向。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15. 学校通过平台上各位学生的作业和考试分析的情况，帮助教师找到学生、班级薄弱点，实施各种精准施教方案。须提供软件功能截图核对（加盖竞标人公章）。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16.学生可以查询个人详细的综合成绩分析、答题卡原图、阅卷批注、进步曲线、错题本、偏科分析等各种功能完善且美观的图表呈现，为预习、复习提供强有力的数据参考。可通过成绩云平台实现大数据管理、共享，对大范围群体进行长期跟踪分析。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17. 系统支持教师对学生的日常表现做评价数据，综合学生的成绩全方位的形成学生的综合成长档案，并对该学生的学习情况提供动态图像，系统自动给评价，让学生时时了解自己的学习情况，薄弱环节进行分析；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★18.</w:t>
            </w:r>
            <w:r>
              <w:rPr>
                <w:rFonts w:hint="eastAsia" w:ascii="宋体" w:hAnsi="宋体" w:eastAsia="宋体" w:cs="Times New Roman"/>
                <w:szCs w:val="21"/>
              </w:rPr>
              <w:t>兼容《</w:t>
            </w:r>
            <w:r>
              <w:rPr>
                <w:rFonts w:ascii="宋体" w:hAnsi="宋体" w:eastAsia="宋体" w:cs="Helvetica"/>
                <w:szCs w:val="21"/>
                <w:shd w:val="clear" w:color="auto" w:fill="FFFFFF"/>
              </w:rPr>
              <w:t>高等教育教学教研信息资源管理系统</w:t>
            </w:r>
            <w:r>
              <w:rPr>
                <w:rFonts w:hint="eastAsia" w:ascii="宋体" w:hAnsi="宋体" w:eastAsia="宋体" w:cs="Times New Roman"/>
                <w:szCs w:val="21"/>
              </w:rPr>
              <w:t>》、《</w:t>
            </w:r>
            <w:r>
              <w:rPr>
                <w:rFonts w:ascii="宋体" w:hAnsi="宋体" w:eastAsia="宋体" w:cs="Helvetica"/>
                <w:szCs w:val="21"/>
                <w:shd w:val="clear" w:color="auto" w:fill="FFFFFF"/>
              </w:rPr>
              <w:t>基础教育云数据资源管理系统</w:t>
            </w:r>
            <w:r>
              <w:rPr>
                <w:rFonts w:hint="eastAsia" w:ascii="宋体" w:hAnsi="宋体" w:eastAsia="宋体" w:cs="Times New Roman"/>
                <w:szCs w:val="21"/>
              </w:rPr>
              <w:t>》等教育类管理系统</w:t>
            </w:r>
            <w:r>
              <w:rPr>
                <w:rFonts w:hint="eastAsia" w:ascii="宋体" w:hAnsi="宋体" w:eastAsia="宋体"/>
                <w:szCs w:val="21"/>
              </w:rPr>
              <w:t>。投标须提供资源共享及端口开放证明文件（加盖竞标人公章）。</w:t>
            </w:r>
          </w:p>
          <w:p>
            <w:pPr>
              <w:pStyle w:val="91"/>
              <w:spacing w:line="360" w:lineRule="auto"/>
              <w:rPr>
                <w:rFonts w:ascii="宋体" w:hAnsi="宋体" w:eastAsia="宋体"/>
                <w:szCs w:val="21"/>
              </w:rPr>
            </w:pPr>
          </w:p>
          <w:p>
            <w:pPr>
              <w:pStyle w:val="91"/>
              <w:spacing w:line="360" w:lineRule="auto"/>
              <w:rPr>
                <w:rFonts w:ascii="宋体" w:hAnsi="宋体" w:eastAsia="宋体"/>
                <w:szCs w:val="21"/>
              </w:rPr>
            </w:pPr>
            <w:r>
              <w:rPr>
                <w:rFonts w:hint="eastAsia" w:ascii="宋体" w:hAnsi="宋体" w:eastAsia="宋体"/>
                <w:szCs w:val="21"/>
              </w:rPr>
              <w:t>（四）答题卡制作</w:t>
            </w:r>
          </w:p>
          <w:p>
            <w:pPr>
              <w:pStyle w:val="91"/>
              <w:spacing w:line="360" w:lineRule="auto"/>
              <w:rPr>
                <w:rFonts w:ascii="宋体" w:hAnsi="宋体" w:eastAsia="宋体"/>
                <w:szCs w:val="21"/>
              </w:rPr>
            </w:pPr>
            <w:r>
              <w:rPr>
                <w:rFonts w:hint="eastAsia" w:ascii="宋体" w:hAnsi="宋体" w:eastAsia="宋体"/>
                <w:szCs w:val="21"/>
              </w:rPr>
              <w:t>1. 系统自带word软件下的答题卡生成软件，支持100%使用文字编辑软件（如MS-Word）完成答卷设计，无须进行代码编程或调用预定的模板，根据考试内容非专业人员只需要输入基本数据即可生成考试答题卡。须提供软件功能截图核对（加竞标人公章）。</w:t>
            </w:r>
          </w:p>
          <w:p>
            <w:pPr>
              <w:pStyle w:val="91"/>
              <w:spacing w:line="360" w:lineRule="auto"/>
              <w:rPr>
                <w:rFonts w:ascii="宋体" w:hAnsi="宋体" w:eastAsia="宋体"/>
                <w:szCs w:val="21"/>
              </w:rPr>
            </w:pPr>
            <w:r>
              <w:rPr>
                <w:rFonts w:hint="eastAsia" w:ascii="宋体" w:hAnsi="宋体" w:eastAsia="宋体"/>
                <w:szCs w:val="21"/>
              </w:rPr>
              <w:t>2. 答卷设计无需增加固定的定位点、定位线或同步头，也不需要以答题区域的边框、转角等作为定位识别符，以确保不因答题区域的线框偏移、变形、模糊或断线等因素影响扫描识别的稳定性及准确率。</w:t>
            </w:r>
          </w:p>
          <w:p>
            <w:pPr>
              <w:pStyle w:val="91"/>
              <w:spacing w:line="360" w:lineRule="auto"/>
              <w:rPr>
                <w:rFonts w:ascii="宋体" w:hAnsi="宋体" w:eastAsia="宋体"/>
                <w:szCs w:val="21"/>
              </w:rPr>
            </w:pPr>
            <w:r>
              <w:rPr>
                <w:rFonts w:hint="eastAsia" w:ascii="宋体" w:hAnsi="宋体" w:eastAsia="宋体"/>
                <w:szCs w:val="21"/>
              </w:rPr>
              <w:t>3. 系统自带客观题、主观题、作文稿、选作题设置模块；自带行距加减和字符间距增减功能；默认参数可进行调整，不依靠word本身的功能即可根据需求自动调整文字行距、作文纸颜色；自带添加手写数字识别区域、8字码填涂区域功能。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4.</w:t>
            </w:r>
            <w:r>
              <w:rPr>
                <w:rFonts w:hint="eastAsia" w:ascii="宋体" w:hAnsi="宋体" w:eastAsia="宋体" w:cs="Times New Roman"/>
                <w:szCs w:val="21"/>
              </w:rPr>
              <w:t>兼容《</w:t>
            </w:r>
            <w:r>
              <w:rPr>
                <w:rFonts w:ascii="宋体" w:hAnsi="宋体" w:eastAsia="宋体" w:cs="Helvetica"/>
                <w:szCs w:val="21"/>
                <w:shd w:val="clear" w:color="auto" w:fill="FFFFFF"/>
              </w:rPr>
              <w:t>高等教育教学教研信息资源管理系统</w:t>
            </w:r>
            <w:r>
              <w:rPr>
                <w:rFonts w:hint="eastAsia" w:ascii="宋体" w:hAnsi="宋体" w:eastAsia="宋体" w:cs="Times New Roman"/>
                <w:szCs w:val="21"/>
              </w:rPr>
              <w:t>》、《</w:t>
            </w:r>
            <w:r>
              <w:rPr>
                <w:rFonts w:ascii="宋体" w:hAnsi="宋体" w:eastAsia="宋体" w:cs="Helvetica"/>
                <w:szCs w:val="21"/>
                <w:shd w:val="clear" w:color="auto" w:fill="FFFFFF"/>
              </w:rPr>
              <w:t>基础教育云数据资源管理系统</w:t>
            </w:r>
            <w:r>
              <w:rPr>
                <w:rFonts w:hint="eastAsia" w:ascii="宋体" w:hAnsi="宋体" w:eastAsia="宋体" w:cs="Times New Roman"/>
                <w:szCs w:val="21"/>
              </w:rPr>
              <w:t>》等教育类管理系统</w:t>
            </w:r>
            <w:r>
              <w:rPr>
                <w:rFonts w:hint="eastAsia" w:ascii="宋体" w:hAnsi="宋体" w:eastAsia="宋体"/>
                <w:szCs w:val="21"/>
              </w:rPr>
              <w:t>。投标须提供资源共享及端口开放证明文件（加盖竞标人公章）。</w:t>
            </w:r>
          </w:p>
          <w:p>
            <w:pPr>
              <w:pStyle w:val="91"/>
              <w:spacing w:line="360" w:lineRule="auto"/>
              <w:rPr>
                <w:rFonts w:ascii="宋体" w:hAnsi="宋体" w:eastAsia="宋体"/>
                <w:szCs w:val="21"/>
              </w:rPr>
            </w:pPr>
            <w:r>
              <w:rPr>
                <w:rFonts w:hint="eastAsia" w:ascii="宋体" w:hAnsi="宋体" w:eastAsia="宋体"/>
                <w:szCs w:val="21"/>
              </w:rPr>
              <w:t>（五）教学质量分析和评价</w:t>
            </w:r>
          </w:p>
          <w:p>
            <w:pPr>
              <w:pStyle w:val="91"/>
              <w:spacing w:line="360" w:lineRule="auto"/>
              <w:rPr>
                <w:rFonts w:ascii="宋体" w:hAnsi="宋体" w:eastAsia="宋体"/>
                <w:szCs w:val="21"/>
              </w:rPr>
            </w:pPr>
            <w:r>
              <w:rPr>
                <w:rFonts w:hint="eastAsia" w:ascii="宋体" w:hAnsi="宋体" w:eastAsia="宋体"/>
                <w:szCs w:val="21"/>
              </w:rPr>
              <w:t>★1. 独立的报表分析系统，通过统一配置，可以对段差、前x名花名册、达标值、综合分科、大题设置、优秀等级、闪光点、薄弱点进行综合设置。分析报告的成绩报表可以以Excel、pdf格式分项目、分学校、分年级、分班、分科目一键导出。支持学生成绩分布采用箱须图、茎叶图、雷达图形式展示。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 支持原始分、标准分、平均分、排名、选择率、正确率、最高分、最低分、闪光点、薄弱点、标准差、区分度、难度、信度、分数分布、名次分布等统计指标；支持学生考试卷面分数与等级（A、B、C、D等级）的相互转换。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3. 支持对个人、班级、年级历次考试成绩的跟踪管理，包括对科目、总分、排名、成绩分布、名次分布及各项测量结果的跟踪管理。支持对教师个人所任班级学科多个分数段的成绩排名分析。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4. 支持特定试题按学科知识点分项给分统计。如作文：字数、卷面整洁度等，支持各项的多班级对比。实现阅卷判题的标准化，提高科学性。</w:t>
            </w:r>
          </w:p>
          <w:p>
            <w:pPr>
              <w:pStyle w:val="91"/>
              <w:spacing w:line="360" w:lineRule="auto"/>
              <w:rPr>
                <w:rFonts w:ascii="宋体" w:hAnsi="宋体" w:eastAsia="宋体"/>
                <w:szCs w:val="21"/>
              </w:rPr>
            </w:pPr>
            <w:r>
              <w:rPr>
                <w:rFonts w:hint="eastAsia" w:ascii="宋体" w:hAnsi="宋体" w:eastAsia="宋体"/>
                <w:szCs w:val="21"/>
              </w:rPr>
              <w:t>5. 具备模拟通过率功能，及时掌握学生成绩达标上线情况和对比统计表，同时也可以根据上线率和上线人数灵活的统计学校和各班上线情况，以及全校和各班每科的上线情况。</w:t>
            </w:r>
          </w:p>
          <w:p>
            <w:pPr>
              <w:pStyle w:val="91"/>
              <w:spacing w:line="360" w:lineRule="auto"/>
              <w:rPr>
                <w:rFonts w:ascii="宋体" w:hAnsi="宋体" w:eastAsia="宋体"/>
                <w:szCs w:val="21"/>
              </w:rPr>
            </w:pPr>
            <w:r>
              <w:rPr>
                <w:rFonts w:hint="eastAsia" w:ascii="宋体" w:hAnsi="宋体" w:eastAsia="宋体"/>
                <w:szCs w:val="21"/>
              </w:rPr>
              <w:t>6. 支持走班选科的考场编排和信息导入，支持赋分统计。</w:t>
            </w:r>
          </w:p>
          <w:p>
            <w:pPr>
              <w:pStyle w:val="91"/>
              <w:spacing w:line="360" w:lineRule="auto"/>
              <w:rPr>
                <w:rFonts w:ascii="宋体" w:hAnsi="宋体" w:eastAsia="宋体"/>
                <w:szCs w:val="21"/>
              </w:rPr>
            </w:pPr>
            <w:r>
              <w:rPr>
                <w:rFonts w:hint="eastAsia" w:ascii="宋体" w:hAnsi="宋体" w:eastAsia="宋体"/>
                <w:szCs w:val="21"/>
              </w:rPr>
              <w:t>7. 系统支持报表自定义功能。</w:t>
            </w:r>
          </w:p>
          <w:p>
            <w:pPr>
              <w:pStyle w:val="91"/>
              <w:spacing w:line="360" w:lineRule="auto"/>
              <w:rPr>
                <w:rFonts w:ascii="宋体" w:hAnsi="宋体" w:eastAsia="宋体"/>
                <w:szCs w:val="21"/>
              </w:rPr>
            </w:pPr>
            <w:r>
              <w:rPr>
                <w:rFonts w:hint="eastAsia" w:ascii="宋体" w:hAnsi="宋体" w:eastAsia="宋体"/>
                <w:szCs w:val="21"/>
              </w:rPr>
              <w:t>8. 支持任课教师超均率和离均率的分析排名；</w:t>
            </w:r>
          </w:p>
          <w:p>
            <w:pPr>
              <w:pStyle w:val="91"/>
              <w:spacing w:line="360" w:lineRule="auto"/>
              <w:rPr>
                <w:rFonts w:ascii="宋体" w:hAnsi="宋体" w:eastAsia="宋体"/>
                <w:szCs w:val="21"/>
              </w:rPr>
            </w:pPr>
            <w:r>
              <w:rPr>
                <w:rFonts w:hint="eastAsia" w:ascii="宋体" w:hAnsi="宋体" w:eastAsia="宋体"/>
                <w:szCs w:val="21"/>
              </w:rPr>
              <w:t>9.</w:t>
            </w:r>
            <w:r>
              <w:rPr>
                <w:rFonts w:hint="eastAsia" w:ascii="宋体" w:hAnsi="宋体" w:eastAsia="宋体" w:cs="Times New Roman"/>
                <w:szCs w:val="21"/>
              </w:rPr>
              <w:t>兼容《</w:t>
            </w:r>
            <w:r>
              <w:rPr>
                <w:rFonts w:ascii="宋体" w:hAnsi="宋体" w:eastAsia="宋体" w:cs="Helvetica"/>
                <w:szCs w:val="21"/>
                <w:shd w:val="clear" w:color="auto" w:fill="FFFFFF"/>
              </w:rPr>
              <w:t>高等教育教学教研信息资源管理系统</w:t>
            </w:r>
            <w:r>
              <w:rPr>
                <w:rFonts w:hint="eastAsia" w:ascii="宋体" w:hAnsi="宋体" w:eastAsia="宋体" w:cs="Times New Roman"/>
                <w:szCs w:val="21"/>
              </w:rPr>
              <w:t>》、《</w:t>
            </w:r>
            <w:r>
              <w:rPr>
                <w:rFonts w:ascii="宋体" w:hAnsi="宋体" w:eastAsia="宋体" w:cs="Helvetica"/>
                <w:szCs w:val="21"/>
                <w:shd w:val="clear" w:color="auto" w:fill="FFFFFF"/>
              </w:rPr>
              <w:t>基础教育云数据资源管理系统</w:t>
            </w:r>
            <w:r>
              <w:rPr>
                <w:rFonts w:hint="eastAsia" w:ascii="宋体" w:hAnsi="宋体" w:eastAsia="宋体" w:cs="Times New Roman"/>
                <w:szCs w:val="21"/>
              </w:rPr>
              <w:t>》等教育类管理系统</w:t>
            </w:r>
            <w:r>
              <w:rPr>
                <w:rFonts w:hint="eastAsia" w:ascii="宋体" w:hAnsi="宋体" w:eastAsia="宋体"/>
                <w:szCs w:val="21"/>
              </w:rPr>
              <w:t>。投标须提供资源共享及端口开放证明文件（加盖竞标人公章）。</w:t>
            </w:r>
          </w:p>
          <w:p>
            <w:pPr>
              <w:pStyle w:val="91"/>
              <w:spacing w:line="360" w:lineRule="auto"/>
              <w:rPr>
                <w:rFonts w:ascii="宋体" w:hAnsi="宋体" w:eastAsia="宋体"/>
                <w:szCs w:val="21"/>
              </w:rPr>
            </w:pPr>
            <w:r>
              <w:rPr>
                <w:rFonts w:hint="eastAsia" w:ascii="宋体" w:hAnsi="宋体" w:eastAsia="宋体"/>
                <w:szCs w:val="21"/>
              </w:rPr>
              <w:t>（六）资质要求</w:t>
            </w:r>
          </w:p>
          <w:p>
            <w:pPr>
              <w:pStyle w:val="91"/>
              <w:spacing w:line="360" w:lineRule="auto"/>
              <w:rPr>
                <w:rFonts w:ascii="宋体" w:hAnsi="宋体" w:eastAsia="宋体"/>
                <w:szCs w:val="21"/>
              </w:rPr>
            </w:pPr>
            <w:r>
              <w:rPr>
                <w:rFonts w:hint="eastAsia" w:ascii="宋体" w:hAnsi="宋体" w:eastAsia="宋体"/>
                <w:szCs w:val="21"/>
              </w:rPr>
              <w:t>★2.提供软件质量检测报告（加盖竞标人公章）。</w:t>
            </w:r>
          </w:p>
          <w:p>
            <w:pPr>
              <w:pStyle w:val="91"/>
              <w:spacing w:line="360" w:lineRule="auto"/>
              <w:rPr>
                <w:rFonts w:cs="宋体" w:asciiTheme="minorEastAsia" w:hAnsiTheme="minorEastAsia"/>
                <w:szCs w:val="21"/>
              </w:rPr>
            </w:pPr>
          </w:p>
        </w:tc>
        <w:tc>
          <w:tcPr>
            <w:tcW w:w="733"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86" w:type="dxa"/>
            <w:vAlign w:val="center"/>
          </w:tcPr>
          <w:p>
            <w:pPr>
              <w:spacing w:line="360" w:lineRule="auto"/>
              <w:jc w:val="center"/>
              <w:rPr>
                <w:rFonts w:ascii="宋体" w:hAnsi="宋体"/>
                <w:szCs w:val="21"/>
              </w:rPr>
            </w:pPr>
            <w:r>
              <w:rPr>
                <w:rFonts w:hint="eastAsia" w:ascii="宋体" w:hAnsi="宋体"/>
                <w:szCs w:val="21"/>
              </w:rPr>
              <w:t>光标阅读机</w:t>
            </w:r>
          </w:p>
          <w:p>
            <w:pPr>
              <w:pStyle w:val="91"/>
              <w:spacing w:line="360" w:lineRule="auto"/>
              <w:jc w:val="center"/>
              <w:rPr>
                <w:rFonts w:cs="宋体" w:asciiTheme="minorEastAsia" w:hAnsiTheme="minorEastAsia"/>
                <w:szCs w:val="21"/>
              </w:rPr>
            </w:pPr>
            <w:r>
              <w:rPr>
                <w:rFonts w:hint="eastAsia" w:ascii="宋体" w:hAnsi="宋体" w:eastAsia="宋体" w:cs="Times New Roman"/>
                <w:szCs w:val="21"/>
              </w:rPr>
              <w:t>（含开发接口）</w:t>
            </w:r>
          </w:p>
        </w:tc>
        <w:tc>
          <w:tcPr>
            <w:tcW w:w="900"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台</w:t>
            </w:r>
          </w:p>
        </w:tc>
        <w:tc>
          <w:tcPr>
            <w:tcW w:w="705"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6</w:t>
            </w:r>
          </w:p>
        </w:tc>
        <w:tc>
          <w:tcPr>
            <w:tcW w:w="5423" w:type="dxa"/>
            <w:vAlign w:val="center"/>
          </w:tcPr>
          <w:p>
            <w:pPr>
              <w:pStyle w:val="91"/>
              <w:spacing w:line="360" w:lineRule="auto"/>
              <w:rPr>
                <w:rFonts w:ascii="宋体" w:hAnsi="宋体" w:eastAsia="宋体"/>
                <w:szCs w:val="21"/>
              </w:rPr>
            </w:pPr>
            <w:r>
              <w:rPr>
                <w:rFonts w:hint="eastAsia" w:ascii="宋体" w:hAnsi="宋体" w:eastAsia="宋体"/>
                <w:szCs w:val="21"/>
              </w:rPr>
              <w:t>（一）硬件参数：</w:t>
            </w:r>
          </w:p>
          <w:p>
            <w:pPr>
              <w:pStyle w:val="91"/>
              <w:spacing w:line="360" w:lineRule="auto"/>
              <w:rPr>
                <w:rFonts w:ascii="宋体" w:hAnsi="宋体" w:eastAsia="宋体"/>
                <w:szCs w:val="21"/>
              </w:rPr>
            </w:pPr>
            <w:r>
              <w:rPr>
                <w:rFonts w:hint="eastAsia" w:ascii="宋体" w:hAnsi="宋体" w:eastAsia="宋体"/>
                <w:szCs w:val="21"/>
              </w:rPr>
              <w:t>1、读卡方式：单面单读（进口全金属光电头）</w:t>
            </w:r>
          </w:p>
          <w:p>
            <w:pPr>
              <w:pStyle w:val="91"/>
              <w:spacing w:line="360" w:lineRule="auto"/>
              <w:rPr>
                <w:rFonts w:ascii="宋体" w:hAnsi="宋体" w:eastAsia="宋体"/>
                <w:szCs w:val="21"/>
              </w:rPr>
            </w:pPr>
            <w:r>
              <w:rPr>
                <w:rFonts w:hint="eastAsia" w:ascii="宋体" w:hAnsi="宋体" w:eastAsia="宋体"/>
                <w:szCs w:val="21"/>
              </w:rPr>
              <w:t>2、送卡方式：全自动</w:t>
            </w:r>
          </w:p>
          <w:p>
            <w:pPr>
              <w:pStyle w:val="91"/>
              <w:spacing w:line="360" w:lineRule="auto"/>
              <w:rPr>
                <w:rFonts w:ascii="宋体" w:hAnsi="宋体" w:eastAsia="宋体"/>
                <w:szCs w:val="21"/>
              </w:rPr>
            </w:pPr>
            <w:r>
              <w:rPr>
                <w:rFonts w:hint="eastAsia" w:ascii="宋体" w:hAnsi="宋体" w:eastAsia="宋体"/>
                <w:szCs w:val="21"/>
              </w:rPr>
              <w:t>3、光电传感器（路数）：全金属光电头-43路</w:t>
            </w:r>
          </w:p>
          <w:p>
            <w:pPr>
              <w:pStyle w:val="91"/>
              <w:spacing w:line="360" w:lineRule="auto"/>
              <w:rPr>
                <w:rFonts w:ascii="宋体" w:hAnsi="宋体" w:eastAsia="宋体"/>
                <w:szCs w:val="21"/>
              </w:rPr>
            </w:pPr>
            <w:r>
              <w:rPr>
                <w:rFonts w:hint="eastAsia" w:ascii="宋体" w:hAnsi="宋体" w:eastAsia="宋体"/>
                <w:szCs w:val="21"/>
              </w:rPr>
              <w:t>4、触控屏：4.0英寸智能触控屏</w:t>
            </w:r>
          </w:p>
          <w:p>
            <w:pPr>
              <w:pStyle w:val="91"/>
              <w:spacing w:line="360" w:lineRule="auto"/>
              <w:rPr>
                <w:rFonts w:ascii="宋体" w:hAnsi="宋体" w:eastAsia="宋体"/>
                <w:szCs w:val="21"/>
              </w:rPr>
            </w:pPr>
            <w:r>
              <w:rPr>
                <w:rFonts w:hint="eastAsia" w:ascii="宋体" w:hAnsi="宋体" w:eastAsia="宋体"/>
                <w:szCs w:val="21"/>
              </w:rPr>
              <w:t>5、机器数卡：机器可以脱机自动数卡</w:t>
            </w:r>
          </w:p>
          <w:p>
            <w:pPr>
              <w:pStyle w:val="91"/>
              <w:spacing w:line="360" w:lineRule="auto"/>
              <w:rPr>
                <w:rFonts w:ascii="宋体" w:hAnsi="宋体" w:eastAsia="宋体"/>
                <w:szCs w:val="21"/>
              </w:rPr>
            </w:pPr>
            <w:r>
              <w:rPr>
                <w:rFonts w:hint="eastAsia" w:ascii="宋体" w:hAnsi="宋体" w:eastAsia="宋体"/>
                <w:szCs w:val="21"/>
              </w:rPr>
              <w:t>6、机器校准：机器可脱机自动校准，自动识别双张。</w:t>
            </w:r>
          </w:p>
          <w:p>
            <w:pPr>
              <w:pStyle w:val="91"/>
              <w:spacing w:line="360" w:lineRule="auto"/>
              <w:rPr>
                <w:rFonts w:ascii="宋体" w:hAnsi="宋体" w:eastAsia="宋体"/>
                <w:szCs w:val="21"/>
              </w:rPr>
            </w:pPr>
            <w:r>
              <w:rPr>
                <w:rFonts w:hint="eastAsia" w:ascii="宋体" w:hAnsi="宋体" w:eastAsia="宋体"/>
                <w:szCs w:val="21"/>
              </w:rPr>
              <w:t>7、读卡速度：6张/秒。</w:t>
            </w:r>
          </w:p>
          <w:p>
            <w:pPr>
              <w:pStyle w:val="91"/>
              <w:spacing w:line="360" w:lineRule="auto"/>
              <w:rPr>
                <w:rFonts w:ascii="宋体" w:hAnsi="宋体" w:eastAsia="宋体"/>
                <w:szCs w:val="21"/>
              </w:rPr>
            </w:pPr>
            <w:r>
              <w:rPr>
                <w:rFonts w:hint="eastAsia" w:ascii="宋体" w:hAnsi="宋体" w:eastAsia="宋体"/>
                <w:szCs w:val="21"/>
              </w:rPr>
              <w:t>8、信息卡尺寸：64开-A4</w:t>
            </w:r>
          </w:p>
          <w:p>
            <w:pPr>
              <w:pStyle w:val="91"/>
              <w:spacing w:line="360" w:lineRule="auto"/>
              <w:rPr>
                <w:rFonts w:ascii="宋体" w:hAnsi="宋体" w:eastAsia="宋体"/>
                <w:szCs w:val="21"/>
              </w:rPr>
            </w:pPr>
            <w:r>
              <w:rPr>
                <w:rFonts w:hint="eastAsia" w:ascii="宋体" w:hAnsi="宋体" w:eastAsia="宋体"/>
                <w:szCs w:val="21"/>
              </w:rPr>
              <w:t>9、信息卡厚度：70--150g/m2</w:t>
            </w:r>
          </w:p>
          <w:p>
            <w:pPr>
              <w:pStyle w:val="91"/>
              <w:spacing w:line="360" w:lineRule="auto"/>
              <w:rPr>
                <w:rFonts w:ascii="宋体" w:hAnsi="宋体" w:eastAsia="宋体"/>
                <w:szCs w:val="21"/>
              </w:rPr>
            </w:pPr>
            <w:r>
              <w:rPr>
                <w:rFonts w:hint="eastAsia" w:ascii="宋体" w:hAnsi="宋体" w:eastAsia="宋体"/>
                <w:szCs w:val="21"/>
              </w:rPr>
              <w:t>10、信息卡列距：5.08mm</w:t>
            </w:r>
          </w:p>
          <w:p>
            <w:pPr>
              <w:pStyle w:val="91"/>
              <w:spacing w:line="360" w:lineRule="auto"/>
              <w:rPr>
                <w:rFonts w:ascii="宋体" w:hAnsi="宋体" w:eastAsia="宋体"/>
                <w:szCs w:val="21"/>
              </w:rPr>
            </w:pPr>
            <w:r>
              <w:rPr>
                <w:rFonts w:hint="eastAsia" w:ascii="宋体" w:hAnsi="宋体" w:eastAsia="宋体"/>
                <w:szCs w:val="21"/>
              </w:rPr>
              <w:t>11、信息卡误差：套印±0.1mm,裁切±0.2mm</w:t>
            </w:r>
          </w:p>
          <w:p>
            <w:pPr>
              <w:pStyle w:val="91"/>
              <w:spacing w:line="360" w:lineRule="auto"/>
              <w:rPr>
                <w:rFonts w:ascii="宋体" w:hAnsi="宋体" w:eastAsia="宋体"/>
                <w:szCs w:val="21"/>
              </w:rPr>
            </w:pPr>
            <w:r>
              <w:rPr>
                <w:rFonts w:hint="eastAsia" w:ascii="宋体" w:hAnsi="宋体" w:eastAsia="宋体"/>
                <w:szCs w:val="21"/>
              </w:rPr>
              <w:t>12、填涂工具：各种铅笔或碳素笔</w:t>
            </w:r>
          </w:p>
          <w:p>
            <w:pPr>
              <w:pStyle w:val="91"/>
              <w:spacing w:line="360" w:lineRule="auto"/>
              <w:rPr>
                <w:rFonts w:ascii="宋体" w:hAnsi="宋体" w:eastAsia="宋体"/>
                <w:szCs w:val="21"/>
              </w:rPr>
            </w:pPr>
            <w:r>
              <w:rPr>
                <w:rFonts w:hint="eastAsia" w:ascii="宋体" w:hAnsi="宋体" w:eastAsia="宋体"/>
                <w:szCs w:val="21"/>
              </w:rPr>
              <w:t xml:space="preserve">13、涂点面积：≥2mm×1mm </w:t>
            </w:r>
          </w:p>
          <w:p>
            <w:pPr>
              <w:pStyle w:val="91"/>
              <w:spacing w:line="360" w:lineRule="auto"/>
              <w:rPr>
                <w:rFonts w:ascii="宋体" w:hAnsi="宋体" w:eastAsia="宋体"/>
                <w:szCs w:val="21"/>
              </w:rPr>
            </w:pPr>
            <w:r>
              <w:rPr>
                <w:rFonts w:hint="eastAsia" w:ascii="宋体" w:hAnsi="宋体" w:eastAsia="宋体"/>
                <w:szCs w:val="21"/>
              </w:rPr>
              <w:t>14、误码率：≤1×10-7</w:t>
            </w:r>
          </w:p>
          <w:p>
            <w:pPr>
              <w:pStyle w:val="91"/>
              <w:spacing w:line="360" w:lineRule="auto"/>
              <w:rPr>
                <w:rFonts w:ascii="宋体" w:hAnsi="宋体" w:eastAsia="宋体"/>
                <w:szCs w:val="21"/>
              </w:rPr>
            </w:pPr>
            <w:r>
              <w:rPr>
                <w:rFonts w:hint="eastAsia" w:ascii="宋体" w:hAnsi="宋体" w:eastAsia="宋体"/>
                <w:szCs w:val="21"/>
              </w:rPr>
              <w:t xml:space="preserve">15、双张率：≤1×10-4 </w:t>
            </w:r>
          </w:p>
          <w:p>
            <w:pPr>
              <w:pStyle w:val="91"/>
              <w:spacing w:line="360" w:lineRule="auto"/>
              <w:rPr>
                <w:rFonts w:ascii="宋体" w:hAnsi="宋体" w:eastAsia="宋体"/>
                <w:szCs w:val="21"/>
              </w:rPr>
            </w:pPr>
            <w:r>
              <w:rPr>
                <w:rFonts w:hint="eastAsia" w:ascii="宋体" w:hAnsi="宋体" w:eastAsia="宋体"/>
                <w:szCs w:val="21"/>
              </w:rPr>
              <w:t xml:space="preserve">16、卡纸率：≤1×10-4 </w:t>
            </w:r>
          </w:p>
          <w:p>
            <w:pPr>
              <w:pStyle w:val="91"/>
              <w:spacing w:line="360" w:lineRule="auto"/>
              <w:rPr>
                <w:rFonts w:ascii="宋体" w:hAnsi="宋体" w:eastAsia="宋体"/>
                <w:szCs w:val="21"/>
              </w:rPr>
            </w:pPr>
            <w:r>
              <w:rPr>
                <w:rFonts w:hint="eastAsia" w:ascii="宋体" w:hAnsi="宋体" w:eastAsia="宋体"/>
                <w:szCs w:val="21"/>
              </w:rPr>
              <w:t>17、选点方式：单选、多选、BCD码</w:t>
            </w:r>
          </w:p>
          <w:p>
            <w:pPr>
              <w:pStyle w:val="91"/>
              <w:spacing w:line="360" w:lineRule="auto"/>
              <w:rPr>
                <w:rFonts w:ascii="宋体" w:hAnsi="宋体" w:eastAsia="宋体"/>
                <w:szCs w:val="21"/>
              </w:rPr>
            </w:pPr>
            <w:r>
              <w:rPr>
                <w:rFonts w:hint="eastAsia" w:ascii="宋体" w:hAnsi="宋体" w:eastAsia="宋体"/>
                <w:szCs w:val="21"/>
              </w:rPr>
              <w:t>18、条形码识别：128码、39码、25码、128C条行码、GBK码</w:t>
            </w:r>
          </w:p>
          <w:p>
            <w:pPr>
              <w:pStyle w:val="91"/>
              <w:spacing w:line="360" w:lineRule="auto"/>
              <w:rPr>
                <w:rFonts w:ascii="宋体" w:hAnsi="宋体" w:eastAsia="宋体"/>
                <w:szCs w:val="21"/>
              </w:rPr>
            </w:pPr>
            <w:r>
              <w:rPr>
                <w:rFonts w:hint="eastAsia" w:ascii="宋体" w:hAnsi="宋体" w:eastAsia="宋体"/>
                <w:szCs w:val="21"/>
              </w:rPr>
              <w:t>19、格式识别：100种,每种格式最多1000条命令,某种数据形式长度最大为500</w:t>
            </w:r>
          </w:p>
          <w:p>
            <w:pPr>
              <w:pStyle w:val="91"/>
              <w:spacing w:line="360" w:lineRule="auto"/>
              <w:rPr>
                <w:rFonts w:ascii="宋体" w:hAnsi="宋体" w:eastAsia="宋体"/>
                <w:szCs w:val="21"/>
              </w:rPr>
            </w:pPr>
            <w:r>
              <w:rPr>
                <w:rFonts w:hint="eastAsia" w:ascii="宋体" w:hAnsi="宋体" w:eastAsia="宋体"/>
                <w:szCs w:val="21"/>
              </w:rPr>
              <w:t>20、机器数卡：机器通电的情况下，在不连接电脑、软件的情况下能完成机器数卡，实现触控数卡。</w:t>
            </w:r>
          </w:p>
          <w:p>
            <w:pPr>
              <w:pStyle w:val="91"/>
              <w:spacing w:line="360" w:lineRule="auto"/>
              <w:rPr>
                <w:rFonts w:ascii="宋体" w:hAnsi="宋体" w:eastAsia="宋体"/>
                <w:szCs w:val="21"/>
              </w:rPr>
            </w:pPr>
            <w:r>
              <w:rPr>
                <w:rFonts w:hint="eastAsia" w:ascii="宋体" w:hAnsi="宋体" w:eastAsia="宋体"/>
                <w:szCs w:val="21"/>
              </w:rPr>
              <w:t>21、读卡显示：机器底座附带彩色触控显示屏，显示读卡数量。须提供功能证明材料核对（加盖竞标人公章）。</w:t>
            </w:r>
          </w:p>
          <w:p>
            <w:pPr>
              <w:pStyle w:val="91"/>
              <w:spacing w:line="360" w:lineRule="auto"/>
              <w:rPr>
                <w:rFonts w:ascii="宋体" w:hAnsi="宋体" w:eastAsia="宋体"/>
                <w:szCs w:val="21"/>
              </w:rPr>
            </w:pPr>
            <w:r>
              <w:rPr>
                <w:rFonts w:hint="eastAsia" w:ascii="宋体" w:hAnsi="宋体" w:eastAsia="宋体"/>
                <w:szCs w:val="21"/>
              </w:rPr>
              <w:t>★22、U盘模式：可以直接使用U盘内格式文件完成机器阅卷及成绩分析。须提供功能证明材料核对（加盖竞标人公章）。</w:t>
            </w:r>
          </w:p>
          <w:p>
            <w:pPr>
              <w:pStyle w:val="91"/>
              <w:spacing w:line="360" w:lineRule="auto"/>
              <w:rPr>
                <w:rFonts w:ascii="宋体" w:hAnsi="宋体" w:eastAsia="宋体"/>
                <w:szCs w:val="21"/>
              </w:rPr>
            </w:pPr>
            <w:r>
              <w:rPr>
                <w:rFonts w:hint="eastAsia" w:ascii="宋体" w:hAnsi="宋体" w:eastAsia="宋体"/>
                <w:szCs w:val="21"/>
              </w:rPr>
              <w:t>23、打印机模式：光标阅读机支持热敏打印机，成绩可以实时打印。须提供功能证明材料核对（加盖竞标人公章）。</w:t>
            </w:r>
          </w:p>
          <w:p>
            <w:pPr>
              <w:pStyle w:val="91"/>
              <w:spacing w:line="360" w:lineRule="auto"/>
              <w:rPr>
                <w:rFonts w:ascii="宋体" w:hAnsi="宋体" w:eastAsia="宋体"/>
                <w:szCs w:val="21"/>
              </w:rPr>
            </w:pPr>
            <w:r>
              <w:rPr>
                <w:rFonts w:hint="eastAsia" w:ascii="宋体" w:hAnsi="宋体" w:eastAsia="宋体"/>
                <w:szCs w:val="21"/>
              </w:rPr>
              <w:t>24、通讯方式：USB接口（免驱）、串口</w:t>
            </w:r>
          </w:p>
          <w:p>
            <w:pPr>
              <w:pStyle w:val="91"/>
              <w:spacing w:line="360" w:lineRule="auto"/>
              <w:rPr>
                <w:rFonts w:ascii="宋体" w:hAnsi="宋体" w:eastAsia="宋体"/>
                <w:szCs w:val="21"/>
              </w:rPr>
            </w:pPr>
            <w:r>
              <w:rPr>
                <w:rFonts w:hint="eastAsia" w:ascii="宋体" w:hAnsi="宋体" w:eastAsia="宋体"/>
                <w:szCs w:val="21"/>
              </w:rPr>
              <w:t>25、配接主机：台式机、笔记本、平板电脑</w:t>
            </w:r>
          </w:p>
          <w:p>
            <w:pPr>
              <w:pStyle w:val="91"/>
              <w:spacing w:line="360" w:lineRule="auto"/>
              <w:rPr>
                <w:rFonts w:ascii="宋体" w:hAnsi="宋体" w:eastAsia="宋体"/>
                <w:szCs w:val="21"/>
              </w:rPr>
            </w:pPr>
            <w:r>
              <w:rPr>
                <w:rFonts w:hint="eastAsia" w:ascii="宋体" w:hAnsi="宋体" w:eastAsia="宋体"/>
                <w:szCs w:val="21"/>
              </w:rPr>
              <w:t>26、操作系统：Windows XP、Vista、win7、win8、win10、安卓、苹果系统</w:t>
            </w:r>
          </w:p>
          <w:p>
            <w:pPr>
              <w:pStyle w:val="91"/>
              <w:spacing w:line="360" w:lineRule="auto"/>
              <w:rPr>
                <w:rFonts w:ascii="宋体" w:hAnsi="宋体" w:eastAsia="宋体"/>
                <w:szCs w:val="21"/>
              </w:rPr>
            </w:pPr>
            <w:r>
              <w:rPr>
                <w:rFonts w:hint="eastAsia" w:ascii="宋体" w:hAnsi="宋体" w:eastAsia="宋体"/>
                <w:szCs w:val="21"/>
              </w:rPr>
              <w:t>27、电源：AC90-240V、47-63HZ</w:t>
            </w:r>
          </w:p>
          <w:p>
            <w:pPr>
              <w:pStyle w:val="91"/>
              <w:spacing w:line="360" w:lineRule="auto"/>
              <w:rPr>
                <w:rFonts w:ascii="宋体" w:hAnsi="宋体" w:eastAsia="宋体"/>
                <w:szCs w:val="21"/>
              </w:rPr>
            </w:pPr>
            <w:r>
              <w:rPr>
                <w:rFonts w:hint="eastAsia" w:ascii="宋体" w:hAnsi="宋体" w:eastAsia="宋体"/>
                <w:szCs w:val="21"/>
              </w:rPr>
              <w:t>28、工作环境：温度-30-50度，相对湿度90%以下,无腐蚀性气体</w:t>
            </w:r>
          </w:p>
          <w:p>
            <w:pPr>
              <w:pStyle w:val="91"/>
              <w:spacing w:line="360" w:lineRule="auto"/>
              <w:rPr>
                <w:rFonts w:ascii="宋体" w:hAnsi="宋体" w:eastAsia="宋体"/>
                <w:szCs w:val="21"/>
              </w:rPr>
            </w:pPr>
            <w:r>
              <w:rPr>
                <w:rFonts w:hint="eastAsia" w:ascii="宋体" w:hAnsi="宋体" w:eastAsia="宋体"/>
                <w:szCs w:val="21"/>
              </w:rPr>
              <w:t>29、防伪：正品机器，机器侧面立板有激光镭射防伪雕刻标识。须提供功能证明材料核对（加盖竞标人公章）。</w:t>
            </w:r>
          </w:p>
          <w:p>
            <w:pPr>
              <w:pStyle w:val="91"/>
              <w:spacing w:line="360" w:lineRule="auto"/>
              <w:rPr>
                <w:rFonts w:ascii="宋体" w:hAnsi="宋体" w:eastAsia="宋体"/>
                <w:szCs w:val="21"/>
              </w:rPr>
            </w:pPr>
            <w:r>
              <w:rPr>
                <w:rFonts w:hint="eastAsia" w:ascii="宋体" w:hAnsi="宋体" w:eastAsia="宋体"/>
                <w:szCs w:val="21"/>
              </w:rPr>
              <w:t>★30、</w:t>
            </w:r>
            <w:r>
              <w:rPr>
                <w:rFonts w:hint="eastAsia" w:ascii="宋体" w:hAnsi="宋体" w:eastAsia="宋体" w:cs="Times New Roman"/>
                <w:szCs w:val="21"/>
              </w:rPr>
              <w:t>要求学业测评与教学质量监测平台软件</w:t>
            </w:r>
            <w:r>
              <w:rPr>
                <w:rFonts w:ascii="宋体" w:hAnsi="宋体" w:eastAsia="宋体" w:cs="Times New Roman"/>
                <w:szCs w:val="21"/>
              </w:rPr>
              <w:t>系统和核心</w:t>
            </w:r>
            <w:r>
              <w:rPr>
                <w:rFonts w:hint="eastAsia" w:ascii="宋体" w:hAnsi="宋体" w:eastAsia="宋体" w:cs="Times New Roman"/>
                <w:szCs w:val="21"/>
              </w:rPr>
              <w:t>设备光标阅读机</w:t>
            </w:r>
            <w:r>
              <w:rPr>
                <w:rFonts w:ascii="宋体" w:hAnsi="宋体" w:eastAsia="宋体" w:cs="Times New Roman"/>
                <w:szCs w:val="21"/>
              </w:rPr>
              <w:t>属同一厂商</w:t>
            </w:r>
            <w:r>
              <w:rPr>
                <w:rFonts w:hint="eastAsia" w:ascii="宋体" w:hAnsi="宋体" w:eastAsia="宋体" w:cs="Times New Roman"/>
                <w:szCs w:val="21"/>
              </w:rPr>
              <w:t>和</w:t>
            </w:r>
            <w:r>
              <w:rPr>
                <w:rFonts w:ascii="宋体" w:hAnsi="宋体" w:eastAsia="宋体" w:cs="Times New Roman"/>
                <w:szCs w:val="21"/>
              </w:rPr>
              <w:t>品牌开发，确保无缝对接，方便</w:t>
            </w:r>
            <w:r>
              <w:rPr>
                <w:rFonts w:hint="eastAsia" w:ascii="宋体" w:hAnsi="宋体" w:eastAsia="宋体" w:cs="Times New Roman"/>
                <w:szCs w:val="21"/>
              </w:rPr>
              <w:t>未来</w:t>
            </w:r>
            <w:r>
              <w:rPr>
                <w:rFonts w:ascii="宋体" w:hAnsi="宋体" w:eastAsia="宋体" w:cs="Times New Roman"/>
                <w:szCs w:val="21"/>
              </w:rPr>
              <w:t>根据</w:t>
            </w:r>
            <w:r>
              <w:rPr>
                <w:rFonts w:hint="eastAsia" w:ascii="宋体" w:hAnsi="宋体" w:eastAsia="宋体" w:cs="Times New Roman"/>
                <w:szCs w:val="21"/>
              </w:rPr>
              <w:t>学校发展</w:t>
            </w:r>
            <w:r>
              <w:rPr>
                <w:rFonts w:ascii="宋体" w:hAnsi="宋体" w:eastAsia="宋体" w:cs="Times New Roman"/>
                <w:szCs w:val="21"/>
              </w:rPr>
              <w:t>需要</w:t>
            </w:r>
            <w:r>
              <w:rPr>
                <w:rFonts w:hint="eastAsia" w:ascii="宋体" w:hAnsi="宋体" w:eastAsia="宋体" w:cs="Times New Roman"/>
                <w:szCs w:val="21"/>
              </w:rPr>
              <w:t>做</w:t>
            </w:r>
            <w:r>
              <w:rPr>
                <w:rFonts w:ascii="宋体" w:hAnsi="宋体" w:eastAsia="宋体" w:cs="Times New Roman"/>
                <w:szCs w:val="21"/>
              </w:rPr>
              <w:t>个性化二次开发，升级。同时可以实现软硬件均本地化上门服务。</w:t>
            </w:r>
          </w:p>
          <w:p>
            <w:pPr>
              <w:pStyle w:val="91"/>
              <w:spacing w:line="360" w:lineRule="auto"/>
              <w:rPr>
                <w:rFonts w:ascii="宋体" w:hAnsi="宋体" w:eastAsia="宋体"/>
                <w:szCs w:val="21"/>
              </w:rPr>
            </w:pPr>
            <w:r>
              <w:rPr>
                <w:rFonts w:hint="eastAsia" w:ascii="宋体" w:hAnsi="宋体" w:eastAsia="宋体"/>
                <w:szCs w:val="21"/>
              </w:rPr>
              <w:t>（二）软件参数：</w:t>
            </w:r>
          </w:p>
          <w:p>
            <w:pPr>
              <w:pStyle w:val="91"/>
              <w:spacing w:line="360" w:lineRule="auto"/>
              <w:rPr>
                <w:rFonts w:ascii="宋体" w:hAnsi="宋体" w:eastAsia="宋体"/>
                <w:szCs w:val="21"/>
              </w:rPr>
            </w:pPr>
            <w:r>
              <w:rPr>
                <w:rFonts w:hint="eastAsia" w:ascii="宋体" w:hAnsi="宋体" w:eastAsia="宋体"/>
                <w:szCs w:val="21"/>
              </w:rPr>
              <w:t>1、软件自带条形码生成打印功能，条码必须可按姓名库自动批量生成。须提供软件功能截图核对（加盖竞标人公章）。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★2、软件带雷同卷处理功能（可以录入时处理，也可以后期处理）。须提供软件功能截图核对（加盖竞标人公章）。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★3、支持A、B、C、D 4种试卷类型，可以同时录入4种标准答案。须提供软件功能截图核对（加盖竞标人公章）。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★4、支持</w:t>
            </w:r>
            <w:r>
              <w:rPr>
                <w:rFonts w:ascii="宋体" w:hAnsi="宋体" w:eastAsia="宋体"/>
                <w:szCs w:val="21"/>
              </w:rPr>
              <w:t>20个选项中选多个选项</w:t>
            </w:r>
            <w:r>
              <w:rPr>
                <w:rFonts w:hint="eastAsia" w:ascii="宋体" w:hAnsi="宋体" w:eastAsia="宋体"/>
                <w:szCs w:val="21"/>
              </w:rPr>
              <w:t>。须提供软件功能截图核对（加盖软件开发厂商公章），收货前核对原件。</w:t>
            </w:r>
          </w:p>
          <w:p>
            <w:pPr>
              <w:pStyle w:val="91"/>
              <w:spacing w:line="360" w:lineRule="auto"/>
              <w:rPr>
                <w:rFonts w:ascii="宋体" w:hAnsi="宋体" w:eastAsia="宋体"/>
                <w:szCs w:val="21"/>
              </w:rPr>
            </w:pPr>
            <w:r>
              <w:rPr>
                <w:rFonts w:hint="eastAsia" w:ascii="宋体" w:hAnsi="宋体" w:eastAsia="宋体"/>
                <w:szCs w:val="21"/>
              </w:rPr>
              <w:t>5、标准答案支持答题卡录入、Excel导入、人工键盘输入3种方式。须提供软件功能截图核对（加盖竞标人公章）。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6、软件支持文字导航和图形导航。须提供软件功能截图核对（加盖竞标人公章）。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7、各种统计报表，支持一键导出。须提供软件功能截图核对（加盖竞标人公章）。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★8、兼容《高等教育教学教研信息资源管理系统》、《基础教育云数据资源管理系统》等教育类管理系统投标须提供资源共享及端口开放证明文件（加盖竞标人公章）。</w:t>
            </w:r>
          </w:p>
          <w:p>
            <w:pPr>
              <w:pStyle w:val="91"/>
              <w:spacing w:line="360" w:lineRule="auto"/>
              <w:rPr>
                <w:rFonts w:ascii="宋体" w:hAnsi="宋体" w:eastAsia="宋体"/>
                <w:szCs w:val="21"/>
              </w:rPr>
            </w:pPr>
          </w:p>
          <w:p>
            <w:pPr>
              <w:pStyle w:val="91"/>
              <w:spacing w:line="360" w:lineRule="auto"/>
              <w:rPr>
                <w:rFonts w:cs="宋体" w:asciiTheme="minorEastAsia" w:hAnsiTheme="minorEastAsia"/>
                <w:szCs w:val="21"/>
              </w:rPr>
            </w:pPr>
          </w:p>
        </w:tc>
        <w:tc>
          <w:tcPr>
            <w:tcW w:w="733"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86" w:type="dxa"/>
            <w:vAlign w:val="center"/>
          </w:tcPr>
          <w:p>
            <w:pPr>
              <w:pStyle w:val="91"/>
              <w:spacing w:line="360" w:lineRule="auto"/>
              <w:jc w:val="center"/>
              <w:rPr>
                <w:rFonts w:cs="宋体" w:asciiTheme="minorEastAsia" w:hAnsiTheme="minorEastAsia"/>
                <w:szCs w:val="21"/>
              </w:rPr>
            </w:pPr>
            <w:r>
              <w:rPr>
                <w:rFonts w:hint="eastAsia" w:ascii="宋体" w:hAnsi="宋体" w:eastAsia="宋体" w:cs="Times New Roman"/>
                <w:szCs w:val="21"/>
              </w:rPr>
              <w:t>学院识别客户端</w:t>
            </w:r>
          </w:p>
        </w:tc>
        <w:tc>
          <w:tcPr>
            <w:tcW w:w="900"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项</w:t>
            </w:r>
          </w:p>
        </w:tc>
        <w:tc>
          <w:tcPr>
            <w:tcW w:w="705"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1</w:t>
            </w:r>
          </w:p>
        </w:tc>
        <w:tc>
          <w:tcPr>
            <w:tcW w:w="5423" w:type="dxa"/>
            <w:vAlign w:val="center"/>
          </w:tcPr>
          <w:p>
            <w:pPr>
              <w:pStyle w:val="91"/>
              <w:spacing w:line="360" w:lineRule="auto"/>
              <w:rPr>
                <w:rFonts w:ascii="宋体" w:hAnsi="宋体" w:eastAsia="宋体"/>
                <w:szCs w:val="21"/>
              </w:rPr>
            </w:pPr>
            <w:r>
              <w:rPr>
                <w:rFonts w:hint="eastAsia" w:ascii="宋体" w:hAnsi="宋体" w:eastAsia="宋体"/>
                <w:szCs w:val="21"/>
              </w:rPr>
              <w:t>扫描录入识别系统，</w:t>
            </w:r>
            <w:r>
              <w:rPr>
                <w:rFonts w:hint="eastAsia" w:ascii="宋体" w:hAnsi="宋体" w:eastAsia="宋体" w:cs="Times New Roman"/>
                <w:szCs w:val="21"/>
              </w:rPr>
              <w:t>4个校区授权工作站点（上传端口）</w:t>
            </w:r>
          </w:p>
          <w:p>
            <w:pPr>
              <w:pStyle w:val="91"/>
              <w:spacing w:line="360" w:lineRule="auto"/>
              <w:rPr>
                <w:rFonts w:ascii="宋体" w:hAnsi="宋体" w:eastAsia="宋体"/>
                <w:szCs w:val="21"/>
              </w:rPr>
            </w:pPr>
            <w:r>
              <w:rPr>
                <w:rFonts w:hint="eastAsia" w:ascii="宋体" w:hAnsi="宋体" w:eastAsia="宋体"/>
                <w:szCs w:val="21"/>
              </w:rPr>
              <w:t>1. 系统支持即可边扫描边识别边上传服务器，也可扫描完成后在进行识别上传服务器；须提供软件功能证明文件核对（加盖竞标人公章）。</w:t>
            </w:r>
          </w:p>
          <w:p>
            <w:pPr>
              <w:pStyle w:val="91"/>
              <w:spacing w:line="360" w:lineRule="auto"/>
              <w:rPr>
                <w:rFonts w:ascii="宋体" w:hAnsi="宋体" w:eastAsia="宋体"/>
                <w:szCs w:val="21"/>
              </w:rPr>
            </w:pPr>
            <w:r>
              <w:rPr>
                <w:rFonts w:hint="eastAsia" w:ascii="宋体" w:hAnsi="宋体" w:eastAsia="宋体"/>
                <w:szCs w:val="21"/>
              </w:rPr>
              <w:t>2. 切割图片必须具有图片质量（大小）随意调节功能（可以调节压缩率），以便更好地满足不同网络环境（局域网和互联网）的需求；须提供软件功能截图核对（加盖竞标人公章）。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★3. 拥有自主开发的实时扫描控制程序，不依赖包括扫描仪自带软件在内的其他通用图像扫描软件，能够支持答卷扫描与考生考号、客观题涂点识别同步完成，无须行进行二次识别操作；支持一屏多显，即在一屏幕上显示多个扫描图片；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5. 系统支持同一学生多张答题卡页码的自动识别判断，防止漏页缺页；当两张答题卡有空白页时，支持带空白页的识别；</w:t>
            </w:r>
          </w:p>
          <w:p>
            <w:pPr>
              <w:pStyle w:val="91"/>
              <w:spacing w:line="360" w:lineRule="auto"/>
              <w:rPr>
                <w:rFonts w:ascii="宋体" w:hAnsi="宋体" w:eastAsia="宋体"/>
                <w:szCs w:val="21"/>
              </w:rPr>
            </w:pPr>
            <w:r>
              <w:rPr>
                <w:rFonts w:hint="eastAsia" w:ascii="宋体" w:hAnsi="宋体" w:eastAsia="宋体"/>
                <w:szCs w:val="21"/>
              </w:rPr>
              <w:t>6. 模版制作自带导航功能，客户可按照导航进行操作；自动识别匹配客观题信息位矩阵，并形成该区块客观题的识别模版；客观题题组部分可复制；模板图片可放大缩小，便于不同题型的定义；模板支持不同区域的题目横向、纵向拼接；支持模板客观题不等间距、横线、纵向、折行排列；支持同一张答题卡不同题目区域按照不同颜色进行切割；模板的自动核查功能；模板的导入导出功能。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7. 支持客观题标准答案灵活录入，可以键盘录入、鼠标录入、标准答案填涂后扫描录入、excel导入。</w:t>
            </w:r>
          </w:p>
          <w:p>
            <w:pPr>
              <w:pStyle w:val="91"/>
              <w:spacing w:line="360" w:lineRule="auto"/>
              <w:rPr>
                <w:rFonts w:ascii="宋体" w:hAnsi="宋体" w:eastAsia="宋体"/>
                <w:szCs w:val="21"/>
              </w:rPr>
            </w:pPr>
            <w:r>
              <w:rPr>
                <w:rFonts w:hint="eastAsia" w:ascii="宋体" w:hAnsi="宋体" w:eastAsia="宋体"/>
                <w:szCs w:val="21"/>
              </w:rPr>
              <w:t xml:space="preserve">8. 支持学生答题卡客观题异常涂点的自动标记定位，并以颜色进行区分，方便核实；须提供软件功能截图核对（加盖竞标人公章）。 </w:t>
            </w:r>
          </w:p>
          <w:p>
            <w:pPr>
              <w:pStyle w:val="91"/>
              <w:spacing w:line="360" w:lineRule="auto"/>
              <w:rPr>
                <w:rFonts w:ascii="宋体" w:hAnsi="宋体" w:eastAsia="宋体"/>
                <w:szCs w:val="21"/>
              </w:rPr>
            </w:pPr>
            <w:r>
              <w:rPr>
                <w:rFonts w:hint="eastAsia" w:ascii="宋体" w:hAnsi="宋体" w:eastAsia="宋体"/>
                <w:szCs w:val="21"/>
              </w:rPr>
              <w:t>9. 手写数字识别：对书写在指定位置的手写分数智能识别，对正常手写数字的识别率达到99%以上。须提供软件功能截图核对（加盖竞标人公章）。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10. 题卡定位点定位必须带有自动定位功能，并且最少要包含四种辅助手动定位功能，如“矩形定位，文字定位，直线定位，快照定位”方法灵活。老师更易上手。须提供软件功能截图核对（加盖竞标人公章）。</w:t>
            </w:r>
          </w:p>
          <w:p>
            <w:pPr>
              <w:pStyle w:val="91"/>
              <w:spacing w:line="360" w:lineRule="auto"/>
              <w:rPr>
                <w:rFonts w:ascii="宋体" w:hAnsi="宋体" w:eastAsia="宋体"/>
                <w:szCs w:val="21"/>
              </w:rPr>
            </w:pPr>
            <w:r>
              <w:rPr>
                <w:rFonts w:hint="eastAsia" w:ascii="宋体" w:hAnsi="宋体" w:eastAsia="宋体"/>
                <w:szCs w:val="21"/>
              </w:rPr>
              <w:t>★11.具有“模板核查”功能，保存模板后可以核查模板切割效果是否按照要求对应。须提供软件功能截图核对（加盖软件开发厂商公章）。</w:t>
            </w:r>
          </w:p>
          <w:p>
            <w:pPr>
              <w:pStyle w:val="91"/>
              <w:spacing w:line="360" w:lineRule="auto"/>
              <w:rPr>
                <w:rFonts w:ascii="宋体" w:hAnsi="宋体" w:eastAsia="宋体"/>
                <w:szCs w:val="21"/>
              </w:rPr>
            </w:pPr>
            <w:r>
              <w:rPr>
                <w:rFonts w:hint="eastAsia" w:ascii="宋体" w:hAnsi="宋体" w:eastAsia="宋体"/>
                <w:szCs w:val="21"/>
              </w:rPr>
              <w:t>12. 支持试卷折角、印刷异常等实时检查，对考号涂写错误、重号、缺考等提供实时检查、改正、追踪等手段；对漏扫情况可以实时监控。</w:t>
            </w:r>
          </w:p>
          <w:p>
            <w:pPr>
              <w:pStyle w:val="91"/>
              <w:spacing w:line="360" w:lineRule="auto"/>
              <w:rPr>
                <w:rFonts w:ascii="宋体" w:hAnsi="宋体" w:eastAsia="宋体"/>
                <w:szCs w:val="21"/>
              </w:rPr>
            </w:pPr>
            <w:r>
              <w:rPr>
                <w:rFonts w:hint="eastAsia" w:ascii="宋体" w:hAnsi="宋体" w:eastAsia="宋体"/>
                <w:szCs w:val="21"/>
              </w:rPr>
              <w:t>13. 扫描过程中支持断网续传功能。</w:t>
            </w:r>
          </w:p>
          <w:p>
            <w:pPr>
              <w:pStyle w:val="91"/>
              <w:spacing w:line="360" w:lineRule="auto"/>
              <w:rPr>
                <w:rFonts w:ascii="宋体" w:hAnsi="宋体" w:eastAsia="宋体"/>
                <w:szCs w:val="21"/>
              </w:rPr>
            </w:pPr>
            <w:r>
              <w:rPr>
                <w:rFonts w:hint="eastAsia" w:ascii="宋体" w:hAnsi="宋体" w:eastAsia="宋体"/>
                <w:szCs w:val="21"/>
              </w:rPr>
              <w:t>14. 扫描阅读机能跨学院使用，保证扫描安全、快捷、高效。</w:t>
            </w:r>
          </w:p>
          <w:p>
            <w:pPr>
              <w:pStyle w:val="91"/>
              <w:spacing w:line="360" w:lineRule="auto"/>
              <w:rPr>
                <w:rFonts w:ascii="宋体" w:hAnsi="宋体" w:eastAsia="宋体"/>
                <w:szCs w:val="21"/>
              </w:rPr>
            </w:pPr>
            <w:r>
              <w:rPr>
                <w:rFonts w:hint="eastAsia" w:ascii="宋体" w:hAnsi="宋体" w:eastAsia="宋体"/>
                <w:szCs w:val="21"/>
              </w:rPr>
              <w:t>15. 支持多批次试卷的扫描，支持随扫描随评卷模式。</w:t>
            </w:r>
          </w:p>
          <w:p>
            <w:pPr>
              <w:pStyle w:val="91"/>
              <w:spacing w:line="360" w:lineRule="auto"/>
              <w:rPr>
                <w:rFonts w:ascii="宋体" w:hAnsi="宋体" w:eastAsia="宋体"/>
                <w:szCs w:val="21"/>
              </w:rPr>
            </w:pPr>
            <w:r>
              <w:rPr>
                <w:rFonts w:hint="eastAsia" w:ascii="宋体" w:hAnsi="宋体" w:eastAsia="宋体"/>
                <w:szCs w:val="21"/>
              </w:rPr>
              <w:t>16.支持按照考场、学院、无校验等方式进行扫描，可以实时校验扫描人数。须提供软件功能截图核对（加盖竞标人公章）。</w:t>
            </w:r>
            <w:r>
              <w:rPr>
                <w:rFonts w:hint="eastAsia" w:ascii="宋体" w:hAnsi="宋体" w:eastAsia="宋体" w:cs="Times New Roman"/>
                <w:szCs w:val="21"/>
              </w:rPr>
              <w:t>兼容《</w:t>
            </w:r>
            <w:r>
              <w:rPr>
                <w:rFonts w:ascii="宋体" w:hAnsi="宋体" w:eastAsia="宋体" w:cs="Helvetica"/>
                <w:szCs w:val="21"/>
                <w:shd w:val="clear" w:color="auto" w:fill="FFFFFF"/>
              </w:rPr>
              <w:t>高等教育教学教研信息资源管理系统</w:t>
            </w:r>
            <w:r>
              <w:rPr>
                <w:rFonts w:hint="eastAsia" w:ascii="宋体" w:hAnsi="宋体" w:eastAsia="宋体" w:cs="Times New Roman"/>
                <w:szCs w:val="21"/>
              </w:rPr>
              <w:t>》、《</w:t>
            </w:r>
            <w:r>
              <w:rPr>
                <w:rFonts w:ascii="宋体" w:hAnsi="宋体" w:eastAsia="宋体" w:cs="Helvetica"/>
                <w:szCs w:val="21"/>
                <w:shd w:val="clear" w:color="auto" w:fill="FFFFFF"/>
              </w:rPr>
              <w:t>基础教育云数据资源管理系统</w:t>
            </w:r>
            <w:r>
              <w:rPr>
                <w:rFonts w:hint="eastAsia" w:ascii="宋体" w:hAnsi="宋体" w:eastAsia="宋体" w:cs="Times New Roman"/>
                <w:szCs w:val="21"/>
              </w:rPr>
              <w:t>》等教育类管理系统</w:t>
            </w:r>
            <w:r>
              <w:rPr>
                <w:rFonts w:hint="eastAsia" w:ascii="宋体" w:hAnsi="宋体" w:eastAsia="宋体"/>
                <w:szCs w:val="21"/>
              </w:rPr>
              <w:t>。投标须提供资源共享及端口开放证明文件（加盖竞标人公章）。</w:t>
            </w:r>
          </w:p>
          <w:p>
            <w:pPr>
              <w:pStyle w:val="91"/>
              <w:spacing w:line="360" w:lineRule="auto"/>
              <w:rPr>
                <w:rFonts w:cs="宋体" w:asciiTheme="minorEastAsia" w:hAnsiTheme="minorEastAsia"/>
                <w:szCs w:val="21"/>
              </w:rPr>
            </w:pPr>
          </w:p>
        </w:tc>
        <w:tc>
          <w:tcPr>
            <w:tcW w:w="733"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686" w:type="dxa"/>
            <w:vAlign w:val="center"/>
          </w:tcPr>
          <w:p>
            <w:pPr>
              <w:pStyle w:val="91"/>
              <w:spacing w:line="360" w:lineRule="auto"/>
              <w:jc w:val="center"/>
              <w:rPr>
                <w:rFonts w:ascii="宋体" w:hAnsi="宋体" w:eastAsia="宋体"/>
                <w:szCs w:val="21"/>
              </w:rPr>
            </w:pPr>
            <w:r>
              <w:rPr>
                <w:rFonts w:hint="eastAsia" w:ascii="宋体" w:hAnsi="宋体" w:eastAsia="宋体" w:cs="Times New Roman"/>
                <w:szCs w:val="21"/>
              </w:rPr>
              <w:t>安装实施</w:t>
            </w:r>
            <w:r>
              <w:rPr>
                <w:rFonts w:hint="eastAsia" w:ascii="宋体" w:hAnsi="宋体" w:eastAsia="宋体"/>
                <w:szCs w:val="21"/>
              </w:rPr>
              <w:t>和</w:t>
            </w:r>
          </w:p>
          <w:p>
            <w:pPr>
              <w:pStyle w:val="91"/>
              <w:spacing w:line="360" w:lineRule="auto"/>
              <w:jc w:val="center"/>
              <w:rPr>
                <w:rFonts w:cs="宋体" w:asciiTheme="minorEastAsia" w:hAnsiTheme="minorEastAsia"/>
                <w:szCs w:val="21"/>
              </w:rPr>
            </w:pPr>
            <w:r>
              <w:rPr>
                <w:rFonts w:hint="eastAsia" w:ascii="宋体" w:hAnsi="宋体" w:eastAsia="宋体"/>
                <w:szCs w:val="21"/>
              </w:rPr>
              <w:t>售后</w:t>
            </w:r>
            <w:r>
              <w:rPr>
                <w:rFonts w:hint="eastAsia" w:ascii="宋体" w:hAnsi="宋体" w:eastAsia="宋体" w:cs="Times New Roman"/>
                <w:szCs w:val="21"/>
              </w:rPr>
              <w:t>服务</w:t>
            </w:r>
          </w:p>
        </w:tc>
        <w:tc>
          <w:tcPr>
            <w:tcW w:w="900"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1</w:t>
            </w:r>
          </w:p>
        </w:tc>
        <w:tc>
          <w:tcPr>
            <w:tcW w:w="705" w:type="dxa"/>
            <w:vAlign w:val="center"/>
          </w:tcPr>
          <w:p>
            <w:pPr>
              <w:pStyle w:val="91"/>
              <w:spacing w:line="360" w:lineRule="auto"/>
              <w:jc w:val="center"/>
              <w:rPr>
                <w:rFonts w:cs="宋体" w:asciiTheme="minorEastAsia" w:hAnsiTheme="minorEastAsia"/>
                <w:szCs w:val="21"/>
              </w:rPr>
            </w:pPr>
            <w:r>
              <w:rPr>
                <w:rFonts w:hint="eastAsia" w:ascii="宋体" w:hAnsi="宋体" w:eastAsia="宋体"/>
                <w:szCs w:val="21"/>
              </w:rPr>
              <w:t>项</w:t>
            </w:r>
          </w:p>
        </w:tc>
        <w:tc>
          <w:tcPr>
            <w:tcW w:w="5423" w:type="dxa"/>
            <w:vAlign w:val="center"/>
          </w:tcPr>
          <w:p>
            <w:pPr>
              <w:pStyle w:val="4"/>
              <w:spacing w:line="360" w:lineRule="auto"/>
              <w:rPr>
                <w:rFonts w:ascii="宋体" w:hAnsi="宋体" w:eastAsia="宋体" w:cs="宋体"/>
                <w:b w:val="0"/>
                <w:sz w:val="21"/>
                <w:szCs w:val="21"/>
              </w:rPr>
            </w:pPr>
            <w:r>
              <w:rPr>
                <w:rFonts w:hint="eastAsia" w:ascii="宋体" w:hAnsi="宋体" w:eastAsia="宋体" w:cs="宋体"/>
                <w:b w:val="0"/>
                <w:sz w:val="21"/>
                <w:szCs w:val="21"/>
              </w:rPr>
              <w:t>1. 前期培训，为使用人员提供详尽的使用培训，内容包括应用网上阅卷的考务管理和考试实施方案、系统操作培训、以及硬件操作和维护的基本内容，直至工作人员完全熟悉整个工作流程为止。（1）答题卡的制作；（2）学生信息、教师信息的导入；（3）模板制作以及扫描识别；（4）主观题配置；（5）阅卷流程和管理培训；（6）成绩的合成以及发布；（7）光标阅读机的使用与维护等。</w:t>
            </w:r>
          </w:p>
          <w:p>
            <w:pPr>
              <w:pStyle w:val="4"/>
              <w:spacing w:line="360" w:lineRule="auto"/>
              <w:rPr>
                <w:rFonts w:ascii="宋体" w:hAnsi="宋体" w:eastAsia="宋体" w:cs="宋体"/>
                <w:b w:val="0"/>
                <w:sz w:val="21"/>
                <w:szCs w:val="21"/>
              </w:rPr>
            </w:pPr>
            <w:r>
              <w:rPr>
                <w:rFonts w:hint="eastAsia" w:ascii="宋体" w:hAnsi="宋体" w:eastAsia="宋体" w:cs="宋体"/>
                <w:b w:val="0"/>
                <w:sz w:val="21"/>
                <w:szCs w:val="21"/>
              </w:rPr>
              <w:t>2.本项目所涉及全部软硬件产品的安装、实施和部署，并提供硬件设备1年，软件3 年免费升级维护服务。网上阅卷软件系统自验收之日起，提供3年免费的系统升级维护服务，在此期间无论发生任何情形的软件问题，均提供网络远程协助或上门服务。</w:t>
            </w:r>
          </w:p>
          <w:p>
            <w:pPr>
              <w:spacing w:line="360" w:lineRule="auto"/>
              <w:rPr>
                <w:rFonts w:ascii="宋体" w:hAnsi="宋体"/>
                <w:szCs w:val="21"/>
              </w:rPr>
            </w:pPr>
            <w:r>
              <w:rPr>
                <w:rFonts w:hint="eastAsia" w:ascii="宋体" w:hAnsi="宋体"/>
                <w:szCs w:val="21"/>
              </w:rPr>
              <w:t>3.电话和网络支持：</w:t>
            </w:r>
            <w:r>
              <w:rPr>
                <w:rFonts w:ascii="宋体" w:hAnsi="宋体"/>
                <w:szCs w:val="21"/>
              </w:rPr>
              <w:t>用户在软件使用过程中发生故障后，</w:t>
            </w:r>
            <w:r>
              <w:rPr>
                <w:rFonts w:hint="eastAsia" w:ascii="宋体" w:hAnsi="宋体"/>
                <w:szCs w:val="21"/>
              </w:rPr>
              <w:t>可以</w:t>
            </w:r>
            <w:r>
              <w:rPr>
                <w:rFonts w:ascii="宋体" w:hAnsi="宋体"/>
                <w:szCs w:val="21"/>
              </w:rPr>
              <w:t>以电话方式及时通知。接到</w:t>
            </w:r>
            <w:r>
              <w:rPr>
                <w:rFonts w:hint="eastAsia" w:ascii="宋体" w:hAnsi="宋体"/>
                <w:szCs w:val="21"/>
              </w:rPr>
              <w:t>用户</w:t>
            </w:r>
            <w:r>
              <w:rPr>
                <w:rFonts w:ascii="宋体" w:hAnsi="宋体"/>
                <w:szCs w:val="21"/>
              </w:rPr>
              <w:t>的软件故障通知后，在1个小时内予以响应，提供电话和网络远程协助，必要时提供现场维护，确保所购软件系统的正常使用。</w:t>
            </w:r>
          </w:p>
          <w:p>
            <w:pPr>
              <w:spacing w:line="360" w:lineRule="auto"/>
              <w:rPr>
                <w:rFonts w:ascii="宋体" w:hAnsi="宋体" w:cs="Arial"/>
                <w:szCs w:val="21"/>
              </w:rPr>
            </w:pPr>
            <w:r>
              <w:rPr>
                <w:rFonts w:hint="eastAsia" w:ascii="宋体" w:hAnsi="宋体"/>
                <w:szCs w:val="21"/>
              </w:rPr>
              <w:t>4.现场支持：为了做到软硬件设备维护的及时响应，证明可以自有技术人员（杜绝转包、外包），对南宁师范大学各校区做到日常定期巡检，技术支持。</w:t>
            </w:r>
            <w:r>
              <w:rPr>
                <w:rFonts w:ascii="宋体" w:hAnsi="宋体"/>
                <w:szCs w:val="21"/>
              </w:rPr>
              <w:t>接到</w:t>
            </w:r>
            <w:r>
              <w:rPr>
                <w:rFonts w:hint="eastAsia" w:ascii="宋体" w:hAnsi="宋体"/>
                <w:szCs w:val="21"/>
              </w:rPr>
              <w:t>用户</w:t>
            </w:r>
            <w:r>
              <w:rPr>
                <w:rFonts w:ascii="宋体" w:hAnsi="宋体"/>
                <w:szCs w:val="21"/>
              </w:rPr>
              <w:t>使用故障通知或客户急需培训时，在提供电话和网络远程协助无效或客户要求</w:t>
            </w:r>
            <w:r>
              <w:rPr>
                <w:rFonts w:hint="eastAsia" w:ascii="宋体" w:hAnsi="宋体"/>
                <w:szCs w:val="21"/>
              </w:rPr>
              <w:t>进行</w:t>
            </w:r>
            <w:r>
              <w:rPr>
                <w:rFonts w:ascii="宋体" w:hAnsi="宋体"/>
                <w:szCs w:val="21"/>
              </w:rPr>
              <w:t>现场支持时，提供24小时之内到达现场，提供现场支持，确保正常使用。</w:t>
            </w:r>
            <w:r>
              <w:rPr>
                <w:rFonts w:hint="eastAsia" w:ascii="宋体" w:hAnsi="宋体" w:cs="Arial"/>
                <w:szCs w:val="21"/>
              </w:rPr>
              <w:t>大型考试提供上门服务支持。</w:t>
            </w:r>
          </w:p>
          <w:p>
            <w:pPr>
              <w:spacing w:line="360" w:lineRule="auto"/>
              <w:rPr>
                <w:rFonts w:cs="宋体" w:asciiTheme="minorEastAsia" w:hAnsiTheme="minorEastAsia" w:eastAsiaTheme="minorEastAsia"/>
                <w:szCs w:val="21"/>
              </w:rPr>
            </w:pPr>
            <w:r>
              <w:rPr>
                <w:rFonts w:hint="eastAsia" w:ascii="宋体" w:hAnsi="宋体"/>
                <w:szCs w:val="21"/>
              </w:rPr>
              <w:t>5. 定期回访：中标人须成立</w:t>
            </w:r>
            <w:r>
              <w:rPr>
                <w:rFonts w:ascii="宋体" w:hAnsi="宋体"/>
                <w:szCs w:val="21"/>
              </w:rPr>
              <w:t>售后维护小组</w:t>
            </w:r>
            <w:r>
              <w:rPr>
                <w:rFonts w:hint="eastAsia" w:ascii="宋体" w:hAnsi="宋体"/>
                <w:szCs w:val="21"/>
              </w:rPr>
              <w:t>并</w:t>
            </w:r>
            <w:r>
              <w:rPr>
                <w:rFonts w:ascii="宋体" w:hAnsi="宋体"/>
                <w:szCs w:val="21"/>
              </w:rPr>
              <w:t>安排工程师对客户进行</w:t>
            </w:r>
            <w:r>
              <w:rPr>
                <w:rFonts w:hint="eastAsia" w:ascii="宋体" w:hAnsi="宋体"/>
                <w:szCs w:val="21"/>
              </w:rPr>
              <w:t>以周为单位的</w:t>
            </w:r>
            <w:r>
              <w:rPr>
                <w:rFonts w:ascii="宋体" w:hAnsi="宋体"/>
                <w:szCs w:val="21"/>
              </w:rPr>
              <w:t>定期拜访，检查系统工作情况，进行例行维护和协助客户完成其他技术工作，以保证系统的正常运行。</w:t>
            </w:r>
          </w:p>
        </w:tc>
        <w:tc>
          <w:tcPr>
            <w:tcW w:w="73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138" w:type="dxa"/>
            <w:gridSpan w:val="6"/>
            <w:vAlign w:val="center"/>
          </w:tcPr>
          <w:p>
            <w:pPr>
              <w:jc w:val="center"/>
              <w:rPr>
                <w:rFonts w:asciiTheme="minorEastAsia" w:hAnsiTheme="minorEastAsia" w:eastAsiaTheme="minorEastAsia"/>
                <w:szCs w:val="21"/>
              </w:rPr>
            </w:pPr>
            <w:r>
              <w:rPr>
                <w:rFonts w:hint="eastAsia" w:ascii="宋体" w:hAnsi="宋体" w:cs="宋体"/>
                <w:kern w:val="0"/>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1"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商</w:t>
            </w:r>
          </w:p>
          <w:p>
            <w:pPr>
              <w:widowControl/>
              <w:spacing w:line="400" w:lineRule="exact"/>
              <w:jc w:val="center"/>
              <w:rPr>
                <w:rFonts w:ascii="宋体" w:hAnsi="宋体" w:cs="宋体"/>
                <w:b/>
                <w:kern w:val="0"/>
                <w:szCs w:val="21"/>
              </w:rPr>
            </w:pPr>
            <w:r>
              <w:rPr>
                <w:rFonts w:hint="eastAsia" w:ascii="宋体" w:hAnsi="宋体" w:cs="宋体"/>
                <w:b/>
                <w:kern w:val="0"/>
                <w:szCs w:val="21"/>
              </w:rPr>
              <w:t>务</w:t>
            </w:r>
          </w:p>
          <w:p>
            <w:pPr>
              <w:widowControl/>
              <w:spacing w:line="400" w:lineRule="exact"/>
              <w:jc w:val="center"/>
              <w:rPr>
                <w:rFonts w:ascii="宋体" w:hAnsi="宋体" w:cs="宋体"/>
                <w:b/>
                <w:kern w:val="0"/>
                <w:szCs w:val="21"/>
              </w:rPr>
            </w:pPr>
            <w:r>
              <w:rPr>
                <w:rFonts w:hint="eastAsia" w:ascii="宋体" w:hAnsi="宋体" w:cs="宋体"/>
                <w:b/>
                <w:kern w:val="0"/>
                <w:szCs w:val="21"/>
              </w:rPr>
              <w:t>及</w:t>
            </w:r>
          </w:p>
          <w:p>
            <w:pPr>
              <w:widowControl/>
              <w:spacing w:line="400" w:lineRule="exact"/>
              <w:jc w:val="center"/>
              <w:rPr>
                <w:rFonts w:ascii="宋体" w:hAnsi="宋体" w:cs="宋体"/>
                <w:b/>
                <w:kern w:val="0"/>
                <w:szCs w:val="21"/>
              </w:rPr>
            </w:pPr>
            <w:r>
              <w:rPr>
                <w:rFonts w:hint="eastAsia" w:ascii="宋体" w:hAnsi="宋体" w:cs="宋体"/>
                <w:b/>
                <w:kern w:val="0"/>
                <w:szCs w:val="21"/>
              </w:rPr>
              <w:t>考</w:t>
            </w:r>
          </w:p>
          <w:p>
            <w:pPr>
              <w:widowControl/>
              <w:spacing w:line="400" w:lineRule="exact"/>
              <w:jc w:val="center"/>
              <w:rPr>
                <w:rFonts w:ascii="宋体" w:hAnsi="宋体" w:cs="宋体"/>
                <w:b/>
                <w:kern w:val="0"/>
                <w:szCs w:val="21"/>
              </w:rPr>
            </w:pPr>
            <w:r>
              <w:rPr>
                <w:rFonts w:hint="eastAsia" w:ascii="宋体" w:hAnsi="宋体" w:cs="宋体"/>
                <w:b/>
                <w:kern w:val="0"/>
                <w:szCs w:val="21"/>
              </w:rPr>
              <w:t>察</w:t>
            </w:r>
          </w:p>
          <w:p>
            <w:pPr>
              <w:widowControl/>
              <w:spacing w:line="400" w:lineRule="exact"/>
              <w:jc w:val="center"/>
              <w:rPr>
                <w:rFonts w:ascii="宋体" w:hAnsi="宋体" w:cs="宋体"/>
                <w:b/>
                <w:kern w:val="0"/>
                <w:szCs w:val="21"/>
              </w:rPr>
            </w:pPr>
            <w:r>
              <w:rPr>
                <w:rFonts w:hint="eastAsia" w:ascii="宋体" w:hAnsi="宋体" w:cs="宋体"/>
                <w:b/>
                <w:kern w:val="0"/>
                <w:szCs w:val="21"/>
              </w:rPr>
              <w:t>要</w:t>
            </w:r>
          </w:p>
          <w:p>
            <w:pPr>
              <w:snapToGrid w:val="0"/>
              <w:spacing w:line="360" w:lineRule="exact"/>
              <w:jc w:val="center"/>
              <w:rPr>
                <w:rFonts w:ascii="宋体" w:hAnsi="宋体" w:cs="宋体"/>
                <w:kern w:val="0"/>
                <w:szCs w:val="21"/>
              </w:rPr>
            </w:pPr>
            <w:r>
              <w:rPr>
                <w:rFonts w:hint="eastAsia" w:ascii="宋体" w:hAnsi="宋体" w:cs="宋体"/>
                <w:b/>
                <w:kern w:val="0"/>
                <w:szCs w:val="21"/>
              </w:rPr>
              <w:t>求</w:t>
            </w:r>
          </w:p>
        </w:tc>
        <w:tc>
          <w:tcPr>
            <w:tcW w:w="9447" w:type="dxa"/>
            <w:gridSpan w:val="5"/>
            <w:vAlign w:val="center"/>
          </w:tcPr>
          <w:p>
            <w:pPr>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szCs w:val="21"/>
              </w:rPr>
              <w:t>报价要求：本项目实行总承包报价；</w:t>
            </w:r>
            <w:r>
              <w:rPr>
                <w:rFonts w:hint="eastAsia" w:ascii="宋体" w:hAnsi="宋体" w:cs="宋体"/>
                <w:kern w:val="0"/>
                <w:szCs w:val="21"/>
              </w:rPr>
              <w:t>包含货物及服务采购、专用工具、</w:t>
            </w:r>
            <w:r>
              <w:rPr>
                <w:rFonts w:hint="eastAsia" w:ascii="宋体" w:hAnsi="宋体" w:cs="宋体"/>
                <w:szCs w:val="21"/>
              </w:rPr>
              <w:t>运输、保管、安装、验收等各种费用和售后服务、税金及其它所有成本费用的总和。供应商应对本项目的所有内容范围的货物及服务进行总承包报价；采购人不再支付任何费用。</w:t>
            </w:r>
          </w:p>
          <w:p>
            <w:pPr>
              <w:spacing w:line="400" w:lineRule="exact"/>
              <w:rPr>
                <w:rFonts w:ascii="宋体" w:hAnsi="宋体" w:cs="宋体"/>
                <w:szCs w:val="21"/>
              </w:rPr>
            </w:pPr>
            <w:r>
              <w:rPr>
                <w:rFonts w:hint="eastAsia" w:ascii="宋体" w:hAnsi="宋体" w:cs="宋体"/>
                <w:szCs w:val="21"/>
              </w:rPr>
              <w:t>2、竞标产品必须为全新产品，成交供应商所提供的产品、资料等要满足中华人民共和国的相应标准。</w:t>
            </w:r>
          </w:p>
          <w:p>
            <w:pPr>
              <w:spacing w:line="400" w:lineRule="exact"/>
              <w:rPr>
                <w:rFonts w:ascii="宋体" w:hAnsi="宋体" w:cs="宋体"/>
                <w:szCs w:val="21"/>
              </w:rPr>
            </w:pPr>
            <w:r>
              <w:rPr>
                <w:rFonts w:hint="eastAsia" w:ascii="宋体" w:hAnsi="宋体" w:cs="宋体"/>
                <w:szCs w:val="21"/>
              </w:rPr>
              <w:t>3、验收标准：验收标准应符合中国有关的国家、地方、行业标准。</w:t>
            </w:r>
          </w:p>
          <w:p>
            <w:pPr>
              <w:spacing w:line="400" w:lineRule="exact"/>
              <w:rPr>
                <w:rFonts w:ascii="宋体" w:hAnsi="宋体" w:cs="宋体"/>
                <w:szCs w:val="21"/>
              </w:rPr>
            </w:pPr>
            <w:r>
              <w:rPr>
                <w:rFonts w:hint="eastAsia" w:ascii="宋体" w:hAnsi="宋体" w:cs="宋体"/>
                <w:szCs w:val="21"/>
              </w:rPr>
              <w:t>4、</w:t>
            </w:r>
            <w:r>
              <w:rPr>
                <w:rFonts w:hint="eastAsia" w:ascii="宋体" w:hAnsi="宋体" w:cs="宋体"/>
                <w:kern w:val="0"/>
                <w:szCs w:val="21"/>
              </w:rPr>
              <w:t>▲</w:t>
            </w:r>
            <w:r>
              <w:rPr>
                <w:rFonts w:hint="eastAsia" w:ascii="宋体" w:hAnsi="宋体" w:cs="宋体"/>
                <w:szCs w:val="21"/>
              </w:rPr>
              <w:t>质保期：自交货完毕并最终验收合格交付使用之日起质保期1年。</w:t>
            </w:r>
          </w:p>
          <w:p>
            <w:pPr>
              <w:spacing w:line="400" w:lineRule="exact"/>
              <w:rPr>
                <w:rFonts w:ascii="宋体" w:hAnsi="宋体" w:cs="宋体"/>
                <w:szCs w:val="21"/>
              </w:rPr>
            </w:pPr>
            <w:r>
              <w:rPr>
                <w:rFonts w:hint="eastAsia" w:ascii="宋体" w:hAnsi="宋体" w:cs="宋体"/>
                <w:szCs w:val="21"/>
              </w:rPr>
              <w:t>5、</w:t>
            </w:r>
            <w:r>
              <w:rPr>
                <w:rFonts w:hint="eastAsia" w:ascii="宋体" w:hAnsi="宋体" w:cs="宋体"/>
                <w:kern w:val="0"/>
                <w:szCs w:val="21"/>
              </w:rPr>
              <w:t>▲</w:t>
            </w:r>
            <w:r>
              <w:rPr>
                <w:rFonts w:hint="eastAsia" w:ascii="宋体" w:hAnsi="宋体" w:cs="宋体"/>
                <w:szCs w:val="21"/>
              </w:rPr>
              <w:t>交货时间：自签订合同之日起20日内完成项目实施。</w:t>
            </w:r>
          </w:p>
          <w:p>
            <w:pPr>
              <w:tabs>
                <w:tab w:val="left" w:pos="992"/>
                <w:tab w:val="left" w:pos="4226"/>
              </w:tabs>
              <w:spacing w:line="400" w:lineRule="exact"/>
              <w:jc w:val="left"/>
              <w:rPr>
                <w:rFonts w:ascii="宋体" w:hAnsi="宋体" w:cs="宋体"/>
                <w:szCs w:val="21"/>
              </w:rPr>
            </w:pPr>
            <w:r>
              <w:rPr>
                <w:rFonts w:hint="eastAsia" w:ascii="宋体" w:hAnsi="宋体" w:cs="宋体"/>
                <w:szCs w:val="21"/>
              </w:rPr>
              <w:t>6、</w:t>
            </w:r>
            <w:r>
              <w:rPr>
                <w:rFonts w:hint="eastAsia" w:ascii="宋体" w:hAnsi="宋体" w:cs="宋体"/>
                <w:kern w:val="0"/>
                <w:szCs w:val="21"/>
              </w:rPr>
              <w:t>▲</w:t>
            </w:r>
            <w:r>
              <w:rPr>
                <w:rFonts w:hint="eastAsia" w:ascii="宋体" w:hAnsi="宋体" w:cs="宋体"/>
                <w:szCs w:val="21"/>
              </w:rPr>
              <w:t>交货地点：采购人指定地点。</w:t>
            </w:r>
          </w:p>
          <w:p>
            <w:pPr>
              <w:tabs>
                <w:tab w:val="left" w:pos="992"/>
                <w:tab w:val="left" w:pos="4226"/>
              </w:tabs>
              <w:spacing w:line="400" w:lineRule="exact"/>
              <w:jc w:val="left"/>
              <w:rPr>
                <w:rFonts w:ascii="宋体" w:hAnsi="宋体" w:cs="宋体"/>
                <w:szCs w:val="21"/>
              </w:rPr>
            </w:pPr>
            <w:r>
              <w:rPr>
                <w:rFonts w:hint="eastAsia" w:ascii="宋体" w:hAnsi="宋体" w:cs="宋体"/>
                <w:szCs w:val="21"/>
              </w:rPr>
              <w:t>7、</w:t>
            </w:r>
            <w:r>
              <w:rPr>
                <w:rFonts w:hint="eastAsia" w:ascii="宋体" w:hAnsi="宋体" w:cs="宋体"/>
                <w:kern w:val="0"/>
                <w:szCs w:val="21"/>
              </w:rPr>
              <w:t>▲</w:t>
            </w:r>
            <w:r>
              <w:rPr>
                <w:rFonts w:hint="eastAsia" w:ascii="宋体" w:hAnsi="宋体" w:cs="宋体"/>
                <w:szCs w:val="21"/>
              </w:rPr>
              <w:t>售后服务要求：（1）按国家有关规定实行产品“三包”；（2）免费送货上门；（</w:t>
            </w:r>
            <w:r>
              <w:rPr>
                <w:rFonts w:ascii="宋体" w:hAnsi="宋体" w:cs="宋体"/>
                <w:szCs w:val="21"/>
              </w:rPr>
              <w:t>3）</w:t>
            </w:r>
            <w:r>
              <w:rPr>
                <w:rFonts w:hint="eastAsia" w:ascii="宋体" w:hAnsi="宋体" w:cs="宋体"/>
                <w:szCs w:val="21"/>
              </w:rPr>
              <w:t>提供5*8小时远程桌面或7*24小时电话技术支持，2小时内作出实质性响应，对重大问题提供现场技术支持，12小时内到达指定现场。并为采购人提出合理的使用或改进意见，积极配合采购人业务方面的工作，为系统提供后续技术维护服务；保证系统正常稳定运行；（4）定期回访；（5）质保期（</w:t>
            </w:r>
            <w:r>
              <w:rPr>
                <w:rFonts w:hint="eastAsia" w:ascii="宋体" w:cs="宋体"/>
                <w:kern w:val="0"/>
                <w:szCs w:val="21"/>
              </w:rPr>
              <w:t>自项目验收合格之日起1年</w:t>
            </w:r>
            <w:r>
              <w:rPr>
                <w:rFonts w:hint="eastAsia" w:ascii="宋体" w:hAnsi="宋体" w:cs="宋体"/>
                <w:szCs w:val="21"/>
              </w:rPr>
              <w:t>）内免费上门维修、免费更换零部件；（6）提供终身维护；（7）其余按厂家承诺进行。</w:t>
            </w:r>
          </w:p>
          <w:p>
            <w:pPr>
              <w:spacing w:line="360" w:lineRule="auto"/>
              <w:jc w:val="left"/>
              <w:rPr>
                <w:rFonts w:asciiTheme="minorEastAsia" w:hAnsiTheme="minorEastAsia" w:eastAsiaTheme="minorEastAsia" w:cstheme="minorEastAsia"/>
                <w:kern w:val="0"/>
                <w:szCs w:val="21"/>
              </w:rPr>
            </w:pPr>
            <w:r>
              <w:rPr>
                <w:rFonts w:hint="eastAsia" w:ascii="宋体" w:hAnsi="宋体" w:cs="宋体"/>
                <w:szCs w:val="21"/>
              </w:rPr>
              <w:t>8、</w:t>
            </w:r>
            <w:r>
              <w:rPr>
                <w:rFonts w:hint="eastAsia" w:asciiTheme="minorEastAsia" w:hAnsiTheme="minorEastAsia" w:eastAsiaTheme="minorEastAsia" w:cstheme="minorEastAsia"/>
                <w:kern w:val="0"/>
                <w:szCs w:val="21"/>
              </w:rPr>
              <w:t>技术培训：</w:t>
            </w:r>
          </w:p>
          <w:p>
            <w:pPr>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（1）在项目实施完成后，成交供应商免费提供各个软件和硬件系统相关的应用培训。</w:t>
            </w:r>
          </w:p>
          <w:p>
            <w:pPr>
              <w:spacing w:line="360" w:lineRule="auto"/>
              <w:jc w:val="left"/>
            </w:pPr>
            <w:r>
              <w:rPr>
                <w:rFonts w:hint="eastAsia" w:asciiTheme="minorEastAsia" w:hAnsiTheme="minorEastAsia" w:eastAsiaTheme="minorEastAsia" w:cstheme="minorEastAsia"/>
                <w:kern w:val="0"/>
                <w:szCs w:val="21"/>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pPr>
              <w:tabs>
                <w:tab w:val="left" w:pos="992"/>
                <w:tab w:val="left" w:pos="4226"/>
              </w:tabs>
              <w:spacing w:line="400" w:lineRule="exact"/>
              <w:jc w:val="left"/>
              <w:rPr>
                <w:rFonts w:ascii="宋体" w:hAnsi="宋体"/>
                <w:szCs w:val="21"/>
              </w:rPr>
            </w:pPr>
            <w:r>
              <w:rPr>
                <w:rFonts w:hint="eastAsia" w:ascii="宋体" w:hAnsi="宋体" w:cs="宋体"/>
                <w:szCs w:val="21"/>
              </w:rPr>
              <w:t>9、付款方式：</w:t>
            </w:r>
            <w:r>
              <w:rPr>
                <w:rFonts w:hint="eastAsia" w:ascii="宋体" w:hAnsi="宋体"/>
                <w:szCs w:val="21"/>
              </w:rPr>
              <w:t>签订合同前，成交供应商向采购人交纳合同金额的5%作为履约保证金。项目完成实施并最终验收合格后，乙方开具全额发票给甲方，甲方在15个工作日内向乙方付清100%合同款。履约保证金在验收完毕之日起一年后15个工作日内办理一次性退付手续（无息）。</w:t>
            </w:r>
          </w:p>
          <w:p>
            <w:pPr>
              <w:tabs>
                <w:tab w:val="left" w:pos="992"/>
                <w:tab w:val="left" w:pos="4226"/>
              </w:tabs>
              <w:spacing w:line="400" w:lineRule="exact"/>
              <w:jc w:val="left"/>
              <w:rPr>
                <w:rFonts w:ascii="宋体" w:hAnsi="宋体" w:cs="宋体"/>
                <w:szCs w:val="21"/>
              </w:rPr>
            </w:pPr>
            <w:r>
              <w:rPr>
                <w:rFonts w:hint="eastAsia" w:ascii="宋体" w:hAnsi="宋体" w:cs="宋体"/>
                <w:szCs w:val="21"/>
              </w:rPr>
              <w:t>10、交货验收必须由采购单位和成交供应商共同进行，采购单位如认为有需要的，可委托相关检验部门对产品进行抽检，自检或检验部门抽检不合格的不给予验收，影响采购单位实施进度的将追究相关责任，抽检所产生的费用全部由成交供应商负责。</w:t>
            </w:r>
          </w:p>
          <w:p>
            <w:pPr>
              <w:spacing w:line="400" w:lineRule="exact"/>
              <w:rPr>
                <w:rFonts w:ascii="宋体" w:hAnsi="宋体" w:cs="宋体"/>
                <w:szCs w:val="21"/>
              </w:rPr>
            </w:pPr>
            <w:r>
              <w:rPr>
                <w:rFonts w:hint="eastAsia" w:ascii="宋体" w:hAnsi="宋体" w:cs="宋体"/>
                <w:szCs w:val="21"/>
              </w:rPr>
              <w:t>11、成交供应商提供的货物及服务不满足竞争性谈判采购文件要求验收不合格的，采购人有权解除合同并追究成交供应商的法律责任。</w:t>
            </w:r>
          </w:p>
          <w:p>
            <w:pPr>
              <w:widowControl/>
              <w:spacing w:line="360" w:lineRule="exact"/>
              <w:rPr>
                <w:rFonts w:ascii="宋体" w:hAnsi="宋体"/>
                <w:szCs w:val="21"/>
              </w:rPr>
            </w:pPr>
            <w:r>
              <w:rPr>
                <w:rFonts w:hint="eastAsia" w:ascii="宋体" w:hAnsi="宋体"/>
                <w:szCs w:val="21"/>
              </w:rPr>
              <w:t>12、实施和安装要求：</w:t>
            </w:r>
          </w:p>
          <w:p>
            <w:pPr>
              <w:widowControl/>
              <w:spacing w:line="360" w:lineRule="exact"/>
              <w:ind w:firstLine="420" w:firstLineChars="200"/>
              <w:rPr>
                <w:rFonts w:ascii="宋体" w:hAnsi="宋体"/>
                <w:szCs w:val="21"/>
              </w:rPr>
            </w:pPr>
            <w:r>
              <w:rPr>
                <w:rFonts w:hint="eastAsia" w:ascii="宋体" w:hAnsi="宋体"/>
                <w:szCs w:val="21"/>
              </w:rPr>
              <w:t>（1）</w:t>
            </w:r>
            <w:r>
              <w:rPr>
                <w:rFonts w:hint="eastAsia" w:ascii="宋体" w:hAnsi="宋体" w:cs="宋体"/>
                <w:kern w:val="0"/>
                <w:szCs w:val="21"/>
              </w:rPr>
              <w:t>供应商必须按采购人的要求进行安装</w:t>
            </w:r>
          </w:p>
          <w:p>
            <w:pPr>
              <w:widowControl/>
              <w:spacing w:line="360" w:lineRule="exact"/>
              <w:ind w:firstLine="420" w:firstLineChars="200"/>
              <w:rPr>
                <w:rFonts w:ascii="宋体" w:hAnsi="宋体"/>
                <w:szCs w:val="21"/>
              </w:rPr>
            </w:pPr>
            <w:r>
              <w:rPr>
                <w:rFonts w:hint="eastAsia" w:ascii="宋体" w:hAnsi="宋体"/>
                <w:szCs w:val="21"/>
              </w:rPr>
              <w:t>（2）安装过程中的所有安全保障由供应商自行负责；</w:t>
            </w:r>
          </w:p>
          <w:p>
            <w:pPr>
              <w:spacing w:line="400" w:lineRule="exact"/>
              <w:ind w:firstLine="420" w:firstLineChars="200"/>
              <w:rPr>
                <w:rFonts w:ascii="宋体" w:hAnsi="宋体"/>
                <w:szCs w:val="21"/>
              </w:rPr>
            </w:pPr>
            <w:r>
              <w:rPr>
                <w:rFonts w:hint="eastAsia" w:ascii="宋体" w:hAnsi="宋体"/>
                <w:szCs w:val="21"/>
              </w:rPr>
              <w:t>（3）严格按竞标产品的安装规范要求进行安装，确保安全。</w:t>
            </w:r>
          </w:p>
          <w:p>
            <w:pPr>
              <w:spacing w:line="420" w:lineRule="atLeast"/>
              <w:textAlignment w:val="baseline"/>
              <w:rPr>
                <w:rFonts w:ascii="宋体" w:hAnsi="宋体"/>
                <w:szCs w:val="21"/>
              </w:rPr>
            </w:pPr>
            <w:r>
              <w:rPr>
                <w:rFonts w:hint="eastAsia" w:ascii="宋体" w:hAnsi="宋体"/>
                <w:szCs w:val="21"/>
              </w:rPr>
              <w:t>13、质量保证及服务承诺：</w:t>
            </w:r>
          </w:p>
          <w:p>
            <w:pPr>
              <w:widowControl/>
              <w:spacing w:line="360" w:lineRule="exact"/>
              <w:ind w:firstLine="420" w:firstLineChars="200"/>
              <w:rPr>
                <w:rFonts w:ascii="宋体" w:hAnsi="宋体"/>
                <w:szCs w:val="21"/>
              </w:rPr>
            </w:pPr>
            <w:r>
              <w:rPr>
                <w:rFonts w:hint="eastAsia" w:ascii="宋体" w:hAnsi="宋体"/>
                <w:szCs w:val="21"/>
              </w:rPr>
              <w:t>（1）</w:t>
            </w:r>
            <w:r>
              <w:rPr>
                <w:rFonts w:hint="eastAsia" w:ascii="宋体" w:hAnsi="宋体" w:cs="宋体"/>
                <w:kern w:val="0"/>
                <w:szCs w:val="21"/>
              </w:rPr>
              <w:t>供应商</w:t>
            </w:r>
            <w:r>
              <w:rPr>
                <w:rFonts w:hint="eastAsia" w:ascii="宋体" w:hAnsi="宋体"/>
                <w:szCs w:val="21"/>
              </w:rPr>
              <w:t>必须保证在产品经正确安装、正常操作和保养条件下，在寿命期内运行良好。</w:t>
            </w:r>
          </w:p>
          <w:p>
            <w:pPr>
              <w:widowControl/>
              <w:spacing w:line="360" w:lineRule="exact"/>
              <w:ind w:firstLine="420" w:firstLineChars="200"/>
              <w:rPr>
                <w:rFonts w:ascii="宋体" w:hAnsi="宋体"/>
                <w:szCs w:val="21"/>
              </w:rPr>
            </w:pPr>
            <w:r>
              <w:rPr>
                <w:rFonts w:hint="eastAsia" w:ascii="宋体" w:hAnsi="宋体"/>
                <w:szCs w:val="21"/>
              </w:rPr>
              <w:t>（2）</w:t>
            </w:r>
            <w:r>
              <w:rPr>
                <w:rFonts w:hint="eastAsia" w:ascii="宋体" w:hAnsi="宋体" w:cs="宋体"/>
                <w:kern w:val="0"/>
                <w:szCs w:val="21"/>
              </w:rPr>
              <w:t>供应商</w:t>
            </w:r>
            <w:r>
              <w:rPr>
                <w:rFonts w:hint="eastAsia" w:ascii="宋体" w:hAnsi="宋体"/>
                <w:szCs w:val="21"/>
              </w:rPr>
              <w:t>在产品寿命保证期内，对因设计、工艺、材料的缺陷所发生的故障负责。</w:t>
            </w:r>
          </w:p>
          <w:p>
            <w:pPr>
              <w:widowControl/>
              <w:spacing w:line="360" w:lineRule="exact"/>
              <w:ind w:firstLine="420" w:firstLineChars="200"/>
              <w:rPr>
                <w:rFonts w:ascii="宋体" w:hAnsi="宋体"/>
                <w:szCs w:val="21"/>
              </w:rPr>
            </w:pPr>
            <w:r>
              <w:rPr>
                <w:rFonts w:hint="eastAsia" w:ascii="宋体" w:hAnsi="宋体"/>
                <w:szCs w:val="21"/>
              </w:rPr>
              <w:t>（3）供货时须提供完整的使用手册、维修资料。</w:t>
            </w:r>
          </w:p>
          <w:p>
            <w:pPr>
              <w:spacing w:line="360" w:lineRule="exact"/>
              <w:rPr>
                <w:rFonts w:ascii="宋体" w:hAnsi="宋体" w:cs="宋体"/>
                <w:szCs w:val="21"/>
              </w:rPr>
            </w:pPr>
            <w:r>
              <w:rPr>
                <w:rFonts w:hint="eastAsia" w:ascii="宋体" w:hAnsi="宋体"/>
                <w:szCs w:val="21"/>
              </w:rPr>
              <w:t>14、</w:t>
            </w:r>
            <w:r>
              <w:rPr>
                <w:rFonts w:hint="eastAsia" w:ascii="宋体" w:hAnsi="宋体" w:cs="宋体"/>
                <w:kern w:val="0"/>
                <w:szCs w:val="21"/>
              </w:rPr>
              <w:t>▲</w:t>
            </w:r>
            <w:r>
              <w:rPr>
                <w:rFonts w:hint="eastAsia" w:ascii="宋体" w:hAnsi="宋体" w:cs="宋体"/>
                <w:szCs w:val="21"/>
              </w:rPr>
              <w:t>竞标人必须承诺：所有产品由本单位负责设备的安装、调试及技术培训工作，不转包或分包本项目，须在竞标响应文件正本另行提供承诺函原件，副本放复印件，承诺函须有法定代表人或其委托代理人签字，并加盖竞标单位公章，承诺函格式自拟。</w:t>
            </w:r>
          </w:p>
        </w:tc>
      </w:tr>
    </w:tbl>
    <w:p>
      <w:pPr>
        <w:rPr>
          <w:rFonts w:asciiTheme="minorEastAsia" w:hAnsiTheme="minorEastAsia" w:eastAsiaTheme="minorEastAsia"/>
          <w:szCs w:val="21"/>
        </w:rPr>
      </w:pPr>
      <w:r>
        <w:rPr>
          <w:rFonts w:asciiTheme="minorEastAsia" w:hAnsiTheme="minorEastAsia" w:eastAsiaTheme="minorEastAsia"/>
          <w:szCs w:val="21"/>
        </w:rPr>
        <w:br w:type="page"/>
      </w:r>
    </w:p>
    <w:p>
      <w:pPr>
        <w:spacing w:line="400" w:lineRule="exact"/>
        <w:ind w:right="2" w:rightChars="1"/>
        <w:rPr>
          <w:rFonts w:ascii="宋体" w:hAnsi="宋体" w:cs="宋体"/>
          <w:b/>
          <w:szCs w:val="21"/>
        </w:rPr>
      </w:pPr>
    </w:p>
    <w:p>
      <w:pPr>
        <w:pStyle w:val="3"/>
      </w:pPr>
      <w:bookmarkStart w:id="68" w:name="_Toc23251294"/>
      <w:bookmarkStart w:id="69" w:name="_Toc26800537"/>
      <w:bookmarkStart w:id="70" w:name="_Toc23844_WPSOffice_Level1"/>
      <w:r>
        <w:rPr>
          <w:rFonts w:hint="eastAsia"/>
        </w:rPr>
        <w:t>第四章  竞争性谈判响应文件格式</w:t>
      </w:r>
      <w:bookmarkEnd w:id="68"/>
      <w:bookmarkEnd w:id="69"/>
      <w:bookmarkEnd w:id="70"/>
    </w:p>
    <w:p>
      <w:pPr>
        <w:spacing w:line="500" w:lineRule="exact"/>
        <w:jc w:val="center"/>
        <w:rPr>
          <w:rFonts w:ascii="宋体" w:hAnsi="宋体" w:cs="宋体"/>
          <w:sz w:val="28"/>
          <w:szCs w:val="28"/>
        </w:rPr>
      </w:pPr>
    </w:p>
    <w:p>
      <w:pPr>
        <w:spacing w:line="500" w:lineRule="exact"/>
        <w:rPr>
          <w:rFonts w:ascii="宋体" w:hAnsi="宋体" w:cs="宋体"/>
          <w:sz w:val="28"/>
          <w:szCs w:val="28"/>
        </w:rPr>
      </w:pPr>
      <w:r>
        <w:rPr>
          <w:rFonts w:hint="eastAsia" w:ascii="宋体" w:hAnsi="宋体" w:cs="宋体"/>
          <w:sz w:val="28"/>
          <w:szCs w:val="28"/>
        </w:rPr>
        <w:t>封面：</w:t>
      </w:r>
    </w:p>
    <w:p>
      <w:pPr>
        <w:spacing w:line="500" w:lineRule="exact"/>
        <w:jc w:val="center"/>
        <w:rPr>
          <w:rFonts w:ascii="宋体" w:hAnsi="宋体" w:cs="宋体"/>
          <w:sz w:val="28"/>
          <w:szCs w:val="28"/>
        </w:rPr>
      </w:pPr>
      <w:r>
        <w:rPr>
          <w:rFonts w:hint="eastAsia" w:ascii="宋体" w:hAnsi="宋体" w:cs="宋体"/>
          <w:sz w:val="28"/>
          <w:szCs w:val="28"/>
        </w:rPr>
        <w:t xml:space="preserve">                                                    正本/副本</w:t>
      </w: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jc w:val="center"/>
        <w:rPr>
          <w:rFonts w:ascii="宋体" w:hAnsi="宋体" w:cs="宋体"/>
          <w:b/>
          <w:sz w:val="72"/>
          <w:szCs w:val="72"/>
        </w:rPr>
      </w:pPr>
      <w:r>
        <w:rPr>
          <w:rFonts w:hint="eastAsia" w:ascii="宋体" w:hAnsi="宋体" w:cs="宋体"/>
          <w:b/>
          <w:sz w:val="72"/>
          <w:szCs w:val="72"/>
        </w:rPr>
        <w:t>竞争性谈判响应文件</w:t>
      </w: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ind w:left="1438" w:leftChars="685"/>
        <w:rPr>
          <w:rFonts w:ascii="宋体" w:hAnsi="宋体" w:cs="宋体"/>
          <w:sz w:val="28"/>
          <w:szCs w:val="28"/>
          <w:u w:val="single"/>
        </w:rPr>
      </w:pPr>
      <w:r>
        <w:rPr>
          <w:rFonts w:hint="eastAsia" w:ascii="宋体" w:hAnsi="宋体" w:cs="宋体"/>
          <w:sz w:val="28"/>
          <w:szCs w:val="28"/>
        </w:rPr>
        <w:t xml:space="preserve">    采购项目编号：</w:t>
      </w:r>
    </w:p>
    <w:p>
      <w:pPr>
        <w:tabs>
          <w:tab w:val="left" w:pos="3240"/>
        </w:tabs>
        <w:spacing w:line="500" w:lineRule="exact"/>
        <w:ind w:left="1438" w:leftChars="685" w:firstLine="560" w:firstLineChars="200"/>
        <w:rPr>
          <w:rFonts w:ascii="宋体" w:hAnsi="宋体" w:cs="宋体"/>
          <w:sz w:val="28"/>
          <w:szCs w:val="28"/>
          <w:u w:val="single"/>
        </w:rPr>
      </w:pPr>
      <w:r>
        <w:rPr>
          <w:rFonts w:hint="eastAsia" w:ascii="宋体" w:hAnsi="宋体" w:cs="宋体"/>
          <w:sz w:val="28"/>
          <w:szCs w:val="28"/>
        </w:rPr>
        <w:t>采购项目名称：</w:t>
      </w:r>
    </w:p>
    <w:p>
      <w:pPr>
        <w:spacing w:line="500" w:lineRule="exact"/>
        <w:ind w:left="1438" w:leftChars="685" w:firstLine="560" w:firstLineChars="200"/>
        <w:rPr>
          <w:rFonts w:ascii="宋体" w:hAnsi="宋体" w:cs="宋体"/>
          <w:sz w:val="28"/>
          <w:szCs w:val="28"/>
          <w:u w:val="single"/>
        </w:rPr>
      </w:pPr>
      <w:r>
        <w:rPr>
          <w:rFonts w:hint="eastAsia" w:ascii="宋体" w:hAnsi="宋体" w:cs="宋体"/>
          <w:sz w:val="28"/>
          <w:szCs w:val="28"/>
        </w:rPr>
        <w:t>分标（如有）</w:t>
      </w:r>
      <w:r>
        <w:rPr>
          <w:rFonts w:hint="eastAsia" w:ascii="宋体" w:hAnsi="宋体" w:cs="宋体"/>
          <w:sz w:val="28"/>
          <w:szCs w:val="28"/>
          <w:u w:val="single"/>
        </w:rPr>
        <w:t xml:space="preserve">：                       </w:t>
      </w:r>
    </w:p>
    <w:p>
      <w:pPr>
        <w:tabs>
          <w:tab w:val="left" w:pos="2625"/>
        </w:tabs>
        <w:spacing w:line="500" w:lineRule="exact"/>
        <w:jc w:val="center"/>
        <w:rPr>
          <w:rFonts w:ascii="宋体" w:hAnsi="宋体" w:cs="宋体"/>
          <w:sz w:val="28"/>
          <w:szCs w:val="28"/>
        </w:rPr>
      </w:pPr>
    </w:p>
    <w:p>
      <w:pPr>
        <w:tabs>
          <w:tab w:val="left" w:pos="2625"/>
        </w:tabs>
        <w:spacing w:line="500" w:lineRule="exact"/>
        <w:jc w:val="center"/>
        <w:rPr>
          <w:rFonts w:ascii="宋体" w:hAnsi="宋体" w:cs="宋体"/>
          <w:sz w:val="28"/>
          <w:szCs w:val="28"/>
        </w:rPr>
      </w:pPr>
    </w:p>
    <w:p>
      <w:pPr>
        <w:tabs>
          <w:tab w:val="left" w:pos="2625"/>
        </w:tabs>
        <w:spacing w:line="500" w:lineRule="exact"/>
        <w:jc w:val="center"/>
        <w:rPr>
          <w:rFonts w:ascii="宋体" w:hAnsi="宋体" w:cs="宋体"/>
          <w:sz w:val="28"/>
          <w:szCs w:val="28"/>
        </w:rPr>
      </w:pPr>
    </w:p>
    <w:p>
      <w:pPr>
        <w:tabs>
          <w:tab w:val="left" w:pos="2625"/>
        </w:tabs>
        <w:spacing w:line="500" w:lineRule="exact"/>
        <w:jc w:val="center"/>
        <w:rPr>
          <w:rFonts w:ascii="宋体" w:hAnsi="宋体" w:cs="宋体"/>
          <w:sz w:val="28"/>
          <w:szCs w:val="28"/>
        </w:rPr>
      </w:pPr>
    </w:p>
    <w:p>
      <w:pPr>
        <w:tabs>
          <w:tab w:val="left" w:pos="2625"/>
        </w:tabs>
        <w:spacing w:line="500" w:lineRule="exact"/>
        <w:jc w:val="center"/>
        <w:rPr>
          <w:rFonts w:ascii="宋体" w:hAnsi="宋体" w:cs="宋体"/>
          <w:sz w:val="28"/>
          <w:szCs w:val="28"/>
        </w:rPr>
      </w:pPr>
    </w:p>
    <w:p>
      <w:pPr>
        <w:tabs>
          <w:tab w:val="left" w:pos="2625"/>
        </w:tabs>
        <w:spacing w:line="500" w:lineRule="exact"/>
        <w:jc w:val="center"/>
        <w:rPr>
          <w:rFonts w:ascii="宋体" w:hAnsi="宋体" w:cs="宋体"/>
          <w:sz w:val="28"/>
          <w:szCs w:val="28"/>
        </w:rPr>
      </w:pPr>
      <w:r>
        <w:rPr>
          <w:rFonts w:hint="eastAsia" w:ascii="宋体" w:hAnsi="宋体" w:cs="宋体"/>
          <w:sz w:val="28"/>
          <w:szCs w:val="28"/>
        </w:rPr>
        <w:t>（谈判供应商名称）</w:t>
      </w:r>
    </w:p>
    <w:p>
      <w:pPr>
        <w:tabs>
          <w:tab w:val="left" w:pos="2625"/>
        </w:tabs>
        <w:spacing w:line="500" w:lineRule="exact"/>
        <w:jc w:val="center"/>
        <w:rPr>
          <w:rFonts w:ascii="宋体" w:hAnsi="宋体" w:cs="宋体"/>
          <w:sz w:val="28"/>
          <w:szCs w:val="28"/>
        </w:rPr>
      </w:pPr>
      <w:r>
        <w:rPr>
          <w:rFonts w:hint="eastAsia" w:ascii="宋体" w:hAnsi="宋体" w:cs="宋体"/>
          <w:sz w:val="28"/>
          <w:szCs w:val="28"/>
        </w:rPr>
        <w:t>年    月    日</w:t>
      </w:r>
    </w:p>
    <w:p>
      <w:pPr>
        <w:spacing w:line="520" w:lineRule="exact"/>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一、谈判书</w:t>
      </w:r>
    </w:p>
    <w:p>
      <w:pPr>
        <w:spacing w:line="520" w:lineRule="exact"/>
        <w:rPr>
          <w:rFonts w:ascii="宋体" w:hAnsi="宋体" w:cs="宋体"/>
          <w:sz w:val="28"/>
          <w:szCs w:val="28"/>
        </w:rPr>
      </w:pPr>
    </w:p>
    <w:p>
      <w:pPr>
        <w:spacing w:line="520" w:lineRule="exact"/>
        <w:jc w:val="center"/>
        <w:rPr>
          <w:rFonts w:ascii="宋体" w:hAnsi="宋体" w:cs="宋体"/>
          <w:b/>
          <w:sz w:val="36"/>
          <w:szCs w:val="36"/>
        </w:rPr>
      </w:pPr>
      <w:r>
        <w:rPr>
          <w:rFonts w:hint="eastAsia" w:ascii="宋体" w:hAnsi="宋体" w:cs="宋体"/>
          <w:b/>
          <w:sz w:val="36"/>
          <w:szCs w:val="36"/>
        </w:rPr>
        <w:t>谈  判  书（格式）</w:t>
      </w:r>
    </w:p>
    <w:p>
      <w:pPr>
        <w:spacing w:line="400" w:lineRule="exact"/>
        <w:jc w:val="center"/>
        <w:rPr>
          <w:rFonts w:ascii="宋体" w:hAnsi="宋体" w:cs="宋体"/>
          <w:b/>
          <w:szCs w:val="21"/>
        </w:rPr>
      </w:pPr>
    </w:p>
    <w:p>
      <w:pPr>
        <w:pStyle w:val="16"/>
        <w:spacing w:line="440" w:lineRule="exact"/>
        <w:rPr>
          <w:rFonts w:hAnsi="宋体" w:cs="宋体"/>
          <w:szCs w:val="21"/>
        </w:rPr>
      </w:pPr>
      <w:r>
        <w:rPr>
          <w:rFonts w:hint="eastAsia" w:hAnsi="宋体" w:cs="宋体"/>
          <w:szCs w:val="21"/>
        </w:rPr>
        <w:t>广西北部湾宏亚建设管理有限公司：</w:t>
      </w:r>
    </w:p>
    <w:p>
      <w:pPr>
        <w:pStyle w:val="16"/>
        <w:spacing w:line="440" w:lineRule="exact"/>
        <w:ind w:firstLine="480"/>
        <w:rPr>
          <w:rFonts w:hAnsi="宋体" w:cs="宋体"/>
          <w:szCs w:val="21"/>
        </w:rPr>
      </w:pPr>
      <w:r>
        <w:rPr>
          <w:rFonts w:hint="eastAsia" w:hAnsi="宋体" w:cs="宋体"/>
          <w:szCs w:val="21"/>
        </w:rPr>
        <w:t>依据贵方</w:t>
      </w:r>
      <w:r>
        <w:rPr>
          <w:rFonts w:hint="eastAsia" w:hAnsi="宋体" w:cs="宋体"/>
          <w:szCs w:val="21"/>
          <w:u w:val="single"/>
        </w:rPr>
        <w:t>南宁师范大学学业测评与教学质量监测平台（阅卷系统）建设项目  （GXZC2021-J1-002296-HYJS）</w:t>
      </w:r>
      <w:r>
        <w:rPr>
          <w:rFonts w:hint="eastAsia" w:hAnsi="宋体" w:cs="宋体"/>
          <w:szCs w:val="21"/>
        </w:rPr>
        <w:t>项目政府采购的谈判邀请，我方</w:t>
      </w:r>
      <w:r>
        <w:rPr>
          <w:rFonts w:hint="eastAsia" w:hAnsi="宋体" w:cs="宋体"/>
          <w:szCs w:val="21"/>
          <w:u w:val="single"/>
        </w:rPr>
        <w:t>（姓名和职务）</w:t>
      </w:r>
      <w:r>
        <w:rPr>
          <w:rFonts w:hint="eastAsia" w:hAnsi="宋体" w:cs="宋体"/>
          <w:szCs w:val="21"/>
        </w:rPr>
        <w:t>经正式授权并代表谈判供应商</w:t>
      </w:r>
      <w:r>
        <w:rPr>
          <w:rFonts w:hint="eastAsia" w:hAnsi="宋体" w:cs="宋体"/>
          <w:szCs w:val="21"/>
          <w:u w:val="single"/>
        </w:rPr>
        <w:t xml:space="preserve">       （谈判供应商名称、地址）         </w:t>
      </w:r>
      <w:r>
        <w:rPr>
          <w:rFonts w:hint="eastAsia" w:hAnsi="宋体" w:cs="宋体"/>
          <w:szCs w:val="21"/>
        </w:rPr>
        <w:t>提交下述竞争性谈判响应文件（价格文件、商务技术文件）正本一份和副本份</w:t>
      </w:r>
      <w:r>
        <w:rPr>
          <w:rFonts w:hint="eastAsia" w:hAnsi="宋体"/>
          <w:szCs w:val="21"/>
        </w:rPr>
        <w:t>，</w:t>
      </w:r>
      <w:r>
        <w:rPr>
          <w:rFonts w:hint="eastAsia" w:cs="宋体"/>
        </w:rPr>
        <w:t>电子版竞争性谈判响应文件一份</w:t>
      </w:r>
      <w:r>
        <w:rPr>
          <w:rFonts w:hint="eastAsia" w:hAnsi="宋体" w:cs="宋体"/>
          <w:szCs w:val="21"/>
        </w:rPr>
        <w:t>：</w:t>
      </w:r>
    </w:p>
    <w:p>
      <w:pPr>
        <w:pStyle w:val="16"/>
        <w:spacing w:line="440" w:lineRule="exact"/>
        <w:ind w:firstLine="480"/>
        <w:rPr>
          <w:rFonts w:hAnsi="宋体" w:cs="宋体"/>
          <w:szCs w:val="21"/>
        </w:rPr>
      </w:pPr>
      <w:r>
        <w:rPr>
          <w:rFonts w:hint="eastAsia" w:hAnsi="宋体" w:cs="宋体"/>
          <w:szCs w:val="21"/>
        </w:rPr>
        <w:t>1. 谈判报价表；</w:t>
      </w:r>
    </w:p>
    <w:p>
      <w:pPr>
        <w:pStyle w:val="16"/>
        <w:spacing w:line="440" w:lineRule="exact"/>
        <w:ind w:firstLine="480"/>
        <w:rPr>
          <w:rFonts w:hAnsi="宋体" w:cs="宋体"/>
          <w:szCs w:val="21"/>
        </w:rPr>
      </w:pPr>
      <w:r>
        <w:rPr>
          <w:rFonts w:hint="eastAsia" w:hAnsi="宋体" w:cs="宋体"/>
          <w:szCs w:val="21"/>
        </w:rPr>
        <w:t>2. 技术及商务规格响应、偏离情况说明表；</w:t>
      </w:r>
    </w:p>
    <w:p>
      <w:pPr>
        <w:pStyle w:val="16"/>
        <w:spacing w:line="440" w:lineRule="exact"/>
        <w:ind w:firstLine="480"/>
        <w:rPr>
          <w:rFonts w:hAnsi="宋体" w:cs="宋体"/>
          <w:szCs w:val="21"/>
        </w:rPr>
      </w:pPr>
      <w:r>
        <w:rPr>
          <w:rFonts w:hint="eastAsia" w:hAnsi="宋体" w:cs="宋体"/>
          <w:szCs w:val="21"/>
        </w:rPr>
        <w:t>3. 按竞争性谈判文件谈判须知和技术规格要求提供的有关文件；</w:t>
      </w:r>
    </w:p>
    <w:p>
      <w:pPr>
        <w:pStyle w:val="16"/>
        <w:spacing w:line="440" w:lineRule="exact"/>
        <w:ind w:firstLine="480"/>
        <w:rPr>
          <w:rFonts w:hAnsi="宋体" w:cs="宋体"/>
          <w:szCs w:val="21"/>
        </w:rPr>
      </w:pPr>
      <w:r>
        <w:rPr>
          <w:rFonts w:hint="eastAsia" w:hAnsi="宋体" w:cs="宋体"/>
          <w:szCs w:val="21"/>
        </w:rPr>
        <w:t>4. 资格证明文件；</w:t>
      </w:r>
    </w:p>
    <w:p>
      <w:pPr>
        <w:pStyle w:val="16"/>
        <w:spacing w:line="440" w:lineRule="exact"/>
        <w:rPr>
          <w:rFonts w:hAnsi="宋体" w:cs="宋体"/>
          <w:szCs w:val="21"/>
        </w:rPr>
      </w:pPr>
      <w:r>
        <w:rPr>
          <w:rFonts w:hint="eastAsia" w:hAnsi="宋体" w:cs="宋体"/>
          <w:szCs w:val="21"/>
        </w:rPr>
        <w:t>在此，委托代理人宣布同意如下：</w:t>
      </w:r>
    </w:p>
    <w:p>
      <w:pPr>
        <w:pStyle w:val="16"/>
        <w:spacing w:line="440" w:lineRule="exact"/>
        <w:ind w:firstLine="480"/>
        <w:rPr>
          <w:rFonts w:hAnsi="宋体" w:cs="宋体"/>
          <w:szCs w:val="21"/>
        </w:rPr>
      </w:pPr>
      <w:r>
        <w:rPr>
          <w:rFonts w:hint="eastAsia" w:hAnsi="宋体" w:cs="宋体"/>
          <w:szCs w:val="21"/>
        </w:rPr>
        <w:t>1. 将按竞争性谈判文件的约定履行合同责任和义务；</w:t>
      </w:r>
    </w:p>
    <w:p>
      <w:pPr>
        <w:pStyle w:val="16"/>
        <w:spacing w:line="440" w:lineRule="exact"/>
        <w:ind w:left="793" w:leftChars="228" w:hanging="315" w:hangingChars="150"/>
        <w:rPr>
          <w:rFonts w:hAnsi="宋体" w:cs="宋体"/>
          <w:szCs w:val="21"/>
        </w:rPr>
      </w:pPr>
      <w:r>
        <w:rPr>
          <w:rFonts w:hint="eastAsia" w:hAnsi="宋体" w:cs="宋体"/>
          <w:szCs w:val="21"/>
        </w:rPr>
        <w:t>2. 已详细审查全部竞争性谈判文件，包括</w:t>
      </w:r>
      <w:r>
        <w:rPr>
          <w:rFonts w:hint="eastAsia" w:hAnsi="宋体" w:cs="宋体"/>
          <w:szCs w:val="21"/>
          <w:u w:val="single"/>
        </w:rPr>
        <w:t>（补遗书）（如有）</w:t>
      </w:r>
      <w:r>
        <w:rPr>
          <w:rFonts w:hint="eastAsia" w:hAnsi="宋体" w:cs="宋体"/>
          <w:szCs w:val="21"/>
        </w:rPr>
        <w:t>；我们完全理解并同意放弃对这方面有不明及误解的权力；</w:t>
      </w:r>
    </w:p>
    <w:p>
      <w:pPr>
        <w:pStyle w:val="16"/>
        <w:spacing w:line="440" w:lineRule="exact"/>
        <w:ind w:left="840" w:hanging="360"/>
        <w:rPr>
          <w:rFonts w:hAnsi="宋体" w:cs="宋体"/>
          <w:szCs w:val="21"/>
        </w:rPr>
      </w:pPr>
      <w:r>
        <w:rPr>
          <w:rFonts w:hint="eastAsia" w:hAnsi="宋体" w:cs="宋体"/>
          <w:szCs w:val="21"/>
        </w:rPr>
        <w:t>3. 同意提供按照贵方可能要求的与其谈判有关的一切数据或资料；</w:t>
      </w:r>
    </w:p>
    <w:p>
      <w:pPr>
        <w:pStyle w:val="16"/>
        <w:spacing w:line="440" w:lineRule="exact"/>
        <w:ind w:firstLine="480"/>
        <w:rPr>
          <w:rFonts w:hAnsi="宋体" w:cs="宋体"/>
          <w:szCs w:val="21"/>
          <w:u w:val="single"/>
        </w:rPr>
      </w:pPr>
      <w:r>
        <w:rPr>
          <w:rFonts w:hint="eastAsia" w:hAnsi="宋体" w:cs="宋体"/>
          <w:szCs w:val="21"/>
        </w:rPr>
        <w:t>4. 与本谈判有关的一切正式往来信函请寄：</w:t>
      </w:r>
    </w:p>
    <w:p>
      <w:pPr>
        <w:pStyle w:val="16"/>
        <w:spacing w:line="440" w:lineRule="exact"/>
        <w:ind w:firstLine="840"/>
        <w:rPr>
          <w:rFonts w:hAnsi="宋体" w:cs="宋体"/>
          <w:szCs w:val="21"/>
        </w:rPr>
      </w:pPr>
      <w:r>
        <w:rPr>
          <w:rFonts w:hint="eastAsia" w:hAnsi="宋体" w:cs="宋体"/>
          <w:szCs w:val="21"/>
        </w:rPr>
        <w:t>电话/传真： 电子函件：</w:t>
      </w:r>
    </w:p>
    <w:p>
      <w:pPr>
        <w:pStyle w:val="16"/>
        <w:spacing w:line="440" w:lineRule="exact"/>
        <w:ind w:firstLine="840"/>
        <w:rPr>
          <w:rFonts w:hAnsi="宋体" w:cs="宋体"/>
          <w:szCs w:val="21"/>
          <w:u w:val="single"/>
        </w:rPr>
      </w:pPr>
      <w:r>
        <w:rPr>
          <w:rFonts w:hint="eastAsia" w:hAnsi="宋体" w:cs="宋体"/>
          <w:szCs w:val="21"/>
        </w:rPr>
        <w:t>日期：年月日</w:t>
      </w:r>
    </w:p>
    <w:p>
      <w:pPr>
        <w:pStyle w:val="16"/>
        <w:spacing w:line="440" w:lineRule="exact"/>
        <w:ind w:firstLine="840"/>
        <w:rPr>
          <w:rFonts w:hAnsi="宋体" w:cs="宋体"/>
          <w:szCs w:val="21"/>
          <w:u w:val="single"/>
        </w:rPr>
      </w:pPr>
      <w:r>
        <w:rPr>
          <w:rFonts w:hint="eastAsia" w:hAnsi="宋体" w:cs="宋体"/>
          <w:szCs w:val="21"/>
        </w:rPr>
        <w:t>法定代表人或委托代理人签字：</w:t>
      </w:r>
    </w:p>
    <w:p>
      <w:pPr>
        <w:pStyle w:val="16"/>
        <w:spacing w:line="440" w:lineRule="exact"/>
        <w:ind w:firstLine="840"/>
        <w:rPr>
          <w:rFonts w:hAnsi="宋体" w:cs="宋体"/>
          <w:szCs w:val="21"/>
        </w:rPr>
      </w:pPr>
      <w:r>
        <w:rPr>
          <w:rFonts w:hint="eastAsia" w:hAnsi="宋体" w:cs="宋体"/>
          <w:szCs w:val="21"/>
        </w:rPr>
        <w:t>谈判供应商名称（盖章）：</w:t>
      </w:r>
    </w:p>
    <w:p>
      <w:pPr>
        <w:pStyle w:val="16"/>
        <w:spacing w:line="440" w:lineRule="exact"/>
        <w:ind w:firstLine="840"/>
        <w:rPr>
          <w:rFonts w:hAnsi="宋体" w:cs="宋体"/>
          <w:szCs w:val="21"/>
        </w:rPr>
      </w:pPr>
      <w:r>
        <w:rPr>
          <w:rFonts w:hint="eastAsia" w:hAnsi="宋体" w:cs="宋体"/>
          <w:szCs w:val="21"/>
        </w:rPr>
        <w:t>开户银行：</w:t>
      </w:r>
    </w:p>
    <w:p>
      <w:pPr>
        <w:pStyle w:val="16"/>
        <w:spacing w:line="440" w:lineRule="exact"/>
        <w:ind w:firstLine="840"/>
        <w:rPr>
          <w:rFonts w:hAnsi="宋体" w:cs="宋体"/>
          <w:szCs w:val="21"/>
        </w:rPr>
      </w:pPr>
      <w:r>
        <w:rPr>
          <w:rFonts w:hint="eastAsia" w:hAnsi="宋体" w:cs="宋体"/>
          <w:szCs w:val="21"/>
        </w:rPr>
        <w:t>账号/行号：</w:t>
      </w:r>
    </w:p>
    <w:p>
      <w:pPr>
        <w:spacing w:line="440" w:lineRule="exact"/>
        <w:rPr>
          <w:rFonts w:ascii="宋体" w:hAnsi="宋体" w:cs="宋体"/>
          <w:szCs w:val="21"/>
        </w:rPr>
      </w:pPr>
    </w:p>
    <w:p>
      <w:pPr>
        <w:spacing w:line="440" w:lineRule="exact"/>
        <w:rPr>
          <w:rFonts w:ascii="宋体" w:hAnsi="宋体" w:cs="宋体"/>
          <w:szCs w:val="21"/>
        </w:rPr>
      </w:pPr>
    </w:p>
    <w:p>
      <w:pPr>
        <w:spacing w:line="300" w:lineRule="auto"/>
        <w:rPr>
          <w:rFonts w:ascii="宋体" w:hAnsi="宋体" w:cs="宋体"/>
          <w:szCs w:val="21"/>
        </w:rPr>
      </w:pPr>
    </w:p>
    <w:p>
      <w:pPr>
        <w:spacing w:line="500" w:lineRule="exact"/>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二、谈判报价表</w:t>
      </w:r>
    </w:p>
    <w:p>
      <w:pPr>
        <w:spacing w:line="500" w:lineRule="exact"/>
        <w:rPr>
          <w:rFonts w:ascii="宋体" w:hAnsi="宋体" w:cs="宋体"/>
          <w:sz w:val="28"/>
          <w:szCs w:val="28"/>
        </w:rPr>
      </w:pPr>
    </w:p>
    <w:p>
      <w:pPr>
        <w:spacing w:line="520" w:lineRule="exact"/>
        <w:jc w:val="center"/>
        <w:rPr>
          <w:rFonts w:ascii="宋体" w:hAnsi="宋体" w:cs="宋体"/>
          <w:b/>
          <w:sz w:val="36"/>
          <w:szCs w:val="36"/>
        </w:rPr>
      </w:pPr>
      <w:r>
        <w:rPr>
          <w:rFonts w:hint="eastAsia" w:ascii="宋体" w:hAnsi="宋体" w:cs="宋体"/>
          <w:b/>
          <w:sz w:val="36"/>
          <w:szCs w:val="36"/>
        </w:rPr>
        <w:t>谈判报价表（格式）</w:t>
      </w:r>
    </w:p>
    <w:p>
      <w:pPr>
        <w:spacing w:line="500" w:lineRule="exact"/>
        <w:jc w:val="center"/>
        <w:rPr>
          <w:rFonts w:ascii="宋体" w:hAnsi="宋体" w:cs="宋体"/>
          <w:b/>
          <w:sz w:val="32"/>
          <w:szCs w:val="32"/>
        </w:rPr>
      </w:pPr>
    </w:p>
    <w:p>
      <w:pPr>
        <w:spacing w:line="420" w:lineRule="exact"/>
        <w:rPr>
          <w:rFonts w:ascii="宋体" w:hAnsi="宋体" w:cs="宋体"/>
          <w:szCs w:val="21"/>
        </w:rPr>
      </w:pPr>
      <w:r>
        <w:rPr>
          <w:rFonts w:hint="eastAsia" w:ascii="宋体" w:hAnsi="宋体" w:cs="宋体"/>
          <w:szCs w:val="21"/>
        </w:rPr>
        <w:t>分标（如有）</w:t>
      </w:r>
    </w:p>
    <w:tbl>
      <w:tblPr>
        <w:tblStyle w:val="3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670"/>
        <w:gridCol w:w="1858"/>
        <w:gridCol w:w="1892"/>
        <w:gridCol w:w="900"/>
        <w:gridCol w:w="144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445" w:type="dxa"/>
            <w:vAlign w:val="center"/>
          </w:tcPr>
          <w:p>
            <w:pPr>
              <w:pStyle w:val="16"/>
              <w:jc w:val="center"/>
              <w:rPr>
                <w:rFonts w:hAnsi="宋体"/>
                <w:b/>
                <w:szCs w:val="21"/>
              </w:rPr>
            </w:pPr>
            <w:r>
              <w:rPr>
                <w:rFonts w:hint="eastAsia" w:hAnsi="宋体"/>
                <w:b/>
                <w:szCs w:val="21"/>
              </w:rPr>
              <w:t>项号</w:t>
            </w:r>
          </w:p>
        </w:tc>
        <w:tc>
          <w:tcPr>
            <w:tcW w:w="1608" w:type="dxa"/>
            <w:vAlign w:val="center"/>
          </w:tcPr>
          <w:p>
            <w:pPr>
              <w:pStyle w:val="16"/>
              <w:jc w:val="center"/>
              <w:rPr>
                <w:rFonts w:hAnsi="宋体"/>
                <w:b/>
                <w:szCs w:val="21"/>
              </w:rPr>
            </w:pPr>
            <w:r>
              <w:rPr>
                <w:rFonts w:hint="eastAsia" w:hAnsi="宋体"/>
                <w:b/>
                <w:szCs w:val="21"/>
              </w:rPr>
              <w:t>货物名称</w:t>
            </w:r>
          </w:p>
        </w:tc>
        <w:tc>
          <w:tcPr>
            <w:tcW w:w="670" w:type="dxa"/>
            <w:vAlign w:val="center"/>
          </w:tcPr>
          <w:p>
            <w:pPr>
              <w:pStyle w:val="16"/>
              <w:jc w:val="center"/>
              <w:rPr>
                <w:rFonts w:hAnsi="宋体"/>
                <w:b/>
                <w:szCs w:val="21"/>
              </w:rPr>
            </w:pPr>
            <w:r>
              <w:rPr>
                <w:rFonts w:hint="eastAsia" w:hAnsi="宋体"/>
                <w:b/>
                <w:szCs w:val="21"/>
              </w:rPr>
              <w:t>数量</w:t>
            </w:r>
          </w:p>
          <w:p>
            <w:pPr>
              <w:pStyle w:val="16"/>
              <w:jc w:val="center"/>
              <w:rPr>
                <w:rFonts w:hAnsi="宋体"/>
                <w:b/>
                <w:szCs w:val="21"/>
              </w:rPr>
            </w:pPr>
            <w:r>
              <w:rPr>
                <w:rFonts w:hint="eastAsia" w:hAnsi="宋体"/>
                <w:b/>
                <w:szCs w:val="21"/>
              </w:rPr>
              <w:t>①</w:t>
            </w:r>
          </w:p>
        </w:tc>
        <w:tc>
          <w:tcPr>
            <w:tcW w:w="1858" w:type="dxa"/>
            <w:vAlign w:val="center"/>
          </w:tcPr>
          <w:p>
            <w:pPr>
              <w:pStyle w:val="16"/>
              <w:jc w:val="center"/>
              <w:rPr>
                <w:rFonts w:hAnsi="宋体"/>
                <w:b/>
                <w:szCs w:val="21"/>
              </w:rPr>
            </w:pPr>
            <w:r>
              <w:rPr>
                <w:rFonts w:hint="eastAsia" w:hAnsi="宋体"/>
                <w:b/>
                <w:szCs w:val="21"/>
              </w:rPr>
              <w:t>货物全称、品牌</w:t>
            </w:r>
          </w:p>
          <w:p>
            <w:pPr>
              <w:pStyle w:val="16"/>
              <w:jc w:val="center"/>
              <w:rPr>
                <w:rFonts w:hAnsi="宋体"/>
                <w:b/>
                <w:szCs w:val="21"/>
              </w:rPr>
            </w:pPr>
            <w:r>
              <w:rPr>
                <w:rFonts w:hint="eastAsia" w:hAnsi="宋体"/>
                <w:b/>
                <w:szCs w:val="21"/>
              </w:rPr>
              <w:t>生产厂家及国别</w:t>
            </w:r>
          </w:p>
        </w:tc>
        <w:tc>
          <w:tcPr>
            <w:tcW w:w="1892" w:type="dxa"/>
            <w:vAlign w:val="center"/>
          </w:tcPr>
          <w:p>
            <w:pPr>
              <w:pStyle w:val="16"/>
              <w:jc w:val="center"/>
              <w:rPr>
                <w:rFonts w:hAnsi="宋体"/>
                <w:b/>
                <w:szCs w:val="21"/>
              </w:rPr>
            </w:pPr>
            <w:r>
              <w:rPr>
                <w:rFonts w:hint="eastAsia" w:hAnsi="宋体"/>
                <w:b/>
                <w:szCs w:val="21"/>
              </w:rPr>
              <w:t>规格、技术参数、</w:t>
            </w:r>
          </w:p>
        </w:tc>
        <w:tc>
          <w:tcPr>
            <w:tcW w:w="900" w:type="dxa"/>
            <w:vAlign w:val="center"/>
          </w:tcPr>
          <w:p>
            <w:pPr>
              <w:pStyle w:val="16"/>
              <w:jc w:val="center"/>
              <w:rPr>
                <w:rFonts w:hAnsi="宋体"/>
                <w:b/>
                <w:szCs w:val="21"/>
              </w:rPr>
            </w:pPr>
            <w:r>
              <w:rPr>
                <w:rFonts w:hint="eastAsia" w:hAnsi="宋体"/>
                <w:b/>
                <w:szCs w:val="21"/>
              </w:rPr>
              <w:t>单价</w:t>
            </w:r>
          </w:p>
          <w:p>
            <w:pPr>
              <w:pStyle w:val="16"/>
              <w:jc w:val="center"/>
              <w:rPr>
                <w:rFonts w:hAnsi="宋体"/>
                <w:b/>
                <w:szCs w:val="21"/>
              </w:rPr>
            </w:pPr>
            <w:r>
              <w:rPr>
                <w:rFonts w:hint="eastAsia" w:hAnsi="宋体"/>
                <w:b/>
                <w:szCs w:val="21"/>
              </w:rPr>
              <w:t>（元)</w:t>
            </w:r>
          </w:p>
          <w:p>
            <w:pPr>
              <w:pStyle w:val="16"/>
              <w:jc w:val="center"/>
              <w:rPr>
                <w:rFonts w:hAnsi="宋体"/>
                <w:b/>
                <w:szCs w:val="21"/>
              </w:rPr>
            </w:pPr>
            <w:r>
              <w:rPr>
                <w:rFonts w:hint="eastAsia" w:hAnsi="宋体"/>
                <w:b/>
                <w:szCs w:val="21"/>
              </w:rPr>
              <w:t>②</w:t>
            </w:r>
          </w:p>
        </w:tc>
        <w:tc>
          <w:tcPr>
            <w:tcW w:w="1440" w:type="dxa"/>
            <w:vAlign w:val="center"/>
          </w:tcPr>
          <w:p>
            <w:pPr>
              <w:pStyle w:val="16"/>
              <w:jc w:val="center"/>
              <w:rPr>
                <w:rFonts w:hAnsi="宋体"/>
                <w:b/>
                <w:szCs w:val="21"/>
              </w:rPr>
            </w:pPr>
            <w:r>
              <w:rPr>
                <w:rFonts w:hint="eastAsia" w:hAnsi="宋体"/>
                <w:b/>
                <w:szCs w:val="21"/>
              </w:rPr>
              <w:t>单项合价</w:t>
            </w:r>
          </w:p>
          <w:p>
            <w:pPr>
              <w:pStyle w:val="16"/>
              <w:jc w:val="center"/>
              <w:rPr>
                <w:rFonts w:hAnsi="宋体"/>
                <w:b/>
                <w:szCs w:val="21"/>
              </w:rPr>
            </w:pPr>
            <w:r>
              <w:rPr>
                <w:rFonts w:hint="eastAsia" w:hAnsi="宋体"/>
                <w:b/>
                <w:szCs w:val="21"/>
              </w:rPr>
              <w:t>（元）</w:t>
            </w:r>
          </w:p>
          <w:p>
            <w:pPr>
              <w:pStyle w:val="16"/>
              <w:jc w:val="center"/>
              <w:rPr>
                <w:rFonts w:hAnsi="宋体"/>
                <w:b/>
                <w:szCs w:val="21"/>
              </w:rPr>
            </w:pPr>
            <w:r>
              <w:rPr>
                <w:rFonts w:hint="eastAsia" w:hAnsi="宋体"/>
                <w:b/>
                <w:szCs w:val="21"/>
              </w:rPr>
              <w:t>③</w:t>
            </w:r>
            <w:r>
              <w:rPr>
                <w:rFonts w:hAnsi="宋体"/>
                <w:b/>
                <w:szCs w:val="21"/>
              </w:rPr>
              <w:t>=</w:t>
            </w:r>
            <w:r>
              <w:rPr>
                <w:rFonts w:hint="eastAsia" w:hAnsi="宋体"/>
                <w:b/>
                <w:szCs w:val="21"/>
              </w:rPr>
              <w:t>①×②</w:t>
            </w:r>
          </w:p>
        </w:tc>
        <w:tc>
          <w:tcPr>
            <w:tcW w:w="925" w:type="dxa"/>
            <w:vAlign w:val="center"/>
          </w:tcPr>
          <w:p>
            <w:pPr>
              <w:pStyle w:val="16"/>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szCs w:val="21"/>
              </w:rPr>
            </w:pPr>
            <w:r>
              <w:rPr>
                <w:rFonts w:hint="eastAsia" w:ascii="宋体" w:hAnsi="宋体"/>
                <w:szCs w:val="21"/>
              </w:rPr>
              <w:t>1</w:t>
            </w:r>
          </w:p>
        </w:tc>
        <w:tc>
          <w:tcPr>
            <w:tcW w:w="1608" w:type="dxa"/>
            <w:vAlign w:val="center"/>
          </w:tcPr>
          <w:p>
            <w:pPr>
              <w:jc w:val="center"/>
              <w:rPr>
                <w:rFonts w:ascii="宋体" w:hAnsi="宋体"/>
                <w:szCs w:val="21"/>
              </w:rPr>
            </w:pPr>
          </w:p>
        </w:tc>
        <w:tc>
          <w:tcPr>
            <w:tcW w:w="670" w:type="dxa"/>
            <w:vAlign w:val="center"/>
          </w:tcPr>
          <w:p>
            <w:pPr>
              <w:jc w:val="center"/>
              <w:rPr>
                <w:rFonts w:ascii="宋体" w:hAnsi="宋体"/>
                <w:szCs w:val="21"/>
              </w:rPr>
            </w:pPr>
          </w:p>
        </w:tc>
        <w:tc>
          <w:tcPr>
            <w:tcW w:w="1858" w:type="dxa"/>
            <w:vAlign w:val="center"/>
          </w:tcPr>
          <w:p>
            <w:pPr>
              <w:pStyle w:val="16"/>
              <w:rPr>
                <w:rFonts w:hAnsi="宋体"/>
                <w:szCs w:val="21"/>
              </w:rPr>
            </w:pPr>
          </w:p>
        </w:tc>
        <w:tc>
          <w:tcPr>
            <w:tcW w:w="1892" w:type="dxa"/>
            <w:vAlign w:val="center"/>
          </w:tcPr>
          <w:p>
            <w:pPr>
              <w:pStyle w:val="16"/>
              <w:rPr>
                <w:rFonts w:hAnsi="宋体"/>
                <w:szCs w:val="21"/>
              </w:rPr>
            </w:pPr>
          </w:p>
        </w:tc>
        <w:tc>
          <w:tcPr>
            <w:tcW w:w="900" w:type="dxa"/>
            <w:vAlign w:val="center"/>
          </w:tcPr>
          <w:p>
            <w:pPr>
              <w:pStyle w:val="16"/>
              <w:rPr>
                <w:rFonts w:hAnsi="宋体"/>
                <w:szCs w:val="21"/>
              </w:rPr>
            </w:pPr>
          </w:p>
        </w:tc>
        <w:tc>
          <w:tcPr>
            <w:tcW w:w="1440" w:type="dxa"/>
            <w:vAlign w:val="center"/>
          </w:tcPr>
          <w:p>
            <w:pPr>
              <w:pStyle w:val="16"/>
              <w:rPr>
                <w:rFonts w:hAnsi="宋体"/>
                <w:szCs w:val="21"/>
              </w:rPr>
            </w:pPr>
          </w:p>
        </w:tc>
        <w:tc>
          <w:tcPr>
            <w:tcW w:w="925" w:type="dxa"/>
            <w:vAlign w:val="center"/>
          </w:tcPr>
          <w:p>
            <w:pPr>
              <w:pStyle w:val="16"/>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szCs w:val="21"/>
              </w:rPr>
            </w:pPr>
            <w:r>
              <w:rPr>
                <w:rFonts w:hint="eastAsia" w:ascii="宋体" w:hAnsi="宋体"/>
                <w:szCs w:val="21"/>
              </w:rPr>
              <w:t>2</w:t>
            </w:r>
          </w:p>
        </w:tc>
        <w:tc>
          <w:tcPr>
            <w:tcW w:w="1608" w:type="dxa"/>
            <w:vAlign w:val="center"/>
          </w:tcPr>
          <w:p>
            <w:pPr>
              <w:jc w:val="center"/>
              <w:rPr>
                <w:rFonts w:ascii="宋体" w:hAnsi="宋体"/>
                <w:szCs w:val="21"/>
              </w:rPr>
            </w:pPr>
          </w:p>
        </w:tc>
        <w:tc>
          <w:tcPr>
            <w:tcW w:w="670" w:type="dxa"/>
            <w:vAlign w:val="center"/>
          </w:tcPr>
          <w:p>
            <w:pPr>
              <w:jc w:val="center"/>
              <w:rPr>
                <w:rFonts w:ascii="宋体" w:hAnsi="宋体"/>
                <w:szCs w:val="21"/>
              </w:rPr>
            </w:pPr>
          </w:p>
        </w:tc>
        <w:tc>
          <w:tcPr>
            <w:tcW w:w="1858" w:type="dxa"/>
            <w:vAlign w:val="center"/>
          </w:tcPr>
          <w:p>
            <w:pPr>
              <w:pStyle w:val="16"/>
              <w:rPr>
                <w:rFonts w:hAnsi="宋体"/>
                <w:szCs w:val="21"/>
              </w:rPr>
            </w:pPr>
          </w:p>
        </w:tc>
        <w:tc>
          <w:tcPr>
            <w:tcW w:w="1892" w:type="dxa"/>
            <w:vAlign w:val="center"/>
          </w:tcPr>
          <w:p>
            <w:pPr>
              <w:pStyle w:val="16"/>
              <w:rPr>
                <w:rFonts w:hAnsi="宋体"/>
                <w:szCs w:val="21"/>
              </w:rPr>
            </w:pPr>
          </w:p>
        </w:tc>
        <w:tc>
          <w:tcPr>
            <w:tcW w:w="900" w:type="dxa"/>
            <w:vAlign w:val="center"/>
          </w:tcPr>
          <w:p>
            <w:pPr>
              <w:pStyle w:val="16"/>
              <w:rPr>
                <w:rFonts w:hAnsi="宋体"/>
                <w:szCs w:val="21"/>
              </w:rPr>
            </w:pPr>
          </w:p>
        </w:tc>
        <w:tc>
          <w:tcPr>
            <w:tcW w:w="1440" w:type="dxa"/>
            <w:vAlign w:val="center"/>
          </w:tcPr>
          <w:p>
            <w:pPr>
              <w:pStyle w:val="16"/>
              <w:rPr>
                <w:rFonts w:hAnsi="宋体"/>
                <w:szCs w:val="21"/>
              </w:rPr>
            </w:pPr>
          </w:p>
        </w:tc>
        <w:tc>
          <w:tcPr>
            <w:tcW w:w="925" w:type="dxa"/>
            <w:vAlign w:val="center"/>
          </w:tcPr>
          <w:p>
            <w:pPr>
              <w:pStyle w:val="16"/>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szCs w:val="21"/>
              </w:rPr>
            </w:pPr>
            <w:r>
              <w:rPr>
                <w:rFonts w:hint="eastAsia" w:ascii="宋体" w:hAnsi="宋体"/>
                <w:szCs w:val="21"/>
              </w:rPr>
              <w:t>3</w:t>
            </w:r>
          </w:p>
        </w:tc>
        <w:tc>
          <w:tcPr>
            <w:tcW w:w="1608" w:type="dxa"/>
            <w:vAlign w:val="center"/>
          </w:tcPr>
          <w:p>
            <w:pPr>
              <w:jc w:val="center"/>
              <w:rPr>
                <w:rFonts w:ascii="宋体" w:hAnsi="宋体"/>
                <w:szCs w:val="21"/>
              </w:rPr>
            </w:pPr>
          </w:p>
        </w:tc>
        <w:tc>
          <w:tcPr>
            <w:tcW w:w="670" w:type="dxa"/>
            <w:vAlign w:val="center"/>
          </w:tcPr>
          <w:p>
            <w:pPr>
              <w:jc w:val="center"/>
              <w:rPr>
                <w:rFonts w:ascii="宋体" w:hAnsi="宋体"/>
                <w:szCs w:val="21"/>
              </w:rPr>
            </w:pPr>
          </w:p>
        </w:tc>
        <w:tc>
          <w:tcPr>
            <w:tcW w:w="1858" w:type="dxa"/>
            <w:vAlign w:val="center"/>
          </w:tcPr>
          <w:p>
            <w:pPr>
              <w:pStyle w:val="16"/>
              <w:rPr>
                <w:rFonts w:hAnsi="宋体"/>
                <w:szCs w:val="21"/>
              </w:rPr>
            </w:pPr>
          </w:p>
        </w:tc>
        <w:tc>
          <w:tcPr>
            <w:tcW w:w="1892" w:type="dxa"/>
            <w:vAlign w:val="center"/>
          </w:tcPr>
          <w:p>
            <w:pPr>
              <w:pStyle w:val="16"/>
              <w:rPr>
                <w:rFonts w:hAnsi="宋体"/>
                <w:szCs w:val="21"/>
              </w:rPr>
            </w:pPr>
          </w:p>
        </w:tc>
        <w:tc>
          <w:tcPr>
            <w:tcW w:w="900" w:type="dxa"/>
            <w:vAlign w:val="center"/>
          </w:tcPr>
          <w:p>
            <w:pPr>
              <w:pStyle w:val="16"/>
              <w:rPr>
                <w:rFonts w:hAnsi="宋体"/>
                <w:szCs w:val="21"/>
              </w:rPr>
            </w:pPr>
          </w:p>
        </w:tc>
        <w:tc>
          <w:tcPr>
            <w:tcW w:w="1440" w:type="dxa"/>
            <w:vAlign w:val="center"/>
          </w:tcPr>
          <w:p>
            <w:pPr>
              <w:pStyle w:val="16"/>
              <w:rPr>
                <w:rFonts w:hAnsi="宋体"/>
                <w:szCs w:val="21"/>
              </w:rPr>
            </w:pPr>
          </w:p>
        </w:tc>
        <w:tc>
          <w:tcPr>
            <w:tcW w:w="925" w:type="dxa"/>
            <w:vAlign w:val="center"/>
          </w:tcPr>
          <w:p>
            <w:pPr>
              <w:pStyle w:val="16"/>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szCs w:val="21"/>
              </w:rPr>
            </w:pPr>
            <w:r>
              <w:rPr>
                <w:rFonts w:hint="eastAsia" w:ascii="宋体" w:hAnsi="宋体"/>
                <w:szCs w:val="21"/>
              </w:rPr>
              <w:t>…</w:t>
            </w:r>
          </w:p>
        </w:tc>
        <w:tc>
          <w:tcPr>
            <w:tcW w:w="1608" w:type="dxa"/>
            <w:vAlign w:val="center"/>
          </w:tcPr>
          <w:p>
            <w:pPr>
              <w:jc w:val="center"/>
              <w:rPr>
                <w:rFonts w:ascii="宋体" w:hAnsi="宋体"/>
                <w:szCs w:val="21"/>
              </w:rPr>
            </w:pPr>
          </w:p>
        </w:tc>
        <w:tc>
          <w:tcPr>
            <w:tcW w:w="670" w:type="dxa"/>
            <w:vAlign w:val="center"/>
          </w:tcPr>
          <w:p>
            <w:pPr>
              <w:jc w:val="center"/>
              <w:rPr>
                <w:rFonts w:ascii="宋体" w:hAnsi="宋体"/>
                <w:szCs w:val="21"/>
              </w:rPr>
            </w:pPr>
          </w:p>
        </w:tc>
        <w:tc>
          <w:tcPr>
            <w:tcW w:w="1858" w:type="dxa"/>
            <w:vAlign w:val="center"/>
          </w:tcPr>
          <w:p>
            <w:pPr>
              <w:pStyle w:val="16"/>
              <w:rPr>
                <w:rFonts w:hAnsi="宋体"/>
                <w:szCs w:val="21"/>
              </w:rPr>
            </w:pPr>
          </w:p>
        </w:tc>
        <w:tc>
          <w:tcPr>
            <w:tcW w:w="1892" w:type="dxa"/>
            <w:vAlign w:val="center"/>
          </w:tcPr>
          <w:p>
            <w:pPr>
              <w:pStyle w:val="16"/>
              <w:rPr>
                <w:rFonts w:hAnsi="宋体"/>
                <w:szCs w:val="21"/>
              </w:rPr>
            </w:pPr>
          </w:p>
        </w:tc>
        <w:tc>
          <w:tcPr>
            <w:tcW w:w="900" w:type="dxa"/>
            <w:vAlign w:val="center"/>
          </w:tcPr>
          <w:p>
            <w:pPr>
              <w:pStyle w:val="16"/>
              <w:rPr>
                <w:rFonts w:hAnsi="宋体"/>
                <w:szCs w:val="21"/>
              </w:rPr>
            </w:pPr>
          </w:p>
        </w:tc>
        <w:tc>
          <w:tcPr>
            <w:tcW w:w="1440" w:type="dxa"/>
            <w:vAlign w:val="center"/>
          </w:tcPr>
          <w:p>
            <w:pPr>
              <w:pStyle w:val="16"/>
              <w:rPr>
                <w:rFonts w:hAnsi="宋体"/>
                <w:szCs w:val="21"/>
              </w:rPr>
            </w:pPr>
          </w:p>
        </w:tc>
        <w:tc>
          <w:tcPr>
            <w:tcW w:w="925" w:type="dxa"/>
            <w:vAlign w:val="center"/>
          </w:tcPr>
          <w:p>
            <w:pPr>
              <w:pStyle w:val="16"/>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szCs w:val="21"/>
              </w:rPr>
            </w:pPr>
            <w:r>
              <w:rPr>
                <w:rFonts w:ascii="宋体" w:hAnsi="宋体"/>
                <w:szCs w:val="21"/>
              </w:rPr>
              <w:t>N</w:t>
            </w:r>
          </w:p>
        </w:tc>
        <w:tc>
          <w:tcPr>
            <w:tcW w:w="1608" w:type="dxa"/>
            <w:vAlign w:val="center"/>
          </w:tcPr>
          <w:p>
            <w:pPr>
              <w:jc w:val="center"/>
              <w:rPr>
                <w:rFonts w:ascii="宋体" w:hAnsi="宋体"/>
                <w:szCs w:val="21"/>
              </w:rPr>
            </w:pPr>
          </w:p>
        </w:tc>
        <w:tc>
          <w:tcPr>
            <w:tcW w:w="670" w:type="dxa"/>
            <w:vAlign w:val="center"/>
          </w:tcPr>
          <w:p>
            <w:pPr>
              <w:jc w:val="center"/>
              <w:rPr>
                <w:rFonts w:ascii="宋体" w:hAnsi="宋体"/>
                <w:szCs w:val="21"/>
              </w:rPr>
            </w:pPr>
          </w:p>
        </w:tc>
        <w:tc>
          <w:tcPr>
            <w:tcW w:w="1858" w:type="dxa"/>
            <w:vAlign w:val="center"/>
          </w:tcPr>
          <w:p>
            <w:pPr>
              <w:pStyle w:val="16"/>
              <w:rPr>
                <w:rFonts w:hAnsi="宋体"/>
                <w:szCs w:val="21"/>
              </w:rPr>
            </w:pPr>
          </w:p>
        </w:tc>
        <w:tc>
          <w:tcPr>
            <w:tcW w:w="1892" w:type="dxa"/>
            <w:vAlign w:val="center"/>
          </w:tcPr>
          <w:p>
            <w:pPr>
              <w:pStyle w:val="16"/>
              <w:rPr>
                <w:rFonts w:hAnsi="宋体"/>
                <w:szCs w:val="21"/>
              </w:rPr>
            </w:pPr>
          </w:p>
        </w:tc>
        <w:tc>
          <w:tcPr>
            <w:tcW w:w="900" w:type="dxa"/>
            <w:vAlign w:val="center"/>
          </w:tcPr>
          <w:p>
            <w:pPr>
              <w:pStyle w:val="16"/>
              <w:rPr>
                <w:rFonts w:hAnsi="宋体"/>
                <w:szCs w:val="21"/>
              </w:rPr>
            </w:pPr>
          </w:p>
        </w:tc>
        <w:tc>
          <w:tcPr>
            <w:tcW w:w="1440" w:type="dxa"/>
            <w:vAlign w:val="center"/>
          </w:tcPr>
          <w:p>
            <w:pPr>
              <w:pStyle w:val="16"/>
              <w:rPr>
                <w:rFonts w:hAnsi="宋体"/>
                <w:szCs w:val="21"/>
              </w:rPr>
            </w:pPr>
          </w:p>
        </w:tc>
        <w:tc>
          <w:tcPr>
            <w:tcW w:w="925" w:type="dxa"/>
            <w:vAlign w:val="center"/>
          </w:tcPr>
          <w:p>
            <w:pPr>
              <w:pStyle w:val="16"/>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738" w:type="dxa"/>
            <w:gridSpan w:val="8"/>
            <w:vAlign w:val="center"/>
          </w:tcPr>
          <w:p>
            <w:pPr>
              <w:pStyle w:val="16"/>
              <w:rPr>
                <w:rFonts w:hAnsi="宋体"/>
                <w:szCs w:val="21"/>
              </w:rPr>
            </w:pPr>
            <w:r>
              <w:rPr>
                <w:rFonts w:hint="eastAsia" w:hAnsi="宋体"/>
                <w:szCs w:val="21"/>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9738" w:type="dxa"/>
            <w:gridSpan w:val="8"/>
            <w:vAlign w:val="center"/>
          </w:tcPr>
          <w:p>
            <w:pPr>
              <w:pStyle w:val="16"/>
              <w:rPr>
                <w:rFonts w:hAnsi="宋体"/>
                <w:szCs w:val="21"/>
              </w:rPr>
            </w:pPr>
            <w:r>
              <w:rPr>
                <w:rFonts w:hint="eastAsia" w:hAnsi="宋体"/>
                <w:szCs w:val="21"/>
              </w:rPr>
              <w:t>交付时间：</w:t>
            </w:r>
          </w:p>
        </w:tc>
      </w:tr>
    </w:tbl>
    <w:p>
      <w:pPr>
        <w:spacing w:line="500" w:lineRule="exact"/>
        <w:rPr>
          <w:rFonts w:ascii="宋体" w:hAnsi="宋体" w:cs="宋体"/>
          <w:szCs w:val="21"/>
        </w:rPr>
      </w:pPr>
    </w:p>
    <w:p>
      <w:pPr>
        <w:pStyle w:val="16"/>
        <w:spacing w:line="500" w:lineRule="exact"/>
        <w:rPr>
          <w:rFonts w:hAnsi="宋体" w:cs="宋体"/>
          <w:szCs w:val="21"/>
          <w:u w:val="single"/>
        </w:rPr>
      </w:pPr>
      <w:r>
        <w:rPr>
          <w:rFonts w:hint="eastAsia" w:hAnsi="宋体" w:cs="宋体"/>
          <w:szCs w:val="21"/>
        </w:rPr>
        <w:t>法定代表人或委托代理人（签字）:</w:t>
      </w:r>
    </w:p>
    <w:p>
      <w:pPr>
        <w:pStyle w:val="16"/>
        <w:spacing w:line="500" w:lineRule="exact"/>
        <w:rPr>
          <w:rFonts w:hAnsi="宋体" w:cs="宋体"/>
          <w:szCs w:val="21"/>
          <w:u w:val="single"/>
        </w:rPr>
      </w:pPr>
      <w:r>
        <w:rPr>
          <w:rFonts w:hint="eastAsia" w:hAnsi="宋体" w:cs="宋体"/>
          <w:szCs w:val="21"/>
        </w:rPr>
        <w:t>谈判供应商名称（盖章）：</w:t>
      </w:r>
    </w:p>
    <w:p>
      <w:pPr>
        <w:pStyle w:val="16"/>
        <w:spacing w:line="500" w:lineRule="exact"/>
        <w:rPr>
          <w:rFonts w:hAnsi="宋体" w:cs="宋体"/>
          <w:szCs w:val="21"/>
          <w:u w:val="single"/>
        </w:rPr>
      </w:pPr>
      <w:r>
        <w:rPr>
          <w:rFonts w:hint="eastAsia" w:hAnsi="宋体" w:cs="宋体"/>
          <w:szCs w:val="21"/>
        </w:rPr>
        <w:t xml:space="preserve">日期：年月日 </w:t>
      </w:r>
    </w:p>
    <w:p>
      <w:pPr>
        <w:adjustRightInd w:val="0"/>
        <w:snapToGrid w:val="0"/>
        <w:spacing w:line="500" w:lineRule="exact"/>
        <w:ind w:left="-88" w:leftChars="-42"/>
        <w:rPr>
          <w:rFonts w:ascii="宋体" w:hAnsi="宋体" w:cs="宋体"/>
          <w:szCs w:val="21"/>
        </w:rPr>
      </w:pPr>
    </w:p>
    <w:p>
      <w:pPr>
        <w:spacing w:line="300" w:lineRule="auto"/>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三、技术响应及偏离情况说明表</w:t>
      </w:r>
    </w:p>
    <w:p>
      <w:pPr>
        <w:spacing w:line="300" w:lineRule="auto"/>
        <w:jc w:val="center"/>
        <w:rPr>
          <w:rFonts w:ascii="宋体" w:hAnsi="宋体" w:cs="宋体"/>
          <w:b/>
          <w:sz w:val="32"/>
          <w:szCs w:val="32"/>
        </w:rPr>
      </w:pPr>
    </w:p>
    <w:p>
      <w:pPr>
        <w:spacing w:line="520" w:lineRule="exact"/>
        <w:jc w:val="center"/>
        <w:rPr>
          <w:rFonts w:ascii="宋体" w:hAnsi="宋体"/>
          <w:b/>
          <w:sz w:val="36"/>
          <w:szCs w:val="36"/>
        </w:rPr>
      </w:pPr>
      <w:r>
        <w:rPr>
          <w:rFonts w:hint="eastAsia" w:ascii="宋体" w:hAnsi="宋体"/>
          <w:b/>
          <w:sz w:val="36"/>
          <w:szCs w:val="36"/>
        </w:rPr>
        <w:t>技术响应及偏离情况说明表（格式）</w:t>
      </w:r>
    </w:p>
    <w:p>
      <w:pPr>
        <w:pStyle w:val="16"/>
        <w:spacing w:line="400" w:lineRule="exact"/>
        <w:ind w:firstLine="420" w:firstLineChars="200"/>
        <w:rPr>
          <w:rFonts w:hAnsi="宋体"/>
        </w:rPr>
      </w:pPr>
    </w:p>
    <w:p>
      <w:pPr>
        <w:pStyle w:val="16"/>
        <w:spacing w:line="400" w:lineRule="exact"/>
        <w:ind w:firstLine="420" w:firstLineChars="200"/>
        <w:rPr>
          <w:rFonts w:hAnsi="宋体"/>
        </w:rPr>
      </w:pPr>
      <w:r>
        <w:rPr>
          <w:rFonts w:hAnsi="宋体"/>
        </w:rPr>
        <w:t>请根据所</w:t>
      </w:r>
      <w:r>
        <w:rPr>
          <w:rFonts w:hint="eastAsia" w:hAnsi="宋体"/>
        </w:rPr>
        <w:t>提供的</w:t>
      </w:r>
      <w:r>
        <w:rPr>
          <w:rFonts w:hAnsi="宋体"/>
        </w:rPr>
        <w:t>产品的实际技术参数</w:t>
      </w:r>
      <w:r>
        <w:rPr>
          <w:rFonts w:hint="eastAsia" w:hAnsi="宋体"/>
        </w:rPr>
        <w:t>，</w:t>
      </w:r>
      <w:r>
        <w:rPr>
          <w:rFonts w:hAnsi="宋体"/>
        </w:rPr>
        <w:t>逐条对应本项目采购文件第</w:t>
      </w:r>
      <w:r>
        <w:rPr>
          <w:rFonts w:hint="eastAsia" w:hAnsi="宋体"/>
        </w:rPr>
        <w:t>三</w:t>
      </w:r>
      <w:r>
        <w:rPr>
          <w:rFonts w:hAnsi="宋体"/>
        </w:rPr>
        <w:t>章“</w:t>
      </w:r>
      <w:r>
        <w:rPr>
          <w:rFonts w:hint="eastAsia" w:hAnsi="宋体"/>
        </w:rPr>
        <w:t>采购项目需求一览表</w:t>
      </w:r>
      <w:r>
        <w:rPr>
          <w:rFonts w:hAnsi="宋体"/>
        </w:rPr>
        <w:t xml:space="preserve">”中的技术参数要求详细填写相应的具体内容。“偏离说明”一栏应当选择“正偏离”、“负偏离”或“无偏离”进行填写。 </w:t>
      </w:r>
    </w:p>
    <w:tbl>
      <w:tblPr>
        <w:tblStyle w:val="31"/>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60"/>
        <w:gridCol w:w="735"/>
        <w:gridCol w:w="1575"/>
        <w:gridCol w:w="1101"/>
        <w:gridCol w:w="651"/>
        <w:gridCol w:w="1377"/>
        <w:gridCol w:w="148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4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项号</w:t>
            </w:r>
          </w:p>
        </w:tc>
        <w:tc>
          <w:tcPr>
            <w:tcW w:w="35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采购文件需求</w:t>
            </w:r>
          </w:p>
        </w:tc>
        <w:tc>
          <w:tcPr>
            <w:tcW w:w="461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竞争性谈判响应文件承诺</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货物名称</w:t>
            </w:r>
          </w:p>
        </w:tc>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单位</w:t>
            </w: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技术参数要求</w:t>
            </w:r>
          </w:p>
        </w:tc>
        <w:tc>
          <w:tcPr>
            <w:tcW w:w="11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货物名称</w:t>
            </w:r>
          </w:p>
        </w:tc>
        <w:tc>
          <w:tcPr>
            <w:tcW w:w="65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单位</w:t>
            </w:r>
          </w:p>
        </w:tc>
        <w:tc>
          <w:tcPr>
            <w:tcW w:w="13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品牌、厂家、</w:t>
            </w:r>
            <w:r>
              <w:rPr>
                <w:rFonts w:hint="eastAsia" w:ascii="宋体" w:hAnsi="宋体"/>
                <w:szCs w:val="21"/>
              </w:rPr>
              <w:t>规格尺寸</w:t>
            </w:r>
          </w:p>
        </w:tc>
        <w:tc>
          <w:tcPr>
            <w:tcW w:w="14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技术参数</w:t>
            </w:r>
          </w:p>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7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15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65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13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148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7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15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65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13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148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11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65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13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75" w:type="dxa"/>
            <w:gridSpan w:val="9"/>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u w:val="single"/>
              </w:rPr>
              <w:t>　　</w:t>
            </w:r>
            <w:r>
              <w:rPr>
                <w:rFonts w:ascii="宋体" w:hAnsi="宋体"/>
                <w:szCs w:val="21"/>
              </w:rPr>
              <w:t>分标（此处有分标时填写具体分标号</w:t>
            </w:r>
            <w:r>
              <w:rPr>
                <w:rFonts w:hint="eastAsia" w:ascii="宋体" w:hAnsi="宋体"/>
                <w:szCs w:val="21"/>
              </w:rPr>
              <w:t>，</w:t>
            </w:r>
            <w:r>
              <w:rPr>
                <w:rFonts w:ascii="宋体" w:hAnsi="宋体"/>
                <w:szCs w:val="21"/>
              </w:rPr>
              <w:t>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75" w:type="dxa"/>
            <w:gridSpan w:val="9"/>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r>
              <w:rPr>
                <w:rFonts w:hint="eastAsia" w:hAnsi="宋体"/>
                <w:szCs w:val="21"/>
              </w:rPr>
              <w:t>谈判供应商名称（盖章）</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75" w:type="dxa"/>
            <w:gridSpan w:val="9"/>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r>
              <w:rPr>
                <w:rFonts w:hint="eastAsia" w:hAnsi="宋体"/>
                <w:szCs w:val="21"/>
              </w:rPr>
              <w:t>法定代表人（负责人）或委托代理人（签字）</w:t>
            </w:r>
            <w:r>
              <w:rPr>
                <w:rFonts w:ascii="宋体" w:hAnsi="宋体"/>
              </w:rPr>
              <w:t>：</w:t>
            </w:r>
          </w:p>
        </w:tc>
      </w:tr>
    </w:tbl>
    <w:p>
      <w:pPr>
        <w:pStyle w:val="16"/>
        <w:spacing w:line="400" w:lineRule="exact"/>
        <w:rPr>
          <w:rFonts w:hAnsi="宋体"/>
          <w:b/>
        </w:rPr>
      </w:pPr>
    </w:p>
    <w:p>
      <w:pPr>
        <w:pStyle w:val="16"/>
        <w:spacing w:line="400" w:lineRule="exact"/>
        <w:ind w:left="211" w:hanging="210" w:hangingChars="100"/>
        <w:rPr>
          <w:rFonts w:hAnsi="宋体"/>
        </w:rPr>
      </w:pPr>
      <w:r>
        <w:rPr>
          <w:rFonts w:hAnsi="宋体"/>
          <w:b/>
        </w:rPr>
        <w:t>注：</w:t>
      </w:r>
      <w:r>
        <w:rPr>
          <w:rFonts w:hAnsi="宋体"/>
        </w:rPr>
        <w:t>⑴表格内容均需按要求填写并盖章</w:t>
      </w:r>
      <w:r>
        <w:rPr>
          <w:rFonts w:hint="eastAsia" w:hAnsi="宋体"/>
        </w:rPr>
        <w:t>，</w:t>
      </w:r>
      <w:r>
        <w:rPr>
          <w:rFonts w:hAnsi="宋体"/>
        </w:rPr>
        <w:t>不得留空</w:t>
      </w:r>
      <w:r>
        <w:rPr>
          <w:rFonts w:hint="eastAsia" w:hAnsi="宋体"/>
        </w:rPr>
        <w:t>，</w:t>
      </w:r>
      <w:r>
        <w:rPr>
          <w:rFonts w:hAnsi="宋体"/>
        </w:rPr>
        <w:t>否则按竞标无效处理。</w:t>
      </w:r>
    </w:p>
    <w:p>
      <w:pPr>
        <w:pStyle w:val="16"/>
        <w:spacing w:line="400" w:lineRule="exact"/>
        <w:ind w:left="210" w:hanging="210" w:hangingChars="100"/>
        <w:rPr>
          <w:rFonts w:hAnsi="宋体"/>
        </w:rPr>
      </w:pPr>
      <w:r>
        <w:rPr>
          <w:rFonts w:hAnsi="宋体"/>
        </w:rPr>
        <w:t>⑵如果采购文件需求为小于或大于</w:t>
      </w:r>
      <w:r>
        <w:rPr>
          <w:rFonts w:hint="eastAsia" w:hAnsi="宋体"/>
        </w:rPr>
        <w:t>（或</w:t>
      </w:r>
      <w:r>
        <w:rPr>
          <w:rFonts w:hAnsi="宋体"/>
        </w:rPr>
        <w:t>小于</w:t>
      </w:r>
      <w:r>
        <w:rPr>
          <w:rFonts w:hint="eastAsia" w:hAnsi="宋体"/>
        </w:rPr>
        <w:t>等于</w:t>
      </w:r>
      <w:r>
        <w:rPr>
          <w:rFonts w:hAnsi="宋体"/>
        </w:rPr>
        <w:t>或大于</w:t>
      </w:r>
      <w:r>
        <w:rPr>
          <w:rFonts w:hint="eastAsia" w:hAnsi="宋体"/>
        </w:rPr>
        <w:t>等于）</w:t>
      </w:r>
      <w:r>
        <w:rPr>
          <w:rFonts w:hAnsi="宋体"/>
        </w:rPr>
        <w:t>某个数值标准时</w:t>
      </w:r>
      <w:r>
        <w:rPr>
          <w:rFonts w:hint="eastAsia" w:hAnsi="宋体"/>
        </w:rPr>
        <w:t>，</w:t>
      </w:r>
      <w:r>
        <w:rPr>
          <w:rFonts w:hAnsi="宋体"/>
        </w:rPr>
        <w:t>竞争性谈判响应文件不得直接复制采购文件需求</w:t>
      </w:r>
      <w:r>
        <w:rPr>
          <w:rFonts w:hint="eastAsia" w:hAnsi="宋体"/>
        </w:rPr>
        <w:t>，</w:t>
      </w:r>
      <w:r>
        <w:rPr>
          <w:rFonts w:hAnsi="宋体"/>
        </w:rPr>
        <w:t>竞争性谈判响应文件</w:t>
      </w:r>
      <w:r>
        <w:rPr>
          <w:rFonts w:hint="eastAsia" w:hAnsi="宋体"/>
        </w:rPr>
        <w:t>对应</w:t>
      </w:r>
      <w:r>
        <w:rPr>
          <w:rFonts w:hAnsi="宋体"/>
        </w:rPr>
        <w:t>内容应当写明</w:t>
      </w:r>
      <w:r>
        <w:rPr>
          <w:rFonts w:hint="eastAsia" w:hAnsi="宋体"/>
        </w:rPr>
        <w:t>竞标产品的具体参数，</w:t>
      </w:r>
      <w:r>
        <w:rPr>
          <w:rFonts w:hAnsi="宋体"/>
        </w:rPr>
        <w:t>否则按</w:t>
      </w:r>
      <w:r>
        <w:rPr>
          <w:rFonts w:hint="eastAsia" w:hAnsi="宋体"/>
        </w:rPr>
        <w:t>竞标</w:t>
      </w:r>
      <w:r>
        <w:rPr>
          <w:rFonts w:hAnsi="宋体"/>
        </w:rPr>
        <w:t>无效处理。</w:t>
      </w:r>
    </w:p>
    <w:p>
      <w:pPr>
        <w:pStyle w:val="16"/>
        <w:spacing w:line="400" w:lineRule="exact"/>
        <w:ind w:left="210" w:hanging="210" w:hangingChars="100"/>
        <w:rPr>
          <w:rFonts w:hAnsi="宋体"/>
        </w:rPr>
      </w:pPr>
      <w:r>
        <w:rPr>
          <w:rFonts w:hAnsi="宋体"/>
        </w:rPr>
        <w:t>⑶当竞争性谈判响应文件的技术参数低于采购文件要求时</w:t>
      </w:r>
      <w:r>
        <w:rPr>
          <w:rFonts w:hint="eastAsia" w:hAnsi="宋体"/>
        </w:rPr>
        <w:t>，</w:t>
      </w:r>
      <w:r>
        <w:rPr>
          <w:rFonts w:hAnsi="宋体"/>
        </w:rPr>
        <w:t>谈判供应商应当如实写明“负偏离”</w:t>
      </w:r>
      <w:r>
        <w:rPr>
          <w:rFonts w:hint="eastAsia" w:hAnsi="宋体"/>
        </w:rPr>
        <w:t>，</w:t>
      </w:r>
      <w:r>
        <w:rPr>
          <w:rFonts w:hAnsi="宋体"/>
        </w:rPr>
        <w:t>否则视为虚假应标。</w:t>
      </w:r>
    </w:p>
    <w:p>
      <w:pPr>
        <w:pStyle w:val="16"/>
        <w:spacing w:line="400" w:lineRule="exact"/>
        <w:rPr>
          <w:rFonts w:hAnsi="宋体"/>
          <w:szCs w:val="21"/>
          <w:u w:val="single"/>
        </w:rPr>
      </w:pPr>
    </w:p>
    <w:p>
      <w:pPr>
        <w:spacing w:line="300" w:lineRule="auto"/>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四、商务响应及偏离情况说明表</w:t>
      </w:r>
    </w:p>
    <w:p>
      <w:pPr>
        <w:spacing w:line="300" w:lineRule="auto"/>
        <w:rPr>
          <w:rFonts w:ascii="宋体" w:hAnsi="宋体" w:cs="宋体"/>
          <w:sz w:val="28"/>
          <w:szCs w:val="28"/>
        </w:rPr>
      </w:pPr>
    </w:p>
    <w:p>
      <w:pPr>
        <w:spacing w:line="520" w:lineRule="exact"/>
        <w:jc w:val="center"/>
        <w:rPr>
          <w:rFonts w:ascii="宋体" w:hAnsi="宋体"/>
          <w:b/>
          <w:sz w:val="36"/>
          <w:szCs w:val="36"/>
        </w:rPr>
      </w:pPr>
      <w:r>
        <w:rPr>
          <w:rFonts w:hint="eastAsia" w:ascii="宋体" w:hAnsi="宋体"/>
          <w:b/>
          <w:sz w:val="36"/>
          <w:szCs w:val="36"/>
        </w:rPr>
        <w:t>商务响应及偏离情况说明表（格式）</w:t>
      </w:r>
    </w:p>
    <w:p>
      <w:pPr>
        <w:spacing w:line="420" w:lineRule="exact"/>
        <w:rPr>
          <w:rFonts w:ascii="宋体" w:hAnsi="宋体"/>
          <w:szCs w:val="21"/>
        </w:rPr>
      </w:pPr>
    </w:p>
    <w:p>
      <w:pPr>
        <w:pStyle w:val="16"/>
        <w:spacing w:line="400" w:lineRule="exact"/>
        <w:ind w:firstLine="420" w:firstLineChars="200"/>
        <w:rPr>
          <w:rFonts w:hAnsi="宋体"/>
        </w:rPr>
      </w:pPr>
      <w:r>
        <w:rPr>
          <w:rFonts w:hAnsi="宋体"/>
        </w:rPr>
        <w:t>请逐条对应本项目</w:t>
      </w:r>
      <w:r>
        <w:rPr>
          <w:rFonts w:hint="eastAsia" w:hAnsi="宋体"/>
          <w:szCs w:val="21"/>
        </w:rPr>
        <w:t>采购文件</w:t>
      </w:r>
      <w:r>
        <w:rPr>
          <w:rFonts w:hAnsi="宋体"/>
        </w:rPr>
        <w:t>第</w:t>
      </w:r>
      <w:r>
        <w:rPr>
          <w:rFonts w:hint="eastAsia" w:hAnsi="宋体"/>
        </w:rPr>
        <w:t>三</w:t>
      </w:r>
      <w:r>
        <w:rPr>
          <w:rFonts w:hAnsi="宋体"/>
        </w:rPr>
        <w:t>章“</w:t>
      </w:r>
      <w:r>
        <w:rPr>
          <w:rFonts w:hint="eastAsia" w:hAnsi="宋体"/>
        </w:rPr>
        <w:t>采购项目需求一览表</w:t>
      </w:r>
      <w:r>
        <w:rPr>
          <w:rFonts w:hAnsi="宋体"/>
        </w:rPr>
        <w:t>”中</w:t>
      </w:r>
      <w:r>
        <w:rPr>
          <w:rFonts w:hint="eastAsia" w:hAnsi="宋体"/>
        </w:rPr>
        <w:t>的商务要求，</w:t>
      </w:r>
      <w:r>
        <w:rPr>
          <w:rFonts w:hAnsi="宋体"/>
        </w:rPr>
        <w:t>详细填写相应的具体内容。“偏离说明”一栏应当选择“正偏离”、“负偏离”或“无偏离”进行填写。</w:t>
      </w:r>
    </w:p>
    <w:tbl>
      <w:tblPr>
        <w:tblStyle w:val="31"/>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pStyle w:val="16"/>
              <w:spacing w:line="340" w:lineRule="exact"/>
              <w:jc w:val="center"/>
              <w:rPr>
                <w:rFonts w:hAnsi="宋体"/>
              </w:rPr>
            </w:pPr>
            <w:r>
              <w:rPr>
                <w:rFonts w:hAnsi="宋体"/>
              </w:rPr>
              <w:t>项号</w:t>
            </w:r>
          </w:p>
        </w:tc>
        <w:tc>
          <w:tcPr>
            <w:tcW w:w="3860" w:type="dxa"/>
            <w:tcBorders>
              <w:top w:val="single" w:color="auto" w:sz="4" w:space="0"/>
              <w:left w:val="single" w:color="auto" w:sz="4" w:space="0"/>
              <w:bottom w:val="single" w:color="auto" w:sz="4" w:space="0"/>
              <w:right w:val="single" w:color="auto" w:sz="4" w:space="0"/>
            </w:tcBorders>
            <w:noWrap/>
            <w:vAlign w:val="center"/>
          </w:tcPr>
          <w:p>
            <w:pPr>
              <w:pStyle w:val="16"/>
              <w:spacing w:line="340" w:lineRule="exact"/>
              <w:jc w:val="center"/>
              <w:rPr>
                <w:rFonts w:hAnsi="宋体"/>
              </w:rPr>
            </w:pPr>
            <w:r>
              <w:rPr>
                <w:rFonts w:hint="eastAsia" w:hAnsi="宋体"/>
                <w:szCs w:val="21"/>
              </w:rPr>
              <w:t>采购文件</w:t>
            </w:r>
            <w:r>
              <w:rPr>
                <w:rFonts w:hAnsi="宋体"/>
              </w:rPr>
              <w:t>的商务需求</w:t>
            </w:r>
          </w:p>
        </w:tc>
        <w:tc>
          <w:tcPr>
            <w:tcW w:w="3685" w:type="dxa"/>
            <w:tcBorders>
              <w:top w:val="single" w:color="auto" w:sz="4" w:space="0"/>
              <w:left w:val="single" w:color="auto" w:sz="4" w:space="0"/>
              <w:bottom w:val="single" w:color="auto" w:sz="4" w:space="0"/>
              <w:right w:val="single" w:color="auto" w:sz="4" w:space="0"/>
            </w:tcBorders>
            <w:noWrap/>
            <w:vAlign w:val="center"/>
          </w:tcPr>
          <w:p>
            <w:pPr>
              <w:pStyle w:val="16"/>
              <w:spacing w:line="340" w:lineRule="exact"/>
              <w:jc w:val="center"/>
              <w:rPr>
                <w:rFonts w:hAnsi="宋体"/>
              </w:rPr>
            </w:pPr>
            <w:r>
              <w:rPr>
                <w:rFonts w:hint="eastAsia" w:hAnsi="宋体"/>
                <w:szCs w:val="21"/>
              </w:rPr>
              <w:t>竞争性谈判响应文件</w:t>
            </w:r>
            <w:r>
              <w:rPr>
                <w:rFonts w:hAnsi="宋体"/>
              </w:rPr>
              <w:t>承诺的商务条款</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spacing w:line="340" w:lineRule="exact"/>
              <w:jc w:val="center"/>
              <w:rPr>
                <w:rFonts w:hAnsi="宋体"/>
              </w:rPr>
            </w:pPr>
            <w:r>
              <w:rPr>
                <w:rFonts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pStyle w:val="16"/>
              <w:spacing w:line="340" w:lineRule="exact"/>
              <w:jc w:val="center"/>
              <w:rPr>
                <w:rFonts w:hAnsi="宋体"/>
              </w:rPr>
            </w:pPr>
            <w:r>
              <w:rPr>
                <w:rFonts w:hAnsi="宋体"/>
              </w:rPr>
              <w:t>一</w:t>
            </w:r>
          </w:p>
        </w:tc>
        <w:tc>
          <w:tcPr>
            <w:tcW w:w="3860"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6"/>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6"/>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pStyle w:val="16"/>
              <w:spacing w:line="340" w:lineRule="exact"/>
              <w:jc w:val="center"/>
              <w:rPr>
                <w:rFonts w:hAnsi="宋体"/>
              </w:rPr>
            </w:pPr>
            <w:r>
              <w:rPr>
                <w:rFonts w:hAnsi="宋体"/>
              </w:rPr>
              <w:t>二</w:t>
            </w:r>
          </w:p>
        </w:tc>
        <w:tc>
          <w:tcPr>
            <w:tcW w:w="3860"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6"/>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6"/>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pStyle w:val="16"/>
              <w:spacing w:line="340" w:lineRule="exact"/>
              <w:jc w:val="center"/>
              <w:rPr>
                <w:rFonts w:hAnsi="宋体"/>
              </w:rPr>
            </w:pPr>
            <w:r>
              <w:rPr>
                <w:rFonts w:hAnsi="宋体"/>
              </w:rPr>
              <w:t>…</w:t>
            </w:r>
          </w:p>
        </w:tc>
        <w:tc>
          <w:tcPr>
            <w:tcW w:w="3860" w:type="dxa"/>
            <w:tcBorders>
              <w:top w:val="single" w:color="auto" w:sz="4" w:space="0"/>
              <w:left w:val="single" w:color="auto" w:sz="4" w:space="0"/>
              <w:bottom w:val="single" w:color="auto" w:sz="4" w:space="0"/>
              <w:right w:val="single" w:color="auto" w:sz="4" w:space="0"/>
            </w:tcBorders>
            <w:noWrap/>
          </w:tcPr>
          <w:p>
            <w:pPr>
              <w:pStyle w:val="16"/>
              <w:spacing w:line="340" w:lineRule="exact"/>
              <w:rPr>
                <w:rFonts w:hAnsi="宋体"/>
              </w:rPr>
            </w:pPr>
            <w:r>
              <w:rPr>
                <w:rFonts w:hAnsi="宋体"/>
              </w:rPr>
              <w:t>1 ……</w:t>
            </w:r>
          </w:p>
          <w:p>
            <w:pPr>
              <w:pStyle w:val="16"/>
              <w:spacing w:line="340" w:lineRule="exact"/>
              <w:rPr>
                <w:rFonts w:hAnsi="宋体"/>
              </w:rPr>
            </w:pPr>
            <w:r>
              <w:rPr>
                <w:rFonts w:hAnsi="宋体"/>
              </w:rPr>
              <w:t>2.合同签订日期：</w:t>
            </w:r>
          </w:p>
          <w:p>
            <w:pPr>
              <w:pStyle w:val="16"/>
              <w:spacing w:line="340" w:lineRule="exact"/>
              <w:rPr>
                <w:rFonts w:hAnsi="宋体"/>
              </w:rPr>
            </w:pPr>
            <w:r>
              <w:rPr>
                <w:rFonts w:hAnsi="宋体"/>
              </w:rPr>
              <w:t>3.交货期：</w:t>
            </w:r>
          </w:p>
          <w:p>
            <w:pPr>
              <w:pStyle w:val="16"/>
              <w:spacing w:line="340" w:lineRule="exact"/>
              <w:rPr>
                <w:rFonts w:hAnsi="宋体"/>
              </w:rPr>
            </w:pPr>
            <w:r>
              <w:rPr>
                <w:rFonts w:hAnsi="宋体"/>
              </w:rPr>
              <w:t>4.交货地点：</w:t>
            </w:r>
          </w:p>
          <w:p>
            <w:pPr>
              <w:pStyle w:val="16"/>
              <w:spacing w:line="340" w:lineRule="exact"/>
              <w:rPr>
                <w:rFonts w:hAnsi="宋体"/>
              </w:rPr>
            </w:pPr>
            <w:r>
              <w:rPr>
                <w:rFonts w:hAnsi="宋体"/>
              </w:rPr>
              <w:t>5 ……</w:t>
            </w:r>
          </w:p>
        </w:tc>
        <w:tc>
          <w:tcPr>
            <w:tcW w:w="3685" w:type="dxa"/>
            <w:tcBorders>
              <w:top w:val="single" w:color="auto" w:sz="4" w:space="0"/>
              <w:left w:val="single" w:color="auto" w:sz="4" w:space="0"/>
              <w:bottom w:val="single" w:color="auto" w:sz="4" w:space="0"/>
              <w:right w:val="single" w:color="auto" w:sz="4" w:space="0"/>
            </w:tcBorders>
            <w:noWrap/>
          </w:tcPr>
          <w:p>
            <w:pPr>
              <w:pStyle w:val="16"/>
              <w:spacing w:line="340" w:lineRule="exact"/>
              <w:rPr>
                <w:rFonts w:hAnsi="宋体"/>
              </w:rPr>
            </w:pPr>
            <w:r>
              <w:rPr>
                <w:rFonts w:hAnsi="宋体"/>
              </w:rPr>
              <w:t>1 ……</w:t>
            </w:r>
          </w:p>
          <w:p>
            <w:pPr>
              <w:pStyle w:val="16"/>
              <w:spacing w:line="340" w:lineRule="exact"/>
              <w:rPr>
                <w:rFonts w:hAnsi="宋体"/>
              </w:rPr>
            </w:pPr>
            <w:r>
              <w:rPr>
                <w:rFonts w:hAnsi="宋体"/>
              </w:rPr>
              <w:t>2.合同签订日期：</w:t>
            </w:r>
          </w:p>
          <w:p>
            <w:pPr>
              <w:pStyle w:val="16"/>
              <w:spacing w:line="340" w:lineRule="exact"/>
              <w:rPr>
                <w:rFonts w:hAnsi="宋体"/>
              </w:rPr>
            </w:pPr>
            <w:r>
              <w:rPr>
                <w:rFonts w:hAnsi="宋体"/>
              </w:rPr>
              <w:t>3.交货期：</w:t>
            </w:r>
          </w:p>
          <w:p>
            <w:pPr>
              <w:pStyle w:val="16"/>
              <w:spacing w:line="340" w:lineRule="exact"/>
              <w:rPr>
                <w:rFonts w:hAnsi="宋体"/>
              </w:rPr>
            </w:pPr>
            <w:r>
              <w:rPr>
                <w:rFonts w:hAnsi="宋体"/>
              </w:rPr>
              <w:t>4.交货地点：</w:t>
            </w:r>
          </w:p>
          <w:p>
            <w:pPr>
              <w:pStyle w:val="16"/>
              <w:spacing w:line="340" w:lineRule="exact"/>
              <w:rPr>
                <w:rFonts w:hAnsi="宋体"/>
              </w:rPr>
            </w:pPr>
            <w:r>
              <w:rPr>
                <w:rFonts w:hAnsi="宋体"/>
              </w:rPr>
              <w:t>5 ……</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spacing w:line="300" w:lineRule="exact"/>
              <w:jc w:val="center"/>
              <w:rPr>
                <w:rFonts w:hAnsi="宋体"/>
              </w:rPr>
            </w:pPr>
          </w:p>
          <w:p>
            <w:pPr>
              <w:pStyle w:val="16"/>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606" w:type="dxa"/>
            <w:gridSpan w:val="4"/>
            <w:tcBorders>
              <w:top w:val="single" w:color="auto" w:sz="4" w:space="0"/>
              <w:left w:val="single" w:color="auto" w:sz="4" w:space="0"/>
              <w:bottom w:val="single" w:color="auto" w:sz="4" w:space="0"/>
              <w:right w:val="single" w:color="auto" w:sz="4" w:space="0"/>
            </w:tcBorders>
            <w:noWrap/>
            <w:vAlign w:val="center"/>
          </w:tcPr>
          <w:p>
            <w:pPr>
              <w:pStyle w:val="16"/>
              <w:spacing w:line="340" w:lineRule="exact"/>
              <w:rPr>
                <w:rFonts w:hAnsi="宋体"/>
              </w:rPr>
            </w:pPr>
            <w:r>
              <w:rPr>
                <w:rFonts w:hAnsi="宋体"/>
                <w:u w:val="single"/>
              </w:rPr>
              <w:t>　　</w:t>
            </w:r>
            <w:r>
              <w:rPr>
                <w:rFonts w:hAnsi="宋体"/>
              </w:rPr>
              <w:t>分标（此处有分标时填写具体分标号</w:t>
            </w:r>
            <w:r>
              <w:rPr>
                <w:rFonts w:hint="eastAsia" w:hAnsi="宋体"/>
              </w:rPr>
              <w:t>，</w:t>
            </w:r>
            <w:r>
              <w:rPr>
                <w:rFonts w:hAnsi="宋体"/>
              </w:rPr>
              <w:t>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06" w:type="dxa"/>
            <w:gridSpan w:val="4"/>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hAnsi="宋体"/>
                <w:szCs w:val="21"/>
              </w:rPr>
              <w:t>谈判供应商名称（盖章）</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06" w:type="dxa"/>
            <w:gridSpan w:val="4"/>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法定代表人（负责人）或委托代理人（签字）：</w:t>
            </w:r>
          </w:p>
        </w:tc>
      </w:tr>
    </w:tbl>
    <w:p>
      <w:pPr>
        <w:pStyle w:val="16"/>
        <w:spacing w:line="400" w:lineRule="exact"/>
        <w:rPr>
          <w:rFonts w:hAnsi="宋体"/>
        </w:rPr>
      </w:pPr>
    </w:p>
    <w:p>
      <w:pPr>
        <w:pStyle w:val="16"/>
        <w:spacing w:line="400" w:lineRule="exact"/>
        <w:rPr>
          <w:rFonts w:hAnsi="宋体"/>
        </w:rPr>
      </w:pPr>
      <w:r>
        <w:rPr>
          <w:rFonts w:hAnsi="宋体"/>
          <w:b/>
        </w:rPr>
        <w:t>注</w:t>
      </w:r>
      <w:r>
        <w:rPr>
          <w:rFonts w:hAnsi="宋体"/>
        </w:rPr>
        <w:t>：⑴表格内容均需按要求填写并盖章</w:t>
      </w:r>
      <w:r>
        <w:rPr>
          <w:rFonts w:hint="eastAsia" w:hAnsi="宋体"/>
        </w:rPr>
        <w:t>，</w:t>
      </w:r>
      <w:r>
        <w:rPr>
          <w:rFonts w:hAnsi="宋体"/>
        </w:rPr>
        <w:t>不得留空</w:t>
      </w:r>
      <w:r>
        <w:rPr>
          <w:rFonts w:hint="eastAsia" w:hAnsi="宋体"/>
        </w:rPr>
        <w:t>，</w:t>
      </w:r>
      <w:r>
        <w:rPr>
          <w:rFonts w:hAnsi="宋体"/>
        </w:rPr>
        <w:t>否则按</w:t>
      </w:r>
      <w:r>
        <w:rPr>
          <w:rFonts w:hint="eastAsia" w:hAnsi="宋体"/>
        </w:rPr>
        <w:t>竞标无效</w:t>
      </w:r>
      <w:r>
        <w:rPr>
          <w:rFonts w:hAnsi="宋体"/>
        </w:rPr>
        <w:t>处理。</w:t>
      </w:r>
    </w:p>
    <w:p>
      <w:pPr>
        <w:pStyle w:val="16"/>
        <w:spacing w:line="400" w:lineRule="exact"/>
        <w:rPr>
          <w:rFonts w:hAnsi="宋体"/>
        </w:rPr>
      </w:pPr>
      <w:r>
        <w:rPr>
          <w:rFonts w:hint="eastAsia" w:hAnsi="宋体"/>
        </w:rPr>
        <w:t>⑵</w:t>
      </w:r>
      <w:r>
        <w:rPr>
          <w:rFonts w:hAnsi="宋体"/>
        </w:rPr>
        <w:t>如果</w:t>
      </w:r>
      <w:r>
        <w:rPr>
          <w:rFonts w:hint="eastAsia" w:hAnsi="宋体"/>
        </w:rPr>
        <w:t>采购文件</w:t>
      </w:r>
      <w:r>
        <w:rPr>
          <w:rFonts w:hAnsi="宋体"/>
        </w:rPr>
        <w:t>需求为小于或大于</w:t>
      </w:r>
      <w:r>
        <w:rPr>
          <w:rFonts w:hint="eastAsia" w:hAnsi="宋体"/>
        </w:rPr>
        <w:t>（或</w:t>
      </w:r>
      <w:r>
        <w:rPr>
          <w:rFonts w:hAnsi="宋体"/>
        </w:rPr>
        <w:t>小于</w:t>
      </w:r>
      <w:r>
        <w:rPr>
          <w:rFonts w:hint="eastAsia" w:hAnsi="宋体"/>
        </w:rPr>
        <w:t>等于</w:t>
      </w:r>
      <w:r>
        <w:rPr>
          <w:rFonts w:hAnsi="宋体"/>
        </w:rPr>
        <w:t>或大于</w:t>
      </w:r>
      <w:r>
        <w:rPr>
          <w:rFonts w:hint="eastAsia" w:hAnsi="宋体"/>
        </w:rPr>
        <w:t>等于）</w:t>
      </w:r>
      <w:r>
        <w:rPr>
          <w:rFonts w:hAnsi="宋体"/>
        </w:rPr>
        <w:t>某个数值标准时，</w:t>
      </w:r>
      <w:r>
        <w:rPr>
          <w:rFonts w:hint="eastAsia" w:hAnsi="宋体"/>
        </w:rPr>
        <w:t>竞争性谈判响应文件</w:t>
      </w:r>
      <w:r>
        <w:rPr>
          <w:rFonts w:hAnsi="宋体"/>
        </w:rPr>
        <w:t>不得直接复制</w:t>
      </w:r>
      <w:r>
        <w:rPr>
          <w:rFonts w:hint="eastAsia" w:hAnsi="宋体"/>
        </w:rPr>
        <w:t>采购文件</w:t>
      </w:r>
      <w:r>
        <w:rPr>
          <w:rFonts w:hAnsi="宋体"/>
        </w:rPr>
        <w:t>需求，</w:t>
      </w:r>
      <w:r>
        <w:rPr>
          <w:rFonts w:hint="eastAsia" w:hAnsi="宋体"/>
        </w:rPr>
        <w:t>竞争性谈判响应文件对应</w:t>
      </w:r>
      <w:r>
        <w:rPr>
          <w:rFonts w:hAnsi="宋体"/>
        </w:rPr>
        <w:t>内容应当写明商务响应的</w:t>
      </w:r>
      <w:r>
        <w:rPr>
          <w:rFonts w:hint="eastAsia" w:hAnsi="宋体"/>
        </w:rPr>
        <w:t>实际</w:t>
      </w:r>
      <w:r>
        <w:rPr>
          <w:rFonts w:hAnsi="宋体"/>
        </w:rPr>
        <w:t>数值，否则按</w:t>
      </w:r>
      <w:r>
        <w:rPr>
          <w:rFonts w:hint="eastAsia" w:hAnsi="宋体"/>
        </w:rPr>
        <w:t>竞标</w:t>
      </w:r>
      <w:r>
        <w:rPr>
          <w:rFonts w:hAnsi="宋体"/>
        </w:rPr>
        <w:t>无效处理。</w:t>
      </w:r>
    </w:p>
    <w:p>
      <w:pPr>
        <w:pStyle w:val="16"/>
        <w:spacing w:line="400" w:lineRule="exact"/>
        <w:rPr>
          <w:rFonts w:hAnsi="宋体"/>
        </w:rPr>
      </w:pPr>
      <w:r>
        <w:rPr>
          <w:rFonts w:hAnsi="宋体"/>
        </w:rPr>
        <w:fldChar w:fldCharType="begin"/>
      </w:r>
      <w:r>
        <w:rPr>
          <w:rFonts w:hint="eastAsia" w:hAnsi="宋体"/>
        </w:rPr>
        <w:instrText xml:space="preserve">= 3 \* GB2</w:instrText>
      </w:r>
      <w:r>
        <w:rPr>
          <w:rFonts w:hAnsi="宋体"/>
        </w:rPr>
        <w:fldChar w:fldCharType="separate"/>
      </w:r>
      <w:r>
        <w:rPr>
          <w:rFonts w:hint="eastAsia" w:hAnsi="宋体"/>
        </w:rPr>
        <w:t>⑶</w:t>
      </w:r>
      <w:r>
        <w:rPr>
          <w:rFonts w:hAnsi="宋体"/>
        </w:rPr>
        <w:fldChar w:fldCharType="end"/>
      </w:r>
      <w:r>
        <w:rPr>
          <w:rFonts w:hAnsi="宋体"/>
        </w:rPr>
        <w:t>当</w:t>
      </w:r>
      <w:r>
        <w:rPr>
          <w:rFonts w:hint="eastAsia" w:hAnsi="宋体"/>
        </w:rPr>
        <w:t>竞争性谈判响应文件承诺</w:t>
      </w:r>
      <w:r>
        <w:rPr>
          <w:rFonts w:hAnsi="宋体"/>
        </w:rPr>
        <w:t>的商务响应低于</w:t>
      </w:r>
      <w:r>
        <w:rPr>
          <w:rFonts w:hint="eastAsia" w:hAnsi="宋体"/>
        </w:rPr>
        <w:t>采购文件</w:t>
      </w:r>
      <w:r>
        <w:rPr>
          <w:rFonts w:hAnsi="宋体"/>
        </w:rPr>
        <w:t>要求时</w:t>
      </w:r>
      <w:r>
        <w:rPr>
          <w:rFonts w:hint="eastAsia" w:hAnsi="宋体"/>
        </w:rPr>
        <w:t>，供应商</w:t>
      </w:r>
      <w:r>
        <w:rPr>
          <w:rFonts w:hAnsi="宋体"/>
        </w:rPr>
        <w:t>应当如实写明“负偏离”</w:t>
      </w:r>
      <w:r>
        <w:rPr>
          <w:rFonts w:hint="eastAsia" w:hAnsi="宋体"/>
        </w:rPr>
        <w:t>，</w:t>
      </w:r>
      <w:r>
        <w:rPr>
          <w:rFonts w:hAnsi="宋体"/>
        </w:rPr>
        <w:t>否则视为虚假</w:t>
      </w:r>
      <w:r>
        <w:rPr>
          <w:rFonts w:hint="eastAsia" w:hAnsi="宋体"/>
        </w:rPr>
        <w:t>报价</w:t>
      </w:r>
      <w:r>
        <w:rPr>
          <w:rFonts w:hAnsi="宋体"/>
        </w:rPr>
        <w:t>。</w:t>
      </w:r>
    </w:p>
    <w:p>
      <w:pPr>
        <w:pStyle w:val="16"/>
        <w:spacing w:line="500" w:lineRule="exact"/>
        <w:rPr>
          <w:rFonts w:ascii="仿宋_GB2312" w:hAnsi="宋体" w:eastAsia="仿宋_GB2312"/>
          <w:sz w:val="28"/>
          <w:szCs w:val="28"/>
        </w:rPr>
      </w:pPr>
    </w:p>
    <w:p>
      <w:pPr>
        <w:spacing w:line="300" w:lineRule="auto"/>
        <w:rPr>
          <w:rFonts w:ascii="宋体" w:hAnsi="宋体" w:cs="宋体"/>
          <w:sz w:val="28"/>
          <w:szCs w:val="28"/>
        </w:rPr>
      </w:pPr>
      <w:r>
        <w:rPr>
          <w:rFonts w:hint="eastAsia" w:ascii="宋体" w:hAnsi="宋体" w:cs="宋体"/>
        </w:rPr>
        <w:br w:type="page"/>
      </w:r>
      <w:r>
        <w:rPr>
          <w:rFonts w:hint="eastAsia" w:ascii="宋体" w:hAnsi="宋体" w:cs="宋体"/>
          <w:sz w:val="28"/>
          <w:szCs w:val="28"/>
        </w:rPr>
        <w:t>五、资格证明及技术、商务响应文件：</w:t>
      </w:r>
    </w:p>
    <w:p>
      <w:pPr>
        <w:pStyle w:val="16"/>
        <w:spacing w:line="400" w:lineRule="exact"/>
        <w:jc w:val="center"/>
        <w:rPr>
          <w:rFonts w:hAnsi="宋体" w:cs="宋体"/>
          <w:b/>
          <w:sz w:val="36"/>
          <w:szCs w:val="36"/>
        </w:rPr>
      </w:pPr>
      <w:r>
        <w:rPr>
          <w:rFonts w:hint="eastAsia" w:hAnsi="宋体" w:cs="宋体"/>
          <w:b/>
          <w:sz w:val="36"/>
          <w:szCs w:val="36"/>
        </w:rPr>
        <w:t>资格证明及技术、商务响应文件</w:t>
      </w:r>
    </w:p>
    <w:p>
      <w:pPr>
        <w:spacing w:line="460" w:lineRule="exact"/>
        <w:jc w:val="center"/>
        <w:rPr>
          <w:rFonts w:ascii="宋体" w:hAnsi="宋体" w:cs="宋体"/>
          <w:sz w:val="24"/>
        </w:rPr>
      </w:pPr>
      <w:r>
        <w:rPr>
          <w:rFonts w:hint="eastAsia" w:ascii="宋体" w:hAnsi="宋体" w:cs="宋体"/>
          <w:sz w:val="24"/>
        </w:rPr>
        <w:t>（不局限于以下目录，请根据采购文件要求提供）</w:t>
      </w:r>
    </w:p>
    <w:p>
      <w:pPr>
        <w:spacing w:line="420" w:lineRule="exact"/>
        <w:rPr>
          <w:rFonts w:ascii="宋体" w:hAnsi="宋体" w:cs="宋体"/>
          <w:szCs w:val="21"/>
        </w:rPr>
      </w:pPr>
      <w:r>
        <w:rPr>
          <w:rFonts w:hint="eastAsia" w:ascii="宋体" w:hAnsi="宋体" w:cs="宋体"/>
          <w:szCs w:val="21"/>
        </w:rPr>
        <w:t>一、资格证明文件</w:t>
      </w:r>
    </w:p>
    <w:p>
      <w:pPr>
        <w:spacing w:line="420" w:lineRule="exact"/>
        <w:ind w:firstLine="561"/>
        <w:rPr>
          <w:rFonts w:ascii="宋体" w:hAnsi="宋体" w:cs="宋体"/>
          <w:szCs w:val="21"/>
        </w:rPr>
      </w:pPr>
      <w:r>
        <w:rPr>
          <w:rFonts w:hint="eastAsia" w:ascii="宋体" w:hAnsi="宋体" w:cs="宋体"/>
          <w:szCs w:val="21"/>
        </w:rPr>
        <w:t>1、竞标保证金缴纳证明；</w:t>
      </w:r>
    </w:p>
    <w:p>
      <w:pPr>
        <w:spacing w:line="420" w:lineRule="exact"/>
        <w:ind w:firstLine="561"/>
        <w:rPr>
          <w:rFonts w:ascii="宋体" w:hAnsi="宋体" w:cs="宋体"/>
          <w:szCs w:val="21"/>
        </w:rPr>
      </w:pPr>
      <w:r>
        <w:rPr>
          <w:rFonts w:hint="eastAsia" w:ascii="宋体" w:hAnsi="宋体" w:cs="宋体"/>
          <w:szCs w:val="21"/>
        </w:rPr>
        <w:t>2、供应商有效的加载统一社会信用代码的营业执照等主体资格证明副本复印件；</w:t>
      </w:r>
    </w:p>
    <w:p>
      <w:pPr>
        <w:spacing w:line="420" w:lineRule="exact"/>
        <w:ind w:firstLine="561"/>
        <w:rPr>
          <w:rFonts w:ascii="宋体" w:hAnsi="宋体" w:cs="宋体"/>
          <w:szCs w:val="21"/>
        </w:rPr>
      </w:pPr>
      <w:r>
        <w:rPr>
          <w:rFonts w:hint="eastAsia" w:ascii="宋体" w:hAnsi="宋体" w:cs="宋体"/>
          <w:szCs w:val="21"/>
        </w:rPr>
        <w:t>3、生产、经营、销售许可证（如国家实行强制性要求的）；</w:t>
      </w:r>
    </w:p>
    <w:p>
      <w:pPr>
        <w:spacing w:line="420" w:lineRule="exact"/>
        <w:ind w:firstLine="561"/>
        <w:rPr>
          <w:rFonts w:ascii="宋体" w:hAnsi="宋体" w:cs="宋体"/>
          <w:szCs w:val="21"/>
        </w:rPr>
      </w:pPr>
      <w:r>
        <w:rPr>
          <w:rFonts w:hint="eastAsia" w:ascii="宋体" w:hAnsi="宋体" w:cs="宋体"/>
          <w:szCs w:val="21"/>
        </w:rPr>
        <w:t>4、法定代表人身份证复印件；</w:t>
      </w:r>
    </w:p>
    <w:p>
      <w:pPr>
        <w:spacing w:line="420" w:lineRule="exact"/>
        <w:ind w:firstLine="561"/>
        <w:rPr>
          <w:rFonts w:ascii="宋体" w:hAnsi="宋体" w:cs="宋体"/>
          <w:szCs w:val="21"/>
        </w:rPr>
      </w:pPr>
      <w:r>
        <w:rPr>
          <w:rFonts w:hint="eastAsia" w:ascii="宋体" w:hAnsi="宋体" w:cs="宋体"/>
          <w:szCs w:val="21"/>
        </w:rPr>
        <w:t>5、法定代表人授权委托书原件（格式详见附一）及被授权人身份证复印件；（委托代理时）</w:t>
      </w:r>
    </w:p>
    <w:p>
      <w:pPr>
        <w:spacing w:line="420" w:lineRule="exact"/>
        <w:ind w:firstLine="561"/>
        <w:rPr>
          <w:rFonts w:ascii="宋体" w:hAnsi="宋体" w:cs="宋体"/>
          <w:szCs w:val="21"/>
        </w:rPr>
      </w:pPr>
      <w:r>
        <w:rPr>
          <w:rFonts w:hint="eastAsia" w:ascii="宋体" w:hAnsi="宋体" w:cs="宋体"/>
          <w:szCs w:val="21"/>
        </w:rPr>
        <w:t>6、①供应商至本项目竞标截止之日起近半年以来连续三个月的依法缴纳税收证明[税费凭证复印件，或者依法缴纳税费或依法免缴税费的证明（复印件，格式自拟），必须提供]；②供应商至本项目竞标截止之日起近半年以来连续三个月的项目实施人员社保证明复印件（社保证明必须经供应商所在地的社保部门盖章确认，社保证明名单要与项目实施人员一览表人员名单相一致，依法不参与社保的人员，应出具相关的证明文件；</w:t>
      </w:r>
    </w:p>
    <w:p>
      <w:pPr>
        <w:spacing w:line="420" w:lineRule="exact"/>
        <w:ind w:firstLine="561"/>
        <w:rPr>
          <w:rFonts w:ascii="宋体" w:hAnsi="宋体" w:cs="宋体"/>
          <w:szCs w:val="21"/>
        </w:rPr>
      </w:pPr>
      <w:r>
        <w:rPr>
          <w:rFonts w:hint="eastAsia" w:ascii="宋体" w:hAnsi="宋体" w:cs="宋体"/>
          <w:szCs w:val="21"/>
        </w:rPr>
        <w:t>7、供应商参加政府采购活动前3年内在经营活动中没有重大违法记录的书面声明（格式详见附二）；</w:t>
      </w:r>
    </w:p>
    <w:p>
      <w:pPr>
        <w:spacing w:line="420" w:lineRule="exact"/>
        <w:ind w:firstLine="561"/>
        <w:rPr>
          <w:rFonts w:ascii="宋体" w:hAnsi="宋体" w:cs="宋体"/>
          <w:szCs w:val="21"/>
        </w:rPr>
      </w:pPr>
      <w:r>
        <w:rPr>
          <w:rFonts w:hint="eastAsia" w:ascii="宋体" w:hAnsi="宋体" w:cs="宋体"/>
          <w:szCs w:val="21"/>
        </w:rPr>
        <w:t>8、采购文件列明的其他资料（注明必须提供的必须提供，否则竞标无效）。</w:t>
      </w:r>
    </w:p>
    <w:p>
      <w:pPr>
        <w:spacing w:line="420" w:lineRule="exact"/>
        <w:rPr>
          <w:rFonts w:ascii="宋体" w:hAnsi="宋体" w:cs="宋体"/>
          <w:szCs w:val="21"/>
        </w:rPr>
      </w:pPr>
      <w:r>
        <w:rPr>
          <w:rFonts w:hint="eastAsia" w:ascii="宋体" w:hAnsi="宋体" w:cs="宋体"/>
          <w:szCs w:val="21"/>
        </w:rPr>
        <w:t>二、技术、服务响应文件</w:t>
      </w:r>
    </w:p>
    <w:p>
      <w:pPr>
        <w:spacing w:line="420" w:lineRule="exact"/>
        <w:ind w:firstLine="561"/>
        <w:rPr>
          <w:rFonts w:ascii="宋体" w:hAnsi="宋体" w:cs="宋体"/>
          <w:szCs w:val="21"/>
        </w:rPr>
      </w:pPr>
      <w:r>
        <w:rPr>
          <w:rFonts w:hint="eastAsia" w:ascii="宋体" w:hAnsi="宋体" w:cs="宋体"/>
          <w:szCs w:val="21"/>
        </w:rPr>
        <w:t>1、供货清单；</w:t>
      </w:r>
    </w:p>
    <w:p>
      <w:pPr>
        <w:spacing w:line="420" w:lineRule="exact"/>
        <w:ind w:firstLine="561"/>
        <w:rPr>
          <w:rFonts w:ascii="宋体" w:hAnsi="宋体" w:cs="宋体"/>
          <w:szCs w:val="21"/>
        </w:rPr>
      </w:pPr>
      <w:r>
        <w:rPr>
          <w:rFonts w:hint="eastAsia" w:ascii="宋体" w:hAnsi="宋体" w:cs="宋体"/>
          <w:szCs w:val="21"/>
        </w:rPr>
        <w:t>2、详细的货物名称、型号、规格、数量、性能、内部配置、使用原材料、使用的技术、工艺等详细情况及资料；</w:t>
      </w:r>
    </w:p>
    <w:p>
      <w:pPr>
        <w:spacing w:line="420" w:lineRule="exact"/>
        <w:ind w:firstLine="561"/>
        <w:rPr>
          <w:rFonts w:ascii="宋体" w:hAnsi="宋体" w:cs="宋体"/>
          <w:szCs w:val="21"/>
        </w:rPr>
      </w:pPr>
      <w:r>
        <w:rPr>
          <w:rFonts w:hint="eastAsia" w:ascii="宋体" w:hAnsi="宋体" w:cs="宋体"/>
          <w:szCs w:val="21"/>
        </w:rPr>
        <w:t>3、产品样本、使用保养说明书、图纸等技术资料、质量保证措施等；</w:t>
      </w:r>
    </w:p>
    <w:p>
      <w:pPr>
        <w:spacing w:line="420" w:lineRule="exact"/>
        <w:ind w:firstLine="561"/>
        <w:rPr>
          <w:rFonts w:ascii="宋体" w:hAnsi="宋体" w:cs="宋体"/>
          <w:szCs w:val="21"/>
        </w:rPr>
      </w:pPr>
      <w:r>
        <w:rPr>
          <w:rFonts w:hint="eastAsia" w:ascii="宋体" w:hAnsi="宋体" w:cs="宋体"/>
          <w:szCs w:val="21"/>
        </w:rPr>
        <w:t>4、证明竞标产品满足采购文件要求的其他证明文件（货物制造、检验、验收执行的标准；货物认证、检测报告、鉴定证书；产品获奖证书等）；</w:t>
      </w:r>
    </w:p>
    <w:p>
      <w:pPr>
        <w:spacing w:line="420" w:lineRule="exact"/>
        <w:ind w:firstLine="561"/>
        <w:rPr>
          <w:rFonts w:ascii="宋体" w:hAnsi="宋体" w:cs="宋体"/>
          <w:szCs w:val="21"/>
        </w:rPr>
      </w:pPr>
      <w:r>
        <w:rPr>
          <w:rFonts w:hint="eastAsia" w:ascii="宋体" w:hAnsi="宋体" w:cs="宋体"/>
          <w:szCs w:val="21"/>
        </w:rPr>
        <w:t>5、供应商的信誉、荣誉证书，供应商质量管理和质量保证体系等方面的认证证书，节能环保等方面的证书等复印件。</w:t>
      </w:r>
    </w:p>
    <w:p>
      <w:pPr>
        <w:spacing w:line="420" w:lineRule="exact"/>
        <w:ind w:firstLine="561"/>
        <w:rPr>
          <w:rFonts w:ascii="宋体" w:hAnsi="宋体" w:cs="宋体"/>
          <w:szCs w:val="21"/>
        </w:rPr>
      </w:pPr>
      <w:r>
        <w:rPr>
          <w:rFonts w:hint="eastAsia" w:ascii="宋体" w:hAnsi="宋体" w:cs="宋体"/>
          <w:szCs w:val="21"/>
        </w:rPr>
        <w:t>6、</w:t>
      </w:r>
      <w:r>
        <w:rPr>
          <w:rFonts w:hint="eastAsia" w:ascii="宋体" w:hAnsi="宋体" w:cs="宋体"/>
          <w:bCs/>
          <w:szCs w:val="21"/>
        </w:rPr>
        <w:t>售后服务方案，</w:t>
      </w:r>
      <w:r>
        <w:rPr>
          <w:rFonts w:hint="eastAsia" w:ascii="宋体" w:hAnsi="宋体" w:cs="宋体"/>
          <w:szCs w:val="21"/>
        </w:rPr>
        <w:t>提供的切实可行的售后服务承诺（</w:t>
      </w:r>
      <w:r>
        <w:rPr>
          <w:rFonts w:hint="eastAsia" w:ascii="宋体" w:hAnsi="宋体"/>
          <w:szCs w:val="21"/>
        </w:rPr>
        <w:t>内容包括但不限于：明确保修期、故障响应时间、售后服务技术人员名单和联系方式、定期走访用户具体时间、保修期限外零配件若损坏，提供零配件优惠服务方案等</w:t>
      </w:r>
      <w:r>
        <w:rPr>
          <w:rFonts w:hint="eastAsia" w:ascii="宋体" w:hAnsi="宋体" w:cs="宋体"/>
          <w:szCs w:val="21"/>
        </w:rPr>
        <w:t>）（格式自拟）。</w:t>
      </w:r>
    </w:p>
    <w:p>
      <w:pPr>
        <w:spacing w:line="420" w:lineRule="exact"/>
        <w:ind w:firstLine="561"/>
        <w:rPr>
          <w:rFonts w:ascii="宋体" w:hAnsi="宋体" w:cs="宋体"/>
          <w:szCs w:val="21"/>
        </w:rPr>
      </w:pPr>
      <w:r>
        <w:rPr>
          <w:rFonts w:hint="eastAsia" w:ascii="宋体" w:hAnsi="宋体" w:cs="宋体"/>
          <w:szCs w:val="21"/>
        </w:rPr>
        <w:t>7、项目实施人员一览表（格式详见附三）；</w:t>
      </w:r>
    </w:p>
    <w:p>
      <w:pPr>
        <w:ind w:firstLine="630" w:firstLineChars="300"/>
        <w:rPr>
          <w:rFonts w:ascii="宋体" w:hAnsi="宋体" w:cs="宋体"/>
          <w:szCs w:val="21"/>
        </w:rPr>
      </w:pPr>
      <w:r>
        <w:rPr>
          <w:rFonts w:hint="eastAsia" w:ascii="宋体" w:hAnsi="宋体" w:cs="宋体"/>
          <w:szCs w:val="21"/>
        </w:rPr>
        <w:t>8、</w:t>
      </w:r>
      <w:r>
        <w:rPr>
          <w:rFonts w:ascii="宋体" w:hAnsi="宋体" w:cs="宋体"/>
          <w:szCs w:val="21"/>
        </w:rPr>
        <w:t>供应商自20</w:t>
      </w:r>
      <w:r>
        <w:rPr>
          <w:rFonts w:hint="eastAsia" w:ascii="宋体" w:hAnsi="宋体" w:cs="宋体"/>
          <w:szCs w:val="21"/>
        </w:rPr>
        <w:t>20</w:t>
      </w:r>
      <w:r>
        <w:rPr>
          <w:rFonts w:ascii="宋体" w:hAnsi="宋体" w:cs="宋体"/>
          <w:szCs w:val="21"/>
        </w:rPr>
        <w:t>年（含20</w:t>
      </w:r>
      <w:r>
        <w:rPr>
          <w:rFonts w:hint="eastAsia" w:ascii="宋体" w:hAnsi="宋体" w:cs="宋体"/>
          <w:szCs w:val="21"/>
        </w:rPr>
        <w:t>20</w:t>
      </w:r>
      <w:r>
        <w:rPr>
          <w:rFonts w:ascii="宋体" w:hAnsi="宋体" w:cs="宋体"/>
          <w:szCs w:val="21"/>
        </w:rPr>
        <w:t>年）以来经会计师事务所或有资质审计机构出具的审计报告复印件（20</w:t>
      </w:r>
      <w:r>
        <w:rPr>
          <w:rFonts w:hint="eastAsia" w:ascii="宋体" w:hAnsi="宋体" w:cs="宋体"/>
          <w:szCs w:val="21"/>
        </w:rPr>
        <w:t>21</w:t>
      </w:r>
      <w:r>
        <w:rPr>
          <w:rFonts w:ascii="宋体" w:hAnsi="宋体" w:cs="宋体"/>
          <w:szCs w:val="21"/>
        </w:rPr>
        <w:t xml:space="preserve">年新成立的公司应提供公司成立日之后次月起到截标时间截止前一个月的财务报表复印件）或其基本开户银行出具有效的资信证明或财政部门认可的政府采购专业担保机构出具的竞标担保函 </w:t>
      </w:r>
      <w:r>
        <w:rPr>
          <w:rFonts w:hint="eastAsia" w:ascii="宋体" w:hAnsi="宋体" w:cs="宋体"/>
          <w:szCs w:val="21"/>
        </w:rPr>
        <w:t>。（格式自拟）；</w:t>
      </w:r>
    </w:p>
    <w:p>
      <w:pPr>
        <w:spacing w:line="420" w:lineRule="exact"/>
        <w:ind w:firstLine="561"/>
        <w:rPr>
          <w:rFonts w:ascii="宋体" w:hAnsi="宋体" w:cs="宋体"/>
          <w:sz w:val="24"/>
        </w:rPr>
      </w:pPr>
      <w:r>
        <w:rPr>
          <w:rFonts w:hint="eastAsia" w:ascii="宋体" w:hAnsi="宋体" w:cs="宋体"/>
          <w:szCs w:val="21"/>
        </w:rPr>
        <w:t>9、供应商认为可以证明其能力或业绩的其他材料以及供应商认为需要提供的其他有关资料。</w:t>
      </w:r>
    </w:p>
    <w:p>
      <w:pPr>
        <w:spacing w:line="300" w:lineRule="auto"/>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附一：</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法定代表人授权书（格式）</w:t>
      </w:r>
    </w:p>
    <w:p>
      <w:pPr>
        <w:adjustRightInd w:val="0"/>
        <w:snapToGrid w:val="0"/>
        <w:spacing w:line="520" w:lineRule="exact"/>
        <w:rPr>
          <w:rFonts w:ascii="宋体" w:hAnsi="宋体" w:cs="宋体"/>
          <w:sz w:val="24"/>
        </w:rPr>
      </w:pPr>
    </w:p>
    <w:p>
      <w:pPr>
        <w:spacing w:line="520" w:lineRule="exact"/>
        <w:rPr>
          <w:rFonts w:ascii="宋体" w:hAnsi="宋体" w:cs="宋体"/>
          <w:szCs w:val="21"/>
        </w:rPr>
      </w:pPr>
      <w:r>
        <w:rPr>
          <w:rFonts w:hint="eastAsia" w:ascii="宋体" w:hAnsi="宋体" w:cs="宋体"/>
          <w:szCs w:val="21"/>
          <w:u w:val="single"/>
        </w:rPr>
        <w:t>广西北部湾宏亚建设管理有限公司</w:t>
      </w:r>
      <w:r>
        <w:rPr>
          <w:rFonts w:hint="eastAsia" w:ascii="宋体" w:hAnsi="宋体" w:cs="宋体"/>
          <w:szCs w:val="21"/>
        </w:rPr>
        <w:t>：</w:t>
      </w:r>
    </w:p>
    <w:p>
      <w:pPr>
        <w:spacing w:line="520" w:lineRule="exact"/>
        <w:ind w:firstLine="420" w:firstLineChars="200"/>
        <w:rPr>
          <w:rFonts w:ascii="宋体" w:hAnsi="宋体" w:cs="宋体"/>
          <w:szCs w:val="21"/>
        </w:rPr>
      </w:pPr>
      <w:r>
        <w:rPr>
          <w:rFonts w:hint="eastAsia" w:ascii="宋体" w:hAnsi="宋体" w:cs="宋体"/>
          <w:szCs w:val="21"/>
        </w:rPr>
        <w:t>兹授权同志为我公司参加贵单位组织的</w:t>
      </w:r>
      <w:r>
        <w:rPr>
          <w:rFonts w:hint="eastAsia" w:ascii="宋体" w:hAnsi="宋体" w:cs="宋体"/>
          <w:szCs w:val="21"/>
          <w:u w:val="single"/>
        </w:rPr>
        <w:t>南宁师范大学学业测评与教学质量监测平台（阅卷系统）建设项目(GXZC2021-J1-002296-HYJS)</w:t>
      </w:r>
      <w:r>
        <w:rPr>
          <w:rFonts w:hint="eastAsia" w:ascii="宋体" w:hAnsi="宋体" w:cs="宋体"/>
          <w:szCs w:val="21"/>
        </w:rPr>
        <w:t xml:space="preserve">政府采购活动的竞标代理人，全权代表我公司处理在该项目活动中的一切事宜。代理期限从年月日起至年月日止。 </w:t>
      </w:r>
    </w:p>
    <w:p>
      <w:pPr>
        <w:spacing w:line="520" w:lineRule="exact"/>
        <w:rPr>
          <w:rFonts w:ascii="宋体" w:hAnsi="宋体" w:cs="宋体"/>
          <w:szCs w:val="21"/>
        </w:rPr>
      </w:pPr>
    </w:p>
    <w:p>
      <w:pPr>
        <w:spacing w:line="520" w:lineRule="exact"/>
        <w:ind w:left="474" w:leftChars="226"/>
        <w:rPr>
          <w:rFonts w:ascii="宋体" w:hAnsi="宋体" w:cs="宋体"/>
          <w:szCs w:val="21"/>
        </w:rPr>
      </w:pPr>
      <w:r>
        <w:rPr>
          <w:rFonts w:hint="eastAsia" w:ascii="宋体" w:hAnsi="宋体" w:cs="宋体"/>
          <w:szCs w:val="21"/>
        </w:rPr>
        <w:t>授权单位（盖章）：</w:t>
      </w:r>
    </w:p>
    <w:p>
      <w:pPr>
        <w:spacing w:line="520" w:lineRule="exact"/>
        <w:ind w:left="474" w:leftChars="226"/>
        <w:rPr>
          <w:rFonts w:ascii="宋体" w:hAnsi="宋体" w:cs="宋体"/>
          <w:szCs w:val="21"/>
        </w:rPr>
      </w:pPr>
      <w:r>
        <w:rPr>
          <w:rFonts w:hint="eastAsia" w:ascii="宋体" w:hAnsi="宋体" w:cs="宋体"/>
          <w:szCs w:val="21"/>
        </w:rPr>
        <w:t>法定代表人（签字）：</w:t>
      </w:r>
    </w:p>
    <w:p>
      <w:pPr>
        <w:spacing w:line="520" w:lineRule="exact"/>
        <w:ind w:left="474" w:leftChars="226"/>
        <w:rPr>
          <w:rFonts w:ascii="宋体" w:hAnsi="宋体" w:cs="宋体"/>
          <w:szCs w:val="21"/>
        </w:rPr>
      </w:pPr>
      <w:r>
        <w:rPr>
          <w:rFonts w:hint="eastAsia" w:ascii="宋体" w:hAnsi="宋体" w:cs="宋体"/>
          <w:szCs w:val="21"/>
        </w:rPr>
        <w:t>签发日期：年月日</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附：代理人工作单位：</w:t>
      </w:r>
    </w:p>
    <w:p>
      <w:pPr>
        <w:spacing w:line="520" w:lineRule="exact"/>
        <w:ind w:firstLine="420" w:firstLineChars="200"/>
        <w:rPr>
          <w:rFonts w:ascii="宋体" w:hAnsi="宋体" w:cs="宋体"/>
          <w:szCs w:val="21"/>
        </w:rPr>
      </w:pPr>
      <w:r>
        <w:rPr>
          <w:rFonts w:hint="eastAsia" w:ascii="宋体" w:hAnsi="宋体" w:cs="宋体"/>
          <w:szCs w:val="21"/>
        </w:rPr>
        <w:t>职务： 性别：</w:t>
      </w:r>
    </w:p>
    <w:p>
      <w:pPr>
        <w:adjustRightInd w:val="0"/>
        <w:snapToGrid w:val="0"/>
        <w:spacing w:line="520" w:lineRule="exact"/>
        <w:ind w:firstLine="420" w:firstLineChars="200"/>
        <w:rPr>
          <w:rFonts w:ascii="宋体" w:hAnsi="宋体" w:cs="宋体"/>
          <w:szCs w:val="21"/>
          <w:u w:val="single"/>
        </w:rPr>
      </w:pPr>
      <w:r>
        <w:rPr>
          <w:rFonts w:hint="eastAsia" w:ascii="宋体" w:hAnsi="宋体" w:cs="宋体"/>
          <w:szCs w:val="21"/>
        </w:rPr>
        <w:t>身份证号码：</w:t>
      </w:r>
    </w:p>
    <w:p>
      <w:pPr>
        <w:autoSpaceDE w:val="0"/>
        <w:autoSpaceDN w:val="0"/>
        <w:spacing w:line="300" w:lineRule="auto"/>
        <w:ind w:left="480" w:hanging="480"/>
        <w:rPr>
          <w:rFonts w:ascii="宋体" w:hAnsi="宋体" w:cs="宋体"/>
          <w:szCs w:val="21"/>
        </w:rPr>
      </w:pPr>
    </w:p>
    <w:p>
      <w:pPr>
        <w:spacing w:line="380" w:lineRule="exact"/>
        <w:rPr>
          <w:rFonts w:ascii="宋体" w:hAnsi="宋体" w:cs="宋体"/>
          <w:sz w:val="28"/>
          <w:szCs w:val="28"/>
        </w:rPr>
      </w:pPr>
    </w:p>
    <w:p>
      <w:pPr>
        <w:spacing w:line="300" w:lineRule="auto"/>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附二：</w:t>
      </w:r>
    </w:p>
    <w:p>
      <w:pPr>
        <w:pStyle w:val="16"/>
        <w:jc w:val="center"/>
        <w:rPr>
          <w:rFonts w:hAnsi="宋体" w:cs="宋体"/>
          <w:b/>
          <w:sz w:val="44"/>
          <w:szCs w:val="44"/>
        </w:rPr>
      </w:pPr>
      <w:r>
        <w:rPr>
          <w:rFonts w:hint="eastAsia" w:hAnsi="宋体" w:cs="宋体"/>
          <w:b/>
          <w:sz w:val="44"/>
          <w:szCs w:val="44"/>
        </w:rPr>
        <w:t>声   明</w:t>
      </w:r>
    </w:p>
    <w:p>
      <w:pPr>
        <w:snapToGrid w:val="0"/>
        <w:spacing w:line="440" w:lineRule="exact"/>
        <w:outlineLvl w:val="4"/>
        <w:rPr>
          <w:rFonts w:ascii="宋体" w:hAnsi="宋体" w:cs="宋体"/>
          <w:sz w:val="24"/>
        </w:rPr>
      </w:pPr>
    </w:p>
    <w:p>
      <w:pPr>
        <w:snapToGrid w:val="0"/>
        <w:spacing w:line="440" w:lineRule="exact"/>
        <w:outlineLvl w:val="4"/>
        <w:rPr>
          <w:rFonts w:ascii="宋体" w:hAnsi="宋体" w:cs="宋体"/>
          <w:szCs w:val="21"/>
        </w:rPr>
      </w:pPr>
      <w:r>
        <w:rPr>
          <w:rFonts w:hint="eastAsia" w:ascii="宋体" w:hAnsi="宋体" w:cs="宋体"/>
          <w:szCs w:val="21"/>
        </w:rPr>
        <w:t>致：</w:t>
      </w:r>
      <w:r>
        <w:rPr>
          <w:rFonts w:hint="eastAsia" w:ascii="宋体" w:hAnsi="宋体" w:cs="宋体"/>
          <w:szCs w:val="21"/>
          <w:u w:val="single"/>
        </w:rPr>
        <w:t>广西北部湾宏亚建设管理有限公司</w:t>
      </w:r>
    </w:p>
    <w:p>
      <w:pPr>
        <w:pStyle w:val="16"/>
        <w:spacing w:line="440" w:lineRule="exact"/>
        <w:ind w:firstLine="420" w:firstLineChars="200"/>
        <w:rPr>
          <w:rFonts w:hAnsi="宋体" w:cs="宋体"/>
          <w:szCs w:val="21"/>
        </w:rPr>
      </w:pPr>
    </w:p>
    <w:p>
      <w:pPr>
        <w:pStyle w:val="16"/>
        <w:spacing w:line="440" w:lineRule="exact"/>
        <w:ind w:firstLine="420" w:firstLineChars="200"/>
        <w:rPr>
          <w:rFonts w:hAnsi="宋体" w:cs="宋体"/>
          <w:szCs w:val="21"/>
        </w:rPr>
      </w:pPr>
      <w:r>
        <w:rPr>
          <w:rFonts w:hint="eastAsia" w:hAnsi="宋体" w:cs="宋体"/>
          <w:szCs w:val="21"/>
        </w:rPr>
        <w:t>我单位郑重声明，在参加政府采购活动前3年内在经营活动中没有重大违法记录（重大违法记录是指供应商因违法经营受到刑事处罚或者责令停产停业、吊销许可证或者执照、较大数额罚款等行政处罚）。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40" w:lineRule="exact"/>
        <w:ind w:firstLine="420"/>
        <w:outlineLvl w:val="4"/>
        <w:rPr>
          <w:rFonts w:ascii="宋体" w:hAnsi="宋体" w:cs="宋体"/>
          <w:szCs w:val="21"/>
        </w:rPr>
      </w:pPr>
    </w:p>
    <w:p>
      <w:pPr>
        <w:snapToGrid w:val="0"/>
        <w:spacing w:line="440" w:lineRule="exact"/>
        <w:ind w:firstLine="3675" w:firstLineChars="1750"/>
        <w:rPr>
          <w:rFonts w:ascii="宋体" w:hAnsi="宋体" w:cs="宋体"/>
          <w:szCs w:val="21"/>
        </w:rPr>
      </w:pPr>
      <w:r>
        <w:rPr>
          <w:rFonts w:hint="eastAsia" w:ascii="宋体" w:hAnsi="宋体" w:cs="宋体"/>
          <w:szCs w:val="21"/>
        </w:rPr>
        <w:t xml:space="preserve">法定代表人或委托代理人签名：               </w:t>
      </w:r>
    </w:p>
    <w:p>
      <w:pPr>
        <w:snapToGrid w:val="0"/>
        <w:spacing w:line="440" w:lineRule="exact"/>
        <w:ind w:firstLine="3675" w:firstLineChars="1750"/>
        <w:jc w:val="left"/>
        <w:rPr>
          <w:rFonts w:ascii="宋体" w:hAnsi="宋体" w:cs="宋体"/>
          <w:szCs w:val="21"/>
        </w:rPr>
      </w:pPr>
      <w:r>
        <w:rPr>
          <w:rFonts w:hint="eastAsia" w:ascii="宋体" w:hAnsi="宋体" w:cs="宋体"/>
          <w:szCs w:val="21"/>
        </w:rPr>
        <w:t xml:space="preserve">谈判供应商盖章：                 </w:t>
      </w:r>
    </w:p>
    <w:p>
      <w:pPr>
        <w:spacing w:line="440" w:lineRule="exact"/>
        <w:ind w:firstLine="3675" w:firstLineChars="1750"/>
        <w:rPr>
          <w:rFonts w:ascii="宋体" w:hAnsi="宋体" w:cs="宋体"/>
          <w:szCs w:val="21"/>
        </w:rPr>
      </w:pPr>
      <w:r>
        <w:rPr>
          <w:rFonts w:hint="eastAsia" w:ascii="宋体" w:hAnsi="宋体" w:cs="宋体"/>
          <w:szCs w:val="21"/>
        </w:rPr>
        <w:t xml:space="preserve">日期：                                                               </w:t>
      </w:r>
    </w:p>
    <w:p>
      <w:pPr>
        <w:pStyle w:val="16"/>
        <w:spacing w:line="400" w:lineRule="exact"/>
        <w:rPr>
          <w:rFonts w:hAnsi="宋体" w:cs="宋体"/>
          <w:sz w:val="28"/>
          <w:szCs w:val="28"/>
        </w:rPr>
      </w:pPr>
    </w:p>
    <w:p>
      <w:pPr>
        <w:spacing w:line="460" w:lineRule="exact"/>
        <w:rPr>
          <w:rFonts w:ascii="宋体" w:hAnsi="宋体" w:cs="宋体"/>
          <w:b/>
          <w:sz w:val="28"/>
          <w:szCs w:val="28"/>
        </w:rPr>
      </w:pPr>
      <w:r>
        <w:rPr>
          <w:rFonts w:hint="eastAsia" w:ascii="宋体" w:hAnsi="宋体" w:cs="宋体"/>
          <w:sz w:val="28"/>
          <w:szCs w:val="28"/>
        </w:rPr>
        <w:br w:type="page"/>
      </w:r>
      <w:r>
        <w:rPr>
          <w:rFonts w:hint="eastAsia" w:ascii="宋体" w:hAnsi="宋体" w:cs="宋体"/>
          <w:sz w:val="28"/>
          <w:szCs w:val="28"/>
        </w:rPr>
        <w:t>附三：</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项目实施人员一览表（格式）</w:t>
      </w:r>
    </w:p>
    <w:p>
      <w:pPr>
        <w:snapToGrid w:val="0"/>
        <w:spacing w:before="156" w:beforeLines="50" w:after="50" w:line="400" w:lineRule="exact"/>
        <w:jc w:val="center"/>
        <w:rPr>
          <w:rFonts w:ascii="宋体" w:hAnsi="宋体" w:cs="宋体"/>
          <w:b/>
          <w:sz w:val="30"/>
          <w:szCs w:val="30"/>
        </w:rPr>
      </w:pPr>
      <w:r>
        <w:rPr>
          <w:rFonts w:hint="eastAsia" w:ascii="宋体" w:hAnsi="宋体" w:cs="宋体"/>
          <w:b/>
          <w:sz w:val="30"/>
          <w:szCs w:val="30"/>
        </w:rPr>
        <w:t>（拟投入人员及其技术资格一览表）</w:t>
      </w:r>
    </w:p>
    <w:p>
      <w:pPr>
        <w:snapToGrid w:val="0"/>
        <w:spacing w:before="156" w:beforeLines="50" w:after="50" w:line="400" w:lineRule="exact"/>
        <w:jc w:val="left"/>
        <w:rPr>
          <w:rFonts w:ascii="宋体" w:hAnsi="宋体" w:cs="宋体"/>
          <w:b/>
          <w:sz w:val="28"/>
          <w:szCs w:val="28"/>
        </w:rPr>
      </w:pPr>
      <w:r>
        <w:rPr>
          <w:rFonts w:hint="eastAsia" w:ascii="宋体" w:hAnsi="宋体" w:cs="宋体"/>
          <w:b/>
          <w:sz w:val="28"/>
          <w:szCs w:val="28"/>
        </w:rPr>
        <w:t xml:space="preserve">    分标（如有）</w:t>
      </w:r>
    </w:p>
    <w:tbl>
      <w:tblPr>
        <w:tblStyle w:val="31"/>
        <w:tblW w:w="97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9"/>
        <w:gridCol w:w="1182"/>
        <w:gridCol w:w="1182"/>
        <w:gridCol w:w="1561"/>
        <w:gridCol w:w="1212"/>
        <w:gridCol w:w="1520"/>
        <w:gridCol w:w="1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cs="宋体"/>
                <w:szCs w:val="21"/>
              </w:rPr>
            </w:pPr>
            <w:r>
              <w:rPr>
                <w:rFonts w:hint="eastAsia" w:ascii="宋体" w:hAnsi="宋体" w:cs="宋体"/>
                <w:szCs w:val="21"/>
              </w:rPr>
              <w:t>序号</w:t>
            </w: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cs="宋体"/>
                <w:szCs w:val="21"/>
              </w:rPr>
            </w:pPr>
            <w:r>
              <w:rPr>
                <w:rFonts w:hint="eastAsia" w:ascii="宋体" w:hAnsi="宋体" w:cs="宋体"/>
                <w:szCs w:val="21"/>
              </w:rPr>
              <w:t>姓名</w:t>
            </w: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cs="宋体"/>
                <w:szCs w:val="21"/>
              </w:rPr>
            </w:pPr>
            <w:r>
              <w:rPr>
                <w:rFonts w:hint="eastAsia" w:ascii="宋体" w:hAnsi="宋体" w:cs="宋体"/>
                <w:szCs w:val="21"/>
              </w:rPr>
              <w:t>职务</w:t>
            </w: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cs="宋体"/>
                <w:szCs w:val="21"/>
              </w:rPr>
            </w:pPr>
            <w:r>
              <w:rPr>
                <w:rFonts w:hint="eastAsia" w:ascii="宋体" w:hAnsi="宋体" w:cs="宋体"/>
                <w:szCs w:val="21"/>
              </w:rPr>
              <w:t>专业技术资格</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cs="宋体"/>
                <w:szCs w:val="21"/>
              </w:rPr>
            </w:pPr>
            <w:r>
              <w:rPr>
                <w:rFonts w:hint="eastAsia" w:ascii="宋体" w:hAnsi="宋体" w:cs="宋体"/>
                <w:szCs w:val="21"/>
              </w:rPr>
              <w:t>证书编号</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cs="宋体"/>
                <w:bCs/>
                <w:szCs w:val="21"/>
              </w:rPr>
            </w:pPr>
            <w:r>
              <w:rPr>
                <w:rFonts w:hint="eastAsia" w:ascii="宋体" w:hAnsi="宋体" w:cs="宋体"/>
                <w:bCs/>
                <w:szCs w:val="21"/>
              </w:rPr>
              <w:t>参加本单位工作时间</w:t>
            </w:r>
          </w:p>
        </w:tc>
        <w:tc>
          <w:tcPr>
            <w:tcW w:w="18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cs="宋体"/>
                <w:bCs/>
                <w:szCs w:val="21"/>
              </w:rPr>
            </w:pPr>
            <w:r>
              <w:rPr>
                <w:rFonts w:hint="eastAsia" w:ascii="宋体" w:hAnsi="宋体" w:cs="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9"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858"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9"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858"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49"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858"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9"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858"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9"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858"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9"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18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61"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ind w:left="5250"/>
              <w:rPr>
                <w:rFonts w:ascii="宋体" w:hAnsi="宋体" w:cs="宋体"/>
                <w:b/>
                <w:bCs/>
                <w:sz w:val="21"/>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5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c>
          <w:tcPr>
            <w:tcW w:w="1858"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cs="宋体"/>
                <w:b/>
                <w:bCs/>
                <w:sz w:val="32"/>
                <w:szCs w:val="21"/>
              </w:rPr>
            </w:pPr>
          </w:p>
        </w:tc>
      </w:tr>
    </w:tbl>
    <w:p>
      <w:pPr>
        <w:snapToGrid w:val="0"/>
        <w:spacing w:before="50" w:after="156" w:afterLines="50" w:line="440" w:lineRule="exact"/>
        <w:ind w:firstLine="420" w:firstLineChars="200"/>
        <w:jc w:val="left"/>
        <w:rPr>
          <w:rFonts w:ascii="宋体" w:hAnsi="宋体" w:cs="宋体"/>
          <w:szCs w:val="21"/>
        </w:rPr>
      </w:pPr>
      <w:r>
        <w:rPr>
          <w:rFonts w:hint="eastAsia" w:ascii="宋体" w:hAnsi="宋体" w:cs="宋体"/>
          <w:szCs w:val="21"/>
        </w:rPr>
        <w:t>注：在填写时，如本表格不适合谈判供应商的实际情况，可根据本表格式自行划表填写。</w:t>
      </w:r>
    </w:p>
    <w:p>
      <w:pPr>
        <w:snapToGrid w:val="0"/>
        <w:spacing w:before="50" w:after="50" w:line="440" w:lineRule="exact"/>
        <w:rPr>
          <w:rFonts w:ascii="宋体" w:hAnsi="宋体" w:cs="宋体"/>
          <w:szCs w:val="21"/>
        </w:rPr>
      </w:pPr>
    </w:p>
    <w:p>
      <w:pPr>
        <w:pStyle w:val="16"/>
        <w:spacing w:line="500" w:lineRule="exact"/>
        <w:rPr>
          <w:rFonts w:hAnsi="宋体" w:cs="宋体"/>
          <w:szCs w:val="21"/>
          <w:u w:val="single"/>
        </w:rPr>
      </w:pPr>
      <w:r>
        <w:rPr>
          <w:rFonts w:hint="eastAsia" w:hAnsi="宋体" w:cs="宋体"/>
          <w:szCs w:val="21"/>
        </w:rPr>
        <w:t>法定代表人或委托代理人（签字）:</w:t>
      </w:r>
    </w:p>
    <w:p>
      <w:pPr>
        <w:pStyle w:val="16"/>
        <w:spacing w:line="500" w:lineRule="exact"/>
        <w:rPr>
          <w:rFonts w:hAnsi="宋体" w:cs="宋体"/>
          <w:szCs w:val="21"/>
          <w:u w:val="single"/>
        </w:rPr>
      </w:pPr>
      <w:r>
        <w:rPr>
          <w:rFonts w:hint="eastAsia" w:hAnsi="宋体" w:cs="宋体"/>
          <w:szCs w:val="21"/>
        </w:rPr>
        <w:t>谈判供应商名称（盖章）：</w:t>
      </w:r>
    </w:p>
    <w:p>
      <w:pPr>
        <w:pStyle w:val="16"/>
        <w:spacing w:line="500" w:lineRule="exact"/>
        <w:rPr>
          <w:rFonts w:hAnsi="宋体" w:cs="宋体"/>
          <w:szCs w:val="21"/>
          <w:u w:val="single"/>
        </w:rPr>
      </w:pPr>
      <w:r>
        <w:rPr>
          <w:rFonts w:hint="eastAsia" w:hAnsi="宋体" w:cs="宋体"/>
          <w:szCs w:val="21"/>
        </w:rPr>
        <w:t>日期：年月日</w:t>
      </w:r>
    </w:p>
    <w:p>
      <w:pPr>
        <w:spacing w:line="500" w:lineRule="exact"/>
        <w:ind w:firstLine="420" w:firstLineChars="200"/>
        <w:rPr>
          <w:rFonts w:ascii="宋体" w:hAnsi="宋体" w:cs="宋体"/>
          <w:szCs w:val="21"/>
        </w:rPr>
      </w:pPr>
    </w:p>
    <w:p>
      <w:pPr>
        <w:rPr>
          <w:rFonts w:ascii="宋体" w:hAnsi="宋体" w:cs="宋体"/>
          <w:szCs w:val="21"/>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8"/>
          <w:szCs w:val="28"/>
        </w:rPr>
      </w:pPr>
    </w:p>
    <w:p>
      <w:pPr>
        <w:spacing w:line="380" w:lineRule="exact"/>
        <w:rPr>
          <w:rFonts w:ascii="宋体" w:hAnsi="宋体" w:cs="宋体"/>
          <w:sz w:val="24"/>
        </w:rPr>
      </w:pPr>
      <w:r>
        <w:rPr>
          <w:rFonts w:hint="eastAsia" w:ascii="宋体" w:hAnsi="宋体" w:cs="宋体"/>
          <w:sz w:val="28"/>
          <w:szCs w:val="28"/>
        </w:rPr>
        <w:t>六、中小企业声明函</w:t>
      </w:r>
    </w:p>
    <w:p>
      <w:pPr>
        <w:snapToGrid w:val="0"/>
        <w:spacing w:before="50" w:after="156" w:afterLines="50"/>
        <w:ind w:left="626" w:hanging="624" w:hangingChars="195"/>
        <w:jc w:val="center"/>
        <w:rPr>
          <w:rFonts w:ascii="宋体" w:hAnsi="宋体" w:cs="宋体"/>
          <w:b/>
          <w:sz w:val="32"/>
          <w:szCs w:val="32"/>
        </w:rPr>
      </w:pPr>
      <w:r>
        <w:rPr>
          <w:rFonts w:hint="eastAsia" w:ascii="宋体" w:hAnsi="宋体" w:cs="宋体"/>
          <w:b/>
          <w:sz w:val="32"/>
          <w:szCs w:val="32"/>
        </w:rPr>
        <w:t>中小企业声明函（货物）</w:t>
      </w:r>
    </w:p>
    <w:p>
      <w:pPr>
        <w:spacing w:line="440" w:lineRule="exact"/>
        <w:rPr>
          <w:rFonts w:ascii="宋体" w:hAnsi="宋体" w:cs="宋体"/>
          <w:sz w:val="24"/>
        </w:rPr>
      </w:pPr>
    </w:p>
    <w:p>
      <w:pPr>
        <w:spacing w:line="360" w:lineRule="auto"/>
        <w:ind w:firstLine="420" w:firstLineChars="200"/>
        <w:jc w:val="left"/>
        <w:rPr>
          <w:rFonts w:ascii="宋体" w:hAnsi="宋体" w:cs="宋体"/>
          <w:szCs w:val="21"/>
        </w:rPr>
      </w:pPr>
      <w:r>
        <w:rPr>
          <w:rFonts w:hint="eastAsia" w:ascii="宋体" w:hAnsi="宋体" w:cs="宋体"/>
          <w:szCs w:val="21"/>
        </w:rPr>
        <w:t>本公司（或联合体）郑重声明，根据《政府采购促进中小企业发展管理办法》（财库[2020]46号）的规定，本公司（或联合体）参加</w:t>
      </w:r>
      <w:r>
        <w:rPr>
          <w:rFonts w:hint="eastAsia" w:ascii="宋体" w:hAnsi="宋体" w:cs="宋体"/>
          <w:szCs w:val="21"/>
          <w:u w:val="single"/>
        </w:rPr>
        <w:t xml:space="preserve">（单位名称）    </w:t>
      </w:r>
      <w:r>
        <w:rPr>
          <w:rFonts w:hint="eastAsia" w:ascii="宋体" w:hAnsi="宋体" w:cs="宋体"/>
          <w:szCs w:val="21"/>
        </w:rPr>
        <w:t>的</w:t>
      </w:r>
      <w:r>
        <w:rPr>
          <w:rFonts w:hint="eastAsia" w:ascii="宋体" w:hAnsi="宋体" w:cs="宋体"/>
          <w:szCs w:val="21"/>
          <w:u w:val="single"/>
        </w:rPr>
        <w:t xml:space="preserve">（项目名称）       </w:t>
      </w:r>
      <w:r>
        <w:rPr>
          <w:rFonts w:hint="eastAsia" w:ascii="宋体" w:hAnsi="宋体" w:cs="宋体"/>
          <w:szCs w:val="21"/>
        </w:rPr>
        <w:t>采购活动，提供的货物全部由符合政策要求的中小企业制造。相关企业（含联合体中的中小企业）的具体情况如下：</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项目名称）      </w:t>
      </w:r>
      <w:r>
        <w:rPr>
          <w:rFonts w:hint="eastAsia" w:ascii="宋体" w:hAnsi="宋体" w:cs="宋体"/>
          <w:szCs w:val="21"/>
        </w:rPr>
        <w:t>，属于</w:t>
      </w:r>
      <w:r>
        <w:rPr>
          <w:rFonts w:hint="eastAsia" w:ascii="宋体" w:hAnsi="宋体" w:cs="宋体"/>
          <w:szCs w:val="21"/>
          <w:u w:val="single"/>
        </w:rPr>
        <w:t xml:space="preserve">（采购文件中明确的所属行业）          </w:t>
      </w:r>
      <w:r>
        <w:rPr>
          <w:rFonts w:hint="eastAsia" w:ascii="宋体" w:hAnsi="宋体" w:cs="宋体"/>
          <w:szCs w:val="21"/>
        </w:rPr>
        <w:t>；承建（承接）企业为</w:t>
      </w:r>
      <w:r>
        <w:rPr>
          <w:rFonts w:hint="eastAsia" w:ascii="宋体" w:hAnsi="宋体" w:cs="宋体"/>
          <w:szCs w:val="21"/>
          <w:u w:val="single"/>
        </w:rPr>
        <w:t xml:space="preserve">（企业名称）              </w:t>
      </w:r>
      <w:r>
        <w:rPr>
          <w:rFonts w:hint="eastAsia" w:ascii="宋体" w:hAnsi="宋体" w:cs="宋体"/>
          <w:szCs w:val="21"/>
        </w:rPr>
        <w:t>，从业人员人，营业收入为万元</w:t>
      </w:r>
      <w:r>
        <w:rPr>
          <w:rFonts w:hint="eastAsia" w:ascii="宋体" w:hAnsi="宋体" w:cs="宋体"/>
          <w:sz w:val="32"/>
          <w:szCs w:val="32"/>
          <w:vertAlign w:val="superscript"/>
        </w:rPr>
        <w:t>1</w:t>
      </w:r>
      <w:r>
        <w:rPr>
          <w:rFonts w:hint="eastAsia" w:ascii="宋体" w:hAnsi="宋体" w:cs="宋体"/>
          <w:szCs w:val="21"/>
        </w:rPr>
        <w:t>，资产总额为万元，属于</w:t>
      </w:r>
      <w:r>
        <w:rPr>
          <w:rFonts w:hint="eastAsia" w:ascii="宋体" w:hAnsi="宋体" w:cs="宋体"/>
          <w:szCs w:val="21"/>
          <w:u w:val="single"/>
        </w:rPr>
        <w:t xml:space="preserve">（中型企业、小型企业、微型企业）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 （</w:t>
      </w:r>
      <w:r>
        <w:rPr>
          <w:rFonts w:hint="eastAsia" w:ascii="宋体" w:hAnsi="宋体" w:cs="宋体"/>
          <w:szCs w:val="21"/>
          <w:u w:val="single"/>
        </w:rPr>
        <w:t xml:space="preserve">项目名称）      </w:t>
      </w:r>
      <w:r>
        <w:rPr>
          <w:rFonts w:hint="eastAsia" w:ascii="宋体" w:hAnsi="宋体" w:cs="宋体"/>
          <w:szCs w:val="21"/>
        </w:rPr>
        <w:t>，属于</w:t>
      </w:r>
      <w:r>
        <w:rPr>
          <w:rFonts w:hint="eastAsia" w:ascii="宋体" w:hAnsi="宋体" w:cs="宋体"/>
          <w:szCs w:val="21"/>
          <w:u w:val="single"/>
        </w:rPr>
        <w:t xml:space="preserve">（采购文件中明确的所属行业）          </w:t>
      </w:r>
      <w:r>
        <w:rPr>
          <w:rFonts w:hint="eastAsia" w:ascii="宋体" w:hAnsi="宋体" w:cs="宋体"/>
          <w:szCs w:val="21"/>
        </w:rPr>
        <w:t>；承建（承接）企业为</w:t>
      </w:r>
      <w:r>
        <w:rPr>
          <w:rFonts w:hint="eastAsia" w:ascii="宋体" w:hAnsi="宋体" w:cs="宋体"/>
          <w:szCs w:val="21"/>
          <w:u w:val="single"/>
        </w:rPr>
        <w:t xml:space="preserve">（企业名称）              </w:t>
      </w:r>
      <w:r>
        <w:rPr>
          <w:rFonts w:hint="eastAsia" w:ascii="宋体" w:hAnsi="宋体" w:cs="宋体"/>
          <w:szCs w:val="21"/>
        </w:rPr>
        <w:t>，从业人员人，营业收入为万元，资产总额为万元，属于</w:t>
      </w:r>
      <w:r>
        <w:rPr>
          <w:rFonts w:hint="eastAsia" w:ascii="宋体" w:hAnsi="宋体" w:cs="宋体"/>
          <w:szCs w:val="21"/>
          <w:u w:val="single"/>
        </w:rPr>
        <w:t xml:space="preserve">（中型企业、小型企业、微型企业）               </w:t>
      </w:r>
      <w:r>
        <w:rPr>
          <w:rFonts w:hint="eastAsia" w:ascii="宋体" w:hAnsi="宋体" w:cs="宋体"/>
          <w:szCs w:val="21"/>
        </w:rPr>
        <w:t>；</w:t>
      </w:r>
    </w:p>
    <w:p>
      <w:pPr>
        <w:spacing w:line="360" w:lineRule="auto"/>
        <w:ind w:firstLine="525" w:firstLineChars="250"/>
        <w:jc w:val="left"/>
        <w:rPr>
          <w:rFonts w:ascii="宋体" w:hAnsi="宋体" w:cs="宋体"/>
        </w:rPr>
      </w:pPr>
      <w:r>
        <w:rPr>
          <w:rFonts w:hint="eastAsia" w:ascii="宋体" w:hAnsi="宋体" w:cs="宋体"/>
        </w:rPr>
        <w:t>……</w:t>
      </w:r>
    </w:p>
    <w:p>
      <w:pPr>
        <w:spacing w:line="360" w:lineRule="auto"/>
        <w:ind w:firstLine="525" w:firstLineChars="25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rPr>
      </w:pPr>
      <w:r>
        <w:rPr>
          <w:rFonts w:hint="eastAsia" w:ascii="宋体" w:hAnsi="宋体" w:cs="宋体"/>
        </w:rPr>
        <w:t>本企业对上述声明内容的真实性负责。如有虚假，将依法承担相应责任。</w:t>
      </w:r>
    </w:p>
    <w:p>
      <w:pPr>
        <w:pStyle w:val="30"/>
        <w:ind w:left="420"/>
        <w:rPr>
          <w:rFonts w:ascii="宋体" w:cs="宋体"/>
        </w:rPr>
      </w:pPr>
    </w:p>
    <w:p>
      <w:pPr>
        <w:spacing w:line="360" w:lineRule="auto"/>
        <w:ind w:firstLine="6615" w:firstLineChars="3150"/>
        <w:jc w:val="left"/>
        <w:rPr>
          <w:rFonts w:ascii="宋体" w:hAnsi="宋体" w:cs="宋体"/>
        </w:rPr>
      </w:pPr>
      <w:r>
        <w:rPr>
          <w:rFonts w:hint="eastAsia" w:ascii="宋体" w:hAnsi="宋体" w:cs="宋体"/>
        </w:rPr>
        <w:t>企业名称（盖章）：</w:t>
      </w:r>
    </w:p>
    <w:p>
      <w:pPr>
        <w:spacing w:line="360" w:lineRule="auto"/>
        <w:ind w:firstLine="6825" w:firstLineChars="3250"/>
        <w:jc w:val="left"/>
        <w:rPr>
          <w:rFonts w:ascii="宋体" w:hAnsi="宋体" w:cs="宋体"/>
        </w:rPr>
      </w:pPr>
      <w:r>
        <w:rPr>
          <w:rFonts w:hint="eastAsia" w:ascii="宋体" w:hAnsi="宋体" w:cs="宋体"/>
        </w:rPr>
        <w:t>日期：</w:t>
      </w:r>
    </w:p>
    <w:p>
      <w:pPr>
        <w:spacing w:line="300" w:lineRule="atLeast"/>
        <w:ind w:firstLine="420" w:firstLineChars="200"/>
        <w:rPr>
          <w:rFonts w:ascii="宋体" w:hAnsi="宋体" w:cs="宋体"/>
          <w:szCs w:val="21"/>
        </w:rPr>
      </w:pPr>
      <w:r>
        <w:rPr>
          <w:rFonts w:hint="eastAsia" w:ascii="宋体" w:hAnsi="宋体" w:cs="宋体"/>
          <w:szCs w:val="21"/>
        </w:rPr>
        <w:t>备注：</w:t>
      </w:r>
    </w:p>
    <w:p>
      <w:pPr>
        <w:spacing w:line="300" w:lineRule="atLeast"/>
        <w:ind w:firstLine="405"/>
        <w:rPr>
          <w:rFonts w:ascii="宋体" w:hAnsi="宋体" w:cs="宋体"/>
          <w:szCs w:val="21"/>
        </w:rPr>
      </w:pPr>
      <w:r>
        <w:rPr>
          <w:rFonts w:hint="eastAsia" w:ascii="宋体" w:hAnsi="宋体" w:cs="宋体"/>
          <w:szCs w:val="21"/>
        </w:rPr>
        <w:t>1.本项目对应中小企业划分标准所属行业：</w:t>
      </w:r>
      <w:r>
        <w:rPr>
          <w:rFonts w:hint="eastAsia" w:ascii="宋体" w:hAnsi="宋体" w:cs="宋体"/>
          <w:b/>
          <w:bCs/>
        </w:rPr>
        <w:t>其他未列明行业</w:t>
      </w:r>
    </w:p>
    <w:p>
      <w:pPr>
        <w:spacing w:line="300" w:lineRule="atLeast"/>
        <w:ind w:firstLine="405"/>
        <w:rPr>
          <w:rFonts w:ascii="宋体" w:hAnsi="宋体" w:cs="宋体"/>
          <w:szCs w:val="21"/>
        </w:rPr>
      </w:pPr>
      <w:r>
        <w:rPr>
          <w:rFonts w:hint="eastAsia" w:ascii="宋体" w:hAnsi="宋体" w:cs="宋体"/>
          <w:szCs w:val="21"/>
        </w:rPr>
        <w:t>2.从业人员，营业收入，资产总额填报上一年度数据，无上一年度数据的新成立企业可不填报。</w:t>
      </w:r>
    </w:p>
    <w:p>
      <w:pPr>
        <w:spacing w:line="300" w:lineRule="atLeast"/>
        <w:ind w:firstLine="420" w:firstLineChars="200"/>
        <w:rPr>
          <w:rFonts w:ascii="宋体" w:hAnsi="宋体" w:cs="宋体"/>
          <w:szCs w:val="21"/>
        </w:rPr>
      </w:pPr>
      <w:r>
        <w:rPr>
          <w:rFonts w:hint="eastAsia" w:ascii="宋体" w:hAnsi="宋体" w:cs="宋体"/>
          <w:szCs w:val="21"/>
        </w:rPr>
        <w:t>3.填写前请认真阅读《工业和信息化部　国家统计局　国家发展和改革委员会　财政部关于印发中小企业划型标准规定的通知》(工信部联企业〔2011〕300号)和财政部《政府采购促进中小企业发展管理办法》（财库[2020]46号）相关规定。</w:t>
      </w:r>
    </w:p>
    <w:p>
      <w:pPr>
        <w:spacing w:line="300" w:lineRule="atLeast"/>
        <w:ind w:firstLine="420" w:firstLineChars="200"/>
        <w:rPr>
          <w:rFonts w:ascii="宋体" w:hAnsi="宋体" w:cs="宋体"/>
          <w:szCs w:val="21"/>
        </w:rPr>
      </w:pPr>
      <w:r>
        <w:rPr>
          <w:rFonts w:hint="eastAsia" w:ascii="宋体" w:hAnsi="宋体" w:cs="宋体"/>
          <w:szCs w:val="21"/>
        </w:rPr>
        <w:t>5、采购单位将在成交公告中公布成交人《中小企业声明函》中的声明信息，接受社会监督，供应商如有虚假，将依法承担相应责任。</w:t>
      </w:r>
    </w:p>
    <w:p>
      <w:r>
        <w:rPr>
          <w:rFonts w:hint="eastAsia" w:ascii="宋体" w:hAnsi="宋体" w:cs="宋体"/>
          <w:szCs w:val="21"/>
        </w:rPr>
        <w:t>6、万元</w:t>
      </w:r>
      <w:r>
        <w:rPr>
          <w:rFonts w:hint="eastAsia" w:ascii="宋体" w:hAnsi="宋体" w:cs="宋体"/>
          <w:szCs w:val="21"/>
          <w:vertAlign w:val="superscript"/>
        </w:rPr>
        <w:t>1</w:t>
      </w:r>
      <w:r>
        <w:rPr>
          <w:rFonts w:hint="eastAsia" w:ascii="宋体" w:hAnsi="宋体" w:cs="宋体"/>
          <w:szCs w:val="21"/>
        </w:rPr>
        <w:t>：“</w:t>
      </w: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p>
      <w:pPr>
        <w:pStyle w:val="14"/>
        <w:rPr>
          <w:rFonts w:hAnsi="宋体" w:cs="宋体"/>
          <w:sz w:val="28"/>
          <w:szCs w:val="28"/>
        </w:rPr>
      </w:pPr>
    </w:p>
    <w:p>
      <w:pPr>
        <w:snapToGrid w:val="0"/>
        <w:spacing w:before="50"/>
        <w:jc w:val="left"/>
        <w:rPr>
          <w:rFonts w:ascii="宋体" w:hAnsi="宋体" w:cs="宋体"/>
          <w:sz w:val="28"/>
          <w:szCs w:val="28"/>
        </w:rPr>
      </w:pPr>
    </w:p>
    <w:p>
      <w:pPr>
        <w:snapToGrid w:val="0"/>
        <w:spacing w:before="50"/>
        <w:jc w:val="left"/>
        <w:rPr>
          <w:rFonts w:ascii="宋体" w:hAnsi="宋体" w:cs="宋体"/>
          <w:sz w:val="28"/>
          <w:szCs w:val="28"/>
        </w:rPr>
      </w:pPr>
    </w:p>
    <w:p>
      <w:pPr>
        <w:snapToGrid w:val="0"/>
        <w:spacing w:before="50"/>
        <w:jc w:val="left"/>
        <w:rPr>
          <w:rFonts w:ascii="宋体" w:hAnsi="宋体" w:cs="宋体"/>
          <w:sz w:val="28"/>
          <w:szCs w:val="28"/>
        </w:rPr>
      </w:pPr>
    </w:p>
    <w:p>
      <w:pPr>
        <w:snapToGrid w:val="0"/>
        <w:spacing w:before="50"/>
        <w:jc w:val="left"/>
        <w:rPr>
          <w:rFonts w:ascii="宋体" w:hAnsi="宋体" w:cs="宋体"/>
          <w:sz w:val="28"/>
          <w:szCs w:val="28"/>
        </w:rPr>
      </w:pPr>
      <w:r>
        <w:rPr>
          <w:rFonts w:hint="eastAsia" w:ascii="宋体" w:hAnsi="宋体" w:cs="宋体"/>
          <w:sz w:val="28"/>
          <w:szCs w:val="28"/>
        </w:rPr>
        <w:t>七、监狱企业证明文件（格式自拟）</w:t>
      </w:r>
    </w:p>
    <w:p>
      <w:pPr>
        <w:snapToGrid w:val="0"/>
        <w:spacing w:before="50"/>
        <w:jc w:val="left"/>
        <w:rPr>
          <w:rFonts w:ascii="宋体" w:hAnsi="宋体" w:cs="宋体"/>
          <w:sz w:val="28"/>
          <w:szCs w:val="28"/>
        </w:rPr>
      </w:pPr>
    </w:p>
    <w:p>
      <w:pPr>
        <w:snapToGrid w:val="0"/>
        <w:spacing w:before="50"/>
        <w:jc w:val="left"/>
        <w:rPr>
          <w:rFonts w:ascii="宋体" w:hAnsi="宋体" w:cs="宋体"/>
          <w:sz w:val="28"/>
          <w:szCs w:val="28"/>
        </w:rPr>
      </w:pPr>
    </w:p>
    <w:p>
      <w:pPr>
        <w:snapToGrid w:val="0"/>
        <w:spacing w:before="50"/>
        <w:jc w:val="left"/>
        <w:rPr>
          <w:rFonts w:ascii="宋体" w:hAnsi="宋体" w:cs="宋体"/>
          <w:sz w:val="24"/>
        </w:rPr>
      </w:pPr>
    </w:p>
    <w:p>
      <w:pPr>
        <w:snapToGrid w:val="0"/>
        <w:spacing w:before="50"/>
        <w:jc w:val="left"/>
        <w:rPr>
          <w:rFonts w:ascii="宋体" w:hAnsi="宋体" w:cs="宋体"/>
          <w:b/>
          <w:sz w:val="28"/>
          <w:szCs w:val="28"/>
        </w:rPr>
      </w:pPr>
      <w:r>
        <w:rPr>
          <w:rFonts w:hint="eastAsia" w:ascii="宋体" w:hAnsi="宋体" w:cs="宋体"/>
          <w:sz w:val="28"/>
          <w:szCs w:val="28"/>
        </w:rPr>
        <w:t xml:space="preserve">八、残疾人福利性单位声明函 </w:t>
      </w:r>
    </w:p>
    <w:p>
      <w:pPr>
        <w:snapToGrid w:val="0"/>
        <w:spacing w:before="50"/>
        <w:jc w:val="left"/>
        <w:rPr>
          <w:rFonts w:ascii="宋体" w:hAnsi="宋体" w:cs="宋体"/>
          <w:b/>
          <w:sz w:val="28"/>
          <w:szCs w:val="28"/>
        </w:rPr>
      </w:pPr>
    </w:p>
    <w:p>
      <w:pPr>
        <w:spacing w:line="500" w:lineRule="exact"/>
        <w:jc w:val="center"/>
        <w:rPr>
          <w:rFonts w:ascii="宋体" w:hAnsi="宋体" w:cs="宋体"/>
          <w:b/>
          <w:sz w:val="36"/>
          <w:szCs w:val="36"/>
        </w:rPr>
      </w:pPr>
      <w:r>
        <w:rPr>
          <w:rFonts w:hint="eastAsia" w:ascii="宋体" w:hAnsi="宋体" w:cs="宋体"/>
          <w:b/>
          <w:sz w:val="36"/>
          <w:szCs w:val="36"/>
        </w:rPr>
        <w:t>残疾人福利性单位声明函（格式）</w:t>
      </w:r>
    </w:p>
    <w:p>
      <w:pPr>
        <w:spacing w:line="588" w:lineRule="exact"/>
        <w:rPr>
          <w:rFonts w:ascii="宋体" w:hAnsi="宋体" w:cs="宋体"/>
          <w:spacing w:val="6"/>
          <w:sz w:val="24"/>
        </w:rPr>
      </w:pPr>
    </w:p>
    <w:p>
      <w:pPr>
        <w:widowControl/>
        <w:shd w:val="clear" w:color="auto" w:fill="FFFFFF"/>
        <w:spacing w:after="240" w:line="440" w:lineRule="exact"/>
        <w:ind w:firstLine="480"/>
        <w:rPr>
          <w:rFonts w:ascii="宋体" w:hAnsi="宋体" w:cs="宋体"/>
          <w:kern w:val="0"/>
          <w:szCs w:val="21"/>
        </w:rPr>
      </w:pPr>
      <w:r>
        <w:rPr>
          <w:rFonts w:hint="eastAsia" w:ascii="宋体" w:hAnsi="宋体" w:cs="宋体"/>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after="240" w:line="440" w:lineRule="exact"/>
        <w:ind w:firstLine="480"/>
        <w:jc w:val="left"/>
        <w:rPr>
          <w:rFonts w:ascii="宋体" w:hAnsi="宋体" w:cs="宋体"/>
          <w:kern w:val="0"/>
          <w:szCs w:val="21"/>
        </w:rPr>
      </w:pPr>
      <w:r>
        <w:rPr>
          <w:rFonts w:hint="eastAsia" w:ascii="宋体" w:hAnsi="宋体" w:cs="宋体"/>
          <w:kern w:val="0"/>
          <w:szCs w:val="21"/>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444" w:firstLineChars="200"/>
        <w:rPr>
          <w:rFonts w:ascii="宋体" w:hAnsi="宋体" w:cs="宋体"/>
          <w:spacing w:val="6"/>
          <w:szCs w:val="21"/>
        </w:rPr>
      </w:pP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pPr>
        <w:tabs>
          <w:tab w:val="left" w:pos="4860"/>
        </w:tabs>
        <w:spacing w:line="588" w:lineRule="exact"/>
        <w:ind w:right="98" w:firstLine="444" w:firstLineChars="200"/>
        <w:jc w:val="center"/>
        <w:rPr>
          <w:rFonts w:ascii="宋体" w:hAnsi="宋体" w:cs="宋体"/>
          <w:kern w:val="0"/>
          <w:szCs w:val="21"/>
        </w:rPr>
      </w:pPr>
      <w:r>
        <w:rPr>
          <w:rFonts w:hint="eastAsia" w:ascii="宋体" w:hAnsi="宋体" w:cs="宋体"/>
          <w:spacing w:val="6"/>
          <w:szCs w:val="21"/>
        </w:rPr>
        <w:t xml:space="preserve">                                 日  期：</w:t>
      </w:r>
      <w:r>
        <w:rPr>
          <w:rFonts w:hint="eastAsia" w:ascii="宋体" w:hAnsi="宋体" w:cs="宋体"/>
          <w:kern w:val="0"/>
          <w:szCs w:val="21"/>
        </w:rPr>
        <w:t xml:space="preserve">     年   月   日</w:t>
      </w: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firstLine="420" w:firstLineChars="200"/>
        <w:rPr>
          <w:rFonts w:ascii="宋体" w:hAnsi="宋体" w:cs="宋体"/>
          <w:kern w:val="0"/>
          <w:szCs w:val="21"/>
        </w:rPr>
      </w:pPr>
    </w:p>
    <w:p>
      <w:pPr>
        <w:tabs>
          <w:tab w:val="left" w:pos="4860"/>
        </w:tabs>
        <w:spacing w:line="588" w:lineRule="exact"/>
        <w:ind w:right="98"/>
        <w:rPr>
          <w:rFonts w:ascii="宋体" w:hAnsi="宋体" w:cs="宋体"/>
          <w:kern w:val="0"/>
          <w:szCs w:val="21"/>
        </w:rPr>
      </w:pPr>
    </w:p>
    <w:p>
      <w:pPr>
        <w:pStyle w:val="28"/>
      </w:pPr>
      <w:r>
        <w:rPr>
          <w:rFonts w:hint="eastAsia"/>
        </w:rPr>
        <w:br w:type="page"/>
      </w:r>
      <w:bookmarkStart w:id="71" w:name="_Toc26800560"/>
      <w:bookmarkStart w:id="72" w:name="_Toc11159182"/>
      <w:bookmarkStart w:id="73" w:name="_Toc4937_WPSOffice_Level1"/>
      <w:bookmarkStart w:id="74" w:name="_Toc6815_WPSOffice_Level1"/>
      <w:bookmarkStart w:id="75" w:name="_Toc23251326"/>
      <w:r>
        <w:rPr>
          <w:rFonts w:hint="eastAsia"/>
        </w:rPr>
        <w:t>第五章  合同主要条款</w:t>
      </w:r>
      <w:bookmarkEnd w:id="71"/>
      <w:bookmarkEnd w:id="72"/>
      <w:bookmarkEnd w:id="73"/>
    </w:p>
    <w:p>
      <w:pPr>
        <w:snapToGrid w:val="0"/>
        <w:spacing w:line="400" w:lineRule="exact"/>
        <w:jc w:val="center"/>
        <w:rPr>
          <w:rFonts w:ascii="宋体" w:hAnsi="宋体" w:cs="宋体"/>
          <w:b/>
          <w:sz w:val="32"/>
        </w:rPr>
      </w:pPr>
    </w:p>
    <w:p>
      <w:pPr>
        <w:snapToGrid w:val="0"/>
        <w:spacing w:line="360" w:lineRule="exact"/>
        <w:jc w:val="center"/>
        <w:rPr>
          <w:rFonts w:ascii="宋体"/>
          <w:b/>
          <w:sz w:val="28"/>
          <w:szCs w:val="28"/>
        </w:rPr>
      </w:pPr>
    </w:p>
    <w:p>
      <w:pPr>
        <w:pStyle w:val="16"/>
        <w:jc w:val="center"/>
        <w:rPr>
          <w:rFonts w:hAnsi="宋体"/>
          <w:b/>
          <w:sz w:val="52"/>
          <w:szCs w:val="52"/>
        </w:rPr>
      </w:pPr>
      <w:r>
        <w:rPr>
          <w:rFonts w:hint="eastAsia" w:hAnsi="宋体"/>
          <w:b/>
          <w:sz w:val="52"/>
          <w:szCs w:val="52"/>
        </w:rPr>
        <w:t>广西壮族自治区政府采购合同</w:t>
      </w:r>
    </w:p>
    <w:p>
      <w:pPr>
        <w:pStyle w:val="16"/>
        <w:rPr>
          <w:rFonts w:hAnsi="宋体"/>
        </w:rPr>
      </w:pPr>
    </w:p>
    <w:p>
      <w:pPr>
        <w:pStyle w:val="16"/>
        <w:rPr>
          <w:rFonts w:hAnsi="宋体"/>
        </w:rPr>
      </w:pPr>
    </w:p>
    <w:p>
      <w:pPr>
        <w:pStyle w:val="16"/>
        <w:rPr>
          <w:rFonts w:hAnsi="宋体"/>
        </w:rPr>
      </w:pPr>
    </w:p>
    <w:p>
      <w:pPr>
        <w:pStyle w:val="16"/>
        <w:rPr>
          <w:rFonts w:hAnsi="宋体"/>
        </w:rPr>
      </w:pPr>
    </w:p>
    <w:p>
      <w:pPr>
        <w:pStyle w:val="16"/>
        <w:ind w:firstLine="1584" w:firstLineChars="495"/>
        <w:rPr>
          <w:rFonts w:hAnsi="宋体"/>
          <w:b/>
          <w:sz w:val="32"/>
          <w:szCs w:val="32"/>
          <w:u w:val="single"/>
        </w:rPr>
      </w:pPr>
      <w:r>
        <w:rPr>
          <w:rFonts w:hint="eastAsia" w:hAnsi="宋体"/>
          <w:b/>
          <w:sz w:val="32"/>
          <w:szCs w:val="32"/>
        </w:rPr>
        <w:t>合同名称：</w:t>
      </w:r>
    </w:p>
    <w:p>
      <w:pPr>
        <w:pStyle w:val="16"/>
        <w:ind w:firstLine="1584" w:firstLineChars="495"/>
        <w:rPr>
          <w:rFonts w:hAnsi="宋体"/>
          <w:b/>
          <w:sz w:val="32"/>
          <w:szCs w:val="32"/>
        </w:rPr>
      </w:pPr>
    </w:p>
    <w:p>
      <w:pPr>
        <w:pStyle w:val="16"/>
        <w:ind w:firstLine="1584" w:firstLineChars="495"/>
        <w:rPr>
          <w:rFonts w:hAnsi="宋体"/>
          <w:b/>
          <w:sz w:val="32"/>
          <w:szCs w:val="32"/>
          <w:u w:val="single"/>
        </w:rPr>
      </w:pPr>
      <w:r>
        <w:rPr>
          <w:rFonts w:hint="eastAsia" w:hAnsi="宋体"/>
          <w:b/>
          <w:sz w:val="32"/>
          <w:szCs w:val="32"/>
        </w:rPr>
        <w:t>合同编号：</w:t>
      </w:r>
    </w:p>
    <w:p>
      <w:pPr>
        <w:pStyle w:val="16"/>
        <w:jc w:val="center"/>
        <w:rPr>
          <w:rFonts w:hAnsi="宋体"/>
        </w:rPr>
      </w:pPr>
    </w:p>
    <w:p>
      <w:pPr>
        <w:pStyle w:val="16"/>
        <w:jc w:val="center"/>
        <w:rPr>
          <w:rFonts w:hAnsi="宋体"/>
        </w:rPr>
      </w:pPr>
    </w:p>
    <w:p>
      <w:pPr>
        <w:pStyle w:val="16"/>
        <w:jc w:val="center"/>
        <w:rPr>
          <w:rFonts w:hAnsi="宋体"/>
        </w:rPr>
      </w:pPr>
    </w:p>
    <w:p>
      <w:pPr>
        <w:pStyle w:val="16"/>
        <w:spacing w:after="156" w:afterLines="50" w:line="340" w:lineRule="exact"/>
        <w:ind w:firstLine="1584" w:firstLineChars="495"/>
        <w:rPr>
          <w:rFonts w:hAnsi="宋体"/>
          <w:b/>
          <w:sz w:val="32"/>
          <w:szCs w:val="32"/>
          <w:u w:val="single"/>
        </w:rPr>
      </w:pPr>
      <w:r>
        <w:rPr>
          <w:rFonts w:hint="eastAsia" w:hAnsi="宋体"/>
          <w:b/>
          <w:sz w:val="32"/>
          <w:szCs w:val="32"/>
        </w:rPr>
        <w:t>采购单位（甲方）</w:t>
      </w:r>
      <w:r>
        <w:rPr>
          <w:rFonts w:hint="eastAsia" w:hAnsi="宋体"/>
          <w:b/>
          <w:sz w:val="32"/>
          <w:szCs w:val="32"/>
          <w:u w:val="single"/>
        </w:rPr>
        <w:t xml:space="preserve">   南宁师范大学     </w:t>
      </w:r>
    </w:p>
    <w:p>
      <w:pPr>
        <w:pStyle w:val="16"/>
        <w:spacing w:line="340" w:lineRule="exact"/>
        <w:ind w:firstLine="1584" w:firstLineChars="495"/>
        <w:rPr>
          <w:rFonts w:hAnsi="宋体"/>
          <w:b/>
          <w:sz w:val="32"/>
          <w:szCs w:val="32"/>
          <w:u w:val="single"/>
        </w:rPr>
      </w:pPr>
      <w:r>
        <w:rPr>
          <w:rFonts w:hint="eastAsia" w:hAnsi="宋体"/>
          <w:b/>
          <w:sz w:val="32"/>
          <w:szCs w:val="32"/>
        </w:rPr>
        <w:t>住   所：</w:t>
      </w:r>
      <w:r>
        <w:rPr>
          <w:rFonts w:hint="eastAsia" w:hAnsi="宋体"/>
          <w:b/>
          <w:sz w:val="32"/>
          <w:szCs w:val="32"/>
          <w:u w:val="single"/>
        </w:rPr>
        <w:t xml:space="preserve">    南宁市明秀东路175号   </w:t>
      </w:r>
    </w:p>
    <w:p>
      <w:pPr>
        <w:pStyle w:val="16"/>
        <w:spacing w:line="340" w:lineRule="exact"/>
        <w:ind w:firstLine="1584" w:firstLineChars="495"/>
        <w:rPr>
          <w:rFonts w:hAnsi="宋体"/>
          <w:b/>
          <w:sz w:val="32"/>
          <w:szCs w:val="32"/>
        </w:rPr>
      </w:pPr>
    </w:p>
    <w:p>
      <w:pPr>
        <w:pStyle w:val="16"/>
        <w:spacing w:line="340" w:lineRule="exact"/>
        <w:ind w:firstLine="1584" w:firstLineChars="495"/>
        <w:rPr>
          <w:rFonts w:hAnsi="宋体"/>
          <w:b/>
          <w:sz w:val="32"/>
          <w:szCs w:val="32"/>
        </w:rPr>
      </w:pPr>
    </w:p>
    <w:p>
      <w:pPr>
        <w:pStyle w:val="16"/>
        <w:spacing w:after="156" w:afterLines="50" w:line="340" w:lineRule="exact"/>
        <w:ind w:firstLine="1584" w:firstLineChars="495"/>
        <w:rPr>
          <w:rFonts w:hAnsi="宋体"/>
          <w:b/>
          <w:sz w:val="32"/>
          <w:szCs w:val="32"/>
          <w:u w:val="single"/>
        </w:rPr>
      </w:pPr>
      <w:r>
        <w:rPr>
          <w:rFonts w:hint="eastAsia" w:hAnsi="宋体"/>
          <w:b/>
          <w:sz w:val="32"/>
          <w:szCs w:val="32"/>
        </w:rPr>
        <w:t>供 应 商（乙方）</w:t>
      </w:r>
    </w:p>
    <w:p>
      <w:pPr>
        <w:pStyle w:val="16"/>
        <w:spacing w:line="340" w:lineRule="exact"/>
        <w:ind w:firstLine="1584" w:firstLineChars="495"/>
        <w:rPr>
          <w:rFonts w:hAnsi="宋体"/>
          <w:b/>
          <w:sz w:val="32"/>
          <w:szCs w:val="32"/>
          <w:u w:val="single"/>
        </w:rPr>
      </w:pPr>
      <w:r>
        <w:rPr>
          <w:rFonts w:hint="eastAsia" w:hAnsi="宋体"/>
          <w:b/>
          <w:sz w:val="32"/>
          <w:szCs w:val="32"/>
        </w:rPr>
        <w:t>住   所：</w:t>
      </w:r>
    </w:p>
    <w:p>
      <w:pPr>
        <w:pStyle w:val="16"/>
        <w:spacing w:line="340" w:lineRule="exact"/>
        <w:ind w:firstLine="1584" w:firstLineChars="495"/>
        <w:rPr>
          <w:rFonts w:hAnsi="宋体"/>
          <w:b/>
          <w:sz w:val="32"/>
          <w:szCs w:val="32"/>
        </w:rPr>
      </w:pPr>
    </w:p>
    <w:p>
      <w:pPr>
        <w:pStyle w:val="16"/>
        <w:jc w:val="center"/>
        <w:rPr>
          <w:rFonts w:hAnsi="宋体"/>
        </w:rPr>
      </w:pPr>
    </w:p>
    <w:p>
      <w:pPr>
        <w:pStyle w:val="16"/>
        <w:jc w:val="center"/>
        <w:rPr>
          <w:rFonts w:hAnsi="宋体"/>
        </w:rPr>
      </w:pPr>
    </w:p>
    <w:p>
      <w:pPr>
        <w:pStyle w:val="16"/>
        <w:jc w:val="center"/>
        <w:rPr>
          <w:rFonts w:hAnsi="宋体"/>
        </w:rPr>
      </w:pPr>
    </w:p>
    <w:p>
      <w:pPr>
        <w:pStyle w:val="16"/>
        <w:ind w:firstLine="1584" w:firstLineChars="495"/>
        <w:rPr>
          <w:rFonts w:hAnsi="宋体"/>
          <w:b/>
          <w:sz w:val="32"/>
          <w:szCs w:val="32"/>
          <w:u w:val="single"/>
        </w:rPr>
      </w:pPr>
      <w:r>
        <w:rPr>
          <w:rFonts w:hint="eastAsia" w:hAnsi="宋体"/>
          <w:b/>
          <w:sz w:val="32"/>
          <w:szCs w:val="32"/>
        </w:rPr>
        <w:t>签订合同地点：</w:t>
      </w:r>
      <w:r>
        <w:rPr>
          <w:rFonts w:hint="eastAsia" w:hAnsi="宋体"/>
          <w:b/>
          <w:sz w:val="32"/>
          <w:szCs w:val="32"/>
          <w:u w:val="single"/>
        </w:rPr>
        <w:t xml:space="preserve">        南宁市         </w:t>
      </w:r>
    </w:p>
    <w:p>
      <w:pPr>
        <w:pStyle w:val="16"/>
        <w:ind w:firstLine="1584" w:firstLineChars="495"/>
        <w:rPr>
          <w:rFonts w:hAnsi="宋体"/>
          <w:b/>
          <w:sz w:val="32"/>
          <w:szCs w:val="32"/>
        </w:rPr>
      </w:pPr>
    </w:p>
    <w:p>
      <w:pPr>
        <w:pStyle w:val="16"/>
        <w:ind w:firstLine="1584" w:firstLineChars="495"/>
        <w:rPr>
          <w:rFonts w:hAnsi="宋体"/>
          <w:b/>
          <w:sz w:val="32"/>
          <w:szCs w:val="32"/>
        </w:rPr>
      </w:pPr>
      <w:r>
        <w:rPr>
          <w:rFonts w:hint="eastAsia" w:hAnsi="宋体"/>
          <w:b/>
          <w:sz w:val="32"/>
          <w:szCs w:val="32"/>
        </w:rPr>
        <w:t>签订合同时间：</w:t>
      </w: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spacing w:line="420" w:lineRule="exact"/>
        <w:jc w:val="center"/>
        <w:rPr>
          <w:rFonts w:hAnsi="宋体"/>
        </w:rPr>
      </w:pPr>
      <w:r>
        <w:rPr>
          <w:rFonts w:hint="eastAsia" w:hAnsi="宋体"/>
        </w:rPr>
        <w:t>合同使用说明：根据《中华人民共和国政府采购法》、《中华人民共和国民法典》等法律、法规规定，</w:t>
      </w:r>
    </w:p>
    <w:p>
      <w:pPr>
        <w:pStyle w:val="16"/>
        <w:snapToGrid w:val="0"/>
        <w:spacing w:before="120" w:after="120"/>
        <w:jc w:val="center"/>
        <w:outlineLvl w:val="0"/>
      </w:pPr>
      <w:r>
        <w:rPr>
          <w:rFonts w:hint="eastAsia" w:hAnsi="宋体"/>
        </w:rPr>
        <w:t>按照招标文件规定条款和中标供应商投标文件及其承诺，甲乙双方签订本合同。</w:t>
      </w:r>
    </w:p>
    <w:p>
      <w:pPr>
        <w:spacing w:line="300" w:lineRule="auto"/>
        <w:ind w:left="420" w:hanging="420"/>
        <w:jc w:val="center"/>
        <w:rPr>
          <w:rFonts w:ascii="黑体" w:eastAsia="黑体"/>
          <w:b/>
          <w:sz w:val="44"/>
          <w:szCs w:val="44"/>
        </w:rPr>
      </w:pPr>
    </w:p>
    <w:p>
      <w:pPr>
        <w:spacing w:line="300" w:lineRule="auto"/>
        <w:ind w:left="420" w:hanging="420"/>
        <w:jc w:val="center"/>
        <w:rPr>
          <w:rFonts w:ascii="黑体" w:eastAsia="黑体"/>
          <w:b/>
          <w:sz w:val="44"/>
          <w:szCs w:val="44"/>
        </w:rPr>
      </w:pPr>
    </w:p>
    <w:p>
      <w:pPr>
        <w:spacing w:line="300" w:lineRule="auto"/>
        <w:ind w:left="420" w:hanging="420"/>
        <w:jc w:val="center"/>
        <w:rPr>
          <w:rFonts w:ascii="黑体" w:eastAsia="黑体"/>
          <w:b/>
          <w:bCs/>
          <w:sz w:val="44"/>
          <w:szCs w:val="44"/>
        </w:rPr>
      </w:pPr>
      <w:r>
        <w:rPr>
          <w:rFonts w:hint="eastAsia" w:ascii="黑体" w:eastAsia="黑体"/>
          <w:b/>
          <w:sz w:val="44"/>
          <w:szCs w:val="44"/>
        </w:rPr>
        <w:t>采购</w:t>
      </w:r>
      <w:r>
        <w:rPr>
          <w:rFonts w:hint="eastAsia" w:ascii="黑体" w:eastAsia="黑体"/>
          <w:b/>
          <w:bCs/>
          <w:sz w:val="44"/>
          <w:szCs w:val="44"/>
        </w:rPr>
        <w:t>合同文本</w:t>
      </w:r>
    </w:p>
    <w:p>
      <w:pPr>
        <w:snapToGrid w:val="0"/>
        <w:spacing w:line="360" w:lineRule="exact"/>
        <w:jc w:val="center"/>
        <w:rPr>
          <w:rFonts w:ascii="宋体"/>
          <w:b/>
          <w:bCs/>
          <w:szCs w:val="21"/>
        </w:rPr>
      </w:pPr>
      <w:r>
        <w:rPr>
          <w:rFonts w:hint="eastAsia" w:ascii="宋体"/>
          <w:b/>
          <w:bCs/>
          <w:szCs w:val="21"/>
        </w:rPr>
        <w:t>广西壮族自治区政府采购合同</w:t>
      </w:r>
    </w:p>
    <w:p>
      <w:pPr>
        <w:snapToGrid w:val="0"/>
        <w:spacing w:line="360" w:lineRule="exact"/>
        <w:jc w:val="center"/>
        <w:rPr>
          <w:rFonts w:ascii="宋体"/>
          <w:b/>
          <w:bCs/>
          <w:szCs w:val="21"/>
        </w:rPr>
      </w:pPr>
    </w:p>
    <w:p>
      <w:pPr>
        <w:snapToGrid w:val="0"/>
        <w:spacing w:line="360" w:lineRule="exact"/>
        <w:jc w:val="center"/>
        <w:rPr>
          <w:rFonts w:ascii="宋体"/>
          <w:b/>
          <w:bCs/>
          <w:szCs w:val="21"/>
        </w:rPr>
      </w:pPr>
    </w:p>
    <w:p>
      <w:pPr>
        <w:snapToGrid w:val="0"/>
        <w:spacing w:line="360" w:lineRule="exact"/>
        <w:ind w:right="480" w:firstLine="5985" w:firstLineChars="2850"/>
        <w:rPr>
          <w:rFonts w:ascii="宋体"/>
          <w:bCs/>
          <w:szCs w:val="21"/>
          <w:u w:val="single"/>
        </w:rPr>
      </w:pPr>
      <w:r>
        <w:rPr>
          <w:rFonts w:hint="eastAsia" w:ascii="宋体"/>
          <w:bCs/>
          <w:szCs w:val="21"/>
        </w:rPr>
        <w:t>合同编号：</w:t>
      </w:r>
    </w:p>
    <w:p>
      <w:pPr>
        <w:snapToGrid w:val="0"/>
        <w:spacing w:line="360" w:lineRule="exact"/>
        <w:rPr>
          <w:rFonts w:ascii="宋体"/>
          <w:szCs w:val="21"/>
        </w:rPr>
      </w:pPr>
    </w:p>
    <w:p>
      <w:pPr>
        <w:snapToGrid w:val="0"/>
        <w:spacing w:line="360" w:lineRule="exact"/>
        <w:rPr>
          <w:rFonts w:ascii="宋体"/>
          <w:szCs w:val="21"/>
          <w:u w:val="single"/>
        </w:rPr>
      </w:pPr>
      <w:r>
        <w:rPr>
          <w:rFonts w:hint="eastAsia" w:ascii="宋体"/>
          <w:szCs w:val="21"/>
        </w:rPr>
        <w:t>采购单位（甲方）</w:t>
      </w:r>
      <w:r>
        <w:rPr>
          <w:rFonts w:hint="eastAsia" w:ascii="宋体"/>
          <w:spacing w:val="-20"/>
          <w:szCs w:val="21"/>
        </w:rPr>
        <w:t>采 购 计 划 号</w:t>
      </w:r>
    </w:p>
    <w:p>
      <w:pPr>
        <w:snapToGrid w:val="0"/>
        <w:spacing w:line="360" w:lineRule="exact"/>
        <w:rPr>
          <w:rFonts w:ascii="宋体"/>
          <w:szCs w:val="21"/>
          <w:u w:val="single"/>
        </w:rPr>
      </w:pPr>
      <w:r>
        <w:rPr>
          <w:rFonts w:hint="eastAsia" w:ascii="宋体"/>
          <w:szCs w:val="21"/>
        </w:rPr>
        <w:t>供 应 商（乙方）  项目名称</w:t>
      </w:r>
      <w:r>
        <w:rPr>
          <w:rFonts w:hint="eastAsia" w:ascii="宋体"/>
          <w:spacing w:val="-20"/>
          <w:szCs w:val="21"/>
        </w:rPr>
        <w:t>编 号</w:t>
      </w:r>
    </w:p>
    <w:p>
      <w:pPr>
        <w:snapToGrid w:val="0"/>
        <w:spacing w:line="360" w:lineRule="exact"/>
        <w:rPr>
          <w:rFonts w:ascii="宋体"/>
          <w:szCs w:val="21"/>
          <w:u w:val="single"/>
        </w:rPr>
      </w:pPr>
      <w:r>
        <w:rPr>
          <w:rFonts w:hint="eastAsia" w:ascii="宋体"/>
          <w:szCs w:val="21"/>
        </w:rPr>
        <w:t>签  订  地  点    签 订 时 间</w:t>
      </w:r>
    </w:p>
    <w:p>
      <w:pPr>
        <w:snapToGrid w:val="0"/>
        <w:spacing w:line="360" w:lineRule="exact"/>
        <w:ind w:firstLine="420" w:firstLineChars="200"/>
        <w:rPr>
          <w:rFonts w:ascii="宋体"/>
          <w:szCs w:val="21"/>
        </w:rPr>
      </w:pPr>
    </w:p>
    <w:p>
      <w:pPr>
        <w:pStyle w:val="16"/>
        <w:spacing w:line="420" w:lineRule="exact"/>
        <w:ind w:firstLine="420" w:firstLineChars="200"/>
        <w:rPr>
          <w:szCs w:val="21"/>
        </w:rPr>
      </w:pPr>
      <w:r>
        <w:rPr>
          <w:rFonts w:hint="eastAsia"/>
          <w:szCs w:val="21"/>
        </w:rPr>
        <w:t>根据《中华人民共和国政府采购法》、《中华人民共和国民法典》等法律、法规规定，按照采购文件规定条款和成交供应商响应文件及其承诺，甲乙双方签订本合同。</w:t>
      </w:r>
    </w:p>
    <w:p>
      <w:pPr>
        <w:snapToGrid w:val="0"/>
        <w:spacing w:line="360" w:lineRule="exact"/>
        <w:ind w:firstLine="420" w:firstLineChars="200"/>
        <w:rPr>
          <w:rFonts w:ascii="宋体"/>
          <w:b/>
          <w:szCs w:val="21"/>
        </w:rPr>
      </w:pPr>
      <w:r>
        <w:rPr>
          <w:rFonts w:hint="eastAsia" w:ascii="宋体"/>
          <w:b/>
          <w:szCs w:val="21"/>
        </w:rPr>
        <w:t>第一条　合同标的</w:t>
      </w:r>
    </w:p>
    <w:p>
      <w:pPr>
        <w:snapToGrid w:val="0"/>
        <w:spacing w:line="360" w:lineRule="exact"/>
        <w:ind w:firstLine="420" w:firstLineChars="200"/>
        <w:rPr>
          <w:rFonts w:ascii="宋体"/>
          <w:szCs w:val="21"/>
        </w:rPr>
      </w:pPr>
      <w:r>
        <w:rPr>
          <w:rFonts w:hint="eastAsia" w:ascii="宋体"/>
          <w:szCs w:val="21"/>
        </w:rPr>
        <w:t>1、供货一览表</w:t>
      </w:r>
    </w:p>
    <w:tbl>
      <w:tblPr>
        <w:tblStyle w:val="3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产品</w:t>
            </w:r>
          </w:p>
          <w:p>
            <w:pPr>
              <w:snapToGrid w:val="0"/>
              <w:spacing w:line="360" w:lineRule="exact"/>
              <w:jc w:val="center"/>
              <w:rPr>
                <w:rFonts w:ascii="宋体"/>
                <w:szCs w:val="21"/>
              </w:rPr>
            </w:pPr>
            <w:r>
              <w:rPr>
                <w:rFonts w:hint="eastAsia" w:ascii="宋体"/>
                <w:szCs w:val="21"/>
              </w:rPr>
              <w:t>名称</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商标</w:t>
            </w:r>
          </w:p>
          <w:p>
            <w:pPr>
              <w:snapToGrid w:val="0"/>
              <w:spacing w:line="360" w:lineRule="exact"/>
              <w:jc w:val="center"/>
              <w:rPr>
                <w:rFonts w:ascii="宋体"/>
                <w:szCs w:val="21"/>
              </w:rPr>
            </w:pPr>
            <w:r>
              <w:rPr>
                <w:rFonts w:hint="eastAsia" w:ascii="宋体"/>
                <w:szCs w:val="21"/>
              </w:rPr>
              <w:t>品牌</w:t>
            </w: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规格</w:t>
            </w:r>
          </w:p>
          <w:p>
            <w:pPr>
              <w:snapToGrid w:val="0"/>
              <w:spacing w:line="360" w:lineRule="exact"/>
              <w:jc w:val="center"/>
              <w:rPr>
                <w:rFonts w:ascii="宋体"/>
                <w:szCs w:val="21"/>
              </w:rPr>
            </w:pPr>
            <w:r>
              <w:rPr>
                <w:rFonts w:hint="eastAsia" w:ascii="宋体"/>
                <w:szCs w:val="21"/>
              </w:rPr>
              <w:t>型号</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生产</w:t>
            </w:r>
          </w:p>
          <w:p>
            <w:pPr>
              <w:snapToGrid w:val="0"/>
              <w:spacing w:line="360" w:lineRule="exact"/>
              <w:jc w:val="center"/>
              <w:rPr>
                <w:rFonts w:ascii="宋体"/>
                <w:szCs w:val="21"/>
              </w:rPr>
            </w:pPr>
            <w:r>
              <w:rPr>
                <w:rFonts w:hint="eastAsia" w:ascii="宋体"/>
                <w:szCs w:val="21"/>
              </w:rPr>
              <w:t>厂家</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单  价</w:t>
            </w:r>
          </w:p>
          <w:p>
            <w:pPr>
              <w:snapToGrid w:val="0"/>
              <w:spacing w:line="360" w:lineRule="exact"/>
              <w:jc w:val="center"/>
              <w:rPr>
                <w:rFonts w:ascii="宋体"/>
                <w:szCs w:val="21"/>
              </w:rPr>
            </w:pPr>
            <w:r>
              <w:rPr>
                <w:rFonts w:hint="eastAsia" w:ascii="宋体"/>
                <w:szCs w:val="21"/>
              </w:rPr>
              <w:t>（元）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金  额</w:t>
            </w:r>
          </w:p>
          <w:p>
            <w:pPr>
              <w:snapToGrid w:val="0"/>
              <w:spacing w:line="360" w:lineRule="exact"/>
              <w:jc w:val="center"/>
              <w:rPr>
                <w:rFonts w:ascii="宋体"/>
                <w:szCs w:val="21"/>
              </w:rPr>
            </w:pPr>
            <w:r>
              <w:rPr>
                <w:rFonts w:hint="eastAsia" w:asci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p>
        </w:tc>
        <w:tc>
          <w:tcPr>
            <w:tcW w:w="904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szCs w:val="21"/>
              </w:rPr>
            </w:pPr>
            <w:r>
              <w:rPr>
                <w:rFonts w:hint="eastAsia" w:ascii="宋体"/>
                <w:szCs w:val="21"/>
              </w:rPr>
              <w:t>制作合同时须补充完整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 xml:space="preserve">人民币合计金额（大写）                          （小写）                 </w:t>
            </w:r>
          </w:p>
        </w:tc>
      </w:tr>
    </w:tbl>
    <w:p>
      <w:pPr>
        <w:numPr>
          <w:ilvl w:val="0"/>
          <w:numId w:val="3"/>
        </w:numPr>
        <w:snapToGrid w:val="0"/>
        <w:spacing w:line="360" w:lineRule="exact"/>
        <w:ind w:right="420" w:firstLine="420" w:firstLineChars="200"/>
        <w:rPr>
          <w:rFonts w:ascii="宋体"/>
          <w:szCs w:val="21"/>
        </w:rPr>
      </w:pPr>
      <w:r>
        <w:rPr>
          <w:rFonts w:hint="eastAsia" w:ascii="宋体"/>
          <w:szCs w:val="21"/>
        </w:rPr>
        <w:t>合同合计金额包括货物价款，标准附件、备品配件、专用工具、安装耗材、包装、运输、装卸、保险、税金、货物到就位以及安装、调试、检验、技术培训及技术资料、软件费、保修等全部费用。如招投标文件对其另有规定的，从其规定。</w:t>
      </w:r>
    </w:p>
    <w:p>
      <w:pPr>
        <w:snapToGrid w:val="0"/>
        <w:spacing w:line="360" w:lineRule="exact"/>
        <w:ind w:firstLine="420" w:firstLineChars="200"/>
        <w:rPr>
          <w:rFonts w:ascii="宋体"/>
          <w:szCs w:val="21"/>
        </w:rPr>
      </w:pPr>
      <w:r>
        <w:rPr>
          <w:rFonts w:hint="eastAsia" w:ascii="宋体"/>
          <w:b/>
          <w:szCs w:val="21"/>
        </w:rPr>
        <w:t>第二条　质量保证</w:t>
      </w:r>
    </w:p>
    <w:p>
      <w:pPr>
        <w:snapToGrid w:val="0"/>
        <w:spacing w:line="360" w:lineRule="exact"/>
        <w:ind w:firstLine="420" w:firstLineChars="200"/>
        <w:rPr>
          <w:rFonts w:ascii="宋体"/>
          <w:szCs w:val="21"/>
        </w:rPr>
      </w:pPr>
      <w:r>
        <w:rPr>
          <w:rFonts w:hint="eastAsia" w:ascii="宋体"/>
          <w:szCs w:val="21"/>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ascii="宋体"/>
          <w:szCs w:val="21"/>
          <w:u w:val="single"/>
        </w:rPr>
      </w:pPr>
      <w:r>
        <w:rPr>
          <w:rFonts w:hint="eastAsia" w:ascii="宋体"/>
          <w:szCs w:val="21"/>
        </w:rPr>
        <w:t>2、乙方应按招标文件规定的货物性能、技术要求、质量标准提供全新、未经使用的原装产品，且在正常安装、使用和保养条件下，其使用寿命期内各项指标均达到质量要求。</w:t>
      </w:r>
    </w:p>
    <w:p>
      <w:pPr>
        <w:snapToGrid w:val="0"/>
        <w:spacing w:line="360" w:lineRule="exact"/>
        <w:ind w:firstLine="420" w:firstLineChars="200"/>
        <w:rPr>
          <w:rFonts w:ascii="宋体"/>
          <w:szCs w:val="21"/>
        </w:rPr>
      </w:pPr>
      <w:r>
        <w:rPr>
          <w:rFonts w:hint="eastAsia" w:ascii="宋体"/>
          <w:b/>
          <w:szCs w:val="21"/>
        </w:rPr>
        <w:t>第三条　权利保证</w:t>
      </w:r>
    </w:p>
    <w:p>
      <w:pPr>
        <w:snapToGrid w:val="0"/>
        <w:spacing w:line="360" w:lineRule="exact"/>
        <w:ind w:firstLine="420" w:firstLineChars="200"/>
        <w:rPr>
          <w:rFonts w:ascii="宋体"/>
          <w:szCs w:val="21"/>
        </w:rPr>
      </w:pPr>
      <w:r>
        <w:rPr>
          <w:rFonts w:hint="eastAsia" w:ascii="宋体"/>
          <w:szCs w:val="21"/>
        </w:rPr>
        <w:t>1、乙方应保证所提供货物在使用时不会侵犯任何第三方的专利权、商标权、工业设计权或其他权利。</w:t>
      </w:r>
    </w:p>
    <w:p>
      <w:pPr>
        <w:snapToGrid w:val="0"/>
        <w:spacing w:line="360" w:lineRule="exact"/>
        <w:ind w:firstLine="420" w:firstLineChars="200"/>
        <w:rPr>
          <w:rFonts w:ascii="宋体"/>
          <w:szCs w:val="21"/>
        </w:rPr>
      </w:pPr>
      <w:r>
        <w:rPr>
          <w:rFonts w:hint="eastAsia" w:ascii="宋体"/>
          <w:szCs w:val="21"/>
        </w:rPr>
        <w:t>2、乙方应按招标文件规定的时间向甲方提供使用货物的有关技术资料。</w:t>
      </w:r>
    </w:p>
    <w:p>
      <w:pPr>
        <w:snapToGrid w:val="0"/>
        <w:spacing w:line="360" w:lineRule="exact"/>
        <w:ind w:firstLine="420" w:firstLineChars="200"/>
        <w:rPr>
          <w:rFonts w:ascii="宋体"/>
          <w:szCs w:val="21"/>
        </w:rPr>
      </w:pPr>
      <w:r>
        <w:rPr>
          <w:rFonts w:hint="eastAsia" w:ascii="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szCs w:val="21"/>
        </w:rPr>
      </w:pPr>
      <w:r>
        <w:rPr>
          <w:rFonts w:hint="eastAsia" w:ascii="宋体"/>
          <w:szCs w:val="21"/>
        </w:rPr>
        <w:t>4、乙方保证所交付的货物的所有权完全属于乙方且无任何抵押、质押、查封等产权瑕疵。</w:t>
      </w:r>
    </w:p>
    <w:p>
      <w:pPr>
        <w:snapToGrid w:val="0"/>
        <w:spacing w:line="360" w:lineRule="exact"/>
        <w:ind w:firstLine="420" w:firstLineChars="200"/>
        <w:rPr>
          <w:rFonts w:ascii="宋体"/>
          <w:b/>
          <w:szCs w:val="21"/>
        </w:rPr>
      </w:pPr>
      <w:r>
        <w:rPr>
          <w:rFonts w:hint="eastAsia" w:ascii="宋体"/>
          <w:b/>
          <w:szCs w:val="21"/>
        </w:rPr>
        <w:t>第四条　包装和运输</w:t>
      </w:r>
    </w:p>
    <w:p>
      <w:pPr>
        <w:snapToGrid w:val="0"/>
        <w:spacing w:line="360" w:lineRule="exact"/>
        <w:ind w:firstLine="420" w:firstLineChars="200"/>
        <w:rPr>
          <w:rFonts w:ascii="宋体"/>
          <w:szCs w:val="21"/>
        </w:rPr>
      </w:pPr>
      <w:r>
        <w:rPr>
          <w:rFonts w:hint="eastAsia" w:ascii="宋体"/>
          <w:szCs w:val="21"/>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ascii="宋体"/>
          <w:szCs w:val="21"/>
        </w:rPr>
      </w:pPr>
      <w:r>
        <w:rPr>
          <w:rFonts w:hint="eastAsia" w:ascii="宋体"/>
          <w:szCs w:val="21"/>
        </w:rPr>
        <w:t>2、货物的运输方式：</w:t>
      </w:r>
      <w:r>
        <w:rPr>
          <w:rFonts w:hint="eastAsia" w:ascii="宋体"/>
          <w:szCs w:val="21"/>
          <w:u w:val="single"/>
        </w:rPr>
        <w:t xml:space="preserve">  乙方自定  。</w:t>
      </w:r>
    </w:p>
    <w:p>
      <w:pPr>
        <w:snapToGrid w:val="0"/>
        <w:spacing w:line="360" w:lineRule="exact"/>
        <w:ind w:firstLine="420" w:firstLineChars="200"/>
        <w:rPr>
          <w:rFonts w:ascii="宋体"/>
          <w:szCs w:val="21"/>
          <w:u w:val="single"/>
        </w:rPr>
      </w:pPr>
      <w:r>
        <w:rPr>
          <w:rFonts w:hint="eastAsia" w:ascii="宋体"/>
          <w:szCs w:val="21"/>
        </w:rPr>
        <w:t>3、乙方负责货物运输，货物运输合理损耗及计算方法：</w:t>
      </w:r>
      <w:r>
        <w:rPr>
          <w:rFonts w:hint="eastAsia" w:ascii="宋体"/>
          <w:szCs w:val="21"/>
          <w:u w:val="single"/>
        </w:rPr>
        <w:t xml:space="preserve">  甲方不接受损耗    。</w:t>
      </w:r>
    </w:p>
    <w:p>
      <w:pPr>
        <w:snapToGrid w:val="0"/>
        <w:spacing w:line="360" w:lineRule="exact"/>
        <w:ind w:firstLine="420" w:firstLineChars="200"/>
        <w:rPr>
          <w:rFonts w:ascii="宋体"/>
          <w:szCs w:val="21"/>
        </w:rPr>
      </w:pPr>
      <w:r>
        <w:rPr>
          <w:rFonts w:hint="eastAsia" w:ascii="宋体"/>
          <w:b/>
          <w:szCs w:val="21"/>
        </w:rPr>
        <w:t>第五条　交付和验收</w:t>
      </w:r>
    </w:p>
    <w:p>
      <w:pPr>
        <w:snapToGrid w:val="0"/>
        <w:spacing w:line="360" w:lineRule="exact"/>
        <w:ind w:firstLine="420" w:firstLineChars="200"/>
        <w:rPr>
          <w:rFonts w:ascii="宋体"/>
          <w:szCs w:val="21"/>
        </w:rPr>
      </w:pPr>
      <w:r>
        <w:rPr>
          <w:rFonts w:hint="eastAsia" w:ascii="宋体"/>
          <w:szCs w:val="21"/>
        </w:rPr>
        <w:t>1、交付使用时间、地点。</w:t>
      </w:r>
    </w:p>
    <w:p>
      <w:pPr>
        <w:ind w:firstLine="522" w:firstLineChars="249"/>
        <w:rPr>
          <w:rFonts w:ascii="宋体"/>
          <w:b/>
          <w:szCs w:val="21"/>
        </w:rPr>
      </w:pPr>
      <w:r>
        <w:rPr>
          <w:rFonts w:hint="eastAsia" w:ascii="宋体"/>
          <w:b/>
          <w:szCs w:val="21"/>
        </w:rPr>
        <w:t>交付使用时间：按乙方投标文件中所承诺的时间；交付使用地点：采购人指定地点。</w:t>
      </w:r>
    </w:p>
    <w:p>
      <w:pPr>
        <w:snapToGrid w:val="0"/>
        <w:spacing w:line="360" w:lineRule="exact"/>
        <w:ind w:firstLine="420" w:firstLineChars="200"/>
        <w:rPr>
          <w:rFonts w:ascii="宋体"/>
          <w:szCs w:val="21"/>
        </w:rPr>
      </w:pPr>
      <w:r>
        <w:rPr>
          <w:rFonts w:hint="eastAsia" w:ascii="宋体"/>
          <w:szCs w:val="21"/>
        </w:rPr>
        <w:t>2、乙方提供不符合招投标文件和本合同规定的货物，甲方有权拒绝接受。</w:t>
      </w:r>
    </w:p>
    <w:p>
      <w:pPr>
        <w:snapToGrid w:val="0"/>
        <w:spacing w:line="360" w:lineRule="exact"/>
        <w:ind w:firstLine="420" w:firstLineChars="200"/>
        <w:rPr>
          <w:rFonts w:ascii="宋体"/>
          <w:szCs w:val="21"/>
        </w:rPr>
      </w:pPr>
      <w:r>
        <w:rPr>
          <w:rFonts w:hint="eastAsia" w:ascii="宋体"/>
          <w:szCs w:val="21"/>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宋体"/>
          <w:szCs w:val="21"/>
        </w:rPr>
      </w:pPr>
      <w:r>
        <w:rPr>
          <w:rFonts w:hint="eastAsia" w:ascii="宋体"/>
          <w:szCs w:val="21"/>
        </w:rPr>
        <w:t>4、甲方应当在到货（安装、调试完）后十个工作日内进行验收，逾期不验收的，乙方可视同验收合格。</w:t>
      </w:r>
    </w:p>
    <w:p>
      <w:pPr>
        <w:snapToGrid w:val="0"/>
        <w:spacing w:line="360" w:lineRule="exact"/>
        <w:ind w:firstLine="420" w:firstLineChars="200"/>
        <w:rPr>
          <w:rFonts w:ascii="宋体"/>
          <w:szCs w:val="21"/>
        </w:rPr>
      </w:pPr>
      <w:r>
        <w:rPr>
          <w:rFonts w:hint="eastAsia" w:ascii="宋体"/>
          <w:szCs w:val="21"/>
        </w:rPr>
        <w:t>5、甲方对验收有异议的，在验收后五个工作日内以书面形式向乙方提出，乙方应自收到甲方书面异议后</w:t>
      </w:r>
      <w:r>
        <w:rPr>
          <w:rFonts w:hint="eastAsia" w:ascii="宋体"/>
          <w:szCs w:val="21"/>
          <w:u w:val="single"/>
        </w:rPr>
        <w:t xml:space="preserve">   五  </w:t>
      </w:r>
      <w:r>
        <w:rPr>
          <w:rFonts w:hint="eastAsia" w:ascii="宋体"/>
          <w:szCs w:val="21"/>
        </w:rPr>
        <w:t>日内及时予以解决。</w:t>
      </w:r>
    </w:p>
    <w:p>
      <w:pPr>
        <w:snapToGrid w:val="0"/>
        <w:spacing w:line="360" w:lineRule="exact"/>
        <w:ind w:firstLine="420" w:firstLineChars="200"/>
        <w:rPr>
          <w:rFonts w:ascii="宋体"/>
          <w:b/>
          <w:szCs w:val="21"/>
        </w:rPr>
      </w:pPr>
      <w:r>
        <w:rPr>
          <w:rFonts w:hint="eastAsia" w:ascii="宋体"/>
          <w:b/>
          <w:szCs w:val="21"/>
        </w:rPr>
        <w:t>第六条　安装和培训</w:t>
      </w:r>
    </w:p>
    <w:p>
      <w:pPr>
        <w:snapToGrid w:val="0"/>
        <w:spacing w:line="360" w:lineRule="exact"/>
        <w:ind w:firstLine="420" w:firstLineChars="200"/>
        <w:rPr>
          <w:rFonts w:ascii="宋体"/>
          <w:szCs w:val="21"/>
        </w:rPr>
      </w:pPr>
      <w:r>
        <w:rPr>
          <w:rFonts w:hint="eastAsia" w:ascii="宋体"/>
          <w:szCs w:val="21"/>
        </w:rPr>
        <w:t>1、甲方应提供必要安装条件（如场地、电源、水源等）。</w:t>
      </w:r>
    </w:p>
    <w:p>
      <w:pPr>
        <w:snapToGrid w:val="0"/>
        <w:spacing w:line="360" w:lineRule="exact"/>
        <w:ind w:firstLine="420" w:firstLineChars="200"/>
        <w:rPr>
          <w:rFonts w:ascii="宋体"/>
          <w:szCs w:val="21"/>
          <w:u w:val="single"/>
        </w:rPr>
      </w:pPr>
      <w:r>
        <w:rPr>
          <w:rFonts w:hint="eastAsia" w:ascii="宋体"/>
          <w:szCs w:val="21"/>
        </w:rPr>
        <w:t>2、乙方负责甲方有关人员的培训。培训时间、地点：</w:t>
      </w:r>
      <w:r>
        <w:rPr>
          <w:rFonts w:hint="eastAsia"/>
          <w:b/>
          <w:szCs w:val="21"/>
          <w:u w:val="single"/>
        </w:rPr>
        <w:t>按交付使用时间、地点培训</w:t>
      </w:r>
      <w:r>
        <w:rPr>
          <w:rFonts w:hint="eastAsia" w:ascii="宋体"/>
          <w:szCs w:val="21"/>
        </w:rPr>
        <w:t>。</w:t>
      </w:r>
    </w:p>
    <w:p>
      <w:pPr>
        <w:snapToGrid w:val="0"/>
        <w:spacing w:line="360" w:lineRule="exact"/>
        <w:ind w:firstLine="420" w:firstLineChars="200"/>
        <w:rPr>
          <w:rFonts w:ascii="宋体"/>
          <w:b/>
          <w:szCs w:val="21"/>
        </w:rPr>
      </w:pPr>
      <w:r>
        <w:rPr>
          <w:rFonts w:hint="eastAsia" w:ascii="宋体"/>
          <w:b/>
          <w:szCs w:val="21"/>
        </w:rPr>
        <w:t>第七条  售后服务、保修期</w:t>
      </w:r>
    </w:p>
    <w:p>
      <w:pPr>
        <w:snapToGrid w:val="0"/>
        <w:spacing w:line="360" w:lineRule="exact"/>
        <w:ind w:firstLine="420" w:firstLineChars="200"/>
        <w:rPr>
          <w:rFonts w:ascii="宋体"/>
          <w:szCs w:val="21"/>
        </w:rPr>
      </w:pPr>
      <w:r>
        <w:rPr>
          <w:rFonts w:hint="eastAsia" w:ascii="宋体"/>
          <w:szCs w:val="21"/>
        </w:rPr>
        <w:t>1、乙方应按照国家有关法律法规和“三包”规定以及招投标文件和本合同所附的《服务承诺》，为甲方提供售后服务。</w:t>
      </w:r>
    </w:p>
    <w:p>
      <w:pPr>
        <w:snapToGrid w:val="0"/>
        <w:spacing w:line="360" w:lineRule="exact"/>
        <w:ind w:firstLine="420" w:firstLineChars="200"/>
        <w:rPr>
          <w:rFonts w:ascii="宋体"/>
          <w:szCs w:val="21"/>
          <w:u w:val="single"/>
        </w:rPr>
      </w:pPr>
      <w:r>
        <w:rPr>
          <w:rFonts w:hint="eastAsia" w:ascii="宋体"/>
          <w:szCs w:val="21"/>
        </w:rPr>
        <w:t>2、货物保修期：</w:t>
      </w:r>
      <w:r>
        <w:rPr>
          <w:rFonts w:hint="eastAsia"/>
          <w:b/>
          <w:szCs w:val="21"/>
          <w:u w:val="single"/>
        </w:rPr>
        <w:t>按投标响应</w:t>
      </w:r>
      <w:r>
        <w:rPr>
          <w:rFonts w:hint="eastAsia" w:ascii="宋体"/>
          <w:szCs w:val="21"/>
        </w:rPr>
        <w:t>。</w:t>
      </w:r>
    </w:p>
    <w:p>
      <w:pPr>
        <w:snapToGrid w:val="0"/>
        <w:spacing w:line="360" w:lineRule="exact"/>
        <w:ind w:firstLine="420" w:firstLineChars="200"/>
        <w:rPr>
          <w:rFonts w:ascii="宋体"/>
          <w:szCs w:val="21"/>
          <w:u w:val="single"/>
        </w:rPr>
      </w:pPr>
      <w:r>
        <w:rPr>
          <w:rFonts w:hint="eastAsia" w:ascii="宋体"/>
          <w:szCs w:val="21"/>
        </w:rPr>
        <w:t>3、乙方提供的服务承诺和售后服务及保修期责任等其它具体约定事项。（见合同附件）</w:t>
      </w:r>
    </w:p>
    <w:p>
      <w:pPr>
        <w:snapToGrid w:val="0"/>
        <w:spacing w:line="360" w:lineRule="exact"/>
        <w:ind w:firstLine="420" w:firstLineChars="200"/>
        <w:rPr>
          <w:rFonts w:ascii="宋体"/>
          <w:szCs w:val="21"/>
        </w:rPr>
      </w:pPr>
      <w:r>
        <w:rPr>
          <w:rFonts w:hint="eastAsia" w:ascii="宋体"/>
          <w:b/>
          <w:szCs w:val="21"/>
        </w:rPr>
        <w:t>第八条　付款方式和保证金</w:t>
      </w:r>
    </w:p>
    <w:p>
      <w:pPr>
        <w:pStyle w:val="16"/>
        <w:snapToGrid w:val="0"/>
        <w:spacing w:before="120" w:after="120" w:line="360" w:lineRule="exact"/>
        <w:ind w:left="420" w:leftChars="200"/>
        <w:rPr>
          <w:szCs w:val="21"/>
        </w:rPr>
      </w:pPr>
      <w:r>
        <w:rPr>
          <w:rFonts w:hint="eastAsia"/>
          <w:bCs/>
          <w:szCs w:val="21"/>
        </w:rPr>
        <w:t>1、</w:t>
      </w:r>
      <w:r>
        <w:rPr>
          <w:rFonts w:hint="eastAsia"/>
          <w:szCs w:val="21"/>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szCs w:val="21"/>
          <w:u w:val="single"/>
        </w:rPr>
      </w:pPr>
      <w:r>
        <w:rPr>
          <w:rFonts w:hint="eastAsia" w:ascii="宋体"/>
          <w:szCs w:val="21"/>
        </w:rPr>
        <w:t>2、资金性质：</w:t>
      </w:r>
      <w:r>
        <w:rPr>
          <w:rFonts w:hint="eastAsia" w:ascii="宋体"/>
          <w:b/>
          <w:szCs w:val="21"/>
          <w:u w:val="single"/>
        </w:rPr>
        <w:t>财政性资金</w:t>
      </w:r>
      <w:r>
        <w:rPr>
          <w:rFonts w:hint="eastAsia" w:ascii="宋体"/>
          <w:b/>
          <w:szCs w:val="21"/>
        </w:rPr>
        <w:t>。</w:t>
      </w:r>
    </w:p>
    <w:p>
      <w:pPr>
        <w:spacing w:line="360" w:lineRule="exact"/>
        <w:ind w:firstLine="420" w:firstLineChars="200"/>
        <w:jc w:val="left"/>
        <w:rPr>
          <w:rFonts w:hAnsi="宋体"/>
          <w:szCs w:val="21"/>
        </w:rPr>
      </w:pPr>
      <w:r>
        <w:rPr>
          <w:rFonts w:hint="eastAsia" w:ascii="宋体"/>
          <w:szCs w:val="21"/>
        </w:rPr>
        <w:t>3、付款方式：</w:t>
      </w:r>
      <w:r>
        <w:rPr>
          <w:rFonts w:hint="eastAsia" w:ascii="宋体" w:hAnsi="宋体"/>
          <w:szCs w:val="21"/>
        </w:rPr>
        <w:t>签订合同前，成交供应商向采购人交纳合同金额的5%作为履约保证金。项目完成实施并最终验收合格后，乙方开具全额发票给甲方，甲方在15个工作日内向乙方付清100%合同款。履约保证金在验收完毕之日起一年后15个工作日内办理一次性退付手续（无息）。</w:t>
      </w:r>
    </w:p>
    <w:p>
      <w:pPr>
        <w:snapToGrid w:val="0"/>
        <w:spacing w:line="400" w:lineRule="exact"/>
        <w:ind w:left="-60" w:leftChars="-29" w:firstLine="514" w:firstLineChars="245"/>
        <w:rPr>
          <w:rFonts w:ascii="宋体"/>
          <w:b/>
          <w:szCs w:val="21"/>
        </w:rPr>
      </w:pPr>
      <w:r>
        <w:rPr>
          <w:rFonts w:hint="eastAsia" w:ascii="宋体"/>
          <w:b/>
          <w:szCs w:val="21"/>
        </w:rPr>
        <w:t>第九条　履约保证金</w:t>
      </w:r>
    </w:p>
    <w:p>
      <w:pPr>
        <w:autoSpaceDE w:val="0"/>
        <w:autoSpaceDN w:val="0"/>
        <w:adjustRightInd w:val="0"/>
        <w:spacing w:line="320" w:lineRule="exact"/>
        <w:ind w:firstLine="420" w:firstLineChars="200"/>
        <w:jc w:val="left"/>
        <w:rPr>
          <w:rFonts w:hAnsi="宋体"/>
          <w:szCs w:val="21"/>
        </w:rPr>
      </w:pPr>
      <w:r>
        <w:rPr>
          <w:rFonts w:hint="eastAsia" w:hAnsi="宋体"/>
          <w:szCs w:val="21"/>
        </w:rPr>
        <w:t>合同签订之前，乙方按合同金额的5</w:t>
      </w:r>
      <w:r>
        <w:rPr>
          <w:rFonts w:hAnsi="宋体"/>
          <w:szCs w:val="21"/>
        </w:rPr>
        <w:t>%</w:t>
      </w:r>
      <w:r>
        <w:rPr>
          <w:rFonts w:hint="eastAsia" w:hAnsi="宋体"/>
          <w:szCs w:val="21"/>
        </w:rPr>
        <w:t>向</w:t>
      </w:r>
      <w:r>
        <w:rPr>
          <w:rFonts w:hint="eastAsia" w:ascii="宋体" w:hAnsi="宋体" w:cs="宋体"/>
          <w:szCs w:val="21"/>
        </w:rPr>
        <w:t>甲方</w:t>
      </w:r>
      <w:r>
        <w:rPr>
          <w:rFonts w:hint="eastAsia" w:hAnsi="宋体"/>
          <w:szCs w:val="21"/>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履约保证金缴款账户信息：</w:t>
      </w:r>
    </w:p>
    <w:p>
      <w:pPr>
        <w:autoSpaceDE w:val="0"/>
        <w:autoSpaceDN w:val="0"/>
        <w:adjustRightInd w:val="0"/>
        <w:spacing w:line="320" w:lineRule="exact"/>
        <w:ind w:firstLine="420" w:firstLineChars="200"/>
        <w:jc w:val="left"/>
        <w:rPr>
          <w:szCs w:val="21"/>
        </w:rPr>
      </w:pPr>
      <w:r>
        <w:rPr>
          <w:rFonts w:hint="eastAsia" w:hAnsi="宋体"/>
          <w:szCs w:val="21"/>
        </w:rPr>
        <w:t>户名：南宁师范大学，开户银行：中国银行南宁市明秀东支行，账号：626257498267。（该条款仅适用于非中小微企业）</w:t>
      </w:r>
    </w:p>
    <w:p>
      <w:pPr>
        <w:snapToGrid w:val="0"/>
        <w:spacing w:line="360" w:lineRule="exact"/>
        <w:ind w:firstLine="420" w:firstLineChars="200"/>
        <w:rPr>
          <w:rFonts w:ascii="宋体"/>
          <w:b/>
          <w:szCs w:val="21"/>
        </w:rPr>
      </w:pPr>
      <w:r>
        <w:rPr>
          <w:rFonts w:hint="eastAsia" w:ascii="宋体"/>
          <w:b/>
          <w:szCs w:val="21"/>
        </w:rPr>
        <w:t>第十条、税费本合同执行中相关的一切税费均由乙方负担。</w:t>
      </w:r>
    </w:p>
    <w:p>
      <w:pPr>
        <w:snapToGrid w:val="0"/>
        <w:spacing w:line="360" w:lineRule="exact"/>
        <w:ind w:firstLine="420" w:firstLineChars="200"/>
        <w:rPr>
          <w:rFonts w:ascii="宋体"/>
          <w:b/>
          <w:szCs w:val="21"/>
        </w:rPr>
      </w:pPr>
      <w:r>
        <w:rPr>
          <w:rFonts w:hint="eastAsia" w:ascii="宋体"/>
          <w:b/>
          <w:szCs w:val="21"/>
        </w:rPr>
        <w:t>第十一条、质量保证及售后服务</w:t>
      </w:r>
    </w:p>
    <w:p>
      <w:pPr>
        <w:snapToGrid w:val="0"/>
        <w:spacing w:line="360" w:lineRule="exact"/>
        <w:ind w:firstLine="420" w:firstLineChars="200"/>
        <w:rPr>
          <w:rFonts w:ascii="宋体"/>
          <w:szCs w:val="21"/>
        </w:rPr>
      </w:pPr>
      <w:r>
        <w:rPr>
          <w:rFonts w:hint="eastAsia" w:ascii="宋体"/>
          <w:szCs w:val="21"/>
        </w:rPr>
        <w:t>1、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按</w:t>
      </w:r>
      <w:r>
        <w:rPr>
          <w:rFonts w:hint="eastAsia" w:ascii="宋体"/>
          <w:szCs w:val="21"/>
          <w:u w:val="single"/>
        </w:rPr>
        <w:t>（3）</w:t>
      </w:r>
      <w:r>
        <w:rPr>
          <w:rFonts w:hint="eastAsia" w:ascii="宋体"/>
          <w:szCs w:val="21"/>
        </w:rPr>
        <w:t>处理：</w:t>
      </w:r>
    </w:p>
    <w:p>
      <w:pPr>
        <w:pStyle w:val="16"/>
        <w:snapToGrid w:val="0"/>
        <w:spacing w:before="120" w:after="120" w:line="360" w:lineRule="exact"/>
        <w:ind w:firstLine="420" w:firstLineChars="200"/>
        <w:rPr>
          <w:szCs w:val="21"/>
        </w:rPr>
      </w:pPr>
      <w:r>
        <w:rPr>
          <w:rFonts w:hint="eastAsia"/>
          <w:szCs w:val="21"/>
        </w:rPr>
        <w:t>（1）更换：由乙方承担所发生的全部费用。</w:t>
      </w:r>
    </w:p>
    <w:p>
      <w:pPr>
        <w:pStyle w:val="16"/>
        <w:snapToGrid w:val="0"/>
        <w:spacing w:before="120" w:after="120" w:line="360" w:lineRule="exact"/>
        <w:ind w:firstLine="420"/>
        <w:rPr>
          <w:szCs w:val="21"/>
        </w:rPr>
      </w:pPr>
      <w:r>
        <w:rPr>
          <w:rFonts w:hint="eastAsia"/>
          <w:szCs w:val="21"/>
        </w:rPr>
        <w:t>（2）贬值处理：由甲乙双方合议定价。</w:t>
      </w:r>
    </w:p>
    <w:p>
      <w:pPr>
        <w:pStyle w:val="16"/>
        <w:snapToGrid w:val="0"/>
        <w:spacing w:before="120" w:after="120" w:line="360" w:lineRule="exact"/>
        <w:ind w:left="420" w:leftChars="200"/>
        <w:rPr>
          <w:szCs w:val="21"/>
        </w:rPr>
      </w:pPr>
      <w:r>
        <w:rPr>
          <w:rFonts w:hint="eastAsia"/>
          <w:szCs w:val="21"/>
        </w:rPr>
        <w:t>（3）退货处理：乙方应退还甲方支付的合同款，同时应承担该货物的直接费用（运输、保险、检验、货款利息及银行手续费等）。</w:t>
      </w:r>
    </w:p>
    <w:p>
      <w:pPr>
        <w:pStyle w:val="16"/>
        <w:snapToGrid w:val="0"/>
        <w:spacing w:before="120" w:after="120" w:line="360" w:lineRule="exact"/>
        <w:ind w:firstLine="420" w:firstLineChars="200"/>
        <w:rPr>
          <w:szCs w:val="21"/>
        </w:rPr>
      </w:pPr>
      <w:r>
        <w:rPr>
          <w:rFonts w:hint="eastAsia"/>
          <w:szCs w:val="21"/>
        </w:rPr>
        <w:t>2、如在使用过程中发生质量问题，乙方在接到甲方通知后在</w:t>
      </w:r>
      <w:r>
        <w:rPr>
          <w:rFonts w:hint="eastAsia"/>
          <w:szCs w:val="21"/>
          <w:u w:val="single"/>
        </w:rPr>
        <w:t xml:space="preserve"> 2 </w:t>
      </w:r>
      <w:r>
        <w:rPr>
          <w:rFonts w:hint="eastAsia"/>
          <w:szCs w:val="21"/>
        </w:rPr>
        <w:t>小时内到达甲方现场。</w:t>
      </w:r>
    </w:p>
    <w:p>
      <w:pPr>
        <w:pStyle w:val="16"/>
        <w:snapToGrid w:val="0"/>
        <w:spacing w:before="120" w:after="120" w:line="360" w:lineRule="exact"/>
        <w:ind w:firstLine="420" w:firstLineChars="200"/>
        <w:rPr>
          <w:szCs w:val="21"/>
        </w:rPr>
      </w:pPr>
      <w:r>
        <w:rPr>
          <w:rFonts w:hint="eastAsia"/>
          <w:szCs w:val="21"/>
        </w:rPr>
        <w:t>3、在质保期内，乙方应对货物出现的质量及安全问题负责处理解决并承担一切费用。</w:t>
      </w:r>
    </w:p>
    <w:p>
      <w:pPr>
        <w:pStyle w:val="16"/>
        <w:snapToGrid w:val="0"/>
        <w:spacing w:before="120" w:after="120" w:line="360" w:lineRule="exact"/>
        <w:ind w:firstLine="420" w:firstLineChars="200"/>
        <w:rPr>
          <w:szCs w:val="21"/>
        </w:rPr>
      </w:pPr>
      <w:r>
        <w:rPr>
          <w:rFonts w:hint="eastAsia"/>
          <w:szCs w:val="21"/>
        </w:rPr>
        <w:t>4、上述的货物免费保修期为年（服务承诺或投票响应的保修期超出此期限的，按更长保修期约定执行），因人为因素出现的故障不在免费保修范围内。超过保修期的机器设备，终生维修，维修时只收部件成本费。</w:t>
      </w:r>
    </w:p>
    <w:p>
      <w:pPr>
        <w:pStyle w:val="16"/>
        <w:snapToGrid w:val="0"/>
        <w:spacing w:before="120" w:after="120" w:line="360" w:lineRule="exact"/>
        <w:ind w:firstLine="411" w:firstLineChars="196"/>
        <w:rPr>
          <w:b/>
          <w:szCs w:val="21"/>
        </w:rPr>
      </w:pPr>
      <w:r>
        <w:rPr>
          <w:rFonts w:hint="eastAsia"/>
          <w:b/>
          <w:szCs w:val="21"/>
        </w:rPr>
        <w:t>第十二条、调试和验收</w:t>
      </w:r>
    </w:p>
    <w:p>
      <w:pPr>
        <w:pStyle w:val="16"/>
        <w:snapToGrid w:val="0"/>
        <w:spacing w:before="120" w:after="120" w:line="360" w:lineRule="exact"/>
        <w:ind w:firstLine="420" w:firstLineChars="200"/>
        <w:jc w:val="left"/>
        <w:rPr>
          <w:szCs w:val="21"/>
        </w:rPr>
      </w:pPr>
      <w:r>
        <w:rPr>
          <w:rFonts w:hint="eastAsia"/>
          <w:szCs w:val="21"/>
        </w:rPr>
        <w:t>1、甲方对乙方提交的货物依据招标文件上的技术规格要求和国家有关质量标准进行现场初步验收，外观、说明书符合招标文件技术要求的，给予签收，初步验收不合格的不予签收。</w:t>
      </w:r>
      <w:r>
        <w:rPr>
          <w:rFonts w:hint="eastAsia"/>
          <w:bCs/>
          <w:szCs w:val="21"/>
        </w:rPr>
        <w:t>安装、调试完毕</w:t>
      </w:r>
      <w:r>
        <w:rPr>
          <w:rFonts w:hint="eastAsia"/>
          <w:szCs w:val="21"/>
        </w:rPr>
        <w:t>后，</w:t>
      </w:r>
      <w:r>
        <w:rPr>
          <w:rFonts w:hint="eastAsia"/>
          <w:bCs/>
          <w:szCs w:val="21"/>
        </w:rPr>
        <w:t>甲方应当在十个工作日内进行验收</w:t>
      </w:r>
      <w:r>
        <w:rPr>
          <w:rFonts w:hint="eastAsia"/>
          <w:szCs w:val="21"/>
        </w:rPr>
        <w:t>。</w:t>
      </w:r>
    </w:p>
    <w:p>
      <w:pPr>
        <w:pStyle w:val="16"/>
        <w:snapToGrid w:val="0"/>
        <w:spacing w:before="120" w:after="120" w:line="360" w:lineRule="exact"/>
        <w:ind w:firstLine="420" w:firstLineChars="200"/>
        <w:rPr>
          <w:szCs w:val="21"/>
        </w:rPr>
      </w:pPr>
      <w:r>
        <w:rPr>
          <w:rFonts w:hint="eastAsia"/>
          <w:szCs w:val="21"/>
        </w:rPr>
        <w:t>2、乙方交货前应对产品作出全面检查和对验收文件进行整理，并列出清单，作为甲方收货验收和使用的技术条件依据，检验的结果应随货物交甲方。</w:t>
      </w:r>
    </w:p>
    <w:p>
      <w:pPr>
        <w:pStyle w:val="16"/>
        <w:snapToGrid w:val="0"/>
        <w:spacing w:before="120" w:after="120" w:line="360" w:lineRule="exact"/>
        <w:ind w:firstLine="420" w:firstLineChars="200"/>
        <w:rPr>
          <w:szCs w:val="21"/>
        </w:rPr>
      </w:pPr>
      <w:r>
        <w:rPr>
          <w:rFonts w:hint="eastAsia"/>
          <w:szCs w:val="21"/>
        </w:rPr>
        <w:t>3、甲方对乙方提供的货物在使用前进行调试时，乙方需负责安装并培训甲方的使用操作人员，并协助甲方一起调试，直到符合技术要求，甲方才做最终验收。</w:t>
      </w:r>
    </w:p>
    <w:p>
      <w:pPr>
        <w:pStyle w:val="16"/>
        <w:snapToGrid w:val="0"/>
        <w:spacing w:before="120" w:after="120" w:line="360" w:lineRule="exact"/>
        <w:ind w:firstLine="420" w:firstLineChars="200"/>
        <w:rPr>
          <w:szCs w:val="21"/>
          <w:u w:val="single"/>
        </w:rPr>
      </w:pPr>
      <w:r>
        <w:rPr>
          <w:rFonts w:hint="eastAsia" w:hAnsi="宋体"/>
          <w:szCs w:val="21"/>
        </w:rPr>
        <w:t>4、对技术复杂的货物，甲方应请国家认可的专业检测机构参与初步验收及最终验收，并由其出具质量检测报告，检测相关费用由</w:t>
      </w:r>
      <w:r>
        <w:rPr>
          <w:rFonts w:hint="eastAsia" w:hAnsi="宋体"/>
          <w:szCs w:val="21"/>
          <w:u w:val="single"/>
        </w:rPr>
        <w:t xml:space="preserve"> 甲 </w:t>
      </w:r>
      <w:r>
        <w:rPr>
          <w:rFonts w:hint="eastAsia" w:hAnsi="宋体"/>
          <w:szCs w:val="21"/>
        </w:rPr>
        <w:t>方承担。</w:t>
      </w:r>
    </w:p>
    <w:p>
      <w:pPr>
        <w:pStyle w:val="16"/>
        <w:snapToGrid w:val="0"/>
        <w:spacing w:before="120" w:after="120" w:line="360" w:lineRule="exact"/>
        <w:ind w:firstLine="420" w:firstLineChars="200"/>
        <w:rPr>
          <w:szCs w:val="21"/>
        </w:rPr>
      </w:pPr>
      <w:r>
        <w:rPr>
          <w:rFonts w:hint="eastAsia"/>
          <w:szCs w:val="21"/>
        </w:rPr>
        <w:t>5、验收时乙方必须在现场，验收完毕后作出验收结果报告。</w:t>
      </w:r>
    </w:p>
    <w:p>
      <w:pPr>
        <w:pStyle w:val="16"/>
        <w:snapToGrid w:val="0"/>
        <w:spacing w:before="120" w:after="120" w:line="360" w:lineRule="exact"/>
        <w:ind w:firstLine="411" w:firstLineChars="196"/>
        <w:rPr>
          <w:b/>
          <w:szCs w:val="21"/>
        </w:rPr>
      </w:pPr>
      <w:r>
        <w:rPr>
          <w:rFonts w:hint="eastAsia"/>
          <w:b/>
          <w:szCs w:val="21"/>
        </w:rPr>
        <w:t>第十三条、货物包装、发运及运输</w:t>
      </w:r>
    </w:p>
    <w:p>
      <w:pPr>
        <w:pStyle w:val="16"/>
        <w:snapToGrid w:val="0"/>
        <w:spacing w:before="120" w:after="120" w:line="360" w:lineRule="exact"/>
        <w:ind w:left="420" w:leftChars="200"/>
        <w:rPr>
          <w:szCs w:val="21"/>
        </w:rPr>
      </w:pPr>
      <w:r>
        <w:rPr>
          <w:rFonts w:hint="eastAsia"/>
          <w:szCs w:val="21"/>
        </w:rPr>
        <w:t>1、乙方应在货物发运前对其进行满足运输距离、防潮、防震、防锈和防破损装卸等要求包装，以保证货物安全运达甲方指定地点。</w:t>
      </w:r>
    </w:p>
    <w:p>
      <w:pPr>
        <w:pStyle w:val="16"/>
        <w:snapToGrid w:val="0"/>
        <w:spacing w:before="120" w:after="120" w:line="360" w:lineRule="exact"/>
        <w:ind w:left="420" w:leftChars="200"/>
        <w:rPr>
          <w:szCs w:val="21"/>
        </w:rPr>
      </w:pPr>
      <w:r>
        <w:rPr>
          <w:rFonts w:hint="eastAsia"/>
          <w:szCs w:val="21"/>
        </w:rPr>
        <w:t>2、使用说明书、质量检验证明书、随配附件和工具以及清单一并附于货物内。</w:t>
      </w:r>
    </w:p>
    <w:p>
      <w:pPr>
        <w:pStyle w:val="16"/>
        <w:snapToGrid w:val="0"/>
        <w:spacing w:before="120" w:after="120" w:line="360" w:lineRule="exact"/>
        <w:ind w:left="420" w:leftChars="200"/>
        <w:rPr>
          <w:szCs w:val="21"/>
        </w:rPr>
      </w:pPr>
      <w:r>
        <w:rPr>
          <w:rFonts w:hint="eastAsia"/>
          <w:szCs w:val="21"/>
        </w:rPr>
        <w:t>3、乙方在货物发运手续办理完毕后二十四小时内或货到甲方四十八小时前通知甲方，以准备接货。</w:t>
      </w:r>
    </w:p>
    <w:p>
      <w:pPr>
        <w:pStyle w:val="16"/>
        <w:snapToGrid w:val="0"/>
        <w:spacing w:before="120" w:after="120" w:line="360" w:lineRule="exact"/>
        <w:ind w:left="420" w:leftChars="200"/>
        <w:rPr>
          <w:szCs w:val="21"/>
        </w:rPr>
      </w:pPr>
      <w:r>
        <w:rPr>
          <w:rFonts w:hint="eastAsia"/>
          <w:szCs w:val="21"/>
        </w:rPr>
        <w:t>4、货物在交付甲方前发生的风险均由乙方负责。</w:t>
      </w:r>
    </w:p>
    <w:p>
      <w:pPr>
        <w:pStyle w:val="16"/>
        <w:snapToGrid w:val="0"/>
        <w:spacing w:line="360" w:lineRule="exact"/>
        <w:ind w:left="420" w:leftChars="200" w:right="26"/>
        <w:jc w:val="distribute"/>
        <w:rPr>
          <w:spacing w:val="-8"/>
          <w:szCs w:val="21"/>
        </w:rPr>
      </w:pPr>
      <w:r>
        <w:rPr>
          <w:rFonts w:hint="eastAsia"/>
          <w:szCs w:val="21"/>
        </w:rPr>
        <w:t>5、货</w:t>
      </w:r>
      <w:r>
        <w:rPr>
          <w:rFonts w:hint="eastAsia"/>
          <w:spacing w:val="-8"/>
          <w:szCs w:val="21"/>
        </w:rPr>
        <w:t>物在规定的交付期限内由乙方送达甲方指定的地点视为交付，乙方同时需通知甲方货物已送达。</w:t>
      </w:r>
    </w:p>
    <w:p>
      <w:pPr>
        <w:snapToGrid w:val="0"/>
        <w:spacing w:line="360" w:lineRule="exact"/>
        <w:ind w:firstLine="420" w:firstLineChars="200"/>
        <w:rPr>
          <w:rFonts w:ascii="宋体"/>
          <w:b/>
          <w:szCs w:val="21"/>
        </w:rPr>
      </w:pPr>
      <w:r>
        <w:rPr>
          <w:rFonts w:hint="eastAsia" w:ascii="宋体"/>
          <w:b/>
          <w:szCs w:val="21"/>
        </w:rPr>
        <w:t>第十四条　违约责任</w:t>
      </w:r>
    </w:p>
    <w:p>
      <w:pPr>
        <w:snapToGrid w:val="0"/>
        <w:spacing w:line="360" w:lineRule="exact"/>
        <w:ind w:firstLine="525" w:firstLineChars="250"/>
        <w:rPr>
          <w:rFonts w:ascii="宋体"/>
          <w:szCs w:val="21"/>
        </w:rPr>
      </w:pPr>
      <w:r>
        <w:rPr>
          <w:rFonts w:hint="eastAsia" w:asci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szCs w:val="21"/>
        </w:rPr>
      </w:pPr>
      <w:r>
        <w:rPr>
          <w:rFonts w:hint="eastAsia" w:ascii="宋体"/>
          <w:szCs w:val="21"/>
        </w:rPr>
        <w:t>2、乙方提供的货物如侵犯了第三方合法权益而引发的任何纠纷或诉讼，均由乙方负责交涉并承担全部责任。</w:t>
      </w:r>
    </w:p>
    <w:p>
      <w:pPr>
        <w:snapToGrid w:val="0"/>
        <w:spacing w:line="360" w:lineRule="exact"/>
        <w:ind w:firstLine="420" w:firstLineChars="200"/>
        <w:rPr>
          <w:rFonts w:ascii="宋体"/>
          <w:szCs w:val="21"/>
        </w:rPr>
      </w:pPr>
      <w:r>
        <w:rPr>
          <w:rFonts w:hint="eastAsia" w:ascii="宋体"/>
          <w:szCs w:val="21"/>
        </w:rPr>
        <w:t>3、因包装、运输引起的货物损坏，按质量不合格处罚。</w:t>
      </w:r>
    </w:p>
    <w:p>
      <w:pPr>
        <w:snapToGrid w:val="0"/>
        <w:spacing w:line="360" w:lineRule="exact"/>
        <w:ind w:firstLine="420" w:firstLineChars="200"/>
        <w:rPr>
          <w:rFonts w:ascii="宋体"/>
          <w:szCs w:val="21"/>
        </w:rPr>
      </w:pPr>
      <w:r>
        <w:rPr>
          <w:rFonts w:hint="eastAsia" w:ascii="宋体"/>
          <w:szCs w:val="21"/>
        </w:rPr>
        <w:t>4、乙方逾期交货的，每天向甲方偿付违约货款额3‰违约金，但违约金累计不得超过违约货款额</w:t>
      </w:r>
      <w:r>
        <w:rPr>
          <w:rFonts w:hint="eastAsia" w:ascii="宋体"/>
          <w:szCs w:val="21"/>
          <w:u w:val="single"/>
        </w:rPr>
        <w:t>5%</w:t>
      </w:r>
      <w:r>
        <w:rPr>
          <w:rFonts w:hint="eastAsia" w:ascii="宋体"/>
          <w:szCs w:val="21"/>
        </w:rPr>
        <w:t>，超过</w:t>
      </w:r>
      <w:r>
        <w:rPr>
          <w:rFonts w:hint="eastAsia" w:ascii="宋体"/>
          <w:szCs w:val="21"/>
          <w:u w:val="single"/>
        </w:rPr>
        <w:t xml:space="preserve">20 </w:t>
      </w:r>
      <w:r>
        <w:rPr>
          <w:rFonts w:hint="eastAsia" w:ascii="宋体"/>
          <w:szCs w:val="21"/>
        </w:rPr>
        <w:t>天对方有权解除合同，违约方承担因此给对方造成经济损失；甲方延期付货款的，每天向乙方偿付延期货款额</w:t>
      </w:r>
      <w:r>
        <w:rPr>
          <w:rFonts w:hint="eastAsia" w:ascii="宋体"/>
          <w:szCs w:val="21"/>
          <w:u w:val="single"/>
        </w:rPr>
        <w:t xml:space="preserve">3‰ </w:t>
      </w:r>
      <w:r>
        <w:rPr>
          <w:rFonts w:hint="eastAsia" w:ascii="宋体"/>
          <w:szCs w:val="21"/>
        </w:rPr>
        <w:t>滞纳金，但滞纳金累计不得超过延期货款额</w:t>
      </w:r>
      <w:r>
        <w:rPr>
          <w:rFonts w:hint="eastAsia" w:ascii="宋体"/>
          <w:szCs w:val="21"/>
          <w:u w:val="single"/>
        </w:rPr>
        <w:t>5%</w:t>
      </w:r>
      <w:r>
        <w:rPr>
          <w:rFonts w:hint="eastAsia" w:ascii="宋体"/>
          <w:szCs w:val="21"/>
        </w:rPr>
        <w:t>。</w:t>
      </w:r>
    </w:p>
    <w:p>
      <w:pPr>
        <w:snapToGrid w:val="0"/>
        <w:spacing w:line="360" w:lineRule="exact"/>
        <w:ind w:firstLine="420" w:firstLineChars="200"/>
        <w:rPr>
          <w:rFonts w:ascii="宋体"/>
          <w:szCs w:val="21"/>
        </w:rPr>
      </w:pPr>
      <w:r>
        <w:rPr>
          <w:rFonts w:hint="eastAsia" w:ascii="宋体"/>
          <w:szCs w:val="21"/>
        </w:rPr>
        <w:t>5、乙方未按本合同和投标文件中规定的服务承诺提供售后服务的，乙方应按本合同合计金额</w:t>
      </w:r>
      <w:r>
        <w:rPr>
          <w:rFonts w:hint="eastAsia" w:ascii="宋体"/>
          <w:szCs w:val="21"/>
          <w:u w:val="single"/>
        </w:rPr>
        <w:t xml:space="preserve"> 5%</w:t>
      </w:r>
      <w:r>
        <w:rPr>
          <w:rFonts w:hint="eastAsia" w:ascii="宋体"/>
          <w:szCs w:val="21"/>
        </w:rPr>
        <w:t>向甲方支付违约金。</w:t>
      </w:r>
    </w:p>
    <w:p>
      <w:pPr>
        <w:snapToGrid w:val="0"/>
        <w:spacing w:line="360" w:lineRule="exact"/>
        <w:ind w:firstLine="420" w:firstLineChars="200"/>
        <w:rPr>
          <w:rFonts w:ascii="宋体"/>
          <w:szCs w:val="21"/>
        </w:rPr>
      </w:pPr>
      <w:r>
        <w:rPr>
          <w:rFonts w:hint="eastAsia" w:ascii="宋体"/>
          <w:szCs w:val="21"/>
        </w:rPr>
        <w:t>6、乙方提供的货物在质量保修期内，因设计、工艺或材料的缺陷和其它质量原因造成的问题，由乙方负责，费用从履约保证金中扣除，不足另补。</w:t>
      </w:r>
    </w:p>
    <w:p>
      <w:pPr>
        <w:snapToGrid w:val="0"/>
        <w:spacing w:line="360" w:lineRule="exact"/>
        <w:ind w:firstLine="420" w:firstLineChars="200"/>
        <w:rPr>
          <w:rFonts w:ascii="宋体"/>
          <w:szCs w:val="21"/>
        </w:rPr>
      </w:pPr>
      <w:r>
        <w:rPr>
          <w:rFonts w:hint="eastAsia" w:ascii="宋体"/>
          <w:szCs w:val="21"/>
        </w:rPr>
        <w:t>7、其它违约行为按违约货款额5%收取违约金并赔偿经济损失。</w:t>
      </w:r>
    </w:p>
    <w:p>
      <w:pPr>
        <w:pStyle w:val="16"/>
        <w:snapToGrid w:val="0"/>
        <w:spacing w:before="120" w:after="120" w:line="360" w:lineRule="exact"/>
        <w:ind w:firstLine="411" w:firstLineChars="196"/>
        <w:rPr>
          <w:b/>
          <w:szCs w:val="21"/>
        </w:rPr>
      </w:pPr>
      <w:r>
        <w:rPr>
          <w:rFonts w:hint="eastAsia"/>
          <w:b/>
          <w:szCs w:val="21"/>
        </w:rPr>
        <w:t>第十五条、不可抗力事件处理</w:t>
      </w:r>
    </w:p>
    <w:p>
      <w:pPr>
        <w:pStyle w:val="16"/>
        <w:snapToGrid w:val="0"/>
        <w:spacing w:before="120" w:after="120" w:line="360" w:lineRule="exact"/>
        <w:ind w:firstLine="420" w:firstLineChars="200"/>
        <w:rPr>
          <w:szCs w:val="21"/>
        </w:rPr>
      </w:pPr>
      <w:r>
        <w:rPr>
          <w:rFonts w:hint="eastAsia"/>
          <w:szCs w:val="21"/>
        </w:rPr>
        <w:t>1、在合同有效期内，任何一方因不可抗力事件导致不能履行合同，则合同履行期可延长，其延长期与不可抗力影响期相同。</w:t>
      </w:r>
    </w:p>
    <w:p>
      <w:pPr>
        <w:pStyle w:val="16"/>
        <w:snapToGrid w:val="0"/>
        <w:spacing w:before="120" w:after="120" w:line="360" w:lineRule="exact"/>
        <w:ind w:firstLine="420" w:firstLineChars="200"/>
        <w:rPr>
          <w:szCs w:val="21"/>
        </w:rPr>
      </w:pPr>
      <w:r>
        <w:rPr>
          <w:rFonts w:hint="eastAsia"/>
          <w:szCs w:val="21"/>
        </w:rPr>
        <w:t>2、不可抗力事件发生后，应立即通知对方，并寄送有关权威机构出具的证明。</w:t>
      </w:r>
    </w:p>
    <w:p>
      <w:pPr>
        <w:pStyle w:val="16"/>
        <w:snapToGrid w:val="0"/>
        <w:spacing w:before="120" w:after="120" w:line="360" w:lineRule="exact"/>
        <w:ind w:firstLine="420" w:firstLineChars="200"/>
        <w:rPr>
          <w:szCs w:val="21"/>
        </w:rPr>
      </w:pPr>
      <w:r>
        <w:rPr>
          <w:rFonts w:hint="eastAsia"/>
          <w:szCs w:val="21"/>
        </w:rPr>
        <w:t>3、不可抗力事件延续一百二十天以上，双方应通过友好协商，确定是否继续履行合同。</w:t>
      </w:r>
    </w:p>
    <w:p>
      <w:pPr>
        <w:snapToGrid w:val="0"/>
        <w:spacing w:line="360" w:lineRule="exact"/>
        <w:ind w:firstLine="420" w:firstLineChars="200"/>
        <w:rPr>
          <w:rFonts w:ascii="宋体"/>
          <w:szCs w:val="21"/>
        </w:rPr>
      </w:pPr>
      <w:r>
        <w:rPr>
          <w:rFonts w:hint="eastAsia" w:ascii="宋体"/>
          <w:b/>
          <w:szCs w:val="21"/>
        </w:rPr>
        <w:t>第十六条  合同争议解决</w:t>
      </w:r>
    </w:p>
    <w:p>
      <w:pPr>
        <w:snapToGrid w:val="0"/>
        <w:spacing w:line="360" w:lineRule="exact"/>
        <w:ind w:firstLine="420" w:firstLineChars="200"/>
        <w:rPr>
          <w:rFonts w:ascii="宋体"/>
          <w:szCs w:val="21"/>
        </w:rPr>
      </w:pPr>
      <w:r>
        <w:rPr>
          <w:rFonts w:hint="eastAsia" w:ascii="宋体"/>
          <w:szCs w:val="21"/>
        </w:rPr>
        <w:t>1、因货物质量问题发生争议的，可邀请国家认可的质量检测机构对货物质量进行鉴定。货物符合标准的，鉴定费由甲方承担；货物不符合标准的，鉴定费由乙方承担。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szCs w:val="21"/>
        </w:rPr>
      </w:pPr>
      <w:r>
        <w:rPr>
          <w:rFonts w:hint="eastAsia" w:ascii="宋体"/>
          <w:szCs w:val="21"/>
        </w:rPr>
        <w:t>2、因履行本合同引起的或与本合同有关的争议，甲乙双方应首先通过友好协商解决，如果协商不能解决，应向甲方所在地人民法院提起诉讼。</w:t>
      </w:r>
    </w:p>
    <w:p>
      <w:pPr>
        <w:snapToGrid w:val="0"/>
        <w:spacing w:line="360" w:lineRule="exact"/>
        <w:ind w:firstLine="420" w:firstLineChars="200"/>
        <w:rPr>
          <w:rFonts w:ascii="宋体"/>
          <w:szCs w:val="21"/>
        </w:rPr>
      </w:pPr>
      <w:r>
        <w:rPr>
          <w:rFonts w:hint="eastAsia" w:ascii="宋体"/>
          <w:szCs w:val="21"/>
        </w:rPr>
        <w:t>3、诉讼期间，本合同继续履行。</w:t>
      </w:r>
    </w:p>
    <w:p>
      <w:pPr>
        <w:pStyle w:val="16"/>
        <w:snapToGrid w:val="0"/>
        <w:spacing w:before="120" w:after="120" w:line="360" w:lineRule="exact"/>
        <w:ind w:firstLine="411" w:firstLineChars="196"/>
        <w:rPr>
          <w:b/>
          <w:szCs w:val="21"/>
        </w:rPr>
      </w:pPr>
      <w:r>
        <w:rPr>
          <w:rFonts w:hint="eastAsia"/>
          <w:b/>
          <w:szCs w:val="21"/>
        </w:rPr>
        <w:t>第十七条、诉讼</w:t>
      </w:r>
    </w:p>
    <w:p>
      <w:pPr>
        <w:snapToGrid w:val="0"/>
        <w:spacing w:line="360" w:lineRule="exact"/>
        <w:ind w:firstLine="420" w:firstLineChars="200"/>
        <w:rPr>
          <w:rFonts w:ascii="宋体"/>
          <w:szCs w:val="21"/>
        </w:rPr>
      </w:pPr>
      <w:r>
        <w:rPr>
          <w:rFonts w:hint="eastAsia"/>
          <w:szCs w:val="21"/>
        </w:rPr>
        <w:t xml:space="preserve">  双方在执行合同中所发生的一切争议，应通过协商解决。如果协商不能解决，应向甲方所在地人民法院提起诉讼。</w:t>
      </w:r>
      <w:r>
        <w:rPr>
          <w:rFonts w:ascii="宋体"/>
          <w:szCs w:val="21"/>
        </w:rPr>
        <w:t>包括但不限于案件受理费、调查取证、鉴定费、差旅费、律师费等由败诉方承担。</w:t>
      </w:r>
    </w:p>
    <w:p>
      <w:pPr>
        <w:pStyle w:val="16"/>
        <w:snapToGrid w:val="0"/>
        <w:spacing w:before="120" w:after="120" w:line="360" w:lineRule="exact"/>
        <w:ind w:left="560" w:leftChars="267"/>
        <w:rPr>
          <w:b/>
          <w:szCs w:val="21"/>
        </w:rPr>
      </w:pPr>
      <w:r>
        <w:rPr>
          <w:rFonts w:hint="eastAsia"/>
          <w:b/>
          <w:szCs w:val="21"/>
        </w:rPr>
        <w:t>第十八条、合同生效及其它</w:t>
      </w:r>
    </w:p>
    <w:p>
      <w:pPr>
        <w:pStyle w:val="16"/>
        <w:snapToGrid w:val="0"/>
        <w:spacing w:before="120" w:after="120" w:line="360" w:lineRule="exact"/>
        <w:ind w:left="560" w:leftChars="267"/>
        <w:rPr>
          <w:b/>
          <w:szCs w:val="21"/>
        </w:rPr>
      </w:pPr>
      <w:r>
        <w:rPr>
          <w:rFonts w:hint="eastAsia"/>
          <w:b/>
          <w:szCs w:val="21"/>
        </w:rPr>
        <w:t>1、合同经双方法定代表人或授权代表签字并加盖单位公章后生效。</w:t>
      </w:r>
    </w:p>
    <w:p>
      <w:pPr>
        <w:pStyle w:val="16"/>
        <w:snapToGrid w:val="0"/>
        <w:spacing w:before="120" w:after="120" w:line="360" w:lineRule="exact"/>
        <w:ind w:left="560" w:leftChars="267"/>
        <w:rPr>
          <w:b/>
          <w:szCs w:val="21"/>
        </w:rPr>
      </w:pPr>
      <w:r>
        <w:rPr>
          <w:rFonts w:hint="eastAsia"/>
          <w:b/>
          <w:szCs w:val="21"/>
        </w:rPr>
        <w:t>2、合同执行中涉及采购资金和采购内容修改或补充的，须经财政部门审批，并签书面补充协议报财政部门备案，方可作为主合同不可分割的一部分。</w:t>
      </w:r>
    </w:p>
    <w:p>
      <w:pPr>
        <w:pStyle w:val="16"/>
        <w:snapToGrid w:val="0"/>
        <w:spacing w:before="120" w:after="120" w:line="360" w:lineRule="exact"/>
        <w:ind w:left="560" w:leftChars="267"/>
        <w:rPr>
          <w:b/>
          <w:szCs w:val="21"/>
        </w:rPr>
      </w:pPr>
      <w:r>
        <w:rPr>
          <w:rFonts w:hint="eastAsia"/>
          <w:b/>
          <w:szCs w:val="21"/>
        </w:rPr>
        <w:t>3、本合同未尽事宜，遵照《民法典》有关条文执行。</w:t>
      </w:r>
    </w:p>
    <w:p>
      <w:pPr>
        <w:pStyle w:val="16"/>
        <w:snapToGrid w:val="0"/>
        <w:spacing w:before="120" w:after="120" w:line="360" w:lineRule="exact"/>
        <w:ind w:left="560" w:leftChars="267"/>
        <w:rPr>
          <w:b/>
          <w:szCs w:val="21"/>
        </w:rPr>
      </w:pPr>
      <w:r>
        <w:rPr>
          <w:rFonts w:hint="eastAsia" w:hAnsi="宋体"/>
          <w:szCs w:val="21"/>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20" w:firstLineChars="200"/>
        <w:rPr>
          <w:rFonts w:ascii="宋体"/>
          <w:b/>
          <w:szCs w:val="21"/>
        </w:rPr>
      </w:pPr>
      <w:r>
        <w:rPr>
          <w:rFonts w:hint="eastAsia" w:ascii="宋体"/>
          <w:b/>
          <w:szCs w:val="21"/>
        </w:rPr>
        <w:t>第十九条　合同的变更、终止与转让</w:t>
      </w:r>
    </w:p>
    <w:p>
      <w:pPr>
        <w:snapToGrid w:val="0"/>
        <w:spacing w:line="360" w:lineRule="exact"/>
        <w:ind w:firstLine="420" w:firstLineChars="200"/>
        <w:rPr>
          <w:rFonts w:ascii="宋体"/>
          <w:szCs w:val="21"/>
        </w:rPr>
      </w:pPr>
      <w:r>
        <w:rPr>
          <w:rFonts w:hint="eastAsia" w:ascii="宋体"/>
          <w:szCs w:val="21"/>
        </w:rPr>
        <w:t>1、除《中华人民共和国政府采购法》第五十条规定的情形外，本合同一经签订，甲乙双方不得擅自变更、中止或终止。</w:t>
      </w:r>
    </w:p>
    <w:p>
      <w:pPr>
        <w:pStyle w:val="16"/>
        <w:snapToGrid w:val="0"/>
        <w:spacing w:before="120" w:after="120" w:line="360" w:lineRule="exact"/>
        <w:ind w:firstLine="411" w:firstLineChars="196"/>
        <w:rPr>
          <w:b/>
          <w:szCs w:val="21"/>
        </w:rPr>
      </w:pPr>
      <w:r>
        <w:rPr>
          <w:rFonts w:hint="eastAsia"/>
          <w:szCs w:val="21"/>
        </w:rPr>
        <w:t>2、乙方不得擅自转让（无进口资格的供应商委托进口货物除外）其应履行的合同义务。</w:t>
      </w:r>
    </w:p>
    <w:p>
      <w:pPr>
        <w:snapToGrid w:val="0"/>
        <w:spacing w:line="360" w:lineRule="exact"/>
        <w:ind w:firstLine="420" w:firstLineChars="200"/>
        <w:rPr>
          <w:rFonts w:ascii="宋体"/>
          <w:b/>
          <w:szCs w:val="21"/>
        </w:rPr>
      </w:pPr>
      <w:r>
        <w:rPr>
          <w:rFonts w:hint="eastAsia" w:ascii="宋体"/>
          <w:b/>
          <w:szCs w:val="21"/>
        </w:rPr>
        <w:t>第二十条　签订本合同依据</w:t>
      </w:r>
    </w:p>
    <w:p>
      <w:pPr>
        <w:snapToGrid w:val="0"/>
        <w:spacing w:line="360" w:lineRule="exact"/>
        <w:ind w:firstLine="420" w:firstLineChars="200"/>
        <w:rPr>
          <w:rFonts w:ascii="宋体"/>
          <w:szCs w:val="21"/>
        </w:rPr>
      </w:pPr>
      <w:r>
        <w:rPr>
          <w:rFonts w:hint="eastAsia" w:ascii="宋体"/>
          <w:szCs w:val="21"/>
        </w:rPr>
        <w:t>1、政府采购竞争性谈判采购文件；</w:t>
      </w:r>
    </w:p>
    <w:p>
      <w:pPr>
        <w:snapToGrid w:val="0"/>
        <w:spacing w:line="360" w:lineRule="exact"/>
        <w:ind w:firstLine="420" w:firstLineChars="200"/>
        <w:rPr>
          <w:rFonts w:ascii="宋体"/>
          <w:szCs w:val="21"/>
        </w:rPr>
      </w:pPr>
      <w:r>
        <w:rPr>
          <w:rFonts w:hint="eastAsia" w:ascii="宋体"/>
          <w:szCs w:val="21"/>
        </w:rPr>
        <w:t>2、乙方提供的响应文件；</w:t>
      </w:r>
    </w:p>
    <w:p>
      <w:pPr>
        <w:snapToGrid w:val="0"/>
        <w:spacing w:line="360" w:lineRule="exact"/>
        <w:ind w:firstLine="420" w:firstLineChars="200"/>
        <w:rPr>
          <w:rFonts w:ascii="宋体"/>
          <w:szCs w:val="21"/>
        </w:rPr>
      </w:pPr>
      <w:r>
        <w:rPr>
          <w:rFonts w:hint="eastAsia" w:ascii="宋体"/>
          <w:szCs w:val="21"/>
        </w:rPr>
        <w:t>3、谈判书；</w:t>
      </w:r>
    </w:p>
    <w:p>
      <w:pPr>
        <w:snapToGrid w:val="0"/>
        <w:spacing w:line="360" w:lineRule="exact"/>
        <w:ind w:firstLine="420" w:firstLineChars="200"/>
        <w:rPr>
          <w:rFonts w:ascii="宋体"/>
          <w:szCs w:val="21"/>
          <w:u w:val="single"/>
        </w:rPr>
      </w:pPr>
      <w:r>
        <w:rPr>
          <w:rFonts w:hint="eastAsia" w:ascii="宋体"/>
          <w:szCs w:val="21"/>
        </w:rPr>
        <w:t>4、成交通知书。</w:t>
      </w:r>
    </w:p>
    <w:p>
      <w:pPr>
        <w:snapToGrid w:val="0"/>
        <w:spacing w:line="360" w:lineRule="exact"/>
        <w:ind w:firstLine="420" w:firstLineChars="200"/>
        <w:rPr>
          <w:rFonts w:ascii="宋体"/>
          <w:szCs w:val="21"/>
        </w:rPr>
      </w:pPr>
      <w:r>
        <w:rPr>
          <w:rFonts w:hint="eastAsia" w:ascii="宋体"/>
          <w:b/>
          <w:szCs w:val="21"/>
        </w:rPr>
        <w:t>第二十一条　</w:t>
      </w:r>
      <w:r>
        <w:rPr>
          <w:rFonts w:hint="eastAsia" w:ascii="宋体"/>
          <w:szCs w:val="21"/>
        </w:rPr>
        <w:t>本合同一式七份，均具有同等法律效力。</w:t>
      </w:r>
      <w:r>
        <w:rPr>
          <w:rFonts w:hint="eastAsia" w:ascii="宋体"/>
          <w:spacing w:val="4"/>
          <w:szCs w:val="21"/>
        </w:rPr>
        <w:t>广西壮族自治区财政厅政府采购监督管理处、采购代理机构各一份</w:t>
      </w:r>
      <w:r>
        <w:rPr>
          <w:rFonts w:hint="eastAsia" w:ascii="宋体"/>
          <w:szCs w:val="21"/>
        </w:rPr>
        <w:t>，甲方三份，乙方两份。</w:t>
      </w:r>
    </w:p>
    <w:p>
      <w:pPr>
        <w:snapToGrid w:val="0"/>
        <w:spacing w:line="360" w:lineRule="exact"/>
        <w:ind w:firstLine="420" w:firstLineChars="200"/>
        <w:rPr>
          <w:rFonts w:ascii="宋体"/>
          <w:szCs w:val="21"/>
        </w:rPr>
      </w:pPr>
      <w:r>
        <w:rPr>
          <w:rFonts w:hint="eastAsia" w:ascii="宋体"/>
          <w:szCs w:val="21"/>
        </w:rPr>
        <w:t>本合同甲乙双方签字盖章后生效，自签订之日起七个工作日内，采购人或采购代理机构应当将合同副本报</w:t>
      </w:r>
      <w:r>
        <w:rPr>
          <w:rFonts w:hint="eastAsia" w:ascii="宋体"/>
          <w:spacing w:val="4"/>
          <w:szCs w:val="21"/>
        </w:rPr>
        <w:t>广西壮族自治区财政厅政府采购监督管理处</w:t>
      </w:r>
      <w:r>
        <w:rPr>
          <w:rFonts w:hint="eastAsia" w:ascii="宋体"/>
          <w:szCs w:val="21"/>
        </w:rPr>
        <w:t>备案。</w:t>
      </w:r>
    </w:p>
    <w:p>
      <w:pPr>
        <w:snapToGrid w:val="0"/>
        <w:spacing w:line="360" w:lineRule="exact"/>
        <w:ind w:firstLine="420" w:firstLineChars="200"/>
        <w:rPr>
          <w:rFonts w:ascii="宋体"/>
          <w:szCs w:val="21"/>
        </w:rPr>
      </w:pPr>
    </w:p>
    <w:tbl>
      <w:tblPr>
        <w:tblStyle w:val="3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 xml:space="preserve">甲方（章）           </w:t>
            </w:r>
          </w:p>
          <w:p>
            <w:pPr>
              <w:snapToGrid w:val="0"/>
              <w:spacing w:line="360" w:lineRule="exact"/>
              <w:ind w:firstLine="945" w:firstLineChars="450"/>
              <w:jc w:val="right"/>
              <w:rPr>
                <w:rFonts w:ascii="宋体"/>
                <w:szCs w:val="21"/>
              </w:rPr>
            </w:pPr>
            <w:r>
              <w:rPr>
                <w:rFonts w:hint="eastAsia" w:ascii="宋体"/>
                <w:szCs w:val="21"/>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 xml:space="preserve">乙方（章）             </w:t>
            </w:r>
          </w:p>
          <w:p>
            <w:pPr>
              <w:snapToGrid w:val="0"/>
              <w:spacing w:line="360" w:lineRule="exact"/>
              <w:jc w:val="right"/>
              <w:rPr>
                <w:rFonts w:ascii="宋体"/>
                <w:szCs w:val="21"/>
              </w:rPr>
            </w:pPr>
            <w:r>
              <w:rPr>
                <w:rFonts w:hint="eastAsia" w:asci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通讯地址：南宁市明秀东路175号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电话：0771-3908051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开户银行：中国银行南宁市明秀东支行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账号：6262 5749 8267</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邮政编码：530001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szCs w:val="21"/>
              </w:rPr>
            </w:pPr>
            <w:r>
              <w:rPr>
                <w:rFonts w:hint="eastAsia" w:ascii="宋体"/>
                <w:szCs w:val="21"/>
              </w:rPr>
              <w:t>经办人：</w:t>
            </w:r>
          </w:p>
          <w:p>
            <w:pPr>
              <w:snapToGrid w:val="0"/>
              <w:spacing w:line="360" w:lineRule="exact"/>
              <w:ind w:firstLine="630" w:firstLineChars="300"/>
              <w:jc w:val="right"/>
              <w:rPr>
                <w:rFonts w:ascii="宋体"/>
                <w:szCs w:val="21"/>
              </w:rPr>
            </w:pPr>
            <w:r>
              <w:rPr>
                <w:rFonts w:hint="eastAsia" w:ascii="宋体"/>
                <w:szCs w:val="21"/>
              </w:rPr>
              <w:t>年    月    日</w:t>
            </w:r>
          </w:p>
        </w:tc>
      </w:tr>
    </w:tbl>
    <w:p>
      <w:pPr>
        <w:snapToGrid w:val="0"/>
        <w:spacing w:line="360" w:lineRule="exact"/>
        <w:jc w:val="center"/>
        <w:rPr>
          <w:rFonts w:ascii="宋体"/>
          <w:b/>
          <w:sz w:val="28"/>
          <w:szCs w:val="28"/>
        </w:rPr>
      </w:pPr>
    </w:p>
    <w:p>
      <w:pPr>
        <w:snapToGrid w:val="0"/>
        <w:spacing w:line="360" w:lineRule="exact"/>
        <w:jc w:val="center"/>
        <w:rPr>
          <w:rFonts w:ascii="宋体"/>
          <w:b/>
          <w:sz w:val="28"/>
          <w:szCs w:val="28"/>
        </w:rPr>
      </w:pPr>
    </w:p>
    <w:p>
      <w:pPr>
        <w:snapToGrid w:val="0"/>
        <w:ind w:left="562" w:hanging="560" w:hangingChars="200"/>
        <w:rPr>
          <w:rFonts w:ascii="宋体" w:hAnsi="宋体" w:cs="宋体"/>
          <w:szCs w:val="21"/>
        </w:rPr>
      </w:pPr>
      <w:r>
        <w:rPr>
          <w:rFonts w:hint="eastAsia" w:ascii="宋体"/>
          <w:b/>
          <w:sz w:val="28"/>
          <w:szCs w:val="28"/>
        </w:rPr>
        <w:br w:type="page"/>
      </w:r>
    </w:p>
    <w:p>
      <w:pPr>
        <w:snapToGrid w:val="0"/>
        <w:spacing w:line="440" w:lineRule="exact"/>
        <w:jc w:val="center"/>
        <w:rPr>
          <w:rFonts w:ascii="宋体" w:hAnsi="宋体" w:cs="宋体"/>
          <w:b/>
          <w:sz w:val="36"/>
          <w:szCs w:val="36"/>
        </w:rPr>
      </w:pPr>
      <w:r>
        <w:rPr>
          <w:rFonts w:hint="eastAsia" w:ascii="宋体" w:hAnsi="宋体" w:cs="宋体"/>
          <w:b/>
          <w:sz w:val="36"/>
          <w:szCs w:val="36"/>
        </w:rPr>
        <w:t>合 同 附 件</w:t>
      </w:r>
    </w:p>
    <w:p>
      <w:pPr>
        <w:snapToGrid w:val="0"/>
        <w:rPr>
          <w:rFonts w:ascii="宋体" w:hAnsi="宋体" w:cs="宋体"/>
          <w:szCs w:val="21"/>
        </w:rPr>
      </w:pPr>
    </w:p>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ind w:firstLine="482"/>
              <w:rPr>
                <w:rFonts w:ascii="宋体" w:hAnsi="宋体" w:cs="宋体"/>
                <w:szCs w:val="21"/>
              </w:rPr>
            </w:pPr>
            <w:r>
              <w:rPr>
                <w:rFonts w:hint="eastAsia" w:ascii="宋体" w:hAnsi="宋体" w:cs="宋体"/>
                <w:szCs w:val="21"/>
              </w:rPr>
              <w:t>甲方（章）</w:t>
            </w: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r>
              <w:rPr>
                <w:rFonts w:hint="eastAsia" w:ascii="宋体" w:hAnsi="宋体" w:cs="宋体"/>
                <w:szCs w:val="21"/>
              </w:rPr>
              <w:t xml:space="preserve">                 年   月   日 </w:t>
            </w:r>
          </w:p>
        </w:tc>
        <w:tc>
          <w:tcPr>
            <w:tcW w:w="4725" w:type="dxa"/>
            <w:vAlign w:val="center"/>
          </w:tcPr>
          <w:p>
            <w:pPr>
              <w:ind w:firstLine="482"/>
              <w:rPr>
                <w:rFonts w:ascii="宋体" w:hAnsi="宋体" w:cs="宋体"/>
                <w:szCs w:val="21"/>
              </w:rPr>
            </w:pPr>
            <w:r>
              <w:rPr>
                <w:rFonts w:hint="eastAsia" w:ascii="宋体" w:hAnsi="宋体" w:cs="宋体"/>
                <w:szCs w:val="21"/>
              </w:rPr>
              <w:t>乙方（章）</w:t>
            </w: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r>
              <w:rPr>
                <w:rFonts w:hint="eastAsia" w:ascii="宋体" w:hAnsi="宋体" w:cs="宋体"/>
                <w:szCs w:val="21"/>
              </w:rPr>
              <w:t xml:space="preserve">                年   月   日</w:t>
            </w:r>
          </w:p>
        </w:tc>
      </w:tr>
    </w:tbl>
    <w:p>
      <w:pPr>
        <w:snapToGrid w:val="0"/>
        <w:rPr>
          <w:rFonts w:ascii="宋体" w:hAnsi="宋体" w:cs="宋体"/>
          <w:szCs w:val="21"/>
        </w:rPr>
      </w:pPr>
    </w:p>
    <w:p>
      <w:pPr>
        <w:snapToGrid w:val="0"/>
        <w:rPr>
          <w:rFonts w:ascii="宋体" w:hAnsi="宋体" w:cs="宋体"/>
          <w:szCs w:val="21"/>
        </w:rPr>
      </w:pPr>
      <w:r>
        <w:rPr>
          <w:rFonts w:hint="eastAsia" w:ascii="宋体" w:hAnsi="宋体" w:cs="宋体"/>
          <w:szCs w:val="21"/>
        </w:rPr>
        <w:t>注：售后服务事项填不下时可另加附页</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jc w:val="center"/>
        <w:rPr>
          <w:rFonts w:ascii="宋体" w:hAnsi="宋体" w:cs="宋体"/>
          <w:b/>
          <w:sz w:val="36"/>
          <w:szCs w:val="36"/>
        </w:rPr>
      </w:pPr>
      <w:r>
        <w:rPr>
          <w:rFonts w:hint="eastAsia" w:ascii="宋体" w:hAnsi="宋体" w:cs="宋体"/>
          <w:b/>
          <w:sz w:val="36"/>
          <w:szCs w:val="36"/>
        </w:rPr>
        <w:t>广西壮族自治区政府采购项目合同验收书（格式）</w:t>
      </w:r>
    </w:p>
    <w:p>
      <w:pPr>
        <w:spacing w:line="400" w:lineRule="exact"/>
        <w:jc w:val="left"/>
        <w:rPr>
          <w:rFonts w:ascii="宋体" w:hAnsi="宋体" w:cs="宋体"/>
          <w:b/>
          <w:sz w:val="36"/>
          <w:szCs w:val="36"/>
        </w:rPr>
      </w:pPr>
    </w:p>
    <w:p>
      <w:pPr>
        <w:spacing w:line="400" w:lineRule="exact"/>
        <w:jc w:val="left"/>
        <w:rPr>
          <w:rFonts w:ascii="宋体" w:hAnsi="宋体" w:cs="宋体"/>
          <w:b/>
          <w:sz w:val="36"/>
          <w:szCs w:val="36"/>
        </w:rPr>
      </w:pPr>
    </w:p>
    <w:p>
      <w:pPr>
        <w:snapToGrid w:val="0"/>
        <w:rPr>
          <w:rFonts w:ascii="宋体" w:hAnsi="宋体" w:cs="宋体"/>
          <w:szCs w:val="21"/>
        </w:rPr>
      </w:pPr>
      <w:r>
        <w:rPr>
          <w:rFonts w:hint="eastAsia" w:ascii="宋体" w:hAnsi="宋体" w:cs="宋体"/>
          <w:szCs w:val="21"/>
        </w:rPr>
        <w:t>根据政府采购项目（采购合同编号：      ）的约定，我单位对（     项目名称     ）政府采购项目中标（或成交）供应商（   公司名称    ）提供的货物（或工程、服务）进行了验收，验收情况如下：</w:t>
      </w:r>
    </w:p>
    <w:tbl>
      <w:tblPr>
        <w:tblStyle w:val="3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
        <w:gridCol w:w="2391"/>
        <w:gridCol w:w="3260"/>
        <w:gridCol w:w="155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3"/>
          </w:tcPr>
          <w:p>
            <w:pPr>
              <w:snapToGrid w:val="0"/>
              <w:jc w:val="center"/>
              <w:rPr>
                <w:rFonts w:ascii="宋体" w:hAnsi="宋体" w:cs="宋体"/>
                <w:szCs w:val="21"/>
              </w:rPr>
            </w:pPr>
            <w:r>
              <w:rPr>
                <w:rFonts w:hint="eastAsia" w:ascii="宋体" w:hAnsi="宋体" w:cs="宋体"/>
                <w:szCs w:val="21"/>
              </w:rPr>
              <w:t>验收方式：</w:t>
            </w:r>
          </w:p>
        </w:tc>
        <w:tc>
          <w:tcPr>
            <w:tcW w:w="5918" w:type="dxa"/>
            <w:gridSpan w:val="3"/>
          </w:tcPr>
          <w:p>
            <w:pPr>
              <w:snapToGrid w:val="0"/>
              <w:jc w:val="center"/>
              <w:rPr>
                <w:rFonts w:ascii="宋体" w:hAnsi="宋体" w:cs="宋体"/>
                <w:szCs w:val="21"/>
              </w:rPr>
            </w:pPr>
            <w:r>
              <w:rPr>
                <w:rFonts w:hint="eastAsia" w:ascii="宋体" w:hAnsi="宋体" w:cs="宋体"/>
                <w:szCs w:val="21"/>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napToGrid w:val="0"/>
              <w:jc w:val="center"/>
              <w:rPr>
                <w:rFonts w:ascii="宋体" w:hAnsi="宋体" w:cs="宋体"/>
                <w:szCs w:val="21"/>
              </w:rPr>
            </w:pPr>
            <w:r>
              <w:rPr>
                <w:rFonts w:hint="eastAsia" w:ascii="宋体" w:hAnsi="宋体" w:cs="宋体"/>
                <w:szCs w:val="21"/>
              </w:rPr>
              <w:t>序号</w:t>
            </w:r>
          </w:p>
        </w:tc>
        <w:tc>
          <w:tcPr>
            <w:tcW w:w="2410" w:type="dxa"/>
            <w:gridSpan w:val="2"/>
            <w:vAlign w:val="center"/>
          </w:tcPr>
          <w:p>
            <w:pPr>
              <w:snapToGrid w:val="0"/>
              <w:jc w:val="center"/>
              <w:rPr>
                <w:rFonts w:ascii="宋体" w:hAnsi="宋体" w:cs="宋体"/>
                <w:szCs w:val="21"/>
              </w:rPr>
            </w:pPr>
            <w:r>
              <w:rPr>
                <w:rFonts w:hint="eastAsia" w:ascii="宋体" w:hAnsi="宋体" w:cs="宋体"/>
                <w:szCs w:val="21"/>
              </w:rPr>
              <w:t>名称</w:t>
            </w:r>
          </w:p>
        </w:tc>
        <w:tc>
          <w:tcPr>
            <w:tcW w:w="3260" w:type="dxa"/>
            <w:vAlign w:val="center"/>
          </w:tcPr>
          <w:p>
            <w:pPr>
              <w:snapToGrid w:val="0"/>
              <w:jc w:val="center"/>
              <w:rPr>
                <w:rFonts w:ascii="宋体" w:hAnsi="宋体" w:cs="宋体"/>
                <w:szCs w:val="21"/>
              </w:rPr>
            </w:pPr>
            <w:r>
              <w:rPr>
                <w:rFonts w:hint="eastAsia" w:ascii="宋体" w:hAnsi="宋体" w:cs="宋体"/>
                <w:szCs w:val="21"/>
              </w:rPr>
              <w:t>货物型号规格、标准及配置等</w:t>
            </w:r>
          </w:p>
          <w:p>
            <w:pPr>
              <w:snapToGrid w:val="0"/>
              <w:jc w:val="center"/>
              <w:rPr>
                <w:rFonts w:ascii="宋体" w:hAnsi="宋体" w:cs="宋体"/>
                <w:szCs w:val="21"/>
              </w:rPr>
            </w:pPr>
            <w:r>
              <w:rPr>
                <w:rFonts w:hint="eastAsia" w:ascii="宋体" w:hAnsi="宋体" w:cs="宋体"/>
                <w:szCs w:val="21"/>
              </w:rPr>
              <w:t>（或服务内容、标准）</w:t>
            </w:r>
          </w:p>
        </w:tc>
        <w:tc>
          <w:tcPr>
            <w:tcW w:w="1559" w:type="dxa"/>
            <w:vAlign w:val="center"/>
          </w:tcPr>
          <w:p>
            <w:pPr>
              <w:snapToGrid w:val="0"/>
              <w:jc w:val="center"/>
              <w:rPr>
                <w:rFonts w:ascii="宋体" w:hAnsi="宋体" w:cs="宋体"/>
                <w:szCs w:val="21"/>
              </w:rPr>
            </w:pPr>
            <w:r>
              <w:rPr>
                <w:rFonts w:hint="eastAsia" w:ascii="宋体" w:hAnsi="宋体" w:cs="宋体"/>
                <w:szCs w:val="21"/>
              </w:rPr>
              <w:t>数量</w:t>
            </w:r>
          </w:p>
        </w:tc>
        <w:tc>
          <w:tcPr>
            <w:tcW w:w="1099" w:type="dxa"/>
            <w:vAlign w:val="center"/>
          </w:tcPr>
          <w:p>
            <w:pPr>
              <w:snapToGrid w:val="0"/>
              <w:jc w:val="center"/>
              <w:rPr>
                <w:rFonts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rPr>
                <w:rFonts w:ascii="宋体" w:hAnsi="宋体" w:cs="宋体"/>
                <w:szCs w:val="21"/>
              </w:rPr>
            </w:pPr>
          </w:p>
        </w:tc>
        <w:tc>
          <w:tcPr>
            <w:tcW w:w="2410" w:type="dxa"/>
            <w:gridSpan w:val="2"/>
          </w:tcPr>
          <w:p>
            <w:pPr>
              <w:snapToGrid w:val="0"/>
              <w:rPr>
                <w:rFonts w:ascii="宋体" w:hAnsi="宋体" w:cs="宋体"/>
                <w:szCs w:val="21"/>
              </w:rPr>
            </w:pPr>
          </w:p>
        </w:tc>
        <w:tc>
          <w:tcPr>
            <w:tcW w:w="3260" w:type="dxa"/>
          </w:tcPr>
          <w:p>
            <w:pPr>
              <w:snapToGrid w:val="0"/>
              <w:rPr>
                <w:rFonts w:ascii="宋体" w:hAnsi="宋体" w:cs="宋体"/>
                <w:szCs w:val="21"/>
              </w:rPr>
            </w:pPr>
          </w:p>
        </w:tc>
        <w:tc>
          <w:tcPr>
            <w:tcW w:w="1559" w:type="dxa"/>
          </w:tcPr>
          <w:p>
            <w:pPr>
              <w:snapToGrid w:val="0"/>
              <w:rPr>
                <w:rFonts w:ascii="宋体" w:hAnsi="宋体" w:cs="宋体"/>
                <w:szCs w:val="21"/>
              </w:rPr>
            </w:pPr>
          </w:p>
        </w:tc>
        <w:tc>
          <w:tcPr>
            <w:tcW w:w="1099" w:type="dxa"/>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snapToGrid w:val="0"/>
              <w:rPr>
                <w:rFonts w:ascii="宋体" w:hAnsi="宋体" w:cs="宋体"/>
                <w:szCs w:val="21"/>
              </w:rPr>
            </w:pPr>
          </w:p>
        </w:tc>
        <w:tc>
          <w:tcPr>
            <w:tcW w:w="2410" w:type="dxa"/>
            <w:gridSpan w:val="2"/>
          </w:tcPr>
          <w:p>
            <w:pPr>
              <w:snapToGrid w:val="0"/>
              <w:rPr>
                <w:rFonts w:ascii="宋体" w:hAnsi="宋体" w:cs="宋体"/>
                <w:szCs w:val="21"/>
              </w:rPr>
            </w:pPr>
          </w:p>
        </w:tc>
        <w:tc>
          <w:tcPr>
            <w:tcW w:w="3260" w:type="dxa"/>
          </w:tcPr>
          <w:p>
            <w:pPr>
              <w:snapToGrid w:val="0"/>
              <w:rPr>
                <w:rFonts w:ascii="宋体" w:hAnsi="宋体" w:cs="宋体"/>
                <w:szCs w:val="21"/>
              </w:rPr>
            </w:pPr>
          </w:p>
        </w:tc>
        <w:tc>
          <w:tcPr>
            <w:tcW w:w="1559" w:type="dxa"/>
          </w:tcPr>
          <w:p>
            <w:pPr>
              <w:snapToGrid w:val="0"/>
              <w:rPr>
                <w:rFonts w:ascii="宋体" w:hAnsi="宋体" w:cs="宋体"/>
                <w:szCs w:val="21"/>
              </w:rPr>
            </w:pPr>
          </w:p>
        </w:tc>
        <w:tc>
          <w:tcPr>
            <w:tcW w:w="1099" w:type="dxa"/>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rPr>
                <w:rFonts w:ascii="宋体" w:hAnsi="宋体" w:cs="宋体"/>
                <w:szCs w:val="21"/>
              </w:rPr>
            </w:pPr>
          </w:p>
        </w:tc>
        <w:tc>
          <w:tcPr>
            <w:tcW w:w="2410" w:type="dxa"/>
            <w:gridSpan w:val="2"/>
          </w:tcPr>
          <w:p>
            <w:pPr>
              <w:snapToGrid w:val="0"/>
              <w:rPr>
                <w:rFonts w:ascii="宋体" w:hAnsi="宋体" w:cs="宋体"/>
                <w:szCs w:val="21"/>
              </w:rPr>
            </w:pPr>
          </w:p>
        </w:tc>
        <w:tc>
          <w:tcPr>
            <w:tcW w:w="3260" w:type="dxa"/>
          </w:tcPr>
          <w:p>
            <w:pPr>
              <w:snapToGrid w:val="0"/>
              <w:rPr>
                <w:rFonts w:ascii="宋体" w:hAnsi="宋体" w:cs="宋体"/>
                <w:szCs w:val="21"/>
              </w:rPr>
            </w:pPr>
          </w:p>
        </w:tc>
        <w:tc>
          <w:tcPr>
            <w:tcW w:w="1559" w:type="dxa"/>
          </w:tcPr>
          <w:p>
            <w:pPr>
              <w:snapToGrid w:val="0"/>
              <w:rPr>
                <w:rFonts w:ascii="宋体" w:hAnsi="宋体" w:cs="宋体"/>
                <w:szCs w:val="21"/>
              </w:rPr>
            </w:pPr>
          </w:p>
        </w:tc>
        <w:tc>
          <w:tcPr>
            <w:tcW w:w="1099" w:type="dxa"/>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gridSpan w:val="4"/>
          </w:tcPr>
          <w:p>
            <w:pPr>
              <w:snapToGrid w:val="0"/>
              <w:rPr>
                <w:rFonts w:ascii="宋体" w:hAnsi="宋体" w:cs="宋体"/>
                <w:szCs w:val="21"/>
              </w:rPr>
            </w:pPr>
            <w:r>
              <w:rPr>
                <w:rFonts w:hint="eastAsia" w:ascii="宋体" w:hAnsi="宋体" w:cs="宋体"/>
                <w:szCs w:val="21"/>
              </w:rPr>
              <w:t>合   计</w:t>
            </w:r>
          </w:p>
        </w:tc>
        <w:tc>
          <w:tcPr>
            <w:tcW w:w="1559" w:type="dxa"/>
          </w:tcPr>
          <w:p>
            <w:pPr>
              <w:snapToGrid w:val="0"/>
              <w:rPr>
                <w:rFonts w:ascii="宋体" w:hAnsi="宋体" w:cs="宋体"/>
                <w:szCs w:val="21"/>
              </w:rPr>
            </w:pPr>
          </w:p>
        </w:tc>
        <w:tc>
          <w:tcPr>
            <w:tcW w:w="1099" w:type="dxa"/>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snapToGrid w:val="0"/>
              <w:rPr>
                <w:rFonts w:ascii="宋体" w:hAnsi="宋体" w:cs="宋体"/>
                <w:szCs w:val="21"/>
              </w:rPr>
            </w:pPr>
            <w:r>
              <w:rPr>
                <w:rFonts w:hint="eastAsia" w:ascii="宋体" w:hAnsi="宋体" w:cs="宋体"/>
                <w:szCs w:val="21"/>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5" w:type="dxa"/>
            <w:gridSpan w:val="2"/>
          </w:tcPr>
          <w:p>
            <w:pPr>
              <w:snapToGrid w:val="0"/>
              <w:jc w:val="center"/>
              <w:rPr>
                <w:rFonts w:ascii="宋体" w:hAnsi="宋体" w:cs="宋体"/>
                <w:szCs w:val="21"/>
              </w:rPr>
            </w:pPr>
            <w:r>
              <w:rPr>
                <w:rFonts w:hint="eastAsia" w:ascii="宋体" w:hAnsi="宋体" w:cs="宋体"/>
                <w:szCs w:val="21"/>
              </w:rPr>
              <w:t>实际供货日期</w:t>
            </w:r>
          </w:p>
        </w:tc>
        <w:tc>
          <w:tcPr>
            <w:tcW w:w="2391" w:type="dxa"/>
          </w:tcPr>
          <w:p>
            <w:pPr>
              <w:snapToGrid w:val="0"/>
              <w:jc w:val="center"/>
              <w:rPr>
                <w:rFonts w:ascii="宋体" w:hAnsi="宋体" w:cs="宋体"/>
                <w:szCs w:val="21"/>
              </w:rPr>
            </w:pPr>
          </w:p>
        </w:tc>
        <w:tc>
          <w:tcPr>
            <w:tcW w:w="3260" w:type="dxa"/>
          </w:tcPr>
          <w:p>
            <w:pPr>
              <w:snapToGrid w:val="0"/>
              <w:jc w:val="center"/>
              <w:rPr>
                <w:rFonts w:ascii="宋体" w:hAnsi="宋体" w:cs="宋体"/>
                <w:szCs w:val="21"/>
              </w:rPr>
            </w:pPr>
            <w:r>
              <w:rPr>
                <w:rFonts w:hint="eastAsia" w:ascii="宋体" w:hAnsi="宋体" w:cs="宋体"/>
                <w:szCs w:val="21"/>
              </w:rPr>
              <w:t>合同交货验收日期</w:t>
            </w:r>
          </w:p>
        </w:tc>
        <w:tc>
          <w:tcPr>
            <w:tcW w:w="2658" w:type="dxa"/>
            <w:gridSpan w:val="2"/>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tcPr>
          <w:p>
            <w:pPr>
              <w:snapToGrid w:val="0"/>
              <w:rPr>
                <w:rFonts w:ascii="宋体" w:hAnsi="宋体" w:cs="宋体"/>
                <w:szCs w:val="21"/>
              </w:rPr>
            </w:pPr>
          </w:p>
        </w:tc>
        <w:tc>
          <w:tcPr>
            <w:tcW w:w="2391" w:type="dxa"/>
          </w:tcPr>
          <w:p>
            <w:pPr>
              <w:snapToGrid w:val="0"/>
              <w:rPr>
                <w:rFonts w:ascii="宋体" w:hAnsi="宋体" w:cs="宋体"/>
                <w:szCs w:val="21"/>
              </w:rPr>
            </w:pPr>
          </w:p>
        </w:tc>
        <w:tc>
          <w:tcPr>
            <w:tcW w:w="3260" w:type="dxa"/>
          </w:tcPr>
          <w:p>
            <w:pPr>
              <w:snapToGrid w:val="0"/>
              <w:rPr>
                <w:rFonts w:ascii="宋体" w:hAnsi="宋体" w:cs="宋体"/>
                <w:szCs w:val="21"/>
              </w:rPr>
            </w:pPr>
          </w:p>
        </w:tc>
        <w:tc>
          <w:tcPr>
            <w:tcW w:w="1559" w:type="dxa"/>
          </w:tcPr>
          <w:p>
            <w:pPr>
              <w:snapToGrid w:val="0"/>
              <w:rPr>
                <w:rFonts w:ascii="宋体" w:hAnsi="宋体" w:cs="宋体"/>
                <w:szCs w:val="21"/>
              </w:rPr>
            </w:pPr>
          </w:p>
        </w:tc>
        <w:tc>
          <w:tcPr>
            <w:tcW w:w="1099" w:type="dxa"/>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Align w:val="center"/>
          </w:tcPr>
          <w:p>
            <w:pPr>
              <w:snapToGrid w:val="0"/>
              <w:rPr>
                <w:rFonts w:ascii="宋体" w:hAnsi="宋体" w:cs="宋体"/>
                <w:szCs w:val="21"/>
              </w:rPr>
            </w:pPr>
            <w:r>
              <w:rPr>
                <w:rFonts w:hint="eastAsia" w:ascii="宋体" w:hAnsi="宋体" w:cs="宋体"/>
                <w:szCs w:val="21"/>
              </w:rPr>
              <w:t>验收具体内容</w:t>
            </w:r>
          </w:p>
        </w:tc>
        <w:tc>
          <w:tcPr>
            <w:tcW w:w="8309" w:type="dxa"/>
            <w:gridSpan w:val="4"/>
          </w:tcPr>
          <w:p>
            <w:pPr>
              <w:snapToGrid w:val="0"/>
              <w:rPr>
                <w:rFonts w:ascii="宋体" w:hAnsi="宋体" w:cs="宋体"/>
                <w:szCs w:val="21"/>
              </w:rPr>
            </w:pPr>
            <w:r>
              <w:rPr>
                <w:rFonts w:hint="eastAsia" w:ascii="宋体" w:hAnsi="宋体" w:cs="宋体"/>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45" w:type="dxa"/>
            <w:gridSpan w:val="2"/>
            <w:vMerge w:val="restart"/>
            <w:vAlign w:val="center"/>
          </w:tcPr>
          <w:p>
            <w:pPr>
              <w:snapToGrid w:val="0"/>
              <w:rPr>
                <w:rFonts w:ascii="宋体" w:hAnsi="宋体" w:cs="宋体"/>
                <w:szCs w:val="21"/>
              </w:rPr>
            </w:pPr>
            <w:r>
              <w:rPr>
                <w:rFonts w:hint="eastAsia" w:ascii="宋体" w:hAnsi="宋体" w:cs="宋体"/>
                <w:szCs w:val="21"/>
              </w:rPr>
              <w:t>验收小组意见</w:t>
            </w:r>
          </w:p>
        </w:tc>
        <w:tc>
          <w:tcPr>
            <w:tcW w:w="8309" w:type="dxa"/>
            <w:gridSpan w:val="4"/>
            <w:vAlign w:val="center"/>
          </w:tcPr>
          <w:p>
            <w:pPr>
              <w:snapToGrid w:val="0"/>
              <w:rPr>
                <w:rFonts w:ascii="宋体" w:hAnsi="宋体" w:cs="宋体"/>
                <w:szCs w:val="21"/>
              </w:rPr>
            </w:pPr>
            <w:r>
              <w:rPr>
                <w:rFonts w:hint="eastAsia" w:ascii="宋体" w:hAnsi="宋体" w:cs="宋体"/>
                <w:szCs w:val="21"/>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continue"/>
            <w:vAlign w:val="center"/>
          </w:tcPr>
          <w:p>
            <w:pPr>
              <w:snapToGrid w:val="0"/>
              <w:rPr>
                <w:rFonts w:ascii="宋体" w:hAnsi="宋体" w:cs="宋体"/>
                <w:szCs w:val="21"/>
              </w:rPr>
            </w:pPr>
          </w:p>
        </w:tc>
        <w:tc>
          <w:tcPr>
            <w:tcW w:w="8309" w:type="dxa"/>
            <w:gridSpan w:val="4"/>
            <w:vAlign w:val="center"/>
          </w:tcPr>
          <w:p>
            <w:pPr>
              <w:snapToGrid w:val="0"/>
              <w:rPr>
                <w:rFonts w:ascii="宋体" w:hAnsi="宋体" w:cs="宋体"/>
                <w:szCs w:val="21"/>
              </w:rPr>
            </w:pPr>
          </w:p>
          <w:p>
            <w:pPr>
              <w:snapToGrid w:val="0"/>
              <w:rPr>
                <w:rFonts w:ascii="宋体" w:hAnsi="宋体" w:cs="宋体"/>
                <w:szCs w:val="21"/>
              </w:rPr>
            </w:pPr>
            <w:r>
              <w:rPr>
                <w:rFonts w:hint="eastAsia" w:ascii="宋体" w:hAnsi="宋体" w:cs="宋体"/>
                <w:szCs w:val="21"/>
              </w:rPr>
              <w:t>有异议的意见和说明理由：</w:t>
            </w:r>
          </w:p>
          <w:p>
            <w:pPr>
              <w:snapToGrid w:val="0"/>
              <w:rPr>
                <w:rFonts w:ascii="宋体" w:hAnsi="宋体" w:cs="宋体"/>
                <w:szCs w:val="21"/>
              </w:rPr>
            </w:pPr>
          </w:p>
          <w:p>
            <w:pPr>
              <w:snapToGrid w:val="0"/>
              <w:rPr>
                <w:rFonts w:ascii="宋体" w:hAnsi="宋体" w:cs="宋体"/>
                <w:szCs w:val="21"/>
              </w:rPr>
            </w:pPr>
            <w:r>
              <w:rPr>
                <w:rFonts w:hint="eastAsia" w:ascii="宋体" w:hAnsi="宋体" w:cs="宋体"/>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snapToGrid w:val="0"/>
              <w:rPr>
                <w:rFonts w:ascii="宋体" w:hAnsi="宋体" w:cs="宋体"/>
                <w:szCs w:val="21"/>
              </w:rPr>
            </w:pPr>
            <w:r>
              <w:rPr>
                <w:rFonts w:hint="eastAsia" w:ascii="宋体" w:hAnsi="宋体" w:cs="宋体"/>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vAlign w:val="center"/>
          </w:tcPr>
          <w:p>
            <w:pPr>
              <w:snapToGrid w:val="0"/>
              <w:rPr>
                <w:rFonts w:ascii="宋体" w:hAnsi="宋体" w:cs="宋体"/>
                <w:szCs w:val="21"/>
              </w:rPr>
            </w:pPr>
            <w:r>
              <w:rPr>
                <w:rFonts w:hint="eastAsia" w:ascii="宋体" w:hAnsi="宋体" w:cs="宋体"/>
                <w:szCs w:val="21"/>
              </w:rPr>
              <w:t>监督人员或其他人员签字：</w:t>
            </w: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r>
              <w:rPr>
                <w:rFonts w:hint="eastAsia" w:ascii="宋体" w:hAnsi="宋体" w:cs="宋体"/>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pPr>
              <w:snapToGrid w:val="0"/>
              <w:rPr>
                <w:rFonts w:ascii="宋体" w:hAnsi="宋体" w:cs="宋体"/>
                <w:szCs w:val="21"/>
              </w:rPr>
            </w:pPr>
            <w:r>
              <w:rPr>
                <w:rFonts w:hint="eastAsia" w:ascii="宋体" w:hAnsi="宋体" w:cs="宋体"/>
                <w:szCs w:val="21"/>
              </w:rPr>
              <w:t>中标或者成交供应商负责人签字或盖章：               采购人或采购代理机构的意见（盖章）：</w:t>
            </w: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r>
              <w:rPr>
                <w:rFonts w:hint="eastAsia" w:ascii="宋体" w:hAnsi="宋体" w:cs="宋体"/>
                <w:szCs w:val="21"/>
              </w:rPr>
              <w:t>联系电话               年   月   日                 联系电话：                 年   月   日</w:t>
            </w:r>
          </w:p>
        </w:tc>
      </w:tr>
    </w:tbl>
    <w:p>
      <w:pPr>
        <w:snapToGrid w:val="0"/>
        <w:rPr>
          <w:rFonts w:ascii="宋体" w:hAnsi="宋体" w:cs="宋体"/>
          <w:szCs w:val="21"/>
        </w:rPr>
      </w:pPr>
    </w:p>
    <w:p>
      <w:pPr>
        <w:snapToGrid w:val="0"/>
        <w:rPr>
          <w:rFonts w:ascii="宋体" w:hAnsi="宋体" w:cs="宋体"/>
          <w:szCs w:val="21"/>
        </w:rPr>
      </w:pPr>
    </w:p>
    <w:p>
      <w:pPr>
        <w:pStyle w:val="3"/>
        <w:rPr>
          <w:sz w:val="28"/>
          <w:szCs w:val="28"/>
        </w:rPr>
      </w:pPr>
      <w:r>
        <w:rPr>
          <w:rFonts w:hint="eastAsia"/>
          <w:szCs w:val="21"/>
        </w:rPr>
        <w:br w:type="page"/>
      </w:r>
      <w:bookmarkStart w:id="76" w:name="_Toc26800561"/>
      <w:r>
        <w:rPr>
          <w:rFonts w:hint="eastAsia"/>
        </w:rPr>
        <w:t>第六章  评审方法</w:t>
      </w:r>
      <w:bookmarkEnd w:id="74"/>
      <w:bookmarkEnd w:id="75"/>
      <w:bookmarkEnd w:id="76"/>
    </w:p>
    <w:p>
      <w:pPr>
        <w:spacing w:line="400" w:lineRule="exact"/>
        <w:ind w:firstLine="420" w:firstLineChars="200"/>
        <w:outlineLvl w:val="0"/>
        <w:rPr>
          <w:rFonts w:ascii="宋体" w:hAnsi="宋体"/>
          <w:b/>
          <w:szCs w:val="21"/>
        </w:rPr>
      </w:pPr>
      <w:bookmarkStart w:id="77" w:name="_Toc26800562"/>
      <w:bookmarkStart w:id="78" w:name="_Toc518672987"/>
      <w:bookmarkStart w:id="79" w:name="_Toc23246846"/>
      <w:bookmarkStart w:id="80" w:name="_Toc23251643"/>
      <w:bookmarkStart w:id="81" w:name="_Toc518673040"/>
      <w:bookmarkStart w:id="82" w:name="_Toc23251564"/>
      <w:bookmarkStart w:id="83" w:name="_Toc11159184"/>
      <w:bookmarkStart w:id="84" w:name="_Toc23251327"/>
      <w:r>
        <w:rPr>
          <w:rFonts w:hint="eastAsia" w:ascii="宋体" w:hAnsi="宋体"/>
          <w:b/>
          <w:szCs w:val="21"/>
        </w:rPr>
        <w:t>一、评标原则</w:t>
      </w:r>
      <w:bookmarkEnd w:id="77"/>
      <w:bookmarkEnd w:id="78"/>
      <w:bookmarkEnd w:id="79"/>
      <w:bookmarkEnd w:id="80"/>
      <w:bookmarkEnd w:id="81"/>
      <w:bookmarkEnd w:id="82"/>
      <w:bookmarkEnd w:id="83"/>
      <w:bookmarkEnd w:id="84"/>
    </w:p>
    <w:p>
      <w:pPr>
        <w:spacing w:line="400" w:lineRule="exact"/>
        <w:ind w:firstLine="420" w:firstLineChars="200"/>
        <w:rPr>
          <w:rFonts w:ascii="宋体" w:hAnsi="宋体"/>
          <w:szCs w:val="21"/>
        </w:rPr>
      </w:pPr>
      <w:r>
        <w:rPr>
          <w:rFonts w:hint="eastAsia" w:ascii="宋体" w:hAnsi="宋体"/>
          <w:szCs w:val="21"/>
        </w:rPr>
        <w:t>（一）谈判小组构成：本采购项目的谈判小组分别由</w:t>
      </w:r>
      <w:r>
        <w:rPr>
          <w:rFonts w:hint="eastAsia" w:hAnsi="宋体"/>
          <w:bCs/>
        </w:rPr>
        <w:t>依法组成的评审专家</w:t>
      </w:r>
      <w:r>
        <w:rPr>
          <w:rFonts w:hint="eastAsia" w:ascii="宋体" w:hAnsi="宋体"/>
          <w:szCs w:val="21"/>
        </w:rPr>
        <w:t>、采购人代表等</w:t>
      </w:r>
      <w:r>
        <w:rPr>
          <w:rFonts w:hint="eastAsia" w:ascii="宋体" w:hAnsi="宋体"/>
          <w:szCs w:val="21"/>
          <w:u w:val="single"/>
        </w:rPr>
        <w:t>3</w:t>
      </w:r>
      <w:r>
        <w:rPr>
          <w:rFonts w:hint="eastAsia" w:ascii="宋体" w:hAnsi="宋体"/>
          <w:szCs w:val="21"/>
        </w:rPr>
        <w:t>人以上单数组成，其中专家人数不少于成员总数的三分之二。</w:t>
      </w:r>
    </w:p>
    <w:p>
      <w:pPr>
        <w:spacing w:line="400" w:lineRule="exact"/>
        <w:ind w:firstLine="420" w:firstLineChars="200"/>
        <w:rPr>
          <w:rFonts w:ascii="宋体" w:hAnsi="宋体"/>
          <w:szCs w:val="21"/>
        </w:rPr>
      </w:pPr>
      <w:r>
        <w:rPr>
          <w:rFonts w:hint="eastAsia" w:ascii="宋体" w:hAnsi="宋体"/>
          <w:szCs w:val="21"/>
        </w:rPr>
        <w:t>（二）评标依据：以</w:t>
      </w:r>
      <w:r>
        <w:rPr>
          <w:rFonts w:hint="eastAsia" w:ascii="宋体" w:hAnsi="Courier New"/>
          <w:szCs w:val="21"/>
        </w:rPr>
        <w:t>采购文件、竞争性谈判响应文件为评定依据</w:t>
      </w:r>
      <w:r>
        <w:rPr>
          <w:rFonts w:hint="eastAsia" w:ascii="宋体" w:hAnsi="宋体"/>
          <w:szCs w:val="21"/>
        </w:rPr>
        <w:t>。</w:t>
      </w:r>
    </w:p>
    <w:p>
      <w:pPr>
        <w:pStyle w:val="16"/>
        <w:spacing w:line="420" w:lineRule="exact"/>
        <w:ind w:firstLine="420" w:firstLineChars="200"/>
        <w:rPr>
          <w:rFonts w:hAnsi="宋体"/>
          <w:bCs/>
        </w:rPr>
      </w:pPr>
      <w:r>
        <w:rPr>
          <w:rFonts w:hint="eastAsia" w:hAnsi="宋体"/>
          <w:bCs/>
        </w:rPr>
        <w:t>（三）按照《政府采购促进中小企业发展暂行办法》（财库[2011]181号）的规定，谈判供应商认定为小型或微型企业且所提供的产品均为小型、微型企业产品的（必须提供中小企业声明函，否则不予以认定），对最终报价给予10%的扣除，扣除后的价格为评标价，即评标价=最终报价×（1-10%）；</w:t>
      </w:r>
      <w:r>
        <w:rPr>
          <w:rFonts w:hint="eastAsia" w:hAnsi="宋体" w:cs="宋体"/>
          <w:bCs/>
          <w:szCs w:val="21"/>
        </w:rPr>
        <w:t>大中型企业与小型、微型企业组成联合体竞标，其中小型、微型企业的协议合同金额占到联合体协议合同总金额30%以上的，联合体竞标价给予2%的扣除，扣除后的价格为评标价，即评标报价=竞标价×（1-2%）；</w:t>
      </w:r>
      <w:r>
        <w:rPr>
          <w:rFonts w:hint="eastAsia" w:hAnsi="宋体"/>
          <w:bCs/>
        </w:rPr>
        <w:t>除上述情况外，评标价=最终报价。</w:t>
      </w:r>
    </w:p>
    <w:p>
      <w:pPr>
        <w:pStyle w:val="16"/>
        <w:spacing w:line="420" w:lineRule="exact"/>
        <w:ind w:firstLine="420" w:firstLineChars="200"/>
        <w:rPr>
          <w:rFonts w:hAnsi="宋体"/>
          <w:bCs/>
        </w:rPr>
      </w:pPr>
      <w:r>
        <w:rPr>
          <w:rFonts w:hint="eastAsia" w:hAnsi="宋体"/>
          <w:bCs/>
        </w:rPr>
        <w:t>根据《关于政府采购支持监狱企业发展有关问题的通知》（财库[2014]68号）、</w:t>
      </w:r>
      <w:r>
        <w:rPr>
          <w:rFonts w:hint="eastAsia"/>
          <w:bCs/>
        </w:rPr>
        <w:t>《关于我区政府采购支持监狱企业发展有关问题的通知》（桂财采[2018]24号）</w:t>
      </w:r>
      <w:r>
        <w:rPr>
          <w:rFonts w:hint="eastAsia" w:hAnsi="宋体"/>
          <w:bCs/>
        </w:rPr>
        <w:t>的规定，监狱企业视同小型、微型企业，享受小型、微型企业评审中价格扣除的政府采购政策。（必须提供相关证明文件，否则不予以认定）</w:t>
      </w:r>
    </w:p>
    <w:p>
      <w:pPr>
        <w:pStyle w:val="16"/>
        <w:spacing w:line="400" w:lineRule="exact"/>
        <w:ind w:firstLine="420" w:firstLineChars="200"/>
        <w:rPr>
          <w:rFonts w:hAnsi="宋体"/>
          <w:bCs/>
        </w:rPr>
      </w:pPr>
      <w:r>
        <w:rPr>
          <w:rFonts w:hint="eastAsia" w:hAnsi="宋体"/>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spacing w:line="400" w:lineRule="exact"/>
        <w:ind w:firstLine="420" w:firstLineChars="200"/>
        <w:outlineLvl w:val="0"/>
        <w:rPr>
          <w:rFonts w:ascii="宋体" w:hAnsi="宋体"/>
          <w:b/>
          <w:szCs w:val="21"/>
        </w:rPr>
      </w:pPr>
      <w:bookmarkStart w:id="85" w:name="_Toc518673041"/>
      <w:bookmarkStart w:id="86" w:name="_Toc23251565"/>
      <w:bookmarkStart w:id="87" w:name="_Toc23251328"/>
      <w:bookmarkStart w:id="88" w:name="_Toc23251644"/>
      <w:bookmarkStart w:id="89" w:name="_Toc11159185"/>
      <w:bookmarkStart w:id="90" w:name="_Toc23246847"/>
      <w:bookmarkStart w:id="91" w:name="_Toc518672988"/>
      <w:bookmarkStart w:id="92" w:name="_Toc26800563"/>
      <w:r>
        <w:rPr>
          <w:rFonts w:hint="eastAsia" w:ascii="宋体" w:hAnsi="宋体"/>
          <w:b/>
          <w:szCs w:val="21"/>
        </w:rPr>
        <w:t>二、评定方法</w:t>
      </w:r>
      <w:bookmarkEnd w:id="85"/>
      <w:bookmarkEnd w:id="86"/>
      <w:bookmarkEnd w:id="87"/>
      <w:bookmarkEnd w:id="88"/>
      <w:bookmarkEnd w:id="89"/>
      <w:bookmarkEnd w:id="90"/>
      <w:bookmarkEnd w:id="91"/>
      <w:bookmarkEnd w:id="92"/>
    </w:p>
    <w:p>
      <w:pPr>
        <w:spacing w:line="400" w:lineRule="exact"/>
        <w:ind w:firstLine="420" w:firstLineChars="200"/>
        <w:rPr>
          <w:rFonts w:ascii="宋体" w:hAnsi="宋体"/>
          <w:szCs w:val="21"/>
        </w:rPr>
      </w:pPr>
      <w:r>
        <w:rPr>
          <w:rFonts w:ascii="宋体" w:hAnsi="宋体"/>
          <w:szCs w:val="21"/>
        </w:rPr>
        <w:t>在质量和服务均能满足采购文件实质性响应要求的前提下，按</w:t>
      </w:r>
      <w:r>
        <w:rPr>
          <w:rFonts w:hint="eastAsia" w:hAnsi="宋体"/>
        </w:rPr>
        <w:t>评标价</w:t>
      </w:r>
      <w:r>
        <w:rPr>
          <w:rFonts w:ascii="宋体" w:hAnsi="宋体"/>
          <w:szCs w:val="21"/>
        </w:rPr>
        <w:t>由低到高排列成交候选供应商顺序（</w:t>
      </w:r>
      <w:r>
        <w:rPr>
          <w:rFonts w:hint="eastAsia" w:hAnsi="宋体"/>
        </w:rPr>
        <w:t>评标价</w:t>
      </w:r>
      <w:r>
        <w:rPr>
          <w:rFonts w:ascii="宋体" w:hAnsi="宋体"/>
          <w:szCs w:val="21"/>
        </w:rPr>
        <w:t>相同时，依次按</w:t>
      </w:r>
      <w:r>
        <w:rPr>
          <w:rFonts w:hint="eastAsia"/>
        </w:rPr>
        <w:t>最终报价低价优先、</w:t>
      </w:r>
      <w:r>
        <w:rPr>
          <w:rFonts w:ascii="宋体" w:hAnsi="宋体"/>
          <w:szCs w:val="21"/>
        </w:rPr>
        <w:t>节能环保优先、技术指标高优先、质保期长优先、</w:t>
      </w:r>
      <w:r>
        <w:rPr>
          <w:rFonts w:hint="eastAsia" w:hAnsi="宋体"/>
          <w:szCs w:val="21"/>
        </w:rPr>
        <w:t>交货时间</w:t>
      </w:r>
      <w:r>
        <w:rPr>
          <w:rFonts w:ascii="宋体" w:hAnsi="宋体"/>
          <w:szCs w:val="21"/>
        </w:rPr>
        <w:t>短优先、故障响应时间短优先的顺序排列），并依照次序</w:t>
      </w:r>
      <w:r>
        <w:rPr>
          <w:rFonts w:hint="eastAsia" w:ascii="宋体" w:hAnsi="宋体"/>
          <w:szCs w:val="21"/>
        </w:rPr>
        <w:t>排列</w:t>
      </w:r>
      <w:r>
        <w:rPr>
          <w:rFonts w:ascii="宋体" w:hAnsi="宋体"/>
          <w:szCs w:val="21"/>
        </w:rPr>
        <w:t>成交供应商。</w:t>
      </w:r>
    </w:p>
    <w:p>
      <w:pPr>
        <w:spacing w:line="400" w:lineRule="exact"/>
        <w:ind w:firstLine="420" w:firstLineChars="200"/>
        <w:outlineLvl w:val="0"/>
        <w:rPr>
          <w:rFonts w:ascii="宋体" w:hAnsi="Courier New"/>
          <w:b/>
          <w:szCs w:val="21"/>
        </w:rPr>
      </w:pPr>
      <w:bookmarkStart w:id="93" w:name="_Toc23251566"/>
      <w:bookmarkStart w:id="94" w:name="_Toc26800564"/>
      <w:bookmarkStart w:id="95" w:name="_Toc11159186"/>
      <w:bookmarkStart w:id="96" w:name="_Toc23251329"/>
      <w:bookmarkStart w:id="97" w:name="_Toc518673042"/>
      <w:bookmarkStart w:id="98" w:name="_Toc23251645"/>
      <w:bookmarkStart w:id="99" w:name="_Toc23246848"/>
      <w:bookmarkStart w:id="100" w:name="_Toc518672989"/>
      <w:r>
        <w:rPr>
          <w:rFonts w:hint="eastAsia" w:ascii="宋体" w:hAnsi="Courier New"/>
          <w:b/>
          <w:szCs w:val="21"/>
        </w:rPr>
        <w:t>三、成交候选供应商推荐及成交供应商确定原则</w:t>
      </w:r>
      <w:bookmarkEnd w:id="93"/>
      <w:bookmarkEnd w:id="94"/>
      <w:bookmarkEnd w:id="95"/>
      <w:bookmarkEnd w:id="96"/>
      <w:bookmarkEnd w:id="97"/>
      <w:bookmarkEnd w:id="98"/>
      <w:bookmarkEnd w:id="99"/>
      <w:bookmarkEnd w:id="100"/>
    </w:p>
    <w:p>
      <w:pPr>
        <w:spacing w:line="400" w:lineRule="exact"/>
        <w:ind w:firstLine="420" w:firstLineChars="200"/>
        <w:rPr>
          <w:rFonts w:ascii="宋体" w:hAnsi="Courier New"/>
          <w:szCs w:val="21"/>
        </w:rPr>
      </w:pPr>
      <w:r>
        <w:rPr>
          <w:rFonts w:hint="eastAsia" w:ascii="宋体" w:hAnsi="Courier New"/>
          <w:szCs w:val="21"/>
        </w:rPr>
        <w:t>（一）</w:t>
      </w:r>
      <w:r>
        <w:rPr>
          <w:rFonts w:ascii="宋体" w:hAnsi="Courier New"/>
          <w:szCs w:val="21"/>
        </w:rPr>
        <w:t>在质量和服务均能满足采购文件实质性响应要求的前提下，按</w:t>
      </w:r>
      <w:r>
        <w:rPr>
          <w:rFonts w:hint="eastAsia" w:hAnsi="宋体"/>
        </w:rPr>
        <w:t>评标价</w:t>
      </w:r>
      <w:r>
        <w:rPr>
          <w:rFonts w:ascii="宋体" w:hAnsi="Courier New"/>
          <w:szCs w:val="21"/>
        </w:rPr>
        <w:t>由低到高排列成交候选供应商顺序（</w:t>
      </w:r>
      <w:r>
        <w:rPr>
          <w:rFonts w:hint="eastAsia" w:hAnsi="宋体"/>
        </w:rPr>
        <w:t>评标价</w:t>
      </w:r>
      <w:r>
        <w:rPr>
          <w:rFonts w:ascii="宋体" w:hAnsi="Courier New"/>
          <w:szCs w:val="21"/>
        </w:rPr>
        <w:t>相同时，依次按</w:t>
      </w:r>
      <w:r>
        <w:rPr>
          <w:rFonts w:hint="eastAsia"/>
        </w:rPr>
        <w:t>最终报价低价优先、</w:t>
      </w:r>
      <w:r>
        <w:rPr>
          <w:rFonts w:ascii="宋体" w:hAnsi="Courier New"/>
          <w:szCs w:val="21"/>
        </w:rPr>
        <w:t>节能环保优先、技术指标高优先、质保期长优先、</w:t>
      </w:r>
      <w:r>
        <w:rPr>
          <w:rFonts w:hint="eastAsia" w:hAnsi="宋体"/>
          <w:szCs w:val="21"/>
        </w:rPr>
        <w:t>交货时间</w:t>
      </w:r>
      <w:r>
        <w:rPr>
          <w:rFonts w:ascii="宋体" w:hAnsi="Courier New"/>
          <w:szCs w:val="21"/>
        </w:rPr>
        <w:t>短优先、故障响应时间短优先的顺序排列），并</w:t>
      </w:r>
      <w:r>
        <w:rPr>
          <w:rFonts w:hint="eastAsia" w:ascii="宋体" w:hAnsi="宋体"/>
          <w:szCs w:val="21"/>
        </w:rPr>
        <w:t>推荐前三名为</w:t>
      </w:r>
      <w:r>
        <w:rPr>
          <w:rFonts w:ascii="宋体" w:hAnsi="宋体"/>
          <w:szCs w:val="21"/>
        </w:rPr>
        <w:t>成交</w:t>
      </w:r>
      <w:r>
        <w:rPr>
          <w:rFonts w:hint="eastAsia" w:ascii="宋体" w:hAnsi="宋体"/>
          <w:szCs w:val="21"/>
        </w:rPr>
        <w:t>候选</w:t>
      </w:r>
      <w:r>
        <w:rPr>
          <w:rFonts w:ascii="宋体" w:hAnsi="宋体"/>
          <w:szCs w:val="21"/>
        </w:rPr>
        <w:t>供应商</w:t>
      </w:r>
      <w:r>
        <w:rPr>
          <w:rFonts w:ascii="宋体" w:hAnsi="Courier New"/>
          <w:szCs w:val="21"/>
        </w:rPr>
        <w:t>。采购单位应当确定谈判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rFonts w:hint="eastAsia" w:ascii="宋体" w:hAnsi="Courier New"/>
          <w:szCs w:val="21"/>
        </w:rPr>
        <w:t>。</w:t>
      </w:r>
    </w:p>
    <w:p>
      <w:pPr>
        <w:spacing w:line="400" w:lineRule="exact"/>
        <w:ind w:firstLine="420" w:firstLineChars="200"/>
        <w:rPr>
          <w:rFonts w:ascii="宋体" w:hAnsi="宋体" w:cs="宋体"/>
        </w:rPr>
      </w:pPr>
      <w:r>
        <w:rPr>
          <w:rFonts w:hint="eastAsia" w:ascii="宋体" w:hAnsi="Courier New"/>
          <w:szCs w:val="21"/>
        </w:rPr>
        <w:t>（二）</w:t>
      </w:r>
      <w:r>
        <w:rPr>
          <w:rFonts w:hint="eastAsia"/>
        </w:rPr>
        <w:t>谈判小组认为，某谈判供应商的最终竞标报价明显低于其他实质性响应谈判文件的谈判供应商的最终报价，有可能影响产品质量或者不能诚信履约的，应当要求其在评标现场合理的时间内提供书面说明，必要时提交相关证明材料；谈判供应商不能证明其报价合理性的，谈判小组应当将其作为未实质性响应谈判文件处理</w:t>
      </w:r>
      <w:r>
        <w:rPr>
          <w:rFonts w:hint="eastAsia" w:ascii="宋体" w:hAnsi="宋体" w:cs="宋体"/>
        </w:rPr>
        <w:t>。</w:t>
      </w:r>
    </w:p>
    <w:p>
      <w:pPr>
        <w:spacing w:line="400" w:lineRule="exact"/>
        <w:rPr>
          <w:rFonts w:ascii="宋体" w:hAnsi="宋体" w:cs="宋体"/>
        </w:rPr>
      </w:pPr>
    </w:p>
    <w:p>
      <w:pPr>
        <w:spacing w:line="440" w:lineRule="exact"/>
        <w:rPr>
          <w:rFonts w:ascii="幼圆" w:hAnsi="宋体" w:eastAsia="幼圆" w:cs="宋体"/>
          <w:bCs/>
          <w:sz w:val="32"/>
          <w:szCs w:val="32"/>
        </w:rPr>
      </w:pPr>
    </w:p>
    <w:sectPr>
      <w:footerReference r:id="rId10" w:type="default"/>
      <w:pgSz w:w="11906" w:h="16838"/>
      <w:pgMar w:top="1134" w:right="1134" w:bottom="1134" w:left="1134" w:header="709" w:footer="709"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5"/>
      </w:rPr>
    </w:pPr>
    <w:r>
      <w:fldChar w:fldCharType="begin"/>
    </w:r>
    <w:r>
      <w:rPr>
        <w:rStyle w:val="35"/>
      </w:rPr>
      <w:instrText xml:space="preserve">PAGE  </w:instrText>
    </w:r>
    <w:r>
      <w:fldChar w:fldCharType="separate"/>
    </w:r>
    <w:r>
      <w:rPr>
        <w:rStyle w:val="35"/>
      </w:rPr>
      <w:t>1</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5"/>
      </w:rPr>
    </w:pPr>
    <w:r>
      <w:fldChar w:fldCharType="begin"/>
    </w:r>
    <w:r>
      <w:rPr>
        <w:rStyle w:val="35"/>
      </w:rPr>
      <w:instrText xml:space="preserve">PAGE  </w:instrText>
    </w:r>
    <w:r>
      <w:fldChar w:fldCharType="separate"/>
    </w:r>
    <w:r>
      <w:rPr>
        <w:rStyle w:val="35"/>
      </w:rPr>
      <w:t>3</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1FD72"/>
    <w:multiLevelType w:val="singleLevel"/>
    <w:tmpl w:val="B461FD72"/>
    <w:lvl w:ilvl="0" w:tentative="0">
      <w:start w:val="5"/>
      <w:numFmt w:val="chineseCounting"/>
      <w:suff w:val="nothing"/>
      <w:lvlText w:val="%1、"/>
      <w:lvlJc w:val="left"/>
      <w:rPr>
        <w:rFonts w:hint="eastAsia"/>
      </w:rPr>
    </w:lvl>
  </w:abstractNum>
  <w:abstractNum w:abstractNumId="1">
    <w:nsid w:val="CC0F8CD8"/>
    <w:multiLevelType w:val="singleLevel"/>
    <w:tmpl w:val="CC0F8CD8"/>
    <w:lvl w:ilvl="0" w:tentative="0">
      <w:start w:val="2"/>
      <w:numFmt w:val="decimal"/>
      <w:suff w:val="nothing"/>
      <w:lvlText w:val="%1、"/>
      <w:lvlJc w:val="left"/>
    </w:lvl>
  </w:abstractNum>
  <w:abstractNum w:abstractNumId="2">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0DD7"/>
    <w:rsid w:val="00000620"/>
    <w:rsid w:val="00000BD8"/>
    <w:rsid w:val="000018C3"/>
    <w:rsid w:val="00003609"/>
    <w:rsid w:val="00003E54"/>
    <w:rsid w:val="0000485A"/>
    <w:rsid w:val="000077B0"/>
    <w:rsid w:val="0001082B"/>
    <w:rsid w:val="00013447"/>
    <w:rsid w:val="000135CF"/>
    <w:rsid w:val="00016B8A"/>
    <w:rsid w:val="00017C45"/>
    <w:rsid w:val="00020460"/>
    <w:rsid w:val="0002065D"/>
    <w:rsid w:val="000238CC"/>
    <w:rsid w:val="000245C9"/>
    <w:rsid w:val="00026327"/>
    <w:rsid w:val="000301E6"/>
    <w:rsid w:val="00033844"/>
    <w:rsid w:val="0003541E"/>
    <w:rsid w:val="0003615E"/>
    <w:rsid w:val="000370BF"/>
    <w:rsid w:val="00037830"/>
    <w:rsid w:val="00037AB3"/>
    <w:rsid w:val="00040A09"/>
    <w:rsid w:val="00040F87"/>
    <w:rsid w:val="000417E4"/>
    <w:rsid w:val="00041916"/>
    <w:rsid w:val="00041F54"/>
    <w:rsid w:val="000428B7"/>
    <w:rsid w:val="00042C24"/>
    <w:rsid w:val="000440F6"/>
    <w:rsid w:val="00046CFA"/>
    <w:rsid w:val="00047286"/>
    <w:rsid w:val="0004770D"/>
    <w:rsid w:val="00050B60"/>
    <w:rsid w:val="000517ED"/>
    <w:rsid w:val="00052518"/>
    <w:rsid w:val="00052E8E"/>
    <w:rsid w:val="00053E2E"/>
    <w:rsid w:val="00053F52"/>
    <w:rsid w:val="00054DD6"/>
    <w:rsid w:val="00054F7E"/>
    <w:rsid w:val="000560D5"/>
    <w:rsid w:val="00056425"/>
    <w:rsid w:val="0005696A"/>
    <w:rsid w:val="00057D60"/>
    <w:rsid w:val="000602C9"/>
    <w:rsid w:val="00060F2A"/>
    <w:rsid w:val="0006140D"/>
    <w:rsid w:val="00061DC1"/>
    <w:rsid w:val="0006386D"/>
    <w:rsid w:val="00065671"/>
    <w:rsid w:val="00065D44"/>
    <w:rsid w:val="000674CF"/>
    <w:rsid w:val="000676CA"/>
    <w:rsid w:val="00067E57"/>
    <w:rsid w:val="00070011"/>
    <w:rsid w:val="00070C70"/>
    <w:rsid w:val="00071C4E"/>
    <w:rsid w:val="00072B20"/>
    <w:rsid w:val="00072C94"/>
    <w:rsid w:val="00072F95"/>
    <w:rsid w:val="00073E70"/>
    <w:rsid w:val="0007563C"/>
    <w:rsid w:val="00076A45"/>
    <w:rsid w:val="00076AC0"/>
    <w:rsid w:val="00077204"/>
    <w:rsid w:val="00077845"/>
    <w:rsid w:val="00081755"/>
    <w:rsid w:val="000824CE"/>
    <w:rsid w:val="0008305D"/>
    <w:rsid w:val="0008393A"/>
    <w:rsid w:val="00083DAA"/>
    <w:rsid w:val="000845AC"/>
    <w:rsid w:val="00084DB5"/>
    <w:rsid w:val="00086F41"/>
    <w:rsid w:val="00087CB5"/>
    <w:rsid w:val="00090E4A"/>
    <w:rsid w:val="000914FA"/>
    <w:rsid w:val="000917D0"/>
    <w:rsid w:val="00091CC8"/>
    <w:rsid w:val="00091D7B"/>
    <w:rsid w:val="0009201C"/>
    <w:rsid w:val="00092411"/>
    <w:rsid w:val="00092BA8"/>
    <w:rsid w:val="000946AA"/>
    <w:rsid w:val="000948F9"/>
    <w:rsid w:val="00096716"/>
    <w:rsid w:val="000A08A7"/>
    <w:rsid w:val="000A0DC8"/>
    <w:rsid w:val="000A6A3F"/>
    <w:rsid w:val="000A76CA"/>
    <w:rsid w:val="000A7729"/>
    <w:rsid w:val="000B1290"/>
    <w:rsid w:val="000B3B7F"/>
    <w:rsid w:val="000B3FE3"/>
    <w:rsid w:val="000B4092"/>
    <w:rsid w:val="000B452A"/>
    <w:rsid w:val="000B4F39"/>
    <w:rsid w:val="000B6469"/>
    <w:rsid w:val="000B6A77"/>
    <w:rsid w:val="000B7DC5"/>
    <w:rsid w:val="000C1809"/>
    <w:rsid w:val="000C21CF"/>
    <w:rsid w:val="000C2B9B"/>
    <w:rsid w:val="000C3EC6"/>
    <w:rsid w:val="000C468D"/>
    <w:rsid w:val="000D044F"/>
    <w:rsid w:val="000D4669"/>
    <w:rsid w:val="000D502E"/>
    <w:rsid w:val="000D5351"/>
    <w:rsid w:val="000D55C9"/>
    <w:rsid w:val="000D5F45"/>
    <w:rsid w:val="000D6803"/>
    <w:rsid w:val="000D7474"/>
    <w:rsid w:val="000D7683"/>
    <w:rsid w:val="000D76B7"/>
    <w:rsid w:val="000D79B8"/>
    <w:rsid w:val="000E02EE"/>
    <w:rsid w:val="000E15D0"/>
    <w:rsid w:val="000E1756"/>
    <w:rsid w:val="000E27FE"/>
    <w:rsid w:val="000E2A3A"/>
    <w:rsid w:val="000E5FCD"/>
    <w:rsid w:val="000E7988"/>
    <w:rsid w:val="000E7C86"/>
    <w:rsid w:val="000F08C6"/>
    <w:rsid w:val="000F0A64"/>
    <w:rsid w:val="000F0DB5"/>
    <w:rsid w:val="000F1EA9"/>
    <w:rsid w:val="000F2102"/>
    <w:rsid w:val="000F2187"/>
    <w:rsid w:val="000F263C"/>
    <w:rsid w:val="000F45EB"/>
    <w:rsid w:val="000F4854"/>
    <w:rsid w:val="000F6AE7"/>
    <w:rsid w:val="000F6BA4"/>
    <w:rsid w:val="0010220E"/>
    <w:rsid w:val="0010358A"/>
    <w:rsid w:val="00103A61"/>
    <w:rsid w:val="00105CE9"/>
    <w:rsid w:val="0011024C"/>
    <w:rsid w:val="00111248"/>
    <w:rsid w:val="001115AA"/>
    <w:rsid w:val="00112B85"/>
    <w:rsid w:val="001133B1"/>
    <w:rsid w:val="00113F8D"/>
    <w:rsid w:val="00114202"/>
    <w:rsid w:val="00115639"/>
    <w:rsid w:val="00116061"/>
    <w:rsid w:val="00117C68"/>
    <w:rsid w:val="001217F7"/>
    <w:rsid w:val="00121B8F"/>
    <w:rsid w:val="00122D19"/>
    <w:rsid w:val="00123F1A"/>
    <w:rsid w:val="001242D7"/>
    <w:rsid w:val="00124F98"/>
    <w:rsid w:val="0012566B"/>
    <w:rsid w:val="001257B9"/>
    <w:rsid w:val="00125C95"/>
    <w:rsid w:val="00127B0C"/>
    <w:rsid w:val="00127C13"/>
    <w:rsid w:val="00131497"/>
    <w:rsid w:val="00131557"/>
    <w:rsid w:val="00131C78"/>
    <w:rsid w:val="0013473C"/>
    <w:rsid w:val="00134CC8"/>
    <w:rsid w:val="0013650D"/>
    <w:rsid w:val="001378A8"/>
    <w:rsid w:val="00141306"/>
    <w:rsid w:val="00141F8D"/>
    <w:rsid w:val="0014206C"/>
    <w:rsid w:val="001428F4"/>
    <w:rsid w:val="0014383E"/>
    <w:rsid w:val="00143C16"/>
    <w:rsid w:val="00146086"/>
    <w:rsid w:val="0014674E"/>
    <w:rsid w:val="00146D30"/>
    <w:rsid w:val="00151993"/>
    <w:rsid w:val="00151B01"/>
    <w:rsid w:val="00151DBB"/>
    <w:rsid w:val="00153492"/>
    <w:rsid w:val="001540D0"/>
    <w:rsid w:val="0015598A"/>
    <w:rsid w:val="00155E90"/>
    <w:rsid w:val="0015618F"/>
    <w:rsid w:val="00157FA4"/>
    <w:rsid w:val="001603A1"/>
    <w:rsid w:val="00160B0E"/>
    <w:rsid w:val="00164797"/>
    <w:rsid w:val="00164F53"/>
    <w:rsid w:val="001659DB"/>
    <w:rsid w:val="00167B87"/>
    <w:rsid w:val="00167BED"/>
    <w:rsid w:val="00170337"/>
    <w:rsid w:val="00171864"/>
    <w:rsid w:val="00171EE0"/>
    <w:rsid w:val="00172F34"/>
    <w:rsid w:val="00174041"/>
    <w:rsid w:val="00176638"/>
    <w:rsid w:val="00176C9F"/>
    <w:rsid w:val="001800CF"/>
    <w:rsid w:val="001802B7"/>
    <w:rsid w:val="00180864"/>
    <w:rsid w:val="001822A6"/>
    <w:rsid w:val="00183864"/>
    <w:rsid w:val="00183E15"/>
    <w:rsid w:val="001843A4"/>
    <w:rsid w:val="00184EAA"/>
    <w:rsid w:val="00185EF7"/>
    <w:rsid w:val="001861ED"/>
    <w:rsid w:val="001864BF"/>
    <w:rsid w:val="00187864"/>
    <w:rsid w:val="001879D4"/>
    <w:rsid w:val="00187D6B"/>
    <w:rsid w:val="001908DE"/>
    <w:rsid w:val="00190E56"/>
    <w:rsid w:val="00191E57"/>
    <w:rsid w:val="00191EC5"/>
    <w:rsid w:val="0019414E"/>
    <w:rsid w:val="00194841"/>
    <w:rsid w:val="0019635D"/>
    <w:rsid w:val="00197AA0"/>
    <w:rsid w:val="001A0F67"/>
    <w:rsid w:val="001A1958"/>
    <w:rsid w:val="001A1E88"/>
    <w:rsid w:val="001A1EBD"/>
    <w:rsid w:val="001A2AF5"/>
    <w:rsid w:val="001A48A2"/>
    <w:rsid w:val="001A5A52"/>
    <w:rsid w:val="001A5D20"/>
    <w:rsid w:val="001A70F2"/>
    <w:rsid w:val="001A7883"/>
    <w:rsid w:val="001B0689"/>
    <w:rsid w:val="001B0CAA"/>
    <w:rsid w:val="001B2411"/>
    <w:rsid w:val="001B4BCC"/>
    <w:rsid w:val="001B5837"/>
    <w:rsid w:val="001B64CB"/>
    <w:rsid w:val="001B674B"/>
    <w:rsid w:val="001B6971"/>
    <w:rsid w:val="001B6A90"/>
    <w:rsid w:val="001B703B"/>
    <w:rsid w:val="001B7385"/>
    <w:rsid w:val="001B7388"/>
    <w:rsid w:val="001B7C82"/>
    <w:rsid w:val="001C39A7"/>
    <w:rsid w:val="001C5189"/>
    <w:rsid w:val="001C5FD9"/>
    <w:rsid w:val="001C6C85"/>
    <w:rsid w:val="001C6DB1"/>
    <w:rsid w:val="001C7BE2"/>
    <w:rsid w:val="001D17BB"/>
    <w:rsid w:val="001D46B1"/>
    <w:rsid w:val="001D5E7B"/>
    <w:rsid w:val="001D62EA"/>
    <w:rsid w:val="001D66FF"/>
    <w:rsid w:val="001D7ACD"/>
    <w:rsid w:val="001D7CF2"/>
    <w:rsid w:val="001E03DD"/>
    <w:rsid w:val="001E0A9D"/>
    <w:rsid w:val="001E2568"/>
    <w:rsid w:val="001E40A6"/>
    <w:rsid w:val="001E64C2"/>
    <w:rsid w:val="001E68B9"/>
    <w:rsid w:val="001E68F1"/>
    <w:rsid w:val="001E7FD6"/>
    <w:rsid w:val="001F1BC6"/>
    <w:rsid w:val="001F23B4"/>
    <w:rsid w:val="001F2423"/>
    <w:rsid w:val="001F2D46"/>
    <w:rsid w:val="001F35B9"/>
    <w:rsid w:val="001F409C"/>
    <w:rsid w:val="001F4E0A"/>
    <w:rsid w:val="001F5165"/>
    <w:rsid w:val="001F582C"/>
    <w:rsid w:val="001F5D6D"/>
    <w:rsid w:val="001F78FC"/>
    <w:rsid w:val="002017E2"/>
    <w:rsid w:val="00201FED"/>
    <w:rsid w:val="00203B70"/>
    <w:rsid w:val="002050C0"/>
    <w:rsid w:val="00210873"/>
    <w:rsid w:val="0021094E"/>
    <w:rsid w:val="00211161"/>
    <w:rsid w:val="00214317"/>
    <w:rsid w:val="002149F2"/>
    <w:rsid w:val="00215B7E"/>
    <w:rsid w:val="0021686B"/>
    <w:rsid w:val="00216E6A"/>
    <w:rsid w:val="00220A10"/>
    <w:rsid w:val="00222B96"/>
    <w:rsid w:val="002231AB"/>
    <w:rsid w:val="00223BE2"/>
    <w:rsid w:val="00223D47"/>
    <w:rsid w:val="00224CDE"/>
    <w:rsid w:val="002261CC"/>
    <w:rsid w:val="00226B1A"/>
    <w:rsid w:val="00227238"/>
    <w:rsid w:val="00227283"/>
    <w:rsid w:val="00230C52"/>
    <w:rsid w:val="00232301"/>
    <w:rsid w:val="00232976"/>
    <w:rsid w:val="00232A2D"/>
    <w:rsid w:val="00234A73"/>
    <w:rsid w:val="00236B9B"/>
    <w:rsid w:val="002371F5"/>
    <w:rsid w:val="002401B7"/>
    <w:rsid w:val="00242676"/>
    <w:rsid w:val="002438DB"/>
    <w:rsid w:val="0024416C"/>
    <w:rsid w:val="00244919"/>
    <w:rsid w:val="002460C4"/>
    <w:rsid w:val="0024771A"/>
    <w:rsid w:val="00250A90"/>
    <w:rsid w:val="002513D1"/>
    <w:rsid w:val="00253400"/>
    <w:rsid w:val="00254ACD"/>
    <w:rsid w:val="00254DDF"/>
    <w:rsid w:val="00255190"/>
    <w:rsid w:val="00255AE4"/>
    <w:rsid w:val="0025741D"/>
    <w:rsid w:val="0025776B"/>
    <w:rsid w:val="002577C7"/>
    <w:rsid w:val="00257CFD"/>
    <w:rsid w:val="002609CA"/>
    <w:rsid w:val="0026144F"/>
    <w:rsid w:val="002628C4"/>
    <w:rsid w:val="00263CD8"/>
    <w:rsid w:val="00264FCF"/>
    <w:rsid w:val="0026572D"/>
    <w:rsid w:val="00266789"/>
    <w:rsid w:val="00266E1D"/>
    <w:rsid w:val="00267D07"/>
    <w:rsid w:val="00270171"/>
    <w:rsid w:val="00270EA1"/>
    <w:rsid w:val="00271BCA"/>
    <w:rsid w:val="00271C5A"/>
    <w:rsid w:val="00272978"/>
    <w:rsid w:val="0027458F"/>
    <w:rsid w:val="0027527F"/>
    <w:rsid w:val="00275756"/>
    <w:rsid w:val="00277874"/>
    <w:rsid w:val="00280B7F"/>
    <w:rsid w:val="0028178A"/>
    <w:rsid w:val="002819AF"/>
    <w:rsid w:val="00281A9B"/>
    <w:rsid w:val="00282629"/>
    <w:rsid w:val="00282E6C"/>
    <w:rsid w:val="002830C3"/>
    <w:rsid w:val="002839DE"/>
    <w:rsid w:val="00283F54"/>
    <w:rsid w:val="00286089"/>
    <w:rsid w:val="002874AF"/>
    <w:rsid w:val="00287FD3"/>
    <w:rsid w:val="002919D5"/>
    <w:rsid w:val="002923F4"/>
    <w:rsid w:val="00293039"/>
    <w:rsid w:val="00294650"/>
    <w:rsid w:val="00295280"/>
    <w:rsid w:val="00295778"/>
    <w:rsid w:val="002962CC"/>
    <w:rsid w:val="00296A8E"/>
    <w:rsid w:val="002A0A88"/>
    <w:rsid w:val="002A1310"/>
    <w:rsid w:val="002A24B3"/>
    <w:rsid w:val="002A2BEB"/>
    <w:rsid w:val="002A509F"/>
    <w:rsid w:val="002A5B0D"/>
    <w:rsid w:val="002A6975"/>
    <w:rsid w:val="002A6FCA"/>
    <w:rsid w:val="002A759C"/>
    <w:rsid w:val="002A7891"/>
    <w:rsid w:val="002A7AF3"/>
    <w:rsid w:val="002B0330"/>
    <w:rsid w:val="002B12B8"/>
    <w:rsid w:val="002B1F06"/>
    <w:rsid w:val="002B2933"/>
    <w:rsid w:val="002B2FA8"/>
    <w:rsid w:val="002B30A8"/>
    <w:rsid w:val="002B3360"/>
    <w:rsid w:val="002B396D"/>
    <w:rsid w:val="002B533A"/>
    <w:rsid w:val="002B747A"/>
    <w:rsid w:val="002C1352"/>
    <w:rsid w:val="002C1EC6"/>
    <w:rsid w:val="002C4169"/>
    <w:rsid w:val="002C450E"/>
    <w:rsid w:val="002C568C"/>
    <w:rsid w:val="002C5A47"/>
    <w:rsid w:val="002C64EB"/>
    <w:rsid w:val="002C79D2"/>
    <w:rsid w:val="002D1CC0"/>
    <w:rsid w:val="002D2B27"/>
    <w:rsid w:val="002D4A62"/>
    <w:rsid w:val="002D4BA3"/>
    <w:rsid w:val="002D6984"/>
    <w:rsid w:val="002D6C40"/>
    <w:rsid w:val="002D7412"/>
    <w:rsid w:val="002D76D5"/>
    <w:rsid w:val="002D7741"/>
    <w:rsid w:val="002E1482"/>
    <w:rsid w:val="002E3588"/>
    <w:rsid w:val="002E3806"/>
    <w:rsid w:val="002E383F"/>
    <w:rsid w:val="002E5462"/>
    <w:rsid w:val="002E57DF"/>
    <w:rsid w:val="002E65A3"/>
    <w:rsid w:val="002E74F0"/>
    <w:rsid w:val="002E7856"/>
    <w:rsid w:val="002F068F"/>
    <w:rsid w:val="002F107D"/>
    <w:rsid w:val="002F29D7"/>
    <w:rsid w:val="002F3077"/>
    <w:rsid w:val="002F3B8F"/>
    <w:rsid w:val="002F5642"/>
    <w:rsid w:val="002F5EF3"/>
    <w:rsid w:val="00300568"/>
    <w:rsid w:val="00300F75"/>
    <w:rsid w:val="003010EB"/>
    <w:rsid w:val="003015C2"/>
    <w:rsid w:val="00302A74"/>
    <w:rsid w:val="00302C57"/>
    <w:rsid w:val="003039B4"/>
    <w:rsid w:val="00303C18"/>
    <w:rsid w:val="00304182"/>
    <w:rsid w:val="00304550"/>
    <w:rsid w:val="0030476B"/>
    <w:rsid w:val="0030541C"/>
    <w:rsid w:val="0030574A"/>
    <w:rsid w:val="00306149"/>
    <w:rsid w:val="00306F8D"/>
    <w:rsid w:val="00307E90"/>
    <w:rsid w:val="0031103E"/>
    <w:rsid w:val="00314FE8"/>
    <w:rsid w:val="00315243"/>
    <w:rsid w:val="00315EF4"/>
    <w:rsid w:val="00317165"/>
    <w:rsid w:val="00320778"/>
    <w:rsid w:val="00320D0F"/>
    <w:rsid w:val="003219B3"/>
    <w:rsid w:val="0032217B"/>
    <w:rsid w:val="00323F5D"/>
    <w:rsid w:val="003257F0"/>
    <w:rsid w:val="00325B66"/>
    <w:rsid w:val="003274B6"/>
    <w:rsid w:val="00327EBB"/>
    <w:rsid w:val="00330B7B"/>
    <w:rsid w:val="003320E4"/>
    <w:rsid w:val="00332AC6"/>
    <w:rsid w:val="00334414"/>
    <w:rsid w:val="0033495C"/>
    <w:rsid w:val="00334A5C"/>
    <w:rsid w:val="003363C8"/>
    <w:rsid w:val="00337F46"/>
    <w:rsid w:val="0034035F"/>
    <w:rsid w:val="0034440A"/>
    <w:rsid w:val="0034463B"/>
    <w:rsid w:val="0034495C"/>
    <w:rsid w:val="00344A1E"/>
    <w:rsid w:val="00345720"/>
    <w:rsid w:val="00346BFD"/>
    <w:rsid w:val="0034754C"/>
    <w:rsid w:val="0035076B"/>
    <w:rsid w:val="0035184D"/>
    <w:rsid w:val="003524A3"/>
    <w:rsid w:val="00353656"/>
    <w:rsid w:val="003537FF"/>
    <w:rsid w:val="003559EF"/>
    <w:rsid w:val="00357C95"/>
    <w:rsid w:val="0036000D"/>
    <w:rsid w:val="00360864"/>
    <w:rsid w:val="00363479"/>
    <w:rsid w:val="00363BC2"/>
    <w:rsid w:val="003655DA"/>
    <w:rsid w:val="00366D84"/>
    <w:rsid w:val="003670E3"/>
    <w:rsid w:val="00371069"/>
    <w:rsid w:val="00372228"/>
    <w:rsid w:val="0037343F"/>
    <w:rsid w:val="0037392C"/>
    <w:rsid w:val="00374CFF"/>
    <w:rsid w:val="00374E29"/>
    <w:rsid w:val="00375FBD"/>
    <w:rsid w:val="0037633B"/>
    <w:rsid w:val="00377161"/>
    <w:rsid w:val="00377670"/>
    <w:rsid w:val="003817F1"/>
    <w:rsid w:val="00382432"/>
    <w:rsid w:val="003834DB"/>
    <w:rsid w:val="00384B53"/>
    <w:rsid w:val="00387234"/>
    <w:rsid w:val="003905F9"/>
    <w:rsid w:val="003908C1"/>
    <w:rsid w:val="0039110C"/>
    <w:rsid w:val="00392221"/>
    <w:rsid w:val="00392386"/>
    <w:rsid w:val="00393E55"/>
    <w:rsid w:val="0039459E"/>
    <w:rsid w:val="00395377"/>
    <w:rsid w:val="00395F5B"/>
    <w:rsid w:val="00397E82"/>
    <w:rsid w:val="003A02F5"/>
    <w:rsid w:val="003A0986"/>
    <w:rsid w:val="003A1366"/>
    <w:rsid w:val="003A1EE8"/>
    <w:rsid w:val="003A22A1"/>
    <w:rsid w:val="003A2427"/>
    <w:rsid w:val="003A254C"/>
    <w:rsid w:val="003A2AB2"/>
    <w:rsid w:val="003A3A8C"/>
    <w:rsid w:val="003A3C71"/>
    <w:rsid w:val="003A4797"/>
    <w:rsid w:val="003A4E75"/>
    <w:rsid w:val="003A5148"/>
    <w:rsid w:val="003A5E38"/>
    <w:rsid w:val="003A67D3"/>
    <w:rsid w:val="003B09D3"/>
    <w:rsid w:val="003B2D3D"/>
    <w:rsid w:val="003B3B43"/>
    <w:rsid w:val="003B4067"/>
    <w:rsid w:val="003B41D8"/>
    <w:rsid w:val="003B6427"/>
    <w:rsid w:val="003B6741"/>
    <w:rsid w:val="003B6D4D"/>
    <w:rsid w:val="003C009C"/>
    <w:rsid w:val="003C0C83"/>
    <w:rsid w:val="003C1FCC"/>
    <w:rsid w:val="003C229E"/>
    <w:rsid w:val="003C29F9"/>
    <w:rsid w:val="003C7869"/>
    <w:rsid w:val="003D186F"/>
    <w:rsid w:val="003D3566"/>
    <w:rsid w:val="003D48E6"/>
    <w:rsid w:val="003D4FC0"/>
    <w:rsid w:val="003D5751"/>
    <w:rsid w:val="003D5A61"/>
    <w:rsid w:val="003D7094"/>
    <w:rsid w:val="003D7627"/>
    <w:rsid w:val="003E0863"/>
    <w:rsid w:val="003E1277"/>
    <w:rsid w:val="003E19AB"/>
    <w:rsid w:val="003E23C9"/>
    <w:rsid w:val="003E2DE8"/>
    <w:rsid w:val="003E4257"/>
    <w:rsid w:val="003E653B"/>
    <w:rsid w:val="003E66CB"/>
    <w:rsid w:val="003E6B28"/>
    <w:rsid w:val="003E6F3E"/>
    <w:rsid w:val="003E7B3F"/>
    <w:rsid w:val="003F0AB8"/>
    <w:rsid w:val="003F103C"/>
    <w:rsid w:val="003F2515"/>
    <w:rsid w:val="003F270D"/>
    <w:rsid w:val="003F27E3"/>
    <w:rsid w:val="003F439C"/>
    <w:rsid w:val="003F5452"/>
    <w:rsid w:val="003F75B8"/>
    <w:rsid w:val="003F7AC3"/>
    <w:rsid w:val="003F7F11"/>
    <w:rsid w:val="00400815"/>
    <w:rsid w:val="004015DB"/>
    <w:rsid w:val="00401747"/>
    <w:rsid w:val="00401B09"/>
    <w:rsid w:val="004024AF"/>
    <w:rsid w:val="00402716"/>
    <w:rsid w:val="00402961"/>
    <w:rsid w:val="004072D3"/>
    <w:rsid w:val="00407460"/>
    <w:rsid w:val="0040793F"/>
    <w:rsid w:val="00410C5E"/>
    <w:rsid w:val="00410F70"/>
    <w:rsid w:val="00412428"/>
    <w:rsid w:val="004124D4"/>
    <w:rsid w:val="00413C27"/>
    <w:rsid w:val="004175A7"/>
    <w:rsid w:val="0042011D"/>
    <w:rsid w:val="00422A72"/>
    <w:rsid w:val="00422C3E"/>
    <w:rsid w:val="00424213"/>
    <w:rsid w:val="0042464E"/>
    <w:rsid w:val="00424794"/>
    <w:rsid w:val="00426D2D"/>
    <w:rsid w:val="004303E2"/>
    <w:rsid w:val="004309D1"/>
    <w:rsid w:val="00430CF9"/>
    <w:rsid w:val="004312BC"/>
    <w:rsid w:val="00432EE3"/>
    <w:rsid w:val="00433852"/>
    <w:rsid w:val="0043492B"/>
    <w:rsid w:val="004372F1"/>
    <w:rsid w:val="0043776E"/>
    <w:rsid w:val="004377B1"/>
    <w:rsid w:val="00440F6A"/>
    <w:rsid w:val="004410D9"/>
    <w:rsid w:val="004423F9"/>
    <w:rsid w:val="00442573"/>
    <w:rsid w:val="004438EA"/>
    <w:rsid w:val="00443FE3"/>
    <w:rsid w:val="00444CA0"/>
    <w:rsid w:val="004454E6"/>
    <w:rsid w:val="004464DA"/>
    <w:rsid w:val="00446BBE"/>
    <w:rsid w:val="00450052"/>
    <w:rsid w:val="00450AC0"/>
    <w:rsid w:val="0045560E"/>
    <w:rsid w:val="00455C6B"/>
    <w:rsid w:val="00455ED4"/>
    <w:rsid w:val="00456276"/>
    <w:rsid w:val="004563F8"/>
    <w:rsid w:val="004568E7"/>
    <w:rsid w:val="004569CB"/>
    <w:rsid w:val="00456AC3"/>
    <w:rsid w:val="00456B8D"/>
    <w:rsid w:val="00456D01"/>
    <w:rsid w:val="00456E45"/>
    <w:rsid w:val="004570CC"/>
    <w:rsid w:val="004602BB"/>
    <w:rsid w:val="004603F0"/>
    <w:rsid w:val="0046062D"/>
    <w:rsid w:val="00460A69"/>
    <w:rsid w:val="00460CFA"/>
    <w:rsid w:val="00460F64"/>
    <w:rsid w:val="00461305"/>
    <w:rsid w:val="004649CA"/>
    <w:rsid w:val="004669BA"/>
    <w:rsid w:val="00466C15"/>
    <w:rsid w:val="00466D1A"/>
    <w:rsid w:val="00466E4D"/>
    <w:rsid w:val="00467679"/>
    <w:rsid w:val="00467794"/>
    <w:rsid w:val="00467C87"/>
    <w:rsid w:val="00467D27"/>
    <w:rsid w:val="00470841"/>
    <w:rsid w:val="004711D8"/>
    <w:rsid w:val="00471672"/>
    <w:rsid w:val="004721FF"/>
    <w:rsid w:val="00473320"/>
    <w:rsid w:val="00473EB0"/>
    <w:rsid w:val="00474B3A"/>
    <w:rsid w:val="004751AE"/>
    <w:rsid w:val="00476416"/>
    <w:rsid w:val="00480553"/>
    <w:rsid w:val="00481C7B"/>
    <w:rsid w:val="004827E5"/>
    <w:rsid w:val="00482EF5"/>
    <w:rsid w:val="00483B98"/>
    <w:rsid w:val="00484E59"/>
    <w:rsid w:val="00485160"/>
    <w:rsid w:val="0048554F"/>
    <w:rsid w:val="00485DF8"/>
    <w:rsid w:val="004874E1"/>
    <w:rsid w:val="00490F97"/>
    <w:rsid w:val="00491865"/>
    <w:rsid w:val="00493BCF"/>
    <w:rsid w:val="004A371C"/>
    <w:rsid w:val="004A56C4"/>
    <w:rsid w:val="004A5D57"/>
    <w:rsid w:val="004A6B35"/>
    <w:rsid w:val="004A70F4"/>
    <w:rsid w:val="004A7137"/>
    <w:rsid w:val="004A7321"/>
    <w:rsid w:val="004B09F8"/>
    <w:rsid w:val="004B0DF0"/>
    <w:rsid w:val="004B0FBD"/>
    <w:rsid w:val="004B1286"/>
    <w:rsid w:val="004B191D"/>
    <w:rsid w:val="004B231A"/>
    <w:rsid w:val="004B2677"/>
    <w:rsid w:val="004B29FB"/>
    <w:rsid w:val="004B31BC"/>
    <w:rsid w:val="004B3652"/>
    <w:rsid w:val="004B3921"/>
    <w:rsid w:val="004B51CA"/>
    <w:rsid w:val="004B5329"/>
    <w:rsid w:val="004B5CD5"/>
    <w:rsid w:val="004B70E1"/>
    <w:rsid w:val="004B76C2"/>
    <w:rsid w:val="004C1C90"/>
    <w:rsid w:val="004C1D11"/>
    <w:rsid w:val="004C29AB"/>
    <w:rsid w:val="004C3203"/>
    <w:rsid w:val="004C372C"/>
    <w:rsid w:val="004C4E35"/>
    <w:rsid w:val="004C5161"/>
    <w:rsid w:val="004C52FD"/>
    <w:rsid w:val="004C592B"/>
    <w:rsid w:val="004C6261"/>
    <w:rsid w:val="004D01BB"/>
    <w:rsid w:val="004D0C67"/>
    <w:rsid w:val="004D13AA"/>
    <w:rsid w:val="004D13CA"/>
    <w:rsid w:val="004D2B3D"/>
    <w:rsid w:val="004D5705"/>
    <w:rsid w:val="004D5FF8"/>
    <w:rsid w:val="004D607D"/>
    <w:rsid w:val="004D6CC6"/>
    <w:rsid w:val="004D6FF4"/>
    <w:rsid w:val="004E1A14"/>
    <w:rsid w:val="004E209D"/>
    <w:rsid w:val="004E2B85"/>
    <w:rsid w:val="004E3AD3"/>
    <w:rsid w:val="004E525A"/>
    <w:rsid w:val="004E5B99"/>
    <w:rsid w:val="004E6E4E"/>
    <w:rsid w:val="004E7303"/>
    <w:rsid w:val="004E749D"/>
    <w:rsid w:val="004F06E2"/>
    <w:rsid w:val="004F1136"/>
    <w:rsid w:val="004F13CC"/>
    <w:rsid w:val="004F2607"/>
    <w:rsid w:val="004F353C"/>
    <w:rsid w:val="004F41B8"/>
    <w:rsid w:val="004F4248"/>
    <w:rsid w:val="004F4DC8"/>
    <w:rsid w:val="004F558F"/>
    <w:rsid w:val="004F6858"/>
    <w:rsid w:val="004F6A38"/>
    <w:rsid w:val="004F71F5"/>
    <w:rsid w:val="00500C8E"/>
    <w:rsid w:val="00501AA3"/>
    <w:rsid w:val="00501F71"/>
    <w:rsid w:val="005041BF"/>
    <w:rsid w:val="00504A43"/>
    <w:rsid w:val="00504CD8"/>
    <w:rsid w:val="00504FAC"/>
    <w:rsid w:val="00505B05"/>
    <w:rsid w:val="005070C4"/>
    <w:rsid w:val="00511016"/>
    <w:rsid w:val="00511F82"/>
    <w:rsid w:val="0051304A"/>
    <w:rsid w:val="00513B09"/>
    <w:rsid w:val="00513E85"/>
    <w:rsid w:val="00514A0D"/>
    <w:rsid w:val="0051500B"/>
    <w:rsid w:val="00515C14"/>
    <w:rsid w:val="00515FC4"/>
    <w:rsid w:val="00516C29"/>
    <w:rsid w:val="00516F2A"/>
    <w:rsid w:val="0051764A"/>
    <w:rsid w:val="005210DF"/>
    <w:rsid w:val="00521C41"/>
    <w:rsid w:val="00522EA2"/>
    <w:rsid w:val="005230A6"/>
    <w:rsid w:val="005233E0"/>
    <w:rsid w:val="0052486D"/>
    <w:rsid w:val="00526055"/>
    <w:rsid w:val="005268AA"/>
    <w:rsid w:val="00526D46"/>
    <w:rsid w:val="005273AA"/>
    <w:rsid w:val="00527CFA"/>
    <w:rsid w:val="00531C05"/>
    <w:rsid w:val="00531C5C"/>
    <w:rsid w:val="00532C17"/>
    <w:rsid w:val="00534624"/>
    <w:rsid w:val="00536724"/>
    <w:rsid w:val="00536CCE"/>
    <w:rsid w:val="00537686"/>
    <w:rsid w:val="0053797E"/>
    <w:rsid w:val="005414FA"/>
    <w:rsid w:val="00542090"/>
    <w:rsid w:val="005427A5"/>
    <w:rsid w:val="005438E1"/>
    <w:rsid w:val="00543B1A"/>
    <w:rsid w:val="00543B79"/>
    <w:rsid w:val="00543D67"/>
    <w:rsid w:val="00545BC9"/>
    <w:rsid w:val="00546659"/>
    <w:rsid w:val="00547D7A"/>
    <w:rsid w:val="00547ED1"/>
    <w:rsid w:val="0055192F"/>
    <w:rsid w:val="00551EFA"/>
    <w:rsid w:val="00553D08"/>
    <w:rsid w:val="00554136"/>
    <w:rsid w:val="005554F0"/>
    <w:rsid w:val="00555F99"/>
    <w:rsid w:val="005560E3"/>
    <w:rsid w:val="00557728"/>
    <w:rsid w:val="005620F3"/>
    <w:rsid w:val="0056344B"/>
    <w:rsid w:val="0056416A"/>
    <w:rsid w:val="0056430F"/>
    <w:rsid w:val="005647EA"/>
    <w:rsid w:val="005658BA"/>
    <w:rsid w:val="0056683E"/>
    <w:rsid w:val="005676B3"/>
    <w:rsid w:val="00567E33"/>
    <w:rsid w:val="00570856"/>
    <w:rsid w:val="00571841"/>
    <w:rsid w:val="00571D7A"/>
    <w:rsid w:val="0057245D"/>
    <w:rsid w:val="0057250D"/>
    <w:rsid w:val="00573DD6"/>
    <w:rsid w:val="00574102"/>
    <w:rsid w:val="00574BAD"/>
    <w:rsid w:val="00575640"/>
    <w:rsid w:val="00576B6D"/>
    <w:rsid w:val="00576B7C"/>
    <w:rsid w:val="005779DB"/>
    <w:rsid w:val="00580534"/>
    <w:rsid w:val="005805EB"/>
    <w:rsid w:val="0058074F"/>
    <w:rsid w:val="005810BA"/>
    <w:rsid w:val="00581C3F"/>
    <w:rsid w:val="00583674"/>
    <w:rsid w:val="00583AA5"/>
    <w:rsid w:val="00583B06"/>
    <w:rsid w:val="005847AC"/>
    <w:rsid w:val="00585032"/>
    <w:rsid w:val="00586238"/>
    <w:rsid w:val="0058655E"/>
    <w:rsid w:val="005865DA"/>
    <w:rsid w:val="0058663A"/>
    <w:rsid w:val="00586669"/>
    <w:rsid w:val="00587DAF"/>
    <w:rsid w:val="00590C6C"/>
    <w:rsid w:val="00592820"/>
    <w:rsid w:val="00593B89"/>
    <w:rsid w:val="00594A20"/>
    <w:rsid w:val="005958B0"/>
    <w:rsid w:val="005961EB"/>
    <w:rsid w:val="00596317"/>
    <w:rsid w:val="00596F7F"/>
    <w:rsid w:val="005A04F4"/>
    <w:rsid w:val="005A0E28"/>
    <w:rsid w:val="005A105C"/>
    <w:rsid w:val="005A138F"/>
    <w:rsid w:val="005A1849"/>
    <w:rsid w:val="005A1B53"/>
    <w:rsid w:val="005A1E8C"/>
    <w:rsid w:val="005A36FE"/>
    <w:rsid w:val="005A3CE2"/>
    <w:rsid w:val="005A43AA"/>
    <w:rsid w:val="005A44F7"/>
    <w:rsid w:val="005A4787"/>
    <w:rsid w:val="005A51F4"/>
    <w:rsid w:val="005A525D"/>
    <w:rsid w:val="005A5DE7"/>
    <w:rsid w:val="005A6093"/>
    <w:rsid w:val="005A67C4"/>
    <w:rsid w:val="005A74D7"/>
    <w:rsid w:val="005B0CC8"/>
    <w:rsid w:val="005B3543"/>
    <w:rsid w:val="005B390C"/>
    <w:rsid w:val="005B7F46"/>
    <w:rsid w:val="005C0CB4"/>
    <w:rsid w:val="005C226A"/>
    <w:rsid w:val="005C2869"/>
    <w:rsid w:val="005C2C5C"/>
    <w:rsid w:val="005C2C98"/>
    <w:rsid w:val="005C3336"/>
    <w:rsid w:val="005C350E"/>
    <w:rsid w:val="005C4B3B"/>
    <w:rsid w:val="005C518D"/>
    <w:rsid w:val="005D035B"/>
    <w:rsid w:val="005D1142"/>
    <w:rsid w:val="005D254F"/>
    <w:rsid w:val="005D402E"/>
    <w:rsid w:val="005D45DB"/>
    <w:rsid w:val="005D6117"/>
    <w:rsid w:val="005D64A0"/>
    <w:rsid w:val="005D695D"/>
    <w:rsid w:val="005D697D"/>
    <w:rsid w:val="005D6B96"/>
    <w:rsid w:val="005E07C9"/>
    <w:rsid w:val="005E1621"/>
    <w:rsid w:val="005E31E7"/>
    <w:rsid w:val="005E3407"/>
    <w:rsid w:val="005E4DF2"/>
    <w:rsid w:val="005E5A21"/>
    <w:rsid w:val="005E5C25"/>
    <w:rsid w:val="005E63E9"/>
    <w:rsid w:val="005F0460"/>
    <w:rsid w:val="005F103E"/>
    <w:rsid w:val="005F13BF"/>
    <w:rsid w:val="005F15A2"/>
    <w:rsid w:val="005F3470"/>
    <w:rsid w:val="005F49EB"/>
    <w:rsid w:val="005F5A70"/>
    <w:rsid w:val="005F7331"/>
    <w:rsid w:val="0060020A"/>
    <w:rsid w:val="006003A1"/>
    <w:rsid w:val="0060279F"/>
    <w:rsid w:val="006027F9"/>
    <w:rsid w:val="006038AD"/>
    <w:rsid w:val="00603954"/>
    <w:rsid w:val="00604795"/>
    <w:rsid w:val="00604935"/>
    <w:rsid w:val="00606CF2"/>
    <w:rsid w:val="00607A63"/>
    <w:rsid w:val="006102FD"/>
    <w:rsid w:val="00610611"/>
    <w:rsid w:val="00610CDC"/>
    <w:rsid w:val="00610F2B"/>
    <w:rsid w:val="00611A5B"/>
    <w:rsid w:val="00612E1B"/>
    <w:rsid w:val="00615C54"/>
    <w:rsid w:val="0061669F"/>
    <w:rsid w:val="006168DA"/>
    <w:rsid w:val="00616C89"/>
    <w:rsid w:val="00617718"/>
    <w:rsid w:val="00620913"/>
    <w:rsid w:val="0062183F"/>
    <w:rsid w:val="00623585"/>
    <w:rsid w:val="00623DD2"/>
    <w:rsid w:val="00624613"/>
    <w:rsid w:val="006260AF"/>
    <w:rsid w:val="00630B8B"/>
    <w:rsid w:val="00631708"/>
    <w:rsid w:val="00632056"/>
    <w:rsid w:val="006321A1"/>
    <w:rsid w:val="00632C07"/>
    <w:rsid w:val="00633DB4"/>
    <w:rsid w:val="00634052"/>
    <w:rsid w:val="0063412D"/>
    <w:rsid w:val="00634358"/>
    <w:rsid w:val="0063479C"/>
    <w:rsid w:val="00635AB8"/>
    <w:rsid w:val="00636B0C"/>
    <w:rsid w:val="00641067"/>
    <w:rsid w:val="0064176C"/>
    <w:rsid w:val="00641823"/>
    <w:rsid w:val="00642A25"/>
    <w:rsid w:val="00642C45"/>
    <w:rsid w:val="00642F53"/>
    <w:rsid w:val="006455F0"/>
    <w:rsid w:val="006460AC"/>
    <w:rsid w:val="00647A07"/>
    <w:rsid w:val="00647CF1"/>
    <w:rsid w:val="006505E6"/>
    <w:rsid w:val="00650782"/>
    <w:rsid w:val="00651515"/>
    <w:rsid w:val="00654778"/>
    <w:rsid w:val="006556EF"/>
    <w:rsid w:val="006567CE"/>
    <w:rsid w:val="00656EEE"/>
    <w:rsid w:val="00657934"/>
    <w:rsid w:val="00660FE6"/>
    <w:rsid w:val="00661155"/>
    <w:rsid w:val="00661B9B"/>
    <w:rsid w:val="00662A54"/>
    <w:rsid w:val="0066348E"/>
    <w:rsid w:val="00663505"/>
    <w:rsid w:val="0066457F"/>
    <w:rsid w:val="00666FA9"/>
    <w:rsid w:val="006671C2"/>
    <w:rsid w:val="00670AA3"/>
    <w:rsid w:val="006711E7"/>
    <w:rsid w:val="00672BED"/>
    <w:rsid w:val="00672E45"/>
    <w:rsid w:val="00673361"/>
    <w:rsid w:val="00674D39"/>
    <w:rsid w:val="00675583"/>
    <w:rsid w:val="006755D2"/>
    <w:rsid w:val="00675B81"/>
    <w:rsid w:val="00676794"/>
    <w:rsid w:val="00676A1A"/>
    <w:rsid w:val="00677070"/>
    <w:rsid w:val="00681A29"/>
    <w:rsid w:val="00681D7C"/>
    <w:rsid w:val="00681E1F"/>
    <w:rsid w:val="00681FE4"/>
    <w:rsid w:val="006830EA"/>
    <w:rsid w:val="00686524"/>
    <w:rsid w:val="006869AB"/>
    <w:rsid w:val="00687DCE"/>
    <w:rsid w:val="006904AB"/>
    <w:rsid w:val="00690D1F"/>
    <w:rsid w:val="006913A1"/>
    <w:rsid w:val="006918A7"/>
    <w:rsid w:val="0069255D"/>
    <w:rsid w:val="006929F6"/>
    <w:rsid w:val="00695B9A"/>
    <w:rsid w:val="006962E2"/>
    <w:rsid w:val="006A1CD3"/>
    <w:rsid w:val="006A2637"/>
    <w:rsid w:val="006A5B57"/>
    <w:rsid w:val="006A6222"/>
    <w:rsid w:val="006A65E7"/>
    <w:rsid w:val="006A7ED9"/>
    <w:rsid w:val="006A7F06"/>
    <w:rsid w:val="006B00A4"/>
    <w:rsid w:val="006B0AAC"/>
    <w:rsid w:val="006B0E1B"/>
    <w:rsid w:val="006B15DB"/>
    <w:rsid w:val="006B42AA"/>
    <w:rsid w:val="006B49AB"/>
    <w:rsid w:val="006B4CBC"/>
    <w:rsid w:val="006C341D"/>
    <w:rsid w:val="006C4098"/>
    <w:rsid w:val="006C6253"/>
    <w:rsid w:val="006C63A1"/>
    <w:rsid w:val="006C6823"/>
    <w:rsid w:val="006C6DA5"/>
    <w:rsid w:val="006C6EC9"/>
    <w:rsid w:val="006D071E"/>
    <w:rsid w:val="006D1009"/>
    <w:rsid w:val="006D13C9"/>
    <w:rsid w:val="006D2449"/>
    <w:rsid w:val="006D258B"/>
    <w:rsid w:val="006D3EA8"/>
    <w:rsid w:val="006D5C3C"/>
    <w:rsid w:val="006D60A2"/>
    <w:rsid w:val="006D6680"/>
    <w:rsid w:val="006D6D5D"/>
    <w:rsid w:val="006D77CC"/>
    <w:rsid w:val="006E08E1"/>
    <w:rsid w:val="006E0D3E"/>
    <w:rsid w:val="006E1881"/>
    <w:rsid w:val="006E45C4"/>
    <w:rsid w:val="006E474C"/>
    <w:rsid w:val="006E5489"/>
    <w:rsid w:val="006E6D24"/>
    <w:rsid w:val="006E707F"/>
    <w:rsid w:val="006E746B"/>
    <w:rsid w:val="006F0304"/>
    <w:rsid w:val="006F07BF"/>
    <w:rsid w:val="006F170B"/>
    <w:rsid w:val="006F19AA"/>
    <w:rsid w:val="006F274F"/>
    <w:rsid w:val="006F30D1"/>
    <w:rsid w:val="006F4B22"/>
    <w:rsid w:val="006F67B7"/>
    <w:rsid w:val="006F7907"/>
    <w:rsid w:val="006F7E82"/>
    <w:rsid w:val="00701051"/>
    <w:rsid w:val="00701319"/>
    <w:rsid w:val="00701633"/>
    <w:rsid w:val="00702C28"/>
    <w:rsid w:val="00703916"/>
    <w:rsid w:val="00703DAF"/>
    <w:rsid w:val="00703E67"/>
    <w:rsid w:val="00705A41"/>
    <w:rsid w:val="00706FCB"/>
    <w:rsid w:val="007071FD"/>
    <w:rsid w:val="00707F79"/>
    <w:rsid w:val="0071061D"/>
    <w:rsid w:val="007117E9"/>
    <w:rsid w:val="00714112"/>
    <w:rsid w:val="007164D2"/>
    <w:rsid w:val="00716B7A"/>
    <w:rsid w:val="00716DED"/>
    <w:rsid w:val="00717B8A"/>
    <w:rsid w:val="007210ED"/>
    <w:rsid w:val="007241FC"/>
    <w:rsid w:val="0072427F"/>
    <w:rsid w:val="00724C30"/>
    <w:rsid w:val="007269A0"/>
    <w:rsid w:val="00726BCE"/>
    <w:rsid w:val="00726C41"/>
    <w:rsid w:val="00727186"/>
    <w:rsid w:val="00727F09"/>
    <w:rsid w:val="00730222"/>
    <w:rsid w:val="007310D2"/>
    <w:rsid w:val="007317E3"/>
    <w:rsid w:val="0073230C"/>
    <w:rsid w:val="00733C35"/>
    <w:rsid w:val="00734935"/>
    <w:rsid w:val="00734B5C"/>
    <w:rsid w:val="00734C01"/>
    <w:rsid w:val="00735420"/>
    <w:rsid w:val="00735D76"/>
    <w:rsid w:val="00740118"/>
    <w:rsid w:val="0074085F"/>
    <w:rsid w:val="00742A6C"/>
    <w:rsid w:val="007432AD"/>
    <w:rsid w:val="007439BF"/>
    <w:rsid w:val="007442F9"/>
    <w:rsid w:val="007453C3"/>
    <w:rsid w:val="007477F9"/>
    <w:rsid w:val="007507AC"/>
    <w:rsid w:val="00752052"/>
    <w:rsid w:val="00752326"/>
    <w:rsid w:val="00752B22"/>
    <w:rsid w:val="00754492"/>
    <w:rsid w:val="00754623"/>
    <w:rsid w:val="0075466E"/>
    <w:rsid w:val="00756C54"/>
    <w:rsid w:val="00757BD9"/>
    <w:rsid w:val="00757C08"/>
    <w:rsid w:val="00760342"/>
    <w:rsid w:val="00760E9E"/>
    <w:rsid w:val="00763217"/>
    <w:rsid w:val="00764270"/>
    <w:rsid w:val="00764785"/>
    <w:rsid w:val="00765876"/>
    <w:rsid w:val="00765945"/>
    <w:rsid w:val="00766D22"/>
    <w:rsid w:val="00766E8A"/>
    <w:rsid w:val="007673A5"/>
    <w:rsid w:val="007673DA"/>
    <w:rsid w:val="00767546"/>
    <w:rsid w:val="00770FEF"/>
    <w:rsid w:val="00771DCD"/>
    <w:rsid w:val="00772241"/>
    <w:rsid w:val="00773ACF"/>
    <w:rsid w:val="00776BC9"/>
    <w:rsid w:val="00777DED"/>
    <w:rsid w:val="00780186"/>
    <w:rsid w:val="007805B9"/>
    <w:rsid w:val="00783170"/>
    <w:rsid w:val="00784C39"/>
    <w:rsid w:val="00784D8F"/>
    <w:rsid w:val="007850F3"/>
    <w:rsid w:val="007851C5"/>
    <w:rsid w:val="0078555E"/>
    <w:rsid w:val="00785AE8"/>
    <w:rsid w:val="007861B3"/>
    <w:rsid w:val="007862A1"/>
    <w:rsid w:val="007863B5"/>
    <w:rsid w:val="00786C9A"/>
    <w:rsid w:val="0079098A"/>
    <w:rsid w:val="007925E5"/>
    <w:rsid w:val="0079302A"/>
    <w:rsid w:val="00794018"/>
    <w:rsid w:val="00794F3A"/>
    <w:rsid w:val="0079780B"/>
    <w:rsid w:val="00797B97"/>
    <w:rsid w:val="007A0675"/>
    <w:rsid w:val="007A1191"/>
    <w:rsid w:val="007A1246"/>
    <w:rsid w:val="007A15CE"/>
    <w:rsid w:val="007A1ABD"/>
    <w:rsid w:val="007A319A"/>
    <w:rsid w:val="007A3E15"/>
    <w:rsid w:val="007A4077"/>
    <w:rsid w:val="007A45D5"/>
    <w:rsid w:val="007A5A08"/>
    <w:rsid w:val="007A5FD9"/>
    <w:rsid w:val="007A6888"/>
    <w:rsid w:val="007B08FF"/>
    <w:rsid w:val="007B093D"/>
    <w:rsid w:val="007B199F"/>
    <w:rsid w:val="007B1EAA"/>
    <w:rsid w:val="007B3C50"/>
    <w:rsid w:val="007C17A1"/>
    <w:rsid w:val="007C22EA"/>
    <w:rsid w:val="007C2F60"/>
    <w:rsid w:val="007C3E60"/>
    <w:rsid w:val="007C43B2"/>
    <w:rsid w:val="007C4B54"/>
    <w:rsid w:val="007C51B7"/>
    <w:rsid w:val="007C58D3"/>
    <w:rsid w:val="007C6631"/>
    <w:rsid w:val="007C7E30"/>
    <w:rsid w:val="007D2001"/>
    <w:rsid w:val="007D3144"/>
    <w:rsid w:val="007D3488"/>
    <w:rsid w:val="007D405C"/>
    <w:rsid w:val="007D487D"/>
    <w:rsid w:val="007D51DB"/>
    <w:rsid w:val="007D6531"/>
    <w:rsid w:val="007D6780"/>
    <w:rsid w:val="007D6C3A"/>
    <w:rsid w:val="007D7239"/>
    <w:rsid w:val="007D7BB6"/>
    <w:rsid w:val="007E283E"/>
    <w:rsid w:val="007E34B4"/>
    <w:rsid w:val="007E4A11"/>
    <w:rsid w:val="007E509A"/>
    <w:rsid w:val="007E5674"/>
    <w:rsid w:val="007E5759"/>
    <w:rsid w:val="007E68EE"/>
    <w:rsid w:val="007E6FEC"/>
    <w:rsid w:val="007E7E81"/>
    <w:rsid w:val="007F0FD6"/>
    <w:rsid w:val="007F2F0A"/>
    <w:rsid w:val="007F38C6"/>
    <w:rsid w:val="007F3A71"/>
    <w:rsid w:val="007F3D91"/>
    <w:rsid w:val="007F3F18"/>
    <w:rsid w:val="007F46A8"/>
    <w:rsid w:val="007F486E"/>
    <w:rsid w:val="007F52CA"/>
    <w:rsid w:val="007F5BD3"/>
    <w:rsid w:val="007F61F4"/>
    <w:rsid w:val="007F749E"/>
    <w:rsid w:val="008003CA"/>
    <w:rsid w:val="00801128"/>
    <w:rsid w:val="00803AA7"/>
    <w:rsid w:val="00803EFA"/>
    <w:rsid w:val="00805388"/>
    <w:rsid w:val="008063E3"/>
    <w:rsid w:val="0080692B"/>
    <w:rsid w:val="008077C9"/>
    <w:rsid w:val="00810780"/>
    <w:rsid w:val="00811210"/>
    <w:rsid w:val="00811371"/>
    <w:rsid w:val="008117B5"/>
    <w:rsid w:val="008119C8"/>
    <w:rsid w:val="00812C68"/>
    <w:rsid w:val="00812CE0"/>
    <w:rsid w:val="00813454"/>
    <w:rsid w:val="00814849"/>
    <w:rsid w:val="00814D06"/>
    <w:rsid w:val="00815CAE"/>
    <w:rsid w:val="00816A4E"/>
    <w:rsid w:val="008172BA"/>
    <w:rsid w:val="00821022"/>
    <w:rsid w:val="0082121A"/>
    <w:rsid w:val="008216AC"/>
    <w:rsid w:val="0082218D"/>
    <w:rsid w:val="008234AE"/>
    <w:rsid w:val="008235BB"/>
    <w:rsid w:val="00823628"/>
    <w:rsid w:val="00823D85"/>
    <w:rsid w:val="00824115"/>
    <w:rsid w:val="008241E1"/>
    <w:rsid w:val="0082441B"/>
    <w:rsid w:val="00824500"/>
    <w:rsid w:val="008247F9"/>
    <w:rsid w:val="00824B97"/>
    <w:rsid w:val="00824E4D"/>
    <w:rsid w:val="00825F63"/>
    <w:rsid w:val="00826050"/>
    <w:rsid w:val="008269BA"/>
    <w:rsid w:val="008271F7"/>
    <w:rsid w:val="00827339"/>
    <w:rsid w:val="00827BFB"/>
    <w:rsid w:val="0083014D"/>
    <w:rsid w:val="00830B85"/>
    <w:rsid w:val="00831F21"/>
    <w:rsid w:val="00833024"/>
    <w:rsid w:val="008332E0"/>
    <w:rsid w:val="00834338"/>
    <w:rsid w:val="00834490"/>
    <w:rsid w:val="00837CDE"/>
    <w:rsid w:val="008401DB"/>
    <w:rsid w:val="00840F26"/>
    <w:rsid w:val="00841814"/>
    <w:rsid w:val="00842E63"/>
    <w:rsid w:val="00843710"/>
    <w:rsid w:val="0084600A"/>
    <w:rsid w:val="008469C2"/>
    <w:rsid w:val="0084747F"/>
    <w:rsid w:val="00847B1B"/>
    <w:rsid w:val="008507E4"/>
    <w:rsid w:val="00850884"/>
    <w:rsid w:val="00850F20"/>
    <w:rsid w:val="008545E5"/>
    <w:rsid w:val="008547C7"/>
    <w:rsid w:val="008561D1"/>
    <w:rsid w:val="00856F0E"/>
    <w:rsid w:val="008570DE"/>
    <w:rsid w:val="0085747A"/>
    <w:rsid w:val="008575A0"/>
    <w:rsid w:val="0086125A"/>
    <w:rsid w:val="008616E1"/>
    <w:rsid w:val="00862023"/>
    <w:rsid w:val="0086390C"/>
    <w:rsid w:val="00863E02"/>
    <w:rsid w:val="008641F8"/>
    <w:rsid w:val="0086499D"/>
    <w:rsid w:val="00865B82"/>
    <w:rsid w:val="00866C7C"/>
    <w:rsid w:val="0086729E"/>
    <w:rsid w:val="00871599"/>
    <w:rsid w:val="00871613"/>
    <w:rsid w:val="008721E2"/>
    <w:rsid w:val="00872D32"/>
    <w:rsid w:val="00873178"/>
    <w:rsid w:val="0087357E"/>
    <w:rsid w:val="00873B2A"/>
    <w:rsid w:val="00874B76"/>
    <w:rsid w:val="00875935"/>
    <w:rsid w:val="00875E4D"/>
    <w:rsid w:val="00880EF7"/>
    <w:rsid w:val="00881014"/>
    <w:rsid w:val="00882983"/>
    <w:rsid w:val="008835C5"/>
    <w:rsid w:val="00883BE3"/>
    <w:rsid w:val="00883CB2"/>
    <w:rsid w:val="00883E72"/>
    <w:rsid w:val="008843E7"/>
    <w:rsid w:val="00884990"/>
    <w:rsid w:val="00884CC0"/>
    <w:rsid w:val="00886217"/>
    <w:rsid w:val="00886604"/>
    <w:rsid w:val="0088674C"/>
    <w:rsid w:val="0088687A"/>
    <w:rsid w:val="00887396"/>
    <w:rsid w:val="0088753C"/>
    <w:rsid w:val="00887804"/>
    <w:rsid w:val="00887B43"/>
    <w:rsid w:val="00887F18"/>
    <w:rsid w:val="00887F88"/>
    <w:rsid w:val="008908DE"/>
    <w:rsid w:val="00893BC9"/>
    <w:rsid w:val="00896DFA"/>
    <w:rsid w:val="008970B8"/>
    <w:rsid w:val="00897557"/>
    <w:rsid w:val="00897691"/>
    <w:rsid w:val="00897D69"/>
    <w:rsid w:val="008A0072"/>
    <w:rsid w:val="008A114A"/>
    <w:rsid w:val="008A12C3"/>
    <w:rsid w:val="008A190D"/>
    <w:rsid w:val="008A1D7A"/>
    <w:rsid w:val="008A1EF5"/>
    <w:rsid w:val="008A1F8B"/>
    <w:rsid w:val="008A21E7"/>
    <w:rsid w:val="008A2796"/>
    <w:rsid w:val="008A2C35"/>
    <w:rsid w:val="008A3382"/>
    <w:rsid w:val="008A4B9F"/>
    <w:rsid w:val="008A4F90"/>
    <w:rsid w:val="008A5F15"/>
    <w:rsid w:val="008A6638"/>
    <w:rsid w:val="008A7D05"/>
    <w:rsid w:val="008B10C3"/>
    <w:rsid w:val="008B16BB"/>
    <w:rsid w:val="008B2786"/>
    <w:rsid w:val="008B50D8"/>
    <w:rsid w:val="008B52EC"/>
    <w:rsid w:val="008B655E"/>
    <w:rsid w:val="008B6C02"/>
    <w:rsid w:val="008B735A"/>
    <w:rsid w:val="008C00CA"/>
    <w:rsid w:val="008C127A"/>
    <w:rsid w:val="008C14F2"/>
    <w:rsid w:val="008C217E"/>
    <w:rsid w:val="008C29F2"/>
    <w:rsid w:val="008C48C1"/>
    <w:rsid w:val="008C582E"/>
    <w:rsid w:val="008C6A54"/>
    <w:rsid w:val="008C771B"/>
    <w:rsid w:val="008D0426"/>
    <w:rsid w:val="008D11E9"/>
    <w:rsid w:val="008D24B1"/>
    <w:rsid w:val="008D2CA3"/>
    <w:rsid w:val="008D2E72"/>
    <w:rsid w:val="008D3823"/>
    <w:rsid w:val="008D39C1"/>
    <w:rsid w:val="008D3E9B"/>
    <w:rsid w:val="008D41CD"/>
    <w:rsid w:val="008D41FC"/>
    <w:rsid w:val="008D42DD"/>
    <w:rsid w:val="008D4CFB"/>
    <w:rsid w:val="008D4F49"/>
    <w:rsid w:val="008D597E"/>
    <w:rsid w:val="008D5D41"/>
    <w:rsid w:val="008D67E7"/>
    <w:rsid w:val="008D7B01"/>
    <w:rsid w:val="008D7F0B"/>
    <w:rsid w:val="008E0EB7"/>
    <w:rsid w:val="008E125E"/>
    <w:rsid w:val="008E222E"/>
    <w:rsid w:val="008E2477"/>
    <w:rsid w:val="008E262F"/>
    <w:rsid w:val="008E274C"/>
    <w:rsid w:val="008E2A8B"/>
    <w:rsid w:val="008E2B49"/>
    <w:rsid w:val="008E395D"/>
    <w:rsid w:val="008E6A9C"/>
    <w:rsid w:val="008E72DC"/>
    <w:rsid w:val="008F022D"/>
    <w:rsid w:val="008F11A0"/>
    <w:rsid w:val="008F1AE2"/>
    <w:rsid w:val="008F2579"/>
    <w:rsid w:val="008F27AB"/>
    <w:rsid w:val="008F39E8"/>
    <w:rsid w:val="008F486C"/>
    <w:rsid w:val="008F4A46"/>
    <w:rsid w:val="008F61D9"/>
    <w:rsid w:val="008F6DE7"/>
    <w:rsid w:val="008F738A"/>
    <w:rsid w:val="0090053E"/>
    <w:rsid w:val="00900758"/>
    <w:rsid w:val="00900BAF"/>
    <w:rsid w:val="00901380"/>
    <w:rsid w:val="00901CF1"/>
    <w:rsid w:val="00902191"/>
    <w:rsid w:val="00902CD1"/>
    <w:rsid w:val="0090402C"/>
    <w:rsid w:val="00904716"/>
    <w:rsid w:val="00904895"/>
    <w:rsid w:val="00904E24"/>
    <w:rsid w:val="0090548F"/>
    <w:rsid w:val="0090600B"/>
    <w:rsid w:val="0090602C"/>
    <w:rsid w:val="0090657F"/>
    <w:rsid w:val="00911405"/>
    <w:rsid w:val="009123DF"/>
    <w:rsid w:val="009126FE"/>
    <w:rsid w:val="00912D15"/>
    <w:rsid w:val="00915DC4"/>
    <w:rsid w:val="0091681F"/>
    <w:rsid w:val="00917384"/>
    <w:rsid w:val="009202A2"/>
    <w:rsid w:val="0092058E"/>
    <w:rsid w:val="00921A3D"/>
    <w:rsid w:val="00922CC1"/>
    <w:rsid w:val="00923360"/>
    <w:rsid w:val="00923B0F"/>
    <w:rsid w:val="009242FC"/>
    <w:rsid w:val="00924B45"/>
    <w:rsid w:val="00924F97"/>
    <w:rsid w:val="009253F2"/>
    <w:rsid w:val="0092588E"/>
    <w:rsid w:val="00925BEE"/>
    <w:rsid w:val="009270B3"/>
    <w:rsid w:val="00927172"/>
    <w:rsid w:val="0093009F"/>
    <w:rsid w:val="009300C2"/>
    <w:rsid w:val="00930C87"/>
    <w:rsid w:val="00930CAF"/>
    <w:rsid w:val="00931EDD"/>
    <w:rsid w:val="00932F46"/>
    <w:rsid w:val="00933DD6"/>
    <w:rsid w:val="00934A5A"/>
    <w:rsid w:val="00934B73"/>
    <w:rsid w:val="00935937"/>
    <w:rsid w:val="00937C65"/>
    <w:rsid w:val="009405F6"/>
    <w:rsid w:val="00941A62"/>
    <w:rsid w:val="00941AC4"/>
    <w:rsid w:val="00941EB8"/>
    <w:rsid w:val="00942B51"/>
    <w:rsid w:val="00943728"/>
    <w:rsid w:val="009440AF"/>
    <w:rsid w:val="0094544D"/>
    <w:rsid w:val="009454DE"/>
    <w:rsid w:val="00945ACD"/>
    <w:rsid w:val="00945E98"/>
    <w:rsid w:val="00946DCE"/>
    <w:rsid w:val="009472B1"/>
    <w:rsid w:val="00952A3B"/>
    <w:rsid w:val="00952DAE"/>
    <w:rsid w:val="009542E5"/>
    <w:rsid w:val="00954E06"/>
    <w:rsid w:val="00954F92"/>
    <w:rsid w:val="0095529F"/>
    <w:rsid w:val="00955E16"/>
    <w:rsid w:val="0095623D"/>
    <w:rsid w:val="0095671F"/>
    <w:rsid w:val="009576F5"/>
    <w:rsid w:val="009600D2"/>
    <w:rsid w:val="0096090B"/>
    <w:rsid w:val="00960D80"/>
    <w:rsid w:val="0096170E"/>
    <w:rsid w:val="00961A7E"/>
    <w:rsid w:val="00962B38"/>
    <w:rsid w:val="00962D73"/>
    <w:rsid w:val="00963606"/>
    <w:rsid w:val="00963A6D"/>
    <w:rsid w:val="00963D8E"/>
    <w:rsid w:val="00963F54"/>
    <w:rsid w:val="00964C48"/>
    <w:rsid w:val="009660B0"/>
    <w:rsid w:val="00967610"/>
    <w:rsid w:val="00967BBC"/>
    <w:rsid w:val="009705FB"/>
    <w:rsid w:val="00970E4C"/>
    <w:rsid w:val="00972090"/>
    <w:rsid w:val="0097337F"/>
    <w:rsid w:val="00973A0F"/>
    <w:rsid w:val="00973E6B"/>
    <w:rsid w:val="00974ED0"/>
    <w:rsid w:val="009762A9"/>
    <w:rsid w:val="009765B6"/>
    <w:rsid w:val="00976F56"/>
    <w:rsid w:val="00977A04"/>
    <w:rsid w:val="00980695"/>
    <w:rsid w:val="009814D3"/>
    <w:rsid w:val="00981A73"/>
    <w:rsid w:val="009829B1"/>
    <w:rsid w:val="00982F03"/>
    <w:rsid w:val="009834F8"/>
    <w:rsid w:val="009846EA"/>
    <w:rsid w:val="00990B21"/>
    <w:rsid w:val="009915CE"/>
    <w:rsid w:val="0099163E"/>
    <w:rsid w:val="0099450D"/>
    <w:rsid w:val="0099455C"/>
    <w:rsid w:val="00994731"/>
    <w:rsid w:val="00994780"/>
    <w:rsid w:val="009962BB"/>
    <w:rsid w:val="00997FBD"/>
    <w:rsid w:val="009A0A1A"/>
    <w:rsid w:val="009A0ACF"/>
    <w:rsid w:val="009A0DD7"/>
    <w:rsid w:val="009A10C8"/>
    <w:rsid w:val="009A111C"/>
    <w:rsid w:val="009A2EA9"/>
    <w:rsid w:val="009A2F3C"/>
    <w:rsid w:val="009A38D6"/>
    <w:rsid w:val="009A48FE"/>
    <w:rsid w:val="009A541A"/>
    <w:rsid w:val="009A764F"/>
    <w:rsid w:val="009B052A"/>
    <w:rsid w:val="009B0B88"/>
    <w:rsid w:val="009B17DB"/>
    <w:rsid w:val="009B18CF"/>
    <w:rsid w:val="009B4B15"/>
    <w:rsid w:val="009B5A82"/>
    <w:rsid w:val="009B61E8"/>
    <w:rsid w:val="009C0EDF"/>
    <w:rsid w:val="009C5109"/>
    <w:rsid w:val="009C5216"/>
    <w:rsid w:val="009D0458"/>
    <w:rsid w:val="009D071A"/>
    <w:rsid w:val="009D0BB9"/>
    <w:rsid w:val="009D2F9B"/>
    <w:rsid w:val="009D4300"/>
    <w:rsid w:val="009D479F"/>
    <w:rsid w:val="009D4C9F"/>
    <w:rsid w:val="009D4F94"/>
    <w:rsid w:val="009D505D"/>
    <w:rsid w:val="009D54C8"/>
    <w:rsid w:val="009D5625"/>
    <w:rsid w:val="009D5AA3"/>
    <w:rsid w:val="009D6A37"/>
    <w:rsid w:val="009E049F"/>
    <w:rsid w:val="009E0802"/>
    <w:rsid w:val="009E0AE8"/>
    <w:rsid w:val="009E1170"/>
    <w:rsid w:val="009E2A97"/>
    <w:rsid w:val="009E2E1A"/>
    <w:rsid w:val="009E3393"/>
    <w:rsid w:val="009E45AF"/>
    <w:rsid w:val="009E6629"/>
    <w:rsid w:val="009E74D9"/>
    <w:rsid w:val="009E7744"/>
    <w:rsid w:val="009F0651"/>
    <w:rsid w:val="009F15E2"/>
    <w:rsid w:val="009F2F3D"/>
    <w:rsid w:val="009F2FED"/>
    <w:rsid w:val="009F37CA"/>
    <w:rsid w:val="009F3CB5"/>
    <w:rsid w:val="009F44D5"/>
    <w:rsid w:val="009F5CA5"/>
    <w:rsid w:val="009F5E42"/>
    <w:rsid w:val="009F79BF"/>
    <w:rsid w:val="009F7D7A"/>
    <w:rsid w:val="00A00BE1"/>
    <w:rsid w:val="00A00CBF"/>
    <w:rsid w:val="00A01F11"/>
    <w:rsid w:val="00A023F5"/>
    <w:rsid w:val="00A035E4"/>
    <w:rsid w:val="00A03C31"/>
    <w:rsid w:val="00A0415B"/>
    <w:rsid w:val="00A0431D"/>
    <w:rsid w:val="00A05B06"/>
    <w:rsid w:val="00A0688E"/>
    <w:rsid w:val="00A103D9"/>
    <w:rsid w:val="00A11099"/>
    <w:rsid w:val="00A11659"/>
    <w:rsid w:val="00A11785"/>
    <w:rsid w:val="00A12FE0"/>
    <w:rsid w:val="00A132C7"/>
    <w:rsid w:val="00A13B07"/>
    <w:rsid w:val="00A1532B"/>
    <w:rsid w:val="00A15992"/>
    <w:rsid w:val="00A15D95"/>
    <w:rsid w:val="00A16062"/>
    <w:rsid w:val="00A20895"/>
    <w:rsid w:val="00A20A73"/>
    <w:rsid w:val="00A22343"/>
    <w:rsid w:val="00A2299E"/>
    <w:rsid w:val="00A24C8C"/>
    <w:rsid w:val="00A24FB1"/>
    <w:rsid w:val="00A25EB2"/>
    <w:rsid w:val="00A2657F"/>
    <w:rsid w:val="00A27670"/>
    <w:rsid w:val="00A30A34"/>
    <w:rsid w:val="00A30FD0"/>
    <w:rsid w:val="00A325E2"/>
    <w:rsid w:val="00A33767"/>
    <w:rsid w:val="00A33D59"/>
    <w:rsid w:val="00A3402C"/>
    <w:rsid w:val="00A34241"/>
    <w:rsid w:val="00A346A8"/>
    <w:rsid w:val="00A34EFD"/>
    <w:rsid w:val="00A35985"/>
    <w:rsid w:val="00A36681"/>
    <w:rsid w:val="00A3735E"/>
    <w:rsid w:val="00A406C7"/>
    <w:rsid w:val="00A41114"/>
    <w:rsid w:val="00A41A26"/>
    <w:rsid w:val="00A42145"/>
    <w:rsid w:val="00A4242C"/>
    <w:rsid w:val="00A4313B"/>
    <w:rsid w:val="00A43391"/>
    <w:rsid w:val="00A43FEF"/>
    <w:rsid w:val="00A460D1"/>
    <w:rsid w:val="00A5085C"/>
    <w:rsid w:val="00A50B2C"/>
    <w:rsid w:val="00A50D12"/>
    <w:rsid w:val="00A50E49"/>
    <w:rsid w:val="00A510AA"/>
    <w:rsid w:val="00A51C72"/>
    <w:rsid w:val="00A52741"/>
    <w:rsid w:val="00A53FFE"/>
    <w:rsid w:val="00A55329"/>
    <w:rsid w:val="00A55A43"/>
    <w:rsid w:val="00A56772"/>
    <w:rsid w:val="00A60563"/>
    <w:rsid w:val="00A61624"/>
    <w:rsid w:val="00A61B4C"/>
    <w:rsid w:val="00A63659"/>
    <w:rsid w:val="00A641D4"/>
    <w:rsid w:val="00A64BC3"/>
    <w:rsid w:val="00A65A36"/>
    <w:rsid w:val="00A678B9"/>
    <w:rsid w:val="00A679F0"/>
    <w:rsid w:val="00A67BF5"/>
    <w:rsid w:val="00A71516"/>
    <w:rsid w:val="00A71860"/>
    <w:rsid w:val="00A71B3F"/>
    <w:rsid w:val="00A73510"/>
    <w:rsid w:val="00A754FE"/>
    <w:rsid w:val="00A7583F"/>
    <w:rsid w:val="00A76AFF"/>
    <w:rsid w:val="00A76F8F"/>
    <w:rsid w:val="00A81B3B"/>
    <w:rsid w:val="00A82C3C"/>
    <w:rsid w:val="00A82C95"/>
    <w:rsid w:val="00A83E51"/>
    <w:rsid w:val="00A85704"/>
    <w:rsid w:val="00A8578E"/>
    <w:rsid w:val="00A86595"/>
    <w:rsid w:val="00A87004"/>
    <w:rsid w:val="00A878D2"/>
    <w:rsid w:val="00A90609"/>
    <w:rsid w:val="00A90931"/>
    <w:rsid w:val="00A90941"/>
    <w:rsid w:val="00A91AEB"/>
    <w:rsid w:val="00A92515"/>
    <w:rsid w:val="00A92D1B"/>
    <w:rsid w:val="00A93163"/>
    <w:rsid w:val="00A93A43"/>
    <w:rsid w:val="00A940DA"/>
    <w:rsid w:val="00A94D5B"/>
    <w:rsid w:val="00A95FE3"/>
    <w:rsid w:val="00A9702B"/>
    <w:rsid w:val="00A9778D"/>
    <w:rsid w:val="00A97EA8"/>
    <w:rsid w:val="00AA003B"/>
    <w:rsid w:val="00AA0188"/>
    <w:rsid w:val="00AA0C1A"/>
    <w:rsid w:val="00AA29AC"/>
    <w:rsid w:val="00AA381B"/>
    <w:rsid w:val="00AA3A3D"/>
    <w:rsid w:val="00AA3E4C"/>
    <w:rsid w:val="00AA42B6"/>
    <w:rsid w:val="00AA53D0"/>
    <w:rsid w:val="00AA5887"/>
    <w:rsid w:val="00AA60EC"/>
    <w:rsid w:val="00AA7CA3"/>
    <w:rsid w:val="00AB3F93"/>
    <w:rsid w:val="00AB4064"/>
    <w:rsid w:val="00AB5BF7"/>
    <w:rsid w:val="00AB5C76"/>
    <w:rsid w:val="00AB7AF2"/>
    <w:rsid w:val="00AC12A1"/>
    <w:rsid w:val="00AC258E"/>
    <w:rsid w:val="00AC4BEC"/>
    <w:rsid w:val="00AC537B"/>
    <w:rsid w:val="00AC5CA5"/>
    <w:rsid w:val="00AC6319"/>
    <w:rsid w:val="00AC6DE2"/>
    <w:rsid w:val="00AC6EE4"/>
    <w:rsid w:val="00AC71C4"/>
    <w:rsid w:val="00AD0160"/>
    <w:rsid w:val="00AD149C"/>
    <w:rsid w:val="00AD1CE5"/>
    <w:rsid w:val="00AD1D85"/>
    <w:rsid w:val="00AD253A"/>
    <w:rsid w:val="00AD30FE"/>
    <w:rsid w:val="00AD432F"/>
    <w:rsid w:val="00AD45D9"/>
    <w:rsid w:val="00AD45DA"/>
    <w:rsid w:val="00AD4BD6"/>
    <w:rsid w:val="00AD4C10"/>
    <w:rsid w:val="00AD4E3A"/>
    <w:rsid w:val="00AD6C9A"/>
    <w:rsid w:val="00AD73F0"/>
    <w:rsid w:val="00AE0FC9"/>
    <w:rsid w:val="00AE1C52"/>
    <w:rsid w:val="00AE23D5"/>
    <w:rsid w:val="00AE2D9D"/>
    <w:rsid w:val="00AE3FBB"/>
    <w:rsid w:val="00AE5112"/>
    <w:rsid w:val="00AE5CEB"/>
    <w:rsid w:val="00AE626E"/>
    <w:rsid w:val="00AE65CA"/>
    <w:rsid w:val="00AE7E4F"/>
    <w:rsid w:val="00AF1EFF"/>
    <w:rsid w:val="00AF2272"/>
    <w:rsid w:val="00AF2688"/>
    <w:rsid w:val="00AF32E7"/>
    <w:rsid w:val="00AF3559"/>
    <w:rsid w:val="00AF3745"/>
    <w:rsid w:val="00AF4A4B"/>
    <w:rsid w:val="00AF4D33"/>
    <w:rsid w:val="00AF70E0"/>
    <w:rsid w:val="00B0134B"/>
    <w:rsid w:val="00B01657"/>
    <w:rsid w:val="00B02AB2"/>
    <w:rsid w:val="00B03574"/>
    <w:rsid w:val="00B0440F"/>
    <w:rsid w:val="00B0442F"/>
    <w:rsid w:val="00B04638"/>
    <w:rsid w:val="00B05720"/>
    <w:rsid w:val="00B057C1"/>
    <w:rsid w:val="00B060BF"/>
    <w:rsid w:val="00B06B4D"/>
    <w:rsid w:val="00B07F8E"/>
    <w:rsid w:val="00B104B1"/>
    <w:rsid w:val="00B116B5"/>
    <w:rsid w:val="00B129D2"/>
    <w:rsid w:val="00B12EE7"/>
    <w:rsid w:val="00B13D8B"/>
    <w:rsid w:val="00B15ECD"/>
    <w:rsid w:val="00B17B0B"/>
    <w:rsid w:val="00B207F3"/>
    <w:rsid w:val="00B21A94"/>
    <w:rsid w:val="00B25BE3"/>
    <w:rsid w:val="00B270EA"/>
    <w:rsid w:val="00B2713A"/>
    <w:rsid w:val="00B27F3D"/>
    <w:rsid w:val="00B30496"/>
    <w:rsid w:val="00B3143D"/>
    <w:rsid w:val="00B3188A"/>
    <w:rsid w:val="00B31962"/>
    <w:rsid w:val="00B31CDF"/>
    <w:rsid w:val="00B329DB"/>
    <w:rsid w:val="00B33B47"/>
    <w:rsid w:val="00B34CB4"/>
    <w:rsid w:val="00B35A54"/>
    <w:rsid w:val="00B35EE9"/>
    <w:rsid w:val="00B36D42"/>
    <w:rsid w:val="00B37969"/>
    <w:rsid w:val="00B37DC7"/>
    <w:rsid w:val="00B41915"/>
    <w:rsid w:val="00B421F2"/>
    <w:rsid w:val="00B423B8"/>
    <w:rsid w:val="00B42E63"/>
    <w:rsid w:val="00B43406"/>
    <w:rsid w:val="00B455FA"/>
    <w:rsid w:val="00B45E05"/>
    <w:rsid w:val="00B45F39"/>
    <w:rsid w:val="00B46664"/>
    <w:rsid w:val="00B5066A"/>
    <w:rsid w:val="00B50798"/>
    <w:rsid w:val="00B53B42"/>
    <w:rsid w:val="00B54508"/>
    <w:rsid w:val="00B561F7"/>
    <w:rsid w:val="00B57BBC"/>
    <w:rsid w:val="00B57F4A"/>
    <w:rsid w:val="00B6336D"/>
    <w:rsid w:val="00B63561"/>
    <w:rsid w:val="00B64A84"/>
    <w:rsid w:val="00B65E4D"/>
    <w:rsid w:val="00B66280"/>
    <w:rsid w:val="00B66F9D"/>
    <w:rsid w:val="00B70F62"/>
    <w:rsid w:val="00B721D1"/>
    <w:rsid w:val="00B732CD"/>
    <w:rsid w:val="00B73652"/>
    <w:rsid w:val="00B7376E"/>
    <w:rsid w:val="00B73ABE"/>
    <w:rsid w:val="00B77195"/>
    <w:rsid w:val="00B81671"/>
    <w:rsid w:val="00B81A4F"/>
    <w:rsid w:val="00B82030"/>
    <w:rsid w:val="00B82244"/>
    <w:rsid w:val="00B8226C"/>
    <w:rsid w:val="00B82F76"/>
    <w:rsid w:val="00B85356"/>
    <w:rsid w:val="00B858BF"/>
    <w:rsid w:val="00B86089"/>
    <w:rsid w:val="00B874AD"/>
    <w:rsid w:val="00B87991"/>
    <w:rsid w:val="00B918B2"/>
    <w:rsid w:val="00B9385E"/>
    <w:rsid w:val="00B942F2"/>
    <w:rsid w:val="00B94C2B"/>
    <w:rsid w:val="00B95E61"/>
    <w:rsid w:val="00B9664E"/>
    <w:rsid w:val="00B96BFF"/>
    <w:rsid w:val="00B96C37"/>
    <w:rsid w:val="00B97500"/>
    <w:rsid w:val="00B97739"/>
    <w:rsid w:val="00B97DB1"/>
    <w:rsid w:val="00BA1890"/>
    <w:rsid w:val="00BA1CF3"/>
    <w:rsid w:val="00BA2146"/>
    <w:rsid w:val="00BA3BFE"/>
    <w:rsid w:val="00BA511D"/>
    <w:rsid w:val="00BA5CF4"/>
    <w:rsid w:val="00BA5F86"/>
    <w:rsid w:val="00BA690A"/>
    <w:rsid w:val="00BA6A0F"/>
    <w:rsid w:val="00BB05B1"/>
    <w:rsid w:val="00BB0EEC"/>
    <w:rsid w:val="00BB1263"/>
    <w:rsid w:val="00BB20EF"/>
    <w:rsid w:val="00BB2F3B"/>
    <w:rsid w:val="00BB317C"/>
    <w:rsid w:val="00BB4205"/>
    <w:rsid w:val="00BB467E"/>
    <w:rsid w:val="00BB603F"/>
    <w:rsid w:val="00BB604E"/>
    <w:rsid w:val="00BB7178"/>
    <w:rsid w:val="00BB7514"/>
    <w:rsid w:val="00BB77D1"/>
    <w:rsid w:val="00BC0EDF"/>
    <w:rsid w:val="00BC34AC"/>
    <w:rsid w:val="00BC3D0B"/>
    <w:rsid w:val="00BC58F9"/>
    <w:rsid w:val="00BC6394"/>
    <w:rsid w:val="00BC65F9"/>
    <w:rsid w:val="00BC6822"/>
    <w:rsid w:val="00BD0EA1"/>
    <w:rsid w:val="00BD1770"/>
    <w:rsid w:val="00BD2582"/>
    <w:rsid w:val="00BD43F6"/>
    <w:rsid w:val="00BD54BE"/>
    <w:rsid w:val="00BD5685"/>
    <w:rsid w:val="00BD6EF2"/>
    <w:rsid w:val="00BD75BE"/>
    <w:rsid w:val="00BD7E52"/>
    <w:rsid w:val="00BE0130"/>
    <w:rsid w:val="00BE056F"/>
    <w:rsid w:val="00BE0A50"/>
    <w:rsid w:val="00BE1147"/>
    <w:rsid w:val="00BE150A"/>
    <w:rsid w:val="00BE23C5"/>
    <w:rsid w:val="00BE31CA"/>
    <w:rsid w:val="00BE38FC"/>
    <w:rsid w:val="00BE48EA"/>
    <w:rsid w:val="00BE54A5"/>
    <w:rsid w:val="00BF0094"/>
    <w:rsid w:val="00BF01E2"/>
    <w:rsid w:val="00BF0A6B"/>
    <w:rsid w:val="00BF0FFE"/>
    <w:rsid w:val="00BF1A24"/>
    <w:rsid w:val="00BF1B40"/>
    <w:rsid w:val="00BF38C2"/>
    <w:rsid w:val="00BF5691"/>
    <w:rsid w:val="00BF67E8"/>
    <w:rsid w:val="00BF6F22"/>
    <w:rsid w:val="00BF6F73"/>
    <w:rsid w:val="00C00914"/>
    <w:rsid w:val="00C010EF"/>
    <w:rsid w:val="00C01229"/>
    <w:rsid w:val="00C01ED6"/>
    <w:rsid w:val="00C02BF9"/>
    <w:rsid w:val="00C05751"/>
    <w:rsid w:val="00C05E9A"/>
    <w:rsid w:val="00C10701"/>
    <w:rsid w:val="00C12FB4"/>
    <w:rsid w:val="00C13713"/>
    <w:rsid w:val="00C13FF7"/>
    <w:rsid w:val="00C149D3"/>
    <w:rsid w:val="00C14A2F"/>
    <w:rsid w:val="00C169DA"/>
    <w:rsid w:val="00C16A3B"/>
    <w:rsid w:val="00C16FC7"/>
    <w:rsid w:val="00C17138"/>
    <w:rsid w:val="00C20B0B"/>
    <w:rsid w:val="00C210BD"/>
    <w:rsid w:val="00C21A7F"/>
    <w:rsid w:val="00C22225"/>
    <w:rsid w:val="00C225B4"/>
    <w:rsid w:val="00C22F63"/>
    <w:rsid w:val="00C239E5"/>
    <w:rsid w:val="00C23D3D"/>
    <w:rsid w:val="00C242FF"/>
    <w:rsid w:val="00C25224"/>
    <w:rsid w:val="00C3103E"/>
    <w:rsid w:val="00C32C81"/>
    <w:rsid w:val="00C33A44"/>
    <w:rsid w:val="00C34287"/>
    <w:rsid w:val="00C344A4"/>
    <w:rsid w:val="00C345FB"/>
    <w:rsid w:val="00C356ED"/>
    <w:rsid w:val="00C35CC5"/>
    <w:rsid w:val="00C37676"/>
    <w:rsid w:val="00C43621"/>
    <w:rsid w:val="00C43E1B"/>
    <w:rsid w:val="00C45852"/>
    <w:rsid w:val="00C45F0F"/>
    <w:rsid w:val="00C46851"/>
    <w:rsid w:val="00C46DD6"/>
    <w:rsid w:val="00C47D9C"/>
    <w:rsid w:val="00C5003E"/>
    <w:rsid w:val="00C5053C"/>
    <w:rsid w:val="00C50691"/>
    <w:rsid w:val="00C50D77"/>
    <w:rsid w:val="00C5108E"/>
    <w:rsid w:val="00C51398"/>
    <w:rsid w:val="00C51432"/>
    <w:rsid w:val="00C54ACC"/>
    <w:rsid w:val="00C5514A"/>
    <w:rsid w:val="00C559A7"/>
    <w:rsid w:val="00C56257"/>
    <w:rsid w:val="00C56B76"/>
    <w:rsid w:val="00C56D3B"/>
    <w:rsid w:val="00C57804"/>
    <w:rsid w:val="00C639CB"/>
    <w:rsid w:val="00C63A5F"/>
    <w:rsid w:val="00C6468B"/>
    <w:rsid w:val="00C650F0"/>
    <w:rsid w:val="00C65260"/>
    <w:rsid w:val="00C663A0"/>
    <w:rsid w:val="00C70649"/>
    <w:rsid w:val="00C7082C"/>
    <w:rsid w:val="00C7147D"/>
    <w:rsid w:val="00C71FC1"/>
    <w:rsid w:val="00C7200C"/>
    <w:rsid w:val="00C742D5"/>
    <w:rsid w:val="00C75684"/>
    <w:rsid w:val="00C7783A"/>
    <w:rsid w:val="00C80373"/>
    <w:rsid w:val="00C80891"/>
    <w:rsid w:val="00C81B6F"/>
    <w:rsid w:val="00C822C5"/>
    <w:rsid w:val="00C82AF1"/>
    <w:rsid w:val="00C84037"/>
    <w:rsid w:val="00C84306"/>
    <w:rsid w:val="00C843E4"/>
    <w:rsid w:val="00C84499"/>
    <w:rsid w:val="00C84C4F"/>
    <w:rsid w:val="00C85794"/>
    <w:rsid w:val="00C90068"/>
    <w:rsid w:val="00C90D27"/>
    <w:rsid w:val="00C91A1A"/>
    <w:rsid w:val="00C91C2E"/>
    <w:rsid w:val="00C92228"/>
    <w:rsid w:val="00C9250E"/>
    <w:rsid w:val="00C92C35"/>
    <w:rsid w:val="00C93291"/>
    <w:rsid w:val="00C93AA2"/>
    <w:rsid w:val="00C96563"/>
    <w:rsid w:val="00C979AC"/>
    <w:rsid w:val="00CA02C0"/>
    <w:rsid w:val="00CA195A"/>
    <w:rsid w:val="00CA4117"/>
    <w:rsid w:val="00CA4862"/>
    <w:rsid w:val="00CA4BEC"/>
    <w:rsid w:val="00CA68EC"/>
    <w:rsid w:val="00CB0DEB"/>
    <w:rsid w:val="00CB1BAE"/>
    <w:rsid w:val="00CB3C2C"/>
    <w:rsid w:val="00CB4DA4"/>
    <w:rsid w:val="00CB5C9F"/>
    <w:rsid w:val="00CB5E1A"/>
    <w:rsid w:val="00CB7598"/>
    <w:rsid w:val="00CC0655"/>
    <w:rsid w:val="00CC0DE2"/>
    <w:rsid w:val="00CC2406"/>
    <w:rsid w:val="00CC27AD"/>
    <w:rsid w:val="00CC2965"/>
    <w:rsid w:val="00CC3AED"/>
    <w:rsid w:val="00CD054C"/>
    <w:rsid w:val="00CD0D42"/>
    <w:rsid w:val="00CD37EE"/>
    <w:rsid w:val="00CD3DFF"/>
    <w:rsid w:val="00CD774F"/>
    <w:rsid w:val="00CD786A"/>
    <w:rsid w:val="00CE097C"/>
    <w:rsid w:val="00CE09BF"/>
    <w:rsid w:val="00CE2A17"/>
    <w:rsid w:val="00CE2A1C"/>
    <w:rsid w:val="00CE343D"/>
    <w:rsid w:val="00CE34FF"/>
    <w:rsid w:val="00CE4212"/>
    <w:rsid w:val="00CE422F"/>
    <w:rsid w:val="00CE485D"/>
    <w:rsid w:val="00CE4940"/>
    <w:rsid w:val="00CE4DBF"/>
    <w:rsid w:val="00CE569A"/>
    <w:rsid w:val="00CE6D41"/>
    <w:rsid w:val="00CF0D87"/>
    <w:rsid w:val="00CF1461"/>
    <w:rsid w:val="00CF17FF"/>
    <w:rsid w:val="00CF1F0F"/>
    <w:rsid w:val="00CF28AD"/>
    <w:rsid w:val="00CF3729"/>
    <w:rsid w:val="00CF3B04"/>
    <w:rsid w:val="00CF59B7"/>
    <w:rsid w:val="00CF5B53"/>
    <w:rsid w:val="00CF5D95"/>
    <w:rsid w:val="00CF7E32"/>
    <w:rsid w:val="00D0033F"/>
    <w:rsid w:val="00D01F22"/>
    <w:rsid w:val="00D0227D"/>
    <w:rsid w:val="00D042C1"/>
    <w:rsid w:val="00D055DE"/>
    <w:rsid w:val="00D05E42"/>
    <w:rsid w:val="00D110F7"/>
    <w:rsid w:val="00D118D3"/>
    <w:rsid w:val="00D12FD0"/>
    <w:rsid w:val="00D13483"/>
    <w:rsid w:val="00D137AB"/>
    <w:rsid w:val="00D1381E"/>
    <w:rsid w:val="00D13DC9"/>
    <w:rsid w:val="00D142F1"/>
    <w:rsid w:val="00D14783"/>
    <w:rsid w:val="00D14F28"/>
    <w:rsid w:val="00D14F3E"/>
    <w:rsid w:val="00D176FF"/>
    <w:rsid w:val="00D17D52"/>
    <w:rsid w:val="00D20226"/>
    <w:rsid w:val="00D20849"/>
    <w:rsid w:val="00D20B35"/>
    <w:rsid w:val="00D20F5B"/>
    <w:rsid w:val="00D21667"/>
    <w:rsid w:val="00D2209A"/>
    <w:rsid w:val="00D25A67"/>
    <w:rsid w:val="00D25DAB"/>
    <w:rsid w:val="00D26594"/>
    <w:rsid w:val="00D30F3E"/>
    <w:rsid w:val="00D3222A"/>
    <w:rsid w:val="00D32A47"/>
    <w:rsid w:val="00D3366F"/>
    <w:rsid w:val="00D33A87"/>
    <w:rsid w:val="00D35086"/>
    <w:rsid w:val="00D368BF"/>
    <w:rsid w:val="00D36CB5"/>
    <w:rsid w:val="00D36D1B"/>
    <w:rsid w:val="00D40D8F"/>
    <w:rsid w:val="00D41431"/>
    <w:rsid w:val="00D429D3"/>
    <w:rsid w:val="00D437E6"/>
    <w:rsid w:val="00D44ED2"/>
    <w:rsid w:val="00D45140"/>
    <w:rsid w:val="00D45BAC"/>
    <w:rsid w:val="00D4622E"/>
    <w:rsid w:val="00D46603"/>
    <w:rsid w:val="00D46EC2"/>
    <w:rsid w:val="00D470C4"/>
    <w:rsid w:val="00D47944"/>
    <w:rsid w:val="00D51A4A"/>
    <w:rsid w:val="00D52337"/>
    <w:rsid w:val="00D55AC7"/>
    <w:rsid w:val="00D569DE"/>
    <w:rsid w:val="00D56D4A"/>
    <w:rsid w:val="00D56DA1"/>
    <w:rsid w:val="00D614B9"/>
    <w:rsid w:val="00D64001"/>
    <w:rsid w:val="00D65285"/>
    <w:rsid w:val="00D663DF"/>
    <w:rsid w:val="00D668F7"/>
    <w:rsid w:val="00D672C0"/>
    <w:rsid w:val="00D67964"/>
    <w:rsid w:val="00D72FE9"/>
    <w:rsid w:val="00D73014"/>
    <w:rsid w:val="00D73EF6"/>
    <w:rsid w:val="00D75C58"/>
    <w:rsid w:val="00D76ED3"/>
    <w:rsid w:val="00D76EE7"/>
    <w:rsid w:val="00D76F86"/>
    <w:rsid w:val="00D7744D"/>
    <w:rsid w:val="00D80309"/>
    <w:rsid w:val="00D81D8D"/>
    <w:rsid w:val="00D82ED4"/>
    <w:rsid w:val="00D8336E"/>
    <w:rsid w:val="00D837C9"/>
    <w:rsid w:val="00D83A04"/>
    <w:rsid w:val="00D847B3"/>
    <w:rsid w:val="00D853C6"/>
    <w:rsid w:val="00D86395"/>
    <w:rsid w:val="00D8644D"/>
    <w:rsid w:val="00D8676B"/>
    <w:rsid w:val="00D90BBF"/>
    <w:rsid w:val="00D93E73"/>
    <w:rsid w:val="00D9432E"/>
    <w:rsid w:val="00D95216"/>
    <w:rsid w:val="00D957BD"/>
    <w:rsid w:val="00D95883"/>
    <w:rsid w:val="00D95A53"/>
    <w:rsid w:val="00D975BD"/>
    <w:rsid w:val="00DA0884"/>
    <w:rsid w:val="00DA2546"/>
    <w:rsid w:val="00DA2776"/>
    <w:rsid w:val="00DA3265"/>
    <w:rsid w:val="00DA4080"/>
    <w:rsid w:val="00DA6019"/>
    <w:rsid w:val="00DA6E62"/>
    <w:rsid w:val="00DB01EF"/>
    <w:rsid w:val="00DB1DF5"/>
    <w:rsid w:val="00DB2D72"/>
    <w:rsid w:val="00DB35BE"/>
    <w:rsid w:val="00DB373F"/>
    <w:rsid w:val="00DB384B"/>
    <w:rsid w:val="00DB3B85"/>
    <w:rsid w:val="00DB68DE"/>
    <w:rsid w:val="00DB6913"/>
    <w:rsid w:val="00DB6AAA"/>
    <w:rsid w:val="00DC05ED"/>
    <w:rsid w:val="00DC1C49"/>
    <w:rsid w:val="00DC20A8"/>
    <w:rsid w:val="00DC260F"/>
    <w:rsid w:val="00DC2AE4"/>
    <w:rsid w:val="00DC4204"/>
    <w:rsid w:val="00DC47D8"/>
    <w:rsid w:val="00DC4D23"/>
    <w:rsid w:val="00DC5144"/>
    <w:rsid w:val="00DC6937"/>
    <w:rsid w:val="00DC6FB7"/>
    <w:rsid w:val="00DC7314"/>
    <w:rsid w:val="00DC7881"/>
    <w:rsid w:val="00DC7C22"/>
    <w:rsid w:val="00DD038F"/>
    <w:rsid w:val="00DD0A38"/>
    <w:rsid w:val="00DD0AA7"/>
    <w:rsid w:val="00DD0E3C"/>
    <w:rsid w:val="00DD0F81"/>
    <w:rsid w:val="00DD3F6F"/>
    <w:rsid w:val="00DD51ED"/>
    <w:rsid w:val="00DD5BCE"/>
    <w:rsid w:val="00DD61B2"/>
    <w:rsid w:val="00DD69E3"/>
    <w:rsid w:val="00DE009C"/>
    <w:rsid w:val="00DE0867"/>
    <w:rsid w:val="00DE0AAE"/>
    <w:rsid w:val="00DE1095"/>
    <w:rsid w:val="00DE1736"/>
    <w:rsid w:val="00DE2329"/>
    <w:rsid w:val="00DE487E"/>
    <w:rsid w:val="00DE5820"/>
    <w:rsid w:val="00DE5C84"/>
    <w:rsid w:val="00DE696D"/>
    <w:rsid w:val="00DE7B2D"/>
    <w:rsid w:val="00DF0680"/>
    <w:rsid w:val="00DF0E56"/>
    <w:rsid w:val="00DF32B1"/>
    <w:rsid w:val="00DF38F7"/>
    <w:rsid w:val="00DF38FD"/>
    <w:rsid w:val="00DF3965"/>
    <w:rsid w:val="00DF3D2D"/>
    <w:rsid w:val="00DF3E71"/>
    <w:rsid w:val="00DF71F5"/>
    <w:rsid w:val="00DF7E30"/>
    <w:rsid w:val="00E021E0"/>
    <w:rsid w:val="00E02727"/>
    <w:rsid w:val="00E030B1"/>
    <w:rsid w:val="00E03E2F"/>
    <w:rsid w:val="00E0432A"/>
    <w:rsid w:val="00E056DE"/>
    <w:rsid w:val="00E109A8"/>
    <w:rsid w:val="00E11B76"/>
    <w:rsid w:val="00E12DEC"/>
    <w:rsid w:val="00E12E81"/>
    <w:rsid w:val="00E14552"/>
    <w:rsid w:val="00E1470D"/>
    <w:rsid w:val="00E15AEB"/>
    <w:rsid w:val="00E16AF4"/>
    <w:rsid w:val="00E16BCC"/>
    <w:rsid w:val="00E20736"/>
    <w:rsid w:val="00E20FF3"/>
    <w:rsid w:val="00E217B5"/>
    <w:rsid w:val="00E223CD"/>
    <w:rsid w:val="00E22D1F"/>
    <w:rsid w:val="00E22D9B"/>
    <w:rsid w:val="00E2388C"/>
    <w:rsid w:val="00E25862"/>
    <w:rsid w:val="00E25C28"/>
    <w:rsid w:val="00E26458"/>
    <w:rsid w:val="00E26A7D"/>
    <w:rsid w:val="00E27E17"/>
    <w:rsid w:val="00E323BA"/>
    <w:rsid w:val="00E342B6"/>
    <w:rsid w:val="00E3576D"/>
    <w:rsid w:val="00E36A9D"/>
    <w:rsid w:val="00E37D65"/>
    <w:rsid w:val="00E40C11"/>
    <w:rsid w:val="00E4139A"/>
    <w:rsid w:val="00E4201E"/>
    <w:rsid w:val="00E42DA7"/>
    <w:rsid w:val="00E43400"/>
    <w:rsid w:val="00E44130"/>
    <w:rsid w:val="00E4506F"/>
    <w:rsid w:val="00E454E0"/>
    <w:rsid w:val="00E470A6"/>
    <w:rsid w:val="00E47A42"/>
    <w:rsid w:val="00E47D12"/>
    <w:rsid w:val="00E501FA"/>
    <w:rsid w:val="00E51E29"/>
    <w:rsid w:val="00E52748"/>
    <w:rsid w:val="00E55395"/>
    <w:rsid w:val="00E56384"/>
    <w:rsid w:val="00E56D95"/>
    <w:rsid w:val="00E56DDA"/>
    <w:rsid w:val="00E60B95"/>
    <w:rsid w:val="00E60F6D"/>
    <w:rsid w:val="00E62032"/>
    <w:rsid w:val="00E64941"/>
    <w:rsid w:val="00E64A22"/>
    <w:rsid w:val="00E64D71"/>
    <w:rsid w:val="00E64FF8"/>
    <w:rsid w:val="00E65ED7"/>
    <w:rsid w:val="00E66A0B"/>
    <w:rsid w:val="00E70720"/>
    <w:rsid w:val="00E7148C"/>
    <w:rsid w:val="00E7182E"/>
    <w:rsid w:val="00E71E62"/>
    <w:rsid w:val="00E72DC3"/>
    <w:rsid w:val="00E73564"/>
    <w:rsid w:val="00E73927"/>
    <w:rsid w:val="00E73ECC"/>
    <w:rsid w:val="00E76E11"/>
    <w:rsid w:val="00E80C26"/>
    <w:rsid w:val="00E80E28"/>
    <w:rsid w:val="00E81DF7"/>
    <w:rsid w:val="00E82889"/>
    <w:rsid w:val="00E84165"/>
    <w:rsid w:val="00E84420"/>
    <w:rsid w:val="00E85CAF"/>
    <w:rsid w:val="00E8606C"/>
    <w:rsid w:val="00E878C7"/>
    <w:rsid w:val="00E8798B"/>
    <w:rsid w:val="00E906B6"/>
    <w:rsid w:val="00E90B3F"/>
    <w:rsid w:val="00E90F71"/>
    <w:rsid w:val="00E91D53"/>
    <w:rsid w:val="00E92FD6"/>
    <w:rsid w:val="00E939D4"/>
    <w:rsid w:val="00E94537"/>
    <w:rsid w:val="00E952E0"/>
    <w:rsid w:val="00EA0E1F"/>
    <w:rsid w:val="00EA0FDE"/>
    <w:rsid w:val="00EA2460"/>
    <w:rsid w:val="00EA342D"/>
    <w:rsid w:val="00EA6B8D"/>
    <w:rsid w:val="00EA72F6"/>
    <w:rsid w:val="00EB097A"/>
    <w:rsid w:val="00EB0D56"/>
    <w:rsid w:val="00EB4574"/>
    <w:rsid w:val="00EB5630"/>
    <w:rsid w:val="00EB6411"/>
    <w:rsid w:val="00EB679D"/>
    <w:rsid w:val="00EB6C58"/>
    <w:rsid w:val="00EB74B4"/>
    <w:rsid w:val="00EB7877"/>
    <w:rsid w:val="00EB7D4C"/>
    <w:rsid w:val="00EC108B"/>
    <w:rsid w:val="00EC3258"/>
    <w:rsid w:val="00EC3FA7"/>
    <w:rsid w:val="00EC5420"/>
    <w:rsid w:val="00EC6379"/>
    <w:rsid w:val="00EC6BC4"/>
    <w:rsid w:val="00ED07A7"/>
    <w:rsid w:val="00ED1362"/>
    <w:rsid w:val="00ED2403"/>
    <w:rsid w:val="00ED291F"/>
    <w:rsid w:val="00ED3D9B"/>
    <w:rsid w:val="00ED3E1C"/>
    <w:rsid w:val="00ED42BD"/>
    <w:rsid w:val="00ED6EC3"/>
    <w:rsid w:val="00ED6EF1"/>
    <w:rsid w:val="00ED705E"/>
    <w:rsid w:val="00ED7CA1"/>
    <w:rsid w:val="00EE112C"/>
    <w:rsid w:val="00EE222B"/>
    <w:rsid w:val="00EE2C19"/>
    <w:rsid w:val="00EE3505"/>
    <w:rsid w:val="00EE4BED"/>
    <w:rsid w:val="00EE6FBE"/>
    <w:rsid w:val="00EE736D"/>
    <w:rsid w:val="00EE7A0E"/>
    <w:rsid w:val="00EF10E2"/>
    <w:rsid w:val="00EF1118"/>
    <w:rsid w:val="00EF1E9E"/>
    <w:rsid w:val="00EF2AA4"/>
    <w:rsid w:val="00EF316C"/>
    <w:rsid w:val="00EF3202"/>
    <w:rsid w:val="00EF5941"/>
    <w:rsid w:val="00EF7D42"/>
    <w:rsid w:val="00EF7E52"/>
    <w:rsid w:val="00EF7ED7"/>
    <w:rsid w:val="00F00291"/>
    <w:rsid w:val="00F02EB7"/>
    <w:rsid w:val="00F050B5"/>
    <w:rsid w:val="00F056D5"/>
    <w:rsid w:val="00F05A93"/>
    <w:rsid w:val="00F05DB8"/>
    <w:rsid w:val="00F10482"/>
    <w:rsid w:val="00F11662"/>
    <w:rsid w:val="00F15DA5"/>
    <w:rsid w:val="00F16A41"/>
    <w:rsid w:val="00F16F94"/>
    <w:rsid w:val="00F176D8"/>
    <w:rsid w:val="00F178A5"/>
    <w:rsid w:val="00F2113A"/>
    <w:rsid w:val="00F213F7"/>
    <w:rsid w:val="00F2233B"/>
    <w:rsid w:val="00F234C8"/>
    <w:rsid w:val="00F23C17"/>
    <w:rsid w:val="00F25010"/>
    <w:rsid w:val="00F25381"/>
    <w:rsid w:val="00F26397"/>
    <w:rsid w:val="00F26470"/>
    <w:rsid w:val="00F276F2"/>
    <w:rsid w:val="00F27E38"/>
    <w:rsid w:val="00F30561"/>
    <w:rsid w:val="00F31131"/>
    <w:rsid w:val="00F33371"/>
    <w:rsid w:val="00F339BF"/>
    <w:rsid w:val="00F34693"/>
    <w:rsid w:val="00F35BF7"/>
    <w:rsid w:val="00F36452"/>
    <w:rsid w:val="00F367B5"/>
    <w:rsid w:val="00F36FDA"/>
    <w:rsid w:val="00F40685"/>
    <w:rsid w:val="00F4130F"/>
    <w:rsid w:val="00F432D9"/>
    <w:rsid w:val="00F43BBD"/>
    <w:rsid w:val="00F4491E"/>
    <w:rsid w:val="00F46353"/>
    <w:rsid w:val="00F4664B"/>
    <w:rsid w:val="00F4742D"/>
    <w:rsid w:val="00F47D39"/>
    <w:rsid w:val="00F528AF"/>
    <w:rsid w:val="00F5314B"/>
    <w:rsid w:val="00F53C6B"/>
    <w:rsid w:val="00F53EE0"/>
    <w:rsid w:val="00F54583"/>
    <w:rsid w:val="00F54F67"/>
    <w:rsid w:val="00F57BB5"/>
    <w:rsid w:val="00F60EC9"/>
    <w:rsid w:val="00F617C0"/>
    <w:rsid w:val="00F62189"/>
    <w:rsid w:val="00F628BD"/>
    <w:rsid w:val="00F63071"/>
    <w:rsid w:val="00F6548E"/>
    <w:rsid w:val="00F7295D"/>
    <w:rsid w:val="00F72B20"/>
    <w:rsid w:val="00F73CD0"/>
    <w:rsid w:val="00F7586E"/>
    <w:rsid w:val="00F7744D"/>
    <w:rsid w:val="00F804B6"/>
    <w:rsid w:val="00F81A6B"/>
    <w:rsid w:val="00F82E51"/>
    <w:rsid w:val="00F83841"/>
    <w:rsid w:val="00F838D2"/>
    <w:rsid w:val="00F848FB"/>
    <w:rsid w:val="00F8545A"/>
    <w:rsid w:val="00F871ED"/>
    <w:rsid w:val="00F87E7E"/>
    <w:rsid w:val="00F90BCB"/>
    <w:rsid w:val="00F90F2F"/>
    <w:rsid w:val="00F90FCA"/>
    <w:rsid w:val="00F91FB1"/>
    <w:rsid w:val="00F962C1"/>
    <w:rsid w:val="00F96D56"/>
    <w:rsid w:val="00F972AE"/>
    <w:rsid w:val="00FA047A"/>
    <w:rsid w:val="00FA0D17"/>
    <w:rsid w:val="00FA1EF5"/>
    <w:rsid w:val="00FA27D2"/>
    <w:rsid w:val="00FA30FC"/>
    <w:rsid w:val="00FA3F4F"/>
    <w:rsid w:val="00FA4269"/>
    <w:rsid w:val="00FA4EFC"/>
    <w:rsid w:val="00FA6393"/>
    <w:rsid w:val="00FA724C"/>
    <w:rsid w:val="00FA7636"/>
    <w:rsid w:val="00FA7D58"/>
    <w:rsid w:val="00FB042D"/>
    <w:rsid w:val="00FB16E0"/>
    <w:rsid w:val="00FB2EA6"/>
    <w:rsid w:val="00FB4173"/>
    <w:rsid w:val="00FB4FA7"/>
    <w:rsid w:val="00FB5C4D"/>
    <w:rsid w:val="00FB5DD6"/>
    <w:rsid w:val="00FB60D0"/>
    <w:rsid w:val="00FC032E"/>
    <w:rsid w:val="00FC0FD2"/>
    <w:rsid w:val="00FC261F"/>
    <w:rsid w:val="00FC2E9D"/>
    <w:rsid w:val="00FC3274"/>
    <w:rsid w:val="00FC3A00"/>
    <w:rsid w:val="00FC4074"/>
    <w:rsid w:val="00FC536C"/>
    <w:rsid w:val="00FC5421"/>
    <w:rsid w:val="00FC6F98"/>
    <w:rsid w:val="00FC7AE8"/>
    <w:rsid w:val="00FD001C"/>
    <w:rsid w:val="00FD03DD"/>
    <w:rsid w:val="00FD2FA6"/>
    <w:rsid w:val="00FD41F4"/>
    <w:rsid w:val="00FD4C4C"/>
    <w:rsid w:val="00FD4F08"/>
    <w:rsid w:val="00FD64B7"/>
    <w:rsid w:val="00FD77C8"/>
    <w:rsid w:val="00FD7F79"/>
    <w:rsid w:val="00FE1520"/>
    <w:rsid w:val="00FE1749"/>
    <w:rsid w:val="00FE214C"/>
    <w:rsid w:val="00FE3A14"/>
    <w:rsid w:val="00FE585A"/>
    <w:rsid w:val="00FF10C1"/>
    <w:rsid w:val="00FF311C"/>
    <w:rsid w:val="00FF3B86"/>
    <w:rsid w:val="00FF41D2"/>
    <w:rsid w:val="00FF46C2"/>
    <w:rsid w:val="00FF4CFF"/>
    <w:rsid w:val="01445082"/>
    <w:rsid w:val="014F424A"/>
    <w:rsid w:val="01936697"/>
    <w:rsid w:val="01BE42C6"/>
    <w:rsid w:val="023D1925"/>
    <w:rsid w:val="02D41516"/>
    <w:rsid w:val="03314C4A"/>
    <w:rsid w:val="033A277C"/>
    <w:rsid w:val="039F5613"/>
    <w:rsid w:val="03D868C2"/>
    <w:rsid w:val="045A3578"/>
    <w:rsid w:val="04C05F31"/>
    <w:rsid w:val="04CC2FBF"/>
    <w:rsid w:val="05085A57"/>
    <w:rsid w:val="053E4F81"/>
    <w:rsid w:val="054D04E2"/>
    <w:rsid w:val="05564CA1"/>
    <w:rsid w:val="05804D98"/>
    <w:rsid w:val="058456AC"/>
    <w:rsid w:val="05B437C4"/>
    <w:rsid w:val="05D178FA"/>
    <w:rsid w:val="05EA3985"/>
    <w:rsid w:val="05EA6A55"/>
    <w:rsid w:val="060B1D2F"/>
    <w:rsid w:val="061C2F19"/>
    <w:rsid w:val="062B7799"/>
    <w:rsid w:val="06485459"/>
    <w:rsid w:val="0663374E"/>
    <w:rsid w:val="067B2527"/>
    <w:rsid w:val="06EB3E1E"/>
    <w:rsid w:val="07516A8A"/>
    <w:rsid w:val="077B1219"/>
    <w:rsid w:val="07E71A92"/>
    <w:rsid w:val="082650BC"/>
    <w:rsid w:val="082C1373"/>
    <w:rsid w:val="08474872"/>
    <w:rsid w:val="08945C10"/>
    <w:rsid w:val="0897196D"/>
    <w:rsid w:val="089D1E06"/>
    <w:rsid w:val="08AD4FF7"/>
    <w:rsid w:val="08C66ED8"/>
    <w:rsid w:val="08E9772D"/>
    <w:rsid w:val="08F46E69"/>
    <w:rsid w:val="090D6CAF"/>
    <w:rsid w:val="091F598C"/>
    <w:rsid w:val="09436C3F"/>
    <w:rsid w:val="09511410"/>
    <w:rsid w:val="095176B2"/>
    <w:rsid w:val="0AE61A23"/>
    <w:rsid w:val="0B8765EE"/>
    <w:rsid w:val="0B9C76C5"/>
    <w:rsid w:val="0BA86F17"/>
    <w:rsid w:val="0BC96FCB"/>
    <w:rsid w:val="0BD73129"/>
    <w:rsid w:val="0C0A7682"/>
    <w:rsid w:val="0C226F62"/>
    <w:rsid w:val="0CEE074D"/>
    <w:rsid w:val="0D6D10F3"/>
    <w:rsid w:val="0DBC4BD9"/>
    <w:rsid w:val="0DD92D71"/>
    <w:rsid w:val="0DE9497B"/>
    <w:rsid w:val="0E865D15"/>
    <w:rsid w:val="0EAD6496"/>
    <w:rsid w:val="0EB0112D"/>
    <w:rsid w:val="0EB018C7"/>
    <w:rsid w:val="0EBC4890"/>
    <w:rsid w:val="0EC40BC2"/>
    <w:rsid w:val="0EC71507"/>
    <w:rsid w:val="0F056C3E"/>
    <w:rsid w:val="0F0F736E"/>
    <w:rsid w:val="0F5C47DB"/>
    <w:rsid w:val="0F684398"/>
    <w:rsid w:val="0F6E17B5"/>
    <w:rsid w:val="0F834328"/>
    <w:rsid w:val="0F994ECC"/>
    <w:rsid w:val="0FA3521D"/>
    <w:rsid w:val="0FB20735"/>
    <w:rsid w:val="100E752B"/>
    <w:rsid w:val="102A79D9"/>
    <w:rsid w:val="10585D9E"/>
    <w:rsid w:val="1066736D"/>
    <w:rsid w:val="10686EE9"/>
    <w:rsid w:val="10871526"/>
    <w:rsid w:val="10EE03EA"/>
    <w:rsid w:val="11086831"/>
    <w:rsid w:val="11164000"/>
    <w:rsid w:val="115E1C29"/>
    <w:rsid w:val="11677221"/>
    <w:rsid w:val="11A45F0D"/>
    <w:rsid w:val="11AF3DCC"/>
    <w:rsid w:val="11B66097"/>
    <w:rsid w:val="11B71E49"/>
    <w:rsid w:val="11B83A75"/>
    <w:rsid w:val="121C7D18"/>
    <w:rsid w:val="122D4039"/>
    <w:rsid w:val="12875740"/>
    <w:rsid w:val="129B142A"/>
    <w:rsid w:val="12DB6E9B"/>
    <w:rsid w:val="13824070"/>
    <w:rsid w:val="13CB0E3B"/>
    <w:rsid w:val="13DC4E4D"/>
    <w:rsid w:val="13F57A79"/>
    <w:rsid w:val="147425E0"/>
    <w:rsid w:val="149255A4"/>
    <w:rsid w:val="1499447E"/>
    <w:rsid w:val="14C64D96"/>
    <w:rsid w:val="15744DA5"/>
    <w:rsid w:val="159B235F"/>
    <w:rsid w:val="159D31FF"/>
    <w:rsid w:val="15DE021C"/>
    <w:rsid w:val="15F51C42"/>
    <w:rsid w:val="16283FC4"/>
    <w:rsid w:val="163A3D2A"/>
    <w:rsid w:val="16646E4E"/>
    <w:rsid w:val="16A80936"/>
    <w:rsid w:val="16AC0BD7"/>
    <w:rsid w:val="16C26195"/>
    <w:rsid w:val="16C448D9"/>
    <w:rsid w:val="17401B7B"/>
    <w:rsid w:val="17B72955"/>
    <w:rsid w:val="17D25EBC"/>
    <w:rsid w:val="17E82253"/>
    <w:rsid w:val="181E0A28"/>
    <w:rsid w:val="182017DD"/>
    <w:rsid w:val="18461F96"/>
    <w:rsid w:val="184B0278"/>
    <w:rsid w:val="185B0CF8"/>
    <w:rsid w:val="185D6012"/>
    <w:rsid w:val="187A52DA"/>
    <w:rsid w:val="189942C1"/>
    <w:rsid w:val="19665D2D"/>
    <w:rsid w:val="198D3658"/>
    <w:rsid w:val="19EB63FE"/>
    <w:rsid w:val="1AA212C9"/>
    <w:rsid w:val="1AD36242"/>
    <w:rsid w:val="1AF05F42"/>
    <w:rsid w:val="1AF93B26"/>
    <w:rsid w:val="1B5B21C5"/>
    <w:rsid w:val="1B5E36B9"/>
    <w:rsid w:val="1B603791"/>
    <w:rsid w:val="1B731313"/>
    <w:rsid w:val="1B750A82"/>
    <w:rsid w:val="1BB33284"/>
    <w:rsid w:val="1C1E6EE5"/>
    <w:rsid w:val="1C2E108C"/>
    <w:rsid w:val="1C403E99"/>
    <w:rsid w:val="1C4235EA"/>
    <w:rsid w:val="1CCA6571"/>
    <w:rsid w:val="1CF54F6B"/>
    <w:rsid w:val="1CFD202C"/>
    <w:rsid w:val="1D024DC6"/>
    <w:rsid w:val="1D104B31"/>
    <w:rsid w:val="1D48392C"/>
    <w:rsid w:val="1D5E5B29"/>
    <w:rsid w:val="1D7C5BBC"/>
    <w:rsid w:val="1DCB2EAD"/>
    <w:rsid w:val="1E934EDC"/>
    <w:rsid w:val="1EB7124B"/>
    <w:rsid w:val="1EE37836"/>
    <w:rsid w:val="1F045010"/>
    <w:rsid w:val="1F667107"/>
    <w:rsid w:val="1F757AE0"/>
    <w:rsid w:val="20344AE0"/>
    <w:rsid w:val="20613690"/>
    <w:rsid w:val="20B36828"/>
    <w:rsid w:val="20B46534"/>
    <w:rsid w:val="20C16AAC"/>
    <w:rsid w:val="21276E4E"/>
    <w:rsid w:val="212869E4"/>
    <w:rsid w:val="21417A0D"/>
    <w:rsid w:val="21DC1216"/>
    <w:rsid w:val="226B341E"/>
    <w:rsid w:val="22B60466"/>
    <w:rsid w:val="22F2532C"/>
    <w:rsid w:val="231D142F"/>
    <w:rsid w:val="232B4B61"/>
    <w:rsid w:val="2332476B"/>
    <w:rsid w:val="235A5093"/>
    <w:rsid w:val="23B64493"/>
    <w:rsid w:val="23D1300C"/>
    <w:rsid w:val="23F4726A"/>
    <w:rsid w:val="240B3521"/>
    <w:rsid w:val="2433420C"/>
    <w:rsid w:val="2492021E"/>
    <w:rsid w:val="249C6A5E"/>
    <w:rsid w:val="24C07F64"/>
    <w:rsid w:val="24C7072E"/>
    <w:rsid w:val="25232E3C"/>
    <w:rsid w:val="25386B1C"/>
    <w:rsid w:val="254A5B0F"/>
    <w:rsid w:val="25AC5E43"/>
    <w:rsid w:val="25C4431B"/>
    <w:rsid w:val="25EB0856"/>
    <w:rsid w:val="260C4E8D"/>
    <w:rsid w:val="267D4902"/>
    <w:rsid w:val="26991F88"/>
    <w:rsid w:val="26C22F84"/>
    <w:rsid w:val="26FC0B2F"/>
    <w:rsid w:val="271F2073"/>
    <w:rsid w:val="276C5CAC"/>
    <w:rsid w:val="278F4307"/>
    <w:rsid w:val="2793470E"/>
    <w:rsid w:val="27D45D2E"/>
    <w:rsid w:val="28075943"/>
    <w:rsid w:val="280B6DE2"/>
    <w:rsid w:val="28EE2734"/>
    <w:rsid w:val="28F2313F"/>
    <w:rsid w:val="2966133D"/>
    <w:rsid w:val="29AB6928"/>
    <w:rsid w:val="2A93173E"/>
    <w:rsid w:val="2A961BDF"/>
    <w:rsid w:val="2A9D3280"/>
    <w:rsid w:val="2B41322D"/>
    <w:rsid w:val="2B6D4BED"/>
    <w:rsid w:val="2B826687"/>
    <w:rsid w:val="2B8F3435"/>
    <w:rsid w:val="2B9868D7"/>
    <w:rsid w:val="2BBD26AB"/>
    <w:rsid w:val="2C7F74B8"/>
    <w:rsid w:val="2DBA44AF"/>
    <w:rsid w:val="2DBF2732"/>
    <w:rsid w:val="2DC35BC0"/>
    <w:rsid w:val="2E415DF5"/>
    <w:rsid w:val="2E836495"/>
    <w:rsid w:val="2EC30119"/>
    <w:rsid w:val="2EDF4742"/>
    <w:rsid w:val="2EE26890"/>
    <w:rsid w:val="2FBA3960"/>
    <w:rsid w:val="2FD05646"/>
    <w:rsid w:val="2FE479E7"/>
    <w:rsid w:val="301F35F2"/>
    <w:rsid w:val="30293D90"/>
    <w:rsid w:val="309307D4"/>
    <w:rsid w:val="309C75BD"/>
    <w:rsid w:val="30AA0E71"/>
    <w:rsid w:val="30CE7116"/>
    <w:rsid w:val="30E92A06"/>
    <w:rsid w:val="30F476A0"/>
    <w:rsid w:val="310172D3"/>
    <w:rsid w:val="31173BCB"/>
    <w:rsid w:val="31305740"/>
    <w:rsid w:val="31E037F4"/>
    <w:rsid w:val="320B10CB"/>
    <w:rsid w:val="32164D99"/>
    <w:rsid w:val="322965EF"/>
    <w:rsid w:val="325E43A1"/>
    <w:rsid w:val="32620D3C"/>
    <w:rsid w:val="326B7A68"/>
    <w:rsid w:val="326D373E"/>
    <w:rsid w:val="32B82438"/>
    <w:rsid w:val="330C276C"/>
    <w:rsid w:val="33293FE2"/>
    <w:rsid w:val="332D1F5F"/>
    <w:rsid w:val="33592399"/>
    <w:rsid w:val="33707FAD"/>
    <w:rsid w:val="33B86C7D"/>
    <w:rsid w:val="33C27C80"/>
    <w:rsid w:val="34A30C45"/>
    <w:rsid w:val="34E12F92"/>
    <w:rsid w:val="34E25212"/>
    <w:rsid w:val="35B17625"/>
    <w:rsid w:val="3608634D"/>
    <w:rsid w:val="360A1093"/>
    <w:rsid w:val="36312936"/>
    <w:rsid w:val="36336B68"/>
    <w:rsid w:val="36594D3B"/>
    <w:rsid w:val="36B8112D"/>
    <w:rsid w:val="37011A31"/>
    <w:rsid w:val="375371A6"/>
    <w:rsid w:val="3775601B"/>
    <w:rsid w:val="381C2F28"/>
    <w:rsid w:val="38326D9C"/>
    <w:rsid w:val="383C0260"/>
    <w:rsid w:val="387D4DF5"/>
    <w:rsid w:val="38D71FB7"/>
    <w:rsid w:val="3A1743F6"/>
    <w:rsid w:val="3A86397E"/>
    <w:rsid w:val="3A9D5422"/>
    <w:rsid w:val="3AC544DC"/>
    <w:rsid w:val="3AFB37F7"/>
    <w:rsid w:val="3B1574DF"/>
    <w:rsid w:val="3B63140B"/>
    <w:rsid w:val="3B63149C"/>
    <w:rsid w:val="3BBA7FDE"/>
    <w:rsid w:val="3BEB653D"/>
    <w:rsid w:val="3BFB62DA"/>
    <w:rsid w:val="3C7C2EA7"/>
    <w:rsid w:val="3C8644C8"/>
    <w:rsid w:val="3CE75FAF"/>
    <w:rsid w:val="3D694FBE"/>
    <w:rsid w:val="3DFD25D8"/>
    <w:rsid w:val="3E191C55"/>
    <w:rsid w:val="3E194CC0"/>
    <w:rsid w:val="3E2538CB"/>
    <w:rsid w:val="3E706878"/>
    <w:rsid w:val="3EAE1F87"/>
    <w:rsid w:val="3ED45AC0"/>
    <w:rsid w:val="3EDA488F"/>
    <w:rsid w:val="3EDF57F5"/>
    <w:rsid w:val="3EFD5028"/>
    <w:rsid w:val="3F1F21E5"/>
    <w:rsid w:val="3F410695"/>
    <w:rsid w:val="3F6C661F"/>
    <w:rsid w:val="3FA677C1"/>
    <w:rsid w:val="3FAD5FA1"/>
    <w:rsid w:val="3FAF649D"/>
    <w:rsid w:val="3FD24AFF"/>
    <w:rsid w:val="406F65A9"/>
    <w:rsid w:val="40ED4401"/>
    <w:rsid w:val="411C2DA6"/>
    <w:rsid w:val="41AE1DD7"/>
    <w:rsid w:val="426247C9"/>
    <w:rsid w:val="426E7F1B"/>
    <w:rsid w:val="42901412"/>
    <w:rsid w:val="42F23716"/>
    <w:rsid w:val="43E92F33"/>
    <w:rsid w:val="44245A0C"/>
    <w:rsid w:val="442844CB"/>
    <w:rsid w:val="44342D7F"/>
    <w:rsid w:val="443D0E91"/>
    <w:rsid w:val="44580F69"/>
    <w:rsid w:val="44C42878"/>
    <w:rsid w:val="44F56F3E"/>
    <w:rsid w:val="45040F48"/>
    <w:rsid w:val="45A30331"/>
    <w:rsid w:val="45B92D65"/>
    <w:rsid w:val="460C786A"/>
    <w:rsid w:val="46576259"/>
    <w:rsid w:val="465E5905"/>
    <w:rsid w:val="46A80B17"/>
    <w:rsid w:val="46C4398F"/>
    <w:rsid w:val="47A45BD8"/>
    <w:rsid w:val="482F3E42"/>
    <w:rsid w:val="48310CB4"/>
    <w:rsid w:val="483E4FF7"/>
    <w:rsid w:val="48C639CD"/>
    <w:rsid w:val="4A2461BF"/>
    <w:rsid w:val="4A7E5950"/>
    <w:rsid w:val="4AAD11EB"/>
    <w:rsid w:val="4AF756C4"/>
    <w:rsid w:val="4B3B4715"/>
    <w:rsid w:val="4B445015"/>
    <w:rsid w:val="4B63308D"/>
    <w:rsid w:val="4B686A44"/>
    <w:rsid w:val="4B787A7E"/>
    <w:rsid w:val="4B815656"/>
    <w:rsid w:val="4BDC050F"/>
    <w:rsid w:val="4C4B0062"/>
    <w:rsid w:val="4C8F05B0"/>
    <w:rsid w:val="4C963690"/>
    <w:rsid w:val="4CA17B38"/>
    <w:rsid w:val="4CCF1BAA"/>
    <w:rsid w:val="4CD96F9C"/>
    <w:rsid w:val="4CF90DDE"/>
    <w:rsid w:val="4D6056CE"/>
    <w:rsid w:val="4D675756"/>
    <w:rsid w:val="4D6F3FE8"/>
    <w:rsid w:val="4DA51DEE"/>
    <w:rsid w:val="4DC759B1"/>
    <w:rsid w:val="4DD113DC"/>
    <w:rsid w:val="4DDB0AAE"/>
    <w:rsid w:val="4DEC6A6A"/>
    <w:rsid w:val="4DF949BB"/>
    <w:rsid w:val="4DFC7832"/>
    <w:rsid w:val="4E380698"/>
    <w:rsid w:val="4E6016CA"/>
    <w:rsid w:val="4EC85314"/>
    <w:rsid w:val="4F024E2C"/>
    <w:rsid w:val="4FA22144"/>
    <w:rsid w:val="4FD31D98"/>
    <w:rsid w:val="4FE636C6"/>
    <w:rsid w:val="4FE64959"/>
    <w:rsid w:val="4FFF414B"/>
    <w:rsid w:val="501F2944"/>
    <w:rsid w:val="502D38CF"/>
    <w:rsid w:val="50916D27"/>
    <w:rsid w:val="509B0B74"/>
    <w:rsid w:val="50AF03B5"/>
    <w:rsid w:val="50F45A9F"/>
    <w:rsid w:val="51346482"/>
    <w:rsid w:val="51BF3435"/>
    <w:rsid w:val="51C3474B"/>
    <w:rsid w:val="51F05BA1"/>
    <w:rsid w:val="52C00F8A"/>
    <w:rsid w:val="53371360"/>
    <w:rsid w:val="536D2FAC"/>
    <w:rsid w:val="538F1F66"/>
    <w:rsid w:val="53CF3FFB"/>
    <w:rsid w:val="53D2179F"/>
    <w:rsid w:val="54573AFF"/>
    <w:rsid w:val="54B73068"/>
    <w:rsid w:val="54BA4C52"/>
    <w:rsid w:val="54BE1CDB"/>
    <w:rsid w:val="54D5442B"/>
    <w:rsid w:val="550E1FB0"/>
    <w:rsid w:val="55294092"/>
    <w:rsid w:val="552A0F94"/>
    <w:rsid w:val="553B637D"/>
    <w:rsid w:val="55E03D6F"/>
    <w:rsid w:val="560158BE"/>
    <w:rsid w:val="560F156E"/>
    <w:rsid w:val="56114FF6"/>
    <w:rsid w:val="563603AF"/>
    <w:rsid w:val="564A1599"/>
    <w:rsid w:val="565F3A64"/>
    <w:rsid w:val="56B820C3"/>
    <w:rsid w:val="56CC6853"/>
    <w:rsid w:val="578A6BE7"/>
    <w:rsid w:val="57924022"/>
    <w:rsid w:val="584C0A93"/>
    <w:rsid w:val="58A35A5E"/>
    <w:rsid w:val="58C618B9"/>
    <w:rsid w:val="59026E13"/>
    <w:rsid w:val="594650E5"/>
    <w:rsid w:val="59837606"/>
    <w:rsid w:val="598D0F14"/>
    <w:rsid w:val="5AA46789"/>
    <w:rsid w:val="5AB40C21"/>
    <w:rsid w:val="5AD37DFC"/>
    <w:rsid w:val="5AFF7069"/>
    <w:rsid w:val="5BE32E26"/>
    <w:rsid w:val="5BF74BCA"/>
    <w:rsid w:val="5C976F45"/>
    <w:rsid w:val="5CC8256A"/>
    <w:rsid w:val="5D56412C"/>
    <w:rsid w:val="5D5C322F"/>
    <w:rsid w:val="5D5E515B"/>
    <w:rsid w:val="5D822359"/>
    <w:rsid w:val="5DB133B6"/>
    <w:rsid w:val="5DC823CE"/>
    <w:rsid w:val="5DF47B05"/>
    <w:rsid w:val="5E22214E"/>
    <w:rsid w:val="5E292ED1"/>
    <w:rsid w:val="5E33662B"/>
    <w:rsid w:val="5E591B2F"/>
    <w:rsid w:val="5E90796F"/>
    <w:rsid w:val="5F4D334E"/>
    <w:rsid w:val="5FB8042B"/>
    <w:rsid w:val="60135B4C"/>
    <w:rsid w:val="603738A8"/>
    <w:rsid w:val="60B91AD9"/>
    <w:rsid w:val="61576BCD"/>
    <w:rsid w:val="619832E1"/>
    <w:rsid w:val="61A671E3"/>
    <w:rsid w:val="62403BD4"/>
    <w:rsid w:val="635E68BC"/>
    <w:rsid w:val="639535A7"/>
    <w:rsid w:val="63B34DB3"/>
    <w:rsid w:val="63C60876"/>
    <w:rsid w:val="63D30575"/>
    <w:rsid w:val="643F5040"/>
    <w:rsid w:val="64612FB2"/>
    <w:rsid w:val="64874B92"/>
    <w:rsid w:val="64B074A7"/>
    <w:rsid w:val="6511045F"/>
    <w:rsid w:val="65593CC7"/>
    <w:rsid w:val="65C76FE9"/>
    <w:rsid w:val="65DE3A4B"/>
    <w:rsid w:val="65E87834"/>
    <w:rsid w:val="661F6A1B"/>
    <w:rsid w:val="662A19AE"/>
    <w:rsid w:val="66313DC7"/>
    <w:rsid w:val="6662030D"/>
    <w:rsid w:val="66AC7A92"/>
    <w:rsid w:val="679E0F8B"/>
    <w:rsid w:val="67C4152F"/>
    <w:rsid w:val="67E26AB6"/>
    <w:rsid w:val="68054D46"/>
    <w:rsid w:val="680F1925"/>
    <w:rsid w:val="682059E7"/>
    <w:rsid w:val="686F38D0"/>
    <w:rsid w:val="6976785A"/>
    <w:rsid w:val="69CE595E"/>
    <w:rsid w:val="69E81F8C"/>
    <w:rsid w:val="6A0807B2"/>
    <w:rsid w:val="6A376E96"/>
    <w:rsid w:val="6A4A1064"/>
    <w:rsid w:val="6A792AE7"/>
    <w:rsid w:val="6A9014FC"/>
    <w:rsid w:val="6AC24631"/>
    <w:rsid w:val="6ADD099F"/>
    <w:rsid w:val="6AE01129"/>
    <w:rsid w:val="6AFA3565"/>
    <w:rsid w:val="6AFB2383"/>
    <w:rsid w:val="6B37469B"/>
    <w:rsid w:val="6B974919"/>
    <w:rsid w:val="6BDD747A"/>
    <w:rsid w:val="6BF162EC"/>
    <w:rsid w:val="6BF21EF2"/>
    <w:rsid w:val="6C35483D"/>
    <w:rsid w:val="6C816223"/>
    <w:rsid w:val="6C8B302A"/>
    <w:rsid w:val="6CD11A13"/>
    <w:rsid w:val="6CD7219E"/>
    <w:rsid w:val="6D4537B9"/>
    <w:rsid w:val="6D60614A"/>
    <w:rsid w:val="6D767C46"/>
    <w:rsid w:val="6DB839CF"/>
    <w:rsid w:val="6DDC72A0"/>
    <w:rsid w:val="6DED4E80"/>
    <w:rsid w:val="6DFD48E7"/>
    <w:rsid w:val="6E0E4897"/>
    <w:rsid w:val="6E366CC4"/>
    <w:rsid w:val="6E483BA7"/>
    <w:rsid w:val="6E602649"/>
    <w:rsid w:val="6EAA7AB9"/>
    <w:rsid w:val="6EB51F67"/>
    <w:rsid w:val="6F143A1A"/>
    <w:rsid w:val="6F362087"/>
    <w:rsid w:val="6F454FC1"/>
    <w:rsid w:val="6FA5494C"/>
    <w:rsid w:val="6FC8312B"/>
    <w:rsid w:val="70015A10"/>
    <w:rsid w:val="703B0647"/>
    <w:rsid w:val="70546378"/>
    <w:rsid w:val="705B3AD2"/>
    <w:rsid w:val="70D42049"/>
    <w:rsid w:val="71813555"/>
    <w:rsid w:val="71975C4A"/>
    <w:rsid w:val="71D77DB4"/>
    <w:rsid w:val="71E82656"/>
    <w:rsid w:val="7227691D"/>
    <w:rsid w:val="729B513C"/>
    <w:rsid w:val="72D04792"/>
    <w:rsid w:val="72E6710F"/>
    <w:rsid w:val="7322718E"/>
    <w:rsid w:val="73DB2B46"/>
    <w:rsid w:val="73F47014"/>
    <w:rsid w:val="744B6317"/>
    <w:rsid w:val="74A20BFD"/>
    <w:rsid w:val="74BE7BE1"/>
    <w:rsid w:val="74E700EF"/>
    <w:rsid w:val="74EC0930"/>
    <w:rsid w:val="750E0D37"/>
    <w:rsid w:val="75C90ECD"/>
    <w:rsid w:val="75F450D2"/>
    <w:rsid w:val="7648186C"/>
    <w:rsid w:val="76484ACC"/>
    <w:rsid w:val="76507240"/>
    <w:rsid w:val="76541E4E"/>
    <w:rsid w:val="76550E81"/>
    <w:rsid w:val="76AA0299"/>
    <w:rsid w:val="771276B6"/>
    <w:rsid w:val="77376C76"/>
    <w:rsid w:val="77492590"/>
    <w:rsid w:val="77852FAF"/>
    <w:rsid w:val="778A1598"/>
    <w:rsid w:val="77C45B60"/>
    <w:rsid w:val="77C6466F"/>
    <w:rsid w:val="782A7B02"/>
    <w:rsid w:val="786700AA"/>
    <w:rsid w:val="78BD03B7"/>
    <w:rsid w:val="78DF0230"/>
    <w:rsid w:val="78E24564"/>
    <w:rsid w:val="78E347B6"/>
    <w:rsid w:val="794D5D6D"/>
    <w:rsid w:val="79AA7EDF"/>
    <w:rsid w:val="7A2754F5"/>
    <w:rsid w:val="7A2854CC"/>
    <w:rsid w:val="7A306BCA"/>
    <w:rsid w:val="7A320B30"/>
    <w:rsid w:val="7A3E7104"/>
    <w:rsid w:val="7A5A5C53"/>
    <w:rsid w:val="7A9E3B39"/>
    <w:rsid w:val="7AC4520D"/>
    <w:rsid w:val="7BB82E7C"/>
    <w:rsid w:val="7BE0456E"/>
    <w:rsid w:val="7C1B4448"/>
    <w:rsid w:val="7C524244"/>
    <w:rsid w:val="7C8930B4"/>
    <w:rsid w:val="7D6D05C9"/>
    <w:rsid w:val="7D8A52A2"/>
    <w:rsid w:val="7DB42496"/>
    <w:rsid w:val="7DC52573"/>
    <w:rsid w:val="7E082419"/>
    <w:rsid w:val="7E6948D0"/>
    <w:rsid w:val="7F003F03"/>
    <w:rsid w:val="7F3838A9"/>
    <w:rsid w:val="7F3C2A1B"/>
    <w:rsid w:val="7FAA6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40" w:lineRule="exact"/>
      <w:jc w:val="center"/>
      <w:outlineLvl w:val="0"/>
    </w:pPr>
    <w:rPr>
      <w:b/>
      <w:bCs/>
      <w:sz w:val="3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2"/>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7">
    <w:name w:val="heading 5"/>
    <w:basedOn w:val="1"/>
    <w:next w:val="2"/>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2"/>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2"/>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2"/>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Normal Indent"/>
    <w:basedOn w:val="1"/>
    <w:link w:val="86"/>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79"/>
    <w:qFormat/>
    <w:uiPriority w:val="99"/>
    <w:pPr>
      <w:jc w:val="left"/>
    </w:pPr>
  </w:style>
  <w:style w:type="paragraph" w:styleId="14">
    <w:name w:val="Body Text"/>
    <w:basedOn w:val="1"/>
    <w:qFormat/>
    <w:uiPriority w:val="0"/>
    <w:pPr>
      <w:autoSpaceDE w:val="0"/>
      <w:autoSpaceDN w:val="0"/>
      <w:adjustRightInd w:val="0"/>
      <w:spacing w:after="120"/>
      <w:jc w:val="left"/>
    </w:pPr>
    <w:rPr>
      <w:rFonts w:ascii="宋体"/>
      <w:kern w:val="0"/>
      <w:sz w:val="34"/>
      <w:szCs w:val="20"/>
    </w:rPr>
  </w:style>
  <w:style w:type="paragraph" w:styleId="15">
    <w:name w:val="Body Text Indent"/>
    <w:basedOn w:val="1"/>
    <w:qFormat/>
    <w:uiPriority w:val="0"/>
    <w:pPr>
      <w:spacing w:line="200" w:lineRule="exact"/>
      <w:ind w:firstLine="301"/>
    </w:pPr>
    <w:rPr>
      <w:rFonts w:ascii="宋体" w:hAnsi="Courier New"/>
      <w:spacing w:val="-4"/>
      <w:sz w:val="18"/>
      <w:szCs w:val="20"/>
    </w:rPr>
  </w:style>
  <w:style w:type="paragraph" w:styleId="16">
    <w:name w:val="Plain Text"/>
    <w:basedOn w:val="1"/>
    <w:next w:val="1"/>
    <w:link w:val="83"/>
    <w:qFormat/>
    <w:uiPriority w:val="0"/>
    <w:rPr>
      <w:rFonts w:ascii="宋体" w:hAnsi="Courier New"/>
      <w:szCs w:val="20"/>
    </w:rPr>
  </w:style>
  <w:style w:type="paragraph" w:styleId="17">
    <w:name w:val="Date"/>
    <w:basedOn w:val="1"/>
    <w:next w:val="1"/>
    <w:qFormat/>
    <w:uiPriority w:val="0"/>
    <w:pPr>
      <w:ind w:left="100" w:leftChars="2500"/>
    </w:pPr>
    <w:rPr>
      <w:spacing w:val="30"/>
      <w:sz w:val="28"/>
    </w:rPr>
  </w:style>
  <w:style w:type="paragraph" w:styleId="18">
    <w:name w:val="Body Text Indent 2"/>
    <w:basedOn w:val="1"/>
    <w:qFormat/>
    <w:uiPriority w:val="0"/>
    <w:pPr>
      <w:spacing w:line="400" w:lineRule="exact"/>
      <w:ind w:firstLine="48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rFonts w:ascii="宋体" w:hAnsi="Courier New"/>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2">
    <w:name w:val="toc 1"/>
    <w:basedOn w:val="1"/>
    <w:next w:val="1"/>
    <w:qFormat/>
    <w:uiPriority w:val="39"/>
  </w:style>
  <w:style w:type="paragraph" w:styleId="23">
    <w:name w:val="Body Text Indent 3"/>
    <w:basedOn w:val="1"/>
    <w:qFormat/>
    <w:uiPriority w:val="0"/>
    <w:pPr>
      <w:spacing w:line="360" w:lineRule="auto"/>
      <w:ind w:firstLine="359" w:firstLineChars="171"/>
    </w:pPr>
  </w:style>
  <w:style w:type="paragraph" w:styleId="24">
    <w:name w:val="toc 2"/>
    <w:basedOn w:val="1"/>
    <w:next w:val="1"/>
    <w:qFormat/>
    <w:uiPriority w:val="39"/>
    <w:pPr>
      <w:ind w:left="420" w:leftChars="200"/>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6">
    <w:name w:val="Normal (Web)"/>
    <w:basedOn w:val="1"/>
    <w:qFormat/>
    <w:uiPriority w:val="0"/>
    <w:rPr>
      <w:sz w:val="24"/>
    </w:rPr>
  </w:style>
  <w:style w:type="paragraph" w:styleId="27">
    <w:name w:val="index 1"/>
    <w:basedOn w:val="1"/>
    <w:next w:val="1"/>
    <w:semiHidden/>
    <w:qFormat/>
    <w:uiPriority w:val="0"/>
    <w:pPr>
      <w:spacing w:line="360" w:lineRule="exact"/>
      <w:ind w:firstLine="432" w:firstLineChars="240"/>
    </w:pPr>
    <w:rPr>
      <w:rFonts w:ascii="宋体" w:hAnsi="宋体"/>
      <w:bCs/>
      <w:sz w:val="18"/>
      <w:szCs w:val="18"/>
    </w:rPr>
  </w:style>
  <w:style w:type="paragraph" w:styleId="28">
    <w:name w:val="Title"/>
    <w:basedOn w:val="1"/>
    <w:next w:val="1"/>
    <w:link w:val="84"/>
    <w:qFormat/>
    <w:uiPriority w:val="0"/>
    <w:pPr>
      <w:spacing w:before="240" w:after="60"/>
      <w:jc w:val="center"/>
      <w:outlineLvl w:val="0"/>
    </w:pPr>
    <w:rPr>
      <w:rFonts w:ascii="Cambria" w:hAnsi="Cambria"/>
      <w:b/>
      <w:bCs/>
      <w:sz w:val="32"/>
      <w:szCs w:val="32"/>
    </w:rPr>
  </w:style>
  <w:style w:type="paragraph" w:styleId="29">
    <w:name w:val="annotation subject"/>
    <w:basedOn w:val="13"/>
    <w:next w:val="13"/>
    <w:semiHidden/>
    <w:qFormat/>
    <w:uiPriority w:val="0"/>
    <w:rPr>
      <w:b/>
      <w:bCs/>
    </w:rPr>
  </w:style>
  <w:style w:type="paragraph" w:styleId="30">
    <w:name w:val="Body Text First Indent 2"/>
    <w:basedOn w:val="1"/>
    <w:qFormat/>
    <w:uiPriority w:val="0"/>
    <w:pPr>
      <w:spacing w:after="120"/>
      <w:ind w:left="200" w:leftChars="200" w:firstLine="420" w:firstLineChars="200"/>
    </w:pPr>
    <w:rPr>
      <w:rFonts w:hAnsi="宋体"/>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333333"/>
      <w:u w:val="none"/>
    </w:rPr>
  </w:style>
  <w:style w:type="character" w:styleId="37">
    <w:name w:val="Emphasis"/>
    <w:qFormat/>
    <w:uiPriority w:val="0"/>
  </w:style>
  <w:style w:type="character" w:styleId="38">
    <w:name w:val="HTML Definition"/>
    <w:qFormat/>
    <w:uiPriority w:val="0"/>
  </w:style>
  <w:style w:type="character" w:styleId="39">
    <w:name w:val="HTML Acronym"/>
    <w:basedOn w:val="33"/>
    <w:qFormat/>
    <w:uiPriority w:val="0"/>
  </w:style>
  <w:style w:type="character" w:styleId="40">
    <w:name w:val="HTML Variable"/>
    <w:qFormat/>
    <w:uiPriority w:val="0"/>
  </w:style>
  <w:style w:type="character" w:styleId="41">
    <w:name w:val="Hyperlink"/>
    <w:qFormat/>
    <w:uiPriority w:val="99"/>
    <w:rPr>
      <w:color w:val="333333"/>
      <w:u w:val="none"/>
    </w:rPr>
  </w:style>
  <w:style w:type="character" w:styleId="42">
    <w:name w:val="HTML Code"/>
    <w:qFormat/>
    <w:uiPriority w:val="0"/>
    <w:rPr>
      <w:rFonts w:ascii="Courier New" w:hAnsi="Courier New"/>
      <w:color w:val="505050"/>
      <w:sz w:val="24"/>
      <w:szCs w:val="24"/>
    </w:rPr>
  </w:style>
  <w:style w:type="character" w:styleId="43">
    <w:name w:val="annotation reference"/>
    <w:qFormat/>
    <w:uiPriority w:val="99"/>
    <w:rPr>
      <w:sz w:val="21"/>
    </w:rPr>
  </w:style>
  <w:style w:type="character" w:styleId="44">
    <w:name w:val="HTML Cite"/>
    <w:qFormat/>
    <w:uiPriority w:val="0"/>
  </w:style>
  <w:style w:type="paragraph" w:customStyle="1" w:styleId="45">
    <w:name w:val="正文（缩进）"/>
    <w:basedOn w:val="1"/>
    <w:qFormat/>
    <w:uiPriority w:val="0"/>
    <w:pPr>
      <w:spacing w:before="156" w:after="156"/>
      <w:ind w:firstLine="480" w:firstLineChars="200"/>
    </w:pPr>
  </w:style>
  <w:style w:type="paragraph" w:customStyle="1" w:styleId="46">
    <w:name w:val="Char Char9"/>
    <w:basedOn w:val="1"/>
    <w:qFormat/>
    <w:uiPriority w:val="0"/>
    <w:rPr>
      <w:rFonts w:ascii="Tahoma" w:hAnsi="Tahoma"/>
      <w:sz w:val="24"/>
      <w:u w:val="single"/>
    </w:rPr>
  </w:style>
  <w:style w:type="paragraph" w:customStyle="1" w:styleId="47">
    <w:name w:val="Char Char Char Char"/>
    <w:basedOn w:val="12"/>
    <w:qFormat/>
    <w:uiPriority w:val="0"/>
    <w:rPr>
      <w:rFonts w:ascii="Tahoma" w:hAnsi="Tahoma"/>
      <w:sz w:val="24"/>
    </w:rPr>
  </w:style>
  <w:style w:type="paragraph" w:customStyle="1" w:styleId="48">
    <w:name w:val="_Style 39"/>
    <w:basedOn w:val="1"/>
    <w:qFormat/>
    <w:uiPriority w:val="0"/>
    <w:pPr>
      <w:jc w:val="center"/>
    </w:pPr>
    <w:rPr>
      <w:rFonts w:ascii="Tahoma" w:hAnsi="Tahoma"/>
      <w:b/>
      <w:sz w:val="32"/>
    </w:rPr>
  </w:style>
  <w:style w:type="paragraph" w:customStyle="1" w:styleId="49">
    <w:name w:val="Plain Text1"/>
    <w:basedOn w:val="1"/>
    <w:qFormat/>
    <w:uiPriority w:val="0"/>
    <w:rPr>
      <w:rFonts w:ascii="宋体" w:hAnsi="Courier New"/>
      <w:kern w:val="0"/>
      <w:sz w:val="20"/>
      <w:szCs w:val="20"/>
    </w:rPr>
  </w:style>
  <w:style w:type="paragraph" w:customStyle="1" w:styleId="5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53">
    <w:name w:val="Char"/>
    <w:basedOn w:val="12"/>
    <w:qFormat/>
    <w:uiPriority w:val="0"/>
    <w:rPr>
      <w:rFonts w:ascii="Tahoma" w:hAnsi="Tahoma"/>
      <w:sz w:val="24"/>
    </w:rPr>
  </w:style>
  <w:style w:type="paragraph" w:customStyle="1" w:styleId="5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6">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7">
    <w:name w:val="默认段落字体 Char Char Char"/>
    <w:basedOn w:val="1"/>
    <w:semiHidden/>
    <w:qFormat/>
    <w:uiPriority w:val="0"/>
    <w:pPr>
      <w:widowControl/>
    </w:pPr>
    <w:rPr>
      <w:rFonts w:ascii="Arial" w:hAnsi="Arial" w:cs="Arial"/>
      <w:sz w:val="22"/>
      <w:szCs w:val="22"/>
      <w:lang w:eastAsia="en-US"/>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正文YANG"/>
    <w:basedOn w:val="1"/>
    <w:link w:val="82"/>
    <w:qFormat/>
    <w:uiPriority w:val="0"/>
    <w:rPr>
      <w:rFonts w:ascii="Calibri" w:hAnsi="Calibri" w:eastAsia="华文中宋"/>
      <w:sz w:val="24"/>
    </w:rPr>
  </w:style>
  <w:style w:type="paragraph" w:customStyle="1" w:styleId="60">
    <w:name w:val="样式3"/>
    <w:basedOn w:val="14"/>
    <w:qFormat/>
    <w:uiPriority w:val="0"/>
    <w:pPr>
      <w:autoSpaceDE/>
      <w:autoSpaceDN/>
      <w:adjustRightInd/>
      <w:spacing w:line="360" w:lineRule="auto"/>
      <w:jc w:val="both"/>
    </w:pPr>
    <w:rPr>
      <w:kern w:val="2"/>
      <w:sz w:val="21"/>
      <w:szCs w:val="24"/>
    </w:rPr>
  </w:style>
  <w:style w:type="paragraph" w:customStyle="1" w:styleId="61">
    <w:name w:val="_Style 52"/>
    <w:basedOn w:val="1"/>
    <w:qFormat/>
    <w:uiPriority w:val="0"/>
    <w:pPr>
      <w:widowControl/>
      <w:spacing w:after="160" w:line="240" w:lineRule="exact"/>
      <w:jc w:val="left"/>
    </w:pPr>
  </w:style>
  <w:style w:type="paragraph" w:customStyle="1" w:styleId="62">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4">
    <w:name w:val="默认段落字体 Para Char Char Char Char Char Char Char Char Char Char"/>
    <w:basedOn w:val="1"/>
    <w:qFormat/>
    <w:uiPriority w:val="0"/>
    <w:rPr>
      <w:rFonts w:ascii="Tahoma" w:hAnsi="Tahoma"/>
      <w:sz w:val="24"/>
      <w:u w:val="single"/>
    </w:rPr>
  </w:style>
  <w:style w:type="paragraph" w:customStyle="1" w:styleId="65">
    <w:name w:val="样式1"/>
    <w:basedOn w:val="1"/>
    <w:qFormat/>
    <w:uiPriority w:val="0"/>
  </w:style>
  <w:style w:type="paragraph" w:customStyle="1" w:styleId="66">
    <w:name w:val="F2"/>
    <w:basedOn w:val="1"/>
    <w:qFormat/>
    <w:uiPriority w:val="0"/>
    <w:pPr>
      <w:autoSpaceDE w:val="0"/>
      <w:autoSpaceDN w:val="0"/>
      <w:adjustRightInd w:val="0"/>
      <w:ind w:firstLine="601"/>
      <w:textAlignment w:val="baseline"/>
    </w:pPr>
    <w:rPr>
      <w:kern w:val="0"/>
      <w:sz w:val="24"/>
      <w:szCs w:val="20"/>
    </w:rPr>
  </w:style>
  <w:style w:type="paragraph" w:customStyle="1" w:styleId="67">
    <w:name w:val="Char Char Char Char Char Char Char"/>
    <w:basedOn w:val="1"/>
    <w:qFormat/>
    <w:uiPriority w:val="0"/>
  </w:style>
  <w:style w:type="paragraph" w:customStyle="1" w:styleId="6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6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70">
    <w:name w:val="普通文字 Char Char1"/>
    <w:qFormat/>
    <w:uiPriority w:val="0"/>
    <w:rPr>
      <w:rFonts w:ascii="宋体" w:hAnsi="Courier New" w:eastAsia="宋体"/>
      <w:kern w:val="2"/>
      <w:sz w:val="21"/>
      <w:lang w:val="en-US" w:eastAsia="zh-CN" w:bidi="ar-SA"/>
    </w:rPr>
  </w:style>
  <w:style w:type="character" w:customStyle="1" w:styleId="71">
    <w:name w:val="unnamed21"/>
    <w:basedOn w:val="33"/>
    <w:qFormat/>
    <w:uiPriority w:val="0"/>
  </w:style>
  <w:style w:type="character" w:customStyle="1" w:styleId="72">
    <w:name w:val="font31"/>
    <w:qFormat/>
    <w:uiPriority w:val="0"/>
    <w:rPr>
      <w:rFonts w:hint="eastAsia" w:ascii="宋体" w:hAnsi="宋体" w:eastAsia="宋体" w:cs="宋体"/>
      <w:color w:val="000000"/>
      <w:sz w:val="20"/>
      <w:szCs w:val="20"/>
      <w:u w:val="none"/>
    </w:rPr>
  </w:style>
  <w:style w:type="character" w:customStyle="1" w:styleId="73">
    <w:name w:val="style31"/>
    <w:qFormat/>
    <w:uiPriority w:val="0"/>
    <w:rPr>
      <w:sz w:val="18"/>
      <w:szCs w:val="18"/>
    </w:rPr>
  </w:style>
  <w:style w:type="character" w:customStyle="1" w:styleId="74">
    <w:name w:val="1051"/>
    <w:qFormat/>
    <w:uiPriority w:val="0"/>
    <w:rPr>
      <w:sz w:val="21"/>
      <w:szCs w:val="21"/>
    </w:rPr>
  </w:style>
  <w:style w:type="character" w:customStyle="1" w:styleId="75">
    <w:name w:val="style51"/>
    <w:basedOn w:val="33"/>
    <w:qFormat/>
    <w:uiPriority w:val="0"/>
  </w:style>
  <w:style w:type="character" w:customStyle="1" w:styleId="76">
    <w:name w:val="标题 2 Char"/>
    <w:qFormat/>
    <w:uiPriority w:val="0"/>
    <w:rPr>
      <w:rFonts w:ascii="Arial" w:hAnsi="Arial" w:eastAsia="黑体"/>
      <w:b/>
      <w:bCs/>
      <w:kern w:val="2"/>
      <w:sz w:val="32"/>
      <w:szCs w:val="32"/>
      <w:lang w:val="en-US" w:eastAsia="zh-CN" w:bidi="ar-SA"/>
    </w:rPr>
  </w:style>
  <w:style w:type="character" w:customStyle="1" w:styleId="77">
    <w:name w:val="font01"/>
    <w:qFormat/>
    <w:uiPriority w:val="0"/>
    <w:rPr>
      <w:rFonts w:hint="eastAsia" w:ascii="宋体" w:hAnsi="宋体" w:eastAsia="宋体" w:cs="宋体"/>
      <w:color w:val="000000"/>
      <w:sz w:val="20"/>
      <w:szCs w:val="20"/>
      <w:u w:val="none"/>
    </w:rPr>
  </w:style>
  <w:style w:type="character" w:customStyle="1" w:styleId="78">
    <w:name w:val="style54"/>
    <w:basedOn w:val="33"/>
    <w:qFormat/>
    <w:uiPriority w:val="0"/>
  </w:style>
  <w:style w:type="character" w:customStyle="1" w:styleId="79">
    <w:name w:val="批注文字 Char"/>
    <w:link w:val="13"/>
    <w:qFormat/>
    <w:uiPriority w:val="99"/>
    <w:rPr>
      <w:rFonts w:eastAsia="宋体"/>
      <w:kern w:val="2"/>
      <w:sz w:val="21"/>
      <w:szCs w:val="24"/>
      <w:lang w:val="en-US" w:eastAsia="zh-CN" w:bidi="ar-SA"/>
    </w:rPr>
  </w:style>
  <w:style w:type="character" w:customStyle="1" w:styleId="80">
    <w:name w:val="Char Char2"/>
    <w:semiHidden/>
    <w:qFormat/>
    <w:uiPriority w:val="0"/>
    <w:rPr>
      <w:rFonts w:ascii="宋体" w:hAnsi="Courier New" w:eastAsia="宋体"/>
      <w:spacing w:val="-4"/>
      <w:kern w:val="2"/>
      <w:sz w:val="18"/>
      <w:lang w:val="en-US" w:eastAsia="zh-CN" w:bidi="ar-SA"/>
    </w:rPr>
  </w:style>
  <w:style w:type="character" w:customStyle="1" w:styleId="81">
    <w:name w:val="apple-style-span"/>
    <w:basedOn w:val="33"/>
    <w:qFormat/>
    <w:uiPriority w:val="0"/>
  </w:style>
  <w:style w:type="character" w:customStyle="1" w:styleId="82">
    <w:name w:val="正文YANG Char"/>
    <w:link w:val="59"/>
    <w:qFormat/>
    <w:uiPriority w:val="0"/>
    <w:rPr>
      <w:rFonts w:ascii="Calibri" w:hAnsi="Calibri" w:eastAsia="华文中宋"/>
      <w:kern w:val="2"/>
      <w:sz w:val="24"/>
      <w:szCs w:val="24"/>
      <w:lang w:val="en-US" w:eastAsia="zh-CN" w:bidi="ar-SA"/>
    </w:rPr>
  </w:style>
  <w:style w:type="character" w:customStyle="1" w:styleId="83">
    <w:name w:val="纯文本 Char"/>
    <w:link w:val="16"/>
    <w:qFormat/>
    <w:uiPriority w:val="0"/>
    <w:rPr>
      <w:rFonts w:ascii="宋体" w:hAnsi="Courier New" w:eastAsia="宋体"/>
      <w:kern w:val="2"/>
      <w:sz w:val="21"/>
      <w:lang w:val="en-US" w:eastAsia="zh-CN" w:bidi="ar-SA"/>
    </w:rPr>
  </w:style>
  <w:style w:type="character" w:customStyle="1" w:styleId="84">
    <w:name w:val="标题 Char"/>
    <w:link w:val="28"/>
    <w:qFormat/>
    <w:uiPriority w:val="0"/>
    <w:rPr>
      <w:rFonts w:ascii="Cambria" w:hAnsi="Cambria" w:cs="Times New Roman"/>
      <w:b/>
      <w:bCs/>
      <w:kern w:val="2"/>
      <w:sz w:val="32"/>
      <w:szCs w:val="32"/>
    </w:rPr>
  </w:style>
  <w:style w:type="paragraph" w:styleId="85">
    <w:name w:val="List Paragraph"/>
    <w:basedOn w:val="1"/>
    <w:unhideWhenUsed/>
    <w:qFormat/>
    <w:uiPriority w:val="99"/>
    <w:pPr>
      <w:ind w:firstLine="420" w:firstLineChars="200"/>
    </w:pPr>
  </w:style>
  <w:style w:type="character" w:customStyle="1" w:styleId="86">
    <w:name w:val="正文缩进 Char"/>
    <w:link w:val="2"/>
    <w:qFormat/>
    <w:locked/>
    <w:uiPriority w:val="0"/>
    <w:rPr>
      <w:kern w:val="2"/>
      <w:sz w:val="21"/>
    </w:rPr>
  </w:style>
  <w:style w:type="paragraph" w:customStyle="1" w:styleId="87">
    <w:name w:val="表格文字"/>
    <w:basedOn w:val="1"/>
    <w:qFormat/>
    <w:uiPriority w:val="99"/>
    <w:pPr>
      <w:spacing w:before="25" w:after="25"/>
      <w:jc w:val="left"/>
    </w:pPr>
    <w:rPr>
      <w:bCs/>
      <w:spacing w:val="10"/>
      <w:kern w:val="0"/>
      <w:sz w:val="24"/>
    </w:rPr>
  </w:style>
  <w:style w:type="paragraph" w:customStyle="1" w:styleId="88">
    <w:name w:val="列出段落1"/>
    <w:basedOn w:val="1"/>
    <w:qFormat/>
    <w:uiPriority w:val="34"/>
    <w:pPr>
      <w:ind w:firstLine="420"/>
    </w:pPr>
  </w:style>
  <w:style w:type="character" w:customStyle="1" w:styleId="89">
    <w:name w:val="font71"/>
    <w:basedOn w:val="33"/>
    <w:qFormat/>
    <w:uiPriority w:val="0"/>
    <w:rPr>
      <w:rFonts w:ascii="宋体" w:hAnsi="宋体" w:eastAsia="宋体" w:cs="宋体"/>
      <w:b/>
      <w:color w:val="000000"/>
      <w:sz w:val="24"/>
      <w:szCs w:val="24"/>
      <w:u w:val="none"/>
    </w:rPr>
  </w:style>
  <w:style w:type="character" w:customStyle="1" w:styleId="90">
    <w:name w:val="font51"/>
    <w:basedOn w:val="33"/>
    <w:qFormat/>
    <w:uiPriority w:val="0"/>
    <w:rPr>
      <w:rFonts w:ascii="宋体" w:hAnsi="宋体" w:eastAsia="宋体" w:cs="宋体"/>
      <w:b/>
      <w:color w:val="000000"/>
      <w:sz w:val="24"/>
      <w:szCs w:val="24"/>
      <w:u w:val="none"/>
      <w:vertAlign w:val="superscript"/>
    </w:rPr>
  </w:style>
  <w:style w:type="paragraph" w:styleId="9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方案正文段落"/>
    <w:basedOn w:val="1"/>
    <w:qFormat/>
    <w:uiPriority w:val="0"/>
    <w:pPr>
      <w:spacing w:line="360" w:lineRule="auto"/>
      <w:ind w:firstLine="420" w:firstLineChars="200"/>
    </w:pPr>
    <w:rPr>
      <w:rFonts w:ascii="Calibri" w:hAnsi="Calibri"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5921F-2001-41C6-9265-6076AE3DE24D}">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55</Pages>
  <Words>5698</Words>
  <Characters>32484</Characters>
  <Lines>270</Lines>
  <Paragraphs>76</Paragraphs>
  <TotalTime>0</TotalTime>
  <ScaleCrop>false</ScaleCrop>
  <LinksUpToDate>false</LinksUpToDate>
  <CharactersWithSpaces>38106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2019-10-31T10:02:00Z</dcterms:created>
  <dc:creator>zzz</dc:creator>
  <cp:lastModifiedBy>NTKO</cp:lastModifiedBy>
  <cp:lastPrinted>2019-11-15T01:44:00Z</cp:lastPrinted>
  <dcterms:modified xsi:type="dcterms:W3CDTF">2021-09-29T02:10:33Z</dcterms:modified>
  <dc:title>GT</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F7D8F34AB354433D9ECAA5169FCA4C06</vt:lpwstr>
  </property>
</Properties>
</file>