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adjustRightInd w:val="0"/>
        <w:snapToGrid w:val="0"/>
        <w:jc w:val="center"/>
        <w:rPr>
          <w:rFonts w:hint="eastAsia" w:ascii="微软雅黑" w:hAnsi="微软雅黑" w:eastAsia="微软雅黑"/>
          <w:color w:val="auto"/>
          <w:sz w:val="72"/>
          <w:szCs w:val="72"/>
          <w:highlight w:val="none"/>
        </w:rPr>
      </w:pPr>
      <w:bookmarkStart w:id="105" w:name="_GoBack"/>
      <w:bookmarkEnd w:id="105"/>
      <w:r>
        <w:rPr>
          <w:rFonts w:hint="eastAsia" w:ascii="微软雅黑" w:hAnsi="微软雅黑" w:eastAsia="微软雅黑"/>
          <w:b/>
          <w:color w:val="auto"/>
          <w:sz w:val="72"/>
          <w:szCs w:val="72"/>
          <w:highlight w:val="none"/>
        </w:rPr>
        <w:t xml:space="preserve">梧 州 市 政 府 采 购 </w:t>
      </w:r>
    </w:p>
    <w:p>
      <w:pPr>
        <w:pStyle w:val="22"/>
        <w:adjustRightInd w:val="0"/>
        <w:snapToGrid w:val="0"/>
        <w:rPr>
          <w:rFonts w:hint="eastAsia" w:ascii="方正小标宋简体" w:eastAsia="方正小标宋简体"/>
          <w:color w:val="auto"/>
          <w:spacing w:val="-20"/>
          <w:highlight w:val="none"/>
          <w:u w:val="single"/>
        </w:rPr>
      </w:pPr>
      <w:r>
        <w:rPr>
          <w:rFonts w:hint="eastAsia" w:ascii="方正小标宋简体" w:eastAsia="方正小标宋简体"/>
          <w:color w:val="auto"/>
          <w:spacing w:val="-20"/>
          <w:highlight w:val="none"/>
          <w:u w:val="single"/>
        </w:rPr>
        <w:t xml:space="preserve">                                                                                                                                                           </w:t>
      </w:r>
    </w:p>
    <w:p>
      <w:pPr>
        <w:pStyle w:val="22"/>
        <w:adjustRightInd w:val="0"/>
        <w:snapToGrid w:val="0"/>
        <w:rPr>
          <w:rFonts w:hint="eastAsia" w:ascii="方正小标宋简体" w:eastAsia="方正小标宋简体"/>
          <w:b/>
          <w:bCs/>
          <w:color w:val="auto"/>
          <w:spacing w:val="-20"/>
          <w:sz w:val="32"/>
          <w:highlight w:val="none"/>
        </w:rPr>
      </w:pPr>
      <w:r>
        <w:rPr>
          <w:rFonts w:hint="eastAsia" w:ascii="方正小标宋简体" w:eastAsia="方正小标宋简体"/>
          <w:b/>
          <w:bCs/>
          <w:color w:val="auto"/>
          <w:spacing w:val="-20"/>
          <w:sz w:val="32"/>
          <w:highlight w:val="none"/>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27305</wp:posOffset>
                </wp:positionV>
                <wp:extent cx="6048375" cy="0"/>
                <wp:effectExtent l="0" t="0" r="0" b="0"/>
                <wp:wrapNone/>
                <wp:docPr id="2" name="自选图形 21"/>
                <wp:cNvGraphicFramePr/>
                <a:graphic xmlns:a="http://schemas.openxmlformats.org/drawingml/2006/main">
                  <a:graphicData uri="http://schemas.microsoft.com/office/word/2010/wordprocessingShape">
                    <wps:wsp>
                      <wps:cNvCnPr/>
                      <wps:spPr>
                        <a:xfrm>
                          <a:off x="0" y="0"/>
                          <a:ext cx="6048375"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21" o:spid="_x0000_s1026" o:spt="32" type="#_x0000_t32" style="position:absolute;left:0pt;margin-left:0.65pt;margin-top:2.15pt;height:0pt;width:476.25pt;z-index:251659264;mso-width-relative:page;mso-height-relative:page;" filled="f" stroked="t" coordsize="21600,21600" o:gfxdata="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aAY8e0QAAAAUBAAAPAAAAAAAAAAEA&#10;IAAAACIAAABkcnMvZG93bnJldi54bWxQSwECFAAUAAAACACHTuJArE54ft0BAACXAwAADgAAAAAA&#10;AAABACAAAAAgAQAAZHJzL2Uyb0RvYy54bWxQSwUGAAAAAAYABgBZAQAAbwUAAAAA&#10;">
                <v:fill on="f" focussize="0,0"/>
                <v:stroke weight="1pt" color="#000000" joinstyle="round"/>
                <v:imagedata o:title=""/>
                <o:lock v:ext="edit" aspectratio="f"/>
              </v:shape>
            </w:pict>
          </mc:Fallback>
        </mc:AlternateContent>
      </w:r>
    </w:p>
    <w:p>
      <w:pPr>
        <w:pStyle w:val="22"/>
        <w:adjustRightInd w:val="0"/>
        <w:snapToGrid w:val="0"/>
        <w:rPr>
          <w:rFonts w:hint="eastAsia" w:ascii="方正小标宋简体" w:eastAsia="方正小标宋简体"/>
          <w:b/>
          <w:bCs/>
          <w:color w:val="auto"/>
          <w:spacing w:val="-20"/>
          <w:sz w:val="32"/>
          <w:highlight w:val="none"/>
        </w:rPr>
      </w:pPr>
    </w:p>
    <w:p>
      <w:pPr>
        <w:pStyle w:val="22"/>
        <w:adjustRightInd w:val="0"/>
        <w:snapToGrid w:val="0"/>
        <w:rPr>
          <w:rFonts w:hint="eastAsia" w:ascii="方正小标宋简体" w:eastAsia="方正小标宋简体"/>
          <w:b/>
          <w:bCs/>
          <w:color w:val="auto"/>
          <w:spacing w:val="-20"/>
          <w:sz w:val="32"/>
          <w:highlight w:val="none"/>
        </w:rPr>
      </w:pPr>
    </w:p>
    <w:p>
      <w:pPr>
        <w:pStyle w:val="22"/>
        <w:adjustRightInd w:val="0"/>
        <w:snapToGrid w:val="0"/>
        <w:rPr>
          <w:rFonts w:hint="eastAsia" w:ascii="方正小标宋简体" w:eastAsia="方正小标宋简体"/>
          <w:b/>
          <w:bCs/>
          <w:color w:val="auto"/>
          <w:spacing w:val="-20"/>
          <w:sz w:val="32"/>
          <w:highlight w:val="none"/>
        </w:rPr>
      </w:pPr>
    </w:p>
    <w:p>
      <w:pPr>
        <w:pStyle w:val="22"/>
        <w:adjustRightInd w:val="0"/>
        <w:snapToGrid w:val="0"/>
        <w:rPr>
          <w:rFonts w:hint="eastAsia" w:ascii="方正小标宋简体" w:eastAsia="方正小标宋简体"/>
          <w:b/>
          <w:bCs/>
          <w:color w:val="auto"/>
          <w:spacing w:val="-20"/>
          <w:sz w:val="32"/>
          <w:highlight w:val="none"/>
        </w:rPr>
      </w:pPr>
    </w:p>
    <w:p>
      <w:pPr>
        <w:pStyle w:val="22"/>
        <w:adjustRightInd w:val="0"/>
        <w:snapToGrid w:val="0"/>
        <w:rPr>
          <w:rFonts w:hint="eastAsia" w:ascii="方正小标宋简体" w:eastAsia="方正小标宋简体"/>
          <w:b/>
          <w:bCs/>
          <w:color w:val="auto"/>
          <w:spacing w:val="-20"/>
          <w:sz w:val="32"/>
          <w:highlight w:val="none"/>
        </w:rPr>
      </w:pPr>
    </w:p>
    <w:p>
      <w:pPr>
        <w:adjustRightInd w:val="0"/>
        <w:snapToGrid w:val="0"/>
        <w:jc w:val="center"/>
        <w:rPr>
          <w:rFonts w:hint="eastAsia" w:ascii="方正小标宋简体" w:hAnsi="Courier New" w:eastAsia="方正小标宋简体" w:cs="Courier New"/>
          <w:b/>
          <w:color w:val="auto"/>
          <w:spacing w:val="32"/>
          <w:sz w:val="72"/>
          <w:szCs w:val="72"/>
          <w:highlight w:val="none"/>
        </w:rPr>
      </w:pPr>
      <w:r>
        <w:rPr>
          <w:rFonts w:hint="eastAsia" w:ascii="方正小标宋简体" w:hAnsi="Courier New" w:eastAsia="方正小标宋简体" w:cs="Courier New"/>
          <w:b/>
          <w:color w:val="auto"/>
          <w:spacing w:val="32"/>
          <w:sz w:val="72"/>
          <w:szCs w:val="72"/>
          <w:highlight w:val="none"/>
        </w:rPr>
        <w:t>竞争性谈判文件</w:t>
      </w:r>
    </w:p>
    <w:p>
      <w:pPr>
        <w:pStyle w:val="22"/>
        <w:adjustRightInd w:val="0"/>
        <w:snapToGrid w:val="0"/>
        <w:rPr>
          <w:rFonts w:hint="eastAsia" w:ascii="方正小标宋简体" w:eastAsia="方正小标宋简体"/>
          <w:b/>
          <w:bCs/>
          <w:color w:val="auto"/>
          <w:spacing w:val="-20"/>
          <w:sz w:val="32"/>
          <w:highlight w:val="none"/>
        </w:rPr>
      </w:pPr>
    </w:p>
    <w:p>
      <w:pPr>
        <w:pStyle w:val="22"/>
        <w:adjustRightInd w:val="0"/>
        <w:snapToGrid w:val="0"/>
        <w:rPr>
          <w:rFonts w:hint="eastAsia" w:ascii="方正小标宋简体" w:eastAsia="方正小标宋简体"/>
          <w:b/>
          <w:bCs/>
          <w:color w:val="auto"/>
          <w:spacing w:val="-20"/>
          <w:sz w:val="32"/>
          <w:highlight w:val="none"/>
        </w:rPr>
      </w:pPr>
    </w:p>
    <w:p>
      <w:pPr>
        <w:pStyle w:val="22"/>
        <w:adjustRightInd w:val="0"/>
        <w:snapToGrid w:val="0"/>
        <w:rPr>
          <w:rFonts w:hint="eastAsia" w:ascii="方正小标宋简体" w:eastAsia="方正小标宋简体"/>
          <w:b/>
          <w:bCs/>
          <w:color w:val="auto"/>
          <w:spacing w:val="-20"/>
          <w:sz w:val="32"/>
          <w:highlight w:val="none"/>
        </w:rPr>
      </w:pPr>
    </w:p>
    <w:p>
      <w:pPr>
        <w:pStyle w:val="22"/>
        <w:adjustRightInd w:val="0"/>
        <w:snapToGrid w:val="0"/>
        <w:rPr>
          <w:rFonts w:hint="eastAsia" w:ascii="方正小标宋简体" w:eastAsia="方正小标宋简体"/>
          <w:b/>
          <w:bCs/>
          <w:color w:val="auto"/>
          <w:spacing w:val="-20"/>
          <w:sz w:val="32"/>
          <w:highlight w:val="none"/>
        </w:rPr>
      </w:pPr>
    </w:p>
    <w:p>
      <w:pPr>
        <w:pStyle w:val="22"/>
        <w:adjustRightInd w:val="0"/>
        <w:snapToGrid w:val="0"/>
        <w:rPr>
          <w:rFonts w:hint="eastAsia" w:ascii="方正小标宋简体" w:eastAsia="方正小标宋简体"/>
          <w:b/>
          <w:bCs/>
          <w:color w:val="auto"/>
          <w:spacing w:val="-20"/>
          <w:sz w:val="32"/>
          <w:highlight w:val="none"/>
        </w:rPr>
      </w:pPr>
      <w:r>
        <w:rPr>
          <w:rFonts w:hint="eastAsia" w:ascii="方正小标宋简体" w:eastAsia="方正小标宋简体"/>
          <w:b/>
          <w:bCs/>
          <w:color w:val="auto"/>
          <w:spacing w:val="-20"/>
          <w:sz w:val="32"/>
          <w:highlight w:val="none"/>
        </w:rPr>
        <w:t xml:space="preserve">                                                                                                                                                                                                                                                                                                                                                                                                                                                                         </w:t>
      </w:r>
    </w:p>
    <w:p>
      <w:pPr>
        <w:pStyle w:val="22"/>
        <w:adjustRightInd w:val="0"/>
        <w:snapToGrid w:val="0"/>
        <w:spacing w:line="360" w:lineRule="auto"/>
        <w:rPr>
          <w:rFonts w:hint="eastAsia" w:hAnsi="宋体"/>
          <w:b/>
          <w:color w:val="auto"/>
          <w:sz w:val="30"/>
          <w:szCs w:val="30"/>
          <w:highlight w:val="none"/>
        </w:rPr>
      </w:pPr>
      <w:r>
        <w:rPr>
          <w:rFonts w:hint="eastAsia" w:hAnsi="宋体"/>
          <w:b/>
          <w:color w:val="auto"/>
          <w:sz w:val="30"/>
          <w:szCs w:val="30"/>
          <w:highlight w:val="none"/>
        </w:rPr>
        <w:t>项目名称：</w:t>
      </w:r>
      <w:r>
        <w:rPr>
          <w:rFonts w:hint="eastAsia" w:hAnsi="宋体"/>
          <w:b/>
          <w:color w:val="auto"/>
          <w:sz w:val="30"/>
          <w:szCs w:val="30"/>
          <w:highlight w:val="none"/>
          <w:lang w:eastAsia="zh-CN"/>
        </w:rPr>
        <w:t>梧州市人民警察训练学校电梯设备及附属工程项目</w:t>
      </w:r>
      <w:r>
        <w:rPr>
          <w:rFonts w:hint="eastAsia" w:hAnsi="宋体"/>
          <w:b/>
          <w:color w:val="auto"/>
          <w:sz w:val="30"/>
          <w:szCs w:val="30"/>
          <w:highlight w:val="none"/>
        </w:rPr>
        <w:t>采购</w:t>
      </w:r>
    </w:p>
    <w:p>
      <w:pPr>
        <w:pStyle w:val="22"/>
        <w:tabs>
          <w:tab w:val="left" w:pos="3402"/>
          <w:tab w:val="left" w:pos="5670"/>
        </w:tabs>
        <w:adjustRightInd w:val="0"/>
        <w:snapToGrid w:val="0"/>
        <w:spacing w:line="360" w:lineRule="auto"/>
        <w:rPr>
          <w:rFonts w:hint="eastAsia" w:hAnsi="宋体"/>
          <w:b/>
          <w:color w:val="auto"/>
          <w:sz w:val="30"/>
          <w:szCs w:val="30"/>
          <w:highlight w:val="none"/>
        </w:rPr>
      </w:pPr>
      <w:r>
        <w:rPr>
          <w:rFonts w:hint="eastAsia" w:hAnsi="宋体"/>
          <w:b/>
          <w:color w:val="auto"/>
          <w:sz w:val="30"/>
          <w:szCs w:val="30"/>
          <w:highlight w:val="none"/>
        </w:rPr>
        <w:t>项目编号：</w:t>
      </w:r>
      <w:r>
        <w:rPr>
          <w:rFonts w:hint="eastAsia" w:hAnsi="宋体"/>
          <w:b/>
          <w:color w:val="auto"/>
          <w:sz w:val="30"/>
          <w:szCs w:val="30"/>
          <w:highlight w:val="none"/>
          <w:lang w:eastAsia="zh-CN"/>
        </w:rPr>
        <w:t>WZZC2020-J1-02666-001-CGZX</w:t>
      </w:r>
    </w:p>
    <w:p>
      <w:pPr>
        <w:pStyle w:val="22"/>
        <w:adjustRightInd w:val="0"/>
        <w:snapToGrid w:val="0"/>
        <w:spacing w:line="360" w:lineRule="auto"/>
        <w:rPr>
          <w:rFonts w:hint="eastAsia" w:hAnsi="宋体" w:eastAsia="宋体"/>
          <w:b/>
          <w:color w:val="auto"/>
          <w:sz w:val="30"/>
          <w:szCs w:val="30"/>
          <w:highlight w:val="none"/>
          <w:lang w:eastAsia="zh-CN"/>
        </w:rPr>
      </w:pPr>
      <w:r>
        <w:rPr>
          <w:rFonts w:hint="eastAsia" w:hAnsi="宋体"/>
          <w:b/>
          <w:color w:val="auto"/>
          <w:sz w:val="30"/>
          <w:szCs w:val="30"/>
          <w:highlight w:val="none"/>
        </w:rPr>
        <w:t>采购单位：</w:t>
      </w:r>
      <w:r>
        <w:rPr>
          <w:rFonts w:hint="eastAsia" w:hAnsi="宋体"/>
          <w:b/>
          <w:color w:val="auto"/>
          <w:sz w:val="30"/>
          <w:szCs w:val="30"/>
          <w:highlight w:val="none"/>
          <w:lang w:eastAsia="zh-CN"/>
        </w:rPr>
        <w:t>梧州市公安局</w:t>
      </w:r>
    </w:p>
    <w:p>
      <w:pPr>
        <w:pStyle w:val="22"/>
        <w:adjustRightInd w:val="0"/>
        <w:snapToGrid w:val="0"/>
        <w:spacing w:line="360" w:lineRule="auto"/>
        <w:rPr>
          <w:rFonts w:hint="eastAsia" w:hAnsi="宋体"/>
          <w:color w:val="auto"/>
          <w:sz w:val="30"/>
          <w:szCs w:val="30"/>
          <w:highlight w:val="none"/>
          <w:u w:val="single"/>
        </w:rPr>
      </w:pPr>
      <w:r>
        <w:rPr>
          <w:rFonts w:hint="eastAsia" w:ascii="方正小标宋简体" w:eastAsia="方正小标宋简体"/>
          <w:b/>
          <w:bCs/>
          <w:color w:val="auto"/>
          <w:spacing w:val="-20"/>
          <w:sz w:val="32"/>
          <w:highlight w:val="none"/>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65405</wp:posOffset>
                </wp:positionV>
                <wp:extent cx="6048375" cy="0"/>
                <wp:effectExtent l="0" t="0" r="0" b="0"/>
                <wp:wrapNone/>
                <wp:docPr id="1" name="自选图形 3"/>
                <wp:cNvGraphicFramePr/>
                <a:graphic xmlns:a="http://schemas.openxmlformats.org/drawingml/2006/main">
                  <a:graphicData uri="http://schemas.microsoft.com/office/word/2010/wordprocessingShape">
                    <wps:wsp>
                      <wps:cNvCnPr/>
                      <wps:spPr>
                        <a:xfrm>
                          <a:off x="0" y="0"/>
                          <a:ext cx="6048375"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0.65pt;margin-top:5.15pt;height:0pt;width:476.25pt;z-index:251658240;mso-width-relative:page;mso-height-relative:page;" filled="f" stroked="t" coordsize="21600,21600" o:gfxdata="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R5nRLSAAAABwEAAA8AAAAAAAAAAQAg&#10;AAAAIgAAAGRycy9kb3ducmV2LnhtbFBLAQIUABQAAAAIAIdO4kDMFuCy2wEAAJYDAAAOAAAAAAAA&#10;AAEAIAAAACEBAABkcnMvZTJvRG9jLnhtbFBLBQYAAAAABgAGAFkBAABuBQAAAAA=&#10;">
                <v:fill on="f" focussize="0,0"/>
                <v:stroke weight="1pt" color="#000000" joinstyle="round"/>
                <v:imagedata o:title=""/>
                <o:lock v:ext="edit" aspectratio="f"/>
              </v:shape>
            </w:pict>
          </mc:Fallback>
        </mc:AlternateContent>
      </w:r>
      <w:r>
        <w:rPr>
          <w:rFonts w:hint="eastAsia" w:hAnsi="宋体"/>
          <w:color w:val="auto"/>
          <w:sz w:val="30"/>
          <w:szCs w:val="30"/>
          <w:highlight w:val="none"/>
          <w:u w:val="single"/>
        </w:rPr>
        <w:t xml:space="preserve">                                                                                                 </w:t>
      </w:r>
    </w:p>
    <w:p>
      <w:pPr>
        <w:pStyle w:val="22"/>
        <w:adjustRightInd w:val="0"/>
        <w:snapToGrid w:val="0"/>
        <w:spacing w:line="360" w:lineRule="auto"/>
        <w:jc w:val="center"/>
        <w:rPr>
          <w:rFonts w:hint="eastAsia" w:hAnsi="宋体"/>
          <w:b/>
          <w:color w:val="auto"/>
          <w:sz w:val="30"/>
          <w:szCs w:val="30"/>
          <w:highlight w:val="none"/>
        </w:rPr>
      </w:pPr>
      <w:r>
        <w:rPr>
          <w:rFonts w:hint="eastAsia" w:hAnsi="宋体"/>
          <w:b/>
          <w:color w:val="auto"/>
          <w:sz w:val="30"/>
          <w:szCs w:val="30"/>
          <w:highlight w:val="none"/>
        </w:rPr>
        <w:t>采购代理机构：梧州市公共资源交易中心（梧州市政府采购中心）</w:t>
      </w:r>
    </w:p>
    <w:p>
      <w:pPr>
        <w:pStyle w:val="22"/>
        <w:adjustRightInd w:val="0"/>
        <w:snapToGrid w:val="0"/>
        <w:spacing w:line="360" w:lineRule="auto"/>
        <w:ind w:firstLine="15"/>
        <w:jc w:val="center"/>
        <w:rPr>
          <w:rFonts w:hint="eastAsia" w:hAnsi="宋体"/>
          <w:b/>
          <w:color w:val="auto"/>
          <w:sz w:val="30"/>
          <w:szCs w:val="30"/>
          <w:highlight w:val="none"/>
        </w:rPr>
      </w:pPr>
      <w:bookmarkStart w:id="0" w:name="OLE_LINK1"/>
      <w:r>
        <w:rPr>
          <w:rFonts w:hint="eastAsia" w:hAnsi="宋体" w:eastAsia="仿宋_GB2312"/>
          <w:b/>
          <w:color w:val="auto"/>
          <w:sz w:val="30"/>
          <w:szCs w:val="30"/>
          <w:highlight w:val="none"/>
        </w:rPr>
        <w:t>20</w:t>
      </w:r>
      <w:r>
        <w:rPr>
          <w:rFonts w:hint="eastAsia" w:hAnsi="宋体"/>
          <w:b/>
          <w:color w:val="auto"/>
          <w:sz w:val="30"/>
          <w:szCs w:val="30"/>
          <w:highlight w:val="none"/>
        </w:rPr>
        <w:t>20年</w:t>
      </w:r>
      <w:r>
        <w:rPr>
          <w:rFonts w:hint="eastAsia" w:hAnsi="宋体"/>
          <w:b/>
          <w:color w:val="auto"/>
          <w:sz w:val="30"/>
          <w:szCs w:val="30"/>
          <w:highlight w:val="none"/>
          <w:lang w:val="en-US" w:eastAsia="zh-CN"/>
        </w:rPr>
        <w:t>9</w:t>
      </w:r>
      <w:r>
        <w:rPr>
          <w:rFonts w:hint="eastAsia" w:hAnsi="宋体"/>
          <w:b/>
          <w:color w:val="auto"/>
          <w:sz w:val="30"/>
          <w:szCs w:val="30"/>
          <w:highlight w:val="none"/>
        </w:rPr>
        <w:t>月</w:t>
      </w:r>
    </w:p>
    <w:bookmarkEnd w:id="0"/>
    <w:p>
      <w:pPr>
        <w:pStyle w:val="22"/>
        <w:adjustRightInd w:val="0"/>
        <w:snapToGrid w:val="0"/>
        <w:spacing w:line="360" w:lineRule="auto"/>
        <w:ind w:firstLine="15"/>
        <w:jc w:val="center"/>
        <w:rPr>
          <w:rFonts w:hint="eastAsia" w:hAnsi="宋体"/>
          <w:b/>
          <w:color w:val="auto"/>
          <w:sz w:val="44"/>
          <w:szCs w:val="44"/>
          <w:highlight w:val="none"/>
        </w:rPr>
      </w:pPr>
    </w:p>
    <w:p>
      <w:pPr>
        <w:pStyle w:val="22"/>
        <w:adjustRightInd w:val="0"/>
        <w:snapToGrid w:val="0"/>
        <w:spacing w:line="360" w:lineRule="auto"/>
        <w:ind w:firstLine="15"/>
        <w:jc w:val="center"/>
        <w:rPr>
          <w:rFonts w:hint="eastAsia" w:hAnsi="宋体"/>
          <w:b/>
          <w:color w:val="auto"/>
          <w:sz w:val="44"/>
          <w:szCs w:val="44"/>
          <w:highlight w:val="none"/>
        </w:rPr>
      </w:pPr>
    </w:p>
    <w:p>
      <w:pPr>
        <w:pStyle w:val="22"/>
        <w:adjustRightInd w:val="0"/>
        <w:snapToGrid w:val="0"/>
        <w:spacing w:line="360" w:lineRule="auto"/>
        <w:ind w:firstLine="15"/>
        <w:jc w:val="center"/>
        <w:rPr>
          <w:rFonts w:hint="eastAsia" w:hAnsi="宋体"/>
          <w:b/>
          <w:color w:val="auto"/>
          <w:sz w:val="44"/>
          <w:szCs w:val="44"/>
          <w:highlight w:val="none"/>
        </w:rPr>
      </w:pPr>
    </w:p>
    <w:p>
      <w:pPr>
        <w:pStyle w:val="22"/>
        <w:adjustRightInd w:val="0"/>
        <w:snapToGrid w:val="0"/>
        <w:spacing w:line="360" w:lineRule="auto"/>
        <w:ind w:firstLine="15"/>
        <w:jc w:val="center"/>
        <w:rPr>
          <w:rFonts w:hint="eastAsia" w:hAnsi="宋体"/>
          <w:b/>
          <w:color w:val="auto"/>
          <w:sz w:val="44"/>
          <w:szCs w:val="44"/>
          <w:highlight w:val="none"/>
        </w:rPr>
      </w:pPr>
    </w:p>
    <w:p>
      <w:pPr>
        <w:pStyle w:val="22"/>
        <w:adjustRightInd w:val="0"/>
        <w:snapToGrid w:val="0"/>
        <w:spacing w:line="360" w:lineRule="auto"/>
        <w:ind w:firstLine="15"/>
        <w:jc w:val="center"/>
        <w:rPr>
          <w:rFonts w:hint="eastAsia" w:hAnsi="宋体"/>
          <w:b/>
          <w:color w:val="auto"/>
          <w:sz w:val="44"/>
          <w:szCs w:val="44"/>
          <w:highlight w:val="none"/>
        </w:rPr>
      </w:pPr>
    </w:p>
    <w:p>
      <w:pPr>
        <w:pStyle w:val="22"/>
        <w:adjustRightInd w:val="0"/>
        <w:snapToGrid w:val="0"/>
        <w:spacing w:line="360" w:lineRule="auto"/>
        <w:ind w:firstLine="15"/>
        <w:jc w:val="center"/>
        <w:rPr>
          <w:rFonts w:hint="eastAsia" w:hAnsi="宋体"/>
          <w:b/>
          <w:color w:val="auto"/>
          <w:sz w:val="44"/>
          <w:szCs w:val="44"/>
          <w:highlight w:val="none"/>
        </w:rPr>
      </w:pPr>
      <w:r>
        <w:rPr>
          <w:rFonts w:hint="eastAsia" w:hAnsi="宋体"/>
          <w:b/>
          <w:color w:val="auto"/>
          <w:sz w:val="44"/>
          <w:szCs w:val="44"/>
          <w:highlight w:val="none"/>
        </w:rPr>
        <w:t>目录</w:t>
      </w:r>
    </w:p>
    <w:p>
      <w:pPr>
        <w:pStyle w:val="22"/>
        <w:adjustRightInd w:val="0"/>
        <w:snapToGrid w:val="0"/>
        <w:spacing w:line="360" w:lineRule="auto"/>
        <w:ind w:firstLine="15"/>
        <w:jc w:val="center"/>
        <w:rPr>
          <w:rFonts w:hint="eastAsia" w:hAnsi="宋体"/>
          <w:b/>
          <w:color w:val="auto"/>
          <w:sz w:val="44"/>
          <w:szCs w:val="44"/>
          <w:highlight w:val="none"/>
        </w:rPr>
      </w:pPr>
    </w:p>
    <w:p>
      <w:pPr>
        <w:pStyle w:val="29"/>
        <w:tabs>
          <w:tab w:val="right" w:leader="dot" w:pos="9402"/>
        </w:tabs>
        <w:rPr>
          <w:color w:val="auto"/>
          <w:sz w:val="32"/>
          <w:szCs w:val="32"/>
          <w:highlight w:val="none"/>
        </w:rPr>
      </w:pPr>
      <w:r>
        <w:rPr>
          <w:rFonts w:hAnsi="宋体"/>
          <w:b/>
          <w:color w:val="auto"/>
          <w:sz w:val="32"/>
          <w:szCs w:val="32"/>
          <w:highlight w:val="none"/>
        </w:rPr>
        <w:fldChar w:fldCharType="begin"/>
      </w:r>
      <w:r>
        <w:rPr>
          <w:rFonts w:hAnsi="宋体"/>
          <w:b/>
          <w:color w:val="auto"/>
          <w:sz w:val="32"/>
          <w:szCs w:val="32"/>
          <w:highlight w:val="none"/>
        </w:rPr>
        <w:instrText xml:space="preserve"> </w:instrText>
      </w:r>
      <w:r>
        <w:rPr>
          <w:rFonts w:hint="eastAsia" w:hAnsi="宋体"/>
          <w:b/>
          <w:color w:val="auto"/>
          <w:sz w:val="32"/>
          <w:szCs w:val="32"/>
          <w:highlight w:val="none"/>
        </w:rPr>
        <w:instrText xml:space="preserve">TOC \o "1-1" \h \z \u</w:instrText>
      </w:r>
      <w:r>
        <w:rPr>
          <w:rFonts w:hAnsi="宋体"/>
          <w:b/>
          <w:color w:val="auto"/>
          <w:sz w:val="32"/>
          <w:szCs w:val="32"/>
          <w:highlight w:val="none"/>
        </w:rPr>
        <w:instrText xml:space="preserve"> </w:instrText>
      </w:r>
      <w:r>
        <w:rPr>
          <w:rFonts w:hAnsi="宋体"/>
          <w:b/>
          <w:color w:val="auto"/>
          <w:sz w:val="32"/>
          <w:szCs w:val="32"/>
          <w:highlight w:val="none"/>
        </w:rPr>
        <w:fldChar w:fldCharType="separate"/>
      </w:r>
      <w:r>
        <w:rPr>
          <w:color w:val="auto"/>
          <w:sz w:val="32"/>
          <w:szCs w:val="32"/>
          <w:highlight w:val="none"/>
        </w:rPr>
        <w:fldChar w:fldCharType="begin"/>
      </w:r>
      <w:r>
        <w:rPr>
          <w:rStyle w:val="42"/>
          <w:color w:val="auto"/>
          <w:sz w:val="32"/>
          <w:szCs w:val="32"/>
          <w:highlight w:val="none"/>
        </w:rPr>
        <w:instrText xml:space="preserve"> </w:instrText>
      </w:r>
      <w:r>
        <w:rPr>
          <w:color w:val="auto"/>
          <w:sz w:val="32"/>
          <w:szCs w:val="32"/>
          <w:highlight w:val="none"/>
        </w:rPr>
        <w:instrText xml:space="preserve">HYPERLINK \l "_Toc433105007"</w:instrText>
      </w:r>
      <w:r>
        <w:rPr>
          <w:rStyle w:val="42"/>
          <w:color w:val="auto"/>
          <w:sz w:val="32"/>
          <w:szCs w:val="32"/>
          <w:highlight w:val="none"/>
        </w:rPr>
        <w:instrText xml:space="preserve"> </w:instrText>
      </w:r>
      <w:r>
        <w:rPr>
          <w:color w:val="auto"/>
          <w:sz w:val="32"/>
          <w:szCs w:val="32"/>
          <w:highlight w:val="none"/>
        </w:rPr>
        <w:fldChar w:fldCharType="separate"/>
      </w:r>
      <w:r>
        <w:rPr>
          <w:rStyle w:val="42"/>
          <w:rFonts w:hint="eastAsia" w:ascii="宋体" w:hAnsi="宋体"/>
          <w:b/>
          <w:color w:val="auto"/>
          <w:sz w:val="32"/>
          <w:szCs w:val="32"/>
          <w:highlight w:val="none"/>
        </w:rPr>
        <w:t>第一章</w:t>
      </w:r>
      <w:r>
        <w:rPr>
          <w:rStyle w:val="42"/>
          <w:rFonts w:ascii="宋体" w:hAnsi="宋体"/>
          <w:b/>
          <w:color w:val="auto"/>
          <w:sz w:val="32"/>
          <w:szCs w:val="32"/>
          <w:highlight w:val="none"/>
        </w:rPr>
        <w:t xml:space="preserve">  </w:t>
      </w:r>
      <w:r>
        <w:rPr>
          <w:rStyle w:val="42"/>
          <w:rFonts w:hint="eastAsia" w:ascii="宋体" w:hAnsi="宋体"/>
          <w:b/>
          <w:color w:val="auto"/>
          <w:sz w:val="32"/>
          <w:szCs w:val="32"/>
          <w:highlight w:val="none"/>
        </w:rPr>
        <w:t>竞争性谈判</w:t>
      </w:r>
      <w:bookmarkStart w:id="1" w:name="_Hlt520368533"/>
      <w:bookmarkStart w:id="2" w:name="_Hlt520368532"/>
      <w:r>
        <w:rPr>
          <w:rStyle w:val="42"/>
          <w:rFonts w:hint="eastAsia" w:ascii="宋体" w:hAnsi="宋体"/>
          <w:b/>
          <w:color w:val="auto"/>
          <w:sz w:val="32"/>
          <w:szCs w:val="32"/>
          <w:highlight w:val="none"/>
        </w:rPr>
        <w:t>公</w:t>
      </w:r>
      <w:bookmarkEnd w:id="1"/>
      <w:bookmarkEnd w:id="2"/>
      <w:r>
        <w:rPr>
          <w:rStyle w:val="42"/>
          <w:rFonts w:hint="eastAsia" w:ascii="宋体" w:hAnsi="宋体"/>
          <w:b/>
          <w:color w:val="auto"/>
          <w:sz w:val="32"/>
          <w:szCs w:val="32"/>
          <w:highlight w:val="none"/>
        </w:rPr>
        <w:t>告</w:t>
      </w:r>
      <w:r>
        <w:rPr>
          <w:color w:val="auto"/>
          <w:sz w:val="32"/>
          <w:szCs w:val="32"/>
          <w:highlight w:val="none"/>
        </w:rPr>
        <w:tab/>
      </w:r>
      <w:r>
        <w:rPr>
          <w:rFonts w:hint="eastAsia"/>
          <w:color w:val="auto"/>
          <w:sz w:val="32"/>
          <w:szCs w:val="32"/>
          <w:highlight w:val="none"/>
        </w:rPr>
        <w:t>3</w:t>
      </w:r>
      <w:r>
        <w:rPr>
          <w:color w:val="auto"/>
          <w:sz w:val="32"/>
          <w:szCs w:val="32"/>
          <w:highlight w:val="none"/>
        </w:rPr>
        <w:fldChar w:fldCharType="end"/>
      </w:r>
    </w:p>
    <w:p>
      <w:pPr>
        <w:pStyle w:val="29"/>
        <w:tabs>
          <w:tab w:val="right" w:leader="dot" w:pos="9402"/>
        </w:tabs>
        <w:rPr>
          <w:rFonts w:hint="eastAsia"/>
          <w:color w:val="auto"/>
          <w:sz w:val="32"/>
          <w:szCs w:val="32"/>
          <w:highlight w:val="none"/>
        </w:rPr>
      </w:pPr>
      <w:r>
        <w:rPr>
          <w:color w:val="auto"/>
          <w:sz w:val="32"/>
          <w:szCs w:val="32"/>
          <w:highlight w:val="none"/>
        </w:rPr>
        <w:fldChar w:fldCharType="begin"/>
      </w:r>
      <w:r>
        <w:rPr>
          <w:rStyle w:val="42"/>
          <w:color w:val="auto"/>
          <w:sz w:val="32"/>
          <w:szCs w:val="32"/>
          <w:highlight w:val="none"/>
        </w:rPr>
        <w:instrText xml:space="preserve"> </w:instrText>
      </w:r>
      <w:r>
        <w:rPr>
          <w:color w:val="auto"/>
          <w:sz w:val="32"/>
          <w:szCs w:val="32"/>
          <w:highlight w:val="none"/>
        </w:rPr>
        <w:instrText xml:space="preserve">HYPERLINK \l "_Toc433105008"</w:instrText>
      </w:r>
      <w:r>
        <w:rPr>
          <w:rStyle w:val="42"/>
          <w:color w:val="auto"/>
          <w:sz w:val="32"/>
          <w:szCs w:val="32"/>
          <w:highlight w:val="none"/>
        </w:rPr>
        <w:instrText xml:space="preserve"> </w:instrText>
      </w:r>
      <w:r>
        <w:rPr>
          <w:color w:val="auto"/>
          <w:sz w:val="32"/>
          <w:szCs w:val="32"/>
          <w:highlight w:val="none"/>
        </w:rPr>
        <w:fldChar w:fldCharType="separate"/>
      </w:r>
      <w:r>
        <w:rPr>
          <w:rStyle w:val="42"/>
          <w:rFonts w:hint="eastAsia" w:ascii="宋体" w:hAnsi="宋体"/>
          <w:b/>
          <w:color w:val="auto"/>
          <w:sz w:val="32"/>
          <w:szCs w:val="32"/>
          <w:highlight w:val="none"/>
        </w:rPr>
        <w:t>第二章</w:t>
      </w:r>
      <w:r>
        <w:rPr>
          <w:rStyle w:val="42"/>
          <w:rFonts w:ascii="宋体" w:hAnsi="宋体"/>
          <w:b/>
          <w:color w:val="auto"/>
          <w:sz w:val="32"/>
          <w:szCs w:val="32"/>
          <w:highlight w:val="none"/>
        </w:rPr>
        <w:t xml:space="preserve">  </w:t>
      </w:r>
      <w:r>
        <w:rPr>
          <w:rStyle w:val="42"/>
          <w:rFonts w:hint="eastAsia" w:ascii="宋体" w:hAnsi="宋体"/>
          <w:b/>
          <w:color w:val="auto"/>
          <w:sz w:val="32"/>
          <w:szCs w:val="32"/>
          <w:highlight w:val="none"/>
        </w:rPr>
        <w:t>谈判供</w:t>
      </w:r>
      <w:bookmarkStart w:id="3" w:name="_Hlt520368536"/>
      <w:r>
        <w:rPr>
          <w:rStyle w:val="42"/>
          <w:rFonts w:hint="eastAsia" w:ascii="宋体" w:hAnsi="宋体"/>
          <w:b/>
          <w:color w:val="auto"/>
          <w:sz w:val="32"/>
          <w:szCs w:val="32"/>
          <w:highlight w:val="none"/>
        </w:rPr>
        <w:t>应</w:t>
      </w:r>
      <w:bookmarkEnd w:id="3"/>
      <w:r>
        <w:rPr>
          <w:rStyle w:val="42"/>
          <w:rFonts w:hint="eastAsia" w:ascii="宋体" w:hAnsi="宋体"/>
          <w:b/>
          <w:color w:val="auto"/>
          <w:sz w:val="32"/>
          <w:szCs w:val="32"/>
          <w:highlight w:val="none"/>
        </w:rPr>
        <w:t>商须知</w:t>
      </w:r>
      <w:r>
        <w:rPr>
          <w:color w:val="auto"/>
          <w:sz w:val="32"/>
          <w:szCs w:val="32"/>
          <w:highlight w:val="none"/>
        </w:rPr>
        <w:tab/>
      </w:r>
      <w:r>
        <w:rPr>
          <w:rFonts w:hint="eastAsia"/>
          <w:color w:val="auto"/>
          <w:sz w:val="32"/>
          <w:szCs w:val="32"/>
          <w:highlight w:val="none"/>
        </w:rPr>
        <w:t>7</w:t>
      </w:r>
      <w:r>
        <w:rPr>
          <w:color w:val="auto"/>
          <w:sz w:val="32"/>
          <w:szCs w:val="32"/>
          <w:highlight w:val="none"/>
        </w:rPr>
        <w:fldChar w:fldCharType="end"/>
      </w:r>
      <w:r>
        <w:rPr>
          <w:rFonts w:hint="eastAsia"/>
          <w:color w:val="auto"/>
          <w:sz w:val="32"/>
          <w:szCs w:val="32"/>
          <w:highlight w:val="none"/>
        </w:rPr>
        <w:t xml:space="preserve">       </w:t>
      </w:r>
    </w:p>
    <w:p>
      <w:pPr>
        <w:pStyle w:val="29"/>
        <w:tabs>
          <w:tab w:val="right" w:leader="dot" w:pos="9402"/>
        </w:tabs>
        <w:rPr>
          <w:rFonts w:hint="eastAsia"/>
          <w:color w:val="auto"/>
          <w:sz w:val="32"/>
          <w:szCs w:val="32"/>
          <w:highlight w:val="none"/>
        </w:rPr>
      </w:pPr>
      <w:r>
        <w:rPr>
          <w:color w:val="auto"/>
          <w:sz w:val="32"/>
          <w:szCs w:val="32"/>
          <w:highlight w:val="none"/>
        </w:rPr>
        <w:fldChar w:fldCharType="begin"/>
      </w:r>
      <w:r>
        <w:rPr>
          <w:rStyle w:val="42"/>
          <w:color w:val="auto"/>
          <w:sz w:val="32"/>
          <w:szCs w:val="32"/>
          <w:highlight w:val="none"/>
        </w:rPr>
        <w:instrText xml:space="preserve"> </w:instrText>
      </w:r>
      <w:r>
        <w:rPr>
          <w:color w:val="auto"/>
          <w:sz w:val="32"/>
          <w:szCs w:val="32"/>
          <w:highlight w:val="none"/>
        </w:rPr>
        <w:instrText xml:space="preserve">HYPERLINK \l "_Toc433105009"</w:instrText>
      </w:r>
      <w:r>
        <w:rPr>
          <w:rStyle w:val="42"/>
          <w:color w:val="auto"/>
          <w:sz w:val="32"/>
          <w:szCs w:val="32"/>
          <w:highlight w:val="none"/>
        </w:rPr>
        <w:instrText xml:space="preserve"> </w:instrText>
      </w:r>
      <w:r>
        <w:rPr>
          <w:color w:val="auto"/>
          <w:sz w:val="32"/>
          <w:szCs w:val="32"/>
          <w:highlight w:val="none"/>
        </w:rPr>
        <w:fldChar w:fldCharType="separate"/>
      </w:r>
      <w:r>
        <w:rPr>
          <w:rStyle w:val="42"/>
          <w:rFonts w:hint="eastAsia" w:ascii="宋体" w:hAnsi="宋体"/>
          <w:b/>
          <w:color w:val="auto"/>
          <w:sz w:val="32"/>
          <w:szCs w:val="32"/>
          <w:highlight w:val="none"/>
        </w:rPr>
        <w:t>第三章</w:t>
      </w:r>
      <w:r>
        <w:rPr>
          <w:rStyle w:val="42"/>
          <w:rFonts w:ascii="宋体" w:hAnsi="宋体"/>
          <w:b/>
          <w:color w:val="auto"/>
          <w:sz w:val="32"/>
          <w:szCs w:val="32"/>
          <w:highlight w:val="none"/>
        </w:rPr>
        <w:t xml:space="preserve">  </w:t>
      </w:r>
      <w:r>
        <w:rPr>
          <w:rStyle w:val="42"/>
          <w:rFonts w:hint="eastAsia" w:ascii="宋体" w:hAnsi="宋体"/>
          <w:b/>
          <w:color w:val="auto"/>
          <w:sz w:val="32"/>
          <w:szCs w:val="32"/>
          <w:highlight w:val="none"/>
        </w:rPr>
        <w:t>项目</w:t>
      </w:r>
      <w:bookmarkStart w:id="4" w:name="_Hlt520368547"/>
      <w:r>
        <w:rPr>
          <w:rStyle w:val="42"/>
          <w:rFonts w:hint="eastAsia" w:ascii="宋体" w:hAnsi="宋体"/>
          <w:b/>
          <w:color w:val="auto"/>
          <w:sz w:val="32"/>
          <w:szCs w:val="32"/>
          <w:highlight w:val="none"/>
        </w:rPr>
        <w:t>采</w:t>
      </w:r>
      <w:bookmarkEnd w:id="4"/>
      <w:r>
        <w:rPr>
          <w:rStyle w:val="42"/>
          <w:rFonts w:hint="eastAsia" w:ascii="宋体" w:hAnsi="宋体"/>
          <w:b/>
          <w:color w:val="auto"/>
          <w:sz w:val="32"/>
          <w:szCs w:val="32"/>
          <w:highlight w:val="none"/>
        </w:rPr>
        <w:t>购需求</w:t>
      </w:r>
      <w:r>
        <w:rPr>
          <w:color w:val="auto"/>
          <w:sz w:val="32"/>
          <w:szCs w:val="32"/>
          <w:highlight w:val="none"/>
        </w:rPr>
        <w:tab/>
      </w:r>
      <w:r>
        <w:rPr>
          <w:rFonts w:hint="eastAsia"/>
          <w:color w:val="auto"/>
          <w:sz w:val="32"/>
          <w:szCs w:val="32"/>
          <w:highlight w:val="none"/>
        </w:rPr>
        <w:t>1</w:t>
      </w:r>
      <w:r>
        <w:rPr>
          <w:color w:val="auto"/>
          <w:sz w:val="32"/>
          <w:szCs w:val="32"/>
          <w:highlight w:val="none"/>
        </w:rPr>
        <w:fldChar w:fldCharType="end"/>
      </w:r>
      <w:r>
        <w:rPr>
          <w:rFonts w:hint="eastAsia"/>
          <w:color w:val="auto"/>
          <w:sz w:val="32"/>
          <w:szCs w:val="32"/>
          <w:highlight w:val="none"/>
        </w:rPr>
        <w:t xml:space="preserve">8 </w:t>
      </w:r>
      <w:r>
        <w:rPr>
          <w:rFonts w:hint="eastAsia" w:eastAsia="宋体"/>
          <w:color w:val="auto"/>
          <w:sz w:val="32"/>
          <w:szCs w:val="32"/>
          <w:highlight w:val="none"/>
          <w:lang w:val="en-US" w:eastAsia="zh-CN"/>
        </w:rPr>
        <w:t xml:space="preserve">  </w:t>
      </w:r>
      <w:r>
        <w:rPr>
          <w:rFonts w:hint="eastAsia"/>
          <w:color w:val="auto"/>
          <w:sz w:val="32"/>
          <w:szCs w:val="32"/>
          <w:highlight w:val="none"/>
        </w:rPr>
        <w:t xml:space="preserve">           </w:t>
      </w:r>
    </w:p>
    <w:p>
      <w:pPr>
        <w:pStyle w:val="29"/>
        <w:tabs>
          <w:tab w:val="right" w:leader="dot" w:pos="9402"/>
        </w:tabs>
        <w:rPr>
          <w:rFonts w:hint="eastAsia"/>
          <w:color w:val="auto"/>
          <w:sz w:val="32"/>
          <w:szCs w:val="32"/>
          <w:highlight w:val="none"/>
        </w:rPr>
      </w:pPr>
      <w:r>
        <w:rPr>
          <w:color w:val="auto"/>
          <w:sz w:val="32"/>
          <w:szCs w:val="32"/>
          <w:highlight w:val="none"/>
        </w:rPr>
        <w:fldChar w:fldCharType="begin"/>
      </w:r>
      <w:r>
        <w:rPr>
          <w:rStyle w:val="42"/>
          <w:color w:val="auto"/>
          <w:sz w:val="32"/>
          <w:szCs w:val="32"/>
          <w:highlight w:val="none"/>
        </w:rPr>
        <w:instrText xml:space="preserve"> </w:instrText>
      </w:r>
      <w:r>
        <w:rPr>
          <w:color w:val="auto"/>
          <w:sz w:val="32"/>
          <w:szCs w:val="32"/>
          <w:highlight w:val="none"/>
        </w:rPr>
        <w:instrText xml:space="preserve">HYPERLINK \l "_Toc433105010"</w:instrText>
      </w:r>
      <w:r>
        <w:rPr>
          <w:rStyle w:val="42"/>
          <w:color w:val="auto"/>
          <w:sz w:val="32"/>
          <w:szCs w:val="32"/>
          <w:highlight w:val="none"/>
        </w:rPr>
        <w:instrText xml:space="preserve"> </w:instrText>
      </w:r>
      <w:r>
        <w:rPr>
          <w:color w:val="auto"/>
          <w:sz w:val="32"/>
          <w:szCs w:val="32"/>
          <w:highlight w:val="none"/>
        </w:rPr>
        <w:fldChar w:fldCharType="separate"/>
      </w:r>
      <w:r>
        <w:rPr>
          <w:rStyle w:val="42"/>
          <w:rFonts w:hint="eastAsia" w:ascii="宋体" w:hAnsi="宋体"/>
          <w:b/>
          <w:color w:val="auto"/>
          <w:sz w:val="32"/>
          <w:szCs w:val="32"/>
          <w:highlight w:val="none"/>
        </w:rPr>
        <w:t>第四章</w:t>
      </w:r>
      <w:r>
        <w:rPr>
          <w:rStyle w:val="42"/>
          <w:rFonts w:ascii="宋体" w:hAnsi="宋体"/>
          <w:b/>
          <w:color w:val="auto"/>
          <w:sz w:val="32"/>
          <w:szCs w:val="32"/>
          <w:highlight w:val="none"/>
        </w:rPr>
        <w:t xml:space="preserve">  </w:t>
      </w:r>
      <w:r>
        <w:rPr>
          <w:rStyle w:val="42"/>
          <w:rFonts w:hint="eastAsia" w:ascii="宋体" w:hAnsi="宋体"/>
          <w:b/>
          <w:color w:val="auto"/>
          <w:sz w:val="32"/>
          <w:szCs w:val="32"/>
          <w:highlight w:val="none"/>
        </w:rPr>
        <w:t>竞争性</w:t>
      </w:r>
      <w:bookmarkStart w:id="5" w:name="_Hlt520368555"/>
      <w:r>
        <w:rPr>
          <w:rStyle w:val="42"/>
          <w:rFonts w:hint="eastAsia" w:ascii="宋体" w:hAnsi="宋体"/>
          <w:b/>
          <w:color w:val="auto"/>
          <w:sz w:val="32"/>
          <w:szCs w:val="32"/>
          <w:highlight w:val="none"/>
        </w:rPr>
        <w:t>谈</w:t>
      </w:r>
      <w:bookmarkEnd w:id="5"/>
      <w:r>
        <w:rPr>
          <w:rStyle w:val="42"/>
          <w:rFonts w:hint="eastAsia" w:ascii="宋体" w:hAnsi="宋体"/>
          <w:b/>
          <w:color w:val="auto"/>
          <w:sz w:val="32"/>
          <w:szCs w:val="32"/>
          <w:highlight w:val="none"/>
        </w:rPr>
        <w:t>判响应文件格式</w:t>
      </w:r>
      <w:r>
        <w:rPr>
          <w:color w:val="auto"/>
          <w:sz w:val="32"/>
          <w:szCs w:val="32"/>
          <w:highlight w:val="none"/>
        </w:rPr>
        <w:tab/>
      </w:r>
      <w:r>
        <w:rPr>
          <w:rFonts w:hint="eastAsia" w:eastAsia="宋体"/>
          <w:color w:val="auto"/>
          <w:sz w:val="32"/>
          <w:szCs w:val="32"/>
          <w:highlight w:val="none"/>
          <w:lang w:val="en-US" w:eastAsia="zh-CN"/>
        </w:rPr>
        <w:t>3</w:t>
      </w:r>
      <w:r>
        <w:rPr>
          <w:color w:val="auto"/>
          <w:sz w:val="32"/>
          <w:szCs w:val="32"/>
          <w:highlight w:val="none"/>
        </w:rPr>
        <w:fldChar w:fldCharType="end"/>
      </w:r>
      <w:r>
        <w:rPr>
          <w:rFonts w:hint="eastAsia" w:eastAsia="宋体"/>
          <w:color w:val="auto"/>
          <w:sz w:val="32"/>
          <w:szCs w:val="32"/>
          <w:highlight w:val="none"/>
          <w:lang w:val="en-US" w:eastAsia="zh-CN"/>
        </w:rPr>
        <w:t>0</w:t>
      </w:r>
      <w:r>
        <w:rPr>
          <w:rFonts w:hint="eastAsia"/>
          <w:color w:val="auto"/>
          <w:sz w:val="32"/>
          <w:szCs w:val="32"/>
          <w:highlight w:val="none"/>
        </w:rPr>
        <w:t xml:space="preserve"> </w:t>
      </w:r>
      <w:r>
        <w:rPr>
          <w:rFonts w:hint="eastAsia" w:eastAsia="宋体"/>
          <w:color w:val="auto"/>
          <w:sz w:val="32"/>
          <w:szCs w:val="32"/>
          <w:highlight w:val="none"/>
          <w:lang w:val="en-US" w:eastAsia="zh-CN"/>
        </w:rPr>
        <w:t xml:space="preserve"> </w:t>
      </w:r>
      <w:r>
        <w:rPr>
          <w:rFonts w:hint="eastAsia"/>
          <w:color w:val="auto"/>
          <w:sz w:val="32"/>
          <w:szCs w:val="32"/>
          <w:highlight w:val="none"/>
        </w:rPr>
        <w:t xml:space="preserve">       </w:t>
      </w:r>
    </w:p>
    <w:p>
      <w:pPr>
        <w:pStyle w:val="29"/>
        <w:tabs>
          <w:tab w:val="right" w:leader="dot" w:pos="9402"/>
        </w:tabs>
        <w:rPr>
          <w:rFonts w:hint="eastAsia"/>
          <w:color w:val="auto"/>
          <w:sz w:val="32"/>
          <w:szCs w:val="32"/>
          <w:highlight w:val="none"/>
        </w:rPr>
      </w:pPr>
      <w:r>
        <w:rPr>
          <w:color w:val="auto"/>
          <w:sz w:val="32"/>
          <w:szCs w:val="32"/>
          <w:highlight w:val="none"/>
        </w:rPr>
        <w:fldChar w:fldCharType="begin"/>
      </w:r>
      <w:r>
        <w:rPr>
          <w:rStyle w:val="42"/>
          <w:color w:val="auto"/>
          <w:sz w:val="32"/>
          <w:szCs w:val="32"/>
          <w:highlight w:val="none"/>
        </w:rPr>
        <w:instrText xml:space="preserve"> </w:instrText>
      </w:r>
      <w:r>
        <w:rPr>
          <w:color w:val="auto"/>
          <w:sz w:val="32"/>
          <w:szCs w:val="32"/>
          <w:highlight w:val="none"/>
        </w:rPr>
        <w:instrText xml:space="preserve">HYPERLINK \l "_Toc433105011"</w:instrText>
      </w:r>
      <w:r>
        <w:rPr>
          <w:rStyle w:val="42"/>
          <w:color w:val="auto"/>
          <w:sz w:val="32"/>
          <w:szCs w:val="32"/>
          <w:highlight w:val="none"/>
        </w:rPr>
        <w:instrText xml:space="preserve"> </w:instrText>
      </w:r>
      <w:r>
        <w:rPr>
          <w:color w:val="auto"/>
          <w:sz w:val="32"/>
          <w:szCs w:val="32"/>
          <w:highlight w:val="none"/>
        </w:rPr>
        <w:fldChar w:fldCharType="separate"/>
      </w:r>
      <w:r>
        <w:rPr>
          <w:rStyle w:val="42"/>
          <w:rFonts w:hint="eastAsia" w:ascii="宋体" w:hAnsi="宋体"/>
          <w:b/>
          <w:color w:val="auto"/>
          <w:kern w:val="0"/>
          <w:sz w:val="32"/>
          <w:szCs w:val="32"/>
          <w:highlight w:val="none"/>
        </w:rPr>
        <w:t>第五章</w:t>
      </w:r>
      <w:r>
        <w:rPr>
          <w:rStyle w:val="42"/>
          <w:rFonts w:ascii="宋体" w:hAnsi="宋体"/>
          <w:b/>
          <w:color w:val="auto"/>
          <w:kern w:val="0"/>
          <w:sz w:val="32"/>
          <w:szCs w:val="32"/>
          <w:highlight w:val="none"/>
        </w:rPr>
        <w:t xml:space="preserve">  </w:t>
      </w:r>
      <w:r>
        <w:rPr>
          <w:rStyle w:val="42"/>
          <w:rFonts w:hint="eastAsia" w:ascii="宋体" w:hAnsi="宋体"/>
          <w:b/>
          <w:color w:val="auto"/>
          <w:kern w:val="0"/>
          <w:sz w:val="32"/>
          <w:szCs w:val="32"/>
          <w:highlight w:val="none"/>
        </w:rPr>
        <w:t>合同</w:t>
      </w:r>
      <w:bookmarkStart w:id="6" w:name="_Hlt520368566"/>
      <w:r>
        <w:rPr>
          <w:rStyle w:val="42"/>
          <w:rFonts w:hint="eastAsia" w:ascii="宋体" w:hAnsi="宋体"/>
          <w:b/>
          <w:color w:val="auto"/>
          <w:kern w:val="0"/>
          <w:sz w:val="32"/>
          <w:szCs w:val="32"/>
          <w:highlight w:val="none"/>
        </w:rPr>
        <w:t>格</w:t>
      </w:r>
      <w:bookmarkEnd w:id="6"/>
      <w:r>
        <w:rPr>
          <w:rStyle w:val="42"/>
          <w:rFonts w:hint="eastAsia" w:ascii="宋体" w:hAnsi="宋体"/>
          <w:b/>
          <w:color w:val="auto"/>
          <w:kern w:val="0"/>
          <w:sz w:val="32"/>
          <w:szCs w:val="32"/>
          <w:highlight w:val="none"/>
        </w:rPr>
        <w:t>式</w:t>
      </w:r>
      <w:r>
        <w:rPr>
          <w:color w:val="auto"/>
          <w:sz w:val="32"/>
          <w:szCs w:val="32"/>
          <w:highlight w:val="none"/>
        </w:rPr>
        <w:tab/>
      </w:r>
      <w:r>
        <w:rPr>
          <w:rFonts w:hint="eastAsia" w:eastAsia="宋体"/>
          <w:color w:val="auto"/>
          <w:sz w:val="32"/>
          <w:szCs w:val="32"/>
          <w:highlight w:val="none"/>
          <w:lang w:val="en-US" w:eastAsia="zh-CN"/>
        </w:rPr>
        <w:t>5</w:t>
      </w:r>
      <w:r>
        <w:rPr>
          <w:color w:val="auto"/>
          <w:sz w:val="32"/>
          <w:szCs w:val="32"/>
          <w:highlight w:val="none"/>
        </w:rPr>
        <w:fldChar w:fldCharType="end"/>
      </w:r>
      <w:r>
        <w:rPr>
          <w:rFonts w:hint="eastAsia" w:eastAsia="宋体"/>
          <w:color w:val="auto"/>
          <w:sz w:val="32"/>
          <w:szCs w:val="32"/>
          <w:highlight w:val="none"/>
          <w:lang w:val="en-US" w:eastAsia="zh-CN"/>
        </w:rPr>
        <w:t xml:space="preserve">0   </w:t>
      </w:r>
      <w:r>
        <w:rPr>
          <w:rFonts w:hint="eastAsia"/>
          <w:color w:val="auto"/>
          <w:sz w:val="32"/>
          <w:szCs w:val="32"/>
          <w:highlight w:val="none"/>
        </w:rPr>
        <w:t xml:space="preserve">         </w:t>
      </w:r>
    </w:p>
    <w:p>
      <w:pPr>
        <w:pStyle w:val="29"/>
        <w:tabs>
          <w:tab w:val="right" w:leader="dot" w:pos="9402"/>
        </w:tabs>
        <w:rPr>
          <w:rFonts w:hint="eastAsia"/>
          <w:color w:val="auto"/>
          <w:sz w:val="32"/>
          <w:szCs w:val="32"/>
          <w:highlight w:val="none"/>
        </w:rPr>
      </w:pPr>
      <w:r>
        <w:rPr>
          <w:color w:val="auto"/>
          <w:sz w:val="32"/>
          <w:szCs w:val="32"/>
          <w:highlight w:val="none"/>
        </w:rPr>
        <w:fldChar w:fldCharType="begin"/>
      </w:r>
      <w:r>
        <w:rPr>
          <w:rStyle w:val="42"/>
          <w:color w:val="auto"/>
          <w:sz w:val="32"/>
          <w:szCs w:val="32"/>
          <w:highlight w:val="none"/>
        </w:rPr>
        <w:instrText xml:space="preserve"> </w:instrText>
      </w:r>
      <w:r>
        <w:rPr>
          <w:color w:val="auto"/>
          <w:sz w:val="32"/>
          <w:szCs w:val="32"/>
          <w:highlight w:val="none"/>
        </w:rPr>
        <w:instrText xml:space="preserve">HYPERLINK \l "_Toc433105012"</w:instrText>
      </w:r>
      <w:r>
        <w:rPr>
          <w:rStyle w:val="42"/>
          <w:color w:val="auto"/>
          <w:sz w:val="32"/>
          <w:szCs w:val="32"/>
          <w:highlight w:val="none"/>
        </w:rPr>
        <w:instrText xml:space="preserve"> </w:instrText>
      </w:r>
      <w:r>
        <w:rPr>
          <w:color w:val="auto"/>
          <w:sz w:val="32"/>
          <w:szCs w:val="32"/>
          <w:highlight w:val="none"/>
        </w:rPr>
        <w:fldChar w:fldCharType="separate"/>
      </w:r>
      <w:r>
        <w:rPr>
          <w:rStyle w:val="42"/>
          <w:rFonts w:hint="eastAsia" w:ascii="宋体" w:hAnsi="宋体"/>
          <w:b/>
          <w:color w:val="auto"/>
          <w:kern w:val="0"/>
          <w:sz w:val="32"/>
          <w:szCs w:val="32"/>
          <w:highlight w:val="none"/>
        </w:rPr>
        <w:t>第六章</w:t>
      </w:r>
      <w:r>
        <w:rPr>
          <w:rStyle w:val="42"/>
          <w:rFonts w:ascii="宋体" w:hAnsi="宋体"/>
          <w:b/>
          <w:color w:val="auto"/>
          <w:kern w:val="0"/>
          <w:sz w:val="32"/>
          <w:szCs w:val="32"/>
          <w:highlight w:val="none"/>
        </w:rPr>
        <w:t xml:space="preserve">  </w:t>
      </w:r>
      <w:r>
        <w:rPr>
          <w:rStyle w:val="42"/>
          <w:rFonts w:hint="eastAsia" w:ascii="宋体" w:hAnsi="宋体"/>
          <w:b/>
          <w:color w:val="auto"/>
          <w:kern w:val="0"/>
          <w:sz w:val="32"/>
          <w:szCs w:val="32"/>
          <w:highlight w:val="none"/>
        </w:rPr>
        <w:t>评定标准</w:t>
      </w:r>
      <w:r>
        <w:rPr>
          <w:color w:val="auto"/>
          <w:sz w:val="32"/>
          <w:szCs w:val="32"/>
          <w:highlight w:val="none"/>
        </w:rPr>
        <w:tab/>
      </w:r>
      <w:r>
        <w:rPr>
          <w:rFonts w:hint="eastAsia"/>
          <w:color w:val="auto"/>
          <w:sz w:val="32"/>
          <w:szCs w:val="32"/>
          <w:highlight w:val="none"/>
        </w:rPr>
        <w:t>5</w:t>
      </w:r>
      <w:r>
        <w:rPr>
          <w:rFonts w:hint="eastAsia" w:eastAsia="宋体"/>
          <w:color w:val="auto"/>
          <w:sz w:val="32"/>
          <w:szCs w:val="32"/>
          <w:highlight w:val="none"/>
          <w:lang w:val="en-US" w:eastAsia="zh-CN"/>
        </w:rPr>
        <w:t>8</w:t>
      </w:r>
      <w:r>
        <w:rPr>
          <w:color w:val="auto"/>
          <w:sz w:val="32"/>
          <w:szCs w:val="32"/>
          <w:highlight w:val="none"/>
        </w:rPr>
        <w:fldChar w:fldCharType="end"/>
      </w:r>
      <w:r>
        <w:rPr>
          <w:rFonts w:hint="eastAsia"/>
          <w:color w:val="auto"/>
          <w:sz w:val="32"/>
          <w:szCs w:val="32"/>
          <w:highlight w:val="none"/>
        </w:rPr>
        <w:t xml:space="preserve">        </w:t>
      </w:r>
    </w:p>
    <w:p>
      <w:pPr>
        <w:pStyle w:val="22"/>
        <w:adjustRightInd w:val="0"/>
        <w:snapToGrid w:val="0"/>
        <w:spacing w:line="360" w:lineRule="auto"/>
        <w:ind w:firstLine="15"/>
        <w:rPr>
          <w:rFonts w:hint="eastAsia" w:ascii="仿宋_GB2312" w:hAnsi="宋体" w:eastAsia="仿宋_GB2312"/>
          <w:b/>
          <w:color w:val="auto"/>
          <w:sz w:val="32"/>
          <w:szCs w:val="32"/>
          <w:highlight w:val="none"/>
        </w:rPr>
      </w:pPr>
      <w:r>
        <w:rPr>
          <w:rFonts w:hAnsi="宋体"/>
          <w:b/>
          <w:color w:val="auto"/>
          <w:sz w:val="32"/>
          <w:szCs w:val="32"/>
          <w:highlight w:val="none"/>
        </w:rPr>
        <w:fldChar w:fldCharType="end"/>
      </w:r>
    </w:p>
    <w:p>
      <w:pPr>
        <w:spacing w:line="400" w:lineRule="exact"/>
        <w:jc w:val="center"/>
        <w:rPr>
          <w:rFonts w:hint="eastAsia" w:ascii="仿宋_GB2312" w:hAnsi="宋体" w:eastAsia="仿宋_GB2312"/>
          <w:b/>
          <w:color w:val="auto"/>
          <w:sz w:val="32"/>
          <w:szCs w:val="32"/>
          <w:highlight w:val="none"/>
        </w:rPr>
      </w:pPr>
    </w:p>
    <w:p>
      <w:pPr>
        <w:spacing w:line="400" w:lineRule="exact"/>
        <w:jc w:val="center"/>
        <w:rPr>
          <w:rFonts w:hint="eastAsia" w:ascii="仿宋_GB2312" w:hAnsi="宋体" w:eastAsia="仿宋_GB2312"/>
          <w:b/>
          <w:color w:val="auto"/>
          <w:sz w:val="32"/>
          <w:szCs w:val="32"/>
          <w:highlight w:val="none"/>
        </w:rPr>
      </w:pPr>
    </w:p>
    <w:p>
      <w:pPr>
        <w:spacing w:line="400" w:lineRule="exact"/>
        <w:jc w:val="right"/>
        <w:rPr>
          <w:rFonts w:hint="eastAsia" w:ascii="仿宋_GB2312" w:hAnsi="宋体" w:eastAsia="仿宋_GB2312"/>
          <w:b/>
          <w:color w:val="auto"/>
          <w:sz w:val="32"/>
          <w:szCs w:val="32"/>
          <w:highlight w:val="none"/>
        </w:rPr>
      </w:pPr>
    </w:p>
    <w:p>
      <w:pPr>
        <w:spacing w:line="400" w:lineRule="exact"/>
        <w:jc w:val="center"/>
        <w:rPr>
          <w:rFonts w:hint="eastAsia" w:ascii="仿宋_GB2312" w:hAnsi="宋体" w:eastAsia="仿宋_GB2312"/>
          <w:b/>
          <w:color w:val="auto"/>
          <w:sz w:val="32"/>
          <w:szCs w:val="32"/>
          <w:highlight w:val="none"/>
        </w:rPr>
      </w:pPr>
    </w:p>
    <w:p>
      <w:pPr>
        <w:spacing w:line="400" w:lineRule="exact"/>
        <w:jc w:val="center"/>
        <w:rPr>
          <w:rFonts w:hint="eastAsia" w:ascii="仿宋_GB2312" w:hAnsi="宋体" w:eastAsia="仿宋_GB2312"/>
          <w:b/>
          <w:color w:val="auto"/>
          <w:sz w:val="32"/>
          <w:szCs w:val="32"/>
          <w:highlight w:val="none"/>
        </w:rPr>
      </w:pPr>
    </w:p>
    <w:p>
      <w:pPr>
        <w:spacing w:line="400" w:lineRule="exact"/>
        <w:jc w:val="center"/>
        <w:rPr>
          <w:rFonts w:hint="eastAsia" w:ascii="仿宋_GB2312" w:hAnsi="宋体" w:eastAsia="仿宋_GB2312"/>
          <w:b/>
          <w:color w:val="auto"/>
          <w:sz w:val="32"/>
          <w:szCs w:val="32"/>
          <w:highlight w:val="none"/>
        </w:rPr>
      </w:pPr>
    </w:p>
    <w:p>
      <w:pPr>
        <w:spacing w:line="400" w:lineRule="exact"/>
        <w:jc w:val="center"/>
        <w:rPr>
          <w:rFonts w:hint="eastAsia" w:ascii="仿宋_GB2312" w:hAnsi="宋体" w:eastAsia="仿宋_GB2312"/>
          <w:b/>
          <w:color w:val="auto"/>
          <w:sz w:val="32"/>
          <w:szCs w:val="32"/>
          <w:highlight w:val="none"/>
        </w:rPr>
      </w:pPr>
    </w:p>
    <w:p>
      <w:pPr>
        <w:spacing w:line="400" w:lineRule="exact"/>
        <w:jc w:val="center"/>
        <w:rPr>
          <w:rFonts w:hint="eastAsia" w:ascii="仿宋_GB2312" w:hAnsi="宋体" w:eastAsia="仿宋_GB2312"/>
          <w:b/>
          <w:color w:val="auto"/>
          <w:sz w:val="32"/>
          <w:szCs w:val="32"/>
          <w:highlight w:val="none"/>
        </w:rPr>
      </w:pPr>
    </w:p>
    <w:p>
      <w:pPr>
        <w:spacing w:line="400" w:lineRule="exact"/>
        <w:jc w:val="center"/>
        <w:rPr>
          <w:rFonts w:hint="eastAsia" w:ascii="仿宋_GB2312" w:hAnsi="宋体" w:eastAsia="仿宋_GB2312"/>
          <w:b/>
          <w:color w:val="auto"/>
          <w:sz w:val="32"/>
          <w:szCs w:val="32"/>
          <w:highlight w:val="none"/>
        </w:rPr>
      </w:pPr>
    </w:p>
    <w:p>
      <w:pPr>
        <w:spacing w:line="400" w:lineRule="exact"/>
        <w:jc w:val="center"/>
        <w:rPr>
          <w:rFonts w:hint="eastAsia" w:ascii="仿宋_GB2312" w:hAnsi="宋体" w:eastAsia="仿宋_GB2312"/>
          <w:b/>
          <w:color w:val="auto"/>
          <w:sz w:val="32"/>
          <w:szCs w:val="32"/>
          <w:highlight w:val="none"/>
        </w:rPr>
      </w:pPr>
    </w:p>
    <w:p>
      <w:pPr>
        <w:spacing w:line="400" w:lineRule="exact"/>
        <w:jc w:val="center"/>
        <w:rPr>
          <w:rFonts w:hint="eastAsia" w:ascii="仿宋_GB2312" w:hAnsi="宋体" w:eastAsia="仿宋_GB2312"/>
          <w:b/>
          <w:color w:val="auto"/>
          <w:sz w:val="32"/>
          <w:szCs w:val="32"/>
          <w:highlight w:val="none"/>
        </w:rPr>
      </w:pPr>
    </w:p>
    <w:p>
      <w:pPr>
        <w:spacing w:line="400" w:lineRule="exact"/>
        <w:jc w:val="center"/>
        <w:rPr>
          <w:rFonts w:hint="eastAsia" w:ascii="仿宋_GB2312" w:hAnsi="宋体" w:eastAsia="仿宋_GB2312"/>
          <w:b/>
          <w:color w:val="auto"/>
          <w:sz w:val="32"/>
          <w:szCs w:val="32"/>
          <w:highlight w:val="none"/>
        </w:rPr>
      </w:pPr>
    </w:p>
    <w:p>
      <w:pPr>
        <w:spacing w:line="400" w:lineRule="exact"/>
        <w:rPr>
          <w:rFonts w:hint="eastAsia" w:ascii="仿宋_GB2312" w:hAnsi="宋体" w:eastAsia="仿宋_GB2312"/>
          <w:b/>
          <w:color w:val="auto"/>
          <w:sz w:val="32"/>
          <w:szCs w:val="32"/>
          <w:highlight w:val="none"/>
        </w:rPr>
      </w:pPr>
    </w:p>
    <w:p>
      <w:pPr>
        <w:spacing w:line="400" w:lineRule="exact"/>
        <w:rPr>
          <w:rFonts w:hint="eastAsia" w:ascii="仿宋_GB2312" w:hAnsi="宋体" w:eastAsia="仿宋_GB2312"/>
          <w:b/>
          <w:color w:val="auto"/>
          <w:sz w:val="32"/>
          <w:szCs w:val="32"/>
          <w:highlight w:val="none"/>
        </w:rPr>
      </w:pPr>
    </w:p>
    <w:p>
      <w:pPr>
        <w:spacing w:line="400" w:lineRule="exact"/>
        <w:rPr>
          <w:rFonts w:hint="eastAsia" w:ascii="仿宋_GB2312" w:hAnsi="宋体" w:eastAsia="仿宋_GB2312"/>
          <w:b/>
          <w:color w:val="auto"/>
          <w:sz w:val="32"/>
          <w:szCs w:val="32"/>
          <w:highlight w:val="none"/>
        </w:rPr>
      </w:pPr>
    </w:p>
    <w:p>
      <w:pPr>
        <w:spacing w:line="400" w:lineRule="exact"/>
        <w:rPr>
          <w:rFonts w:hint="eastAsia" w:ascii="仿宋_GB2312" w:hAnsi="宋体" w:eastAsia="仿宋_GB2312"/>
          <w:b/>
          <w:color w:val="auto"/>
          <w:sz w:val="32"/>
          <w:szCs w:val="32"/>
          <w:highlight w:val="none"/>
        </w:rPr>
      </w:pPr>
    </w:p>
    <w:p>
      <w:pPr>
        <w:spacing w:line="400" w:lineRule="exact"/>
        <w:rPr>
          <w:rFonts w:hint="eastAsia" w:ascii="仿宋_GB2312" w:hAnsi="宋体" w:eastAsia="仿宋_GB2312"/>
          <w:b/>
          <w:color w:val="auto"/>
          <w:sz w:val="32"/>
          <w:szCs w:val="32"/>
          <w:highlight w:val="none"/>
        </w:rPr>
      </w:pPr>
    </w:p>
    <w:p>
      <w:pPr>
        <w:spacing w:line="400" w:lineRule="exact"/>
        <w:rPr>
          <w:rFonts w:hint="eastAsia" w:ascii="仿宋_GB2312" w:hAnsi="宋体" w:eastAsia="仿宋_GB2312"/>
          <w:b/>
          <w:color w:val="auto"/>
          <w:sz w:val="32"/>
          <w:szCs w:val="32"/>
          <w:highlight w:val="none"/>
        </w:rPr>
      </w:pPr>
    </w:p>
    <w:p>
      <w:pPr>
        <w:spacing w:line="400" w:lineRule="exact"/>
        <w:rPr>
          <w:rFonts w:hint="eastAsia" w:ascii="仿宋_GB2312" w:hAnsi="宋体" w:eastAsia="仿宋_GB2312"/>
          <w:b/>
          <w:color w:val="auto"/>
          <w:sz w:val="32"/>
          <w:szCs w:val="32"/>
          <w:highlight w:val="none"/>
        </w:rPr>
      </w:pPr>
    </w:p>
    <w:p>
      <w:pPr>
        <w:spacing w:line="400" w:lineRule="exact"/>
        <w:rPr>
          <w:rFonts w:hint="eastAsia" w:ascii="仿宋_GB2312" w:hAnsi="宋体" w:eastAsia="仿宋_GB2312"/>
          <w:b/>
          <w:color w:val="auto"/>
          <w:sz w:val="32"/>
          <w:szCs w:val="32"/>
          <w:highlight w:val="none"/>
        </w:rPr>
      </w:pPr>
    </w:p>
    <w:p>
      <w:pPr>
        <w:spacing w:line="400" w:lineRule="exact"/>
        <w:rPr>
          <w:rFonts w:hint="eastAsia" w:ascii="仿宋_GB2312" w:hAnsi="宋体" w:eastAsia="仿宋_GB2312"/>
          <w:b/>
          <w:color w:val="auto"/>
          <w:sz w:val="32"/>
          <w:szCs w:val="32"/>
          <w:highlight w:val="none"/>
        </w:rPr>
      </w:pPr>
    </w:p>
    <w:p>
      <w:pPr>
        <w:spacing w:line="400" w:lineRule="exact"/>
        <w:rPr>
          <w:rFonts w:hint="eastAsia" w:ascii="仿宋_GB2312" w:hAnsi="宋体" w:eastAsia="仿宋_GB2312"/>
          <w:b/>
          <w:color w:val="auto"/>
          <w:sz w:val="32"/>
          <w:szCs w:val="32"/>
          <w:highlight w:val="none"/>
        </w:rPr>
      </w:pPr>
    </w:p>
    <w:p>
      <w:pPr>
        <w:spacing w:line="400" w:lineRule="exact"/>
        <w:rPr>
          <w:rFonts w:hint="eastAsia" w:ascii="仿宋_GB2312" w:hAnsi="宋体" w:eastAsia="仿宋_GB2312"/>
          <w:b/>
          <w:color w:val="auto"/>
          <w:sz w:val="32"/>
          <w:szCs w:val="32"/>
          <w:highlight w:val="none"/>
        </w:rPr>
      </w:pPr>
    </w:p>
    <w:p>
      <w:pPr>
        <w:spacing w:line="400" w:lineRule="exact"/>
        <w:rPr>
          <w:rFonts w:hint="eastAsia" w:ascii="仿宋_GB2312" w:hAnsi="宋体" w:eastAsia="仿宋_GB2312"/>
          <w:b/>
          <w:color w:val="auto"/>
          <w:sz w:val="32"/>
          <w:szCs w:val="32"/>
          <w:highlight w:val="none"/>
        </w:rPr>
      </w:pPr>
    </w:p>
    <w:p>
      <w:pPr>
        <w:spacing w:line="400" w:lineRule="exact"/>
        <w:rPr>
          <w:rFonts w:hint="eastAsia" w:ascii="仿宋_GB2312" w:hAnsi="宋体" w:eastAsia="仿宋_GB2312"/>
          <w:b/>
          <w:color w:val="auto"/>
          <w:sz w:val="32"/>
          <w:szCs w:val="32"/>
          <w:highlight w:val="none"/>
        </w:rPr>
      </w:pPr>
    </w:p>
    <w:p>
      <w:pPr>
        <w:spacing w:line="400" w:lineRule="exact"/>
        <w:jc w:val="center"/>
        <w:rPr>
          <w:rFonts w:hint="eastAsia" w:ascii="黑体" w:hAnsi="宋体" w:eastAsia="黑体"/>
          <w:b/>
          <w:color w:val="auto"/>
          <w:sz w:val="32"/>
          <w:szCs w:val="32"/>
          <w:highlight w:val="none"/>
        </w:rPr>
      </w:pPr>
    </w:p>
    <w:p>
      <w:pPr>
        <w:spacing w:line="400" w:lineRule="exact"/>
        <w:jc w:val="center"/>
        <w:rPr>
          <w:rFonts w:hint="eastAsia" w:ascii="黑体" w:hAnsi="宋体" w:eastAsia="黑体"/>
          <w:b/>
          <w:color w:val="auto"/>
          <w:sz w:val="32"/>
          <w:szCs w:val="32"/>
          <w:highlight w:val="none"/>
        </w:rPr>
      </w:pPr>
    </w:p>
    <w:p>
      <w:pPr>
        <w:spacing w:line="400" w:lineRule="exact"/>
        <w:rPr>
          <w:rFonts w:hint="eastAsia" w:ascii="黑体" w:hAnsi="宋体" w:eastAsia="黑体"/>
          <w:b/>
          <w:color w:val="auto"/>
          <w:sz w:val="32"/>
          <w:szCs w:val="32"/>
          <w:highlight w:val="none"/>
        </w:rPr>
      </w:pPr>
    </w:p>
    <w:p>
      <w:pPr>
        <w:spacing w:line="400" w:lineRule="exact"/>
        <w:jc w:val="center"/>
        <w:rPr>
          <w:rFonts w:hint="eastAsia" w:ascii="黑体" w:hAnsi="宋体" w:eastAsia="黑体"/>
          <w:b/>
          <w:color w:val="auto"/>
          <w:sz w:val="32"/>
          <w:szCs w:val="32"/>
          <w:highlight w:val="none"/>
        </w:rPr>
      </w:pPr>
    </w:p>
    <w:p>
      <w:pPr>
        <w:spacing w:line="400" w:lineRule="exact"/>
        <w:jc w:val="center"/>
        <w:rPr>
          <w:rFonts w:hint="eastAsia" w:ascii="黑体" w:hAnsi="宋体" w:eastAsia="黑体"/>
          <w:b/>
          <w:color w:val="auto"/>
          <w:sz w:val="32"/>
          <w:szCs w:val="32"/>
          <w:highlight w:val="none"/>
        </w:rPr>
      </w:pPr>
    </w:p>
    <w:p>
      <w:pPr>
        <w:spacing w:line="400" w:lineRule="exact"/>
        <w:jc w:val="center"/>
        <w:rPr>
          <w:rFonts w:hint="eastAsia" w:ascii="黑体" w:hAnsi="宋体" w:eastAsia="黑体"/>
          <w:b/>
          <w:color w:val="auto"/>
          <w:sz w:val="32"/>
          <w:szCs w:val="32"/>
          <w:highlight w:val="none"/>
        </w:rPr>
      </w:pPr>
    </w:p>
    <w:p>
      <w:pPr>
        <w:spacing w:line="400" w:lineRule="exact"/>
        <w:jc w:val="center"/>
        <w:rPr>
          <w:rFonts w:hint="eastAsia" w:ascii="黑体" w:hAnsi="宋体" w:eastAsia="黑体"/>
          <w:b/>
          <w:color w:val="auto"/>
          <w:sz w:val="32"/>
          <w:szCs w:val="32"/>
          <w:highlight w:val="none"/>
        </w:rPr>
      </w:pPr>
    </w:p>
    <w:p>
      <w:pPr>
        <w:spacing w:line="600" w:lineRule="exact"/>
        <w:jc w:val="center"/>
        <w:outlineLvl w:val="0"/>
        <w:rPr>
          <w:rFonts w:hint="eastAsia" w:ascii="宋体" w:hAnsi="宋体"/>
          <w:b/>
          <w:color w:val="auto"/>
          <w:sz w:val="44"/>
          <w:szCs w:val="44"/>
          <w:highlight w:val="none"/>
        </w:rPr>
      </w:pPr>
      <w:bookmarkStart w:id="7" w:name="_Toc433105007"/>
      <w:r>
        <w:rPr>
          <w:rFonts w:hint="eastAsia" w:ascii="宋体" w:hAnsi="宋体"/>
          <w:b/>
          <w:color w:val="auto"/>
          <w:sz w:val="44"/>
          <w:szCs w:val="44"/>
          <w:highlight w:val="none"/>
        </w:rPr>
        <w:t>第一章  竞争性谈判公告</w:t>
      </w:r>
      <w:bookmarkEnd w:id="7"/>
    </w:p>
    <w:p>
      <w:pPr>
        <w:spacing w:line="400" w:lineRule="exact"/>
        <w:jc w:val="center"/>
        <w:rPr>
          <w:rFonts w:hint="eastAsia" w:ascii="黑体" w:hAnsi="宋体" w:eastAsia="黑体"/>
          <w:b/>
          <w:color w:val="auto"/>
          <w:sz w:val="32"/>
          <w:szCs w:val="32"/>
          <w:highlight w:val="none"/>
        </w:rPr>
      </w:pPr>
    </w:p>
    <w:p>
      <w:pPr>
        <w:spacing w:line="400" w:lineRule="exact"/>
        <w:jc w:val="center"/>
        <w:rPr>
          <w:rFonts w:hint="eastAsia" w:ascii="黑体" w:hAnsi="宋体" w:eastAsia="黑体"/>
          <w:b/>
          <w:color w:val="auto"/>
          <w:sz w:val="32"/>
          <w:szCs w:val="32"/>
          <w:highlight w:val="none"/>
        </w:rPr>
      </w:pPr>
    </w:p>
    <w:p>
      <w:pPr>
        <w:spacing w:line="400" w:lineRule="exact"/>
        <w:jc w:val="center"/>
        <w:rPr>
          <w:rFonts w:hint="eastAsia" w:ascii="黑体" w:hAnsi="宋体" w:eastAsia="黑体"/>
          <w:b/>
          <w:color w:val="auto"/>
          <w:sz w:val="32"/>
          <w:szCs w:val="32"/>
          <w:highlight w:val="none"/>
        </w:rPr>
      </w:pPr>
    </w:p>
    <w:p>
      <w:pPr>
        <w:spacing w:line="400" w:lineRule="exact"/>
        <w:jc w:val="center"/>
        <w:rPr>
          <w:rFonts w:hint="eastAsia" w:ascii="黑体" w:hAnsi="宋体" w:eastAsia="黑体"/>
          <w:b/>
          <w:color w:val="auto"/>
          <w:sz w:val="32"/>
          <w:szCs w:val="32"/>
          <w:highlight w:val="none"/>
        </w:rPr>
      </w:pPr>
    </w:p>
    <w:p>
      <w:pPr>
        <w:spacing w:line="400" w:lineRule="exact"/>
        <w:jc w:val="center"/>
        <w:rPr>
          <w:rFonts w:hint="eastAsia" w:ascii="黑体" w:hAnsi="宋体" w:eastAsia="黑体"/>
          <w:b/>
          <w:color w:val="auto"/>
          <w:sz w:val="32"/>
          <w:szCs w:val="32"/>
          <w:highlight w:val="none"/>
        </w:rPr>
      </w:pPr>
    </w:p>
    <w:p>
      <w:pPr>
        <w:spacing w:line="400" w:lineRule="exact"/>
        <w:jc w:val="center"/>
        <w:rPr>
          <w:rFonts w:hint="eastAsia" w:ascii="黑体" w:hAnsi="宋体" w:eastAsia="黑体"/>
          <w:b/>
          <w:color w:val="auto"/>
          <w:sz w:val="32"/>
          <w:szCs w:val="32"/>
          <w:highlight w:val="none"/>
        </w:rPr>
      </w:pPr>
    </w:p>
    <w:p>
      <w:pPr>
        <w:spacing w:line="400" w:lineRule="exact"/>
        <w:jc w:val="center"/>
        <w:rPr>
          <w:rFonts w:hint="eastAsia" w:ascii="黑体" w:hAnsi="宋体" w:eastAsia="黑体"/>
          <w:b/>
          <w:color w:val="auto"/>
          <w:sz w:val="32"/>
          <w:szCs w:val="32"/>
          <w:highlight w:val="none"/>
        </w:rPr>
      </w:pPr>
    </w:p>
    <w:p>
      <w:pPr>
        <w:spacing w:line="400" w:lineRule="exact"/>
        <w:jc w:val="center"/>
        <w:rPr>
          <w:rFonts w:hint="eastAsia" w:ascii="黑体" w:hAnsi="宋体" w:eastAsia="黑体"/>
          <w:b/>
          <w:color w:val="auto"/>
          <w:sz w:val="32"/>
          <w:szCs w:val="32"/>
          <w:highlight w:val="none"/>
        </w:rPr>
      </w:pPr>
    </w:p>
    <w:p>
      <w:pPr>
        <w:spacing w:line="400" w:lineRule="exact"/>
        <w:jc w:val="center"/>
        <w:rPr>
          <w:rFonts w:hint="eastAsia" w:ascii="黑体" w:hAnsi="宋体" w:eastAsia="黑体"/>
          <w:b/>
          <w:color w:val="auto"/>
          <w:sz w:val="32"/>
          <w:szCs w:val="32"/>
          <w:highlight w:val="none"/>
        </w:rPr>
      </w:pPr>
    </w:p>
    <w:p>
      <w:pPr>
        <w:spacing w:line="400" w:lineRule="exact"/>
        <w:jc w:val="center"/>
        <w:rPr>
          <w:rFonts w:hint="eastAsia" w:ascii="黑体" w:hAnsi="宋体" w:eastAsia="黑体"/>
          <w:b/>
          <w:color w:val="auto"/>
          <w:sz w:val="32"/>
          <w:szCs w:val="32"/>
          <w:highlight w:val="none"/>
        </w:rPr>
      </w:pPr>
    </w:p>
    <w:p>
      <w:pPr>
        <w:spacing w:line="400" w:lineRule="exact"/>
        <w:jc w:val="center"/>
        <w:rPr>
          <w:rFonts w:hint="eastAsia" w:ascii="黑体" w:hAnsi="宋体" w:eastAsia="黑体"/>
          <w:b/>
          <w:color w:val="auto"/>
          <w:sz w:val="32"/>
          <w:szCs w:val="32"/>
          <w:highlight w:val="none"/>
        </w:rPr>
      </w:pPr>
    </w:p>
    <w:p>
      <w:pPr>
        <w:spacing w:line="400" w:lineRule="exact"/>
        <w:jc w:val="center"/>
        <w:rPr>
          <w:rFonts w:hint="eastAsia" w:ascii="黑体" w:hAnsi="宋体" w:eastAsia="黑体"/>
          <w:b/>
          <w:color w:val="auto"/>
          <w:sz w:val="32"/>
          <w:szCs w:val="32"/>
          <w:highlight w:val="none"/>
        </w:rPr>
      </w:pPr>
    </w:p>
    <w:p>
      <w:pPr>
        <w:spacing w:line="400" w:lineRule="exact"/>
        <w:jc w:val="center"/>
        <w:rPr>
          <w:rFonts w:hint="eastAsia" w:ascii="黑体" w:hAnsi="宋体" w:eastAsia="黑体"/>
          <w:b/>
          <w:color w:val="auto"/>
          <w:sz w:val="32"/>
          <w:szCs w:val="32"/>
          <w:highlight w:val="none"/>
        </w:rPr>
      </w:pPr>
    </w:p>
    <w:p>
      <w:pPr>
        <w:spacing w:line="400" w:lineRule="exact"/>
        <w:jc w:val="center"/>
        <w:rPr>
          <w:rFonts w:hint="eastAsia" w:ascii="黑体" w:hAnsi="宋体" w:eastAsia="黑体"/>
          <w:b/>
          <w:color w:val="auto"/>
          <w:sz w:val="32"/>
          <w:szCs w:val="32"/>
          <w:highlight w:val="none"/>
        </w:rPr>
      </w:pPr>
    </w:p>
    <w:p>
      <w:pPr>
        <w:spacing w:line="400" w:lineRule="exact"/>
        <w:jc w:val="center"/>
        <w:rPr>
          <w:rFonts w:hint="eastAsia" w:ascii="黑体" w:hAnsi="宋体" w:eastAsia="黑体"/>
          <w:b/>
          <w:color w:val="auto"/>
          <w:sz w:val="32"/>
          <w:szCs w:val="32"/>
          <w:highlight w:val="none"/>
        </w:rPr>
      </w:pPr>
    </w:p>
    <w:p>
      <w:pPr>
        <w:tabs>
          <w:tab w:val="left" w:pos="9639"/>
          <w:tab w:val="left" w:pos="9746"/>
        </w:tabs>
        <w:adjustRightInd w:val="0"/>
        <w:snapToGrid w:val="0"/>
        <w:spacing w:line="360" w:lineRule="auto"/>
        <w:jc w:val="center"/>
        <w:rPr>
          <w:rFonts w:hint="eastAsia" w:hAnsi="宋体" w:cs="宋体"/>
          <w:b/>
          <w:bCs/>
          <w:color w:val="auto"/>
          <w:kern w:val="0"/>
          <w:sz w:val="30"/>
          <w:szCs w:val="30"/>
          <w:highlight w:val="none"/>
        </w:rPr>
      </w:pPr>
      <w:r>
        <w:rPr>
          <w:rFonts w:hAnsi="宋体" w:cs="宋体"/>
          <w:bCs/>
          <w:color w:val="auto"/>
          <w:kern w:val="0"/>
          <w:szCs w:val="21"/>
          <w:highlight w:val="none"/>
        </w:rPr>
        <w:br w:type="page"/>
      </w:r>
      <w:r>
        <w:rPr>
          <w:rFonts w:hint="eastAsia" w:hAnsi="宋体" w:cs="宋体"/>
          <w:b/>
          <w:bCs/>
          <w:color w:val="auto"/>
          <w:kern w:val="0"/>
          <w:sz w:val="30"/>
          <w:szCs w:val="30"/>
          <w:highlight w:val="none"/>
          <w:lang w:eastAsia="zh-CN"/>
        </w:rPr>
        <w:t>梧州市人民警察训练学校电梯设备及附属工程项目</w:t>
      </w:r>
      <w:r>
        <w:rPr>
          <w:rFonts w:hint="eastAsia" w:hAnsi="宋体" w:cs="宋体"/>
          <w:b/>
          <w:bCs/>
          <w:color w:val="auto"/>
          <w:kern w:val="0"/>
          <w:sz w:val="30"/>
          <w:szCs w:val="30"/>
          <w:highlight w:val="none"/>
        </w:rPr>
        <w:t>采购</w:t>
      </w:r>
    </w:p>
    <w:p>
      <w:pPr>
        <w:tabs>
          <w:tab w:val="left" w:pos="9639"/>
          <w:tab w:val="left" w:pos="9746"/>
        </w:tabs>
        <w:adjustRightInd w:val="0"/>
        <w:snapToGrid w:val="0"/>
        <w:spacing w:line="360" w:lineRule="auto"/>
        <w:jc w:val="center"/>
        <w:rPr>
          <w:rFonts w:hint="eastAsia" w:hAnsi="宋体" w:cs="宋体"/>
          <w:b/>
          <w:bCs/>
          <w:color w:val="auto"/>
          <w:kern w:val="0"/>
          <w:sz w:val="30"/>
          <w:szCs w:val="30"/>
          <w:highlight w:val="none"/>
        </w:rPr>
      </w:pPr>
      <w:r>
        <w:rPr>
          <w:rFonts w:hint="eastAsia" w:hAnsi="宋体" w:cs="宋体"/>
          <w:b/>
          <w:bCs/>
          <w:color w:val="auto"/>
          <w:kern w:val="0"/>
          <w:sz w:val="30"/>
          <w:szCs w:val="30"/>
          <w:highlight w:val="none"/>
        </w:rPr>
        <w:t>竞争性谈判采购公告</w:t>
      </w:r>
    </w:p>
    <w:p>
      <w:pPr>
        <w:spacing w:line="400" w:lineRule="exact"/>
        <w:rPr>
          <w:rFonts w:ascii="宋体" w:hAnsi="宋体" w:cs="宋体"/>
          <w:color w:val="auto"/>
          <w:szCs w:val="21"/>
          <w:highlight w:val="none"/>
        </w:rPr>
      </w:pPr>
    </w:p>
    <w:p>
      <w:pPr>
        <w:pBdr>
          <w:top w:val="single" w:color="auto" w:sz="4" w:space="1"/>
          <w:left w:val="single" w:color="auto" w:sz="4" w:space="4"/>
          <w:bottom w:val="single" w:color="auto" w:sz="4" w:space="1"/>
          <w:right w:val="single" w:color="auto" w:sz="4" w:space="4"/>
        </w:pBd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项目概况:</w:t>
      </w:r>
    </w:p>
    <w:p>
      <w:pPr>
        <w:pBdr>
          <w:top w:val="single" w:color="auto" w:sz="4" w:space="1"/>
          <w:left w:val="single" w:color="auto" w:sz="4" w:space="4"/>
          <w:bottom w:val="single" w:color="auto" w:sz="4" w:space="1"/>
          <w:right w:val="single" w:color="auto" w:sz="4" w:space="4"/>
        </w:pBd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梧州市人民警察训练学校电梯设备及附属工程项目</w:t>
      </w:r>
      <w:r>
        <w:rPr>
          <w:rFonts w:hint="eastAsia" w:ascii="宋体" w:hAnsi="宋体" w:cs="宋体"/>
          <w:color w:val="auto"/>
          <w:szCs w:val="21"/>
          <w:highlight w:val="none"/>
        </w:rPr>
        <w:t>的潜在供应商应通过“政采云”平台完成报名下载文件（</w:t>
      </w:r>
      <w:r>
        <w:rPr>
          <w:color w:val="auto"/>
          <w:highlight w:val="none"/>
        </w:rPr>
        <w:fldChar w:fldCharType="begin"/>
      </w:r>
      <w:r>
        <w:rPr>
          <w:color w:val="auto"/>
          <w:highlight w:val="none"/>
        </w:rPr>
        <w:instrText xml:space="preserve"> HYPERLINK "https://middle.zcy.gov.cn/guide" </w:instrText>
      </w:r>
      <w:r>
        <w:rPr>
          <w:color w:val="auto"/>
          <w:highlight w:val="none"/>
        </w:rPr>
        <w:fldChar w:fldCharType="separate"/>
      </w:r>
      <w:r>
        <w:rPr>
          <w:rStyle w:val="42"/>
          <w:rFonts w:hint="eastAsia" w:ascii="宋体" w:hAnsi="宋体" w:cs="宋体"/>
          <w:color w:val="auto"/>
          <w:szCs w:val="21"/>
          <w:highlight w:val="none"/>
        </w:rPr>
        <w:t>https://middle.zcy.gov.cn</w:t>
      </w:r>
      <w:r>
        <w:rPr>
          <w:rFonts w:hint="eastAsia" w:ascii="宋体" w:hAnsi="宋体" w:cs="宋体"/>
          <w:color w:val="auto"/>
          <w:szCs w:val="21"/>
          <w:highlight w:val="none"/>
        </w:rPr>
        <w:fldChar w:fldCharType="end"/>
      </w:r>
      <w:r>
        <w:rPr>
          <w:rFonts w:hint="eastAsia" w:ascii="宋体" w:hAnsi="宋体" w:cs="宋体"/>
          <w:color w:val="auto"/>
          <w:szCs w:val="21"/>
          <w:highlight w:val="none"/>
        </w:rPr>
        <w:t>）获取采购文件，并于</w:t>
      </w:r>
      <w:r>
        <w:rPr>
          <w:rFonts w:hint="eastAsia" w:ascii="宋体" w:hAnsi="宋体" w:cs="宋体"/>
          <w:color w:val="auto"/>
          <w:szCs w:val="21"/>
          <w:highlight w:val="none"/>
          <w:u w:val="single"/>
        </w:rPr>
        <w:t xml:space="preserve"> 2020年</w:t>
      </w:r>
      <w:r>
        <w:rPr>
          <w:rFonts w:hint="eastAsia" w:ascii="宋体" w:hAnsi="宋体" w:cs="宋体"/>
          <w:color w:val="auto"/>
          <w:szCs w:val="21"/>
          <w:highlight w:val="none"/>
          <w:u w:val="single"/>
          <w:lang w:val="en-US" w:eastAsia="zh-CN"/>
        </w:rPr>
        <w:t>9</w:t>
      </w:r>
      <w:r>
        <w:rPr>
          <w:rFonts w:hint="eastAsia" w:ascii="宋体" w:hAnsi="宋体" w:cs="宋体"/>
          <w:color w:val="auto"/>
          <w:szCs w:val="21"/>
          <w:highlight w:val="none"/>
          <w:u w:val="single"/>
        </w:rPr>
        <w:t>月</w:t>
      </w:r>
      <w:r>
        <w:rPr>
          <w:rFonts w:hint="eastAsia" w:ascii="宋体" w:hAnsi="宋体" w:eastAsia="宋体" w:cs="宋体"/>
          <w:color w:val="auto"/>
          <w:szCs w:val="21"/>
          <w:highlight w:val="none"/>
          <w:u w:val="single"/>
          <w:lang w:val="en-US" w:eastAsia="zh-CN"/>
        </w:rPr>
        <w:t>25</w:t>
      </w:r>
      <w:r>
        <w:rPr>
          <w:rFonts w:hint="eastAsia" w:ascii="宋体" w:hAnsi="宋体" w:cs="宋体"/>
          <w:color w:val="auto"/>
          <w:szCs w:val="21"/>
          <w:highlight w:val="none"/>
          <w:u w:val="single"/>
        </w:rPr>
        <w:t>日 9 点 45 分</w:t>
      </w:r>
      <w:r>
        <w:rPr>
          <w:rFonts w:hint="eastAsia" w:ascii="宋体" w:hAnsi="宋体" w:cs="宋体"/>
          <w:color w:val="auto"/>
          <w:szCs w:val="21"/>
          <w:highlight w:val="none"/>
        </w:rPr>
        <w:t>（北京时间）前提交响应文件。</w:t>
      </w:r>
    </w:p>
    <w:p>
      <w:pPr>
        <w:spacing w:line="360" w:lineRule="auto"/>
        <w:ind w:firstLine="420" w:firstLineChars="200"/>
        <w:rPr>
          <w:rFonts w:hint="eastAsia" w:ascii="宋体" w:hAnsi="宋体" w:cs="宋体"/>
          <w:color w:val="auto"/>
          <w:szCs w:val="21"/>
          <w:highlight w:val="none"/>
        </w:rPr>
      </w:pPr>
      <w:bookmarkStart w:id="8" w:name="_Toc28359012"/>
      <w:bookmarkStart w:id="9" w:name="_Toc35393798"/>
      <w:bookmarkStart w:id="10" w:name="_Toc35393629"/>
      <w:bookmarkStart w:id="11" w:name="_Toc28359089"/>
      <w:r>
        <w:rPr>
          <w:rFonts w:hint="eastAsia" w:ascii="宋体" w:hAnsi="宋体" w:eastAsia="宋体" w:cs="宋体"/>
          <w:bCs w:val="0"/>
          <w:color w:val="auto"/>
          <w:sz w:val="21"/>
          <w:szCs w:val="21"/>
          <w:highlight w:val="none"/>
        </w:rPr>
        <w:t>一</w:t>
      </w:r>
      <w:r>
        <w:rPr>
          <w:rFonts w:hint="eastAsia" w:ascii="宋体" w:hAnsi="宋体" w:cs="宋体"/>
          <w:color w:val="auto"/>
          <w:szCs w:val="21"/>
          <w:highlight w:val="none"/>
        </w:rPr>
        <w:t>、项目基本情况</w:t>
      </w:r>
      <w:bookmarkEnd w:id="8"/>
      <w:bookmarkEnd w:id="9"/>
      <w:bookmarkEnd w:id="10"/>
      <w:bookmarkEnd w:id="11"/>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项目编号：WZZC2020-J1-02666-001-CGZX</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项目名称：梧州市人民警察训练学校电梯设备及附属工程项目采购</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采购方式：竞争性谈判</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预算金额：126.625167万元</w:t>
      </w:r>
      <w:r>
        <w:rPr>
          <w:rFonts w:hint="eastAsia" w:ascii="宋体" w:hAnsi="宋体" w:cs="宋体"/>
          <w:color w:val="auto"/>
          <w:szCs w:val="21"/>
          <w:highlight w:val="none"/>
          <w:lang w:eastAsia="zh-CN"/>
        </w:rPr>
        <w:t>，</w:t>
      </w:r>
      <w:r>
        <w:rPr>
          <w:rFonts w:hint="eastAsia" w:ascii="宋体" w:hAnsi="宋体" w:cs="宋体"/>
          <w:color w:val="auto"/>
          <w:szCs w:val="21"/>
          <w:highlight w:val="none"/>
        </w:rPr>
        <w:t>预算价包含规费、增值税。工程发包方式为包工包料，竞标计价方式采用工程量清单计价方式，施工合同价款采用综合单价固定，工程量按实际结算。</w:t>
      </w:r>
    </w:p>
    <w:p>
      <w:pPr>
        <w:spacing w:line="360" w:lineRule="auto"/>
        <w:ind w:firstLine="420" w:firstLineChars="200"/>
        <w:rPr>
          <w:rFonts w:hint="eastAsia" w:ascii="宋体" w:hAnsi="宋体" w:cs="宋体"/>
          <w:color w:val="auto"/>
          <w:szCs w:val="21"/>
          <w:highlight w:val="none"/>
        </w:rPr>
      </w:pPr>
      <w:bookmarkStart w:id="12" w:name="_Toc28359090"/>
      <w:bookmarkStart w:id="13" w:name="_Toc35393799"/>
      <w:bookmarkStart w:id="14" w:name="_Toc28359013"/>
      <w:bookmarkStart w:id="15" w:name="_Toc35393630"/>
      <w:r>
        <w:rPr>
          <w:rFonts w:hint="eastAsia" w:ascii="宋体" w:hAnsi="宋体" w:cs="宋体"/>
          <w:color w:val="auto"/>
          <w:szCs w:val="21"/>
          <w:highlight w:val="none"/>
        </w:rPr>
        <w:t>采购需求：梧州市人民警察训练学校电梯设备及附属工程项目包含：拆除工程、电梯井道整改工程、建筑装饰装修工程、电梯采购及安装工程（8层L1交流电梯1部、8层L2-L3交流电梯2部、智慧电梯管理系统3套），</w:t>
      </w:r>
      <w:r>
        <w:rPr>
          <w:rFonts w:hint="eastAsia" w:ascii="宋体" w:hAnsi="宋体" w:cs="宋体"/>
          <w:color w:val="auto"/>
          <w:szCs w:val="21"/>
          <w:highlight w:val="none"/>
          <w:lang w:eastAsia="zh-CN"/>
        </w:rPr>
        <w:t>简要技术参数见以下，</w:t>
      </w:r>
      <w:r>
        <w:rPr>
          <w:rFonts w:hint="eastAsia" w:ascii="宋体" w:hAnsi="宋体" w:cs="宋体"/>
          <w:color w:val="auto"/>
          <w:szCs w:val="21"/>
          <w:highlight w:val="none"/>
        </w:rPr>
        <w:t>具体见竞争性谈判文件货物需求一览表。</w:t>
      </w:r>
    </w:p>
    <w:tbl>
      <w:tblPr>
        <w:tblStyle w:val="36"/>
        <w:tblW w:w="891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01"/>
        <w:gridCol w:w="870"/>
        <w:gridCol w:w="69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1101"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名称</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数量</w:t>
            </w:r>
          </w:p>
        </w:tc>
        <w:tc>
          <w:tcPr>
            <w:tcW w:w="6945" w:type="dxa"/>
            <w:tcBorders>
              <w:top w:val="single" w:color="auto" w:sz="4" w:space="0"/>
              <w:left w:val="single" w:color="auto" w:sz="4" w:space="0"/>
              <w:bottom w:val="single" w:color="auto" w:sz="4" w:space="0"/>
            </w:tcBorders>
            <w:noWrap w:val="0"/>
            <w:vAlign w:val="center"/>
          </w:tcPr>
          <w:p>
            <w:pPr>
              <w:spacing w:line="400" w:lineRule="exact"/>
              <w:ind w:firstLine="420" w:firstLineChars="200"/>
              <w:jc w:val="center"/>
              <w:rPr>
                <w:rFonts w:hint="eastAsia" w:ascii="宋体" w:hAnsi="宋体" w:cs="宋体"/>
                <w:color w:val="auto"/>
                <w:szCs w:val="21"/>
                <w:highlight w:val="none"/>
              </w:rPr>
            </w:pPr>
            <w:r>
              <w:rPr>
                <w:rFonts w:hint="eastAsia" w:ascii="宋体" w:hAnsi="宋体" w:cs="宋体"/>
                <w:color w:val="auto"/>
                <w:szCs w:val="21"/>
                <w:highlight w:val="none"/>
              </w:rPr>
              <w:t>主要技术参数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5" w:hRule="atLeast"/>
          <w:jc w:val="center"/>
        </w:trPr>
        <w:tc>
          <w:tcPr>
            <w:tcW w:w="1101" w:type="dxa"/>
            <w:tcBorders>
              <w:top w:val="single" w:color="auto" w:sz="4" w:space="0"/>
              <w:bottom w:val="single" w:color="auto" w:sz="4" w:space="0"/>
              <w:right w:val="single" w:color="auto" w:sz="4" w:space="0"/>
            </w:tcBorders>
            <w:noWrap w:val="0"/>
            <w:vAlign w:val="center"/>
          </w:tcPr>
          <w:p>
            <w:pPr>
              <w:spacing w:line="400" w:lineRule="exact"/>
              <w:rPr>
                <w:rFonts w:hint="eastAsia"/>
                <w:color w:val="auto"/>
                <w:highlight w:val="none"/>
              </w:rPr>
            </w:pPr>
            <w:r>
              <w:rPr>
                <w:rFonts w:hint="eastAsia"/>
                <w:color w:val="auto"/>
                <w:highlight w:val="none"/>
              </w:rPr>
              <w:t>客梯兼无障碍电梯</w:t>
            </w:r>
          </w:p>
          <w:p>
            <w:pPr>
              <w:spacing w:line="400" w:lineRule="exact"/>
              <w:ind w:firstLine="420" w:firstLineChars="200"/>
              <w:rPr>
                <w:rFonts w:hint="eastAsia" w:ascii="宋体" w:hAnsi="宋体" w:cs="宋体"/>
                <w:color w:val="auto"/>
                <w:szCs w:val="21"/>
                <w:highlight w:val="none"/>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1台</w:t>
            </w:r>
          </w:p>
        </w:tc>
        <w:tc>
          <w:tcPr>
            <w:tcW w:w="6945" w:type="dxa"/>
            <w:tcBorders>
              <w:top w:val="single" w:color="auto" w:sz="4" w:space="0"/>
              <w:left w:val="single" w:color="auto" w:sz="4" w:space="0"/>
              <w:bottom w:val="single" w:color="auto" w:sz="4" w:space="0"/>
            </w:tcBorders>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基本参数1、电梯类型：DT1客梯兼无障碍电梯。2、群控3、载重量：≥1050公斤。4、速度：≥1.75米/秒。5、层/站/门：1F-8F层停靠。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1101" w:type="dxa"/>
            <w:tcBorders>
              <w:top w:val="single" w:color="auto" w:sz="4" w:space="0"/>
              <w:bottom w:val="single" w:color="auto" w:sz="4" w:space="0"/>
              <w:right w:val="single" w:color="auto" w:sz="4" w:space="0"/>
            </w:tcBorders>
            <w:noWrap w:val="0"/>
            <w:vAlign w:val="center"/>
          </w:tcPr>
          <w:p>
            <w:pPr>
              <w:spacing w:line="400" w:lineRule="exact"/>
              <w:rPr>
                <w:rFonts w:hint="eastAsia" w:ascii="宋体" w:hAnsi="宋体" w:cs="宋体"/>
                <w:color w:val="auto"/>
                <w:szCs w:val="21"/>
                <w:highlight w:val="none"/>
              </w:rPr>
            </w:pPr>
            <w:r>
              <w:rPr>
                <w:rFonts w:hint="eastAsia"/>
                <w:color w:val="auto"/>
                <w:highlight w:val="none"/>
              </w:rPr>
              <w:t>客梯兼消防电梯</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2台</w:t>
            </w:r>
          </w:p>
        </w:tc>
        <w:tc>
          <w:tcPr>
            <w:tcW w:w="6945" w:type="dxa"/>
            <w:tcBorders>
              <w:top w:val="single" w:color="auto" w:sz="4" w:space="0"/>
              <w:left w:val="single" w:color="auto" w:sz="4" w:space="0"/>
              <w:bottom w:val="single" w:color="auto" w:sz="4" w:space="0"/>
            </w:tcBorders>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一、基本参数1、电梯类型：DT2-DT3客梯兼消防电梯。2、群控3、载重量：≥</w:t>
            </w:r>
            <w:r>
              <w:rPr>
                <w:rFonts w:hint="eastAsia" w:ascii="宋体" w:hAnsi="宋体" w:eastAsia="宋体" w:cs="宋体"/>
                <w:color w:val="auto"/>
                <w:szCs w:val="21"/>
                <w:highlight w:val="none"/>
                <w:lang w:val="en-US" w:eastAsia="zh-CN"/>
              </w:rPr>
              <w:t>825</w:t>
            </w:r>
            <w:r>
              <w:rPr>
                <w:rFonts w:hint="eastAsia" w:ascii="宋体" w:hAnsi="宋体" w:cs="宋体"/>
                <w:color w:val="auto"/>
                <w:szCs w:val="21"/>
                <w:highlight w:val="none"/>
              </w:rPr>
              <w:t>公斤。4、速度：≥1.75米/秒。5、层/站/门：1F-8F层停靠</w:t>
            </w:r>
          </w:p>
        </w:tc>
      </w:tr>
    </w:tbl>
    <w:p>
      <w:pPr>
        <w:spacing w:line="360" w:lineRule="auto"/>
        <w:ind w:firstLine="420" w:firstLineChars="200"/>
        <w:rPr>
          <w:rFonts w:hint="eastAsia" w:ascii="宋体" w:hAnsi="宋体" w:cs="宋体"/>
          <w:b w:val="0"/>
          <w:bCs w:val="0"/>
          <w:color w:val="auto"/>
          <w:szCs w:val="21"/>
          <w:highlight w:val="none"/>
          <w:u w:val="none"/>
        </w:rPr>
      </w:pPr>
      <w:r>
        <w:rPr>
          <w:rFonts w:hint="eastAsia" w:ascii="宋体" w:hAnsi="宋体" w:cs="宋体"/>
          <w:b w:val="0"/>
          <w:bCs w:val="0"/>
          <w:color w:val="auto"/>
          <w:szCs w:val="21"/>
          <w:highlight w:val="none"/>
          <w:u w:val="none"/>
        </w:rPr>
        <w:t>本项目不接受联合体。</w:t>
      </w:r>
    </w:p>
    <w:p>
      <w:pPr>
        <w:pStyle w:val="6"/>
        <w:spacing w:line="360" w:lineRule="auto"/>
        <w:rPr>
          <w:rFonts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二、申请人的资格要求：</w:t>
      </w:r>
      <w:bookmarkEnd w:id="12"/>
      <w:bookmarkEnd w:id="13"/>
      <w:bookmarkEnd w:id="14"/>
      <w:bookmarkEnd w:id="15"/>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1.满足《中华人民共和国政府采购法》第二十二条规定</w:t>
      </w:r>
      <w:r>
        <w:rPr>
          <w:rFonts w:hint="eastAsia" w:ascii="宋体" w:hAnsi="宋体" w:eastAsia="宋体" w:cs="宋体"/>
          <w:color w:val="auto"/>
          <w:szCs w:val="21"/>
          <w:highlight w:val="none"/>
          <w:lang w:eastAsia="zh-CN"/>
        </w:rPr>
        <w:t>；</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供应商具备建筑机电安装工程专业承包</w:t>
      </w:r>
      <w:r>
        <w:rPr>
          <w:rFonts w:hint="eastAsia" w:ascii="宋体" w:hAnsi="宋体" w:cs="宋体"/>
          <w:color w:val="auto"/>
          <w:szCs w:val="21"/>
          <w:highlight w:val="none"/>
        </w:rPr>
        <w:t>叁级以上（含叁级）</w:t>
      </w:r>
      <w:r>
        <w:rPr>
          <w:rFonts w:hint="eastAsia" w:ascii="宋体" w:hAnsi="宋体" w:eastAsia="宋体" w:cs="宋体"/>
          <w:color w:val="auto"/>
          <w:szCs w:val="21"/>
          <w:highlight w:val="none"/>
          <w:lang w:eastAsia="zh-CN"/>
        </w:rPr>
        <w:t>或（供应商为</w:t>
      </w:r>
      <w:r>
        <w:rPr>
          <w:rFonts w:hint="eastAsia" w:ascii="宋体" w:hAnsi="宋体" w:cs="宋体"/>
          <w:color w:val="auto"/>
          <w:szCs w:val="21"/>
          <w:highlight w:val="none"/>
        </w:rPr>
        <w:t>电梯代理商的，须具备国家市场监督管理总局颁发的《中华人民共和国特种设备安装改造维修许可证》（</w:t>
      </w:r>
      <w:r>
        <w:rPr>
          <w:rFonts w:hint="eastAsia" w:ascii="宋体" w:hAnsi="宋体" w:eastAsia="宋体" w:cs="宋体"/>
          <w:color w:val="auto"/>
          <w:szCs w:val="21"/>
          <w:highlight w:val="none"/>
          <w:lang w:eastAsia="zh-CN"/>
        </w:rPr>
        <w:t>B级或以上</w:t>
      </w:r>
      <w:r>
        <w:rPr>
          <w:rFonts w:hint="eastAsia" w:ascii="宋体" w:hAnsi="宋体" w:cs="宋体"/>
          <w:color w:val="auto"/>
          <w:szCs w:val="21"/>
          <w:highlight w:val="none"/>
        </w:rPr>
        <w:t>）资质</w:t>
      </w:r>
      <w:r>
        <w:rPr>
          <w:rFonts w:hint="eastAsia" w:ascii="宋体" w:hAnsi="宋体" w:eastAsia="宋体" w:cs="宋体"/>
          <w:color w:val="auto"/>
          <w:szCs w:val="21"/>
          <w:highlight w:val="none"/>
          <w:lang w:eastAsia="zh-CN"/>
        </w:rPr>
        <w:t>；供应商为</w:t>
      </w:r>
      <w:r>
        <w:rPr>
          <w:rFonts w:hint="eastAsia" w:ascii="宋体" w:hAnsi="宋体" w:cs="宋体"/>
          <w:color w:val="auto"/>
          <w:szCs w:val="21"/>
          <w:highlight w:val="none"/>
        </w:rPr>
        <w:t>电梯制造商的，须具备国家市场监督管理总局颁发的《中华人民共和国特种设备制造许可证》</w:t>
      </w:r>
      <w:r>
        <w:rPr>
          <w:rFonts w:hint="eastAsia" w:ascii="宋体" w:hAnsi="宋体" w:eastAsia="宋体" w:cs="宋体"/>
          <w:color w:val="auto"/>
          <w:szCs w:val="21"/>
          <w:highlight w:val="none"/>
          <w:lang w:eastAsia="zh-CN"/>
        </w:rPr>
        <w:t>B级或以上</w:t>
      </w:r>
      <w:r>
        <w:rPr>
          <w:rFonts w:hint="eastAsia" w:ascii="宋体" w:hAnsi="宋体" w:cs="宋体"/>
          <w:color w:val="auto"/>
          <w:szCs w:val="21"/>
          <w:highlight w:val="none"/>
        </w:rPr>
        <w:t>资质和《中华人民共和国特种设备安装改造维修许可证》（类型含载货电梯、级别为</w:t>
      </w:r>
      <w:r>
        <w:rPr>
          <w:rFonts w:hint="eastAsia" w:ascii="宋体" w:hAnsi="宋体" w:eastAsia="宋体" w:cs="宋体"/>
          <w:color w:val="auto"/>
          <w:szCs w:val="21"/>
          <w:highlight w:val="none"/>
          <w:lang w:eastAsia="zh-CN"/>
        </w:rPr>
        <w:t>B级或以上</w:t>
      </w:r>
      <w:r>
        <w:rPr>
          <w:rFonts w:hint="eastAsia" w:ascii="宋体" w:hAnsi="宋体" w:cs="宋体"/>
          <w:color w:val="auto"/>
          <w:szCs w:val="21"/>
          <w:highlight w:val="none"/>
        </w:rPr>
        <w:t>）资质。</w:t>
      </w:r>
    </w:p>
    <w:p>
      <w:pPr>
        <w:snapToGrid w:val="0"/>
        <w:spacing w:line="360" w:lineRule="auto"/>
        <w:ind w:firstLine="420" w:firstLineChars="200"/>
        <w:rPr>
          <w:rFonts w:ascii="宋体" w:hAnsi="宋体" w:cs="宋体"/>
          <w:color w:val="auto"/>
          <w:szCs w:val="21"/>
          <w:highlight w:val="none"/>
        </w:rPr>
      </w:pPr>
      <w:r>
        <w:rPr>
          <w:rFonts w:hint="eastAsia" w:ascii="宋体" w:hAnsi="宋体" w:eastAsia="宋体" w:cs="宋体"/>
          <w:color w:val="auto"/>
          <w:szCs w:val="21"/>
          <w:highlight w:val="none"/>
          <w:lang w:eastAsia="zh-CN"/>
        </w:rPr>
        <w:t>）</w:t>
      </w:r>
      <w:bookmarkStart w:id="16" w:name="_Toc28359091"/>
      <w:bookmarkStart w:id="17" w:name="_Toc28359014"/>
      <w:r>
        <w:rPr>
          <w:rFonts w:hint="eastAsia" w:ascii="宋体" w:hAnsi="宋体" w:cs="宋体"/>
          <w:color w:val="auto"/>
          <w:szCs w:val="21"/>
          <w:highlight w:val="none"/>
        </w:rPr>
        <w:t>2.落实政府采购政策需满足的资格要求：强制性节能产品、鼓励性节能政策、鼓励性环保政策、扶持中小企业政策。</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3.按照本公告获取竞争性谈判采购文件的竞标人。</w:t>
      </w:r>
    </w:p>
    <w:p>
      <w:pPr>
        <w:pStyle w:val="6"/>
        <w:spacing w:line="360" w:lineRule="auto"/>
        <w:rPr>
          <w:rFonts w:ascii="宋体" w:hAnsi="宋体" w:eastAsia="宋体" w:cs="宋体"/>
          <w:bCs w:val="0"/>
          <w:color w:val="auto"/>
          <w:sz w:val="21"/>
          <w:szCs w:val="21"/>
          <w:highlight w:val="none"/>
        </w:rPr>
      </w:pPr>
      <w:bookmarkStart w:id="18" w:name="_Toc35393631"/>
      <w:bookmarkStart w:id="19" w:name="_Toc35393800"/>
      <w:r>
        <w:rPr>
          <w:rFonts w:hint="eastAsia" w:ascii="宋体" w:hAnsi="宋体" w:eastAsia="宋体" w:cs="宋体"/>
          <w:bCs w:val="0"/>
          <w:color w:val="auto"/>
          <w:sz w:val="21"/>
          <w:szCs w:val="21"/>
          <w:highlight w:val="none"/>
        </w:rPr>
        <w:t>三、获取采购文件</w:t>
      </w:r>
      <w:bookmarkEnd w:id="16"/>
      <w:bookmarkEnd w:id="17"/>
      <w:bookmarkEnd w:id="18"/>
      <w:bookmarkEnd w:id="19"/>
    </w:p>
    <w:p>
      <w:pPr>
        <w:spacing w:line="360" w:lineRule="auto"/>
        <w:ind w:firstLine="540"/>
        <w:rPr>
          <w:rFonts w:ascii="宋体" w:hAnsi="宋体" w:cs="宋体"/>
          <w:color w:val="auto"/>
          <w:szCs w:val="21"/>
          <w:highlight w:val="none"/>
        </w:rPr>
      </w:pPr>
      <w:r>
        <w:rPr>
          <w:rFonts w:hint="eastAsia" w:ascii="宋体" w:hAnsi="宋体" w:cs="宋体"/>
          <w:color w:val="auto"/>
          <w:szCs w:val="21"/>
          <w:highlight w:val="none"/>
        </w:rPr>
        <w:t>时间：</w:t>
      </w:r>
      <w:r>
        <w:rPr>
          <w:rFonts w:hint="eastAsia" w:ascii="宋体" w:hAnsi="宋体" w:cs="宋体"/>
          <w:color w:val="auto"/>
          <w:szCs w:val="21"/>
          <w:highlight w:val="none"/>
          <w:u w:val="single"/>
        </w:rPr>
        <w:t xml:space="preserve"> 2020 年</w:t>
      </w:r>
      <w:r>
        <w:rPr>
          <w:rFonts w:hint="eastAsia" w:ascii="宋体" w:hAnsi="宋体" w:cs="宋体"/>
          <w:color w:val="auto"/>
          <w:szCs w:val="21"/>
          <w:highlight w:val="none"/>
          <w:u w:val="single"/>
          <w:lang w:val="en-US" w:eastAsia="zh-CN"/>
        </w:rPr>
        <w:t>9</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21</w:t>
      </w:r>
      <w:r>
        <w:rPr>
          <w:rFonts w:hint="eastAsia" w:ascii="宋体" w:hAnsi="宋体" w:cs="宋体"/>
          <w:color w:val="auto"/>
          <w:szCs w:val="21"/>
          <w:highlight w:val="none"/>
          <w:u w:val="single"/>
        </w:rPr>
        <w:t>日</w:t>
      </w:r>
      <w:r>
        <w:rPr>
          <w:rFonts w:hint="eastAsia" w:ascii="宋体" w:hAnsi="宋体" w:cs="宋体"/>
          <w:color w:val="auto"/>
          <w:szCs w:val="21"/>
          <w:highlight w:val="none"/>
        </w:rPr>
        <w:t>至</w:t>
      </w:r>
      <w:r>
        <w:rPr>
          <w:rFonts w:hint="eastAsia" w:ascii="宋体" w:hAnsi="宋体" w:cs="宋体"/>
          <w:color w:val="auto"/>
          <w:szCs w:val="21"/>
          <w:highlight w:val="none"/>
          <w:u w:val="single"/>
        </w:rPr>
        <w:t xml:space="preserve"> 2020年</w:t>
      </w:r>
      <w:r>
        <w:rPr>
          <w:rFonts w:hint="eastAsia" w:ascii="宋体" w:hAnsi="宋体" w:cs="宋体"/>
          <w:color w:val="auto"/>
          <w:szCs w:val="21"/>
          <w:highlight w:val="none"/>
          <w:u w:val="single"/>
          <w:lang w:val="en-US" w:eastAsia="zh-CN"/>
        </w:rPr>
        <w:t>9</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24</w:t>
      </w:r>
      <w:r>
        <w:rPr>
          <w:rFonts w:hint="eastAsia" w:ascii="宋体" w:hAnsi="宋体" w:cs="宋体"/>
          <w:color w:val="auto"/>
          <w:szCs w:val="21"/>
          <w:highlight w:val="none"/>
          <w:u w:val="single"/>
        </w:rPr>
        <w:t>日</w:t>
      </w:r>
      <w:r>
        <w:rPr>
          <w:rFonts w:hint="eastAsia" w:ascii="宋体" w:hAnsi="宋体" w:cs="宋体"/>
          <w:color w:val="auto"/>
          <w:szCs w:val="21"/>
          <w:highlight w:val="none"/>
        </w:rPr>
        <w:t>，每天上午</w:t>
      </w:r>
      <w:r>
        <w:rPr>
          <w:rFonts w:hint="eastAsia" w:ascii="宋体" w:hAnsi="宋体" w:cs="宋体"/>
          <w:color w:val="auto"/>
          <w:szCs w:val="21"/>
          <w:highlight w:val="none"/>
          <w:u w:val="single"/>
        </w:rPr>
        <w:t>　9:00</w:t>
      </w:r>
      <w:r>
        <w:rPr>
          <w:rFonts w:hint="eastAsia" w:ascii="宋体" w:hAnsi="宋体" w:cs="宋体"/>
          <w:color w:val="auto"/>
          <w:szCs w:val="21"/>
          <w:highlight w:val="none"/>
        </w:rPr>
        <w:t>至</w:t>
      </w:r>
      <w:r>
        <w:rPr>
          <w:rFonts w:hint="eastAsia" w:ascii="宋体" w:hAnsi="宋体" w:cs="宋体"/>
          <w:color w:val="auto"/>
          <w:szCs w:val="21"/>
          <w:highlight w:val="none"/>
          <w:u w:val="single"/>
        </w:rPr>
        <w:t>12：00</w:t>
      </w:r>
      <w:r>
        <w:rPr>
          <w:rFonts w:hint="eastAsia" w:ascii="宋体" w:hAnsi="宋体" w:cs="宋体"/>
          <w:color w:val="auto"/>
          <w:szCs w:val="21"/>
          <w:highlight w:val="none"/>
        </w:rPr>
        <w:t>，下午</w:t>
      </w:r>
      <w:r>
        <w:rPr>
          <w:rFonts w:hint="eastAsia" w:ascii="宋体" w:hAnsi="宋体" w:cs="宋体"/>
          <w:color w:val="auto"/>
          <w:szCs w:val="21"/>
          <w:highlight w:val="none"/>
          <w:u w:val="single"/>
        </w:rPr>
        <w:t>13:00</w:t>
      </w:r>
      <w:r>
        <w:rPr>
          <w:rFonts w:hint="eastAsia" w:ascii="宋体" w:hAnsi="宋体" w:cs="宋体"/>
          <w:color w:val="auto"/>
          <w:szCs w:val="21"/>
          <w:highlight w:val="none"/>
        </w:rPr>
        <w:t>至</w:t>
      </w:r>
      <w:r>
        <w:rPr>
          <w:rFonts w:hint="eastAsia" w:ascii="宋体" w:hAnsi="宋体" w:cs="宋体"/>
          <w:color w:val="auto"/>
          <w:szCs w:val="21"/>
          <w:highlight w:val="none"/>
          <w:u w:val="single"/>
        </w:rPr>
        <w:t>16:30</w:t>
      </w:r>
      <w:r>
        <w:rPr>
          <w:rFonts w:hint="eastAsia" w:ascii="宋体" w:hAnsi="宋体" w:cs="宋体"/>
          <w:color w:val="auto"/>
          <w:szCs w:val="21"/>
          <w:highlight w:val="none"/>
        </w:rPr>
        <w:t>（北京时间，法定节假日除外 ）。</w:t>
      </w:r>
    </w:p>
    <w:p>
      <w:pPr>
        <w:spacing w:line="360" w:lineRule="auto"/>
        <w:ind w:firstLine="411" w:firstLineChars="196"/>
        <w:rPr>
          <w:rFonts w:ascii="宋体" w:hAnsi="宋体" w:cs="宋体"/>
          <w:color w:val="auto"/>
          <w:szCs w:val="21"/>
          <w:highlight w:val="none"/>
        </w:rPr>
      </w:pPr>
      <w:r>
        <w:rPr>
          <w:rFonts w:hint="eastAsia" w:ascii="宋体" w:hAnsi="宋体" w:cs="宋体"/>
          <w:color w:val="auto"/>
          <w:szCs w:val="21"/>
          <w:highlight w:val="none"/>
        </w:rPr>
        <w:t>获取采购文件方式：通过“政采云”平台完成报名下载文件（</w:t>
      </w:r>
      <w:r>
        <w:rPr>
          <w:color w:val="auto"/>
          <w:highlight w:val="none"/>
        </w:rPr>
        <w:fldChar w:fldCharType="begin"/>
      </w:r>
      <w:r>
        <w:rPr>
          <w:color w:val="auto"/>
          <w:highlight w:val="none"/>
        </w:rPr>
        <w:instrText xml:space="preserve"> HYPERLINK "https://middle.zcy.gov.cn/guide" </w:instrText>
      </w:r>
      <w:r>
        <w:rPr>
          <w:color w:val="auto"/>
          <w:highlight w:val="none"/>
        </w:rPr>
        <w:fldChar w:fldCharType="separate"/>
      </w:r>
      <w:r>
        <w:rPr>
          <w:rStyle w:val="42"/>
          <w:rFonts w:hint="eastAsia" w:ascii="宋体" w:hAnsi="宋体" w:cs="宋体"/>
          <w:color w:val="auto"/>
          <w:szCs w:val="21"/>
          <w:highlight w:val="none"/>
        </w:rPr>
        <w:t>https://middle.zcy.gov.cn</w:t>
      </w:r>
      <w:r>
        <w:rPr>
          <w:rFonts w:hint="eastAsia" w:ascii="宋体" w:hAnsi="宋体" w:cs="宋体"/>
          <w:color w:val="auto"/>
          <w:szCs w:val="21"/>
          <w:highlight w:val="none"/>
        </w:rPr>
        <w:fldChar w:fldCharType="end"/>
      </w:r>
      <w:r>
        <w:rPr>
          <w:rFonts w:hint="eastAsia" w:ascii="宋体" w:hAnsi="宋体" w:cs="宋体"/>
          <w:color w:val="auto"/>
          <w:szCs w:val="21"/>
          <w:highlight w:val="none"/>
        </w:rPr>
        <w:t>）</w:t>
      </w:r>
    </w:p>
    <w:p>
      <w:pPr>
        <w:spacing w:line="360" w:lineRule="auto"/>
        <w:ind w:firstLine="540"/>
        <w:rPr>
          <w:rFonts w:ascii="宋体" w:hAnsi="宋体" w:cs="宋体"/>
          <w:color w:val="auto"/>
          <w:szCs w:val="21"/>
          <w:highlight w:val="none"/>
        </w:rPr>
      </w:pPr>
      <w:r>
        <w:rPr>
          <w:rFonts w:hint="eastAsia" w:ascii="宋体" w:hAnsi="宋体" w:cs="宋体"/>
          <w:color w:val="auto"/>
          <w:szCs w:val="21"/>
          <w:highlight w:val="none"/>
        </w:rPr>
        <w:t>售价：无</w:t>
      </w:r>
    </w:p>
    <w:p>
      <w:pPr>
        <w:pStyle w:val="6"/>
        <w:spacing w:line="360" w:lineRule="auto"/>
        <w:rPr>
          <w:rFonts w:ascii="宋体" w:hAnsi="宋体" w:eastAsia="宋体" w:cs="宋体"/>
          <w:bCs w:val="0"/>
          <w:color w:val="auto"/>
          <w:sz w:val="21"/>
          <w:szCs w:val="21"/>
          <w:highlight w:val="none"/>
        </w:rPr>
      </w:pPr>
      <w:bookmarkStart w:id="20" w:name="_Toc28359092"/>
      <w:bookmarkStart w:id="21" w:name="_Toc28359015"/>
      <w:bookmarkStart w:id="22" w:name="_Toc35393801"/>
      <w:bookmarkStart w:id="23" w:name="_Toc35393632"/>
      <w:r>
        <w:rPr>
          <w:rFonts w:hint="eastAsia" w:ascii="宋体" w:hAnsi="宋体" w:eastAsia="宋体" w:cs="宋体"/>
          <w:bCs w:val="0"/>
          <w:color w:val="auto"/>
          <w:sz w:val="21"/>
          <w:szCs w:val="21"/>
          <w:highlight w:val="none"/>
        </w:rPr>
        <w:t>四、响应文件提交</w:t>
      </w:r>
      <w:bookmarkEnd w:id="20"/>
      <w:bookmarkEnd w:id="21"/>
      <w:bookmarkEnd w:id="22"/>
      <w:bookmarkEnd w:id="23"/>
    </w:p>
    <w:p>
      <w:pPr>
        <w:spacing w:line="360" w:lineRule="auto"/>
        <w:ind w:firstLine="420" w:firstLineChars="200"/>
        <w:rPr>
          <w:rFonts w:ascii="宋体" w:hAnsi="宋体" w:cs="宋体"/>
          <w:iCs/>
          <w:color w:val="auto"/>
          <w:szCs w:val="21"/>
          <w:highlight w:val="none"/>
          <w:u w:val="single"/>
        </w:rPr>
      </w:pPr>
      <w:r>
        <w:rPr>
          <w:rFonts w:hint="eastAsia" w:ascii="宋体" w:hAnsi="宋体" w:cs="宋体"/>
          <w:color w:val="auto"/>
          <w:szCs w:val="21"/>
          <w:highlight w:val="none"/>
        </w:rPr>
        <w:t>截止时间：</w:t>
      </w:r>
      <w:r>
        <w:rPr>
          <w:rFonts w:hint="eastAsia" w:ascii="宋体" w:hAnsi="宋体" w:cs="宋体"/>
          <w:color w:val="auto"/>
          <w:szCs w:val="21"/>
          <w:highlight w:val="none"/>
          <w:u w:val="single"/>
        </w:rPr>
        <w:t>2020</w:t>
      </w:r>
      <w:r>
        <w:rPr>
          <w:rFonts w:hint="eastAsia" w:ascii="宋体" w:hAnsi="宋体" w:cs="宋体"/>
          <w:bCs/>
          <w:color w:val="auto"/>
          <w:szCs w:val="21"/>
          <w:highlight w:val="none"/>
          <w:u w:val="single"/>
        </w:rPr>
        <w:t>年</w:t>
      </w:r>
      <w:r>
        <w:rPr>
          <w:rFonts w:hint="eastAsia" w:ascii="宋体" w:hAnsi="宋体" w:cs="宋体"/>
          <w:bCs/>
          <w:color w:val="auto"/>
          <w:szCs w:val="21"/>
          <w:highlight w:val="none"/>
          <w:u w:val="single"/>
          <w:lang w:val="en-US" w:eastAsia="zh-CN"/>
        </w:rPr>
        <w:t>9</w:t>
      </w:r>
      <w:r>
        <w:rPr>
          <w:rFonts w:hint="eastAsia" w:ascii="宋体" w:hAnsi="宋体" w:cs="宋体"/>
          <w:bCs/>
          <w:color w:val="auto"/>
          <w:szCs w:val="21"/>
          <w:highlight w:val="none"/>
          <w:u w:val="single"/>
        </w:rPr>
        <w:t>月</w:t>
      </w:r>
      <w:r>
        <w:rPr>
          <w:rFonts w:hint="eastAsia" w:ascii="宋体" w:hAnsi="宋体" w:eastAsia="宋体" w:cs="宋体"/>
          <w:bCs/>
          <w:color w:val="auto"/>
          <w:szCs w:val="21"/>
          <w:highlight w:val="none"/>
          <w:u w:val="single"/>
          <w:lang w:val="en-US" w:eastAsia="zh-CN"/>
        </w:rPr>
        <w:t>25</w:t>
      </w:r>
      <w:r>
        <w:rPr>
          <w:rFonts w:hint="eastAsia" w:ascii="宋体" w:hAnsi="宋体" w:cs="宋体"/>
          <w:bCs/>
          <w:color w:val="auto"/>
          <w:szCs w:val="21"/>
          <w:highlight w:val="none"/>
          <w:u w:val="single"/>
        </w:rPr>
        <w:t>日 9 点 45 分</w:t>
      </w:r>
      <w:r>
        <w:rPr>
          <w:rFonts w:hint="eastAsia" w:ascii="宋体" w:hAnsi="宋体" w:cs="宋体"/>
          <w:bCs/>
          <w:color w:val="auto"/>
          <w:szCs w:val="21"/>
          <w:highlight w:val="none"/>
        </w:rPr>
        <w:t>（北京时间）</w:t>
      </w:r>
    </w:p>
    <w:p>
      <w:pPr>
        <w:spacing w:line="360" w:lineRule="auto"/>
        <w:ind w:firstLine="420" w:firstLineChars="200"/>
        <w:rPr>
          <w:rFonts w:ascii="宋体" w:hAnsi="宋体" w:cs="宋体"/>
          <w:bCs/>
          <w:color w:val="auto"/>
          <w:szCs w:val="21"/>
          <w:highlight w:val="none"/>
          <w:u w:val="single"/>
        </w:rPr>
      </w:pPr>
      <w:r>
        <w:rPr>
          <w:rFonts w:hint="eastAsia" w:ascii="宋体" w:hAnsi="宋体" w:cs="宋体"/>
          <w:color w:val="auto"/>
          <w:szCs w:val="21"/>
          <w:highlight w:val="none"/>
        </w:rPr>
        <w:t>地点：</w:t>
      </w:r>
      <w:r>
        <w:rPr>
          <w:rFonts w:hint="eastAsia" w:ascii="宋体" w:hAnsi="宋体" w:cs="宋体"/>
          <w:color w:val="auto"/>
          <w:szCs w:val="21"/>
          <w:highlight w:val="none"/>
          <w:u w:val="single"/>
        </w:rPr>
        <w:t>梧州市三龙大道红岭大厦8楼梧州市公共资源交易中心开标室</w:t>
      </w:r>
      <w:r>
        <w:rPr>
          <w:rFonts w:hint="eastAsia" w:ascii="宋体" w:hAnsi="宋体" w:cs="宋体"/>
          <w:color w:val="auto"/>
          <w:szCs w:val="21"/>
          <w:highlight w:val="none"/>
        </w:rPr>
        <w:t>（</w:t>
      </w:r>
      <w:r>
        <w:rPr>
          <w:rFonts w:hint="eastAsia" w:ascii="宋体" w:hAnsi="宋体" w:cs="宋体"/>
          <w:b/>
          <w:bCs/>
          <w:color w:val="auto"/>
          <w:szCs w:val="21"/>
          <w:highlight w:val="none"/>
        </w:rPr>
        <w:t>具体开标室看现场LED指引）</w:t>
      </w:r>
      <w:r>
        <w:rPr>
          <w:rFonts w:hint="eastAsia" w:ascii="宋体" w:hAnsi="宋体" w:cs="宋体"/>
          <w:color w:val="auto"/>
          <w:szCs w:val="21"/>
          <w:highlight w:val="none"/>
        </w:rPr>
        <w:t>递交，逾期不受理。</w:t>
      </w:r>
    </w:p>
    <w:p>
      <w:pPr>
        <w:pStyle w:val="6"/>
        <w:spacing w:line="360" w:lineRule="auto"/>
        <w:rPr>
          <w:rFonts w:ascii="宋体" w:hAnsi="宋体" w:eastAsia="宋体" w:cs="宋体"/>
          <w:b w:val="0"/>
          <w:color w:val="auto"/>
          <w:sz w:val="21"/>
          <w:szCs w:val="21"/>
          <w:highlight w:val="none"/>
        </w:rPr>
      </w:pPr>
      <w:bookmarkStart w:id="24" w:name="_Toc35393633"/>
      <w:bookmarkStart w:id="25" w:name="_Toc28359093"/>
      <w:bookmarkStart w:id="26" w:name="_Toc28359016"/>
      <w:bookmarkStart w:id="27" w:name="_Toc35393802"/>
      <w:r>
        <w:rPr>
          <w:rFonts w:hint="eastAsia" w:ascii="宋体" w:hAnsi="宋体" w:eastAsia="宋体" w:cs="宋体"/>
          <w:bCs w:val="0"/>
          <w:color w:val="auto"/>
          <w:sz w:val="21"/>
          <w:szCs w:val="21"/>
          <w:highlight w:val="none"/>
        </w:rPr>
        <w:t>五、开启</w:t>
      </w:r>
      <w:bookmarkEnd w:id="24"/>
      <w:bookmarkEnd w:id="25"/>
      <w:bookmarkEnd w:id="26"/>
      <w:bookmarkEnd w:id="27"/>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谈判时间：</w:t>
      </w:r>
      <w:r>
        <w:rPr>
          <w:rFonts w:hint="eastAsia" w:ascii="宋体" w:hAnsi="宋体" w:cs="宋体"/>
          <w:color w:val="auto"/>
          <w:szCs w:val="21"/>
          <w:highlight w:val="none"/>
          <w:u w:val="single"/>
        </w:rPr>
        <w:t>2020年</w:t>
      </w:r>
      <w:r>
        <w:rPr>
          <w:rFonts w:hint="eastAsia" w:ascii="宋体" w:hAnsi="宋体" w:eastAsia="宋体" w:cs="宋体"/>
          <w:color w:val="auto"/>
          <w:szCs w:val="21"/>
          <w:highlight w:val="none"/>
          <w:u w:val="single"/>
          <w:lang w:val="en-US" w:eastAsia="zh-CN"/>
        </w:rPr>
        <w:t>9</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25</w:t>
      </w:r>
      <w:r>
        <w:rPr>
          <w:rFonts w:hint="eastAsia" w:ascii="宋体" w:hAnsi="宋体" w:cs="宋体"/>
          <w:color w:val="auto"/>
          <w:szCs w:val="21"/>
          <w:highlight w:val="none"/>
          <w:u w:val="single"/>
        </w:rPr>
        <w:t>日 9点 45 分</w:t>
      </w:r>
      <w:r>
        <w:rPr>
          <w:rFonts w:hint="eastAsia" w:ascii="宋体" w:hAnsi="宋体" w:cs="宋体"/>
          <w:color w:val="auto"/>
          <w:szCs w:val="21"/>
          <w:highlight w:val="none"/>
        </w:rPr>
        <w:t>（北京时间）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谈判地点：</w:t>
      </w:r>
      <w:r>
        <w:rPr>
          <w:rFonts w:hint="eastAsia" w:ascii="宋体" w:hAnsi="宋体" w:cs="宋体"/>
          <w:color w:val="auto"/>
          <w:szCs w:val="21"/>
          <w:highlight w:val="none"/>
          <w:u w:val="single"/>
        </w:rPr>
        <w:t>梧州市三龙大道红岭大厦8楼梧州市公共资源交易中心开标室</w:t>
      </w:r>
      <w:r>
        <w:rPr>
          <w:rFonts w:hint="eastAsia" w:ascii="宋体" w:hAnsi="宋体" w:cs="宋体"/>
          <w:color w:val="auto"/>
          <w:szCs w:val="21"/>
          <w:highlight w:val="none"/>
        </w:rPr>
        <w:t>（</w:t>
      </w:r>
      <w:r>
        <w:rPr>
          <w:rFonts w:hint="eastAsia" w:ascii="宋体" w:hAnsi="宋体" w:cs="宋体"/>
          <w:b/>
          <w:bCs/>
          <w:color w:val="auto"/>
          <w:szCs w:val="21"/>
          <w:highlight w:val="none"/>
        </w:rPr>
        <w:t>具体开标室看现场LED指引</w:t>
      </w:r>
      <w:r>
        <w:rPr>
          <w:rFonts w:hint="eastAsia" w:ascii="宋体" w:hAnsi="宋体" w:cs="宋体"/>
          <w:color w:val="auto"/>
          <w:szCs w:val="21"/>
          <w:highlight w:val="none"/>
        </w:rPr>
        <w:t>）截标后，</w:t>
      </w:r>
      <w:r>
        <w:rPr>
          <w:rFonts w:hint="eastAsia" w:ascii="宋体" w:hAnsi="宋体" w:cs="宋体"/>
          <w:color w:val="auto"/>
          <w:kern w:val="0"/>
          <w:szCs w:val="21"/>
          <w:highlight w:val="none"/>
        </w:rPr>
        <w:t>另行通知。参加谈判的法定代表人或委托代理人必须持证件【法定代表人凭法定代表人凭身份证明书和身份证或委托代理人凭法人授权委托书和身份证】依时到达指定地点等候当面谈判。</w:t>
      </w:r>
    </w:p>
    <w:p>
      <w:pPr>
        <w:pStyle w:val="6"/>
        <w:spacing w:line="360" w:lineRule="auto"/>
        <w:rPr>
          <w:rFonts w:ascii="宋体" w:hAnsi="宋体" w:eastAsia="宋体" w:cs="宋体"/>
          <w:b w:val="0"/>
          <w:color w:val="auto"/>
          <w:sz w:val="21"/>
          <w:szCs w:val="21"/>
          <w:highlight w:val="none"/>
        </w:rPr>
      </w:pPr>
      <w:bookmarkStart w:id="28" w:name="_Toc28359094"/>
      <w:bookmarkStart w:id="29" w:name="_Toc35393634"/>
      <w:bookmarkStart w:id="30" w:name="_Toc35393803"/>
      <w:bookmarkStart w:id="31" w:name="_Toc28359017"/>
      <w:r>
        <w:rPr>
          <w:rFonts w:hint="eastAsia" w:ascii="宋体" w:hAnsi="宋体" w:eastAsia="宋体" w:cs="宋体"/>
          <w:bCs w:val="0"/>
          <w:color w:val="auto"/>
          <w:sz w:val="21"/>
          <w:szCs w:val="21"/>
          <w:highlight w:val="none"/>
        </w:rPr>
        <w:t>六、公告期限</w:t>
      </w:r>
      <w:bookmarkEnd w:id="28"/>
      <w:bookmarkEnd w:id="29"/>
      <w:bookmarkEnd w:id="30"/>
      <w:bookmarkEnd w:id="31"/>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自本公告发布之日起3个工作日。</w:t>
      </w:r>
    </w:p>
    <w:p>
      <w:pPr>
        <w:pStyle w:val="6"/>
        <w:spacing w:line="360" w:lineRule="auto"/>
        <w:rPr>
          <w:rFonts w:ascii="宋体" w:hAnsi="宋体" w:eastAsia="宋体" w:cs="宋体"/>
          <w:b w:val="0"/>
          <w:color w:val="auto"/>
          <w:sz w:val="21"/>
          <w:szCs w:val="21"/>
          <w:highlight w:val="none"/>
        </w:rPr>
      </w:pPr>
      <w:bookmarkStart w:id="32" w:name="_Toc35393635"/>
      <w:bookmarkStart w:id="33" w:name="_Toc35393804"/>
      <w:r>
        <w:rPr>
          <w:rFonts w:hint="eastAsia" w:ascii="宋体" w:hAnsi="宋体" w:eastAsia="宋体" w:cs="宋体"/>
          <w:bCs w:val="0"/>
          <w:color w:val="auto"/>
          <w:sz w:val="21"/>
          <w:szCs w:val="21"/>
          <w:highlight w:val="none"/>
        </w:rPr>
        <w:t>七、其他补充事宜</w:t>
      </w:r>
      <w:bookmarkEnd w:id="32"/>
      <w:bookmarkEnd w:id="33"/>
    </w:p>
    <w:p>
      <w:pPr>
        <w:spacing w:line="360"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谈判保证金：￥</w:t>
      </w:r>
      <w:r>
        <w:rPr>
          <w:rFonts w:hint="eastAsia" w:ascii="宋体" w:hAnsi="宋体" w:cs="宋体"/>
          <w:color w:val="auto"/>
          <w:szCs w:val="21"/>
          <w:highlight w:val="none"/>
          <w:lang w:val="en-US" w:eastAsia="zh-CN"/>
        </w:rPr>
        <w:t>12000</w:t>
      </w:r>
      <w:r>
        <w:rPr>
          <w:rFonts w:hint="eastAsia" w:ascii="宋体" w:hAnsi="宋体" w:cs="宋体"/>
          <w:color w:val="auto"/>
          <w:szCs w:val="21"/>
          <w:highlight w:val="none"/>
        </w:rPr>
        <w:t>元 (须足额交纳))。</w:t>
      </w:r>
    </w:p>
    <w:p>
      <w:pPr>
        <w:spacing w:line="360"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投标保证金以转帐、电汇等非现金形式（不接受以个人名义交纳的投标保证金），于投标截止时间前到达指定账户（办理投标保证金交纳手续时，投标人务必在银行进账单或电汇单的用途栏或空白栏上注明项目编号）。</w:t>
      </w:r>
    </w:p>
    <w:p>
      <w:pPr>
        <w:spacing w:line="360"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开户名称：</w:t>
      </w:r>
      <w:r>
        <w:rPr>
          <w:rFonts w:hint="eastAsia" w:ascii="宋体" w:hAnsi="宋体" w:cs="宋体"/>
          <w:color w:val="auto"/>
          <w:szCs w:val="21"/>
          <w:highlight w:val="none"/>
          <w:u w:val="single"/>
        </w:rPr>
        <w:t>梧州市公共资源交易中心（梧州市政府采购中心）</w:t>
      </w:r>
    </w:p>
    <w:p>
      <w:pPr>
        <w:spacing w:line="360"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开户银行：</w:t>
      </w:r>
      <w:r>
        <w:rPr>
          <w:rFonts w:hint="eastAsia" w:ascii="宋体" w:hAnsi="宋体" w:cs="宋体"/>
          <w:color w:val="auto"/>
          <w:szCs w:val="21"/>
          <w:highlight w:val="none"/>
          <w:u w:val="single"/>
        </w:rPr>
        <w:t>建行新兴三路支行</w:t>
      </w:r>
    </w:p>
    <w:p>
      <w:pPr>
        <w:spacing w:line="360"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银行账号：</w:t>
      </w:r>
      <w:r>
        <w:rPr>
          <w:rFonts w:hint="eastAsia" w:ascii="宋体" w:hAnsi="宋体" w:cs="宋体"/>
          <w:color w:val="auto"/>
          <w:szCs w:val="21"/>
          <w:highlight w:val="none"/>
          <w:u w:val="single"/>
        </w:rPr>
        <w:t xml:space="preserve"> 450 501 648 655 000 003 74-0002</w:t>
      </w:r>
    </w:p>
    <w:p>
      <w:pPr>
        <w:tabs>
          <w:tab w:val="left" w:pos="9639"/>
          <w:tab w:val="left" w:pos="9746"/>
        </w:tabs>
        <w:adjustRightInd w:val="0"/>
        <w:snapToGrid w:val="0"/>
        <w:spacing w:line="360" w:lineRule="auto"/>
        <w:ind w:firstLine="420"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注：谈判供应商未按照谈判文件要求提交谈判保证金的，谈判无效。</w:t>
      </w:r>
    </w:p>
    <w:p>
      <w:pPr>
        <w:pStyle w:val="6"/>
        <w:spacing w:line="360" w:lineRule="auto"/>
        <w:rPr>
          <w:rFonts w:ascii="宋体" w:hAnsi="宋体" w:eastAsia="宋体" w:cs="宋体"/>
          <w:b w:val="0"/>
          <w:color w:val="auto"/>
          <w:sz w:val="21"/>
          <w:szCs w:val="21"/>
          <w:highlight w:val="none"/>
        </w:rPr>
      </w:pPr>
      <w:bookmarkStart w:id="34" w:name="_Toc35393805"/>
      <w:bookmarkStart w:id="35" w:name="_Toc28359095"/>
      <w:bookmarkStart w:id="36" w:name="_Toc35393636"/>
      <w:bookmarkStart w:id="37" w:name="_Toc28359018"/>
      <w:r>
        <w:rPr>
          <w:rFonts w:hint="eastAsia" w:ascii="宋体" w:hAnsi="宋体" w:eastAsia="宋体" w:cs="宋体"/>
          <w:bCs w:val="0"/>
          <w:color w:val="auto"/>
          <w:sz w:val="21"/>
          <w:szCs w:val="21"/>
          <w:highlight w:val="none"/>
        </w:rPr>
        <w:t>八、凡对本次采购提出询问，请按以下方式联系。</w:t>
      </w:r>
      <w:bookmarkEnd w:id="34"/>
      <w:bookmarkEnd w:id="35"/>
      <w:bookmarkEnd w:id="36"/>
      <w:bookmarkEnd w:id="37"/>
    </w:p>
    <w:p>
      <w:pPr>
        <w:spacing w:line="360" w:lineRule="auto"/>
        <w:ind w:firstLine="630" w:firstLineChars="300"/>
        <w:rPr>
          <w:rFonts w:hint="eastAsia" w:ascii="宋体" w:hAnsi="宋体" w:cs="宋体"/>
          <w:color w:val="auto"/>
          <w:szCs w:val="21"/>
          <w:highlight w:val="none"/>
        </w:rPr>
      </w:pPr>
      <w:bookmarkStart w:id="38" w:name="_Toc35393637"/>
      <w:bookmarkStart w:id="39" w:name="_Toc35393806"/>
      <w:bookmarkStart w:id="40" w:name="_Toc28359019"/>
      <w:bookmarkStart w:id="41" w:name="_Toc28359096"/>
      <w:bookmarkStart w:id="42" w:name="_Toc35393638"/>
      <w:bookmarkStart w:id="43" w:name="_Toc28359020"/>
      <w:bookmarkStart w:id="44" w:name="_Toc35393807"/>
      <w:bookmarkStart w:id="45" w:name="_Toc28359097"/>
      <w:r>
        <w:rPr>
          <w:rFonts w:hint="eastAsia" w:ascii="宋体" w:hAnsi="宋体" w:cs="宋体"/>
          <w:color w:val="auto"/>
          <w:szCs w:val="21"/>
          <w:highlight w:val="none"/>
        </w:rPr>
        <w:t>1.采购人信息</w:t>
      </w:r>
      <w:bookmarkEnd w:id="38"/>
      <w:bookmarkEnd w:id="39"/>
      <w:bookmarkEnd w:id="40"/>
      <w:bookmarkEnd w:id="41"/>
    </w:p>
    <w:p>
      <w:pPr>
        <w:spacing w:line="360" w:lineRule="auto"/>
        <w:ind w:firstLine="630" w:firstLineChars="3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名    称：梧州市</w:t>
      </w:r>
      <w:r>
        <w:rPr>
          <w:rFonts w:hint="eastAsia" w:ascii="宋体" w:hAnsi="宋体" w:cs="宋体"/>
          <w:color w:val="auto"/>
          <w:szCs w:val="21"/>
          <w:highlight w:val="none"/>
          <w:lang w:eastAsia="zh-CN"/>
        </w:rPr>
        <w:t>公安局</w:t>
      </w:r>
    </w:p>
    <w:p>
      <w:pPr>
        <w:spacing w:line="360" w:lineRule="auto"/>
        <w:ind w:firstLine="630" w:firstLineChars="3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地    址：梧州市三龙大道</w:t>
      </w:r>
      <w:r>
        <w:rPr>
          <w:rFonts w:hint="eastAsia" w:ascii="宋体" w:hAnsi="宋体" w:cs="宋体"/>
          <w:color w:val="auto"/>
          <w:szCs w:val="21"/>
          <w:highlight w:val="none"/>
          <w:lang w:eastAsia="zh-CN"/>
        </w:rPr>
        <w:t>大旺路</w:t>
      </w:r>
    </w:p>
    <w:p>
      <w:pPr>
        <w:spacing w:line="360" w:lineRule="auto"/>
        <w:ind w:firstLine="660" w:firstLineChars="300"/>
        <w:rPr>
          <w:rFonts w:hint="eastAsia" w:ascii="宋体" w:hAnsi="宋体" w:cs="宋体"/>
          <w:color w:val="auto"/>
          <w:szCs w:val="21"/>
          <w:highlight w:val="none"/>
        </w:rPr>
      </w:pPr>
      <w:r>
        <w:rPr>
          <w:rFonts w:hint="eastAsia" w:ascii="宋体" w:hAnsi="宋体" w:eastAsia="宋体" w:cs="宋体"/>
          <w:color w:val="auto"/>
          <w:spacing w:val="5"/>
          <w:sz w:val="21"/>
          <w:szCs w:val="21"/>
          <w:highlight w:val="none"/>
        </w:rPr>
        <w:t>联系人：卢先生     电话：0774-2280073</w:t>
      </w:r>
    </w:p>
    <w:p>
      <w:pPr>
        <w:spacing w:line="360"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2.采购代理机构信息</w:t>
      </w:r>
      <w:bookmarkEnd w:id="42"/>
      <w:bookmarkEnd w:id="43"/>
      <w:bookmarkEnd w:id="44"/>
      <w:bookmarkEnd w:id="45"/>
    </w:p>
    <w:p>
      <w:pPr>
        <w:spacing w:line="360"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名    称：梧州市公共资源交易中心（梧州市政府采购中心）</w:t>
      </w:r>
    </w:p>
    <w:p>
      <w:pPr>
        <w:spacing w:line="360"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地　　址：梧州市三龙大道红岭大厦10楼</w:t>
      </w:r>
    </w:p>
    <w:p>
      <w:pPr>
        <w:spacing w:line="360"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联系方式：（0774）3828966</w:t>
      </w:r>
    </w:p>
    <w:p>
      <w:pPr>
        <w:spacing w:line="360" w:lineRule="auto"/>
        <w:ind w:firstLine="630" w:firstLineChars="300"/>
        <w:rPr>
          <w:rFonts w:ascii="宋体" w:hAnsi="宋体" w:cs="宋体"/>
          <w:color w:val="auto"/>
          <w:szCs w:val="21"/>
          <w:highlight w:val="none"/>
        </w:rPr>
      </w:pPr>
      <w:bookmarkStart w:id="46" w:name="_Toc28359098"/>
      <w:bookmarkStart w:id="47" w:name="_Toc35393639"/>
      <w:bookmarkStart w:id="48" w:name="_Toc35393808"/>
      <w:bookmarkStart w:id="49" w:name="_Toc28359021"/>
      <w:r>
        <w:rPr>
          <w:rFonts w:hint="eastAsia" w:ascii="宋体" w:hAnsi="宋体" w:cs="宋体"/>
          <w:color w:val="auto"/>
          <w:szCs w:val="21"/>
          <w:highlight w:val="none"/>
        </w:rPr>
        <w:t>3.项目联系方式</w:t>
      </w:r>
      <w:bookmarkEnd w:id="46"/>
      <w:bookmarkEnd w:id="47"/>
      <w:bookmarkEnd w:id="48"/>
      <w:bookmarkEnd w:id="49"/>
    </w:p>
    <w:p>
      <w:pPr>
        <w:spacing w:line="360"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项目联系人：余先生、孙小姐</w:t>
      </w:r>
    </w:p>
    <w:p>
      <w:pPr>
        <w:spacing w:line="360"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电　　 话：（0774）2830801/3828966</w:t>
      </w:r>
    </w:p>
    <w:p>
      <w:pPr>
        <w:tabs>
          <w:tab w:val="left" w:pos="9639"/>
          <w:tab w:val="left" w:pos="9746"/>
        </w:tabs>
        <w:adjustRightInd w:val="0"/>
        <w:snapToGrid w:val="0"/>
        <w:spacing w:line="360" w:lineRule="auto"/>
        <w:ind w:firstLine="1995" w:firstLineChars="950"/>
        <w:jc w:val="right"/>
        <w:rPr>
          <w:rFonts w:ascii="宋体" w:hAnsi="宋体" w:cs="宋体"/>
          <w:color w:val="auto"/>
          <w:szCs w:val="21"/>
          <w:highlight w:val="none"/>
        </w:rPr>
      </w:pPr>
      <w:r>
        <w:rPr>
          <w:rFonts w:hint="eastAsia" w:ascii="宋体" w:hAnsi="宋体" w:cs="宋体"/>
          <w:color w:val="auto"/>
          <w:szCs w:val="21"/>
          <w:highlight w:val="none"/>
        </w:rPr>
        <w:t xml:space="preserve">梧州市公共资源交易中心（梧州市政府采购中心） </w:t>
      </w:r>
    </w:p>
    <w:p>
      <w:pPr>
        <w:tabs>
          <w:tab w:val="left" w:pos="9639"/>
          <w:tab w:val="left" w:pos="9746"/>
        </w:tabs>
        <w:adjustRightInd w:val="0"/>
        <w:snapToGrid w:val="0"/>
        <w:spacing w:line="360" w:lineRule="auto"/>
        <w:ind w:firstLine="3255" w:firstLineChars="1550"/>
        <w:jc w:val="right"/>
        <w:rPr>
          <w:rFonts w:ascii="宋体" w:hAnsi="宋体" w:cs="宋体"/>
          <w:color w:val="auto"/>
          <w:szCs w:val="21"/>
          <w:highlight w:val="none"/>
        </w:rPr>
      </w:pPr>
      <w:r>
        <w:rPr>
          <w:rFonts w:hint="eastAsia" w:ascii="宋体" w:hAnsi="宋体" w:cs="宋体"/>
          <w:color w:val="auto"/>
          <w:szCs w:val="21"/>
          <w:highlight w:val="none"/>
        </w:rPr>
        <w:t>2020年</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21</w:t>
      </w:r>
      <w:r>
        <w:rPr>
          <w:rFonts w:hint="eastAsia" w:ascii="宋体" w:hAnsi="宋体" w:cs="宋体"/>
          <w:color w:val="auto"/>
          <w:szCs w:val="21"/>
          <w:highlight w:val="none"/>
        </w:rPr>
        <w:t>日</w:t>
      </w:r>
    </w:p>
    <w:p>
      <w:pPr>
        <w:rPr>
          <w:color w:val="auto"/>
          <w:highlight w:val="none"/>
        </w:rPr>
      </w:pPr>
    </w:p>
    <w:p>
      <w:pPr>
        <w:tabs>
          <w:tab w:val="left" w:pos="9639"/>
          <w:tab w:val="left" w:pos="9746"/>
        </w:tabs>
        <w:adjustRightInd w:val="0"/>
        <w:snapToGrid w:val="0"/>
        <w:spacing w:line="320" w:lineRule="exact"/>
        <w:ind w:firstLine="6972" w:firstLineChars="3320"/>
        <w:rPr>
          <w:rFonts w:hint="eastAsia" w:hAnsi="宋体" w:cs="宋体"/>
          <w:color w:val="auto"/>
          <w:kern w:val="0"/>
          <w:szCs w:val="21"/>
          <w:highlight w:val="none"/>
        </w:rPr>
      </w:pPr>
    </w:p>
    <w:p>
      <w:pPr>
        <w:tabs>
          <w:tab w:val="left" w:pos="9639"/>
          <w:tab w:val="left" w:pos="9746"/>
        </w:tabs>
        <w:adjustRightInd w:val="0"/>
        <w:snapToGrid w:val="0"/>
        <w:spacing w:line="260" w:lineRule="exact"/>
        <w:ind w:firstLine="6972" w:firstLineChars="3320"/>
        <w:rPr>
          <w:rFonts w:hint="eastAsia" w:ascii="仿宋_GB2312" w:hAnsi="宋体" w:eastAsia="仿宋_GB2312"/>
          <w:b/>
          <w:color w:val="auto"/>
          <w:sz w:val="32"/>
          <w:szCs w:val="32"/>
          <w:highlight w:val="none"/>
        </w:rPr>
      </w:pPr>
      <w:r>
        <w:rPr>
          <w:rFonts w:hAnsi="宋体" w:cs="宋体"/>
          <w:color w:val="auto"/>
          <w:kern w:val="0"/>
          <w:szCs w:val="21"/>
          <w:highlight w:val="none"/>
        </w:rPr>
        <w:br w:type="page"/>
      </w:r>
    </w:p>
    <w:p>
      <w:pPr>
        <w:spacing w:line="400" w:lineRule="exact"/>
        <w:jc w:val="center"/>
        <w:rPr>
          <w:rFonts w:hint="eastAsia" w:ascii="仿宋_GB2312" w:hAnsi="宋体" w:eastAsia="仿宋_GB2312"/>
          <w:b/>
          <w:color w:val="auto"/>
          <w:sz w:val="32"/>
          <w:szCs w:val="32"/>
          <w:highlight w:val="none"/>
        </w:rPr>
      </w:pPr>
    </w:p>
    <w:p>
      <w:pPr>
        <w:spacing w:line="400" w:lineRule="exact"/>
        <w:jc w:val="center"/>
        <w:rPr>
          <w:rFonts w:hint="eastAsia" w:ascii="仿宋_GB2312" w:hAnsi="宋体" w:eastAsia="仿宋_GB2312"/>
          <w:b/>
          <w:color w:val="auto"/>
          <w:sz w:val="32"/>
          <w:szCs w:val="32"/>
          <w:highlight w:val="none"/>
        </w:rPr>
      </w:pPr>
    </w:p>
    <w:p>
      <w:pPr>
        <w:spacing w:line="400" w:lineRule="exact"/>
        <w:jc w:val="center"/>
        <w:rPr>
          <w:rFonts w:hint="eastAsia" w:ascii="仿宋_GB2312" w:hAnsi="宋体" w:eastAsia="仿宋_GB2312"/>
          <w:b/>
          <w:color w:val="auto"/>
          <w:sz w:val="32"/>
          <w:szCs w:val="32"/>
          <w:highlight w:val="none"/>
        </w:rPr>
      </w:pPr>
    </w:p>
    <w:p>
      <w:pPr>
        <w:spacing w:line="400" w:lineRule="exact"/>
        <w:jc w:val="center"/>
        <w:rPr>
          <w:rFonts w:hint="eastAsia" w:ascii="仿宋_GB2312" w:hAnsi="宋体" w:eastAsia="仿宋_GB2312"/>
          <w:b/>
          <w:color w:val="auto"/>
          <w:sz w:val="32"/>
          <w:szCs w:val="32"/>
          <w:highlight w:val="none"/>
        </w:rPr>
      </w:pPr>
    </w:p>
    <w:p>
      <w:pPr>
        <w:spacing w:line="400" w:lineRule="exact"/>
        <w:jc w:val="center"/>
        <w:rPr>
          <w:rFonts w:hint="eastAsia" w:ascii="仿宋_GB2312" w:hAnsi="宋体" w:eastAsia="仿宋_GB2312"/>
          <w:b/>
          <w:color w:val="auto"/>
          <w:sz w:val="32"/>
          <w:szCs w:val="32"/>
          <w:highlight w:val="none"/>
        </w:rPr>
      </w:pPr>
    </w:p>
    <w:p>
      <w:pPr>
        <w:spacing w:line="400" w:lineRule="exact"/>
        <w:jc w:val="center"/>
        <w:rPr>
          <w:rFonts w:hint="eastAsia" w:ascii="仿宋_GB2312" w:hAnsi="宋体" w:eastAsia="仿宋_GB2312"/>
          <w:b/>
          <w:color w:val="auto"/>
          <w:sz w:val="32"/>
          <w:szCs w:val="32"/>
          <w:highlight w:val="none"/>
        </w:rPr>
      </w:pPr>
    </w:p>
    <w:p>
      <w:pPr>
        <w:spacing w:line="400" w:lineRule="exact"/>
        <w:jc w:val="center"/>
        <w:rPr>
          <w:rFonts w:hint="eastAsia" w:ascii="仿宋_GB2312" w:hAnsi="宋体" w:eastAsia="仿宋_GB2312"/>
          <w:b/>
          <w:color w:val="auto"/>
          <w:sz w:val="32"/>
          <w:szCs w:val="32"/>
          <w:highlight w:val="none"/>
        </w:rPr>
      </w:pPr>
    </w:p>
    <w:p>
      <w:pPr>
        <w:spacing w:line="400" w:lineRule="exact"/>
        <w:jc w:val="center"/>
        <w:rPr>
          <w:rFonts w:hint="eastAsia" w:ascii="仿宋_GB2312" w:hAnsi="宋体" w:eastAsia="仿宋_GB2312"/>
          <w:b/>
          <w:color w:val="auto"/>
          <w:sz w:val="32"/>
          <w:szCs w:val="32"/>
          <w:highlight w:val="none"/>
        </w:rPr>
      </w:pPr>
    </w:p>
    <w:p>
      <w:pPr>
        <w:spacing w:line="400" w:lineRule="exact"/>
        <w:jc w:val="center"/>
        <w:rPr>
          <w:rFonts w:hint="eastAsia" w:ascii="仿宋_GB2312" w:hAnsi="宋体" w:eastAsia="仿宋_GB2312"/>
          <w:b/>
          <w:color w:val="auto"/>
          <w:sz w:val="32"/>
          <w:szCs w:val="32"/>
          <w:highlight w:val="none"/>
        </w:rPr>
      </w:pPr>
    </w:p>
    <w:p>
      <w:pPr>
        <w:spacing w:line="400" w:lineRule="exact"/>
        <w:jc w:val="center"/>
        <w:rPr>
          <w:rFonts w:hint="eastAsia" w:ascii="仿宋_GB2312" w:hAnsi="宋体" w:eastAsia="仿宋_GB2312"/>
          <w:b/>
          <w:color w:val="auto"/>
          <w:sz w:val="32"/>
          <w:szCs w:val="32"/>
          <w:highlight w:val="none"/>
        </w:rPr>
      </w:pPr>
    </w:p>
    <w:p>
      <w:pPr>
        <w:spacing w:line="400" w:lineRule="exact"/>
        <w:jc w:val="center"/>
        <w:rPr>
          <w:rFonts w:hint="eastAsia" w:ascii="仿宋_GB2312" w:hAnsi="宋体" w:eastAsia="仿宋_GB2312"/>
          <w:b/>
          <w:color w:val="auto"/>
          <w:sz w:val="32"/>
          <w:szCs w:val="32"/>
          <w:highlight w:val="none"/>
        </w:rPr>
      </w:pPr>
    </w:p>
    <w:p>
      <w:pPr>
        <w:spacing w:line="400" w:lineRule="exact"/>
        <w:jc w:val="center"/>
        <w:rPr>
          <w:rFonts w:hint="eastAsia" w:ascii="仿宋_GB2312" w:hAnsi="宋体" w:eastAsia="仿宋_GB2312"/>
          <w:b/>
          <w:color w:val="auto"/>
          <w:sz w:val="32"/>
          <w:szCs w:val="32"/>
          <w:highlight w:val="none"/>
        </w:rPr>
      </w:pPr>
    </w:p>
    <w:p>
      <w:pPr>
        <w:spacing w:line="600" w:lineRule="exact"/>
        <w:jc w:val="center"/>
        <w:outlineLvl w:val="0"/>
        <w:rPr>
          <w:rFonts w:hint="eastAsia" w:ascii="宋体" w:hAnsi="宋体"/>
          <w:b/>
          <w:color w:val="auto"/>
          <w:sz w:val="44"/>
          <w:szCs w:val="44"/>
          <w:highlight w:val="none"/>
        </w:rPr>
      </w:pPr>
      <w:bookmarkStart w:id="50" w:name="_Toc433105008"/>
      <w:r>
        <w:rPr>
          <w:rFonts w:hint="eastAsia" w:ascii="宋体" w:hAnsi="宋体"/>
          <w:b/>
          <w:color w:val="auto"/>
          <w:sz w:val="44"/>
          <w:szCs w:val="44"/>
          <w:highlight w:val="none"/>
        </w:rPr>
        <w:t>第二章  谈判供应商须知</w:t>
      </w:r>
      <w:bookmarkEnd w:id="50"/>
    </w:p>
    <w:p>
      <w:pPr>
        <w:spacing w:line="400" w:lineRule="exact"/>
        <w:jc w:val="center"/>
        <w:rPr>
          <w:rFonts w:hint="eastAsia" w:ascii="仿宋_GB2312" w:hAnsi="宋体" w:eastAsia="仿宋_GB2312"/>
          <w:b/>
          <w:color w:val="auto"/>
          <w:sz w:val="32"/>
          <w:szCs w:val="32"/>
          <w:highlight w:val="none"/>
        </w:rPr>
      </w:pPr>
    </w:p>
    <w:p>
      <w:pPr>
        <w:spacing w:line="400" w:lineRule="exact"/>
        <w:jc w:val="center"/>
        <w:rPr>
          <w:rFonts w:hint="eastAsia" w:ascii="仿宋_GB2312" w:hAnsi="宋体" w:eastAsia="仿宋_GB2312"/>
          <w:b/>
          <w:color w:val="auto"/>
          <w:sz w:val="32"/>
          <w:szCs w:val="32"/>
          <w:highlight w:val="none"/>
        </w:rPr>
      </w:pPr>
    </w:p>
    <w:p>
      <w:pPr>
        <w:spacing w:line="400" w:lineRule="exact"/>
        <w:jc w:val="center"/>
        <w:rPr>
          <w:rFonts w:hint="eastAsia" w:ascii="仿宋_GB2312" w:hAnsi="宋体" w:eastAsia="仿宋_GB2312"/>
          <w:b/>
          <w:color w:val="auto"/>
          <w:sz w:val="32"/>
          <w:szCs w:val="32"/>
          <w:highlight w:val="none"/>
        </w:rPr>
      </w:pPr>
    </w:p>
    <w:p>
      <w:pPr>
        <w:spacing w:line="400" w:lineRule="exact"/>
        <w:jc w:val="center"/>
        <w:rPr>
          <w:rFonts w:hint="eastAsia" w:ascii="仿宋_GB2312" w:hAnsi="宋体" w:eastAsia="仿宋_GB2312"/>
          <w:b/>
          <w:color w:val="auto"/>
          <w:sz w:val="32"/>
          <w:szCs w:val="32"/>
          <w:highlight w:val="none"/>
        </w:rPr>
      </w:pPr>
    </w:p>
    <w:p>
      <w:pPr>
        <w:spacing w:line="400" w:lineRule="exact"/>
        <w:jc w:val="center"/>
        <w:rPr>
          <w:rFonts w:hint="eastAsia" w:ascii="仿宋_GB2312" w:hAnsi="宋体" w:eastAsia="仿宋_GB2312"/>
          <w:b/>
          <w:color w:val="auto"/>
          <w:sz w:val="32"/>
          <w:szCs w:val="32"/>
          <w:highlight w:val="none"/>
        </w:rPr>
      </w:pPr>
    </w:p>
    <w:p>
      <w:pPr>
        <w:spacing w:line="400" w:lineRule="exact"/>
        <w:jc w:val="center"/>
        <w:rPr>
          <w:rFonts w:hint="eastAsia" w:ascii="仿宋_GB2312" w:hAnsi="宋体" w:eastAsia="仿宋_GB2312"/>
          <w:b/>
          <w:color w:val="auto"/>
          <w:sz w:val="32"/>
          <w:szCs w:val="32"/>
          <w:highlight w:val="none"/>
        </w:rPr>
      </w:pPr>
    </w:p>
    <w:p>
      <w:pPr>
        <w:spacing w:line="400" w:lineRule="exact"/>
        <w:jc w:val="center"/>
        <w:rPr>
          <w:rFonts w:hint="eastAsia" w:ascii="仿宋_GB2312" w:hAnsi="宋体" w:eastAsia="仿宋_GB2312"/>
          <w:b/>
          <w:color w:val="auto"/>
          <w:sz w:val="32"/>
          <w:szCs w:val="32"/>
          <w:highlight w:val="none"/>
        </w:rPr>
      </w:pPr>
    </w:p>
    <w:p>
      <w:pPr>
        <w:spacing w:line="400" w:lineRule="exact"/>
        <w:jc w:val="center"/>
        <w:rPr>
          <w:rFonts w:hint="eastAsia" w:ascii="仿宋_GB2312" w:hAnsi="宋体" w:eastAsia="仿宋_GB2312"/>
          <w:b/>
          <w:color w:val="auto"/>
          <w:sz w:val="32"/>
          <w:szCs w:val="32"/>
          <w:highlight w:val="none"/>
        </w:rPr>
      </w:pPr>
    </w:p>
    <w:p>
      <w:pPr>
        <w:spacing w:line="400" w:lineRule="exact"/>
        <w:jc w:val="center"/>
        <w:rPr>
          <w:rFonts w:hint="eastAsia" w:ascii="仿宋_GB2312" w:hAnsi="宋体" w:eastAsia="仿宋_GB2312"/>
          <w:b/>
          <w:color w:val="auto"/>
          <w:sz w:val="32"/>
          <w:szCs w:val="32"/>
          <w:highlight w:val="none"/>
        </w:rPr>
      </w:pPr>
    </w:p>
    <w:p>
      <w:pPr>
        <w:spacing w:line="400" w:lineRule="exact"/>
        <w:jc w:val="center"/>
        <w:rPr>
          <w:rFonts w:hint="eastAsia" w:ascii="仿宋_GB2312" w:hAnsi="宋体" w:eastAsia="仿宋_GB2312"/>
          <w:b/>
          <w:color w:val="auto"/>
          <w:sz w:val="32"/>
          <w:szCs w:val="32"/>
          <w:highlight w:val="none"/>
        </w:rPr>
      </w:pPr>
    </w:p>
    <w:p>
      <w:pPr>
        <w:spacing w:line="400" w:lineRule="exact"/>
        <w:jc w:val="center"/>
        <w:rPr>
          <w:rFonts w:hint="eastAsia" w:ascii="仿宋_GB2312" w:hAnsi="宋体" w:eastAsia="仿宋_GB2312"/>
          <w:b/>
          <w:color w:val="auto"/>
          <w:sz w:val="32"/>
          <w:szCs w:val="32"/>
          <w:highlight w:val="none"/>
        </w:rPr>
      </w:pPr>
    </w:p>
    <w:p>
      <w:pPr>
        <w:spacing w:line="400" w:lineRule="exact"/>
        <w:jc w:val="center"/>
        <w:rPr>
          <w:rFonts w:hint="eastAsia" w:ascii="仿宋_GB2312" w:hAnsi="宋体" w:eastAsia="仿宋_GB2312"/>
          <w:b/>
          <w:color w:val="auto"/>
          <w:sz w:val="32"/>
          <w:szCs w:val="32"/>
          <w:highlight w:val="none"/>
        </w:rPr>
      </w:pPr>
      <w:r>
        <w:rPr>
          <w:rFonts w:ascii="仿宋_GB2312" w:hAnsi="宋体" w:eastAsia="仿宋_GB2312"/>
          <w:b/>
          <w:color w:val="auto"/>
          <w:sz w:val="32"/>
          <w:szCs w:val="32"/>
          <w:highlight w:val="none"/>
        </w:rPr>
        <w:br w:type="page"/>
      </w:r>
      <w:r>
        <w:rPr>
          <w:rFonts w:hint="eastAsia" w:ascii="仿宋_GB2312" w:hAnsi="宋体" w:eastAsia="仿宋_GB2312"/>
          <w:b/>
          <w:color w:val="auto"/>
          <w:sz w:val="32"/>
          <w:szCs w:val="32"/>
          <w:highlight w:val="none"/>
        </w:rPr>
        <w:t>谈判供应商须知前附表</w:t>
      </w:r>
    </w:p>
    <w:tbl>
      <w:tblPr>
        <w:tblStyle w:val="36"/>
        <w:tblW w:w="10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9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26" w:type="dxa"/>
            <w:noWrap w:val="0"/>
            <w:vAlign w:val="top"/>
          </w:tcPr>
          <w:p>
            <w:pPr>
              <w:pStyle w:val="49"/>
              <w:spacing w:line="360" w:lineRule="exact"/>
              <w:jc w:val="center"/>
              <w:rPr>
                <w:rFonts w:hint="eastAsia" w:hAnsi="宋体"/>
                <w:color w:val="auto"/>
                <w:szCs w:val="21"/>
                <w:highlight w:val="none"/>
              </w:rPr>
            </w:pPr>
            <w:r>
              <w:rPr>
                <w:rFonts w:hint="eastAsia" w:hAnsi="宋体"/>
                <w:color w:val="auto"/>
                <w:szCs w:val="21"/>
                <w:highlight w:val="none"/>
              </w:rPr>
              <w:t>序号</w:t>
            </w:r>
          </w:p>
        </w:tc>
        <w:tc>
          <w:tcPr>
            <w:tcW w:w="9499" w:type="dxa"/>
            <w:noWrap w:val="0"/>
            <w:vAlign w:val="top"/>
          </w:tcPr>
          <w:p>
            <w:pPr>
              <w:pStyle w:val="49"/>
              <w:spacing w:line="360" w:lineRule="exact"/>
              <w:jc w:val="center"/>
              <w:rPr>
                <w:rFonts w:hint="eastAsia" w:hAnsi="宋体"/>
                <w:color w:val="auto"/>
                <w:szCs w:val="21"/>
                <w:highlight w:val="none"/>
              </w:rPr>
            </w:pPr>
            <w:r>
              <w:rPr>
                <w:rFonts w:hint="eastAsia" w:hAnsi="宋体"/>
                <w:color w:val="auto"/>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26" w:type="dxa"/>
            <w:noWrap w:val="0"/>
            <w:vAlign w:val="center"/>
          </w:tcPr>
          <w:p>
            <w:pPr>
              <w:pStyle w:val="49"/>
              <w:spacing w:line="360" w:lineRule="exact"/>
              <w:jc w:val="center"/>
              <w:rPr>
                <w:rFonts w:hint="eastAsia" w:hAnsi="宋体"/>
                <w:color w:val="auto"/>
                <w:szCs w:val="21"/>
                <w:highlight w:val="none"/>
              </w:rPr>
            </w:pPr>
            <w:r>
              <w:rPr>
                <w:rFonts w:hint="eastAsia" w:hAnsi="宋体"/>
                <w:color w:val="auto"/>
                <w:szCs w:val="21"/>
                <w:highlight w:val="none"/>
              </w:rPr>
              <w:t>1</w:t>
            </w:r>
          </w:p>
        </w:tc>
        <w:tc>
          <w:tcPr>
            <w:tcW w:w="9499" w:type="dxa"/>
            <w:noWrap w:val="0"/>
            <w:vAlign w:val="center"/>
          </w:tcPr>
          <w:p>
            <w:pPr>
              <w:tabs>
                <w:tab w:val="left" w:pos="9639"/>
                <w:tab w:val="left" w:pos="9746"/>
              </w:tabs>
              <w:adjustRightInd w:val="0"/>
              <w:snapToGrid w:val="0"/>
              <w:spacing w:line="360" w:lineRule="exact"/>
              <w:rPr>
                <w:rFonts w:hint="eastAsia" w:ascii="宋体" w:hAnsi="宋体" w:cs="宋体"/>
                <w:color w:val="auto"/>
                <w:kern w:val="0"/>
                <w:szCs w:val="21"/>
                <w:highlight w:val="none"/>
              </w:rPr>
            </w:pPr>
            <w:r>
              <w:rPr>
                <w:rFonts w:hint="eastAsia" w:ascii="宋体" w:hAnsi="宋体" w:cs="宋体"/>
                <w:color w:val="auto"/>
                <w:kern w:val="0"/>
                <w:szCs w:val="21"/>
                <w:highlight w:val="none"/>
              </w:rPr>
              <w:t>项目名称：</w:t>
            </w:r>
            <w:r>
              <w:rPr>
                <w:rFonts w:hint="eastAsia" w:ascii="宋体" w:hAnsi="宋体" w:cs="宋体"/>
                <w:color w:val="auto"/>
                <w:kern w:val="0"/>
                <w:szCs w:val="21"/>
                <w:highlight w:val="none"/>
                <w:lang w:eastAsia="zh-CN"/>
              </w:rPr>
              <w:t>梧州市人民警察训练学校电梯设备及附属工程项目</w:t>
            </w:r>
            <w:r>
              <w:rPr>
                <w:rFonts w:hint="eastAsia" w:ascii="宋体" w:hAnsi="宋体" w:cs="宋体"/>
                <w:color w:val="auto"/>
                <w:kern w:val="0"/>
                <w:szCs w:val="21"/>
                <w:highlight w:val="none"/>
              </w:rPr>
              <w:t>采购</w:t>
            </w:r>
          </w:p>
          <w:p>
            <w:pPr>
              <w:tabs>
                <w:tab w:val="left" w:pos="9639"/>
                <w:tab w:val="left" w:pos="9746"/>
              </w:tabs>
              <w:adjustRightInd w:val="0"/>
              <w:snapToGrid w:val="0"/>
              <w:spacing w:line="360" w:lineRule="exact"/>
              <w:rPr>
                <w:rFonts w:ascii="宋体" w:hAnsi="宋体"/>
                <w:color w:val="auto"/>
                <w:szCs w:val="21"/>
                <w:highlight w:val="none"/>
              </w:rPr>
            </w:pPr>
            <w:r>
              <w:rPr>
                <w:rFonts w:hint="eastAsia" w:ascii="宋体" w:hAnsi="宋体" w:cs="宋体"/>
                <w:color w:val="auto"/>
                <w:kern w:val="0"/>
                <w:szCs w:val="21"/>
                <w:highlight w:val="none"/>
              </w:rPr>
              <w:t>项目编号：</w:t>
            </w:r>
            <w:r>
              <w:rPr>
                <w:rFonts w:hint="eastAsia" w:ascii="宋体" w:hAnsi="宋体" w:cs="宋体"/>
                <w:color w:val="auto"/>
                <w:kern w:val="0"/>
                <w:szCs w:val="21"/>
                <w:highlight w:val="none"/>
                <w:lang w:eastAsia="zh-CN"/>
              </w:rPr>
              <w:t>WZZC2020-J1-02666-001-CGZX</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采购预算：</w:t>
            </w:r>
            <w:r>
              <w:rPr>
                <w:rFonts w:hint="eastAsia" w:ascii="宋体" w:hAnsi="宋体" w:cs="宋体"/>
                <w:color w:val="auto"/>
                <w:szCs w:val="21"/>
                <w:highlight w:val="none"/>
              </w:rPr>
              <w:t>126.625167</w:t>
            </w:r>
            <w:r>
              <w:rPr>
                <w:rFonts w:hint="eastAsia" w:ascii="宋体" w:hAnsi="宋体" w:cs="宋体"/>
                <w:color w:val="auto"/>
                <w:kern w:val="0"/>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726" w:type="dxa"/>
            <w:noWrap w:val="0"/>
            <w:vAlign w:val="center"/>
          </w:tcPr>
          <w:p>
            <w:pPr>
              <w:pStyle w:val="49"/>
              <w:spacing w:line="360" w:lineRule="exact"/>
              <w:jc w:val="center"/>
              <w:rPr>
                <w:rFonts w:hint="eastAsia" w:hAnsi="宋体"/>
                <w:color w:val="auto"/>
                <w:szCs w:val="21"/>
                <w:highlight w:val="none"/>
              </w:rPr>
            </w:pPr>
            <w:r>
              <w:rPr>
                <w:rFonts w:hint="eastAsia" w:hAnsi="宋体"/>
                <w:color w:val="auto"/>
                <w:szCs w:val="21"/>
                <w:highlight w:val="none"/>
              </w:rPr>
              <w:t>2</w:t>
            </w:r>
          </w:p>
        </w:tc>
        <w:tc>
          <w:tcPr>
            <w:tcW w:w="9499" w:type="dxa"/>
            <w:noWrap w:val="0"/>
            <w:vAlign w:val="center"/>
          </w:tcPr>
          <w:p>
            <w:pPr>
              <w:tabs>
                <w:tab w:val="left" w:pos="9639"/>
                <w:tab w:val="left" w:pos="9746"/>
              </w:tabs>
              <w:adjustRightInd w:val="0"/>
              <w:snapToGrid w:val="0"/>
              <w:spacing w:line="360" w:lineRule="exact"/>
              <w:rPr>
                <w:rFonts w:hint="eastAsia" w:ascii="宋体" w:hAnsi="宋体" w:cs="宋体"/>
                <w:color w:val="auto"/>
                <w:kern w:val="0"/>
                <w:szCs w:val="21"/>
                <w:highlight w:val="none"/>
              </w:rPr>
            </w:pPr>
            <w:r>
              <w:rPr>
                <w:rFonts w:hint="eastAsia" w:ascii="宋体" w:hAnsi="宋体" w:cs="宋体"/>
                <w:color w:val="auto"/>
                <w:kern w:val="0"/>
                <w:szCs w:val="21"/>
                <w:highlight w:val="none"/>
              </w:rPr>
              <w:t>谈判供应商资格：</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1.满足《中华人民共和国政府采购法》第二十二条规定</w:t>
            </w:r>
            <w:r>
              <w:rPr>
                <w:rFonts w:hint="eastAsia" w:ascii="宋体" w:hAnsi="宋体" w:eastAsia="宋体" w:cs="宋体"/>
                <w:color w:val="auto"/>
                <w:szCs w:val="21"/>
                <w:highlight w:val="none"/>
                <w:lang w:eastAsia="zh-CN"/>
              </w:rPr>
              <w:t>；</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供应商具备建筑机电安装工程专业承包</w:t>
            </w:r>
            <w:r>
              <w:rPr>
                <w:rFonts w:hint="eastAsia" w:ascii="宋体" w:hAnsi="宋体" w:cs="宋体"/>
                <w:color w:val="auto"/>
                <w:szCs w:val="21"/>
                <w:highlight w:val="none"/>
              </w:rPr>
              <w:t>叁级以上（含叁级）</w:t>
            </w:r>
            <w:r>
              <w:rPr>
                <w:rFonts w:hint="eastAsia" w:ascii="宋体" w:hAnsi="宋体" w:eastAsia="宋体" w:cs="宋体"/>
                <w:color w:val="auto"/>
                <w:szCs w:val="21"/>
                <w:highlight w:val="none"/>
                <w:lang w:eastAsia="zh-CN"/>
              </w:rPr>
              <w:t>或（供应商为</w:t>
            </w:r>
            <w:r>
              <w:rPr>
                <w:rFonts w:hint="eastAsia" w:ascii="宋体" w:hAnsi="宋体" w:cs="宋体"/>
                <w:color w:val="auto"/>
                <w:szCs w:val="21"/>
                <w:highlight w:val="none"/>
              </w:rPr>
              <w:t>电梯代理商的，须具备国家市场监督管理总局颁发的《中华人民共和国特种设备安装改造维修许可证》（</w:t>
            </w:r>
            <w:r>
              <w:rPr>
                <w:rFonts w:hint="eastAsia" w:ascii="宋体" w:hAnsi="宋体" w:eastAsia="宋体" w:cs="宋体"/>
                <w:color w:val="auto"/>
                <w:szCs w:val="21"/>
                <w:highlight w:val="none"/>
                <w:lang w:eastAsia="zh-CN"/>
              </w:rPr>
              <w:t>B级或以上</w:t>
            </w:r>
            <w:r>
              <w:rPr>
                <w:rFonts w:hint="eastAsia" w:ascii="宋体" w:hAnsi="宋体" w:cs="宋体"/>
                <w:color w:val="auto"/>
                <w:szCs w:val="21"/>
                <w:highlight w:val="none"/>
              </w:rPr>
              <w:t>）资质</w:t>
            </w:r>
            <w:r>
              <w:rPr>
                <w:rFonts w:hint="eastAsia" w:ascii="宋体" w:hAnsi="宋体" w:eastAsia="宋体" w:cs="宋体"/>
                <w:color w:val="auto"/>
                <w:szCs w:val="21"/>
                <w:highlight w:val="none"/>
                <w:lang w:eastAsia="zh-CN"/>
              </w:rPr>
              <w:t>；供应商为</w:t>
            </w:r>
            <w:r>
              <w:rPr>
                <w:rFonts w:hint="eastAsia" w:ascii="宋体" w:hAnsi="宋体" w:cs="宋体"/>
                <w:color w:val="auto"/>
                <w:szCs w:val="21"/>
                <w:highlight w:val="none"/>
              </w:rPr>
              <w:t>电梯制造商的，须具备国家市场监督管理总局颁发的《中华人民共和国特种设备制造许可证》</w:t>
            </w:r>
            <w:r>
              <w:rPr>
                <w:rFonts w:hint="eastAsia" w:ascii="宋体" w:hAnsi="宋体" w:eastAsia="宋体" w:cs="宋体"/>
                <w:color w:val="auto"/>
                <w:szCs w:val="21"/>
                <w:highlight w:val="none"/>
                <w:lang w:eastAsia="zh-CN"/>
              </w:rPr>
              <w:t>B级或以上</w:t>
            </w:r>
            <w:r>
              <w:rPr>
                <w:rFonts w:hint="eastAsia" w:ascii="宋体" w:hAnsi="宋体" w:cs="宋体"/>
                <w:color w:val="auto"/>
                <w:szCs w:val="21"/>
                <w:highlight w:val="none"/>
              </w:rPr>
              <w:t>资质和《中华人民共和国特种设备安装改造维修许可证》（类型含载货电梯、级别为</w:t>
            </w:r>
            <w:r>
              <w:rPr>
                <w:rFonts w:hint="eastAsia" w:ascii="宋体" w:hAnsi="宋体" w:eastAsia="宋体" w:cs="宋体"/>
                <w:color w:val="auto"/>
                <w:szCs w:val="21"/>
                <w:highlight w:val="none"/>
                <w:lang w:eastAsia="zh-CN"/>
              </w:rPr>
              <w:t>B级或以上</w:t>
            </w:r>
            <w:r>
              <w:rPr>
                <w:rFonts w:hint="eastAsia" w:ascii="宋体" w:hAnsi="宋体" w:cs="宋体"/>
                <w:color w:val="auto"/>
                <w:szCs w:val="21"/>
                <w:highlight w:val="none"/>
              </w:rPr>
              <w:t>）资质。</w:t>
            </w:r>
          </w:p>
          <w:p>
            <w:pPr>
              <w:snapToGrid w:val="0"/>
              <w:spacing w:line="360" w:lineRule="auto"/>
              <w:ind w:firstLine="420" w:firstLineChars="200"/>
              <w:rPr>
                <w:rFonts w:ascii="宋体" w:hAnsi="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cs="宋体"/>
                <w:color w:val="auto"/>
                <w:szCs w:val="21"/>
                <w:highlight w:val="none"/>
              </w:rPr>
              <w:t>2.落实政府采购政策需满足的资格要求：强制性节能产品、鼓励性节能政策、鼓励性环保政策、扶持中小企业政策。</w:t>
            </w:r>
          </w:p>
          <w:p>
            <w:pPr>
              <w:snapToGri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szCs w:val="21"/>
                <w:highlight w:val="none"/>
              </w:rPr>
              <w:t>3.按照本公告获取竞争性谈判采购文件的竞标人。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726" w:type="dxa"/>
            <w:noWrap w:val="0"/>
            <w:vAlign w:val="center"/>
          </w:tcPr>
          <w:p>
            <w:pPr>
              <w:pStyle w:val="49"/>
              <w:spacing w:line="360" w:lineRule="exact"/>
              <w:jc w:val="center"/>
              <w:rPr>
                <w:rFonts w:hint="eastAsia" w:hAnsi="宋体"/>
                <w:color w:val="auto"/>
                <w:szCs w:val="21"/>
                <w:highlight w:val="none"/>
              </w:rPr>
            </w:pPr>
            <w:r>
              <w:rPr>
                <w:rFonts w:hint="eastAsia" w:hAnsi="宋体"/>
                <w:color w:val="auto"/>
                <w:szCs w:val="21"/>
                <w:highlight w:val="none"/>
              </w:rPr>
              <w:t>3</w:t>
            </w:r>
          </w:p>
        </w:tc>
        <w:tc>
          <w:tcPr>
            <w:tcW w:w="9499" w:type="dxa"/>
            <w:noWrap w:val="0"/>
            <w:vAlign w:val="center"/>
          </w:tcPr>
          <w:p>
            <w:pPr>
              <w:spacing w:line="360" w:lineRule="exact"/>
              <w:rPr>
                <w:rFonts w:hint="eastAsia" w:ascii="宋体" w:hAnsi="宋体"/>
                <w:color w:val="auto"/>
                <w:szCs w:val="21"/>
                <w:highlight w:val="none"/>
              </w:rPr>
            </w:pPr>
            <w:r>
              <w:rPr>
                <w:rFonts w:hint="eastAsia" w:ascii="宋体" w:hAnsi="宋体"/>
                <w:color w:val="auto"/>
                <w:szCs w:val="21"/>
                <w:highlight w:val="none"/>
              </w:rPr>
              <w:t>报价：谈判供应商必须就《采购需求》中所有的货物和服务内容作完整唯一报价。（谈判报价指</w:t>
            </w:r>
            <w:r>
              <w:rPr>
                <w:rFonts w:hint="eastAsia" w:ascii="宋体" w:hAnsi="宋体" w:cs="宋体"/>
                <w:color w:val="auto"/>
                <w:kern w:val="0"/>
                <w:szCs w:val="21"/>
                <w:highlight w:val="none"/>
              </w:rPr>
              <w:t>货物、随配附件、备品备件、工具、运抵指定交货地点、现场安装调试、井道土建、验收的各种费用和售后服务、税金及其他所有成本费用的总和</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26" w:type="dxa"/>
            <w:noWrap w:val="0"/>
            <w:vAlign w:val="center"/>
          </w:tcPr>
          <w:p>
            <w:pPr>
              <w:pStyle w:val="49"/>
              <w:spacing w:line="360" w:lineRule="exact"/>
              <w:jc w:val="center"/>
              <w:rPr>
                <w:rFonts w:hint="eastAsia" w:hAnsi="宋体"/>
                <w:color w:val="auto"/>
                <w:szCs w:val="21"/>
                <w:highlight w:val="none"/>
              </w:rPr>
            </w:pPr>
            <w:r>
              <w:rPr>
                <w:rFonts w:hint="eastAsia" w:hAnsi="宋体"/>
                <w:color w:val="auto"/>
                <w:szCs w:val="21"/>
                <w:highlight w:val="none"/>
              </w:rPr>
              <w:t>4</w:t>
            </w:r>
          </w:p>
        </w:tc>
        <w:tc>
          <w:tcPr>
            <w:tcW w:w="9499" w:type="dxa"/>
            <w:noWrap w:val="0"/>
            <w:vAlign w:val="center"/>
          </w:tcPr>
          <w:p>
            <w:pPr>
              <w:pStyle w:val="22"/>
              <w:spacing w:line="360" w:lineRule="exact"/>
              <w:rPr>
                <w:rFonts w:hint="eastAsia" w:hAnsi="宋体"/>
                <w:color w:val="auto"/>
                <w:highlight w:val="none"/>
              </w:rPr>
            </w:pPr>
            <w:r>
              <w:rPr>
                <w:rFonts w:hint="eastAsia" w:hAnsi="宋体"/>
                <w:color w:val="auto"/>
                <w:highlight w:val="none"/>
              </w:rPr>
              <w:t>响应文件：正本一份  副本二份。（响应文件组成部分及内容详见谈判供应商须知）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26" w:type="dxa"/>
            <w:noWrap w:val="0"/>
            <w:vAlign w:val="center"/>
          </w:tcPr>
          <w:p>
            <w:pPr>
              <w:pStyle w:val="49"/>
              <w:spacing w:line="360" w:lineRule="exact"/>
              <w:jc w:val="center"/>
              <w:rPr>
                <w:rFonts w:hint="eastAsia" w:hAnsi="宋体"/>
                <w:color w:val="auto"/>
                <w:szCs w:val="21"/>
                <w:highlight w:val="none"/>
              </w:rPr>
            </w:pPr>
            <w:r>
              <w:rPr>
                <w:rFonts w:hint="eastAsia" w:hAnsi="宋体"/>
                <w:color w:val="auto"/>
                <w:szCs w:val="21"/>
                <w:highlight w:val="none"/>
              </w:rPr>
              <w:t>5</w:t>
            </w:r>
          </w:p>
        </w:tc>
        <w:tc>
          <w:tcPr>
            <w:tcW w:w="9499" w:type="dxa"/>
            <w:noWrap w:val="0"/>
            <w:vAlign w:val="center"/>
          </w:tcPr>
          <w:p>
            <w:pPr>
              <w:pStyle w:val="49"/>
              <w:spacing w:line="360" w:lineRule="exact"/>
              <w:rPr>
                <w:rFonts w:hint="eastAsia" w:hAnsi="宋体"/>
                <w:b/>
                <w:bCs/>
                <w:color w:val="auto"/>
                <w:szCs w:val="21"/>
                <w:highlight w:val="none"/>
              </w:rPr>
            </w:pPr>
            <w:r>
              <w:rPr>
                <w:rFonts w:hint="eastAsia" w:hAnsi="宋体"/>
                <w:b/>
                <w:color w:val="auto"/>
                <w:szCs w:val="21"/>
                <w:highlight w:val="none"/>
              </w:rPr>
              <w:t>响应文件递交截止时间：2020年</w:t>
            </w:r>
            <w:r>
              <w:rPr>
                <w:rFonts w:hint="eastAsia" w:hAnsi="宋体"/>
                <w:b/>
                <w:color w:val="auto"/>
                <w:szCs w:val="21"/>
                <w:highlight w:val="none"/>
                <w:lang w:val="en-US" w:eastAsia="zh-CN"/>
              </w:rPr>
              <w:t>9</w:t>
            </w:r>
            <w:r>
              <w:rPr>
                <w:rFonts w:hint="eastAsia" w:hAnsi="宋体"/>
                <w:b/>
                <w:color w:val="auto"/>
                <w:szCs w:val="21"/>
                <w:highlight w:val="none"/>
              </w:rPr>
              <w:t>月</w:t>
            </w:r>
            <w:r>
              <w:rPr>
                <w:rFonts w:hint="eastAsia" w:hAnsi="宋体"/>
                <w:b/>
                <w:color w:val="auto"/>
                <w:szCs w:val="21"/>
                <w:highlight w:val="none"/>
                <w:lang w:val="en-US" w:eastAsia="zh-CN"/>
              </w:rPr>
              <w:t>25</w:t>
            </w:r>
            <w:r>
              <w:rPr>
                <w:rFonts w:hint="eastAsia" w:hAnsi="宋体"/>
                <w:b/>
                <w:color w:val="auto"/>
                <w:szCs w:val="21"/>
                <w:highlight w:val="none"/>
              </w:rPr>
              <w:t>日9时45分整</w:t>
            </w:r>
            <w:r>
              <w:rPr>
                <w:rFonts w:hint="eastAsia" w:hAnsi="宋体"/>
                <w:b/>
                <w:bCs/>
                <w:color w:val="auto"/>
                <w:szCs w:val="21"/>
                <w:highlight w:val="none"/>
              </w:rPr>
              <w:t xml:space="preserve">。 </w:t>
            </w:r>
          </w:p>
          <w:p>
            <w:pPr>
              <w:pStyle w:val="22"/>
              <w:rPr>
                <w:rFonts w:hint="eastAsia"/>
                <w:b/>
                <w:color w:val="auto"/>
                <w:highlight w:val="none"/>
              </w:rPr>
            </w:pPr>
            <w:r>
              <w:rPr>
                <w:rFonts w:hint="eastAsia"/>
                <w:b/>
                <w:color w:val="auto"/>
                <w:highlight w:val="none"/>
              </w:rPr>
              <w:t>响应文件开始接收时间：</w:t>
            </w:r>
            <w:r>
              <w:rPr>
                <w:rFonts w:hint="eastAsia" w:hAnsi="宋体"/>
                <w:b/>
                <w:color w:val="auto"/>
                <w:highlight w:val="none"/>
              </w:rPr>
              <w:t>响应文件递交截止时间前15分钟。</w:t>
            </w:r>
          </w:p>
          <w:p>
            <w:pPr>
              <w:pStyle w:val="22"/>
              <w:spacing w:line="360" w:lineRule="exact"/>
              <w:rPr>
                <w:rFonts w:hint="eastAsia" w:hAnsi="宋体"/>
                <w:color w:val="auto"/>
                <w:highlight w:val="none"/>
              </w:rPr>
            </w:pPr>
            <w:r>
              <w:rPr>
                <w:rFonts w:hint="eastAsia" w:hAnsi="宋体"/>
                <w:color w:val="auto"/>
                <w:highlight w:val="none"/>
              </w:rPr>
              <w:t>地址：梧州市三龙大道红岭大厦8楼梧州市公共资源交易中心开标室（</w:t>
            </w:r>
            <w:r>
              <w:rPr>
                <w:rFonts w:hint="eastAsia" w:hAnsi="宋体"/>
                <w:b/>
                <w:bCs/>
                <w:color w:val="auto"/>
                <w:highlight w:val="none"/>
              </w:rPr>
              <w:t>具体开标室看现场LED指引）</w:t>
            </w:r>
            <w:r>
              <w:rPr>
                <w:rFonts w:hint="eastAsia" w:hAnsi="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26" w:type="dxa"/>
            <w:noWrap w:val="0"/>
            <w:vAlign w:val="center"/>
          </w:tcPr>
          <w:p>
            <w:pPr>
              <w:pStyle w:val="49"/>
              <w:spacing w:line="360" w:lineRule="exact"/>
              <w:jc w:val="center"/>
              <w:rPr>
                <w:rFonts w:hint="eastAsia" w:hAnsi="宋体"/>
                <w:color w:val="auto"/>
                <w:szCs w:val="21"/>
                <w:highlight w:val="none"/>
              </w:rPr>
            </w:pPr>
            <w:r>
              <w:rPr>
                <w:rFonts w:hint="eastAsia" w:hAnsi="宋体"/>
                <w:color w:val="auto"/>
                <w:szCs w:val="21"/>
                <w:highlight w:val="none"/>
              </w:rPr>
              <w:t>6</w:t>
            </w:r>
          </w:p>
        </w:tc>
        <w:tc>
          <w:tcPr>
            <w:tcW w:w="9499" w:type="dxa"/>
            <w:noWrap w:val="0"/>
            <w:vAlign w:val="center"/>
          </w:tcPr>
          <w:p>
            <w:pPr>
              <w:pStyle w:val="49"/>
              <w:spacing w:line="360" w:lineRule="exact"/>
              <w:rPr>
                <w:rFonts w:hint="eastAsia" w:hAnsi="宋体"/>
                <w:color w:val="auto"/>
                <w:szCs w:val="21"/>
                <w:highlight w:val="none"/>
              </w:rPr>
            </w:pPr>
            <w:r>
              <w:rPr>
                <w:rFonts w:hint="eastAsia" w:hAnsi="宋体"/>
                <w:color w:val="auto"/>
                <w:szCs w:val="21"/>
                <w:highlight w:val="none"/>
              </w:rPr>
              <w:t>响应文件有效期：响应文件递交截止日期后六十日。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6" w:type="dxa"/>
            <w:noWrap w:val="0"/>
            <w:vAlign w:val="center"/>
          </w:tcPr>
          <w:p>
            <w:pPr>
              <w:pStyle w:val="49"/>
              <w:spacing w:line="360" w:lineRule="exact"/>
              <w:jc w:val="center"/>
              <w:rPr>
                <w:rFonts w:hint="eastAsia" w:hAnsi="宋体"/>
                <w:color w:val="auto"/>
                <w:szCs w:val="21"/>
                <w:highlight w:val="none"/>
              </w:rPr>
            </w:pPr>
            <w:r>
              <w:rPr>
                <w:rFonts w:hint="eastAsia" w:hAnsi="宋体"/>
                <w:color w:val="auto"/>
                <w:szCs w:val="21"/>
                <w:highlight w:val="none"/>
              </w:rPr>
              <w:t>7</w:t>
            </w:r>
          </w:p>
        </w:tc>
        <w:tc>
          <w:tcPr>
            <w:tcW w:w="9499" w:type="dxa"/>
            <w:noWrap w:val="0"/>
            <w:vAlign w:val="center"/>
          </w:tcPr>
          <w:p>
            <w:pPr>
              <w:pStyle w:val="22"/>
              <w:spacing w:line="360" w:lineRule="exact"/>
              <w:rPr>
                <w:rFonts w:hint="eastAsia" w:hAnsi="宋体"/>
                <w:color w:val="auto"/>
                <w:highlight w:val="none"/>
              </w:rPr>
            </w:pPr>
            <w:r>
              <w:rPr>
                <w:rFonts w:hint="eastAsia" w:hAnsi="宋体"/>
                <w:color w:val="auto"/>
                <w:highlight w:val="none"/>
              </w:rPr>
              <w:t>保证金（人民币）：</w:t>
            </w:r>
            <w:r>
              <w:rPr>
                <w:rFonts w:hint="eastAsia" w:hAnsi="宋体"/>
                <w:b/>
                <w:color w:val="auto"/>
                <w:highlight w:val="none"/>
              </w:rPr>
              <w:t>￥</w:t>
            </w:r>
            <w:r>
              <w:rPr>
                <w:rFonts w:hint="eastAsia" w:hAnsi="宋体"/>
                <w:b/>
                <w:color w:val="auto"/>
                <w:highlight w:val="none"/>
                <w:lang w:val="en-US" w:eastAsia="zh-CN"/>
              </w:rPr>
              <w:t>12000</w:t>
            </w:r>
            <w:r>
              <w:rPr>
                <w:rFonts w:hint="eastAsia" w:hAnsi="宋体"/>
                <w:b/>
                <w:color w:val="auto"/>
                <w:highlight w:val="none"/>
              </w:rPr>
              <w:t>元</w:t>
            </w:r>
            <w:r>
              <w:rPr>
                <w:rFonts w:hint="eastAsia" w:hAnsi="宋体"/>
                <w:color w:val="auto"/>
                <w:highlight w:val="none"/>
              </w:rPr>
              <w:t>。</w:t>
            </w:r>
            <w:r>
              <w:rPr>
                <w:rFonts w:hAnsi="宋体"/>
                <w:color w:val="auto"/>
                <w:highlight w:val="none"/>
              </w:rPr>
              <w:t>(须足额交纳)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6" w:type="dxa"/>
            <w:noWrap w:val="0"/>
            <w:vAlign w:val="center"/>
          </w:tcPr>
          <w:p>
            <w:pPr>
              <w:pStyle w:val="49"/>
              <w:spacing w:line="360" w:lineRule="exact"/>
              <w:jc w:val="center"/>
              <w:rPr>
                <w:rFonts w:hint="eastAsia" w:hAnsi="宋体"/>
                <w:color w:val="auto"/>
                <w:szCs w:val="21"/>
                <w:highlight w:val="none"/>
              </w:rPr>
            </w:pPr>
            <w:r>
              <w:rPr>
                <w:rFonts w:hint="eastAsia" w:hAnsi="宋体"/>
                <w:color w:val="auto"/>
                <w:szCs w:val="21"/>
                <w:highlight w:val="none"/>
              </w:rPr>
              <w:t>8</w:t>
            </w:r>
          </w:p>
        </w:tc>
        <w:tc>
          <w:tcPr>
            <w:tcW w:w="9499" w:type="dxa"/>
            <w:noWrap w:val="0"/>
            <w:vAlign w:val="center"/>
          </w:tcPr>
          <w:p>
            <w:pPr>
              <w:pStyle w:val="49"/>
              <w:spacing w:line="360" w:lineRule="exact"/>
              <w:rPr>
                <w:rFonts w:hint="eastAsia" w:hAnsi="宋体"/>
                <w:b/>
                <w:bCs/>
                <w:color w:val="auto"/>
                <w:szCs w:val="21"/>
                <w:highlight w:val="none"/>
              </w:rPr>
            </w:pPr>
            <w:r>
              <w:rPr>
                <w:rFonts w:hint="eastAsia" w:hAnsi="宋体"/>
                <w:b/>
                <w:bCs/>
                <w:color w:val="auto"/>
                <w:szCs w:val="21"/>
                <w:highlight w:val="none"/>
              </w:rPr>
              <w:t>谈判时间：</w:t>
            </w:r>
            <w:r>
              <w:rPr>
                <w:rFonts w:hint="eastAsia" w:hAnsi="宋体"/>
                <w:b/>
                <w:color w:val="auto"/>
                <w:szCs w:val="21"/>
                <w:highlight w:val="none"/>
              </w:rPr>
              <w:t>2020年</w:t>
            </w:r>
            <w:r>
              <w:rPr>
                <w:rFonts w:hint="eastAsia" w:hAnsi="宋体"/>
                <w:b/>
                <w:color w:val="auto"/>
                <w:szCs w:val="21"/>
                <w:highlight w:val="none"/>
                <w:lang w:val="en-US" w:eastAsia="zh-CN"/>
              </w:rPr>
              <w:t>9</w:t>
            </w:r>
            <w:r>
              <w:rPr>
                <w:rFonts w:hint="eastAsia" w:hAnsi="宋体"/>
                <w:b/>
                <w:color w:val="auto"/>
                <w:szCs w:val="21"/>
                <w:highlight w:val="none"/>
              </w:rPr>
              <w:t>月</w:t>
            </w:r>
            <w:r>
              <w:rPr>
                <w:rFonts w:hint="eastAsia" w:hAnsi="宋体"/>
                <w:b/>
                <w:color w:val="auto"/>
                <w:szCs w:val="21"/>
                <w:highlight w:val="none"/>
                <w:lang w:val="en-US" w:eastAsia="zh-CN"/>
              </w:rPr>
              <w:t>25</w:t>
            </w:r>
            <w:r>
              <w:rPr>
                <w:rFonts w:hint="eastAsia" w:hAnsi="宋体"/>
                <w:b/>
                <w:color w:val="auto"/>
                <w:szCs w:val="21"/>
                <w:highlight w:val="none"/>
              </w:rPr>
              <w:t>日9时45分整</w:t>
            </w:r>
            <w:r>
              <w:rPr>
                <w:rFonts w:hint="eastAsia" w:hAnsi="宋体"/>
                <w:b/>
                <w:bCs/>
                <w:color w:val="auto"/>
                <w:szCs w:val="21"/>
                <w:highlight w:val="none"/>
              </w:rPr>
              <w:t>截标后</w:t>
            </w:r>
          </w:p>
          <w:p>
            <w:pPr>
              <w:pStyle w:val="49"/>
              <w:spacing w:line="360" w:lineRule="exact"/>
              <w:rPr>
                <w:rFonts w:hint="eastAsia" w:hAnsi="宋体"/>
                <w:color w:val="auto"/>
                <w:szCs w:val="21"/>
                <w:highlight w:val="none"/>
              </w:rPr>
            </w:pPr>
            <w:r>
              <w:rPr>
                <w:rFonts w:hint="eastAsia" w:hAnsi="宋体"/>
                <w:b/>
                <w:bCs/>
                <w:color w:val="auto"/>
                <w:szCs w:val="21"/>
                <w:highlight w:val="none"/>
              </w:rPr>
              <w:t>谈判地点：截标时另行通知。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26" w:type="dxa"/>
            <w:noWrap w:val="0"/>
            <w:vAlign w:val="center"/>
          </w:tcPr>
          <w:p>
            <w:pPr>
              <w:pStyle w:val="49"/>
              <w:spacing w:line="360" w:lineRule="exact"/>
              <w:jc w:val="center"/>
              <w:rPr>
                <w:rFonts w:hint="eastAsia" w:hAnsi="宋体"/>
                <w:color w:val="auto"/>
                <w:szCs w:val="21"/>
                <w:highlight w:val="none"/>
              </w:rPr>
            </w:pPr>
            <w:r>
              <w:rPr>
                <w:rFonts w:hint="eastAsia" w:hAnsi="宋体"/>
                <w:color w:val="auto"/>
                <w:szCs w:val="21"/>
                <w:highlight w:val="none"/>
              </w:rPr>
              <w:t>9</w:t>
            </w:r>
          </w:p>
        </w:tc>
        <w:tc>
          <w:tcPr>
            <w:tcW w:w="9499" w:type="dxa"/>
            <w:noWrap w:val="0"/>
            <w:vAlign w:val="center"/>
          </w:tcPr>
          <w:p>
            <w:pPr>
              <w:pStyle w:val="49"/>
              <w:spacing w:line="360" w:lineRule="exact"/>
              <w:rPr>
                <w:rFonts w:hint="eastAsia" w:hAnsi="宋体"/>
                <w:color w:val="auto"/>
                <w:szCs w:val="21"/>
                <w:highlight w:val="none"/>
              </w:rPr>
            </w:pPr>
            <w:r>
              <w:rPr>
                <w:rFonts w:hint="eastAsia" w:hAnsi="宋体"/>
                <w:color w:val="auto"/>
                <w:szCs w:val="21"/>
                <w:highlight w:val="none"/>
              </w:rPr>
              <w:t>评审方法：最低评标价法（详细见第六章）</w:t>
            </w:r>
            <w:r>
              <w:rPr>
                <w:rFonts w:hint="eastAsia" w:hAnsi="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6" w:type="dxa"/>
            <w:noWrap w:val="0"/>
            <w:vAlign w:val="center"/>
          </w:tcPr>
          <w:p>
            <w:pPr>
              <w:pStyle w:val="49"/>
              <w:spacing w:line="360" w:lineRule="exact"/>
              <w:jc w:val="center"/>
              <w:rPr>
                <w:rFonts w:hint="eastAsia" w:hAnsi="宋体"/>
                <w:color w:val="auto"/>
                <w:szCs w:val="21"/>
                <w:highlight w:val="none"/>
              </w:rPr>
            </w:pPr>
            <w:r>
              <w:rPr>
                <w:rFonts w:hint="eastAsia" w:hAnsi="宋体"/>
                <w:color w:val="auto"/>
                <w:szCs w:val="21"/>
                <w:highlight w:val="none"/>
              </w:rPr>
              <w:t>10</w:t>
            </w:r>
          </w:p>
        </w:tc>
        <w:tc>
          <w:tcPr>
            <w:tcW w:w="9499" w:type="dxa"/>
            <w:noWrap w:val="0"/>
            <w:vAlign w:val="center"/>
          </w:tcPr>
          <w:p>
            <w:pPr>
              <w:spacing w:line="360" w:lineRule="exact"/>
              <w:rPr>
                <w:rFonts w:hint="eastAsia" w:hAnsi="宋体"/>
                <w:color w:val="auto"/>
                <w:szCs w:val="21"/>
                <w:highlight w:val="none"/>
              </w:rPr>
            </w:pPr>
            <w:r>
              <w:rPr>
                <w:rFonts w:hint="eastAsia" w:ascii="宋体" w:hAnsi="宋体"/>
                <w:color w:val="auto"/>
                <w:szCs w:val="21"/>
                <w:highlight w:val="none"/>
              </w:rPr>
              <w:t>成交服务费：</w:t>
            </w:r>
            <w:r>
              <w:rPr>
                <w:rFonts w:hint="eastAsia" w:ascii="宋体" w:hAnsi="宋体"/>
                <w:bCs/>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6" w:type="dxa"/>
            <w:noWrap w:val="0"/>
            <w:vAlign w:val="center"/>
          </w:tcPr>
          <w:p>
            <w:pPr>
              <w:pStyle w:val="49"/>
              <w:spacing w:line="360" w:lineRule="exact"/>
              <w:jc w:val="center"/>
              <w:rPr>
                <w:rFonts w:hint="eastAsia" w:hAnsi="宋体"/>
                <w:color w:val="auto"/>
                <w:szCs w:val="21"/>
                <w:highlight w:val="none"/>
              </w:rPr>
            </w:pPr>
            <w:r>
              <w:rPr>
                <w:rFonts w:hint="eastAsia" w:hAnsi="宋体"/>
                <w:color w:val="auto"/>
                <w:szCs w:val="21"/>
                <w:highlight w:val="none"/>
              </w:rPr>
              <w:t>11</w:t>
            </w:r>
          </w:p>
        </w:tc>
        <w:tc>
          <w:tcPr>
            <w:tcW w:w="9499" w:type="dxa"/>
            <w:noWrap w:val="0"/>
            <w:vAlign w:val="center"/>
          </w:tcPr>
          <w:p>
            <w:pPr>
              <w:pStyle w:val="60"/>
              <w:snapToGrid w:val="0"/>
              <w:spacing w:line="360" w:lineRule="exact"/>
              <w:ind w:left="306" w:hanging="306"/>
              <w:rPr>
                <w:color w:val="auto"/>
                <w:highlight w:val="none"/>
              </w:rPr>
            </w:pPr>
            <w:r>
              <w:rPr>
                <w:rFonts w:hint="eastAsia"/>
                <w:color w:val="auto"/>
                <w:highlight w:val="none"/>
              </w:rPr>
              <w:t>1、如投标人认为需要现场踏勘的，请自行踏勘。在现场踏勘的过程中，投标人的费用和非采购人的原因所造成的投标人的人身伤亡、财物或其它损失，采购人概不负责。</w:t>
            </w:r>
          </w:p>
          <w:p>
            <w:pPr>
              <w:pStyle w:val="60"/>
              <w:snapToGrid w:val="0"/>
              <w:spacing w:line="360" w:lineRule="exact"/>
              <w:ind w:left="306" w:hanging="306"/>
              <w:rPr>
                <w:color w:val="auto"/>
                <w:highlight w:val="none"/>
              </w:rPr>
            </w:pPr>
            <w:r>
              <w:rPr>
                <w:rFonts w:hint="eastAsia"/>
                <w:color w:val="auto"/>
                <w:highlight w:val="none"/>
              </w:rPr>
              <w:t>2、采购人向投标人提供的有关现场的数据和资料，是采购人现有的能被投标人利用的资料，采购人对投标人作出的任何推论、理解和结论均不负责任。</w:t>
            </w:r>
          </w:p>
          <w:p>
            <w:pPr>
              <w:spacing w:line="360" w:lineRule="exact"/>
              <w:rPr>
                <w:rFonts w:hint="eastAsia" w:ascii="宋体" w:hAnsi="宋体"/>
                <w:color w:val="auto"/>
                <w:szCs w:val="21"/>
                <w:highlight w:val="none"/>
              </w:rPr>
            </w:pPr>
            <w:r>
              <w:rPr>
                <w:rFonts w:hint="eastAsia" w:hAnsi="宋体"/>
                <w:color w:val="auto"/>
                <w:szCs w:val="21"/>
                <w:highlight w:val="none"/>
              </w:rPr>
              <w:t>3</w:t>
            </w:r>
            <w:r>
              <w:rPr>
                <w:rFonts w:hint="eastAsia"/>
                <w:color w:val="auto"/>
                <w:highlight w:val="none"/>
              </w:rPr>
              <w:t>、投标人</w:t>
            </w:r>
            <w:r>
              <w:rPr>
                <w:rFonts w:hint="eastAsia" w:hAnsi="宋体"/>
                <w:color w:val="auto"/>
                <w:szCs w:val="21"/>
                <w:highlight w:val="none"/>
              </w:rPr>
              <w:t>应对</w:t>
            </w:r>
            <w:r>
              <w:rPr>
                <w:rFonts w:hint="eastAsia"/>
                <w:color w:val="auto"/>
                <w:highlight w:val="none"/>
              </w:rPr>
              <w:t>项目现场现状进行充分了解，不能在中标（成交）后再对场地现场提出异议，不能以场地存在瑕疵</w:t>
            </w:r>
            <w:r>
              <w:rPr>
                <w:rFonts w:hint="eastAsia" w:hAnsi="宋体"/>
                <w:color w:val="auto"/>
                <w:szCs w:val="21"/>
                <w:highlight w:val="none"/>
              </w:rPr>
              <w:t>为由</w:t>
            </w:r>
            <w:r>
              <w:rPr>
                <w:rFonts w:hint="eastAsia"/>
                <w:color w:val="auto"/>
                <w:highlight w:val="none"/>
              </w:rPr>
              <w:t>，提出任何形式的增加合同外费用或索赔的要求，或拒绝签署合同书或拒绝履行所约定的各项义务。</w:t>
            </w:r>
          </w:p>
        </w:tc>
      </w:tr>
    </w:tbl>
    <w:p>
      <w:pPr>
        <w:spacing w:line="400" w:lineRule="exact"/>
        <w:jc w:val="center"/>
        <w:rPr>
          <w:rFonts w:hint="eastAsia" w:ascii="仿宋_GB2312" w:hAnsi="宋体" w:eastAsia="仿宋_GB2312"/>
          <w:b/>
          <w:color w:val="auto"/>
          <w:sz w:val="32"/>
          <w:szCs w:val="32"/>
          <w:highlight w:val="none"/>
        </w:rPr>
      </w:pPr>
      <w:r>
        <w:rPr>
          <w:rFonts w:ascii="仿宋_GB2312" w:hAnsi="宋体" w:eastAsia="仿宋_GB2312"/>
          <w:b/>
          <w:color w:val="auto"/>
          <w:sz w:val="32"/>
          <w:szCs w:val="32"/>
          <w:highlight w:val="none"/>
        </w:rPr>
        <w:br w:type="page"/>
      </w:r>
      <w:r>
        <w:rPr>
          <w:rFonts w:hint="eastAsia" w:ascii="仿宋_GB2312" w:hAnsi="宋体" w:eastAsia="仿宋_GB2312"/>
          <w:b/>
          <w:color w:val="auto"/>
          <w:sz w:val="32"/>
          <w:szCs w:val="32"/>
          <w:highlight w:val="none"/>
        </w:rPr>
        <w:t>谈判供应商须知</w:t>
      </w:r>
    </w:p>
    <w:p>
      <w:pPr>
        <w:spacing w:line="400" w:lineRule="exact"/>
        <w:rPr>
          <w:rFonts w:hint="eastAsia" w:ascii="仿宋_GB2312" w:hAnsi="宋体" w:eastAsia="仿宋_GB2312"/>
          <w:color w:val="auto"/>
          <w:szCs w:val="21"/>
          <w:highlight w:val="none"/>
        </w:rPr>
      </w:pPr>
    </w:p>
    <w:p>
      <w:pPr>
        <w:spacing w:line="400" w:lineRule="exact"/>
        <w:ind w:firstLine="420" w:firstLineChars="200"/>
        <w:rPr>
          <w:rFonts w:hint="eastAsia" w:ascii="宋体" w:hAnsi="宋体"/>
          <w:b/>
          <w:color w:val="auto"/>
          <w:szCs w:val="21"/>
          <w:highlight w:val="none"/>
        </w:rPr>
      </w:pPr>
      <w:r>
        <w:rPr>
          <w:rFonts w:hint="eastAsia" w:ascii="宋体" w:hAnsi="宋体"/>
          <w:b/>
          <w:color w:val="auto"/>
          <w:szCs w:val="21"/>
          <w:highlight w:val="none"/>
        </w:rPr>
        <w:t>一、总　则</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 适用范围</w:t>
      </w:r>
    </w:p>
    <w:p>
      <w:pPr>
        <w:adjustRightInd w:val="0"/>
        <w:snapToGrid w:val="0"/>
        <w:ind w:firstLine="420" w:firstLineChars="200"/>
        <w:rPr>
          <w:rFonts w:hint="eastAsia" w:ascii="宋体" w:hAnsi="宋体"/>
          <w:color w:val="auto"/>
          <w:szCs w:val="21"/>
          <w:highlight w:val="none"/>
        </w:rPr>
      </w:pPr>
      <w:r>
        <w:rPr>
          <w:rFonts w:hint="eastAsia" w:ascii="宋体" w:hAnsi="宋体"/>
          <w:color w:val="auto"/>
          <w:szCs w:val="21"/>
          <w:highlight w:val="none"/>
        </w:rPr>
        <w:t>1.1项目名称：</w:t>
      </w:r>
      <w:r>
        <w:rPr>
          <w:rFonts w:hint="eastAsia" w:ascii="宋体" w:hAnsi="宋体"/>
          <w:color w:val="auto"/>
          <w:szCs w:val="21"/>
          <w:highlight w:val="none"/>
          <w:lang w:eastAsia="zh-CN"/>
        </w:rPr>
        <w:t>梧州市人民警察训练学校电梯设备及附属工程项目</w:t>
      </w:r>
      <w:r>
        <w:rPr>
          <w:rFonts w:hint="eastAsia" w:ascii="宋体" w:hAnsi="宋体"/>
          <w:color w:val="auto"/>
          <w:szCs w:val="21"/>
          <w:highlight w:val="none"/>
        </w:rPr>
        <w:t>采购</w:t>
      </w:r>
    </w:p>
    <w:p>
      <w:pPr>
        <w:pStyle w:val="22"/>
        <w:spacing w:line="400" w:lineRule="exact"/>
        <w:ind w:firstLine="420" w:firstLineChars="200"/>
        <w:rPr>
          <w:rFonts w:hint="eastAsia" w:hAnsi="宋体" w:eastAsia="宋体"/>
          <w:color w:val="auto"/>
          <w:highlight w:val="none"/>
          <w:lang w:eastAsia="zh-CN"/>
        </w:rPr>
      </w:pPr>
      <w:r>
        <w:rPr>
          <w:rFonts w:hint="eastAsia" w:hAnsi="宋体"/>
          <w:color w:val="auto"/>
          <w:highlight w:val="none"/>
        </w:rPr>
        <w:t>项目编号：</w:t>
      </w:r>
      <w:r>
        <w:rPr>
          <w:rFonts w:hint="eastAsia" w:hAnsi="宋体"/>
          <w:color w:val="auto"/>
          <w:highlight w:val="none"/>
          <w:lang w:eastAsia="zh-CN"/>
        </w:rPr>
        <w:t>WZZC2020-J1-02666-001-CGZX</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本文件仅适用于本文件中所叙述的货物类政府采购项目。</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 定义</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2.1“采购人”是指：</w:t>
      </w:r>
      <w:r>
        <w:rPr>
          <w:rFonts w:hint="eastAsia" w:ascii="宋体" w:hAnsi="宋体"/>
          <w:b/>
          <w:color w:val="auto"/>
          <w:szCs w:val="21"/>
          <w:highlight w:val="none"/>
          <w:lang w:eastAsia="zh-CN"/>
        </w:rPr>
        <w:t>梧州市公安局</w:t>
      </w:r>
      <w:r>
        <w:rPr>
          <w:rFonts w:hint="eastAsia" w:ascii="宋体" w:hAnsi="宋体"/>
          <w:b/>
          <w:color w:val="auto"/>
          <w:szCs w:val="21"/>
          <w:highlight w:val="none"/>
        </w:rPr>
        <w:t>。</w:t>
      </w:r>
      <w:r>
        <w:rPr>
          <w:rFonts w:hint="eastAsia" w:ascii="宋体" w:hAnsi="宋体"/>
          <w:color w:val="auto"/>
          <w:szCs w:val="21"/>
          <w:highlight w:val="none"/>
        </w:rPr>
        <w:t xml:space="preserve">                </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2.2“采购代理机构”是指：梧州市公共资源交易中心（梧州市政府采购中心）(以下简称“本中心”)。</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2.3“谈判供应商”是指响应本文件要求，参加谈判的法人机构。如果该供应商在本次谈判中成交,即成为“成交供应商”。</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2.4“货物”是指各种形态和种类的物品，包括原材料、燃料、设备、产品等。</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2.5“服务”是指除货物和工程以外的其他政府采购对象。</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2.6“竞争性谈判响应文件”是指：供应商根据本文件要求，编制包含报价、技术和服务等所有内容的文件。</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2.7“谈判保证金”根据《中华人民共和国政府采购法》第三条，《中华人民共和国政府采购法实施条例》第三十三条，财政部《政府采购非招标采购方式管理办法》第十四条、第二十条、第五十四条的规定，谈判保证金，是政府采购竞争性谈判采购项目的谈判供应商，依照竞争性谈判文件的规定，向采购人或采购代理机构交纳一笔款项，以这笔款项担保竞争性谈判供应商在谈判活动中不发生违法违规、违反程序或者不诚信的行为，如果发生了违法违规、违反程序或者不诚信的行为，则无权要求退还谈判保证金，如果没有发生违法违规、违反程序或者不诚信行为，采购人或采购代理机构应当退还谈判保证金。</w:t>
      </w:r>
    </w:p>
    <w:p>
      <w:pPr>
        <w:spacing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2.8“▲”系指实质性要求条款，不满足实质性要求条款的将作为无效投标处理。</w:t>
      </w:r>
    </w:p>
    <w:p>
      <w:pPr>
        <w:spacing w:line="400" w:lineRule="exact"/>
        <w:ind w:firstLine="420" w:firstLineChars="200"/>
        <w:rPr>
          <w:rFonts w:hint="eastAsia" w:ascii="宋体" w:hAnsi="宋体"/>
          <w:b/>
          <w:color w:val="auto"/>
          <w:szCs w:val="21"/>
          <w:highlight w:val="none"/>
        </w:rPr>
      </w:pPr>
      <w:r>
        <w:rPr>
          <w:rFonts w:hint="eastAsia" w:ascii="宋体" w:hAnsi="宋体"/>
          <w:b/>
          <w:color w:val="auto"/>
          <w:szCs w:val="21"/>
          <w:highlight w:val="none"/>
        </w:rPr>
        <w:t>3. 谈判供应商的基本条件</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3.1谈判供应商资格：具备《中华人民共和国政府采购法》第二十二条【（一）具有独立承当民事责任的能力；（二）具有良好的商业信誉和健全的财务制度；（三）具有履行合同所必需的设备和专业技术能力；（四）有依法缴纳税收和社会保障资金的良好记录；（五）参加政府采购活动前三年内，在经营活动中没有重大的违法记录；（六）法律、行政法规规定的其他条件。】所规定的条件，且承诺履行谈判文件的各项规定，国内注册生产或经营本次采购货物的供应商。</w:t>
      </w:r>
    </w:p>
    <w:p>
      <w:pPr>
        <w:snapToGrid w:val="0"/>
        <w:spacing w:line="360" w:lineRule="exact"/>
        <w:ind w:firstLine="411" w:firstLineChars="196"/>
        <w:jc w:val="left"/>
        <w:rPr>
          <w:rFonts w:hint="eastAsia" w:hAnsi="宋体"/>
          <w:color w:val="auto"/>
          <w:highlight w:val="none"/>
        </w:rPr>
      </w:pPr>
      <w:r>
        <w:rPr>
          <w:rFonts w:hint="eastAsia" w:ascii="宋体" w:hAnsi="宋体"/>
          <w:color w:val="auto"/>
          <w:szCs w:val="21"/>
          <w:highlight w:val="none"/>
        </w:rPr>
        <w:t>3.2参加政府采购活动前三年内，在经营活动中没有重大违法记录和不良信用记录；【被列入失信被执行人、重大税收违法案件当事人名单、政府采购严重违法失信行为记录名单及其他不符合《中华人民共和国政府采购法》第二十二条规定条件的供应商，将被拒绝其参与本次政府采购活动。供应商可在“信用中国”网站（</w:t>
      </w:r>
      <w:r>
        <w:rPr>
          <w:rFonts w:ascii="宋体" w:hAnsi="宋体"/>
          <w:color w:val="auto"/>
          <w:szCs w:val="21"/>
          <w:highlight w:val="none"/>
        </w:rPr>
        <w:fldChar w:fldCharType="begin"/>
      </w:r>
      <w:r>
        <w:rPr>
          <w:rFonts w:ascii="宋体" w:hAnsi="宋体"/>
          <w:color w:val="auto"/>
          <w:szCs w:val="21"/>
          <w:highlight w:val="none"/>
        </w:rPr>
        <w:instrText xml:space="preserve"> HYPERLINK "http://</w:instrText>
      </w:r>
      <w:r>
        <w:rPr>
          <w:rFonts w:hint="eastAsia" w:ascii="宋体" w:hAnsi="宋体"/>
          <w:color w:val="auto"/>
          <w:szCs w:val="21"/>
          <w:highlight w:val="none"/>
        </w:rPr>
        <w:instrText xml:space="preserve">www.creditchina.gov.cn</w:instrText>
      </w:r>
      <w:r>
        <w:rPr>
          <w:rFonts w:ascii="宋体" w:hAnsi="宋体"/>
          <w:color w:val="auto"/>
          <w:szCs w:val="21"/>
          <w:highlight w:val="none"/>
        </w:rPr>
        <w:instrText xml:space="preserve">" </w:instrText>
      </w:r>
      <w:r>
        <w:rPr>
          <w:rFonts w:ascii="宋体" w:hAnsi="宋体"/>
          <w:color w:val="auto"/>
          <w:szCs w:val="21"/>
          <w:highlight w:val="none"/>
        </w:rPr>
        <w:fldChar w:fldCharType="separate"/>
      </w:r>
      <w:r>
        <w:rPr>
          <w:rFonts w:hint="eastAsia" w:ascii="宋体" w:hAnsi="宋体"/>
          <w:color w:val="auto"/>
          <w:szCs w:val="21"/>
          <w:highlight w:val="none"/>
        </w:rPr>
        <w:t>www.creditchina.gov.cn</w:t>
      </w:r>
      <w:r>
        <w:rPr>
          <w:rFonts w:ascii="宋体" w:hAnsi="宋体"/>
          <w:color w:val="auto"/>
          <w:szCs w:val="21"/>
          <w:highlight w:val="none"/>
        </w:rPr>
        <w:fldChar w:fldCharType="end"/>
      </w:r>
      <w:r>
        <w:rPr>
          <w:rFonts w:hint="eastAsia" w:ascii="宋体" w:hAnsi="宋体"/>
          <w:color w:val="auto"/>
          <w:szCs w:val="21"/>
          <w:highlight w:val="none"/>
        </w:rPr>
        <w:t>）和中国政府采购网（</w:t>
      </w:r>
      <w:r>
        <w:rPr>
          <w:rFonts w:ascii="宋体" w:hAnsi="宋体"/>
          <w:color w:val="auto"/>
          <w:szCs w:val="21"/>
          <w:highlight w:val="none"/>
        </w:rPr>
        <w:fldChar w:fldCharType="begin"/>
      </w:r>
      <w:r>
        <w:rPr>
          <w:rFonts w:ascii="宋体" w:hAnsi="宋体"/>
          <w:color w:val="auto"/>
          <w:szCs w:val="21"/>
          <w:highlight w:val="none"/>
        </w:rPr>
        <w:instrText xml:space="preserve"> HYPERLINK "http://</w:instrText>
      </w:r>
      <w:r>
        <w:rPr>
          <w:rFonts w:hint="eastAsia" w:ascii="宋体" w:hAnsi="宋体"/>
          <w:color w:val="auto"/>
          <w:szCs w:val="21"/>
          <w:highlight w:val="none"/>
        </w:rPr>
        <w:instrText xml:space="preserve">www.ccgp.gov.cn</w:instrText>
      </w:r>
      <w:r>
        <w:rPr>
          <w:rFonts w:ascii="宋体" w:hAnsi="宋体"/>
          <w:color w:val="auto"/>
          <w:szCs w:val="21"/>
          <w:highlight w:val="none"/>
        </w:rPr>
        <w:instrText xml:space="preserve">" </w:instrText>
      </w:r>
      <w:r>
        <w:rPr>
          <w:rFonts w:ascii="宋体" w:hAnsi="宋体"/>
          <w:color w:val="auto"/>
          <w:szCs w:val="21"/>
          <w:highlight w:val="none"/>
        </w:rPr>
        <w:fldChar w:fldCharType="separate"/>
      </w:r>
      <w:r>
        <w:rPr>
          <w:rFonts w:hint="eastAsia" w:ascii="宋体" w:hAnsi="宋体"/>
          <w:color w:val="auto"/>
          <w:szCs w:val="21"/>
          <w:highlight w:val="none"/>
        </w:rPr>
        <w:t>www.ccg</w:t>
      </w:r>
      <w:bookmarkStart w:id="51" w:name="_Hlt466453764"/>
      <w:bookmarkStart w:id="52" w:name="_Hlt466453763"/>
      <w:r>
        <w:rPr>
          <w:rFonts w:hint="eastAsia" w:ascii="宋体" w:hAnsi="宋体"/>
          <w:color w:val="auto"/>
          <w:szCs w:val="21"/>
          <w:highlight w:val="none"/>
        </w:rPr>
        <w:t>p</w:t>
      </w:r>
      <w:bookmarkEnd w:id="51"/>
      <w:bookmarkEnd w:id="52"/>
      <w:r>
        <w:rPr>
          <w:rFonts w:hint="eastAsia" w:ascii="宋体" w:hAnsi="宋体"/>
          <w:color w:val="auto"/>
          <w:szCs w:val="21"/>
          <w:highlight w:val="none"/>
        </w:rPr>
        <w:t>.gov.cn</w:t>
      </w:r>
      <w:r>
        <w:rPr>
          <w:rFonts w:ascii="宋体" w:hAnsi="宋体"/>
          <w:color w:val="auto"/>
          <w:szCs w:val="21"/>
          <w:highlight w:val="none"/>
        </w:rPr>
        <w:fldChar w:fldCharType="end"/>
      </w:r>
      <w:r>
        <w:rPr>
          <w:rFonts w:hint="eastAsia" w:ascii="宋体" w:hAnsi="宋体"/>
          <w:color w:val="auto"/>
          <w:szCs w:val="21"/>
          <w:highlight w:val="none"/>
        </w:rPr>
        <w:t>）自行查询相关供应商主体信用记录。</w:t>
      </w:r>
    </w:p>
    <w:p>
      <w:pPr>
        <w:spacing w:line="360" w:lineRule="exact"/>
        <w:ind w:firstLine="420" w:firstLineChars="200"/>
        <w:jc w:val="left"/>
        <w:rPr>
          <w:rFonts w:ascii="宋体" w:hAnsi="宋体"/>
          <w:b/>
          <w:color w:val="auto"/>
          <w:szCs w:val="21"/>
          <w:highlight w:val="none"/>
        </w:rPr>
      </w:pPr>
      <w:r>
        <w:rPr>
          <w:rFonts w:hint="eastAsia" w:ascii="宋体" w:hAnsi="宋体"/>
          <w:b/>
          <w:color w:val="auto"/>
          <w:szCs w:val="21"/>
          <w:highlight w:val="none"/>
        </w:rPr>
        <w:t>注：特别说明：</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提供相同品牌产品的不同谈判供应商参加同一合同项或分标下竞标的，以其中通过资格审查、符合性审查且最终报价最低的为有效谈判供应商，最终报价相同的，由采购人自主选择确定一个参加评审的谈判供应商，其他供应商谈判无效。</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非单一产品采购项目中，多家谈判供应商提供的核心产品品牌相同的，视为提供相同品牌产品。核心产品的名称应当在谈判文件中载明。</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多家代理商或经销商参加谈判，如其中两家或两家以上供应商存在分级代理或代销关系，且提供的是其所代理品牌产品的，谈判时，谈判小组按上述规定确定其中一家为有效供应商。</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▲（2）谈判响应供应商所使用的资格、信誉、荣誉、业绩与企业认证必须为本法人所拥有。谈判响应供应商所使用的采购项目实施人员必须为本法人员工（或必须为本法人或控股公司正式员工）。</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▲（3）谈判响应供应商应仔细阅读谈判文件的所有内容，按照谈判文件的要求提交谈判响应文件，并对所提供的全部资料的真实性承担法律责任。</w:t>
      </w:r>
    </w:p>
    <w:p>
      <w:pPr>
        <w:spacing w:line="400" w:lineRule="exact"/>
        <w:ind w:firstLine="420" w:firstLineChars="200"/>
        <w:rPr>
          <w:rFonts w:hint="eastAsia" w:ascii="宋体" w:hAnsi="宋体" w:cs="宋体"/>
          <w:color w:val="auto"/>
          <w:kern w:val="0"/>
          <w:szCs w:val="21"/>
          <w:highlight w:val="none"/>
        </w:rPr>
      </w:pPr>
      <w:r>
        <w:rPr>
          <w:rFonts w:hint="eastAsia" w:ascii="宋体" w:hAnsi="宋体"/>
          <w:color w:val="auto"/>
          <w:szCs w:val="21"/>
          <w:highlight w:val="none"/>
        </w:rPr>
        <w:t>▲（4）谈判响应供应商在竞争性谈判采购活动中提供任何虚假材料,其谈判或成交无效，并报监管部门查处。</w:t>
      </w:r>
    </w:p>
    <w:p>
      <w:pPr>
        <w:spacing w:line="600" w:lineRule="exact"/>
        <w:ind w:firstLine="412" w:firstLineChars="196"/>
        <w:rPr>
          <w:rFonts w:hint="eastAsia" w:ascii="宋体" w:hAnsi="宋体"/>
          <w:b/>
          <w:color w:val="auto"/>
          <w:szCs w:val="21"/>
          <w:highlight w:val="none"/>
        </w:rPr>
      </w:pPr>
      <w:r>
        <w:rPr>
          <w:rFonts w:hint="eastAsia" w:ascii="宋体" w:hAnsi="宋体"/>
          <w:b/>
          <w:color w:val="auto"/>
          <w:szCs w:val="21"/>
          <w:highlight w:val="none"/>
        </w:rPr>
        <w:t>4. 谈判费用、竞争性谈判公告、谈判文件的澄清和修改</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4.1谈判费用：谈判供应商应自行承担所有与编写和提交竞争性谈判响应文件有关的费用，不论谈判结果如何，采购人和本中心在任何情况下无义务和责任承担此类费用。</w:t>
      </w:r>
    </w:p>
    <w:p>
      <w:pPr>
        <w:pStyle w:val="22"/>
        <w:spacing w:line="400" w:lineRule="exact"/>
        <w:ind w:firstLine="420"/>
        <w:rPr>
          <w:rFonts w:hint="eastAsia" w:hAnsi="宋体"/>
          <w:color w:val="auto"/>
          <w:highlight w:val="none"/>
        </w:rPr>
      </w:pPr>
      <w:r>
        <w:rPr>
          <w:rFonts w:hint="eastAsia" w:hAnsi="宋体"/>
          <w:color w:val="auto"/>
          <w:highlight w:val="none"/>
        </w:rPr>
        <w:t>4.2</w:t>
      </w:r>
      <w:r>
        <w:rPr>
          <w:rFonts w:hint="eastAsia" w:hAnsi="宋体"/>
          <w:b/>
          <w:color w:val="auto"/>
          <w:highlight w:val="none"/>
        </w:rPr>
        <w:t>竞争性谈判公告</w:t>
      </w:r>
      <w:r>
        <w:rPr>
          <w:rFonts w:hint="eastAsia" w:hAnsi="宋体"/>
          <w:color w:val="auto"/>
          <w:highlight w:val="none"/>
        </w:rPr>
        <w:t>：见</w:t>
      </w:r>
      <w:r>
        <w:rPr>
          <w:rFonts w:hAnsi="宋体" w:cs="Arial"/>
          <w:color w:val="auto"/>
          <w:kern w:val="0"/>
          <w:highlight w:val="none"/>
        </w:rPr>
        <w:t>广西壮族自治区政府采购网、梧州市政府采购网</w:t>
      </w:r>
      <w:r>
        <w:rPr>
          <w:rFonts w:hint="eastAsia" w:hAnsi="宋体"/>
          <w:color w:val="auto"/>
          <w:highlight w:val="none"/>
        </w:rPr>
        <w:t>。</w:t>
      </w:r>
    </w:p>
    <w:p>
      <w:pPr>
        <w:spacing w:line="400" w:lineRule="exact"/>
        <w:ind w:firstLine="420" w:firstLineChars="200"/>
        <w:rPr>
          <w:rFonts w:hint="eastAsia" w:ascii="宋体" w:hAnsi="宋体"/>
          <w:color w:val="auto"/>
          <w:szCs w:val="21"/>
          <w:highlight w:val="none"/>
        </w:rPr>
      </w:pPr>
      <w:r>
        <w:rPr>
          <w:rFonts w:hint="eastAsia" w:ascii="宋体" w:hAnsi="宋体"/>
          <w:b/>
          <w:bCs/>
          <w:color w:val="auto"/>
          <w:szCs w:val="21"/>
          <w:highlight w:val="none"/>
        </w:rPr>
        <w:t>4.3</w:t>
      </w:r>
      <w:r>
        <w:rPr>
          <w:rFonts w:hint="eastAsia" w:ascii="宋体" w:hAnsi="宋体"/>
          <w:b/>
          <w:color w:val="auto"/>
          <w:szCs w:val="21"/>
          <w:highlight w:val="none"/>
        </w:rPr>
        <w:t>谈判文件</w:t>
      </w:r>
      <w:r>
        <w:rPr>
          <w:rFonts w:hint="eastAsia" w:ascii="宋体" w:hAnsi="宋体"/>
          <w:color w:val="auto"/>
          <w:szCs w:val="21"/>
          <w:highlight w:val="none"/>
        </w:rPr>
        <w:t>的澄清和修改：</w:t>
      </w:r>
    </w:p>
    <w:p>
      <w:pPr>
        <w:pStyle w:val="22"/>
        <w:spacing w:line="400" w:lineRule="exact"/>
        <w:ind w:firstLine="420"/>
        <w:rPr>
          <w:rFonts w:hint="eastAsia" w:hAnsi="宋体"/>
          <w:color w:val="auto"/>
          <w:highlight w:val="none"/>
        </w:rPr>
      </w:pPr>
      <w:r>
        <w:rPr>
          <w:rFonts w:hint="eastAsia" w:hAnsi="宋体"/>
          <w:color w:val="auto"/>
          <w:highlight w:val="none"/>
        </w:rPr>
        <w:t>4.3.1</w:t>
      </w:r>
      <w:r>
        <w:rPr>
          <w:rFonts w:hint="eastAsia" w:hAnsi="宋体"/>
          <w:bCs/>
          <w:color w:val="auto"/>
          <w:highlight w:val="none"/>
        </w:rPr>
        <w:t>谈判供应商应认真审核《采购需求》中的技术参数、配置及要求，如发现表中技术参数、配置有误或要求不合理的，谈判供应商必须在规定的时间前要求澄清，否则，由此产生的后果由谈判供应商负责。</w:t>
      </w:r>
    </w:p>
    <w:p>
      <w:pPr>
        <w:pStyle w:val="22"/>
        <w:spacing w:line="400" w:lineRule="exact"/>
        <w:ind w:firstLine="420"/>
        <w:rPr>
          <w:rFonts w:hint="eastAsia" w:hAnsi="宋体"/>
          <w:b/>
          <w:color w:val="auto"/>
          <w:highlight w:val="none"/>
        </w:rPr>
      </w:pPr>
      <w:r>
        <w:rPr>
          <w:rFonts w:hint="eastAsia" w:hAnsi="宋体"/>
          <w:color w:val="auto"/>
          <w:highlight w:val="none"/>
        </w:rPr>
        <w:t>4.3.2任何要求澄清</w:t>
      </w:r>
      <w:r>
        <w:rPr>
          <w:rFonts w:hint="eastAsia" w:hAnsi="宋体"/>
          <w:b/>
          <w:color w:val="auto"/>
          <w:highlight w:val="none"/>
        </w:rPr>
        <w:t>谈判文件</w:t>
      </w:r>
      <w:r>
        <w:rPr>
          <w:rFonts w:hint="eastAsia" w:hAnsi="宋体"/>
          <w:color w:val="auto"/>
          <w:highlight w:val="none"/>
        </w:rPr>
        <w:t>的谈判供应商，均应在响应文件递交截止日期三日前的正常工作时间以书面形式通知本中心，同时认定其他澄清方式为无效。本中心将以书面形式予以答复。</w:t>
      </w:r>
    </w:p>
    <w:p>
      <w:pPr>
        <w:widowControl/>
        <w:spacing w:line="400" w:lineRule="exact"/>
        <w:ind w:firstLine="420"/>
        <w:jc w:val="left"/>
        <w:rPr>
          <w:rFonts w:ascii="宋体" w:hAnsi="宋体"/>
          <w:color w:val="auto"/>
          <w:szCs w:val="21"/>
          <w:highlight w:val="none"/>
        </w:rPr>
      </w:pPr>
      <w:r>
        <w:rPr>
          <w:rFonts w:hint="eastAsia" w:ascii="宋体" w:hAnsi="宋体"/>
          <w:color w:val="auto"/>
          <w:szCs w:val="21"/>
          <w:highlight w:val="none"/>
        </w:rPr>
        <w:t>4.3.3本中心对已发出的谈判文件进行必要澄清或者修改的，在</w:t>
      </w:r>
      <w:r>
        <w:rPr>
          <w:rFonts w:hint="eastAsia" w:ascii="宋体" w:hAnsi="宋体"/>
          <w:b/>
          <w:color w:val="auto"/>
          <w:szCs w:val="21"/>
          <w:highlight w:val="none"/>
        </w:rPr>
        <w:t>谈判文件</w:t>
      </w:r>
      <w:r>
        <w:rPr>
          <w:rFonts w:hint="eastAsia" w:ascii="宋体" w:hAnsi="宋体"/>
          <w:color w:val="auto"/>
          <w:szCs w:val="21"/>
          <w:highlight w:val="none"/>
        </w:rPr>
        <w:t>要求提交竞争性谈判响应文件截止时间三个工作日前（不足三个工作日顺延），在</w:t>
      </w:r>
      <w:r>
        <w:rPr>
          <w:rFonts w:ascii="宋体" w:hAnsi="宋体" w:cs="Arial"/>
          <w:color w:val="auto"/>
          <w:kern w:val="0"/>
          <w:szCs w:val="21"/>
          <w:highlight w:val="none"/>
        </w:rPr>
        <w:t>广西壮族自治区政府采购网、梧州市政府采购网</w:t>
      </w:r>
      <w:r>
        <w:rPr>
          <w:rFonts w:hint="eastAsia" w:ascii="宋体" w:hAnsi="宋体"/>
          <w:color w:val="auto"/>
          <w:szCs w:val="21"/>
          <w:highlight w:val="none"/>
        </w:rPr>
        <w:t>上发布更正公告，并以书面形式通知所有</w:t>
      </w:r>
      <w:r>
        <w:rPr>
          <w:rFonts w:hint="eastAsia" w:ascii="宋体" w:hAnsi="宋体"/>
          <w:b/>
          <w:color w:val="auto"/>
          <w:szCs w:val="21"/>
          <w:highlight w:val="none"/>
        </w:rPr>
        <w:t>谈判文件</w:t>
      </w:r>
      <w:r>
        <w:rPr>
          <w:rFonts w:hint="eastAsia" w:ascii="宋体" w:hAnsi="宋体"/>
          <w:color w:val="auto"/>
          <w:szCs w:val="21"/>
          <w:highlight w:val="none"/>
        </w:rPr>
        <w:t>收受人。该澄清或者修改的内容为</w:t>
      </w:r>
      <w:r>
        <w:rPr>
          <w:rFonts w:hint="eastAsia" w:ascii="宋体" w:hAnsi="宋体"/>
          <w:b/>
          <w:color w:val="auto"/>
          <w:szCs w:val="21"/>
          <w:highlight w:val="none"/>
        </w:rPr>
        <w:t>谈判文件</w:t>
      </w:r>
      <w:r>
        <w:rPr>
          <w:rFonts w:hint="eastAsia" w:ascii="宋体" w:hAnsi="宋体"/>
          <w:color w:val="auto"/>
          <w:szCs w:val="21"/>
          <w:highlight w:val="none"/>
        </w:rPr>
        <w:t>的组成部分。</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4.3.4本中心可视具体情况，延长响应文件递交截止时间和开标时间。本中心至少在</w:t>
      </w:r>
      <w:r>
        <w:rPr>
          <w:rFonts w:hint="eastAsia" w:ascii="宋体" w:hAnsi="宋体"/>
          <w:b/>
          <w:color w:val="auto"/>
          <w:szCs w:val="21"/>
          <w:highlight w:val="none"/>
        </w:rPr>
        <w:t>谈判文件</w:t>
      </w:r>
      <w:r>
        <w:rPr>
          <w:rFonts w:hint="eastAsia" w:ascii="宋体" w:hAnsi="宋体"/>
          <w:color w:val="auto"/>
          <w:szCs w:val="21"/>
          <w:highlight w:val="none"/>
        </w:rPr>
        <w:t>要求提交竞争性谈判响应文件的截止时间一日前，将变更时间书面通知所有</w:t>
      </w:r>
      <w:r>
        <w:rPr>
          <w:rFonts w:hint="eastAsia" w:ascii="宋体" w:hAnsi="宋体"/>
          <w:b/>
          <w:color w:val="auto"/>
          <w:szCs w:val="21"/>
          <w:highlight w:val="none"/>
        </w:rPr>
        <w:t>谈判文件</w:t>
      </w:r>
      <w:r>
        <w:rPr>
          <w:rFonts w:hint="eastAsia" w:ascii="宋体" w:hAnsi="宋体"/>
          <w:color w:val="auto"/>
          <w:szCs w:val="21"/>
          <w:highlight w:val="none"/>
        </w:rPr>
        <w:t>收受人，并在</w:t>
      </w:r>
      <w:r>
        <w:rPr>
          <w:rFonts w:ascii="宋体" w:hAnsi="宋体" w:cs="Arial"/>
          <w:color w:val="auto"/>
          <w:kern w:val="0"/>
          <w:szCs w:val="21"/>
          <w:highlight w:val="none"/>
        </w:rPr>
        <w:t>广西壮族自治区政府采购网、梧州市政府采购网</w:t>
      </w:r>
      <w:r>
        <w:rPr>
          <w:rFonts w:hint="eastAsia" w:ascii="宋体" w:hAnsi="宋体"/>
          <w:color w:val="auto"/>
          <w:szCs w:val="21"/>
          <w:highlight w:val="none"/>
        </w:rPr>
        <w:t>上发布变更公告。</w:t>
      </w:r>
    </w:p>
    <w:p>
      <w:pPr>
        <w:spacing w:line="400" w:lineRule="exact"/>
        <w:ind w:firstLine="420" w:firstLineChars="200"/>
        <w:rPr>
          <w:rFonts w:hint="eastAsia" w:ascii="宋体" w:hAnsi="宋体"/>
          <w:b/>
          <w:color w:val="auto"/>
          <w:szCs w:val="21"/>
          <w:highlight w:val="none"/>
        </w:rPr>
      </w:pPr>
      <w:r>
        <w:rPr>
          <w:rFonts w:hint="eastAsia" w:ascii="宋体" w:hAnsi="宋体"/>
          <w:b/>
          <w:color w:val="auto"/>
          <w:szCs w:val="21"/>
          <w:highlight w:val="none"/>
        </w:rPr>
        <w:t>二、竞争性谈判响应文件的编制</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5.竞争性谈判响应文件编制基本要求</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5.1谈判供应商对竞争性谈判响应文件的编制应按要求装订和封装。</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5.2谈判供应商提交的竞争性谈判响应文件以及谈判供应商与本中心和采购人就有关谈判的所有来往函电均应使用中文。谈判供应商提交的支持文件和印刷的文献可以使用别的语言，但其相应内容必须附有中文翻译文本，在解释竞争性谈判响应文件时以翻译文本为主。</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5.3谈判供应商应认真阅读、并充分理解本文件的全部内容（包括所有的澄清、更改、补充、答疑等内容），承诺并履行本文件中各项条款规定及要求。对谈判文件提出的要求作出实质性响应（对谈判文件作出响应是指谈判供应商必须对谈判文件中涉及项目的价格、技术参数及性能配置、数量、交货时间、售后服务及其它要求、合同主要条款等内容作出响应）。</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5.4竞争性谈判响应文件必须按本文件的全部内容，包括所有的澄清、更改、补充、答疑等内容及附件进行编制。</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5.5如因谈判供应商只填写和提供了本文件要求的部分内容和附件，而给谈判小组评审造成困难，其可能导致的结果和责任由谈判供应商自行承担。</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5.6竞争性谈判响应文件的组成：竞争性谈判响应文件应分为价格文件和商务技术文件两个部分组成</w:t>
      </w:r>
      <w:r>
        <w:rPr>
          <w:rFonts w:hint="eastAsia" w:ascii="宋体" w:hAnsi="宋体" w:cs="Arial"/>
          <w:color w:val="auto"/>
          <w:szCs w:val="21"/>
          <w:highlight w:val="none"/>
        </w:rPr>
        <w:t>（要求装订成一本）</w:t>
      </w:r>
      <w:r>
        <w:rPr>
          <w:rFonts w:hint="eastAsia" w:ascii="宋体" w:hAnsi="宋体"/>
          <w:color w:val="auto"/>
          <w:szCs w:val="21"/>
          <w:highlight w:val="none"/>
        </w:rPr>
        <w:t>。</w:t>
      </w:r>
    </w:p>
    <w:p>
      <w:pPr>
        <w:spacing w:line="400" w:lineRule="exact"/>
        <w:ind w:firstLine="420" w:firstLineChars="200"/>
        <w:rPr>
          <w:rFonts w:hint="eastAsia" w:ascii="宋体" w:hAnsi="宋体"/>
          <w:b/>
          <w:color w:val="auto"/>
          <w:szCs w:val="21"/>
          <w:highlight w:val="none"/>
        </w:rPr>
      </w:pPr>
      <w:r>
        <w:rPr>
          <w:rFonts w:hint="eastAsia" w:ascii="宋体" w:hAnsi="宋体"/>
          <w:b/>
          <w:color w:val="auto"/>
          <w:szCs w:val="21"/>
          <w:highlight w:val="none"/>
        </w:rPr>
        <w:t>5.6.1价格文件</w:t>
      </w:r>
    </w:p>
    <w:p>
      <w:pPr>
        <w:pStyle w:val="22"/>
        <w:adjustRightInd w:val="0"/>
        <w:snapToGrid w:val="0"/>
        <w:ind w:firstLine="420" w:firstLineChars="200"/>
        <w:rPr>
          <w:rFonts w:hint="eastAsia" w:hAnsi="宋体"/>
          <w:b/>
          <w:color w:val="auto"/>
          <w:highlight w:val="none"/>
        </w:rPr>
      </w:pPr>
      <w:r>
        <w:rPr>
          <w:rFonts w:hint="eastAsia" w:hAnsi="宋体"/>
          <w:color w:val="auto"/>
          <w:highlight w:val="none"/>
        </w:rPr>
        <w:t>▲1）报价表（附件2）；</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5.6.2 商务技术文件（应该有的必须提供,如未提供,谈判小组有权拒绝其竞争性谈判响应文件） </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▲1）谈判书（附件1）；</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▲2）商务、技术响应、偏离情况说明表（附件3）；</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▲3）谈判保证金缴纳证明（</w:t>
      </w:r>
      <w:r>
        <w:rPr>
          <w:rFonts w:hint="eastAsia"/>
          <w:b/>
          <w:color w:val="auto"/>
          <w:szCs w:val="21"/>
          <w:highlight w:val="none"/>
          <w:u w:val="single"/>
        </w:rPr>
        <w:t>说明：该声明除投标文件装订外，投标人应另单独准备一份，在开标前到本机构财务处确认投标保证金到账并加盖财务收讫章，供开标时检查</w:t>
      </w:r>
      <w:r>
        <w:rPr>
          <w:rFonts w:hint="eastAsia" w:ascii="宋体" w:hAnsi="宋体"/>
          <w:color w:val="auto"/>
          <w:szCs w:val="21"/>
          <w:highlight w:val="none"/>
        </w:rPr>
        <w:t>）</w:t>
      </w:r>
      <w:r>
        <w:rPr>
          <w:rFonts w:hint="eastAsia" w:ascii="宋体" w:hAnsi="宋体"/>
          <w:b/>
          <w:color w:val="auto"/>
          <w:szCs w:val="21"/>
          <w:highlight w:val="none"/>
        </w:rPr>
        <w:t>；</w:t>
      </w:r>
    </w:p>
    <w:p>
      <w:pPr>
        <w:adjustRightInd w:val="0"/>
        <w:snapToGrid w:val="0"/>
        <w:spacing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▲4）法定代表人授权委托书和委托代理人身份证复印件</w:t>
      </w:r>
      <w:r>
        <w:rPr>
          <w:rFonts w:hint="eastAsia" w:ascii="宋体" w:hAnsi="宋体"/>
          <w:b/>
          <w:color w:val="auto"/>
          <w:szCs w:val="21"/>
          <w:highlight w:val="none"/>
        </w:rPr>
        <w:t>（委托代理时必须提供）</w:t>
      </w:r>
      <w:r>
        <w:rPr>
          <w:rFonts w:hint="eastAsia" w:ascii="宋体" w:hAnsi="宋体"/>
          <w:color w:val="auto"/>
          <w:szCs w:val="21"/>
          <w:highlight w:val="none"/>
        </w:rPr>
        <w:t>，法定代表人参加谈判时，提供法定代表人身份证明书和身份证复印件</w:t>
      </w:r>
      <w:r>
        <w:rPr>
          <w:rFonts w:hint="eastAsia" w:ascii="宋体" w:hAnsi="宋体"/>
          <w:b/>
          <w:color w:val="auto"/>
          <w:szCs w:val="21"/>
          <w:highlight w:val="none"/>
        </w:rPr>
        <w:t>（附件4）</w:t>
      </w:r>
      <w:r>
        <w:rPr>
          <w:rFonts w:hint="eastAsia" w:ascii="宋体" w:hAnsi="宋体"/>
          <w:color w:val="auto"/>
          <w:szCs w:val="21"/>
          <w:highlight w:val="none"/>
        </w:rPr>
        <w:t>。</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▲5）谈判供应商有效的“营业执照”等证明文件复印件 ；</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▲6）</w:t>
      </w:r>
      <w:r>
        <w:rPr>
          <w:rFonts w:hint="eastAsia" w:ascii="宋体" w:hAnsi="宋体" w:cs="宋体"/>
          <w:color w:val="auto"/>
          <w:szCs w:val="21"/>
          <w:highlight w:val="none"/>
          <w:lang w:val="en-US" w:eastAsia="zh-CN"/>
        </w:rPr>
        <w:t>2020年1-6月</w:t>
      </w:r>
      <w:r>
        <w:rPr>
          <w:rFonts w:hint="eastAsia" w:ascii="宋体" w:hAnsi="宋体"/>
          <w:color w:val="auto"/>
          <w:szCs w:val="21"/>
          <w:highlight w:val="none"/>
        </w:rPr>
        <w:t>谈判供应商</w:t>
      </w:r>
      <w:r>
        <w:rPr>
          <w:rFonts w:hint="eastAsia" w:ascii="宋体" w:hAnsi="宋体" w:cs="宋体"/>
          <w:color w:val="auto"/>
          <w:szCs w:val="21"/>
          <w:highlight w:val="none"/>
        </w:rPr>
        <w:t>(如属新成立的公司不足三个月的递交工商注册之月起的纳税证明)</w:t>
      </w:r>
      <w:r>
        <w:rPr>
          <w:rFonts w:hint="eastAsia" w:ascii="宋体" w:hAnsi="宋体"/>
          <w:color w:val="auto"/>
          <w:szCs w:val="21"/>
          <w:highlight w:val="none"/>
        </w:rPr>
        <w:t>依法缴纳税费或依法免缴税费的证明</w:t>
      </w:r>
      <w:r>
        <w:rPr>
          <w:rFonts w:hint="eastAsia" w:ascii="宋体" w:hAnsi="宋体"/>
          <w:b/>
          <w:color w:val="auto"/>
          <w:szCs w:val="21"/>
          <w:highlight w:val="none"/>
        </w:rPr>
        <w:t>（复印件，格式自拟），</w:t>
      </w:r>
      <w:r>
        <w:rPr>
          <w:rFonts w:hint="eastAsia" w:ascii="宋体" w:hAnsi="宋体"/>
          <w:color w:val="auto"/>
          <w:szCs w:val="21"/>
          <w:highlight w:val="none"/>
        </w:rPr>
        <w:t>无纳税记录的，应提供由谈判供应商所在地主管国税、地税部门出具的《依法纳税或依法免税证明》</w:t>
      </w:r>
      <w:r>
        <w:rPr>
          <w:rFonts w:hint="eastAsia" w:ascii="宋体" w:hAnsi="宋体"/>
          <w:b/>
          <w:color w:val="auto"/>
          <w:szCs w:val="21"/>
          <w:highlight w:val="none"/>
        </w:rPr>
        <w:t>（复印件，格式自拟）；</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▲7）</w:t>
      </w:r>
      <w:r>
        <w:rPr>
          <w:rFonts w:hint="eastAsia" w:ascii="宋体" w:hAnsi="宋体" w:cs="宋体"/>
          <w:color w:val="auto"/>
          <w:szCs w:val="21"/>
          <w:highlight w:val="none"/>
          <w:lang w:val="en-US" w:eastAsia="zh-CN"/>
        </w:rPr>
        <w:t>2020年1-6月</w:t>
      </w:r>
      <w:r>
        <w:rPr>
          <w:rFonts w:hint="eastAsia" w:ascii="宋体" w:hAnsi="宋体"/>
          <w:color w:val="auto"/>
          <w:szCs w:val="21"/>
          <w:highlight w:val="none"/>
        </w:rPr>
        <w:t>谈判供应商连续三个月</w:t>
      </w:r>
      <w:r>
        <w:rPr>
          <w:rFonts w:hint="eastAsia" w:ascii="宋体" w:hAnsi="宋体" w:cs="宋体"/>
          <w:color w:val="auto"/>
          <w:szCs w:val="21"/>
          <w:highlight w:val="none"/>
        </w:rPr>
        <w:t>(如属新成立的公司不足三个月的递交工商注册之月起的社保证明)</w:t>
      </w:r>
      <w:r>
        <w:rPr>
          <w:rFonts w:hint="eastAsia" w:ascii="宋体" w:hAnsi="宋体"/>
          <w:color w:val="auto"/>
          <w:szCs w:val="21"/>
          <w:highlight w:val="none"/>
        </w:rPr>
        <w:t>依法缴纳社保费的缴费凭证</w:t>
      </w:r>
      <w:r>
        <w:rPr>
          <w:rFonts w:hint="eastAsia" w:ascii="宋体" w:hAnsi="宋体"/>
          <w:b/>
          <w:color w:val="auto"/>
          <w:szCs w:val="21"/>
          <w:highlight w:val="none"/>
        </w:rPr>
        <w:t>（复印件，格式自拟），</w:t>
      </w:r>
      <w:r>
        <w:rPr>
          <w:rFonts w:hint="eastAsia" w:ascii="宋体" w:hAnsi="宋体"/>
          <w:color w:val="auto"/>
          <w:szCs w:val="21"/>
          <w:highlight w:val="none"/>
        </w:rPr>
        <w:t>无缴费记录的，应提供由谈判供应商所在地社保部门出具的《依法缴纳或依法免缴社保费证明》</w:t>
      </w:r>
      <w:r>
        <w:rPr>
          <w:rFonts w:hint="eastAsia" w:ascii="宋体" w:hAnsi="宋体"/>
          <w:b/>
          <w:color w:val="auto"/>
          <w:szCs w:val="21"/>
          <w:highlight w:val="none"/>
        </w:rPr>
        <w:t>（格式自拟，复印件）；</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▲8）产品质量保证书（附件9）；</w:t>
      </w:r>
    </w:p>
    <w:p>
      <w:pPr>
        <w:spacing w:line="400" w:lineRule="exact"/>
        <w:ind w:firstLine="420" w:firstLineChars="200"/>
        <w:rPr>
          <w:rFonts w:hint="eastAsia" w:ascii="宋体" w:hAnsi="宋体"/>
          <w:b/>
          <w:color w:val="auto"/>
          <w:szCs w:val="21"/>
          <w:highlight w:val="none"/>
        </w:rPr>
      </w:pPr>
      <w:r>
        <w:rPr>
          <w:rFonts w:hint="eastAsia" w:ascii="宋体" w:hAnsi="宋体"/>
          <w:color w:val="auto"/>
          <w:szCs w:val="21"/>
          <w:highlight w:val="none"/>
        </w:rPr>
        <w:t>▲9）售后服务承诺书</w:t>
      </w:r>
      <w:r>
        <w:rPr>
          <w:color w:val="auto"/>
          <w:highlight w:val="none"/>
        </w:rPr>
        <w:t>（应据项目实际要求描述如：</w:t>
      </w:r>
      <w:r>
        <w:rPr>
          <w:rFonts w:ascii="宋体" w:hAnsi="宋体" w:cs="宋体"/>
          <w:color w:val="auto"/>
          <w:szCs w:val="21"/>
          <w:highlight w:val="none"/>
        </w:rPr>
        <w:t>投标人建议的安装、调试、验收方法或方案；技术</w:t>
      </w:r>
      <w:r>
        <w:rPr>
          <w:rFonts w:hint="eastAsia" w:ascii="宋体" w:hAnsi="宋体" w:cs="宋体"/>
          <w:color w:val="auto"/>
          <w:szCs w:val="21"/>
          <w:highlight w:val="none"/>
        </w:rPr>
        <w:t>个</w:t>
      </w:r>
      <w:r>
        <w:rPr>
          <w:rFonts w:ascii="宋体" w:hAnsi="宋体" w:cs="宋体"/>
          <w:color w:val="auto"/>
          <w:szCs w:val="21"/>
          <w:highlight w:val="none"/>
        </w:rPr>
        <w:t>服务、技术培训、售后服务的内容和措施等）</w:t>
      </w:r>
      <w:r>
        <w:rPr>
          <w:rFonts w:hint="eastAsia" w:ascii="宋体" w:hAnsi="宋体"/>
          <w:b/>
          <w:color w:val="auto"/>
          <w:szCs w:val="21"/>
          <w:highlight w:val="none"/>
        </w:rPr>
        <w:t>（格式自拟）</w:t>
      </w:r>
      <w:r>
        <w:rPr>
          <w:rFonts w:hint="eastAsia" w:ascii="宋体" w:hAnsi="宋体"/>
          <w:color w:val="auto"/>
          <w:szCs w:val="21"/>
          <w:highlight w:val="none"/>
        </w:rPr>
        <w:t>；</w:t>
      </w:r>
    </w:p>
    <w:p>
      <w:pPr>
        <w:tabs>
          <w:tab w:val="left" w:pos="9639"/>
          <w:tab w:val="left" w:pos="9746"/>
        </w:tabs>
        <w:adjustRightInd w:val="0"/>
        <w:snapToGrid w:val="0"/>
        <w:spacing w:line="360" w:lineRule="exact"/>
        <w:ind w:firstLine="420" w:firstLineChars="200"/>
        <w:rPr>
          <w:rFonts w:hint="eastAsia" w:ascii="宋体" w:hAnsi="宋体" w:cs="宋体"/>
          <w:color w:val="auto"/>
          <w:kern w:val="0"/>
          <w:szCs w:val="21"/>
          <w:highlight w:val="none"/>
        </w:rPr>
      </w:pPr>
      <w:bookmarkStart w:id="53" w:name="OLE_LINK4"/>
      <w:r>
        <w:rPr>
          <w:rFonts w:hint="eastAsia" w:ascii="宋体" w:hAnsi="宋体"/>
          <w:color w:val="auto"/>
          <w:szCs w:val="21"/>
          <w:highlight w:val="none"/>
        </w:rPr>
        <w:t>▲10）</w:t>
      </w:r>
      <w:bookmarkEnd w:id="53"/>
      <w:r>
        <w:rPr>
          <w:rFonts w:hint="eastAsia" w:ascii="宋体" w:hAnsi="宋体"/>
          <w:color w:val="auto"/>
          <w:szCs w:val="21"/>
          <w:highlight w:val="none"/>
        </w:rPr>
        <w:t>采购需求中要求必须提供的材料等；</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▲11）</w:t>
      </w:r>
      <w:r>
        <w:rPr>
          <w:rFonts w:hint="eastAsia" w:ascii="宋体" w:hAnsi="宋体" w:cs="宋体"/>
          <w:color w:val="auto"/>
          <w:szCs w:val="21"/>
          <w:highlight w:val="none"/>
        </w:rPr>
        <w:t>参加政府采购活动前3年内在经营活动中没有重大违法记录的书面声明（必须提供，格式见第四章）</w:t>
      </w:r>
    </w:p>
    <w:p>
      <w:pPr>
        <w:spacing w:line="400" w:lineRule="exact"/>
        <w:ind w:left="420" w:leftChars="200" w:firstLine="0" w:firstLineChars="0"/>
        <w:rPr>
          <w:rFonts w:hint="eastAsia" w:ascii="宋体" w:hAnsi="宋体"/>
          <w:color w:val="auto"/>
          <w:szCs w:val="21"/>
          <w:highlight w:val="none"/>
        </w:rPr>
      </w:pPr>
      <w:r>
        <w:rPr>
          <w:rFonts w:hint="eastAsia" w:ascii="宋体" w:hAnsi="宋体"/>
          <w:color w:val="auto"/>
          <w:szCs w:val="21"/>
          <w:highlight w:val="none"/>
        </w:rPr>
        <w:t>▲12）信用承诺函</w:t>
      </w:r>
      <w:r>
        <w:rPr>
          <w:rFonts w:hint="eastAsia" w:ascii="宋体" w:hAnsi="宋体" w:cs="宋体"/>
          <w:color w:val="auto"/>
          <w:szCs w:val="21"/>
          <w:highlight w:val="none"/>
        </w:rPr>
        <w:t>（必须提供，格式见第四章）</w:t>
      </w:r>
      <w:r>
        <w:rPr>
          <w:rFonts w:hint="eastAsia" w:ascii="宋体" w:hAnsi="宋体"/>
          <w:color w:val="auto"/>
          <w:szCs w:val="21"/>
          <w:highlight w:val="none"/>
        </w:rPr>
        <w:br w:type="textWrapping"/>
      </w:r>
      <w:r>
        <w:rPr>
          <w:rFonts w:hint="eastAsia" w:ascii="宋体" w:hAnsi="宋体"/>
          <w:color w:val="auto"/>
          <w:szCs w:val="21"/>
          <w:highlight w:val="none"/>
        </w:rPr>
        <w:t>▲13）</w:t>
      </w:r>
      <w:r>
        <w:rPr>
          <w:rFonts w:ascii="宋体" w:hAnsi="宋体" w:cs="宋体"/>
          <w:color w:val="auto"/>
          <w:szCs w:val="21"/>
          <w:highlight w:val="none"/>
        </w:rPr>
        <w:t>设备配置清单（均不含报价）；</w:t>
      </w:r>
    </w:p>
    <w:p>
      <w:pPr>
        <w:spacing w:line="400" w:lineRule="exact"/>
        <w:ind w:firstLine="420"/>
        <w:jc w:val="left"/>
        <w:rPr>
          <w:rFonts w:ascii="宋体" w:hAnsi="宋体" w:cs="宋体"/>
          <w:color w:val="auto"/>
          <w:szCs w:val="21"/>
          <w:highlight w:val="none"/>
        </w:rPr>
      </w:pPr>
      <w:r>
        <w:rPr>
          <w:rFonts w:hint="eastAsia" w:ascii="宋体" w:hAnsi="宋体"/>
          <w:color w:val="auto"/>
          <w:szCs w:val="21"/>
          <w:highlight w:val="none"/>
        </w:rPr>
        <w:t>▲</w:t>
      </w:r>
      <w:r>
        <w:rPr>
          <w:rFonts w:hint="eastAsia" w:ascii="宋体" w:hAnsi="宋体" w:cs="宋体"/>
          <w:color w:val="auto"/>
          <w:szCs w:val="21"/>
          <w:highlight w:val="none"/>
        </w:rPr>
        <w:t>14）</w:t>
      </w:r>
      <w:r>
        <w:rPr>
          <w:rFonts w:ascii="宋体" w:hAnsi="宋体" w:cs="宋体"/>
          <w:color w:val="auto"/>
          <w:highlight w:val="none"/>
        </w:rPr>
        <w:t>施工方案</w:t>
      </w:r>
    </w:p>
    <w:p>
      <w:pPr>
        <w:spacing w:line="400" w:lineRule="exact"/>
        <w:ind w:firstLine="420"/>
        <w:jc w:val="left"/>
        <w:rPr>
          <w:rFonts w:ascii="宋体" w:hAnsi="宋体" w:cs="宋体"/>
          <w:color w:val="auto"/>
          <w:szCs w:val="21"/>
          <w:highlight w:val="none"/>
        </w:rPr>
      </w:pPr>
      <w:r>
        <w:rPr>
          <w:rFonts w:hint="eastAsia" w:ascii="宋体" w:hAnsi="宋体"/>
          <w:color w:val="auto"/>
          <w:szCs w:val="21"/>
          <w:highlight w:val="none"/>
        </w:rPr>
        <w:t>▲</w:t>
      </w:r>
      <w:r>
        <w:rPr>
          <w:rFonts w:hint="eastAsia" w:ascii="宋体" w:hAnsi="宋体" w:cs="宋体"/>
          <w:color w:val="auto"/>
          <w:szCs w:val="21"/>
          <w:highlight w:val="none"/>
        </w:rPr>
        <w:t>15）</w:t>
      </w:r>
      <w:r>
        <w:rPr>
          <w:rFonts w:hint="eastAsia" w:ascii="宋体" w:hAnsi="宋体"/>
          <w:color w:val="auto"/>
          <w:szCs w:val="21"/>
          <w:highlight w:val="none"/>
        </w:rPr>
        <w:t>服务商2019年度</w:t>
      </w:r>
      <w:r>
        <w:rPr>
          <w:rFonts w:hint="eastAsia" w:ascii="宋体" w:hAnsi="宋体"/>
          <w:color w:val="auto"/>
          <w:szCs w:val="21"/>
          <w:highlight w:val="none"/>
          <w:lang w:eastAsia="zh-CN"/>
        </w:rPr>
        <w:t>经第三方审计</w:t>
      </w:r>
      <w:r>
        <w:rPr>
          <w:rFonts w:hint="eastAsia" w:ascii="宋体" w:hAnsi="宋体"/>
          <w:color w:val="auto"/>
          <w:szCs w:val="21"/>
          <w:highlight w:val="none"/>
        </w:rPr>
        <w:t>的财务报表</w:t>
      </w:r>
      <w:r>
        <w:rPr>
          <w:rFonts w:hint="eastAsia" w:ascii="宋体" w:hAnsi="宋体" w:cs="宋体"/>
          <w:color w:val="auto"/>
          <w:szCs w:val="21"/>
          <w:highlight w:val="none"/>
        </w:rPr>
        <w:t>;</w:t>
      </w:r>
    </w:p>
    <w:p>
      <w:pPr>
        <w:spacing w:line="400" w:lineRule="exact"/>
        <w:ind w:firstLine="420"/>
        <w:jc w:val="left"/>
        <w:rPr>
          <w:rFonts w:ascii="宋体" w:hAnsi="宋体" w:cs="宋体"/>
          <w:color w:val="auto"/>
          <w:szCs w:val="21"/>
          <w:highlight w:val="none"/>
        </w:rPr>
      </w:pPr>
      <w:r>
        <w:rPr>
          <w:rFonts w:hint="eastAsia" w:ascii="宋体" w:hAnsi="宋体" w:cs="宋体"/>
          <w:color w:val="auto"/>
          <w:szCs w:val="21"/>
          <w:highlight w:val="none"/>
        </w:rPr>
        <w:t>16）</w:t>
      </w:r>
      <w:r>
        <w:rPr>
          <w:rFonts w:hint="eastAsia" w:ascii="宋体" w:hAnsi="宋体"/>
          <w:color w:val="auto"/>
          <w:szCs w:val="21"/>
          <w:highlight w:val="none"/>
        </w:rPr>
        <w:t>中小企业声明函（附件11）；</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17）谈判供应商认为需要提供的有关资料。</w:t>
      </w:r>
    </w:p>
    <w:p>
      <w:pPr>
        <w:spacing w:line="360" w:lineRule="exact"/>
        <w:ind w:firstLine="420" w:firstLineChars="200"/>
        <w:rPr>
          <w:rFonts w:hint="eastAsia" w:ascii="宋体" w:hAnsi="宋体"/>
          <w:b/>
          <w:color w:val="auto"/>
          <w:szCs w:val="21"/>
          <w:highlight w:val="none"/>
        </w:rPr>
      </w:pPr>
      <w:r>
        <w:rPr>
          <w:rFonts w:hint="eastAsia" w:ascii="宋体" w:hAnsi="宋体"/>
          <w:b/>
          <w:color w:val="auto"/>
          <w:szCs w:val="21"/>
          <w:highlight w:val="none"/>
        </w:rPr>
        <w:t>特别说明：谈判文件要求提供的的各种复印件，须加盖谈判供应商印章，否则其无效（正本与副本不一致的，以正本为准）。</w:t>
      </w:r>
    </w:p>
    <w:p>
      <w:pPr>
        <w:spacing w:line="360" w:lineRule="exact"/>
        <w:ind w:firstLine="420" w:firstLineChars="200"/>
        <w:rPr>
          <w:rFonts w:ascii="宋体" w:hAnsi="宋体"/>
          <w:b/>
          <w:color w:val="auto"/>
          <w:szCs w:val="21"/>
          <w:highlight w:val="none"/>
        </w:rPr>
      </w:pPr>
      <w:r>
        <w:rPr>
          <w:rFonts w:hint="eastAsia" w:ascii="宋体" w:hAnsi="宋体"/>
          <w:color w:val="auto"/>
          <w:szCs w:val="21"/>
          <w:highlight w:val="none"/>
        </w:rPr>
        <w:t>▲</w:t>
      </w:r>
      <w:r>
        <w:rPr>
          <w:rFonts w:hint="eastAsia" w:ascii="宋体" w:hAnsi="宋体"/>
          <w:b/>
          <w:color w:val="auto"/>
          <w:szCs w:val="21"/>
          <w:highlight w:val="none"/>
        </w:rPr>
        <w:t>特别说明：对于供应商能够在线提供的材料，供应商可以不提供纸质材料，但必须提供查询方式及直达查询链接（需同时提供文字版及电子版U盘）。</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6. 计量单位</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6.1除技术要求中另有规定外，本文件所要求使用的计量单位均应采用国家法定计量单位。</w:t>
      </w:r>
    </w:p>
    <w:p>
      <w:pPr>
        <w:spacing w:line="400" w:lineRule="exact"/>
        <w:ind w:firstLine="420" w:firstLineChars="200"/>
        <w:rPr>
          <w:rFonts w:hint="eastAsia" w:ascii="宋体" w:hAnsi="宋体"/>
          <w:b/>
          <w:color w:val="auto"/>
          <w:szCs w:val="21"/>
          <w:highlight w:val="none"/>
        </w:rPr>
      </w:pPr>
      <w:r>
        <w:rPr>
          <w:rFonts w:hint="eastAsia" w:ascii="宋体" w:hAnsi="宋体"/>
          <w:b/>
          <w:color w:val="auto"/>
          <w:szCs w:val="21"/>
          <w:highlight w:val="none"/>
        </w:rPr>
        <w:t>三、报价要求</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7.1对于本文件中未列明，而谈判供应商认为必需的费用也需列入总报价。在合同实施时，采购人将不予支付成交供应商没有列入的项目费用，并认为此项目的费用已包括在总报价中。</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7.2成交供应商负责本项目所需货物的制造、运输、售后服务等全部工作。</w:t>
      </w:r>
    </w:p>
    <w:p>
      <w:pPr>
        <w:pStyle w:val="22"/>
        <w:spacing w:line="420" w:lineRule="exact"/>
        <w:ind w:firstLine="420"/>
        <w:rPr>
          <w:rFonts w:hint="eastAsia" w:hAnsi="宋体"/>
          <w:color w:val="auto"/>
          <w:highlight w:val="none"/>
        </w:rPr>
      </w:pPr>
      <w:r>
        <w:rPr>
          <w:rFonts w:hint="eastAsia" w:hAnsi="宋体"/>
          <w:color w:val="auto"/>
          <w:highlight w:val="none"/>
        </w:rPr>
        <w:t>7.3谈判供应商应在报价表上标明单价和总价。大写金额和小写金额不一致的，以大写金额为准；总价金额与按单价汇总金额不一致的，以单价金额计算结果为准；单价金额小数点有明显错位的，应以总价为准，并修改单价；对不同文字文本竞争性谈判响应文件的解释发生异议的，以中文文本为准。除上述原因以外，如果因谈判供应商原因引起的报价失误，并在谈判时被接受，其后果由谈判供应商自负。</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7.4谈判供应商可就《采购需求》中所有的货物和服务内容作完整唯一报价。</w:t>
      </w:r>
    </w:p>
    <w:p>
      <w:pPr>
        <w:spacing w:line="400" w:lineRule="exact"/>
        <w:ind w:firstLine="420" w:firstLineChars="200"/>
        <w:rPr>
          <w:rFonts w:hint="eastAsia" w:ascii="宋体" w:hAnsi="宋体"/>
          <w:b/>
          <w:color w:val="auto"/>
          <w:szCs w:val="21"/>
          <w:highlight w:val="none"/>
        </w:rPr>
      </w:pPr>
      <w:r>
        <w:rPr>
          <w:rFonts w:hint="eastAsia" w:ascii="宋体" w:hAnsi="宋体"/>
          <w:b/>
          <w:color w:val="auto"/>
          <w:szCs w:val="21"/>
          <w:highlight w:val="none"/>
        </w:rPr>
        <w:t>四、竞争性谈判响应文件的份数、封装和递交</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8. 竞争性谈判响应文件的份数和封装</w:t>
      </w:r>
    </w:p>
    <w:p>
      <w:pPr>
        <w:pStyle w:val="22"/>
        <w:spacing w:line="380" w:lineRule="exact"/>
        <w:ind w:firstLine="420"/>
        <w:rPr>
          <w:rFonts w:hint="eastAsia" w:hAnsi="宋体"/>
          <w:color w:val="auto"/>
          <w:highlight w:val="none"/>
        </w:rPr>
      </w:pPr>
      <w:r>
        <w:rPr>
          <w:rFonts w:hint="eastAsia" w:hAnsi="宋体"/>
          <w:color w:val="auto"/>
          <w:highlight w:val="none"/>
        </w:rPr>
        <w:t>8.1谈判供应商应将竞争性谈判响应文件中“价格文件”和“商务技术文件”</w:t>
      </w:r>
      <w:r>
        <w:rPr>
          <w:rFonts w:hint="eastAsia" w:hAnsi="宋体" w:cs="Arial"/>
          <w:color w:val="auto"/>
          <w:highlight w:val="none"/>
        </w:rPr>
        <w:t>装订成一本</w:t>
      </w:r>
      <w:r>
        <w:rPr>
          <w:rFonts w:hint="eastAsia" w:hAnsi="宋体"/>
          <w:color w:val="auto"/>
          <w:highlight w:val="none"/>
        </w:rPr>
        <w:t>（两文件相隔之间用封面标识，封面写明“价格文件”、“商务技术文件”字样）。</w:t>
      </w:r>
    </w:p>
    <w:p>
      <w:pPr>
        <w:pStyle w:val="22"/>
        <w:spacing w:line="380" w:lineRule="exact"/>
        <w:ind w:firstLine="420"/>
        <w:rPr>
          <w:rFonts w:hint="eastAsia" w:hAnsi="宋体"/>
          <w:color w:val="auto"/>
          <w:highlight w:val="none"/>
        </w:rPr>
      </w:pPr>
      <w:r>
        <w:rPr>
          <w:rFonts w:hint="eastAsia" w:hAnsi="宋体"/>
          <w:color w:val="auto"/>
          <w:highlight w:val="none"/>
        </w:rPr>
        <w:t>谈判供应商将竞争性谈判响应文件按正、副本分别装订成册，在每个正、副本封面上标明“正本”或“副本”，以及项目名称、项目编号、</w:t>
      </w:r>
      <w:r>
        <w:rPr>
          <w:rFonts w:hint="eastAsia" w:hAnsi="宋体"/>
          <w:bCs/>
          <w:color w:val="auto"/>
          <w:highlight w:val="none"/>
        </w:rPr>
        <w:t>所竞分标号</w:t>
      </w:r>
      <w:r>
        <w:rPr>
          <w:rFonts w:hint="eastAsia" w:hAnsi="宋体"/>
          <w:color w:val="auto"/>
          <w:highlight w:val="none"/>
        </w:rPr>
        <w:t xml:space="preserve">、谈判供应商名称等内容。 </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8.2谈判供应商应将竞争性谈判响应文件正、副本（正本一份，副本两份）装入到一个竞争性谈判响应文件袋内，封装并加以密封，在每一封贴处密封签章【公章、密封章、法定代表人、委托代理人签字等均可】</w:t>
      </w:r>
      <w:r>
        <w:rPr>
          <w:rFonts w:hint="eastAsia" w:ascii="宋体" w:hAnsi="宋体"/>
          <w:b/>
          <w:color w:val="auto"/>
          <w:szCs w:val="21"/>
          <w:highlight w:val="none"/>
        </w:rPr>
        <w:t>（竞争性谈判响应文件的密封以文件袋无明显缝隙露出袋内文件表述内容且封口处有密封签章为合格）</w:t>
      </w:r>
      <w:r>
        <w:rPr>
          <w:rFonts w:hint="eastAsia" w:ascii="宋体" w:hAnsi="宋体"/>
          <w:color w:val="auto"/>
          <w:szCs w:val="21"/>
          <w:highlight w:val="none"/>
        </w:rPr>
        <w:t>。</w:t>
      </w:r>
    </w:p>
    <w:p>
      <w:pPr>
        <w:pStyle w:val="22"/>
        <w:spacing w:line="420" w:lineRule="exact"/>
        <w:ind w:firstLine="420"/>
        <w:rPr>
          <w:rFonts w:hint="eastAsia" w:hAnsi="宋体"/>
          <w:color w:val="auto"/>
          <w:highlight w:val="none"/>
        </w:rPr>
      </w:pPr>
      <w:r>
        <w:rPr>
          <w:rFonts w:hint="eastAsia" w:hAnsi="宋体"/>
          <w:color w:val="auto"/>
          <w:highlight w:val="none"/>
        </w:rPr>
        <w:t>文件袋外层封面上应写明：</w:t>
      </w:r>
    </w:p>
    <w:p>
      <w:pPr>
        <w:pStyle w:val="22"/>
        <w:spacing w:line="420" w:lineRule="exact"/>
        <w:ind w:firstLine="840" w:firstLineChars="400"/>
        <w:rPr>
          <w:rFonts w:hint="eastAsia" w:hAnsi="宋体"/>
          <w:color w:val="auto"/>
          <w:highlight w:val="none"/>
        </w:rPr>
      </w:pPr>
      <w:r>
        <w:rPr>
          <w:rFonts w:hint="eastAsia" w:hAnsi="宋体"/>
          <w:color w:val="auto"/>
          <w:highlight w:val="none"/>
        </w:rPr>
        <w:t>1）项目名称：</w:t>
      </w:r>
    </w:p>
    <w:p>
      <w:pPr>
        <w:pStyle w:val="22"/>
        <w:spacing w:line="420" w:lineRule="exact"/>
        <w:ind w:firstLine="840" w:firstLineChars="400"/>
        <w:rPr>
          <w:rFonts w:hint="eastAsia" w:hAnsi="宋体"/>
          <w:color w:val="auto"/>
          <w:highlight w:val="none"/>
        </w:rPr>
      </w:pPr>
      <w:r>
        <w:rPr>
          <w:rFonts w:hint="eastAsia" w:hAnsi="宋体"/>
          <w:color w:val="auto"/>
          <w:highlight w:val="none"/>
        </w:rPr>
        <w:t>2）项目编号：</w:t>
      </w:r>
    </w:p>
    <w:p>
      <w:pPr>
        <w:pStyle w:val="22"/>
        <w:spacing w:line="420" w:lineRule="exact"/>
        <w:ind w:firstLine="840" w:firstLineChars="400"/>
        <w:rPr>
          <w:rFonts w:hint="eastAsia" w:hAnsi="宋体"/>
          <w:color w:val="auto"/>
          <w:highlight w:val="none"/>
        </w:rPr>
      </w:pPr>
      <w:r>
        <w:rPr>
          <w:rFonts w:hint="eastAsia" w:hAnsi="宋体"/>
          <w:color w:val="auto"/>
          <w:highlight w:val="none"/>
        </w:rPr>
        <w:t>3）谈判供应商名称：</w:t>
      </w:r>
    </w:p>
    <w:p>
      <w:pPr>
        <w:pStyle w:val="22"/>
        <w:spacing w:line="420" w:lineRule="exact"/>
        <w:ind w:firstLine="840" w:firstLineChars="400"/>
        <w:rPr>
          <w:rFonts w:hint="eastAsia" w:hAnsi="宋体"/>
          <w:color w:val="auto"/>
          <w:highlight w:val="none"/>
        </w:rPr>
      </w:pPr>
      <w:r>
        <w:rPr>
          <w:rFonts w:hint="eastAsia" w:hAnsi="宋体"/>
          <w:color w:val="auto"/>
          <w:highlight w:val="none"/>
        </w:rPr>
        <w:t>4）（截标时才能启封）</w:t>
      </w:r>
    </w:p>
    <w:p>
      <w:pPr>
        <w:pStyle w:val="22"/>
        <w:spacing w:line="420" w:lineRule="exact"/>
        <w:ind w:firstLine="420" w:firstLineChars="200"/>
        <w:rPr>
          <w:rFonts w:hint="eastAsia" w:hAnsi="宋体"/>
          <w:color w:val="auto"/>
          <w:highlight w:val="none"/>
        </w:rPr>
      </w:pPr>
      <w:r>
        <w:rPr>
          <w:rFonts w:hint="eastAsia" w:hAnsi="宋体"/>
          <w:color w:val="auto"/>
          <w:highlight w:val="none"/>
        </w:rPr>
        <w:t>9. 竞争性谈判响应文件的递交</w:t>
      </w:r>
    </w:p>
    <w:p>
      <w:pPr>
        <w:pStyle w:val="22"/>
        <w:spacing w:line="420" w:lineRule="exact"/>
        <w:ind w:firstLine="420"/>
        <w:rPr>
          <w:rFonts w:hint="eastAsia" w:hAnsi="宋体"/>
          <w:color w:val="auto"/>
          <w:highlight w:val="none"/>
        </w:rPr>
      </w:pPr>
      <w:r>
        <w:rPr>
          <w:rFonts w:hint="eastAsia" w:hAnsi="宋体"/>
          <w:color w:val="auto"/>
          <w:highlight w:val="none"/>
        </w:rPr>
        <w:t>9.1所有竞争性谈判响应文件应于谈判文件中规定的时间前递交到梧州市三龙大道红岭大厦8楼梧州市公共资源交易中心开标室（</w:t>
      </w:r>
      <w:r>
        <w:rPr>
          <w:rFonts w:hint="eastAsia" w:hAnsi="宋体"/>
          <w:b/>
          <w:bCs/>
          <w:color w:val="auto"/>
          <w:highlight w:val="none"/>
        </w:rPr>
        <w:t>具体开标室看现场LED指引）</w:t>
      </w:r>
      <w:r>
        <w:rPr>
          <w:rFonts w:hint="eastAsia" w:hAnsi="宋体"/>
          <w:color w:val="auto"/>
          <w:highlight w:val="none"/>
        </w:rPr>
        <w:t>。</w:t>
      </w:r>
    </w:p>
    <w:p>
      <w:pPr>
        <w:pStyle w:val="22"/>
        <w:spacing w:line="420" w:lineRule="exact"/>
        <w:ind w:firstLine="420"/>
        <w:rPr>
          <w:rFonts w:hint="eastAsia" w:hAnsi="宋体"/>
          <w:color w:val="auto"/>
          <w:highlight w:val="none"/>
        </w:rPr>
      </w:pPr>
      <w:r>
        <w:rPr>
          <w:rFonts w:hint="eastAsia" w:hAnsi="宋体"/>
          <w:color w:val="auto"/>
          <w:highlight w:val="none"/>
        </w:rPr>
        <w:t>9.2竞争性谈判响应文件从响应文件递交截止日期后六十日内有效。</w:t>
      </w:r>
    </w:p>
    <w:p>
      <w:pPr>
        <w:pStyle w:val="22"/>
        <w:spacing w:line="420" w:lineRule="exact"/>
        <w:ind w:firstLine="420"/>
        <w:rPr>
          <w:rFonts w:hint="eastAsia" w:hAnsi="宋体"/>
          <w:color w:val="auto"/>
          <w:highlight w:val="none"/>
        </w:rPr>
      </w:pPr>
      <w:r>
        <w:rPr>
          <w:rFonts w:hint="eastAsia" w:hAnsi="宋体"/>
          <w:color w:val="auto"/>
          <w:highlight w:val="none"/>
        </w:rPr>
        <w:t>10.迟交的竞争性谈判响应文件</w:t>
      </w:r>
    </w:p>
    <w:p>
      <w:pPr>
        <w:pStyle w:val="22"/>
        <w:spacing w:line="420" w:lineRule="exact"/>
        <w:ind w:firstLine="420"/>
        <w:rPr>
          <w:rFonts w:hint="eastAsia" w:hAnsi="宋体"/>
          <w:color w:val="auto"/>
          <w:highlight w:val="none"/>
        </w:rPr>
      </w:pPr>
      <w:r>
        <w:rPr>
          <w:rFonts w:hint="eastAsia" w:hAnsi="宋体"/>
          <w:color w:val="auto"/>
          <w:highlight w:val="none"/>
        </w:rPr>
        <w:t>10.1在本文件要求竞争性谈判响应文件递交截止时间后送达的竞争性谈判响应文件为无效文件，本中心将拒收。</w:t>
      </w:r>
    </w:p>
    <w:p>
      <w:pPr>
        <w:spacing w:line="400" w:lineRule="exact"/>
        <w:ind w:firstLine="420" w:firstLineChars="200"/>
        <w:rPr>
          <w:rFonts w:hint="eastAsia" w:ascii="宋体" w:hAnsi="宋体"/>
          <w:b/>
          <w:color w:val="auto"/>
          <w:szCs w:val="21"/>
          <w:highlight w:val="none"/>
        </w:rPr>
      </w:pPr>
      <w:r>
        <w:rPr>
          <w:rFonts w:hint="eastAsia" w:ascii="宋体" w:hAnsi="宋体"/>
          <w:color w:val="auto"/>
          <w:szCs w:val="21"/>
          <w:highlight w:val="none"/>
        </w:rPr>
        <w:t>11．</w:t>
      </w:r>
      <w:r>
        <w:rPr>
          <w:rFonts w:hint="eastAsia" w:ascii="宋体" w:hAnsi="宋体"/>
          <w:b/>
          <w:color w:val="auto"/>
          <w:szCs w:val="21"/>
          <w:highlight w:val="none"/>
        </w:rPr>
        <w:t>谈判保证金</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11.1谈判保证金应用人民币：见</w:t>
      </w:r>
      <w:r>
        <w:rPr>
          <w:rFonts w:hint="eastAsia" w:ascii="宋体" w:hAnsi="宋体" w:cs="宋体"/>
          <w:color w:val="auto"/>
          <w:szCs w:val="21"/>
          <w:highlight w:val="none"/>
        </w:rPr>
        <w:t>谈判供应商须知前附表</w:t>
      </w:r>
      <w:r>
        <w:rPr>
          <w:rFonts w:hint="eastAsia" w:ascii="宋体" w:hAnsi="宋体"/>
          <w:color w:val="auto"/>
          <w:szCs w:val="21"/>
          <w:highlight w:val="none"/>
        </w:rPr>
        <w:t>。</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11.2</w:t>
      </w:r>
      <w:r>
        <w:rPr>
          <w:rFonts w:ascii="宋体" w:hAnsi="宋体"/>
          <w:color w:val="auto"/>
          <w:szCs w:val="21"/>
          <w:highlight w:val="none"/>
        </w:rPr>
        <w:t xml:space="preserve"> </w:t>
      </w:r>
      <w:r>
        <w:rPr>
          <w:rFonts w:hint="eastAsia" w:ascii="宋体" w:hAnsi="宋体"/>
          <w:color w:val="auto"/>
          <w:szCs w:val="21"/>
          <w:highlight w:val="none"/>
        </w:rPr>
        <w:t>保证金交纳方式：转帐、电汇等非现金形式（不接受以个人名义交纳的谈判保证金）。</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11.3缴纳谈判保证金的账户为：</w:t>
      </w:r>
      <w:r>
        <w:rPr>
          <w:rFonts w:ascii="宋体" w:hAnsi="宋体"/>
          <w:color w:val="auto"/>
          <w:szCs w:val="21"/>
          <w:highlight w:val="none"/>
        </w:rPr>
        <w:t>投标保证金以转帐、电汇等非现金形式（不接受以个人名义交纳的投标保证金），于投标截止时间前到达指定账户（办理投标保证金交纳手续时，投标人务必在银行进账单或电汇单的用途栏或空白栏上注明项目编号）</w:t>
      </w:r>
      <w:r>
        <w:rPr>
          <w:rFonts w:hint="eastAsia" w:ascii="宋体" w:hAnsi="宋体" w:cs="宋体"/>
          <w:color w:val="auto"/>
          <w:szCs w:val="21"/>
          <w:highlight w:val="none"/>
        </w:rPr>
        <w:t>。</w:t>
      </w:r>
    </w:p>
    <w:p>
      <w:pPr>
        <w:pStyle w:val="19"/>
        <w:tabs>
          <w:tab w:val="left" w:pos="525"/>
        </w:tabs>
        <w:ind w:firstLine="848"/>
        <w:rPr>
          <w:rFonts w:ascii="宋体" w:hAnsi="宋体" w:eastAsia="宋体"/>
          <w:b/>
          <w:color w:val="auto"/>
          <w:sz w:val="24"/>
          <w:szCs w:val="24"/>
          <w:highlight w:val="none"/>
        </w:rPr>
      </w:pPr>
      <w:r>
        <w:rPr>
          <w:rFonts w:hint="eastAsia" w:ascii="宋体" w:hAnsi="宋体" w:eastAsia="宋体"/>
          <w:b/>
          <w:bCs/>
          <w:color w:val="auto"/>
          <w:sz w:val="24"/>
          <w:szCs w:val="24"/>
          <w:highlight w:val="none"/>
        </w:rPr>
        <w:t>开户名称：</w:t>
      </w:r>
      <w:r>
        <w:rPr>
          <w:rFonts w:hint="eastAsia" w:ascii="宋体" w:hAnsi="宋体" w:eastAsia="宋体"/>
          <w:b/>
          <w:color w:val="auto"/>
          <w:sz w:val="24"/>
          <w:szCs w:val="24"/>
          <w:highlight w:val="none"/>
          <w:u w:val="single"/>
        </w:rPr>
        <w:t>梧州市公共资源交易中心（梧州市政府采购中心）</w:t>
      </w:r>
      <w:r>
        <w:rPr>
          <w:rFonts w:hint="eastAsia" w:ascii="宋体" w:hAnsi="宋体" w:eastAsia="宋体"/>
          <w:b/>
          <w:color w:val="auto"/>
          <w:sz w:val="24"/>
          <w:szCs w:val="24"/>
          <w:highlight w:val="none"/>
        </w:rPr>
        <w:t xml:space="preserve"> </w:t>
      </w:r>
    </w:p>
    <w:p>
      <w:pPr>
        <w:pStyle w:val="19"/>
        <w:tabs>
          <w:tab w:val="left" w:pos="525"/>
        </w:tabs>
        <w:ind w:firstLine="848"/>
        <w:rPr>
          <w:rFonts w:ascii="宋体" w:hAnsi="宋体" w:eastAsia="宋体"/>
          <w:b/>
          <w:color w:val="auto"/>
          <w:sz w:val="24"/>
          <w:szCs w:val="24"/>
          <w:highlight w:val="none"/>
          <w:u w:val="single"/>
        </w:rPr>
      </w:pPr>
      <w:r>
        <w:rPr>
          <w:rFonts w:hint="eastAsia" w:ascii="宋体" w:hAnsi="宋体" w:eastAsia="宋体"/>
          <w:b/>
          <w:bCs/>
          <w:color w:val="auto"/>
          <w:sz w:val="24"/>
          <w:szCs w:val="24"/>
          <w:highlight w:val="none"/>
        </w:rPr>
        <w:t>开户银行：</w:t>
      </w:r>
      <w:r>
        <w:rPr>
          <w:rFonts w:hint="eastAsia" w:ascii="宋体" w:hAnsi="宋体" w:eastAsia="宋体"/>
          <w:b/>
          <w:color w:val="auto"/>
          <w:sz w:val="24"/>
          <w:szCs w:val="24"/>
          <w:highlight w:val="none"/>
          <w:u w:val="single"/>
        </w:rPr>
        <w:t>建行新兴三路支行</w:t>
      </w:r>
    </w:p>
    <w:p>
      <w:pPr>
        <w:spacing w:line="400" w:lineRule="exact"/>
        <w:ind w:firstLine="833" w:firstLineChars="347"/>
        <w:rPr>
          <w:rFonts w:hint="eastAsia" w:ascii="宋体" w:hAnsi="宋体"/>
          <w:color w:val="auto"/>
          <w:szCs w:val="21"/>
          <w:highlight w:val="none"/>
        </w:rPr>
      </w:pPr>
      <w:r>
        <w:rPr>
          <w:rFonts w:hint="eastAsia" w:ascii="宋体" w:hAnsi="宋体"/>
          <w:b/>
          <w:bCs/>
          <w:color w:val="auto"/>
          <w:sz w:val="24"/>
          <w:highlight w:val="none"/>
        </w:rPr>
        <w:t>银行账号：</w:t>
      </w:r>
      <w:r>
        <w:rPr>
          <w:rFonts w:hint="eastAsia" w:ascii="宋体" w:hAnsi="宋体"/>
          <w:b/>
          <w:color w:val="auto"/>
          <w:sz w:val="24"/>
          <w:highlight w:val="none"/>
          <w:u w:val="single"/>
        </w:rPr>
        <w:t xml:space="preserve"> 450 501 648 655 000 003 74-0002</w:t>
      </w:r>
    </w:p>
    <w:p>
      <w:pPr>
        <w:pStyle w:val="22"/>
        <w:spacing w:line="380" w:lineRule="exact"/>
        <w:ind w:firstLine="420" w:firstLineChars="200"/>
        <w:rPr>
          <w:rFonts w:hint="eastAsia" w:hAnsi="宋体"/>
          <w:color w:val="auto"/>
          <w:highlight w:val="none"/>
        </w:rPr>
      </w:pPr>
      <w:r>
        <w:rPr>
          <w:rFonts w:hint="eastAsia" w:hAnsi="宋体"/>
          <w:color w:val="auto"/>
          <w:highlight w:val="none"/>
        </w:rPr>
        <w:t>11.4谈判供应商应按本须知中明确的单位全称、开户行、账号，于谈判截标前交到政府采购中心指定账户上，并将交款的银行回单（回执）复印件装订于谈判文件中。未按指定账户缴纳的，视为不缴纳谈判保证金。</w:t>
      </w:r>
    </w:p>
    <w:p>
      <w:pPr>
        <w:pStyle w:val="22"/>
        <w:spacing w:line="380" w:lineRule="exact"/>
        <w:ind w:firstLine="420" w:firstLineChars="200"/>
        <w:rPr>
          <w:rFonts w:hint="eastAsia" w:hAnsi="宋体"/>
          <w:color w:val="auto"/>
          <w:highlight w:val="none"/>
        </w:rPr>
      </w:pPr>
      <w:r>
        <w:rPr>
          <w:rFonts w:hint="eastAsia" w:hAnsi="宋体"/>
          <w:color w:val="auto"/>
          <w:highlight w:val="none"/>
        </w:rPr>
        <w:t>11.5对未按本谈判文件要求交纳谈判保证金的谈判响应文件，采购代理机构将拒绝接收。</w:t>
      </w:r>
    </w:p>
    <w:p>
      <w:pPr>
        <w:pStyle w:val="22"/>
        <w:spacing w:line="380" w:lineRule="exact"/>
        <w:ind w:firstLine="420" w:firstLineChars="200"/>
        <w:rPr>
          <w:rFonts w:hint="eastAsia" w:hAnsi="宋体"/>
          <w:color w:val="auto"/>
          <w:highlight w:val="none"/>
        </w:rPr>
      </w:pPr>
      <w:r>
        <w:rPr>
          <w:rFonts w:hint="eastAsia" w:hAnsi="宋体"/>
          <w:color w:val="auto"/>
          <w:highlight w:val="none"/>
        </w:rPr>
        <w:t>11.6办理谈判保证金手续时，请务必在银行相关票据（非现金）或凭证的用途或空白栏上注明项目编号，以免耽误竞争性谈判。</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11.7未成交谈判供应商的谈判保证金，将在成交通知书发出后五个工作日内予以退还，</w:t>
      </w:r>
      <w:r>
        <w:rPr>
          <w:rFonts w:ascii="宋体" w:hAnsi="宋体" w:cs="宋体"/>
          <w:color w:val="auto"/>
          <w:szCs w:val="21"/>
          <w:highlight w:val="none"/>
        </w:rPr>
        <w:t>自政府采购合同签订</w:t>
      </w:r>
      <w:r>
        <w:rPr>
          <w:rFonts w:hint="eastAsia" w:ascii="宋体" w:hAnsi="宋体" w:cs="宋体"/>
          <w:color w:val="auto"/>
          <w:szCs w:val="21"/>
          <w:highlight w:val="none"/>
        </w:rPr>
        <w:t>并</w:t>
      </w:r>
      <w:r>
        <w:rPr>
          <w:rFonts w:ascii="宋体" w:hAnsi="宋体" w:cs="宋体"/>
          <w:color w:val="auto"/>
          <w:szCs w:val="21"/>
          <w:highlight w:val="none"/>
        </w:rPr>
        <w:t>送达本中心</w:t>
      </w:r>
      <w:r>
        <w:rPr>
          <w:rFonts w:hint="eastAsia" w:ascii="宋体" w:hAnsi="宋体" w:cs="宋体"/>
          <w:color w:val="auto"/>
          <w:szCs w:val="21"/>
          <w:highlight w:val="none"/>
        </w:rPr>
        <w:t>后7个工作日</w:t>
      </w:r>
      <w:r>
        <w:rPr>
          <w:rFonts w:ascii="宋体" w:hAnsi="宋体" w:cs="宋体"/>
          <w:color w:val="auto"/>
          <w:szCs w:val="21"/>
          <w:highlight w:val="none"/>
        </w:rPr>
        <w:t>退还中标供应商的投标保证金</w:t>
      </w:r>
      <w:r>
        <w:rPr>
          <w:rFonts w:hint="eastAsia" w:ascii="宋体" w:hAnsi="宋体" w:cs="宋体"/>
          <w:color w:val="auto"/>
          <w:szCs w:val="21"/>
          <w:highlight w:val="none"/>
        </w:rPr>
        <w:t>，</w:t>
      </w:r>
      <w:r>
        <w:rPr>
          <w:rFonts w:hint="eastAsia" w:ascii="宋体" w:hAnsi="宋体"/>
          <w:color w:val="auto"/>
          <w:szCs w:val="21"/>
          <w:highlight w:val="none"/>
        </w:rPr>
        <w:t>不计利息。</w:t>
      </w:r>
    </w:p>
    <w:p>
      <w:pPr>
        <w:widowControl/>
        <w:spacing w:line="38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11.8对应交未交保证金的竞争性谈判响应文件，将会在评审中按照无效竞争性谈判响应文件处理。</w:t>
      </w:r>
    </w:p>
    <w:p>
      <w:pPr>
        <w:tabs>
          <w:tab w:val="left" w:pos="975"/>
        </w:tabs>
        <w:snapToGrid w:val="0"/>
        <w:spacing w:line="360" w:lineRule="exact"/>
        <w:ind w:firstLine="412" w:firstLineChars="196"/>
        <w:jc w:val="left"/>
        <w:rPr>
          <w:rFonts w:hint="eastAsia" w:ascii="宋体" w:hAnsi="宋体"/>
          <w:b/>
          <w:bCs/>
          <w:color w:val="auto"/>
          <w:szCs w:val="21"/>
          <w:highlight w:val="none"/>
        </w:rPr>
      </w:pPr>
      <w:r>
        <w:rPr>
          <w:rFonts w:hint="eastAsia" w:ascii="宋体" w:hAnsi="宋体"/>
          <w:b/>
          <w:bCs/>
          <w:color w:val="auto"/>
          <w:szCs w:val="21"/>
          <w:highlight w:val="none"/>
        </w:rPr>
        <w:t>注：</w:t>
      </w:r>
      <w:r>
        <w:rPr>
          <w:rFonts w:hint="eastAsia" w:ascii="宋体" w:hAnsi="宋体" w:cs="宋体"/>
          <w:color w:val="auto"/>
          <w:kern w:val="0"/>
          <w:szCs w:val="21"/>
          <w:highlight w:val="none"/>
        </w:rPr>
        <w:t>在采购过程中符合竞争要求的供应商或者报价未超过采购预算的供应商不足3家的</w:t>
      </w:r>
      <w:r>
        <w:rPr>
          <w:rFonts w:hint="eastAsia" w:ascii="宋体" w:hAnsi="宋体"/>
          <w:b/>
          <w:bCs/>
          <w:color w:val="auto"/>
          <w:szCs w:val="21"/>
          <w:highlight w:val="none"/>
        </w:rPr>
        <w:t>，本中心将按政府采购管理的有关规定处理。</w:t>
      </w:r>
    </w:p>
    <w:p>
      <w:pPr>
        <w:snapToGrid w:val="0"/>
        <w:spacing w:line="360" w:lineRule="exact"/>
        <w:ind w:firstLine="412" w:firstLineChars="196"/>
        <w:jc w:val="left"/>
        <w:rPr>
          <w:rFonts w:hint="eastAsia" w:ascii="宋体" w:hAnsi="宋体"/>
          <w:b/>
          <w:bCs/>
          <w:color w:val="auto"/>
          <w:szCs w:val="21"/>
          <w:highlight w:val="none"/>
        </w:rPr>
      </w:pPr>
      <w:r>
        <w:rPr>
          <w:rFonts w:hint="eastAsia" w:ascii="宋体" w:hAnsi="宋体"/>
          <w:b/>
          <w:bCs/>
          <w:color w:val="auto"/>
          <w:szCs w:val="21"/>
          <w:highlight w:val="none"/>
        </w:rPr>
        <w:t>11.10谈判供应商有下列情形之一的，保证金将不予退还：</w:t>
      </w:r>
    </w:p>
    <w:p>
      <w:pPr>
        <w:spacing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（1）谈判供应商在提交竞争性谈判响应文件截止时间后撤回竞争性谈判响应文件的；</w:t>
      </w:r>
    </w:p>
    <w:p>
      <w:pPr>
        <w:spacing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（2）谈判供应商在竞争性谈判响应文件中提供虚假材料的；</w:t>
      </w:r>
    </w:p>
    <w:p>
      <w:pPr>
        <w:spacing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（3）除因不可抗力或谈判文件认可的情形以外，成交供应商不与采购人签订合同的；</w:t>
      </w:r>
    </w:p>
    <w:p>
      <w:pPr>
        <w:spacing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（4）谈判供应商与采购人、其他供应商或者采购代理机构恶意串通的。</w:t>
      </w:r>
    </w:p>
    <w:p>
      <w:pPr>
        <w:spacing w:line="380" w:lineRule="exact"/>
        <w:ind w:firstLine="420" w:firstLineChars="200"/>
        <w:rPr>
          <w:rFonts w:hint="eastAsia" w:ascii="宋体" w:hAnsi="宋体"/>
          <w:b/>
          <w:color w:val="auto"/>
          <w:szCs w:val="21"/>
          <w:highlight w:val="none"/>
        </w:rPr>
      </w:pPr>
      <w:r>
        <w:rPr>
          <w:rFonts w:hint="eastAsia" w:ascii="宋体" w:hAnsi="宋体"/>
          <w:bCs/>
          <w:color w:val="auto"/>
          <w:szCs w:val="21"/>
          <w:highlight w:val="none"/>
        </w:rPr>
        <w:t>注：</w:t>
      </w:r>
      <w:r>
        <w:rPr>
          <w:rFonts w:hint="eastAsia" w:ascii="宋体" w:hAnsi="宋体" w:cs="宋体"/>
          <w:color w:val="auto"/>
          <w:kern w:val="0"/>
          <w:szCs w:val="21"/>
          <w:highlight w:val="none"/>
        </w:rPr>
        <w:t>谈判供应商</w:t>
      </w:r>
      <w:r>
        <w:rPr>
          <w:rFonts w:hint="eastAsia" w:ascii="宋体" w:hAnsi="宋体"/>
          <w:b/>
          <w:color w:val="auto"/>
          <w:szCs w:val="21"/>
          <w:highlight w:val="none"/>
        </w:rPr>
        <w:t>已经被推荐为第一成交候选人后撤回</w:t>
      </w:r>
      <w:r>
        <w:rPr>
          <w:rFonts w:hint="eastAsia" w:ascii="宋体" w:hAnsi="宋体"/>
          <w:color w:val="auto"/>
          <w:szCs w:val="21"/>
          <w:highlight w:val="none"/>
        </w:rPr>
        <w:t>竞争性谈判</w:t>
      </w:r>
      <w:r>
        <w:rPr>
          <w:rFonts w:hint="eastAsia" w:ascii="宋体" w:hAnsi="宋体" w:cs="宋体"/>
          <w:color w:val="auto"/>
          <w:kern w:val="0"/>
          <w:szCs w:val="21"/>
          <w:highlight w:val="none"/>
        </w:rPr>
        <w:t>响应文件</w:t>
      </w:r>
      <w:r>
        <w:rPr>
          <w:rFonts w:hint="eastAsia" w:ascii="宋体" w:hAnsi="宋体"/>
          <w:b/>
          <w:color w:val="auto"/>
          <w:szCs w:val="21"/>
          <w:highlight w:val="none"/>
        </w:rPr>
        <w:t>或</w:t>
      </w:r>
      <w:r>
        <w:rPr>
          <w:rFonts w:hint="eastAsia" w:ascii="宋体" w:hAnsi="宋体" w:cs="宋体"/>
          <w:color w:val="auto"/>
          <w:kern w:val="0"/>
          <w:szCs w:val="21"/>
          <w:highlight w:val="none"/>
        </w:rPr>
        <w:t>拒绝签订政府采购合同</w:t>
      </w:r>
      <w:r>
        <w:rPr>
          <w:rFonts w:hint="eastAsia" w:ascii="宋体" w:hAnsi="宋体"/>
          <w:b/>
          <w:color w:val="auto"/>
          <w:szCs w:val="21"/>
          <w:highlight w:val="none"/>
        </w:rPr>
        <w:t>，其保证金将不予退还，并上缴国库，给采购人造成其损失的，还应当赔偿损失，并作为不良行为记录在案。</w:t>
      </w:r>
    </w:p>
    <w:p>
      <w:pPr>
        <w:spacing w:line="380" w:lineRule="exact"/>
        <w:ind w:firstLine="420" w:firstLineChars="200"/>
        <w:rPr>
          <w:rFonts w:hint="eastAsia" w:ascii="宋体" w:hAnsi="宋体"/>
          <w:b/>
          <w:color w:val="auto"/>
          <w:szCs w:val="21"/>
          <w:highlight w:val="none"/>
        </w:rPr>
      </w:pPr>
      <w:r>
        <w:rPr>
          <w:rFonts w:hint="eastAsia" w:ascii="宋体" w:hAnsi="宋体"/>
          <w:b/>
          <w:color w:val="auto"/>
          <w:szCs w:val="21"/>
          <w:highlight w:val="none"/>
        </w:rPr>
        <w:t>五</w:t>
      </w:r>
      <w:r>
        <w:rPr>
          <w:rFonts w:hint="eastAsia" w:ascii="宋体" w:hAnsi="宋体"/>
          <w:color w:val="auto"/>
          <w:szCs w:val="21"/>
          <w:highlight w:val="none"/>
        </w:rPr>
        <w:t>、谈判程序</w:t>
      </w:r>
      <w:r>
        <w:rPr>
          <w:rFonts w:hint="eastAsia" w:ascii="宋体" w:hAnsi="宋体"/>
          <w:b/>
          <w:color w:val="auto"/>
          <w:szCs w:val="21"/>
          <w:highlight w:val="none"/>
        </w:rPr>
        <w:t>及</w:t>
      </w:r>
      <w:r>
        <w:rPr>
          <w:rFonts w:hint="eastAsia" w:ascii="宋体" w:hAnsi="宋体"/>
          <w:color w:val="auto"/>
          <w:szCs w:val="21"/>
          <w:highlight w:val="none"/>
        </w:rPr>
        <w:t>评标方法</w:t>
      </w:r>
    </w:p>
    <w:p>
      <w:pPr>
        <w:adjustRightInd w:val="0"/>
        <w:snapToGrid w:val="0"/>
        <w:spacing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在谈判正式开始前由谈判小组对竞争性谈判文件进行确认，认可竞争性谈判文件的内容符合法律法规的规定、不存在歧视性或排他性内容。</w:t>
      </w:r>
    </w:p>
    <w:p>
      <w:pPr>
        <w:spacing w:line="38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12.1第一轮谈判</w:t>
      </w:r>
    </w:p>
    <w:p>
      <w:pPr>
        <w:widowControl/>
        <w:tabs>
          <w:tab w:val="left" w:pos="540"/>
        </w:tabs>
        <w:spacing w:line="38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谈判时间及地点: 详见本须知前附表第8项规定。</w:t>
      </w:r>
    </w:p>
    <w:p>
      <w:pPr>
        <w:widowControl/>
        <w:tabs>
          <w:tab w:val="left" w:pos="540"/>
        </w:tabs>
        <w:spacing w:line="380" w:lineRule="exact"/>
        <w:ind w:firstLine="420" w:firstLineChars="200"/>
        <w:jc w:val="left"/>
        <w:rPr>
          <w:rFonts w:hint="eastAsia" w:ascii="宋体" w:hAnsi="宋体" w:cs="宋体"/>
          <w:color w:val="auto"/>
          <w:kern w:val="0"/>
          <w:szCs w:val="21"/>
          <w:highlight w:val="none"/>
        </w:rPr>
      </w:pPr>
      <w:r>
        <w:rPr>
          <w:rFonts w:hint="eastAsia" w:ascii="宋体" w:hAnsi="宋体"/>
          <w:color w:val="auto"/>
          <w:szCs w:val="21"/>
          <w:highlight w:val="none"/>
        </w:rPr>
        <w:t>谈判小组对竞争性谈判响应文件进行资格性审查，依据</w:t>
      </w:r>
      <w:r>
        <w:rPr>
          <w:rFonts w:hint="eastAsia" w:ascii="宋体" w:hAnsi="宋体"/>
          <w:b/>
          <w:color w:val="auto"/>
          <w:szCs w:val="21"/>
          <w:highlight w:val="none"/>
        </w:rPr>
        <w:t>谈判文件</w:t>
      </w:r>
      <w:r>
        <w:rPr>
          <w:rFonts w:hint="eastAsia" w:ascii="宋体" w:hAnsi="宋体"/>
          <w:color w:val="auto"/>
          <w:szCs w:val="21"/>
          <w:highlight w:val="none"/>
        </w:rPr>
        <w:t>对已通过资格性审核的各竞争性谈判响应文件进行书面评审，审查竞争性谈判响应文件是否实质上响应了</w:t>
      </w:r>
      <w:r>
        <w:rPr>
          <w:rFonts w:hint="eastAsia" w:ascii="宋体" w:hAnsi="宋体"/>
          <w:b/>
          <w:color w:val="auto"/>
          <w:szCs w:val="21"/>
          <w:highlight w:val="none"/>
        </w:rPr>
        <w:t>谈判文件</w:t>
      </w:r>
      <w:r>
        <w:rPr>
          <w:rFonts w:hint="eastAsia" w:ascii="宋体" w:hAnsi="宋体"/>
          <w:color w:val="auto"/>
          <w:szCs w:val="21"/>
          <w:highlight w:val="none"/>
        </w:rPr>
        <w:t>的要求，在评审后由谈判小组组长主持，归纳各专家审核意见，形成谈判要点。谈判小组依据谈判要点，与单一</w:t>
      </w:r>
      <w:r>
        <w:rPr>
          <w:rFonts w:hint="eastAsia" w:ascii="宋体" w:hAnsi="宋体"/>
          <w:b/>
          <w:bCs/>
          <w:color w:val="auto"/>
          <w:szCs w:val="21"/>
          <w:highlight w:val="none"/>
        </w:rPr>
        <w:t>供应商分别</w:t>
      </w:r>
      <w:r>
        <w:rPr>
          <w:rFonts w:hint="eastAsia" w:ascii="宋体" w:hAnsi="宋体"/>
          <w:color w:val="auto"/>
          <w:szCs w:val="21"/>
          <w:highlight w:val="none"/>
        </w:rPr>
        <w:t>进行谈判，</w:t>
      </w:r>
      <w:r>
        <w:rPr>
          <w:rFonts w:hint="eastAsia" w:ascii="宋体" w:hAnsi="宋体" w:cs="宋体"/>
          <w:color w:val="auto"/>
          <w:kern w:val="0"/>
          <w:szCs w:val="21"/>
          <w:highlight w:val="none"/>
        </w:rPr>
        <w:t>给予所有参加谈判的供应商平等的谈判机会。</w:t>
      </w:r>
    </w:p>
    <w:p>
      <w:pPr>
        <w:widowControl/>
        <w:tabs>
          <w:tab w:val="left" w:pos="540"/>
        </w:tabs>
        <w:spacing w:line="38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谈判评审在严格保密的情况下进行，谈判的任何一方不得透露与谈判有关的其他供应商的技术资料、价格和其他信息。本中心对谈判过程和重要谈判内容进行记录，谈判双方在记录上签字确认。</w:t>
      </w:r>
    </w:p>
    <w:p>
      <w:pPr>
        <w:widowControl/>
        <w:tabs>
          <w:tab w:val="left" w:pos="540"/>
        </w:tabs>
        <w:spacing w:line="38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谈判后，供应商根据谈判小组统一整理的书面谈判记录要求做出书面承诺，并由其法定代表人或授权代表签字或者加盖公章</w:t>
      </w:r>
      <w:r>
        <w:rPr>
          <w:rFonts w:hint="eastAsia" w:ascii="宋体" w:hAnsi="宋体" w:cs="宋体"/>
          <w:color w:val="auto"/>
          <w:kern w:val="0"/>
          <w:szCs w:val="21"/>
          <w:highlight w:val="none"/>
        </w:rPr>
        <w:t>后按时密封递交</w:t>
      </w:r>
      <w:r>
        <w:rPr>
          <w:rFonts w:hint="eastAsia" w:ascii="宋体" w:hAnsi="宋体"/>
          <w:color w:val="auto"/>
          <w:szCs w:val="21"/>
          <w:highlight w:val="none"/>
        </w:rPr>
        <w:t>。</w:t>
      </w:r>
    </w:p>
    <w:p>
      <w:pPr>
        <w:widowControl/>
        <w:tabs>
          <w:tab w:val="left" w:pos="540"/>
        </w:tabs>
        <w:spacing w:line="38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当谈判小组一致确定供应商的竞争性谈判响应文件符合谈判文件要求，无需再谈判的，谈判小组按谈判文件设定的12.4、12.6程序和评标方法确定成交候选人。第一轮谈判后</w:t>
      </w:r>
      <w:r>
        <w:rPr>
          <w:rFonts w:hint="eastAsia" w:ascii="宋体" w:hAnsi="宋体"/>
          <w:b/>
          <w:color w:val="auto"/>
          <w:szCs w:val="21"/>
          <w:highlight w:val="none"/>
        </w:rPr>
        <w:t>谈判文件</w:t>
      </w:r>
      <w:r>
        <w:rPr>
          <w:rFonts w:hint="eastAsia" w:ascii="宋体" w:hAnsi="宋体"/>
          <w:color w:val="auto"/>
          <w:szCs w:val="21"/>
          <w:highlight w:val="none"/>
        </w:rPr>
        <w:t>有实质性变动或仍需谈判的，谈判小组对谈判文件变动或提出谈判意见后进行第二轮谈判。</w:t>
      </w:r>
    </w:p>
    <w:p>
      <w:pPr>
        <w:widowControl/>
        <w:tabs>
          <w:tab w:val="left" w:pos="540"/>
        </w:tabs>
        <w:spacing w:line="38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12.2</w:t>
      </w:r>
      <w:r>
        <w:rPr>
          <w:rFonts w:hint="eastAsia" w:ascii="宋体" w:hAnsi="宋体"/>
          <w:b/>
          <w:color w:val="auto"/>
          <w:szCs w:val="21"/>
          <w:highlight w:val="none"/>
        </w:rPr>
        <w:t>谈判文件</w:t>
      </w:r>
      <w:r>
        <w:rPr>
          <w:rFonts w:hint="eastAsia" w:ascii="宋体" w:hAnsi="宋体"/>
          <w:color w:val="auto"/>
          <w:szCs w:val="21"/>
          <w:highlight w:val="none"/>
        </w:rPr>
        <w:t>变动</w:t>
      </w:r>
    </w:p>
    <w:p>
      <w:pPr>
        <w:widowControl/>
        <w:tabs>
          <w:tab w:val="left" w:pos="540"/>
        </w:tabs>
        <w:spacing w:line="38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⑴第一轮谈判结束后，各响应供应商退场等候，由谈判小组组长主持，根据</w:t>
      </w:r>
      <w:r>
        <w:rPr>
          <w:rFonts w:hint="eastAsia" w:ascii="宋体" w:hAnsi="宋体"/>
          <w:b/>
          <w:color w:val="auto"/>
          <w:szCs w:val="21"/>
          <w:highlight w:val="none"/>
        </w:rPr>
        <w:t>谈判文件</w:t>
      </w:r>
      <w:r>
        <w:rPr>
          <w:rFonts w:hint="eastAsia" w:ascii="宋体" w:hAnsi="宋体"/>
          <w:color w:val="auto"/>
          <w:szCs w:val="21"/>
          <w:highlight w:val="none"/>
        </w:rPr>
        <w:t>和谈判情况结合第一轮谈判整体情况，可以对</w:t>
      </w:r>
      <w:r>
        <w:rPr>
          <w:rFonts w:hint="eastAsia" w:ascii="宋体" w:hAnsi="宋体"/>
          <w:b/>
          <w:color w:val="auto"/>
          <w:szCs w:val="21"/>
          <w:highlight w:val="none"/>
        </w:rPr>
        <w:t>谈判文件</w:t>
      </w:r>
      <w:r>
        <w:rPr>
          <w:rFonts w:hint="eastAsia" w:ascii="宋体" w:hAnsi="宋体"/>
          <w:color w:val="auto"/>
          <w:szCs w:val="21"/>
          <w:highlight w:val="none"/>
        </w:rPr>
        <w:t>采购需求中的技术、服务要求以及合同草案条款等实质性内容进行统一变动，但不得变动</w:t>
      </w:r>
      <w:r>
        <w:rPr>
          <w:rFonts w:hint="eastAsia" w:ascii="宋体" w:hAnsi="宋体"/>
          <w:b/>
          <w:color w:val="auto"/>
          <w:szCs w:val="21"/>
          <w:highlight w:val="none"/>
        </w:rPr>
        <w:t>谈判文件</w:t>
      </w:r>
      <w:r>
        <w:rPr>
          <w:rFonts w:hint="eastAsia" w:ascii="宋体" w:hAnsi="宋体"/>
          <w:color w:val="auto"/>
          <w:szCs w:val="21"/>
          <w:highlight w:val="none"/>
        </w:rPr>
        <w:t>中的其他内容。实质性变动的内容，须经采购人代表确认。</w:t>
      </w:r>
    </w:p>
    <w:p>
      <w:pPr>
        <w:widowControl/>
        <w:tabs>
          <w:tab w:val="left" w:pos="540"/>
        </w:tabs>
        <w:spacing w:line="38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对</w:t>
      </w:r>
      <w:r>
        <w:rPr>
          <w:rFonts w:hint="eastAsia" w:ascii="宋体" w:hAnsi="宋体"/>
          <w:b/>
          <w:color w:val="auto"/>
          <w:szCs w:val="21"/>
          <w:highlight w:val="none"/>
        </w:rPr>
        <w:t>谈判文件</w:t>
      </w:r>
      <w:r>
        <w:rPr>
          <w:rFonts w:hint="eastAsia" w:ascii="宋体" w:hAnsi="宋体"/>
          <w:color w:val="auto"/>
          <w:szCs w:val="21"/>
          <w:highlight w:val="none"/>
        </w:rPr>
        <w:t>作出的实质性变动是</w:t>
      </w:r>
      <w:r>
        <w:rPr>
          <w:rFonts w:hint="eastAsia" w:ascii="宋体" w:hAnsi="宋体"/>
          <w:b/>
          <w:color w:val="auto"/>
          <w:szCs w:val="21"/>
          <w:highlight w:val="none"/>
        </w:rPr>
        <w:t>谈判文件</w:t>
      </w:r>
      <w:r>
        <w:rPr>
          <w:rFonts w:hint="eastAsia" w:ascii="宋体" w:hAnsi="宋体"/>
          <w:color w:val="auto"/>
          <w:szCs w:val="21"/>
          <w:highlight w:val="none"/>
        </w:rPr>
        <w:t>的有效组成部分，谈判小组应当及时以书面形式同时通知所有参加谈判的供应商，并要求供应商做出书面响应。</w:t>
      </w:r>
    </w:p>
    <w:p>
      <w:pPr>
        <w:widowControl/>
        <w:tabs>
          <w:tab w:val="left" w:pos="540"/>
        </w:tabs>
        <w:spacing w:line="380" w:lineRule="exact"/>
        <w:ind w:firstLine="210" w:firstLineChars="100"/>
        <w:jc w:val="left"/>
        <w:rPr>
          <w:rFonts w:hint="eastAsia" w:ascii="宋体" w:hAnsi="宋体"/>
          <w:color w:val="auto"/>
          <w:szCs w:val="21"/>
          <w:highlight w:val="none"/>
        </w:rPr>
      </w:pPr>
      <w:r>
        <w:rPr>
          <w:rFonts w:hint="eastAsia" w:ascii="宋体" w:hAnsi="宋体"/>
          <w:color w:val="auto"/>
          <w:szCs w:val="21"/>
          <w:highlight w:val="none"/>
        </w:rPr>
        <w:t>⑵供应商应当按照</w:t>
      </w:r>
      <w:r>
        <w:rPr>
          <w:rFonts w:hint="eastAsia" w:ascii="宋体" w:hAnsi="宋体"/>
          <w:b/>
          <w:color w:val="auto"/>
          <w:szCs w:val="21"/>
          <w:highlight w:val="none"/>
        </w:rPr>
        <w:t>谈判文件</w:t>
      </w:r>
      <w:r>
        <w:rPr>
          <w:rFonts w:hint="eastAsia" w:ascii="宋体" w:hAnsi="宋体"/>
          <w:color w:val="auto"/>
          <w:szCs w:val="21"/>
          <w:highlight w:val="none"/>
        </w:rPr>
        <w:t>的变动情况和谈判小组的要求重新提交竞争性谈判响应文件，并由其法定代表人或授权代表签字或者加盖公章</w:t>
      </w:r>
      <w:r>
        <w:rPr>
          <w:rFonts w:hint="eastAsia" w:ascii="宋体" w:hAnsi="宋体" w:cs="宋体"/>
          <w:color w:val="auto"/>
          <w:kern w:val="0"/>
          <w:szCs w:val="21"/>
          <w:highlight w:val="none"/>
        </w:rPr>
        <w:t>后密封递交</w:t>
      </w:r>
      <w:r>
        <w:rPr>
          <w:rFonts w:hint="eastAsia" w:ascii="宋体" w:hAnsi="宋体"/>
          <w:color w:val="auto"/>
          <w:szCs w:val="21"/>
          <w:highlight w:val="none"/>
        </w:rPr>
        <w:t>。由授权代表（委托代理人）签字的，应当附法定代表人授权书。供应商为自然人的，应当由本人签字并附身份证明。逾时不交的，视同放弃谈判。重新提交的响应文件与竞争性谈判响应文件同具法律效力。</w:t>
      </w:r>
    </w:p>
    <w:p>
      <w:pPr>
        <w:widowControl/>
        <w:spacing w:line="38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12.3第二轮谈判</w:t>
      </w:r>
    </w:p>
    <w:p>
      <w:pPr>
        <w:widowControl/>
        <w:tabs>
          <w:tab w:val="left" w:pos="540"/>
        </w:tabs>
        <w:spacing w:line="380" w:lineRule="exact"/>
        <w:ind w:firstLine="420" w:firstLineChars="200"/>
        <w:jc w:val="left"/>
        <w:rPr>
          <w:rFonts w:hint="eastAsia" w:ascii="宋体" w:hAnsi="宋体"/>
          <w:color w:val="auto"/>
          <w:szCs w:val="21"/>
          <w:highlight w:val="none"/>
        </w:rPr>
      </w:pPr>
      <w:r>
        <w:rPr>
          <w:rFonts w:hint="eastAsia" w:ascii="宋体" w:hAnsi="宋体" w:cs="宋体"/>
          <w:color w:val="auto"/>
          <w:kern w:val="0"/>
          <w:szCs w:val="21"/>
          <w:highlight w:val="none"/>
        </w:rPr>
        <w:t>谈判小组集中就</w:t>
      </w:r>
      <w:r>
        <w:rPr>
          <w:rFonts w:hint="eastAsia" w:ascii="宋体" w:hAnsi="宋体"/>
          <w:color w:val="auto"/>
          <w:szCs w:val="21"/>
          <w:highlight w:val="none"/>
        </w:rPr>
        <w:t>重新提交的响应文件或</w:t>
      </w:r>
      <w:r>
        <w:rPr>
          <w:rFonts w:hint="eastAsia" w:ascii="宋体" w:hAnsi="宋体" w:cs="宋体"/>
          <w:color w:val="auto"/>
          <w:kern w:val="0"/>
          <w:szCs w:val="21"/>
          <w:highlight w:val="none"/>
        </w:rPr>
        <w:t>谈判小组</w:t>
      </w:r>
      <w:r>
        <w:rPr>
          <w:rFonts w:hint="eastAsia" w:ascii="宋体" w:hAnsi="宋体"/>
          <w:color w:val="auto"/>
          <w:szCs w:val="21"/>
          <w:highlight w:val="none"/>
        </w:rPr>
        <w:t>提出的谈判意见</w:t>
      </w:r>
      <w:r>
        <w:rPr>
          <w:rFonts w:hint="eastAsia" w:ascii="宋体" w:hAnsi="宋体" w:cs="宋体"/>
          <w:color w:val="auto"/>
          <w:kern w:val="0"/>
          <w:szCs w:val="21"/>
          <w:highlight w:val="none"/>
        </w:rPr>
        <w:t>与单一响应供应商分别进行谈判。</w:t>
      </w:r>
      <w:r>
        <w:rPr>
          <w:rFonts w:hint="eastAsia" w:ascii="宋体" w:hAnsi="宋体"/>
          <w:color w:val="auto"/>
          <w:szCs w:val="21"/>
          <w:highlight w:val="none"/>
        </w:rPr>
        <w:t>本中心对谈判过程和重要谈判内容进行记录，谈判双方在记录上签字确认。</w:t>
      </w:r>
    </w:p>
    <w:p>
      <w:pPr>
        <w:widowControl/>
        <w:tabs>
          <w:tab w:val="left" w:pos="540"/>
        </w:tabs>
        <w:spacing w:line="38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谈判后，供应商根据谈判小组统一整理的书面谈判记录要求做出书面承诺，并由其法定代表人或授权代表签字或者加盖公章</w:t>
      </w:r>
      <w:r>
        <w:rPr>
          <w:rFonts w:hint="eastAsia" w:ascii="宋体" w:hAnsi="宋体" w:cs="宋体"/>
          <w:color w:val="auto"/>
          <w:kern w:val="0"/>
          <w:szCs w:val="21"/>
          <w:highlight w:val="none"/>
        </w:rPr>
        <w:t>后按时密封递交</w:t>
      </w:r>
      <w:r>
        <w:rPr>
          <w:rFonts w:hint="eastAsia" w:ascii="宋体" w:hAnsi="宋体"/>
          <w:color w:val="auto"/>
          <w:szCs w:val="21"/>
          <w:highlight w:val="none"/>
        </w:rPr>
        <w:t>。</w:t>
      </w:r>
    </w:p>
    <w:p>
      <w:pPr>
        <w:widowControl/>
        <w:tabs>
          <w:tab w:val="left" w:pos="540"/>
        </w:tabs>
        <w:spacing w:line="38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当谈判小组一致确定供应商的竞争性谈判响应文件符合谈判文件要求，无需再谈判的，谈判小组按谈判文件设定的12.4、12.6程序和评标方法确定成交候选人。第二轮谈判后</w:t>
      </w:r>
      <w:r>
        <w:rPr>
          <w:rFonts w:hint="eastAsia" w:ascii="宋体" w:hAnsi="宋体"/>
          <w:b/>
          <w:color w:val="auto"/>
          <w:szCs w:val="21"/>
          <w:highlight w:val="none"/>
        </w:rPr>
        <w:t>谈判文件</w:t>
      </w:r>
      <w:r>
        <w:rPr>
          <w:rFonts w:hint="eastAsia" w:ascii="宋体" w:hAnsi="宋体"/>
          <w:color w:val="auto"/>
          <w:szCs w:val="21"/>
          <w:highlight w:val="none"/>
        </w:rPr>
        <w:t>仍有实质性变动的或仍需谈判的，谈判小组对谈判文件变动或提出谈判意见后进行第三轮谈判。以此类推。</w:t>
      </w:r>
    </w:p>
    <w:p>
      <w:pPr>
        <w:widowControl/>
        <w:tabs>
          <w:tab w:val="left" w:pos="540"/>
        </w:tabs>
        <w:spacing w:line="38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12.4最后报价</w:t>
      </w:r>
    </w:p>
    <w:p>
      <w:pPr>
        <w:widowControl/>
        <w:tabs>
          <w:tab w:val="left" w:pos="540"/>
        </w:tabs>
        <w:spacing w:line="38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谈判结束后，谈判小组要求所有继续参加谈判的供应商在规定时间内提交最后报价</w:t>
      </w:r>
      <w:r>
        <w:rPr>
          <w:rFonts w:hint="eastAsia" w:ascii="宋体" w:hAnsi="宋体"/>
          <w:b/>
          <w:color w:val="auto"/>
          <w:szCs w:val="21"/>
          <w:highlight w:val="none"/>
        </w:rPr>
        <w:t>（最终报价前的每轮谈判报价原则上都要比上一轮谈判报价低）。</w:t>
      </w:r>
      <w:r>
        <w:rPr>
          <w:rFonts w:hint="eastAsia" w:ascii="宋体" w:hAnsi="宋体"/>
          <w:color w:val="auto"/>
          <w:szCs w:val="21"/>
          <w:highlight w:val="none"/>
        </w:rPr>
        <w:t>继续参加谈判的供应商作最后报价，由其法定代表人或授权代表签字或者加盖公章后密封递交谈判小组，谈判小组从质量和服务均能满足谈判文件实质性响应要求的供应商中，按照最后报价由低到高的顺序提出3名以上成交候选人，最后报价相同时，由谈判小组根据竞争性谈判响应文件中技术、服务、合同条款情况集体讨论确定排序，按确定排序由低到高的原则推荐成交候选人，并编写评审报告。最后报价是供应商竞争性谈判响应文件的有效组成部分。</w:t>
      </w:r>
    </w:p>
    <w:p>
      <w:pPr>
        <w:widowControl/>
        <w:tabs>
          <w:tab w:val="left" w:pos="540"/>
        </w:tabs>
        <w:spacing w:line="38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widowControl/>
        <w:tabs>
          <w:tab w:val="left" w:pos="540"/>
        </w:tabs>
        <w:spacing w:line="38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12.5谈判供应商的报价均超过了政府采购预算，采购人不能支付的，谈判活动终止。</w:t>
      </w:r>
    </w:p>
    <w:p>
      <w:pPr>
        <w:widowControl/>
        <w:tabs>
          <w:tab w:val="left" w:pos="540"/>
        </w:tabs>
        <w:spacing w:line="38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12.6本采购项目的评审依据为谈判文件和竞争性谈判响应文件，采用的评标方法为：</w:t>
      </w:r>
      <w:r>
        <w:rPr>
          <w:rFonts w:hint="eastAsia" w:ascii="宋体" w:hAnsi="宋体"/>
          <w:b/>
          <w:color w:val="auto"/>
          <w:szCs w:val="21"/>
          <w:highlight w:val="none"/>
        </w:rPr>
        <w:t>最低评标价法</w:t>
      </w:r>
      <w:r>
        <w:rPr>
          <w:rFonts w:hint="eastAsia" w:ascii="宋体" w:hAnsi="宋体"/>
          <w:color w:val="auto"/>
          <w:szCs w:val="21"/>
          <w:highlight w:val="none"/>
        </w:rPr>
        <w:t>。</w:t>
      </w:r>
    </w:p>
    <w:p>
      <w:pPr>
        <w:spacing w:line="400" w:lineRule="exact"/>
        <w:ind w:firstLine="420" w:firstLineChars="200"/>
        <w:rPr>
          <w:rFonts w:hint="eastAsia" w:ascii="宋体" w:hAnsi="宋体"/>
          <w:b/>
          <w:color w:val="auto"/>
          <w:szCs w:val="21"/>
          <w:highlight w:val="none"/>
        </w:rPr>
      </w:pPr>
      <w:r>
        <w:rPr>
          <w:rFonts w:hint="eastAsia" w:ascii="宋体" w:hAnsi="宋体"/>
          <w:b/>
          <w:color w:val="auto"/>
          <w:szCs w:val="21"/>
          <w:highlight w:val="none"/>
        </w:rPr>
        <w:t>六、无效谈判及废止条款</w:t>
      </w:r>
    </w:p>
    <w:p>
      <w:pPr>
        <w:tabs>
          <w:tab w:val="left" w:pos="540"/>
        </w:tabs>
        <w:adjustRightInd w:val="0"/>
        <w:snapToGrid w:val="0"/>
        <w:spacing w:line="360" w:lineRule="exact"/>
        <w:ind w:firstLine="420" w:firstLineChars="200"/>
        <w:jc w:val="left"/>
        <w:rPr>
          <w:rFonts w:hint="eastAsia" w:ascii="宋体" w:hAnsi="宋体"/>
          <w:color w:val="auto"/>
          <w:szCs w:val="21"/>
          <w:highlight w:val="none"/>
        </w:rPr>
      </w:pPr>
      <w:r>
        <w:rPr>
          <w:rFonts w:hint="eastAsia" w:ascii="宋体" w:hAnsi="宋体"/>
          <w:b/>
          <w:color w:val="auto"/>
          <w:szCs w:val="21"/>
          <w:highlight w:val="none"/>
        </w:rPr>
        <w:t>13.1</w:t>
      </w:r>
      <w:r>
        <w:rPr>
          <w:rFonts w:hint="eastAsia" w:ascii="宋体" w:hAnsi="宋体"/>
          <w:color w:val="auto"/>
          <w:szCs w:val="21"/>
          <w:highlight w:val="none"/>
        </w:rPr>
        <w:t>无效谈判条款</w:t>
      </w:r>
    </w:p>
    <w:p>
      <w:pPr>
        <w:tabs>
          <w:tab w:val="left" w:pos="540"/>
        </w:tabs>
        <w:adjustRightInd w:val="0"/>
        <w:snapToGrid w:val="0"/>
        <w:spacing w:line="360" w:lineRule="exact"/>
        <w:ind w:firstLine="420" w:firstLineChars="200"/>
        <w:jc w:val="left"/>
        <w:rPr>
          <w:rFonts w:ascii="宋体" w:hAnsi="宋体"/>
          <w:color w:val="auto"/>
          <w:szCs w:val="21"/>
          <w:highlight w:val="none"/>
        </w:rPr>
      </w:pPr>
      <w:r>
        <w:rPr>
          <w:rFonts w:hint="eastAsia" w:ascii="宋体" w:hAnsi="宋体"/>
          <w:color w:val="auto"/>
          <w:szCs w:val="21"/>
          <w:highlight w:val="none"/>
        </w:rPr>
        <w:t>谈判响应文件如有下列情况之一，在评审中按照无效谈判处理：</w:t>
      </w:r>
    </w:p>
    <w:p>
      <w:pPr>
        <w:tabs>
          <w:tab w:val="left" w:pos="540"/>
        </w:tabs>
        <w:adjustRightInd w:val="0"/>
        <w:snapToGrid w:val="0"/>
        <w:spacing w:line="360" w:lineRule="exact"/>
        <w:ind w:firstLine="420" w:firstLineChars="200"/>
        <w:jc w:val="left"/>
        <w:rPr>
          <w:rFonts w:ascii="宋体" w:hAnsi="宋体"/>
          <w:color w:val="auto"/>
          <w:szCs w:val="21"/>
          <w:highlight w:val="none"/>
        </w:rPr>
      </w:pPr>
      <w:r>
        <w:rPr>
          <w:rFonts w:hint="eastAsia" w:ascii="宋体" w:hAnsi="宋体"/>
          <w:color w:val="auto"/>
          <w:szCs w:val="21"/>
          <w:highlight w:val="none"/>
        </w:rPr>
        <w:t>（1）应交未交谈判保证金的；</w:t>
      </w:r>
    </w:p>
    <w:p>
      <w:pPr>
        <w:tabs>
          <w:tab w:val="left" w:pos="540"/>
        </w:tabs>
        <w:adjustRightInd w:val="0"/>
        <w:snapToGrid w:val="0"/>
        <w:spacing w:line="360" w:lineRule="exact"/>
        <w:ind w:firstLine="420" w:firstLineChars="200"/>
        <w:jc w:val="left"/>
        <w:rPr>
          <w:rFonts w:ascii="宋体" w:hAnsi="宋体"/>
          <w:color w:val="auto"/>
          <w:szCs w:val="21"/>
          <w:highlight w:val="none"/>
        </w:rPr>
      </w:pPr>
      <w:r>
        <w:rPr>
          <w:rFonts w:hint="eastAsia" w:ascii="宋体" w:hAnsi="宋体"/>
          <w:color w:val="auto"/>
          <w:szCs w:val="21"/>
          <w:highlight w:val="none"/>
        </w:rPr>
        <w:t>（2）未按照谈判文件规定要求密封、签署、盖章的；</w:t>
      </w:r>
    </w:p>
    <w:p>
      <w:pPr>
        <w:tabs>
          <w:tab w:val="left" w:pos="540"/>
        </w:tabs>
        <w:adjustRightInd w:val="0"/>
        <w:snapToGrid w:val="0"/>
        <w:spacing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（3）不具备谈判文件中规定资格要求的；</w:t>
      </w:r>
    </w:p>
    <w:p>
      <w:pPr>
        <w:tabs>
          <w:tab w:val="left" w:pos="540"/>
        </w:tabs>
        <w:adjustRightInd w:val="0"/>
        <w:snapToGrid w:val="0"/>
        <w:spacing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（4）关联供应商参加同一合同项或分标下政府采购活动的：</w:t>
      </w:r>
    </w:p>
    <w:p>
      <w:pPr>
        <w:tabs>
          <w:tab w:val="left" w:pos="540"/>
        </w:tabs>
        <w:adjustRightInd w:val="0"/>
        <w:snapToGrid w:val="0"/>
        <w:spacing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①单位负责人为同一人或者存在直接控股、管理关系的不同的供应商，参加同一合同项或分标下的政府采购活动的。</w:t>
      </w:r>
    </w:p>
    <w:p>
      <w:pPr>
        <w:tabs>
          <w:tab w:val="left" w:pos="540"/>
        </w:tabs>
        <w:adjustRightInd w:val="0"/>
        <w:snapToGrid w:val="0"/>
        <w:spacing w:line="360" w:lineRule="exact"/>
        <w:ind w:firstLine="420" w:firstLineChars="200"/>
        <w:jc w:val="left"/>
        <w:rPr>
          <w:rFonts w:ascii="宋体" w:hAnsi="宋体"/>
          <w:color w:val="auto"/>
          <w:szCs w:val="21"/>
          <w:highlight w:val="none"/>
        </w:rPr>
      </w:pPr>
      <w:r>
        <w:rPr>
          <w:rFonts w:hint="eastAsia" w:ascii="宋体" w:hAnsi="宋体"/>
          <w:color w:val="auto"/>
          <w:szCs w:val="21"/>
          <w:highlight w:val="none"/>
        </w:rPr>
        <w:t>②生产厂商授权给供应商后自己又参加同一合同项或分标下的政府采购活动的。</w:t>
      </w:r>
    </w:p>
    <w:p>
      <w:pPr>
        <w:tabs>
          <w:tab w:val="left" w:pos="540"/>
        </w:tabs>
        <w:adjustRightInd w:val="0"/>
        <w:snapToGrid w:val="0"/>
        <w:spacing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（5）不符合法律、法规的；</w:t>
      </w:r>
    </w:p>
    <w:p>
      <w:pPr>
        <w:tabs>
          <w:tab w:val="left" w:pos="540"/>
        </w:tabs>
        <w:adjustRightInd w:val="0"/>
        <w:snapToGrid w:val="0"/>
        <w:spacing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（6）不符合谈判文件中规定的实质性要求并且在谈判规定的时间内无法说明和补充的。</w:t>
      </w:r>
    </w:p>
    <w:p>
      <w:pPr>
        <w:tabs>
          <w:tab w:val="left" w:pos="540"/>
        </w:tabs>
        <w:adjustRightInd w:val="0"/>
        <w:snapToGrid w:val="0"/>
        <w:spacing w:line="360" w:lineRule="exact"/>
        <w:ind w:firstLine="420" w:firstLineChars="200"/>
        <w:jc w:val="left"/>
        <w:rPr>
          <w:rFonts w:hint="eastAsia" w:ascii="宋体" w:hAnsi="宋体"/>
          <w:color w:val="auto"/>
          <w:szCs w:val="21"/>
          <w:highlight w:val="none"/>
        </w:rPr>
      </w:pPr>
      <w:r>
        <w:rPr>
          <w:rFonts w:hint="eastAsia" w:ascii="宋体" w:hAnsi="宋体"/>
          <w:b/>
          <w:color w:val="auto"/>
          <w:szCs w:val="21"/>
          <w:highlight w:val="none"/>
        </w:rPr>
        <w:t>13.2</w:t>
      </w:r>
      <w:r>
        <w:rPr>
          <w:rFonts w:hint="eastAsia" w:ascii="宋体" w:hAnsi="宋体"/>
          <w:color w:val="auto"/>
          <w:szCs w:val="21"/>
          <w:highlight w:val="none"/>
        </w:rPr>
        <w:t xml:space="preserve"> 相互串通无效条款</w:t>
      </w:r>
    </w:p>
    <w:p>
      <w:pPr>
        <w:tabs>
          <w:tab w:val="left" w:pos="540"/>
        </w:tabs>
        <w:adjustRightInd w:val="0"/>
        <w:snapToGrid w:val="0"/>
        <w:spacing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供应商有以下情形之一的，视为相互串通，谈判响应文件作无效处理：</w:t>
      </w:r>
    </w:p>
    <w:p>
      <w:pPr>
        <w:tabs>
          <w:tab w:val="left" w:pos="540"/>
        </w:tabs>
        <w:adjustRightInd w:val="0"/>
        <w:snapToGrid w:val="0"/>
        <w:spacing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（1）不同供应商的谈判响应文件由同一单位或者个人编制；或不同供应商报名的IP地址一致的;</w:t>
      </w:r>
    </w:p>
    <w:p>
      <w:pPr>
        <w:tabs>
          <w:tab w:val="left" w:pos="540"/>
        </w:tabs>
        <w:adjustRightInd w:val="0"/>
        <w:snapToGrid w:val="0"/>
        <w:spacing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（2）不同供应商委托同一单位或者个人办理谈判事宜;</w:t>
      </w:r>
    </w:p>
    <w:p>
      <w:pPr>
        <w:tabs>
          <w:tab w:val="left" w:pos="540"/>
        </w:tabs>
        <w:adjustRightInd w:val="0"/>
        <w:snapToGrid w:val="0"/>
        <w:spacing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（3）不同的供应商的谈判响应文件载明的项目管理员为同一个人;</w:t>
      </w:r>
    </w:p>
    <w:p>
      <w:pPr>
        <w:tabs>
          <w:tab w:val="left" w:pos="540"/>
        </w:tabs>
        <w:adjustRightInd w:val="0"/>
        <w:snapToGrid w:val="0"/>
        <w:spacing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（4）不同供应商的谈判响应文件异常一致或最终报价呈规律性差异;</w:t>
      </w:r>
    </w:p>
    <w:p>
      <w:pPr>
        <w:tabs>
          <w:tab w:val="left" w:pos="540"/>
        </w:tabs>
        <w:adjustRightInd w:val="0"/>
        <w:snapToGrid w:val="0"/>
        <w:spacing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（5）不同供应商的谈判响应文件相互混装;</w:t>
      </w:r>
    </w:p>
    <w:p>
      <w:pPr>
        <w:adjustRightInd w:val="0"/>
        <w:snapToGrid w:val="0"/>
        <w:spacing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（6）不同供应商的谈判保证金从同一单位或者个人账户转出。</w:t>
      </w:r>
    </w:p>
    <w:p>
      <w:pPr>
        <w:adjustRightInd w:val="0"/>
        <w:snapToGrid w:val="0"/>
        <w:spacing w:line="360" w:lineRule="exact"/>
        <w:ind w:firstLine="420" w:firstLineChars="200"/>
        <w:jc w:val="left"/>
        <w:rPr>
          <w:rFonts w:hint="eastAsia" w:ascii="宋体" w:hAnsi="宋体"/>
          <w:color w:val="auto"/>
          <w:szCs w:val="21"/>
          <w:highlight w:val="none"/>
        </w:rPr>
      </w:pPr>
      <w:r>
        <w:rPr>
          <w:rFonts w:hint="eastAsia" w:ascii="宋体" w:hAnsi="宋体"/>
          <w:b/>
          <w:color w:val="auto"/>
          <w:szCs w:val="21"/>
          <w:highlight w:val="none"/>
        </w:rPr>
        <w:t>13.3</w:t>
      </w:r>
      <w:r>
        <w:rPr>
          <w:rFonts w:hint="eastAsia" w:ascii="宋体" w:hAnsi="宋体"/>
          <w:color w:val="auto"/>
          <w:szCs w:val="21"/>
          <w:highlight w:val="none"/>
        </w:rPr>
        <w:t>未实质性响应竞争性谈判文件的竞争性谈判响应文件按无效处理，谈判小组应当告知有关供应商。</w:t>
      </w:r>
    </w:p>
    <w:p>
      <w:pPr>
        <w:tabs>
          <w:tab w:val="left" w:pos="540"/>
        </w:tabs>
        <w:adjustRightInd w:val="0"/>
        <w:snapToGrid w:val="0"/>
        <w:spacing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13.3废止条款</w:t>
      </w:r>
    </w:p>
    <w:p>
      <w:pPr>
        <w:tabs>
          <w:tab w:val="left" w:pos="540"/>
        </w:tabs>
        <w:adjustRightInd w:val="0"/>
        <w:snapToGrid w:val="0"/>
        <w:spacing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谈判</w:t>
      </w:r>
      <w:r>
        <w:rPr>
          <w:rFonts w:ascii="宋体" w:hAnsi="宋体"/>
          <w:color w:val="auto"/>
          <w:szCs w:val="21"/>
          <w:highlight w:val="none"/>
        </w:rPr>
        <w:t>采购</w:t>
      </w:r>
      <w:r>
        <w:rPr>
          <w:rFonts w:hint="eastAsia" w:ascii="宋体" w:hAnsi="宋体"/>
          <w:color w:val="auto"/>
          <w:szCs w:val="21"/>
          <w:highlight w:val="none"/>
        </w:rPr>
        <w:t>项目</w:t>
      </w:r>
      <w:r>
        <w:rPr>
          <w:rFonts w:ascii="宋体" w:hAnsi="宋体"/>
          <w:color w:val="auto"/>
          <w:szCs w:val="21"/>
          <w:highlight w:val="none"/>
        </w:rPr>
        <w:t>出现下列情形之一的，</w:t>
      </w:r>
      <w:r>
        <w:rPr>
          <w:rFonts w:hint="eastAsia" w:ascii="宋体" w:hAnsi="宋体"/>
          <w:color w:val="auto"/>
          <w:szCs w:val="21"/>
          <w:highlight w:val="none"/>
        </w:rPr>
        <w:t>谈判</w:t>
      </w:r>
      <w:r>
        <w:rPr>
          <w:rFonts w:ascii="宋体" w:hAnsi="宋体"/>
          <w:color w:val="auto"/>
          <w:szCs w:val="21"/>
          <w:highlight w:val="none"/>
        </w:rPr>
        <w:t>予</w:t>
      </w:r>
      <w:r>
        <w:rPr>
          <w:rFonts w:hint="eastAsia" w:ascii="宋体" w:hAnsi="宋体"/>
          <w:color w:val="auto"/>
          <w:szCs w:val="21"/>
          <w:highlight w:val="none"/>
        </w:rPr>
        <w:t>以</w:t>
      </w:r>
      <w:r>
        <w:rPr>
          <w:rFonts w:ascii="宋体" w:hAnsi="宋体"/>
          <w:color w:val="auto"/>
          <w:szCs w:val="21"/>
          <w:highlight w:val="none"/>
        </w:rPr>
        <w:t>废</w:t>
      </w:r>
      <w:r>
        <w:rPr>
          <w:rFonts w:hint="eastAsia" w:ascii="宋体" w:hAnsi="宋体"/>
          <w:color w:val="auto"/>
          <w:szCs w:val="21"/>
          <w:highlight w:val="none"/>
        </w:rPr>
        <w:t>止</w:t>
      </w:r>
      <w:r>
        <w:rPr>
          <w:rFonts w:ascii="宋体" w:hAnsi="宋体"/>
          <w:color w:val="auto"/>
          <w:szCs w:val="21"/>
          <w:highlight w:val="none"/>
        </w:rPr>
        <w:t>：</w:t>
      </w:r>
    </w:p>
    <w:p>
      <w:pPr>
        <w:tabs>
          <w:tab w:val="left" w:pos="540"/>
        </w:tabs>
        <w:adjustRightInd w:val="0"/>
        <w:snapToGrid w:val="0"/>
        <w:spacing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⑴</w:t>
      </w:r>
      <w:r>
        <w:rPr>
          <w:rFonts w:ascii="宋体" w:hAnsi="宋体"/>
          <w:color w:val="auto"/>
          <w:szCs w:val="21"/>
          <w:highlight w:val="none"/>
        </w:rPr>
        <w:t>出现影响采购公正的违法、违规行为的；</w:t>
      </w:r>
    </w:p>
    <w:p>
      <w:pPr>
        <w:tabs>
          <w:tab w:val="left" w:pos="540"/>
        </w:tabs>
        <w:adjustRightInd w:val="0"/>
        <w:snapToGrid w:val="0"/>
        <w:spacing w:line="360" w:lineRule="exact"/>
        <w:ind w:firstLine="420" w:firstLineChars="200"/>
        <w:jc w:val="left"/>
        <w:rPr>
          <w:rFonts w:ascii="宋体" w:hAnsi="宋体"/>
          <w:color w:val="auto"/>
          <w:szCs w:val="21"/>
          <w:highlight w:val="none"/>
        </w:rPr>
      </w:pPr>
      <w:r>
        <w:rPr>
          <w:rFonts w:hint="eastAsia" w:ascii="宋体" w:hAnsi="宋体"/>
          <w:color w:val="auto"/>
          <w:szCs w:val="21"/>
          <w:highlight w:val="none"/>
        </w:rPr>
        <w:t>⑵</w:t>
      </w:r>
      <w:r>
        <w:rPr>
          <w:rFonts w:ascii="宋体" w:hAnsi="宋体"/>
          <w:color w:val="auto"/>
          <w:szCs w:val="21"/>
          <w:highlight w:val="none"/>
        </w:rPr>
        <w:t>谈判供应商的</w:t>
      </w:r>
      <w:r>
        <w:rPr>
          <w:rFonts w:hint="eastAsia" w:ascii="宋体" w:hAnsi="宋体"/>
          <w:color w:val="auto"/>
          <w:szCs w:val="21"/>
          <w:highlight w:val="none"/>
        </w:rPr>
        <w:t>最终</w:t>
      </w:r>
      <w:r>
        <w:rPr>
          <w:rFonts w:ascii="宋体" w:hAnsi="宋体"/>
          <w:color w:val="auto"/>
          <w:szCs w:val="21"/>
          <w:highlight w:val="none"/>
        </w:rPr>
        <w:t>报价均超过了采购预算，采购人不能支付的；</w:t>
      </w:r>
    </w:p>
    <w:p>
      <w:pPr>
        <w:tabs>
          <w:tab w:val="left" w:pos="540"/>
        </w:tabs>
        <w:adjustRightInd w:val="0"/>
        <w:snapToGrid w:val="0"/>
        <w:spacing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⑶</w:t>
      </w:r>
      <w:r>
        <w:rPr>
          <w:rFonts w:ascii="宋体" w:hAnsi="宋体"/>
          <w:color w:val="auto"/>
          <w:szCs w:val="21"/>
          <w:highlight w:val="none"/>
        </w:rPr>
        <w:t>因重大变故，采购任务取消的。</w:t>
      </w:r>
    </w:p>
    <w:p>
      <w:pPr>
        <w:tabs>
          <w:tab w:val="left" w:pos="540"/>
        </w:tabs>
        <w:adjustRightInd w:val="0"/>
        <w:snapToGrid w:val="0"/>
        <w:spacing w:line="360" w:lineRule="exact"/>
        <w:ind w:firstLine="420" w:firstLineChars="200"/>
        <w:jc w:val="left"/>
        <w:rPr>
          <w:rFonts w:hint="eastAsia" w:ascii="宋体" w:hAnsi="宋体"/>
          <w:b/>
          <w:color w:val="auto"/>
          <w:szCs w:val="21"/>
          <w:highlight w:val="none"/>
        </w:rPr>
      </w:pPr>
      <w:r>
        <w:rPr>
          <w:rFonts w:hint="eastAsia" w:ascii="宋体" w:hAnsi="宋体"/>
          <w:b/>
          <w:color w:val="auto"/>
          <w:szCs w:val="21"/>
          <w:highlight w:val="none"/>
        </w:rPr>
        <w:t>七、恶意串通情形和处理</w:t>
      </w:r>
    </w:p>
    <w:p>
      <w:pPr>
        <w:tabs>
          <w:tab w:val="left" w:pos="540"/>
        </w:tabs>
        <w:adjustRightInd w:val="0"/>
        <w:snapToGrid w:val="0"/>
        <w:spacing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供应商有下列情形之一的，属于恶意串通行为：</w:t>
      </w:r>
    </w:p>
    <w:p>
      <w:pPr>
        <w:tabs>
          <w:tab w:val="left" w:pos="540"/>
        </w:tabs>
        <w:adjustRightInd w:val="0"/>
        <w:snapToGrid w:val="0"/>
        <w:spacing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（1）供应商直接或者间接从采购人或者采购代理机构处获得其他供应商的相关信息并修改其谈判响应文件；</w:t>
      </w:r>
    </w:p>
    <w:p>
      <w:pPr>
        <w:tabs>
          <w:tab w:val="left" w:pos="540"/>
        </w:tabs>
        <w:adjustRightInd w:val="0"/>
        <w:snapToGrid w:val="0"/>
        <w:spacing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（2）供应商按照采购人或者采购代理机构的授意撤换、修改谈判响应文件；</w:t>
      </w:r>
    </w:p>
    <w:p>
      <w:pPr>
        <w:tabs>
          <w:tab w:val="left" w:pos="540"/>
        </w:tabs>
        <w:adjustRightInd w:val="0"/>
        <w:snapToGrid w:val="0"/>
        <w:spacing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（3）供应商之间协商报价、技术方案等谈判响应文件的实质性内容；</w:t>
      </w:r>
    </w:p>
    <w:p>
      <w:pPr>
        <w:tabs>
          <w:tab w:val="left" w:pos="540"/>
        </w:tabs>
        <w:adjustRightInd w:val="0"/>
        <w:snapToGrid w:val="0"/>
        <w:spacing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（4）属于同一集团、协会、商会等组织成员的供应商按照该组织要求协同参加政府采购活动；</w:t>
      </w:r>
    </w:p>
    <w:p>
      <w:pPr>
        <w:tabs>
          <w:tab w:val="left" w:pos="540"/>
        </w:tabs>
        <w:adjustRightInd w:val="0"/>
        <w:snapToGrid w:val="0"/>
        <w:spacing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（5）供应商之间事先约定一致抬高或者压低报价,或者在项目中事先约定轮流以高价位或者低价位成交,或者事先约定由某一特定供应商成交,然后再参加投标；</w:t>
      </w:r>
    </w:p>
    <w:p>
      <w:pPr>
        <w:tabs>
          <w:tab w:val="left" w:pos="540"/>
        </w:tabs>
        <w:adjustRightInd w:val="0"/>
        <w:snapToGrid w:val="0"/>
        <w:spacing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（6）供应商之间商定部分供应商放弃参加政府采购活动或者放弃成交；</w:t>
      </w:r>
    </w:p>
    <w:p>
      <w:pPr>
        <w:tabs>
          <w:tab w:val="left" w:pos="540"/>
        </w:tabs>
        <w:adjustRightInd w:val="0"/>
        <w:snapToGrid w:val="0"/>
        <w:spacing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（7）供应商与采购人或者采购代理机构之间、供应商相互之间，为谋求特定供应商成交或者排斥其他供应商的其他串通行为。</w:t>
      </w:r>
    </w:p>
    <w:p>
      <w:pPr>
        <w:tabs>
          <w:tab w:val="left" w:pos="540"/>
        </w:tabs>
        <w:adjustRightInd w:val="0"/>
        <w:snapToGrid w:val="0"/>
        <w:spacing w:line="36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供应商存在以上恶意串通情形的，根据《中华人民共和国政府采购法》第七十二条及《中华人民共和国政府采购法实施条例》第七十四条规定进行处理。</w:t>
      </w:r>
    </w:p>
    <w:p>
      <w:pPr>
        <w:spacing w:line="400" w:lineRule="exact"/>
        <w:ind w:firstLine="420" w:firstLineChars="200"/>
        <w:rPr>
          <w:rFonts w:ascii="宋体" w:hAnsi="宋体"/>
          <w:b/>
          <w:color w:val="auto"/>
          <w:szCs w:val="21"/>
          <w:highlight w:val="none"/>
        </w:rPr>
      </w:pPr>
      <w:r>
        <w:rPr>
          <w:rFonts w:hint="eastAsia" w:ascii="宋体" w:hAnsi="宋体"/>
          <w:b/>
          <w:color w:val="auto"/>
          <w:szCs w:val="21"/>
          <w:highlight w:val="none"/>
        </w:rPr>
        <w:t>八、确定成交供应商办法</w:t>
      </w:r>
    </w:p>
    <w:p>
      <w:pPr>
        <w:widowControl/>
        <w:spacing w:line="36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14.1 根据以下原则确定成交供应商：</w:t>
      </w:r>
    </w:p>
    <w:p>
      <w:pPr>
        <w:pStyle w:val="22"/>
        <w:adjustRightInd w:val="0"/>
        <w:snapToGrid w:val="0"/>
        <w:ind w:firstLine="420"/>
        <w:rPr>
          <w:rFonts w:hint="eastAsia" w:hAnsi="宋体"/>
          <w:b/>
          <w:color w:val="auto"/>
          <w:highlight w:val="none"/>
        </w:rPr>
      </w:pPr>
      <w:r>
        <w:rPr>
          <w:rFonts w:hint="eastAsia" w:hAnsi="宋体" w:cs="宋体"/>
          <w:color w:val="auto"/>
          <w:kern w:val="0"/>
          <w:highlight w:val="none"/>
        </w:rPr>
        <w:t>14.2质量和服务均能满足</w:t>
      </w:r>
      <w:r>
        <w:rPr>
          <w:rFonts w:hint="eastAsia" w:hAnsi="宋体"/>
          <w:color w:val="auto"/>
          <w:highlight w:val="none"/>
        </w:rPr>
        <w:t>竞争性谈判文件</w:t>
      </w:r>
      <w:r>
        <w:rPr>
          <w:rFonts w:hint="eastAsia" w:hAnsi="宋体" w:cs="宋体"/>
          <w:color w:val="auto"/>
          <w:kern w:val="0"/>
          <w:highlight w:val="none"/>
        </w:rPr>
        <w:t>实质性响应要求的供应商中按最后报价最低的原则确定成交供应商。</w:t>
      </w:r>
    </w:p>
    <w:p>
      <w:pPr>
        <w:pStyle w:val="22"/>
        <w:spacing w:line="380" w:lineRule="exact"/>
        <w:ind w:firstLine="412" w:firstLineChars="196"/>
        <w:rPr>
          <w:rFonts w:hint="eastAsia" w:hAnsi="宋体"/>
          <w:b/>
          <w:color w:val="auto"/>
          <w:highlight w:val="none"/>
        </w:rPr>
      </w:pPr>
      <w:r>
        <w:rPr>
          <w:rFonts w:hint="eastAsia" w:hAnsi="宋体"/>
          <w:b/>
          <w:color w:val="auto"/>
          <w:highlight w:val="none"/>
        </w:rPr>
        <w:t>九、成交公告</w:t>
      </w:r>
    </w:p>
    <w:p>
      <w:pPr>
        <w:pStyle w:val="22"/>
        <w:spacing w:line="380" w:lineRule="exact"/>
        <w:ind w:firstLine="420"/>
        <w:rPr>
          <w:rFonts w:hint="eastAsia" w:hAnsi="宋体"/>
          <w:color w:val="auto"/>
          <w:highlight w:val="none"/>
        </w:rPr>
      </w:pPr>
      <w:r>
        <w:rPr>
          <w:rFonts w:hint="eastAsia" w:hAnsi="宋体"/>
          <w:color w:val="auto"/>
          <w:highlight w:val="none"/>
        </w:rPr>
        <w:t>15.1本中心在评审结束后2个工作日内将谈判评审报告送采购人确认(</w:t>
      </w:r>
      <w:r>
        <w:rPr>
          <w:rFonts w:hint="eastAsia" w:hAnsi="宋体" w:cs="宋体"/>
          <w:color w:val="auto"/>
          <w:highlight w:val="none"/>
        </w:rPr>
        <w:t>采购人也可以事先授权评标委员会直接确定中标人)</w:t>
      </w:r>
      <w:r>
        <w:rPr>
          <w:rFonts w:hint="eastAsia" w:hAnsi="宋体"/>
          <w:color w:val="auto"/>
          <w:highlight w:val="none"/>
        </w:rPr>
        <w:t>，采购人确认后</w:t>
      </w:r>
      <w:r>
        <w:rPr>
          <w:rFonts w:hint="eastAsia" w:hAnsi="宋体"/>
          <w:color w:val="auto"/>
          <w:highlight w:val="none"/>
          <w:lang w:val="en-US" w:eastAsia="zh-CN"/>
        </w:rPr>
        <w:t>2个工作日内</w:t>
      </w:r>
      <w:r>
        <w:rPr>
          <w:rFonts w:hint="eastAsia" w:hAnsi="宋体"/>
          <w:color w:val="auto"/>
          <w:highlight w:val="none"/>
        </w:rPr>
        <w:t>成交公告将在</w:t>
      </w:r>
      <w:r>
        <w:rPr>
          <w:rFonts w:hAnsi="宋体" w:cs="Arial"/>
          <w:color w:val="auto"/>
          <w:kern w:val="0"/>
          <w:highlight w:val="none"/>
        </w:rPr>
        <w:t>广西壮族自治区政府采购网、梧州市政府采购网</w:t>
      </w:r>
      <w:r>
        <w:rPr>
          <w:rFonts w:hint="eastAsia" w:hAnsi="宋体"/>
          <w:color w:val="auto"/>
          <w:highlight w:val="none"/>
        </w:rPr>
        <w:t>上发布，同时向成交供应商发出成交通知书。</w:t>
      </w:r>
    </w:p>
    <w:p>
      <w:pPr>
        <w:pStyle w:val="22"/>
        <w:spacing w:line="380" w:lineRule="exact"/>
        <w:ind w:firstLine="420"/>
        <w:rPr>
          <w:rFonts w:hint="eastAsia" w:hAnsi="宋体"/>
          <w:color w:val="auto"/>
          <w:highlight w:val="none"/>
        </w:rPr>
      </w:pPr>
      <w:r>
        <w:rPr>
          <w:rFonts w:hint="eastAsia" w:hAnsi="宋体"/>
          <w:color w:val="auto"/>
          <w:highlight w:val="none"/>
        </w:rPr>
        <w:t>15.2谈判供应商如对成交公告有异议，可以在成交公告期限届满之日起七个工作日内以书面形式向本中心提出质疑。本中心将在收到谈判供应商的书面质疑后七个工作日内做出答复，但答复的内容不得涉及商业秘密。</w:t>
      </w:r>
    </w:p>
    <w:p>
      <w:pPr>
        <w:pStyle w:val="22"/>
        <w:spacing w:line="380" w:lineRule="exact"/>
        <w:ind w:firstLine="420"/>
        <w:rPr>
          <w:rFonts w:hint="eastAsia" w:hAnsi="宋体"/>
          <w:color w:val="auto"/>
          <w:highlight w:val="none"/>
        </w:rPr>
      </w:pPr>
      <w:r>
        <w:rPr>
          <w:rFonts w:hint="eastAsia" w:hAnsi="宋体"/>
          <w:color w:val="auto"/>
          <w:highlight w:val="none"/>
        </w:rPr>
        <w:t>15.3质疑谈判供应商必须首先经过质疑程序，在对本中心的答复不满意或者本中心未在规定的时间内做出答复的，可以在答复期满后十五个工作日内书面向本级政府采购监督管理部门投诉。</w:t>
      </w:r>
    </w:p>
    <w:p>
      <w:pPr>
        <w:pStyle w:val="22"/>
        <w:spacing w:line="380" w:lineRule="exact"/>
        <w:ind w:firstLine="420"/>
        <w:rPr>
          <w:rFonts w:hint="eastAsia" w:hAnsi="宋体"/>
          <w:color w:val="auto"/>
          <w:highlight w:val="none"/>
        </w:rPr>
      </w:pPr>
      <w:r>
        <w:rPr>
          <w:rFonts w:hint="eastAsia" w:hAnsi="宋体"/>
          <w:color w:val="auto"/>
          <w:highlight w:val="none"/>
        </w:rPr>
        <w:t>质疑联系部门及电话为：</w:t>
      </w:r>
      <w:r>
        <w:rPr>
          <w:rFonts w:hint="eastAsia" w:hAnsi="宋体" w:cs="宋体"/>
          <w:color w:val="auto"/>
          <w:kern w:val="0"/>
          <w:highlight w:val="none"/>
        </w:rPr>
        <w:t>梧州市公共资源交易中心（梧州市政府采购中心）</w:t>
      </w:r>
      <w:r>
        <w:rPr>
          <w:rFonts w:hint="eastAsia" w:hAnsi="宋体"/>
          <w:color w:val="auto"/>
          <w:highlight w:val="none"/>
        </w:rPr>
        <w:t xml:space="preserve"> 0774-3828966</w:t>
      </w:r>
    </w:p>
    <w:p>
      <w:pPr>
        <w:pStyle w:val="22"/>
        <w:spacing w:line="380" w:lineRule="exact"/>
        <w:ind w:firstLine="420"/>
        <w:rPr>
          <w:rFonts w:hint="default" w:hAnsi="宋体" w:eastAsia="宋体"/>
          <w:color w:val="auto"/>
          <w:highlight w:val="none"/>
          <w:lang w:val="en-US" w:eastAsia="zh-CN"/>
        </w:rPr>
      </w:pPr>
      <w:r>
        <w:rPr>
          <w:rFonts w:hint="eastAsia" w:hAnsi="宋体"/>
          <w:color w:val="auto"/>
          <w:highlight w:val="none"/>
        </w:rPr>
        <w:t>投诉联系部门及电话为：</w:t>
      </w:r>
      <w:r>
        <w:rPr>
          <w:rFonts w:hint="eastAsia" w:hAnsi="宋体"/>
          <w:color w:val="auto"/>
          <w:highlight w:val="none"/>
          <w:lang w:eastAsia="zh-CN"/>
        </w:rPr>
        <w:t>梧州市财政局政府采购监督科</w:t>
      </w:r>
      <w:r>
        <w:rPr>
          <w:rFonts w:hint="eastAsia" w:hAnsi="宋体"/>
          <w:color w:val="auto"/>
          <w:highlight w:val="none"/>
        </w:rPr>
        <w:t xml:space="preserve">   0774</w:t>
      </w:r>
      <w:r>
        <w:rPr>
          <w:rFonts w:hint="eastAsia" w:hAnsi="宋体"/>
          <w:color w:val="auto"/>
          <w:highlight w:val="none"/>
          <w:lang w:val="en-US" w:eastAsia="zh-CN"/>
        </w:rPr>
        <w:t>-3866434</w:t>
      </w:r>
    </w:p>
    <w:p>
      <w:pPr>
        <w:spacing w:line="400" w:lineRule="exact"/>
        <w:ind w:firstLine="412" w:firstLineChars="196"/>
        <w:rPr>
          <w:rFonts w:hint="eastAsia" w:ascii="宋体" w:hAnsi="宋体"/>
          <w:b/>
          <w:color w:val="auto"/>
          <w:szCs w:val="21"/>
          <w:highlight w:val="none"/>
        </w:rPr>
      </w:pPr>
      <w:r>
        <w:rPr>
          <w:rFonts w:hint="eastAsia" w:ascii="宋体" w:hAnsi="宋体"/>
          <w:b/>
          <w:color w:val="auto"/>
          <w:szCs w:val="21"/>
          <w:highlight w:val="none"/>
        </w:rPr>
        <w:t>十、签订合同</w:t>
      </w:r>
    </w:p>
    <w:p>
      <w:pPr>
        <w:spacing w:line="400" w:lineRule="exact"/>
        <w:ind w:firstLine="472" w:firstLineChars="225"/>
        <w:rPr>
          <w:rFonts w:hint="eastAsia" w:ascii="宋体" w:hAnsi="宋体"/>
          <w:b/>
          <w:color w:val="auto"/>
          <w:szCs w:val="21"/>
          <w:highlight w:val="none"/>
        </w:rPr>
      </w:pPr>
      <w:r>
        <w:rPr>
          <w:rFonts w:hint="eastAsia" w:ascii="宋体" w:hAnsi="宋体"/>
          <w:color w:val="auto"/>
          <w:szCs w:val="21"/>
          <w:highlight w:val="none"/>
        </w:rPr>
        <w:t>16.1成交供应商自成交通知书发出之日起：2个工作日内与采购人签订合同。成</w:t>
      </w:r>
      <w:r>
        <w:rPr>
          <w:rFonts w:hint="eastAsia" w:ascii="宋体" w:hAnsi="宋体"/>
          <w:b/>
          <w:color w:val="auto"/>
          <w:szCs w:val="21"/>
          <w:highlight w:val="none"/>
        </w:rPr>
        <w:t xml:space="preserve">交供应商签订合同后2个工作日内，携合同原件一份交于项目负责人。  </w:t>
      </w:r>
    </w:p>
    <w:p>
      <w:pPr>
        <w:spacing w:line="400" w:lineRule="exact"/>
        <w:ind w:firstLine="472" w:firstLineChars="225"/>
        <w:rPr>
          <w:rFonts w:hint="eastAsia" w:ascii="宋体" w:hAnsi="宋体"/>
          <w:color w:val="auto"/>
          <w:szCs w:val="21"/>
          <w:highlight w:val="none"/>
        </w:rPr>
      </w:pPr>
      <w:r>
        <w:rPr>
          <w:rFonts w:hint="eastAsia" w:ascii="宋体" w:hAnsi="宋体"/>
          <w:color w:val="auto"/>
          <w:szCs w:val="21"/>
          <w:highlight w:val="none"/>
        </w:rPr>
        <w:t>16.2</w:t>
      </w:r>
      <w:r>
        <w:rPr>
          <w:rFonts w:hint="eastAsia" w:ascii="宋体" w:hAnsi="宋体" w:cs="宋体"/>
          <w:color w:val="auto"/>
          <w:kern w:val="0"/>
          <w:szCs w:val="21"/>
          <w:highlight w:val="none"/>
        </w:rPr>
        <w:t>成交供应商拒绝签订政府采购合同的</w:t>
      </w:r>
      <w:r>
        <w:rPr>
          <w:rFonts w:hint="eastAsia" w:ascii="宋体" w:hAnsi="宋体"/>
          <w:color w:val="auto"/>
          <w:szCs w:val="21"/>
          <w:highlight w:val="none"/>
        </w:rPr>
        <w:t>，采购人可以根据谈判评审报告确定成交供应商之后排名第一的成交候选人</w:t>
      </w:r>
      <w:r>
        <w:rPr>
          <w:rFonts w:hint="eastAsia" w:ascii="宋体" w:hAnsi="宋体" w:cs="宋体"/>
          <w:color w:val="auto"/>
          <w:kern w:val="0"/>
          <w:szCs w:val="21"/>
          <w:highlight w:val="none"/>
        </w:rPr>
        <w:t>作为</w:t>
      </w:r>
      <w:r>
        <w:rPr>
          <w:rFonts w:hint="eastAsia" w:ascii="宋体" w:hAnsi="宋体"/>
          <w:color w:val="auto"/>
          <w:szCs w:val="21"/>
          <w:highlight w:val="none"/>
        </w:rPr>
        <w:t>成交供应商</w:t>
      </w:r>
      <w:r>
        <w:rPr>
          <w:rFonts w:hint="eastAsia" w:ascii="宋体" w:hAnsi="宋体" w:cs="宋体"/>
          <w:color w:val="auto"/>
          <w:kern w:val="0"/>
          <w:szCs w:val="21"/>
          <w:highlight w:val="none"/>
        </w:rPr>
        <w:t>并签订政府采购合同，也可以重新开展采购活动。拒绝签订政府采购合同的成交供应商不得参加对该项目重新开展的采购活动。</w:t>
      </w:r>
    </w:p>
    <w:p>
      <w:pPr>
        <w:spacing w:line="400" w:lineRule="exact"/>
        <w:ind w:firstLine="472" w:firstLineChars="225"/>
        <w:rPr>
          <w:rFonts w:hint="eastAsia" w:ascii="宋体" w:hAnsi="宋体" w:cs="宋体"/>
          <w:color w:val="auto"/>
          <w:kern w:val="0"/>
          <w:szCs w:val="21"/>
          <w:highlight w:val="none"/>
        </w:rPr>
      </w:pPr>
      <w:r>
        <w:rPr>
          <w:rFonts w:hint="eastAsia" w:ascii="宋体" w:hAnsi="宋体" w:cs="宋体"/>
          <w:color w:val="auto"/>
          <w:kern w:val="0"/>
          <w:szCs w:val="21"/>
          <w:highlight w:val="none"/>
        </w:rPr>
        <w:t>16.3成交供应商拒绝签订政府采购合同的，其保证金将不予退还，并上缴国库，给采购人造成其损失的，还应当赔偿损失，并作为不良行为记录在案。</w:t>
      </w:r>
    </w:p>
    <w:p>
      <w:pPr>
        <w:spacing w:line="360" w:lineRule="exact"/>
        <w:ind w:firstLine="515" w:firstLineChars="245"/>
        <w:rPr>
          <w:rFonts w:ascii="宋体" w:hAnsi="宋体"/>
          <w:b/>
          <w:color w:val="auto"/>
          <w:szCs w:val="21"/>
          <w:highlight w:val="none"/>
        </w:rPr>
      </w:pPr>
      <w:r>
        <w:rPr>
          <w:rFonts w:hint="eastAsia" w:ascii="宋体" w:hAnsi="宋体"/>
          <w:b/>
          <w:color w:val="auto"/>
          <w:szCs w:val="21"/>
          <w:highlight w:val="none"/>
        </w:rPr>
        <w:t>十一、适用法律</w:t>
      </w:r>
    </w:p>
    <w:p>
      <w:pPr>
        <w:spacing w:line="400" w:lineRule="exact"/>
        <w:ind w:firstLine="472" w:firstLineChars="225"/>
        <w:rPr>
          <w:rFonts w:hint="eastAsia" w:ascii="宋体" w:hAnsi="宋体" w:cs="宋体"/>
          <w:color w:val="auto"/>
          <w:kern w:val="0"/>
          <w:szCs w:val="21"/>
          <w:highlight w:val="none"/>
        </w:rPr>
      </w:pPr>
      <w:r>
        <w:rPr>
          <w:rFonts w:hint="eastAsia" w:ascii="宋体" w:hAnsi="宋体"/>
          <w:color w:val="auto"/>
          <w:szCs w:val="21"/>
          <w:highlight w:val="none"/>
        </w:rPr>
        <w:t>17. 采购当事人的一切活动均适用于《中华人民共和国政府采购法》、《中华人民共和国政府采</w:t>
      </w:r>
      <w:r>
        <w:rPr>
          <w:rFonts w:hint="eastAsia" w:ascii="宋体" w:hAnsi="宋体" w:cs="宋体"/>
          <w:color w:val="auto"/>
          <w:kern w:val="0"/>
          <w:szCs w:val="21"/>
          <w:highlight w:val="none"/>
        </w:rPr>
        <w:t>购法实施条例》和《政府采购非招标采购方式管理办法》等相关规定。最终谈判结束后，谈判小组不得再与谈判供应商进行任何形式的商谈。</w:t>
      </w:r>
    </w:p>
    <w:p>
      <w:pPr>
        <w:spacing w:line="400" w:lineRule="exact"/>
        <w:ind w:firstLine="473" w:firstLineChars="225"/>
        <w:rPr>
          <w:rFonts w:hint="eastAsia" w:ascii="宋体" w:hAnsi="宋体" w:cs="宋体"/>
          <w:b/>
          <w:color w:val="auto"/>
          <w:kern w:val="0"/>
          <w:szCs w:val="21"/>
          <w:highlight w:val="none"/>
        </w:rPr>
      </w:pPr>
      <w:r>
        <w:rPr>
          <w:rFonts w:hint="eastAsia" w:ascii="宋体" w:hAnsi="宋体" w:cs="宋体"/>
          <w:b/>
          <w:color w:val="auto"/>
          <w:kern w:val="0"/>
          <w:szCs w:val="21"/>
          <w:highlight w:val="none"/>
        </w:rPr>
        <w:t>十二、其他事项</w:t>
      </w:r>
    </w:p>
    <w:p>
      <w:pPr>
        <w:pStyle w:val="22"/>
        <w:spacing w:line="400" w:lineRule="exact"/>
        <w:ind w:firstLine="515" w:firstLineChars="245"/>
        <w:rPr>
          <w:rFonts w:hint="eastAsia" w:hAnsi="宋体"/>
          <w:color w:val="auto"/>
          <w:highlight w:val="none"/>
        </w:rPr>
      </w:pPr>
      <w:r>
        <w:rPr>
          <w:rFonts w:hint="eastAsia" w:hAnsi="宋体"/>
          <w:b/>
          <w:color w:val="auto"/>
          <w:highlight w:val="none"/>
        </w:rPr>
        <w:t>18.1采购代理服务费：</w:t>
      </w:r>
      <w:r>
        <w:rPr>
          <w:rFonts w:hint="eastAsia" w:hAnsi="宋体"/>
          <w:color w:val="auto"/>
          <w:highlight w:val="none"/>
        </w:rPr>
        <w:t>无</w:t>
      </w:r>
    </w:p>
    <w:p>
      <w:pPr>
        <w:pStyle w:val="22"/>
        <w:spacing w:line="400" w:lineRule="exact"/>
        <w:ind w:firstLine="515" w:firstLineChars="245"/>
        <w:rPr>
          <w:rFonts w:hint="eastAsia" w:hAnsi="宋体"/>
          <w:b/>
          <w:color w:val="auto"/>
          <w:highlight w:val="none"/>
        </w:rPr>
      </w:pPr>
      <w:r>
        <w:rPr>
          <w:rFonts w:hint="eastAsia" w:hAnsi="宋体"/>
          <w:b/>
          <w:color w:val="auto"/>
          <w:highlight w:val="none"/>
        </w:rPr>
        <w:t>18.2解释权</w:t>
      </w:r>
    </w:p>
    <w:p>
      <w:pPr>
        <w:pStyle w:val="22"/>
        <w:spacing w:line="400" w:lineRule="exact"/>
        <w:ind w:firstLine="909" w:firstLineChars="450"/>
        <w:rPr>
          <w:rFonts w:hint="eastAsia" w:hAnsi="宋体"/>
          <w:color w:val="auto"/>
          <w:spacing w:val="-4"/>
          <w:highlight w:val="none"/>
        </w:rPr>
      </w:pPr>
      <w:r>
        <w:rPr>
          <w:rFonts w:hint="eastAsia" w:hAnsi="宋体"/>
          <w:color w:val="auto"/>
          <w:spacing w:val="-4"/>
          <w:highlight w:val="none"/>
        </w:rPr>
        <w:t>本谈判文件解释权属本中心。</w:t>
      </w:r>
    </w:p>
    <w:p>
      <w:pPr>
        <w:pStyle w:val="22"/>
        <w:spacing w:line="400" w:lineRule="exact"/>
        <w:ind w:firstLine="521" w:firstLineChars="248"/>
        <w:rPr>
          <w:rFonts w:hint="eastAsia" w:hAnsi="宋体"/>
          <w:color w:val="auto"/>
          <w:highlight w:val="none"/>
        </w:rPr>
      </w:pPr>
      <w:r>
        <w:rPr>
          <w:rFonts w:hint="eastAsia" w:hAnsi="宋体"/>
          <w:b/>
          <w:color w:val="auto"/>
          <w:highlight w:val="none"/>
        </w:rPr>
        <w:t>18.3有关事宜</w:t>
      </w:r>
    </w:p>
    <w:p>
      <w:pPr>
        <w:spacing w:line="400" w:lineRule="exact"/>
        <w:ind w:firstLine="472" w:firstLineChars="225"/>
        <w:rPr>
          <w:rFonts w:hint="eastAsia" w:ascii="宋体" w:hAnsi="宋体" w:cs="宋体"/>
          <w:color w:val="auto"/>
          <w:kern w:val="0"/>
          <w:szCs w:val="21"/>
          <w:highlight w:val="none"/>
        </w:rPr>
      </w:pPr>
      <w:r>
        <w:rPr>
          <w:rFonts w:hint="eastAsia" w:ascii="宋体" w:hAnsi="宋体" w:cs="宋体"/>
          <w:color w:val="auto"/>
          <w:kern w:val="0"/>
          <w:szCs w:val="21"/>
          <w:highlight w:val="none"/>
        </w:rPr>
        <w:t>所有与本谈判文件有关的函件请按下列通讯地址联系：</w:t>
      </w:r>
    </w:p>
    <w:p>
      <w:pPr>
        <w:spacing w:line="400" w:lineRule="exact"/>
        <w:ind w:firstLine="472" w:firstLineChars="225"/>
        <w:rPr>
          <w:rFonts w:hint="eastAsia" w:ascii="宋体" w:hAnsi="宋体" w:cs="宋体"/>
          <w:color w:val="auto"/>
          <w:kern w:val="0"/>
          <w:szCs w:val="21"/>
          <w:highlight w:val="none"/>
        </w:rPr>
      </w:pPr>
      <w:r>
        <w:rPr>
          <w:rFonts w:hint="eastAsia" w:ascii="宋体" w:hAnsi="宋体" w:cs="宋体"/>
          <w:color w:val="auto"/>
          <w:kern w:val="0"/>
          <w:szCs w:val="21"/>
          <w:highlight w:val="none"/>
        </w:rPr>
        <w:t>单位全称：梧州市公共资源交易中心（梧州市政府采购中心）。</w:t>
      </w:r>
    </w:p>
    <w:p>
      <w:pPr>
        <w:spacing w:line="400" w:lineRule="exact"/>
        <w:ind w:firstLine="472" w:firstLineChars="225"/>
        <w:rPr>
          <w:rFonts w:hint="eastAsia" w:ascii="宋体" w:hAnsi="宋体"/>
          <w:b/>
          <w:color w:val="auto"/>
          <w:szCs w:val="21"/>
          <w:highlight w:val="none"/>
        </w:rPr>
      </w:pPr>
      <w:r>
        <w:rPr>
          <w:rFonts w:hint="eastAsia" w:ascii="宋体" w:hAnsi="宋体" w:cs="宋体"/>
          <w:color w:val="auto"/>
          <w:kern w:val="0"/>
          <w:szCs w:val="21"/>
          <w:highlight w:val="none"/>
        </w:rPr>
        <w:t>通讯地址：</w:t>
      </w:r>
      <w:r>
        <w:rPr>
          <w:rFonts w:hint="eastAsia" w:ascii="宋体" w:hAnsi="宋体"/>
          <w:bCs/>
          <w:color w:val="auto"/>
          <w:szCs w:val="21"/>
          <w:highlight w:val="none"/>
        </w:rPr>
        <w:t>梧州市三龙大道红岭大厦10楼</w:t>
      </w:r>
      <w:r>
        <w:rPr>
          <w:rFonts w:hint="eastAsia" w:ascii="宋体" w:hAnsi="宋体" w:cs="宋体"/>
          <w:color w:val="auto"/>
          <w:kern w:val="0"/>
          <w:szCs w:val="21"/>
          <w:highlight w:val="none"/>
        </w:rPr>
        <w:t>。 电话：</w:t>
      </w:r>
      <w:r>
        <w:rPr>
          <w:rFonts w:hint="eastAsia" w:ascii="宋体" w:hAnsi="宋体"/>
          <w:color w:val="auto"/>
          <w:szCs w:val="21"/>
          <w:highlight w:val="none"/>
        </w:rPr>
        <w:t>（0774）</w:t>
      </w:r>
      <w:r>
        <w:rPr>
          <w:rFonts w:hint="eastAsia" w:ascii="宋体" w:hAnsi="宋体"/>
          <w:color w:val="auto"/>
          <w:szCs w:val="21"/>
          <w:highlight w:val="none"/>
          <w:lang w:val="en-US" w:eastAsia="zh-CN"/>
        </w:rPr>
        <w:t>3828966</w:t>
      </w:r>
      <w:r>
        <w:rPr>
          <w:rFonts w:hint="eastAsia" w:ascii="宋体" w:hAnsi="宋体" w:cs="宋体"/>
          <w:color w:val="auto"/>
          <w:kern w:val="0"/>
          <w:szCs w:val="21"/>
          <w:highlight w:val="none"/>
        </w:rPr>
        <w:t>。 联 系 人：余先生、</w:t>
      </w:r>
      <w:r>
        <w:rPr>
          <w:rFonts w:hint="eastAsia" w:ascii="宋体" w:hAnsi="宋体" w:cs="宋体"/>
          <w:color w:val="auto"/>
          <w:kern w:val="0"/>
          <w:szCs w:val="21"/>
          <w:highlight w:val="none"/>
          <w:lang w:eastAsia="zh-CN"/>
        </w:rPr>
        <w:t>孙</w:t>
      </w:r>
      <w:r>
        <w:rPr>
          <w:rFonts w:hint="eastAsia" w:ascii="宋体" w:hAnsi="宋体" w:cs="宋体"/>
          <w:color w:val="auto"/>
          <w:kern w:val="0"/>
          <w:szCs w:val="21"/>
          <w:highlight w:val="none"/>
        </w:rPr>
        <w:t>小姐。</w:t>
      </w:r>
    </w:p>
    <w:p>
      <w:pPr>
        <w:pStyle w:val="3"/>
        <w:rPr>
          <w:rFonts w:hint="eastAsia"/>
          <w:color w:val="auto"/>
          <w:highlight w:val="none"/>
        </w:rPr>
      </w:pPr>
      <w:bookmarkStart w:id="54" w:name="_Toc433105009"/>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spacing w:line="620" w:lineRule="exact"/>
        <w:jc w:val="center"/>
        <w:outlineLvl w:val="0"/>
        <w:rPr>
          <w:rFonts w:hint="eastAsia" w:ascii="宋体" w:hAnsi="宋体"/>
          <w:b/>
          <w:color w:val="auto"/>
          <w:sz w:val="44"/>
          <w:szCs w:val="44"/>
          <w:highlight w:val="none"/>
        </w:rPr>
      </w:pPr>
    </w:p>
    <w:p>
      <w:pPr>
        <w:spacing w:line="620" w:lineRule="exact"/>
        <w:jc w:val="center"/>
        <w:outlineLvl w:val="0"/>
        <w:rPr>
          <w:rFonts w:hint="eastAsia" w:ascii="宋体" w:hAnsi="宋体"/>
          <w:b/>
          <w:color w:val="auto"/>
          <w:sz w:val="44"/>
          <w:szCs w:val="44"/>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spacing w:line="620" w:lineRule="exact"/>
        <w:jc w:val="center"/>
        <w:outlineLvl w:val="0"/>
        <w:rPr>
          <w:rFonts w:hint="eastAsia" w:ascii="宋体" w:hAnsi="宋体"/>
          <w:b/>
          <w:color w:val="auto"/>
          <w:sz w:val="44"/>
          <w:szCs w:val="44"/>
          <w:highlight w:val="none"/>
        </w:rPr>
      </w:pPr>
      <w:r>
        <w:rPr>
          <w:rFonts w:hint="eastAsia" w:ascii="宋体" w:hAnsi="宋体"/>
          <w:b/>
          <w:color w:val="auto"/>
          <w:sz w:val="44"/>
          <w:szCs w:val="44"/>
          <w:highlight w:val="none"/>
        </w:rPr>
        <w:t>第三章  项目采购需求</w:t>
      </w:r>
      <w:bookmarkEnd w:id="54"/>
    </w:p>
    <w:p>
      <w:pPr>
        <w:snapToGrid w:val="0"/>
        <w:jc w:val="center"/>
        <w:rPr>
          <w:rFonts w:hint="eastAsia" w:ascii="宋体" w:hAnsi="宋体"/>
          <w:color w:val="auto"/>
          <w:szCs w:val="21"/>
          <w:highlight w:val="none"/>
        </w:rPr>
      </w:pPr>
      <w:r>
        <w:rPr>
          <w:rFonts w:hint="eastAsia" w:ascii="宋体" w:hAnsi="宋体"/>
          <w:color w:val="auto"/>
          <w:szCs w:val="21"/>
          <w:highlight w:val="none"/>
        </w:rPr>
        <w:t xml:space="preserve"> </w:t>
      </w:r>
    </w:p>
    <w:p>
      <w:pPr>
        <w:snapToGrid w:val="0"/>
        <w:jc w:val="center"/>
        <w:rPr>
          <w:rFonts w:hint="eastAsia" w:ascii="宋体" w:hAnsi="宋体"/>
          <w:color w:val="auto"/>
          <w:szCs w:val="21"/>
          <w:highlight w:val="none"/>
        </w:rPr>
      </w:pPr>
    </w:p>
    <w:p>
      <w:pPr>
        <w:snapToGrid w:val="0"/>
        <w:jc w:val="center"/>
        <w:rPr>
          <w:rFonts w:hint="eastAsia" w:ascii="宋体" w:hAnsi="宋体"/>
          <w:color w:val="auto"/>
          <w:szCs w:val="21"/>
          <w:highlight w:val="none"/>
        </w:rPr>
      </w:pPr>
    </w:p>
    <w:p>
      <w:pPr>
        <w:snapToGrid w:val="0"/>
        <w:jc w:val="center"/>
        <w:rPr>
          <w:rFonts w:hint="eastAsia" w:ascii="宋体" w:hAnsi="宋体"/>
          <w:color w:val="auto"/>
          <w:szCs w:val="21"/>
          <w:highlight w:val="none"/>
        </w:rPr>
      </w:pPr>
    </w:p>
    <w:p>
      <w:pPr>
        <w:snapToGrid w:val="0"/>
        <w:jc w:val="center"/>
        <w:rPr>
          <w:rFonts w:hint="eastAsia" w:ascii="宋体" w:hAnsi="宋体"/>
          <w:color w:val="auto"/>
          <w:szCs w:val="21"/>
          <w:highlight w:val="none"/>
        </w:rPr>
      </w:pPr>
    </w:p>
    <w:p>
      <w:pPr>
        <w:snapToGrid w:val="0"/>
        <w:jc w:val="center"/>
        <w:rPr>
          <w:rFonts w:hint="eastAsia" w:ascii="宋体" w:hAnsi="宋体"/>
          <w:color w:val="auto"/>
          <w:szCs w:val="21"/>
          <w:highlight w:val="none"/>
        </w:rPr>
      </w:pPr>
    </w:p>
    <w:p>
      <w:pPr>
        <w:snapToGrid w:val="0"/>
        <w:jc w:val="center"/>
        <w:rPr>
          <w:rFonts w:hint="eastAsia" w:ascii="宋体" w:hAnsi="宋体"/>
          <w:color w:val="auto"/>
          <w:szCs w:val="21"/>
          <w:highlight w:val="none"/>
        </w:rPr>
      </w:pPr>
    </w:p>
    <w:p>
      <w:pPr>
        <w:snapToGrid w:val="0"/>
        <w:jc w:val="center"/>
        <w:rPr>
          <w:rFonts w:hint="eastAsia" w:ascii="宋体" w:hAnsi="宋体"/>
          <w:color w:val="auto"/>
          <w:szCs w:val="21"/>
          <w:highlight w:val="none"/>
        </w:rPr>
      </w:pPr>
    </w:p>
    <w:p>
      <w:pPr>
        <w:snapToGrid w:val="0"/>
        <w:jc w:val="center"/>
        <w:rPr>
          <w:rFonts w:hint="eastAsia" w:ascii="宋体" w:hAnsi="宋体"/>
          <w:color w:val="auto"/>
          <w:szCs w:val="21"/>
          <w:highlight w:val="none"/>
        </w:rPr>
      </w:pPr>
    </w:p>
    <w:p>
      <w:pPr>
        <w:snapToGrid w:val="0"/>
        <w:jc w:val="center"/>
        <w:rPr>
          <w:rFonts w:hint="eastAsia" w:ascii="宋体" w:hAnsi="宋体"/>
          <w:color w:val="auto"/>
          <w:szCs w:val="21"/>
          <w:highlight w:val="none"/>
        </w:rPr>
      </w:pPr>
    </w:p>
    <w:p>
      <w:pPr>
        <w:snapToGrid w:val="0"/>
        <w:jc w:val="center"/>
        <w:rPr>
          <w:rFonts w:hint="eastAsia" w:ascii="宋体" w:hAnsi="宋体"/>
          <w:color w:val="auto"/>
          <w:szCs w:val="21"/>
          <w:highlight w:val="none"/>
        </w:rPr>
      </w:pPr>
    </w:p>
    <w:p>
      <w:pPr>
        <w:snapToGrid w:val="0"/>
        <w:jc w:val="center"/>
        <w:rPr>
          <w:rFonts w:hint="eastAsia" w:ascii="宋体" w:hAnsi="宋体"/>
          <w:color w:val="auto"/>
          <w:szCs w:val="21"/>
          <w:highlight w:val="none"/>
        </w:rPr>
      </w:pPr>
    </w:p>
    <w:p>
      <w:pPr>
        <w:snapToGrid w:val="0"/>
        <w:jc w:val="center"/>
        <w:rPr>
          <w:rFonts w:hint="eastAsia" w:ascii="宋体" w:hAnsi="宋体"/>
          <w:color w:val="auto"/>
          <w:szCs w:val="21"/>
          <w:highlight w:val="none"/>
        </w:rPr>
      </w:pPr>
    </w:p>
    <w:p>
      <w:pPr>
        <w:snapToGrid w:val="0"/>
        <w:jc w:val="center"/>
        <w:rPr>
          <w:rFonts w:hint="eastAsia" w:ascii="宋体" w:hAnsi="宋体"/>
          <w:color w:val="auto"/>
          <w:szCs w:val="21"/>
          <w:highlight w:val="none"/>
        </w:rPr>
      </w:pPr>
    </w:p>
    <w:p>
      <w:pPr>
        <w:snapToGrid w:val="0"/>
        <w:jc w:val="center"/>
        <w:rPr>
          <w:rFonts w:hint="eastAsia" w:ascii="宋体" w:hAnsi="宋体"/>
          <w:color w:val="auto"/>
          <w:szCs w:val="21"/>
          <w:highlight w:val="none"/>
        </w:rPr>
      </w:pPr>
    </w:p>
    <w:p>
      <w:pPr>
        <w:snapToGrid w:val="0"/>
        <w:jc w:val="center"/>
        <w:rPr>
          <w:rFonts w:hint="eastAsia" w:ascii="宋体" w:hAnsi="宋体"/>
          <w:color w:val="auto"/>
          <w:szCs w:val="21"/>
          <w:highlight w:val="none"/>
        </w:rPr>
      </w:pPr>
    </w:p>
    <w:p>
      <w:pPr>
        <w:snapToGrid w:val="0"/>
        <w:jc w:val="center"/>
        <w:rPr>
          <w:rFonts w:hint="eastAsia" w:ascii="宋体" w:hAnsi="宋体"/>
          <w:color w:val="auto"/>
          <w:szCs w:val="21"/>
          <w:highlight w:val="none"/>
        </w:rPr>
      </w:pPr>
    </w:p>
    <w:p>
      <w:pPr>
        <w:snapToGrid w:val="0"/>
        <w:jc w:val="center"/>
        <w:rPr>
          <w:rFonts w:hint="eastAsia" w:ascii="宋体" w:hAnsi="宋体"/>
          <w:color w:val="auto"/>
          <w:szCs w:val="21"/>
          <w:highlight w:val="none"/>
        </w:rPr>
      </w:pPr>
    </w:p>
    <w:p>
      <w:pPr>
        <w:snapToGrid w:val="0"/>
        <w:jc w:val="center"/>
        <w:rPr>
          <w:rFonts w:hint="eastAsia" w:ascii="宋体" w:hAnsi="宋体"/>
          <w:color w:val="auto"/>
          <w:szCs w:val="21"/>
          <w:highlight w:val="none"/>
        </w:rPr>
      </w:pPr>
    </w:p>
    <w:p>
      <w:pPr>
        <w:snapToGrid w:val="0"/>
        <w:jc w:val="center"/>
        <w:rPr>
          <w:rFonts w:hint="eastAsia" w:ascii="宋体" w:hAnsi="宋体"/>
          <w:color w:val="auto"/>
          <w:szCs w:val="21"/>
          <w:highlight w:val="none"/>
        </w:rPr>
      </w:pPr>
    </w:p>
    <w:p>
      <w:pPr>
        <w:snapToGrid w:val="0"/>
        <w:jc w:val="center"/>
        <w:rPr>
          <w:rFonts w:hint="eastAsia" w:ascii="宋体" w:hAnsi="宋体"/>
          <w:color w:val="auto"/>
          <w:szCs w:val="21"/>
          <w:highlight w:val="none"/>
        </w:rPr>
      </w:pPr>
    </w:p>
    <w:p>
      <w:pPr>
        <w:snapToGrid w:val="0"/>
        <w:jc w:val="center"/>
        <w:rPr>
          <w:rFonts w:hint="eastAsia" w:ascii="宋体" w:hAnsi="宋体"/>
          <w:color w:val="auto"/>
          <w:szCs w:val="21"/>
          <w:highlight w:val="none"/>
        </w:rPr>
      </w:pPr>
    </w:p>
    <w:p>
      <w:pPr>
        <w:snapToGrid w:val="0"/>
        <w:jc w:val="center"/>
        <w:rPr>
          <w:rFonts w:hint="eastAsia" w:ascii="宋体" w:hAnsi="宋体"/>
          <w:color w:val="auto"/>
          <w:szCs w:val="21"/>
          <w:highlight w:val="none"/>
        </w:rPr>
      </w:pPr>
    </w:p>
    <w:p>
      <w:pPr>
        <w:snapToGrid w:val="0"/>
        <w:jc w:val="center"/>
        <w:rPr>
          <w:rFonts w:hint="eastAsia" w:ascii="宋体" w:hAnsi="宋体"/>
          <w:color w:val="auto"/>
          <w:szCs w:val="21"/>
          <w:highlight w:val="none"/>
        </w:rPr>
      </w:pPr>
    </w:p>
    <w:p>
      <w:pPr>
        <w:pStyle w:val="2"/>
        <w:rPr>
          <w:rFonts w:hint="eastAsia" w:ascii="宋体" w:hAnsi="宋体"/>
          <w:color w:val="auto"/>
          <w:szCs w:val="21"/>
          <w:highlight w:val="none"/>
        </w:rPr>
      </w:pPr>
    </w:p>
    <w:p>
      <w:pPr>
        <w:pStyle w:val="2"/>
        <w:rPr>
          <w:rFonts w:hint="eastAsia" w:ascii="宋体" w:hAnsi="宋体"/>
          <w:color w:val="auto"/>
          <w:szCs w:val="21"/>
          <w:highlight w:val="none"/>
        </w:rPr>
      </w:pPr>
    </w:p>
    <w:p>
      <w:pPr>
        <w:snapToGrid w:val="0"/>
        <w:jc w:val="center"/>
        <w:rPr>
          <w:rFonts w:hint="eastAsia" w:ascii="方正小标宋简体" w:eastAsia="方正小标宋简体"/>
          <w:b/>
          <w:color w:val="auto"/>
          <w:sz w:val="32"/>
          <w:szCs w:val="32"/>
          <w:highlight w:val="none"/>
        </w:rPr>
      </w:pPr>
      <w:r>
        <w:rPr>
          <w:rFonts w:hint="eastAsia" w:ascii="方正小标宋简体" w:eastAsia="方正小标宋简体"/>
          <w:b/>
          <w:color w:val="auto"/>
          <w:sz w:val="32"/>
          <w:szCs w:val="32"/>
          <w:highlight w:val="none"/>
        </w:rPr>
        <w:t>采购需求一览表</w:t>
      </w:r>
    </w:p>
    <w:p>
      <w:pPr>
        <w:spacing w:line="400" w:lineRule="exact"/>
        <w:rPr>
          <w:rFonts w:ascii="宋体" w:hAnsi="宋体"/>
          <w:b w:val="0"/>
          <w:bCs w:val="0"/>
          <w:color w:val="auto"/>
          <w:szCs w:val="21"/>
          <w:highlight w:val="none"/>
        </w:rPr>
      </w:pPr>
      <w:r>
        <w:rPr>
          <w:rFonts w:hint="eastAsia" w:ascii="宋体" w:hAnsi="宋体"/>
          <w:b w:val="0"/>
          <w:bCs w:val="0"/>
          <w:color w:val="auto"/>
          <w:szCs w:val="21"/>
          <w:highlight w:val="none"/>
        </w:rPr>
        <w:t>一、说明：</w:t>
      </w:r>
    </w:p>
    <w:p>
      <w:pPr>
        <w:spacing w:line="400" w:lineRule="exact"/>
        <w:ind w:left="6" w:firstLine="431"/>
        <w:rPr>
          <w:rFonts w:ascii="宋体" w:hAnsi="宋体" w:cs="宋体"/>
          <w:b w:val="0"/>
          <w:bCs w:val="0"/>
          <w:color w:val="auto"/>
          <w:szCs w:val="21"/>
          <w:highlight w:val="none"/>
        </w:rPr>
      </w:pPr>
      <w:r>
        <w:rPr>
          <w:rFonts w:hint="eastAsia" w:ascii="宋体" w:hAnsi="宋体" w:cs="宋体"/>
          <w:b w:val="0"/>
          <w:bCs w:val="0"/>
          <w:color w:val="auto"/>
          <w:szCs w:val="21"/>
          <w:highlight w:val="none"/>
        </w:rPr>
        <w:t>1、本需求的货物品牌型号、技术参数及其性能（配置）仅起参考作用，投标人可选用其他品牌型号替代，但这些替代的产品要实质上相当于或优于参考品牌型号及其技术参数性能（配置）要求。</w:t>
      </w:r>
    </w:p>
    <w:p>
      <w:pPr>
        <w:spacing w:line="400" w:lineRule="exact"/>
        <w:ind w:left="6" w:firstLine="431"/>
        <w:rPr>
          <w:rFonts w:ascii="宋体" w:hAnsi="宋体" w:cs="宋体"/>
          <w:b w:val="0"/>
          <w:bCs w:val="0"/>
          <w:color w:val="auto"/>
          <w:szCs w:val="21"/>
          <w:highlight w:val="none"/>
        </w:rPr>
      </w:pPr>
      <w:r>
        <w:rPr>
          <w:rFonts w:ascii="宋体" w:hAnsi="宋体" w:cs="宋体"/>
          <w:b w:val="0"/>
          <w:bCs w:val="0"/>
          <w:color w:val="auto"/>
          <w:szCs w:val="21"/>
          <w:highlight w:val="none"/>
        </w:rPr>
        <w:t>2、本需求中参考品牌型号规格及技术参数不明确或有误的，或投标人选用其他品牌型号替代的，请以详细、正确的品牌型号、技术参数（配置）同时填写投标报价明细表和商务、技术响应偏离表。技术响应偏离表须按技术参数及配置要求一一对应响应。</w:t>
      </w:r>
    </w:p>
    <w:p>
      <w:pPr>
        <w:spacing w:line="400" w:lineRule="exact"/>
        <w:ind w:left="6" w:firstLine="431"/>
        <w:rPr>
          <w:rFonts w:ascii="宋体" w:hAnsi="宋体" w:cs="宋体"/>
          <w:b w:val="0"/>
          <w:bCs w:val="0"/>
          <w:color w:val="auto"/>
          <w:szCs w:val="21"/>
          <w:highlight w:val="none"/>
        </w:rPr>
      </w:pPr>
      <w:r>
        <w:rPr>
          <w:rFonts w:ascii="宋体" w:hAnsi="宋体" w:cs="宋体"/>
          <w:b w:val="0"/>
          <w:bCs w:val="0"/>
          <w:color w:val="auto"/>
          <w:szCs w:val="21"/>
          <w:highlight w:val="none"/>
        </w:rPr>
        <w:t>3、凡在“技术参数及性能（配置）要求”中表述为“标配”或“标准配置”的设备，投标人应在投标报价明细表中将其标配参数详细列明。</w:t>
      </w:r>
    </w:p>
    <w:p>
      <w:pPr>
        <w:spacing w:line="400" w:lineRule="exact"/>
        <w:ind w:left="6" w:firstLine="431"/>
        <w:rPr>
          <w:rFonts w:hint="eastAsia" w:ascii="宋体" w:hAnsi="宋体" w:eastAsia="宋体" w:cs="宋体"/>
          <w:b w:val="0"/>
          <w:bCs w:val="0"/>
          <w:color w:val="auto"/>
          <w:szCs w:val="21"/>
          <w:highlight w:val="none"/>
          <w:lang w:eastAsia="zh-CN"/>
        </w:rPr>
      </w:pPr>
      <w:r>
        <w:rPr>
          <w:rFonts w:ascii="宋体" w:hAnsi="宋体" w:cs="宋体"/>
          <w:b w:val="0"/>
          <w:bCs w:val="0"/>
          <w:color w:val="auto"/>
          <w:szCs w:val="21"/>
          <w:highlight w:val="none"/>
        </w:rPr>
        <w:t>4、本一览表“技术参数及性能（配置）要求”中的</w:t>
      </w:r>
      <w:r>
        <w:rPr>
          <w:rFonts w:hint="eastAsia" w:ascii="宋体" w:hAnsi="宋体" w:eastAsia="宋体" w:cs="宋体"/>
          <w:b w:val="0"/>
          <w:bCs w:val="0"/>
          <w:color w:val="auto"/>
          <w:szCs w:val="22"/>
          <w:highlight w:val="none"/>
        </w:rPr>
        <w:t>★</w:t>
      </w:r>
      <w:r>
        <w:rPr>
          <w:rFonts w:ascii="宋体" w:hAnsi="宋体" w:cs="宋体"/>
          <w:b w:val="0"/>
          <w:bCs w:val="0"/>
          <w:color w:val="auto"/>
          <w:szCs w:val="21"/>
          <w:highlight w:val="none"/>
        </w:rPr>
        <w:t>参数为必须响应的实质性要求，</w:t>
      </w:r>
      <w:r>
        <w:rPr>
          <w:rFonts w:hint="eastAsia" w:ascii="宋体" w:hAnsi="宋体" w:cs="宋体"/>
          <w:b w:val="0"/>
          <w:bCs w:val="0"/>
          <w:color w:val="auto"/>
          <w:szCs w:val="21"/>
          <w:highlight w:val="none"/>
        </w:rPr>
        <w:t>竞标人</w:t>
      </w:r>
      <w:r>
        <w:rPr>
          <w:rFonts w:ascii="宋体" w:hAnsi="宋体" w:cs="宋体"/>
          <w:b w:val="0"/>
          <w:bCs w:val="0"/>
          <w:color w:val="auto"/>
          <w:szCs w:val="21"/>
          <w:highlight w:val="none"/>
        </w:rPr>
        <w:t>必须</w:t>
      </w:r>
      <w:r>
        <w:rPr>
          <w:rFonts w:hint="eastAsia" w:ascii="宋体" w:hAnsi="宋体" w:cs="宋体"/>
          <w:b w:val="0"/>
          <w:bCs w:val="0"/>
          <w:color w:val="auto"/>
          <w:szCs w:val="21"/>
          <w:highlight w:val="none"/>
        </w:rPr>
        <w:t>完全</w:t>
      </w:r>
      <w:r>
        <w:rPr>
          <w:rFonts w:ascii="宋体" w:hAnsi="宋体" w:cs="宋体"/>
          <w:b w:val="0"/>
          <w:bCs w:val="0"/>
          <w:color w:val="auto"/>
          <w:szCs w:val="21"/>
          <w:highlight w:val="none"/>
        </w:rPr>
        <w:t>响应</w:t>
      </w:r>
      <w:r>
        <w:rPr>
          <w:rFonts w:hint="eastAsia" w:ascii="宋体" w:hAnsi="宋体" w:cs="宋体"/>
          <w:b w:val="0"/>
          <w:bCs w:val="0"/>
          <w:color w:val="auto"/>
          <w:szCs w:val="21"/>
          <w:highlight w:val="none"/>
          <w:lang w:eastAsia="zh-CN"/>
        </w:rPr>
        <w:t>，否则竞标无效。</w:t>
      </w:r>
    </w:p>
    <w:p>
      <w:pPr>
        <w:spacing w:line="400" w:lineRule="exact"/>
        <w:ind w:left="6" w:firstLine="431"/>
        <w:rPr>
          <w:rFonts w:hint="eastAsia" w:ascii="宋体" w:hAnsi="宋体" w:cs="宋体"/>
          <w:b w:val="0"/>
          <w:bCs w:val="0"/>
          <w:color w:val="auto"/>
          <w:szCs w:val="21"/>
          <w:highlight w:val="none"/>
        </w:rPr>
      </w:pPr>
      <w:r>
        <w:rPr>
          <w:rFonts w:ascii="宋体" w:hAnsi="宋体" w:cs="宋体"/>
          <w:b w:val="0"/>
          <w:bCs w:val="0"/>
          <w:color w:val="auto"/>
          <w:szCs w:val="21"/>
          <w:highlight w:val="none"/>
        </w:rPr>
        <w:t>5、本项目采购预算：</w:t>
      </w:r>
      <w:r>
        <w:rPr>
          <w:rFonts w:hint="eastAsia" w:ascii="宋体" w:hAnsi="宋体" w:cs="宋体"/>
          <w:b w:val="0"/>
          <w:bCs w:val="0"/>
          <w:color w:val="auto"/>
          <w:szCs w:val="21"/>
          <w:highlight w:val="none"/>
        </w:rPr>
        <w:t>￥1,266,251.67元</w:t>
      </w:r>
      <w:r>
        <w:rPr>
          <w:rFonts w:ascii="宋体" w:hAnsi="宋体" w:cs="宋体"/>
          <w:b w:val="0"/>
          <w:bCs w:val="0"/>
          <w:color w:val="auto"/>
          <w:szCs w:val="21"/>
          <w:highlight w:val="none"/>
        </w:rPr>
        <w:t>。</w:t>
      </w:r>
    </w:p>
    <w:p>
      <w:pPr>
        <w:spacing w:line="400" w:lineRule="exact"/>
        <w:jc w:val="left"/>
        <w:rPr>
          <w:rFonts w:ascii="宋体" w:hAnsi="宋体" w:cs="宋体"/>
          <w:b w:val="0"/>
          <w:bCs w:val="0"/>
          <w:color w:val="auto"/>
          <w:kern w:val="0"/>
          <w:szCs w:val="21"/>
          <w:highlight w:val="none"/>
        </w:rPr>
      </w:pPr>
      <w:r>
        <w:rPr>
          <w:rFonts w:hint="eastAsia" w:ascii="宋体" w:hAnsi="宋体"/>
          <w:b w:val="0"/>
          <w:bCs w:val="0"/>
          <w:color w:val="auto"/>
          <w:szCs w:val="21"/>
          <w:highlight w:val="none"/>
        </w:rPr>
        <w:t>▲</w:t>
      </w:r>
      <w:r>
        <w:rPr>
          <w:rFonts w:hint="eastAsia" w:ascii="宋体" w:hAnsi="宋体" w:cs="宋体"/>
          <w:b w:val="0"/>
          <w:bCs w:val="0"/>
          <w:color w:val="auto"/>
          <w:szCs w:val="21"/>
          <w:highlight w:val="none"/>
        </w:rPr>
        <w:t>二、采购需求</w:t>
      </w:r>
    </w:p>
    <w:p>
      <w:pPr>
        <w:spacing w:line="360" w:lineRule="auto"/>
        <w:rPr>
          <w:rFonts w:hint="eastAsia" w:ascii="宋体" w:hAnsi="宋体"/>
          <w:b w:val="0"/>
          <w:bCs w:val="0"/>
          <w:color w:val="auto"/>
          <w:szCs w:val="21"/>
          <w:highlight w:val="none"/>
        </w:rPr>
      </w:pPr>
      <w:r>
        <w:rPr>
          <w:rFonts w:hint="eastAsia" w:ascii="宋体" w:hAnsi="宋体"/>
          <w:b w:val="0"/>
          <w:bCs w:val="0"/>
          <w:color w:val="auto"/>
          <w:szCs w:val="21"/>
          <w:highlight w:val="none"/>
        </w:rPr>
        <w:t xml:space="preserve"> 项目名称：梧州市人民警察训练学校电梯设备及附属工程项目</w:t>
      </w:r>
    </w:p>
    <w:p>
      <w:pPr>
        <w:spacing w:line="360" w:lineRule="auto"/>
        <w:rPr>
          <w:rFonts w:hint="eastAsia" w:ascii="宋体" w:hAnsi="宋体"/>
          <w:b w:val="0"/>
          <w:bCs w:val="0"/>
          <w:color w:val="auto"/>
          <w:szCs w:val="21"/>
          <w:highlight w:val="none"/>
          <w:lang w:eastAsia="zh-CN"/>
        </w:rPr>
      </w:pPr>
      <w:r>
        <w:rPr>
          <w:rFonts w:hint="eastAsia" w:ascii="宋体" w:hAnsi="宋体"/>
          <w:b w:val="0"/>
          <w:bCs w:val="0"/>
          <w:color w:val="auto"/>
          <w:szCs w:val="21"/>
          <w:highlight w:val="none"/>
        </w:rPr>
        <w:t>二、采购范围：梧州市人民警察训练学校电梯设备及附属工程项目包含：拆除工程、电梯井道整改工程、建筑装饰装修工程、电梯采购及安装工程（8层L1电梯1部、8层L2-L3电梯2部、智慧电梯管理系统3套）</w:t>
      </w:r>
      <w:r>
        <w:rPr>
          <w:rFonts w:hint="eastAsia" w:ascii="宋体" w:hAnsi="宋体"/>
          <w:b w:val="0"/>
          <w:bCs w:val="0"/>
          <w:color w:val="auto"/>
          <w:szCs w:val="21"/>
          <w:highlight w:val="none"/>
          <w:lang w:eastAsia="zh-CN"/>
        </w:rPr>
        <w:t>。</w:t>
      </w:r>
      <w:r>
        <w:rPr>
          <w:rFonts w:hint="eastAsia" w:ascii="宋体" w:hAnsi="宋体"/>
          <w:b w:val="0"/>
          <w:bCs w:val="0"/>
          <w:color w:val="auto"/>
          <w:szCs w:val="21"/>
          <w:highlight w:val="none"/>
        </w:rPr>
        <w:t>拆除工程、电梯井道整改工程、建筑装饰装修工程</w:t>
      </w:r>
      <w:r>
        <w:rPr>
          <w:rFonts w:hint="eastAsia" w:ascii="宋体" w:hAnsi="宋体"/>
          <w:b w:val="0"/>
          <w:bCs w:val="0"/>
          <w:color w:val="auto"/>
          <w:szCs w:val="21"/>
          <w:highlight w:val="none"/>
          <w:lang w:eastAsia="zh-CN"/>
        </w:rPr>
        <w:t>详见附件工程量清单</w:t>
      </w:r>
      <w:r>
        <w:rPr>
          <w:rFonts w:hint="eastAsia" w:ascii="宋体" w:hAnsi="宋体" w:eastAsia="宋体"/>
          <w:b w:val="0"/>
          <w:bCs w:val="0"/>
          <w:color w:val="auto"/>
          <w:szCs w:val="21"/>
          <w:highlight w:val="none"/>
          <w:lang w:eastAsia="zh-CN"/>
        </w:rPr>
        <w:t>及施工图纸</w:t>
      </w:r>
      <w:r>
        <w:rPr>
          <w:rFonts w:hint="eastAsia" w:ascii="宋体" w:hAnsi="宋体"/>
          <w:b w:val="0"/>
          <w:bCs w:val="0"/>
          <w:color w:val="auto"/>
          <w:szCs w:val="21"/>
          <w:highlight w:val="none"/>
          <w:lang w:eastAsia="zh-CN"/>
        </w:rPr>
        <w:t>。</w:t>
      </w:r>
    </w:p>
    <w:p>
      <w:pPr>
        <w:spacing w:line="360" w:lineRule="auto"/>
        <w:rPr>
          <w:rFonts w:hint="default" w:ascii="宋体" w:hAnsi="宋体" w:eastAsia="宋体"/>
          <w:b w:val="0"/>
          <w:bCs w:val="0"/>
          <w:color w:val="auto"/>
          <w:szCs w:val="21"/>
          <w:highlight w:val="none"/>
          <w:lang w:val="en-US" w:eastAsia="zh-CN"/>
        </w:rPr>
      </w:pPr>
      <w:r>
        <w:rPr>
          <w:rFonts w:hint="eastAsia" w:ascii="宋体" w:hAnsi="宋体"/>
          <w:b/>
          <w:bCs/>
          <w:color w:val="auto"/>
          <w:szCs w:val="21"/>
          <w:highlight w:val="none"/>
          <w:lang w:eastAsia="zh-CN"/>
        </w:rPr>
        <w:t>注：由于政采云不能上传</w:t>
      </w:r>
      <w:r>
        <w:rPr>
          <w:rFonts w:hint="eastAsia" w:ascii="宋体" w:hAnsi="宋体"/>
          <w:b/>
          <w:bCs/>
          <w:color w:val="auto"/>
          <w:szCs w:val="21"/>
          <w:highlight w:val="none"/>
          <w:lang w:val="en-US" w:eastAsia="zh-CN"/>
        </w:rPr>
        <w:t>.PDF文档，所以在下载采购文件及附件后请将“梧州市人民警察训练学校电梯设备及附属工程项目施工设计图.doc”、“梧州市人民警察训练学校电梯设备及附属工程项目招标工程量清单.doc”的后缀名更改为“.PDF”。</w:t>
      </w:r>
    </w:p>
    <w:p>
      <w:pPr>
        <w:spacing w:line="360" w:lineRule="auto"/>
        <w:rPr>
          <w:rFonts w:hint="eastAsia" w:ascii="宋体" w:hAnsi="宋体"/>
          <w:b w:val="0"/>
          <w:bCs w:val="0"/>
          <w:color w:val="auto"/>
          <w:szCs w:val="21"/>
          <w:highlight w:val="none"/>
        </w:rPr>
      </w:pPr>
      <w:r>
        <w:rPr>
          <w:rFonts w:hint="eastAsia" w:ascii="宋体" w:hAnsi="宋体"/>
          <w:b w:val="0"/>
          <w:bCs w:val="0"/>
          <w:color w:val="auto"/>
          <w:szCs w:val="21"/>
          <w:highlight w:val="none"/>
        </w:rPr>
        <w:t>三、承包方式：包工包料。</w:t>
      </w:r>
    </w:p>
    <w:p>
      <w:pPr>
        <w:spacing w:line="360" w:lineRule="auto"/>
        <w:rPr>
          <w:rFonts w:hint="eastAsia" w:ascii="宋体" w:hAnsi="宋体"/>
          <w:b w:val="0"/>
          <w:bCs w:val="0"/>
          <w:color w:val="auto"/>
          <w:szCs w:val="21"/>
          <w:highlight w:val="none"/>
        </w:rPr>
      </w:pPr>
      <w:r>
        <w:rPr>
          <w:rFonts w:hint="eastAsia" w:ascii="宋体" w:hAnsi="宋体"/>
          <w:b w:val="0"/>
          <w:bCs w:val="0"/>
          <w:color w:val="auto"/>
          <w:szCs w:val="21"/>
          <w:highlight w:val="none"/>
        </w:rPr>
        <w:t>四、质量要求：达到国家工程施工验收规范合格标准。</w:t>
      </w:r>
    </w:p>
    <w:p>
      <w:pPr>
        <w:spacing w:line="360" w:lineRule="auto"/>
        <w:rPr>
          <w:rFonts w:hint="eastAsia" w:ascii="宋体" w:hAnsi="宋体"/>
          <w:b w:val="0"/>
          <w:bCs w:val="0"/>
          <w:color w:val="auto"/>
          <w:szCs w:val="21"/>
          <w:highlight w:val="none"/>
        </w:rPr>
      </w:pPr>
      <w:r>
        <w:rPr>
          <w:rFonts w:hint="eastAsia" w:ascii="宋体" w:hAnsi="宋体"/>
          <w:b w:val="0"/>
          <w:bCs w:val="0"/>
          <w:color w:val="auto"/>
          <w:szCs w:val="21"/>
          <w:highlight w:val="none"/>
        </w:rPr>
        <w:t>五、工期：合同签订后 15 日历天。</w:t>
      </w:r>
    </w:p>
    <w:p>
      <w:pPr>
        <w:spacing w:line="360" w:lineRule="auto"/>
        <w:rPr>
          <w:rFonts w:hint="eastAsia" w:ascii="宋体" w:hAnsi="宋体"/>
          <w:b w:val="0"/>
          <w:bCs w:val="0"/>
          <w:color w:val="auto"/>
          <w:szCs w:val="21"/>
          <w:highlight w:val="none"/>
        </w:rPr>
      </w:pPr>
      <w:r>
        <w:rPr>
          <w:rFonts w:hint="eastAsia" w:ascii="宋体" w:hAnsi="宋体"/>
          <w:b w:val="0"/>
          <w:bCs w:val="0"/>
          <w:color w:val="auto"/>
          <w:szCs w:val="21"/>
          <w:highlight w:val="none"/>
        </w:rPr>
        <w:t>六、本工程预算价：人民币壹佰贰拾陆万陆仟贰佰伍拾壹元陆角柒分（￥1,266,251.67元），预算价包含规费、增值税。工程发包方式为包工包料，竞标计价方式采用工程量清单计价方式，施工合同价款采用综合单价固定，工程量按实际结算。</w:t>
      </w:r>
    </w:p>
    <w:tbl>
      <w:tblPr>
        <w:tblStyle w:val="3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6"/>
        <w:gridCol w:w="846"/>
        <w:gridCol w:w="1094"/>
        <w:gridCol w:w="7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426" w:type="dxa"/>
            <w:tcBorders>
              <w:top w:val="single" w:color="auto" w:sz="4" w:space="0"/>
              <w:bottom w:val="single" w:color="auto" w:sz="4" w:space="0"/>
              <w:right w:val="single" w:color="auto" w:sz="4" w:space="0"/>
            </w:tcBorders>
            <w:noWrap w:val="0"/>
            <w:vAlign w:val="center"/>
          </w:tcPr>
          <w:p>
            <w:pPr>
              <w:jc w:val="center"/>
              <w:rPr>
                <w:rFonts w:hAnsi="宋体" w:cs="宋体"/>
                <w:color w:val="auto"/>
                <w:highlight w:val="none"/>
              </w:rPr>
            </w:pPr>
            <w:r>
              <w:rPr>
                <w:rFonts w:hint="eastAsia" w:hAnsi="宋体" w:cs="宋体"/>
                <w:color w:val="auto"/>
                <w:highlight w:val="none"/>
              </w:rPr>
              <w:t>货物</w:t>
            </w:r>
          </w:p>
          <w:p>
            <w:pPr>
              <w:jc w:val="center"/>
              <w:rPr>
                <w:rFonts w:hAnsi="宋体"/>
                <w:color w:val="auto"/>
                <w:highlight w:val="none"/>
              </w:rPr>
            </w:pPr>
            <w:r>
              <w:rPr>
                <w:rFonts w:hint="eastAsia" w:hAnsi="宋体" w:cs="宋体"/>
                <w:color w:val="auto"/>
                <w:highlight w:val="none"/>
              </w:rPr>
              <w:t>名称</w:t>
            </w:r>
          </w:p>
        </w:tc>
        <w:tc>
          <w:tcPr>
            <w:tcW w:w="846"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olor w:val="auto"/>
                <w:highlight w:val="none"/>
              </w:rPr>
            </w:pPr>
            <w:r>
              <w:rPr>
                <w:rFonts w:hint="eastAsia" w:hAnsi="宋体" w:cs="宋体"/>
                <w:color w:val="auto"/>
                <w:highlight w:val="none"/>
              </w:rPr>
              <w:t>数量（台）</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rPr>
                <w:rFonts w:hAnsi="宋体"/>
                <w:color w:val="auto"/>
                <w:highlight w:val="none"/>
              </w:rPr>
            </w:pPr>
            <w:r>
              <w:rPr>
                <w:rFonts w:hint="eastAsia" w:hAnsi="宋体" w:cs="宋体"/>
                <w:color w:val="auto"/>
                <w:highlight w:val="none"/>
              </w:rPr>
              <w:t>参考型号、规格</w:t>
            </w:r>
          </w:p>
        </w:tc>
        <w:tc>
          <w:tcPr>
            <w:tcW w:w="7020" w:type="dxa"/>
            <w:tcBorders>
              <w:top w:val="single" w:color="auto" w:sz="4" w:space="0"/>
              <w:left w:val="single" w:color="auto" w:sz="4" w:space="0"/>
              <w:bottom w:val="single" w:color="auto" w:sz="4" w:space="0"/>
            </w:tcBorders>
            <w:noWrap w:val="0"/>
            <w:vAlign w:val="center"/>
          </w:tcPr>
          <w:p>
            <w:pPr>
              <w:jc w:val="center"/>
              <w:rPr>
                <w:rFonts w:hAnsi="宋体"/>
                <w:color w:val="auto"/>
                <w:highlight w:val="none"/>
              </w:rPr>
            </w:pPr>
            <w:r>
              <w:rPr>
                <w:rFonts w:hint="eastAsia" w:hAnsi="宋体" w:cs="宋体"/>
                <w:color w:val="auto"/>
                <w:highlight w:val="none"/>
              </w:rPr>
              <w:t>主要技术参数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2" w:hRule="atLeast"/>
          <w:jc w:val="center"/>
        </w:trPr>
        <w:tc>
          <w:tcPr>
            <w:tcW w:w="426" w:type="dxa"/>
            <w:tcBorders>
              <w:top w:val="single" w:color="auto" w:sz="4" w:space="0"/>
              <w:bottom w:val="single" w:color="auto" w:sz="4" w:space="0"/>
              <w:right w:val="single" w:color="auto" w:sz="4" w:space="0"/>
            </w:tcBorders>
            <w:noWrap w:val="0"/>
            <w:vAlign w:val="center"/>
          </w:tcPr>
          <w:p>
            <w:pPr>
              <w:spacing w:line="360" w:lineRule="auto"/>
              <w:jc w:val="center"/>
              <w:rPr>
                <w:rFonts w:hint="eastAsia" w:hAnsi="宋体" w:cs="宋体"/>
                <w:color w:val="auto"/>
                <w:highlight w:val="none"/>
              </w:rPr>
            </w:pPr>
            <w:r>
              <w:rPr>
                <w:rFonts w:hint="eastAsia"/>
                <w:color w:val="auto"/>
                <w:sz w:val="24"/>
                <w:szCs w:val="24"/>
                <w:highlight w:val="none"/>
              </w:rPr>
              <w:t>客梯兼无障碍电梯</w:t>
            </w:r>
          </w:p>
          <w:p>
            <w:pPr>
              <w:spacing w:line="360" w:lineRule="auto"/>
              <w:jc w:val="center"/>
              <w:rPr>
                <w:rFonts w:hAnsi="宋体" w:cs="宋体"/>
                <w:color w:val="auto"/>
                <w:highlight w:val="none"/>
              </w:rPr>
            </w:pPr>
          </w:p>
        </w:tc>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highlight w:val="none"/>
              </w:rPr>
            </w:pPr>
            <w:r>
              <w:rPr>
                <w:rFonts w:hint="eastAsia" w:hAnsi="宋体" w:cs="宋体"/>
                <w:color w:val="auto"/>
                <w:highlight w:val="none"/>
                <w:lang w:val="en-US" w:eastAsia="zh-CN"/>
              </w:rPr>
              <w:t>1</w:t>
            </w:r>
            <w:r>
              <w:rPr>
                <w:rFonts w:hint="eastAsia" w:hAnsi="宋体" w:cs="宋体"/>
                <w:color w:val="auto"/>
                <w:highlight w:val="none"/>
              </w:rPr>
              <w:t>台</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spacing w:before="240" w:line="360" w:lineRule="auto"/>
              <w:jc w:val="center"/>
              <w:rPr>
                <w:rFonts w:hAnsi="宋体" w:cs="宋体"/>
                <w:color w:val="auto"/>
                <w:highlight w:val="none"/>
              </w:rPr>
            </w:pPr>
            <w:r>
              <w:rPr>
                <w:rFonts w:hint="eastAsia" w:cs="宋体"/>
                <w:color w:val="auto"/>
                <w:szCs w:val="21"/>
                <w:highlight w:val="none"/>
              </w:rPr>
              <w:t>电梯品质要求不低电梯设备参数要求等于或高于图纸设计要求</w:t>
            </w:r>
          </w:p>
        </w:tc>
        <w:tc>
          <w:tcPr>
            <w:tcW w:w="7020"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bCs/>
                <w:color w:val="auto"/>
                <w:szCs w:val="22"/>
                <w:highlight w:val="none"/>
              </w:rPr>
              <w:t>一、基本参数及尺寸：</w:t>
            </w:r>
            <w:r>
              <w:rPr>
                <w:rFonts w:hint="eastAsia" w:ascii="宋体" w:hAnsi="宋体" w:eastAsia="宋体" w:cs="宋体"/>
                <w:b w:val="0"/>
                <w:bCs w:val="0"/>
                <w:color w:val="auto"/>
                <w:szCs w:val="22"/>
                <w:highlight w:val="none"/>
              </w:rPr>
              <w:br w:type="textWrapping"/>
            </w:r>
            <w:r>
              <w:rPr>
                <w:rFonts w:hint="eastAsia" w:ascii="宋体" w:hAnsi="宋体" w:eastAsia="宋体" w:cs="宋体"/>
                <w:b w:val="0"/>
                <w:bCs w:val="0"/>
                <w:color w:val="auto"/>
                <w:szCs w:val="22"/>
                <w:highlight w:val="none"/>
              </w:rPr>
              <w:t>1、电梯类型：1台</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★2、载重量：≥1050公斤</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★3、速度：≥1.75米/秒</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4、停层站：8/8/8</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5、提升高度：27.20米</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6、底坑净深：1450 mm，顶层高度3950 mm</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7、井道尺寸宽×深：≥2100mm×1960mm</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★8、轿厢尺寸宽×深：≥1600mm×1400mm</w:t>
            </w:r>
            <w:r>
              <w:rPr>
                <w:rFonts w:hint="eastAsia" w:ascii="宋体" w:hAnsi="宋体" w:eastAsia="宋体" w:cs="宋体"/>
                <w:b w:val="0"/>
                <w:bCs w:val="0"/>
                <w:color w:val="auto"/>
                <w:szCs w:val="22"/>
                <w:highlight w:val="none"/>
              </w:rPr>
              <w:br w:type="textWrapping"/>
            </w:r>
            <w:r>
              <w:rPr>
                <w:rFonts w:hint="eastAsia" w:ascii="宋体" w:hAnsi="宋体" w:eastAsia="宋体" w:cs="宋体"/>
                <w:b w:val="0"/>
                <w:bCs w:val="0"/>
                <w:color w:val="auto"/>
                <w:szCs w:val="22"/>
                <w:highlight w:val="none"/>
              </w:rPr>
              <w:t>注明：</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★1、电梯净开门尺寸：900mm×2100mm（注：建筑尺寸以现场尺寸为准）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★2、载重不含200Kg电梯轿厢内的装饰；轿厢内净高度2.45米。</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3、客梯兼无障碍电梯、消防电梯担架电梯按要求设计。</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hAnsi="宋体" w:eastAsia="宋体" w:cs="宋体"/>
                <w:b w:val="0"/>
                <w:bCs w:val="0"/>
                <w:color w:val="auto"/>
                <w:szCs w:val="22"/>
                <w:highlight w:val="none"/>
                <w:lang w:val="en-US" w:eastAsia="zh-CN"/>
              </w:rPr>
              <w:t>4</w:t>
            </w:r>
            <w:r>
              <w:rPr>
                <w:rFonts w:hint="eastAsia" w:ascii="宋体" w:hAnsi="宋体" w:eastAsia="宋体" w:cs="宋体"/>
                <w:b w:val="0"/>
                <w:bCs w:val="0"/>
                <w:color w:val="auto"/>
                <w:szCs w:val="22"/>
                <w:highlight w:val="none"/>
                <w:lang w:val="en-US" w:eastAsia="zh-CN"/>
              </w:rPr>
              <w:t>、</w:t>
            </w:r>
            <w:r>
              <w:rPr>
                <w:rFonts w:hint="eastAsia" w:ascii="宋体" w:hAnsi="宋体" w:eastAsia="宋体" w:cs="宋体"/>
                <w:b w:val="0"/>
                <w:bCs w:val="0"/>
                <w:color w:val="auto"/>
                <w:szCs w:val="22"/>
                <w:highlight w:val="none"/>
              </w:rPr>
              <w:t>动力电源范围：交流电源： AC380V±7%，50Hz±1Hz。</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lang w:eastAsia="zh-CN"/>
              </w:rPr>
            </w:pPr>
            <w:r>
              <w:rPr>
                <w:rFonts w:hint="eastAsia" w:hAnsi="宋体" w:eastAsia="宋体" w:cs="宋体"/>
                <w:b w:val="0"/>
                <w:bCs w:val="0"/>
                <w:color w:val="auto"/>
                <w:szCs w:val="22"/>
                <w:highlight w:val="none"/>
                <w:lang w:val="en-US" w:eastAsia="zh-CN"/>
              </w:rPr>
              <w:t>5</w:t>
            </w:r>
            <w:r>
              <w:rPr>
                <w:rFonts w:hint="eastAsia" w:ascii="宋体" w:hAnsi="宋体" w:eastAsia="宋体" w:cs="宋体"/>
                <w:b w:val="0"/>
                <w:bCs w:val="0"/>
                <w:color w:val="auto"/>
                <w:szCs w:val="22"/>
                <w:highlight w:val="none"/>
              </w:rPr>
              <w:t>、供电方式：三相五线制</w:t>
            </w:r>
            <w:r>
              <w:rPr>
                <w:rFonts w:hint="eastAsia" w:ascii="宋体" w:hAnsi="宋体" w:eastAsia="宋体" w:cs="宋体"/>
                <w:b w:val="0"/>
                <w:bCs w:val="0"/>
                <w:color w:val="auto"/>
                <w:szCs w:val="22"/>
                <w:highlight w:val="none"/>
              </w:rPr>
              <w:br w:type="textWrapping"/>
            </w:r>
            <w:r>
              <w:rPr>
                <w:rFonts w:hint="eastAsia" w:ascii="宋体" w:hAnsi="宋体" w:eastAsia="宋体" w:cs="宋体"/>
                <w:b/>
                <w:bCs/>
                <w:color w:val="auto"/>
                <w:szCs w:val="22"/>
                <w:highlight w:val="none"/>
              </w:rPr>
              <w:t>二、主要系统及部件要求</w:t>
            </w:r>
            <w:r>
              <w:rPr>
                <w:rFonts w:hint="eastAsia" w:hAnsi="宋体" w:eastAsia="宋体" w:cs="宋体"/>
                <w:b/>
                <w:bCs/>
                <w:color w:val="auto"/>
                <w:szCs w:val="22"/>
                <w:highlight w:val="none"/>
                <w:lang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★1、控制系统： 双32位微机数字网络化、模块化智能控制系统</w:t>
            </w:r>
            <w:r>
              <w:rPr>
                <w:rFonts w:hint="eastAsia" w:ascii="宋体" w:hAnsi="宋体" w:eastAsia="宋体" w:cs="宋体"/>
                <w:b w:val="0"/>
                <w:bCs w:val="0"/>
                <w:color w:val="auto"/>
                <w:szCs w:val="22"/>
                <w:highlight w:val="none"/>
                <w:lang w:eastAsia="zh-CN"/>
              </w:rPr>
              <w:t>，</w:t>
            </w:r>
            <w:r>
              <w:rPr>
                <w:rFonts w:hint="eastAsia" w:ascii="宋体" w:hAnsi="宋体" w:eastAsia="宋体" w:cs="宋体"/>
                <w:b w:val="0"/>
                <w:bCs w:val="0"/>
                <w:color w:val="auto"/>
                <w:szCs w:val="22"/>
                <w:highlight w:val="none"/>
              </w:rPr>
              <w:t xml:space="preserve">数据处理快捷，可靠性高，功能完善，且为整梯生产厂家自行生产，与整梯品牌相同。 </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★2、变频系统：全数字化网络智能电脑矢量控制、采用投标品牌交流变频调压调速（VVVF）系统</w:t>
            </w:r>
            <w:r>
              <w:rPr>
                <w:rFonts w:hint="eastAsia" w:ascii="宋体" w:hAnsi="宋体" w:eastAsia="宋体" w:cs="宋体"/>
                <w:b w:val="0"/>
                <w:bCs w:val="0"/>
                <w:color w:val="auto"/>
                <w:szCs w:val="22"/>
                <w:highlight w:val="none"/>
                <w:lang w:eastAsia="zh-CN"/>
              </w:rPr>
              <w:t>，调速装置由</w:t>
            </w:r>
            <w:r>
              <w:rPr>
                <w:rFonts w:hint="eastAsia" w:ascii="宋体" w:hAnsi="宋体" w:eastAsia="宋体" w:cs="宋体"/>
                <w:b w:val="0"/>
                <w:bCs w:val="0"/>
                <w:color w:val="auto"/>
                <w:szCs w:val="22"/>
                <w:highlight w:val="none"/>
              </w:rPr>
              <w:t>生产厂家自行生产，与整梯品牌相同。</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★3、门机系统：采用永磁同步变频低噪音门机</w:t>
            </w:r>
            <w:r>
              <w:rPr>
                <w:rFonts w:hint="eastAsia" w:ascii="宋体" w:hAnsi="宋体" w:eastAsia="宋体" w:cs="宋体"/>
                <w:b w:val="0"/>
                <w:bCs w:val="0"/>
                <w:color w:val="auto"/>
                <w:szCs w:val="22"/>
                <w:highlight w:val="none"/>
                <w:lang w:eastAsia="zh-CN"/>
              </w:rPr>
              <w:t>，</w:t>
            </w:r>
            <w:r>
              <w:rPr>
                <w:rFonts w:hint="eastAsia" w:ascii="宋体" w:hAnsi="宋体" w:eastAsia="宋体" w:cs="宋体"/>
                <w:b w:val="0"/>
                <w:bCs w:val="0"/>
                <w:color w:val="auto"/>
                <w:szCs w:val="22"/>
                <w:highlight w:val="none"/>
              </w:rPr>
              <w:t>采用投标品牌VVVF变频驱动</w:t>
            </w:r>
            <w:r>
              <w:rPr>
                <w:rFonts w:hint="eastAsia" w:ascii="宋体" w:hAnsi="宋体" w:eastAsia="宋体" w:cs="宋体"/>
                <w:b w:val="0"/>
                <w:bCs w:val="0"/>
                <w:color w:val="auto"/>
                <w:szCs w:val="22"/>
                <w:highlight w:val="none"/>
                <w:lang w:eastAsia="zh-CN"/>
              </w:rPr>
              <w:t>，</w:t>
            </w:r>
            <w:r>
              <w:rPr>
                <w:rFonts w:hint="eastAsia" w:ascii="宋体" w:hAnsi="宋体" w:eastAsia="宋体" w:cs="宋体"/>
                <w:b w:val="0"/>
                <w:bCs w:val="0"/>
                <w:color w:val="auto"/>
                <w:szCs w:val="22"/>
                <w:highlight w:val="none"/>
              </w:rPr>
              <w:t>整机必须为原厂原品牌门机系统。</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lang w:eastAsia="zh-CN"/>
              </w:rPr>
            </w:pPr>
            <w:r>
              <w:rPr>
                <w:rFonts w:hint="eastAsia" w:ascii="宋体" w:hAnsi="宋体" w:eastAsia="宋体" w:cs="宋体"/>
                <w:b w:val="0"/>
                <w:bCs w:val="0"/>
                <w:color w:val="auto"/>
                <w:szCs w:val="22"/>
                <w:highlight w:val="none"/>
              </w:rPr>
              <w:t>★4、曳引系统：采用原厂原品牌永磁同步无齿轮曳引机</w:t>
            </w:r>
            <w:r>
              <w:rPr>
                <w:rFonts w:hint="eastAsia" w:ascii="宋体" w:hAnsi="宋体" w:eastAsia="宋体" w:cs="宋体"/>
                <w:b w:val="0"/>
                <w:bCs w:val="0"/>
                <w:color w:val="auto"/>
                <w:szCs w:val="22"/>
                <w:highlight w:val="none"/>
                <w:lang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★5、通讯系统：全串行传输。</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6、机房位置：井道顶部。</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★7主机：采用投标品牌永磁同步无齿轮曳引机。</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★8、控制柜：采用投标品牌双32位全电脑模块化电梯控制系统，具有故障自诊断功能，具有故障代码显示和存储功能，并具备软件现场升级功能。</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★9、门保护系统：采用红外线光束大于等于128束光幕门保护系统；</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10、拖动绳：钢丝绳或扁平钢带，采用行业领先技术且节能环保扁平钢带技术的加分；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lang w:eastAsia="zh-CN"/>
              </w:rPr>
            </w:pPr>
            <w:r>
              <w:rPr>
                <w:rFonts w:hint="eastAsia" w:ascii="宋体" w:hAnsi="宋体" w:eastAsia="宋体" w:cs="宋体"/>
                <w:b/>
                <w:bCs/>
                <w:color w:val="auto"/>
                <w:szCs w:val="22"/>
                <w:highlight w:val="none"/>
                <w:lang w:eastAsia="zh-CN"/>
              </w:rPr>
              <w:t>三</w:t>
            </w:r>
            <w:r>
              <w:rPr>
                <w:rFonts w:hint="eastAsia" w:ascii="宋体" w:hAnsi="宋体" w:eastAsia="宋体" w:cs="宋体"/>
                <w:b/>
                <w:bCs/>
                <w:color w:val="auto"/>
                <w:szCs w:val="22"/>
                <w:highlight w:val="none"/>
              </w:rPr>
              <w:t>、轿厢装饰要求</w:t>
            </w:r>
            <w:r>
              <w:rPr>
                <w:rFonts w:hint="eastAsia" w:hAnsi="宋体" w:eastAsia="宋体" w:cs="宋体"/>
                <w:b/>
                <w:bCs/>
                <w:color w:val="auto"/>
                <w:szCs w:val="22"/>
                <w:highlight w:val="none"/>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420" w:hanging="420" w:hangingChars="20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lang w:eastAsia="zh-CN"/>
              </w:rPr>
              <w:t>（</w:t>
            </w:r>
            <w:r>
              <w:rPr>
                <w:rFonts w:hint="eastAsia" w:ascii="宋体" w:hAnsi="宋体" w:eastAsia="宋体" w:cs="宋体"/>
                <w:b w:val="0"/>
                <w:bCs w:val="0"/>
                <w:color w:val="auto"/>
                <w:szCs w:val="22"/>
                <w:highlight w:val="none"/>
                <w:lang w:val="en-US" w:eastAsia="zh-CN"/>
              </w:rPr>
              <w:t>1</w:t>
            </w:r>
            <w:r>
              <w:rPr>
                <w:rFonts w:hint="eastAsia" w:ascii="宋体" w:hAnsi="宋体" w:eastAsia="宋体" w:cs="宋体"/>
                <w:b w:val="0"/>
                <w:bCs w:val="0"/>
                <w:color w:val="auto"/>
                <w:szCs w:val="22"/>
                <w:highlight w:val="none"/>
                <w:lang w:eastAsia="zh-CN"/>
              </w:rPr>
              <w:t>）轿厢装潢</w:t>
            </w:r>
            <w:r>
              <w:rPr>
                <w:rFonts w:hint="eastAsia" w:ascii="宋体" w:hAnsi="宋体" w:eastAsia="宋体" w:cs="宋体"/>
                <w:b w:val="0"/>
                <w:bCs w:val="0"/>
                <w:color w:val="auto"/>
                <w:szCs w:val="22"/>
                <w:highlight w:val="none"/>
              </w:rPr>
              <w:br w:type="textWrapping"/>
            </w:r>
            <w:r>
              <w:rPr>
                <w:rFonts w:hint="eastAsia" w:ascii="宋体" w:hAnsi="宋体" w:eastAsia="宋体" w:cs="宋体"/>
                <w:b w:val="0"/>
                <w:bCs w:val="0"/>
                <w:color w:val="auto"/>
                <w:szCs w:val="22"/>
                <w:highlight w:val="none"/>
              </w:rPr>
              <w:t>★1、轿 厢 壁：304发纹不锈钢板（ 厚度均需≥1.2mm）。</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★2、轿门、门眉板：304发纹不锈钢板。</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3、轿厢天花：</w:t>
            </w:r>
            <w:r>
              <w:rPr>
                <w:rFonts w:hint="eastAsia" w:ascii="宋体" w:hAnsi="宋体" w:eastAsia="宋体" w:cs="宋体"/>
                <w:b w:val="0"/>
                <w:bCs w:val="0"/>
                <w:color w:val="auto"/>
                <w:szCs w:val="22"/>
                <w:highlight w:val="none"/>
                <w:lang w:eastAsia="zh-CN"/>
              </w:rPr>
              <w:t>标配</w:t>
            </w:r>
            <w:r>
              <w:rPr>
                <w:rFonts w:hint="eastAsia" w:ascii="宋体" w:hAnsi="宋体" w:eastAsia="宋体" w:cs="宋体"/>
                <w:b w:val="0"/>
                <w:bCs w:val="0"/>
                <w:color w:val="auto"/>
                <w:szCs w:val="22"/>
                <w:highlight w:val="none"/>
              </w:rPr>
              <w:t>。</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4、轿厢地面：</w:t>
            </w:r>
            <w:r>
              <w:rPr>
                <w:rFonts w:hint="eastAsia" w:ascii="宋体" w:hAnsi="宋体" w:eastAsia="宋体" w:cs="宋体"/>
                <w:b w:val="0"/>
                <w:bCs w:val="0"/>
                <w:color w:val="auto"/>
                <w:szCs w:val="22"/>
                <w:highlight w:val="none"/>
                <w:lang w:eastAsia="zh-CN"/>
              </w:rPr>
              <w:t>标配</w:t>
            </w:r>
            <w:r>
              <w:rPr>
                <w:rFonts w:hint="eastAsia" w:ascii="宋体" w:hAnsi="宋体" w:eastAsia="宋体" w:cs="宋体"/>
                <w:b w:val="0"/>
                <w:bCs w:val="0"/>
                <w:color w:val="auto"/>
                <w:szCs w:val="22"/>
                <w:highlight w:val="none"/>
              </w:rPr>
              <w:t>。</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★5、轿厢通风：低噪音风机通风，并匹配电梯专用空调。</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6、副操纵盘：提供横式操纵盘</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★7、轿厢后壁设有轿内发文不锈钢扁平扶手</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8、语音报站</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9、后壁中间镜面不锈钢</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10、盲文按钮</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color w:val="auto"/>
                <w:szCs w:val="22"/>
                <w:highlight w:val="none"/>
                <w:lang w:eastAsia="zh-CN"/>
              </w:rPr>
            </w:pPr>
            <w:r>
              <w:rPr>
                <w:rFonts w:hint="eastAsia" w:ascii="宋体" w:hAnsi="宋体" w:eastAsia="宋体" w:cs="宋体"/>
                <w:b w:val="0"/>
                <w:bCs w:val="0"/>
                <w:color w:val="auto"/>
                <w:szCs w:val="22"/>
                <w:highlight w:val="none"/>
              </w:rPr>
              <w:t>★11、轿厢内净高度2.</w:t>
            </w:r>
            <w:r>
              <w:rPr>
                <w:rFonts w:hint="eastAsia" w:ascii="宋体" w:hAnsi="宋体" w:eastAsia="宋体" w:cs="宋体"/>
                <w:b w:val="0"/>
                <w:bCs w:val="0"/>
                <w:color w:val="auto"/>
                <w:szCs w:val="22"/>
                <w:highlight w:val="none"/>
                <w:lang w:val="en-US" w:eastAsia="zh-CN"/>
              </w:rPr>
              <w:t>45</w:t>
            </w:r>
            <w:r>
              <w:rPr>
                <w:rFonts w:hint="eastAsia" w:ascii="宋体" w:hAnsi="宋体" w:eastAsia="宋体" w:cs="宋体"/>
                <w:b w:val="0"/>
                <w:bCs w:val="0"/>
                <w:color w:val="auto"/>
                <w:szCs w:val="22"/>
                <w:highlight w:val="none"/>
              </w:rPr>
              <w:t>米。</w:t>
            </w:r>
            <w:r>
              <w:rPr>
                <w:rFonts w:hint="eastAsia" w:ascii="宋体" w:hAnsi="宋体" w:eastAsia="宋体" w:cs="宋体"/>
                <w:b w:val="0"/>
                <w:bCs w:val="0"/>
                <w:color w:val="auto"/>
                <w:szCs w:val="22"/>
                <w:highlight w:val="none"/>
              </w:rPr>
              <w:br w:type="textWrapping"/>
            </w:r>
            <w:r>
              <w:rPr>
                <w:rFonts w:hint="eastAsia" w:ascii="宋体" w:hAnsi="宋体" w:eastAsia="宋体" w:cs="宋体"/>
                <w:b w:val="0"/>
                <w:bCs w:val="0"/>
                <w:color w:val="auto"/>
                <w:szCs w:val="22"/>
                <w:highlight w:val="none"/>
                <w:lang w:eastAsia="zh-CN"/>
              </w:rPr>
              <w:t>（</w:t>
            </w:r>
            <w:r>
              <w:rPr>
                <w:rFonts w:hint="eastAsia" w:ascii="宋体" w:hAnsi="宋体" w:eastAsia="宋体" w:cs="宋体"/>
                <w:b w:val="0"/>
                <w:bCs w:val="0"/>
                <w:color w:val="auto"/>
                <w:szCs w:val="22"/>
                <w:highlight w:val="none"/>
                <w:lang w:val="en-US" w:eastAsia="zh-CN"/>
              </w:rPr>
              <w:t>2</w:t>
            </w:r>
            <w:r>
              <w:rPr>
                <w:rFonts w:hint="eastAsia" w:ascii="宋体" w:hAnsi="宋体" w:eastAsia="宋体" w:cs="宋体"/>
                <w:b w:val="0"/>
                <w:bCs w:val="0"/>
                <w:color w:val="auto"/>
                <w:szCs w:val="22"/>
                <w:highlight w:val="none"/>
                <w:lang w:eastAsia="zh-CN"/>
              </w:rPr>
              <w:t>）厅门装潢</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1、开门方式：中分两扇门。</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2、净开门尺寸：900mm×2100mm</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3、轿厢净尺寸：详见电梯型号表</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4、门    套：全层为304发纹不锈钢小门套（厚度均需≥1.2mm）。</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5、厅    门：全层为304发纹不锈钢厅门（厚度均需≥1.2mm）。</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color w:val="auto"/>
                <w:szCs w:val="22"/>
                <w:highlight w:val="none"/>
                <w:lang w:eastAsia="zh-CN"/>
              </w:rPr>
            </w:pPr>
            <w:r>
              <w:rPr>
                <w:rFonts w:hint="eastAsia" w:ascii="宋体" w:hAnsi="宋体" w:eastAsia="宋体" w:cs="宋体"/>
                <w:b w:val="0"/>
                <w:bCs w:val="0"/>
                <w:color w:val="auto"/>
                <w:szCs w:val="22"/>
                <w:highlight w:val="none"/>
              </w:rPr>
              <w:t>6、轿厢地坎：高强度硬质铝合金。</w:t>
            </w:r>
            <w:r>
              <w:rPr>
                <w:rFonts w:hint="eastAsia" w:ascii="宋体" w:hAnsi="宋体" w:eastAsia="宋体" w:cs="宋体"/>
                <w:b w:val="0"/>
                <w:bCs w:val="0"/>
                <w:color w:val="auto"/>
                <w:szCs w:val="22"/>
                <w:highlight w:val="none"/>
              </w:rPr>
              <w:br w:type="textWrapping"/>
            </w:r>
            <w:r>
              <w:rPr>
                <w:rFonts w:hint="eastAsia" w:ascii="宋体" w:hAnsi="宋体" w:eastAsia="宋体" w:cs="宋体"/>
                <w:b w:val="0"/>
                <w:bCs w:val="0"/>
                <w:color w:val="auto"/>
                <w:szCs w:val="22"/>
                <w:highlight w:val="none"/>
                <w:lang w:eastAsia="zh-CN"/>
              </w:rPr>
              <w:t>（</w:t>
            </w:r>
            <w:r>
              <w:rPr>
                <w:rFonts w:hint="eastAsia" w:ascii="宋体" w:hAnsi="宋体" w:eastAsia="宋体" w:cs="宋体"/>
                <w:b w:val="0"/>
                <w:bCs w:val="0"/>
                <w:color w:val="auto"/>
                <w:szCs w:val="22"/>
                <w:highlight w:val="none"/>
                <w:lang w:val="en-US" w:eastAsia="zh-CN"/>
              </w:rPr>
              <w:t>3</w:t>
            </w:r>
            <w:r>
              <w:rPr>
                <w:rFonts w:hint="eastAsia" w:ascii="宋体" w:hAnsi="宋体" w:eastAsia="宋体" w:cs="宋体"/>
                <w:b w:val="0"/>
                <w:bCs w:val="0"/>
                <w:color w:val="auto"/>
                <w:szCs w:val="22"/>
                <w:highlight w:val="none"/>
                <w:lang w:eastAsia="zh-CN"/>
              </w:rPr>
              <w:t>）</w:t>
            </w:r>
            <w:r>
              <w:rPr>
                <w:rFonts w:hint="eastAsia" w:ascii="宋体" w:hAnsi="宋体" w:eastAsia="宋体" w:cs="宋体"/>
                <w:b w:val="0"/>
                <w:bCs w:val="0"/>
                <w:color w:val="auto"/>
                <w:szCs w:val="22"/>
                <w:highlight w:val="none"/>
              </w:rPr>
              <w:t>、轿厢、厅门召唤箱</w:t>
            </w:r>
            <w:r>
              <w:rPr>
                <w:rFonts w:hint="eastAsia" w:ascii="宋体" w:hAnsi="宋体" w:eastAsia="宋体" w:cs="宋体"/>
                <w:b w:val="0"/>
                <w:bCs w:val="0"/>
                <w:color w:val="auto"/>
                <w:szCs w:val="22"/>
                <w:highlight w:val="none"/>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★1、轿厢操作箱：高清</w:t>
            </w:r>
            <w:r>
              <w:rPr>
                <w:rFonts w:hint="eastAsia" w:hAnsi="宋体" w:eastAsia="宋体" w:cs="宋体"/>
                <w:b w:val="0"/>
                <w:bCs w:val="0"/>
                <w:color w:val="auto"/>
                <w:szCs w:val="22"/>
                <w:highlight w:val="none"/>
                <w:lang w:eastAsia="zh-CN"/>
              </w:rPr>
              <w:t>多媒体液晶</w:t>
            </w:r>
            <w:r>
              <w:rPr>
                <w:rFonts w:hint="eastAsia" w:ascii="宋体" w:hAnsi="宋体" w:eastAsia="宋体" w:cs="宋体"/>
                <w:b w:val="0"/>
                <w:bCs w:val="0"/>
                <w:color w:val="auto"/>
                <w:szCs w:val="22"/>
                <w:highlight w:val="none"/>
              </w:rPr>
              <w:t>显示屏</w:t>
            </w:r>
            <w:r>
              <w:rPr>
                <w:rFonts w:hint="eastAsia" w:ascii="宋体" w:hAnsi="宋体" w:eastAsia="宋体" w:cs="宋体"/>
                <w:b w:val="0"/>
                <w:bCs w:val="0"/>
                <w:color w:val="auto"/>
                <w:szCs w:val="22"/>
                <w:highlight w:val="none"/>
                <w:lang w:eastAsia="zh-CN"/>
              </w:rPr>
              <w:t>，显示尺寸：</w:t>
            </w:r>
            <w:r>
              <w:rPr>
                <w:rFonts w:hint="eastAsia" w:ascii="宋体" w:hAnsi="宋体" w:eastAsia="宋体" w:cs="宋体"/>
                <w:b w:val="0"/>
                <w:bCs w:val="0"/>
                <w:color w:val="auto"/>
                <w:szCs w:val="22"/>
                <w:highlight w:val="none"/>
                <w:lang w:val="en-US" w:eastAsia="zh-CN"/>
              </w:rPr>
              <w:t>381×214mm（H×V）。</w:t>
            </w:r>
            <w:r>
              <w:rPr>
                <w:rFonts w:hint="eastAsia" w:ascii="宋体" w:hAnsi="宋体" w:eastAsia="宋体" w:cs="宋体"/>
                <w:b w:val="0"/>
                <w:bCs w:val="0"/>
                <w:color w:val="auto"/>
                <w:szCs w:val="22"/>
                <w:highlight w:val="none"/>
              </w:rPr>
              <w:t>可显示电梯运行楼层、方向等信息，高灵敏度金属面微动按钮，一体式发纹不锈钢面板、断码液晶显示，带运行方向显示及楼层显示，具有通知器、警铃、紧急通话按钮</w:t>
            </w:r>
            <w:r>
              <w:rPr>
                <w:rFonts w:hint="eastAsia" w:ascii="宋体" w:hAnsi="宋体" w:eastAsia="宋体" w:cs="宋体"/>
                <w:b w:val="0"/>
                <w:bCs w:val="0"/>
                <w:color w:val="auto"/>
                <w:szCs w:val="22"/>
                <w:highlight w:val="none"/>
                <w:lang w:eastAsia="zh-CN"/>
              </w:rPr>
              <w:t>，</w:t>
            </w:r>
            <w:r>
              <w:rPr>
                <w:rFonts w:hint="eastAsia" w:ascii="宋体" w:hAnsi="宋体" w:eastAsia="宋体" w:cs="宋体"/>
                <w:b w:val="0"/>
                <w:bCs w:val="0"/>
                <w:color w:val="auto"/>
                <w:szCs w:val="22"/>
                <w:highlight w:val="none"/>
              </w:rPr>
              <w:t>款式新颖、大方。</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2、厅外召唤箱：一体式；发纹不锈钢面板、微触按钮、断码液晶显示，带运行方向显示及楼层显示。</w:t>
            </w:r>
            <w:r>
              <w:rPr>
                <w:rFonts w:hint="eastAsia" w:ascii="宋体" w:hAnsi="宋体" w:eastAsia="宋体" w:cs="宋体"/>
                <w:b w:val="0"/>
                <w:bCs w:val="0"/>
                <w:color w:val="auto"/>
                <w:szCs w:val="22"/>
                <w:highlight w:val="none"/>
              </w:rPr>
              <w:br w:type="textWrapping"/>
            </w:r>
            <w:r>
              <w:rPr>
                <w:rFonts w:hint="eastAsia" w:ascii="宋体" w:hAnsi="宋体" w:eastAsia="宋体" w:cs="宋体"/>
                <w:b w:val="0"/>
                <w:bCs w:val="0"/>
                <w:color w:val="auto"/>
                <w:szCs w:val="22"/>
                <w:highlight w:val="none"/>
                <w:lang w:eastAsia="zh-CN"/>
              </w:rPr>
              <w:t>（</w:t>
            </w:r>
            <w:r>
              <w:rPr>
                <w:rFonts w:hint="eastAsia" w:ascii="宋体" w:hAnsi="宋体" w:eastAsia="宋体" w:cs="宋体"/>
                <w:b w:val="0"/>
                <w:bCs w:val="0"/>
                <w:color w:val="auto"/>
                <w:szCs w:val="22"/>
                <w:highlight w:val="none"/>
                <w:lang w:val="en-US" w:eastAsia="zh-CN"/>
              </w:rPr>
              <w:t>4</w:t>
            </w:r>
            <w:r>
              <w:rPr>
                <w:rFonts w:hint="eastAsia" w:ascii="宋体" w:hAnsi="宋体" w:eastAsia="宋体" w:cs="宋体"/>
                <w:b w:val="0"/>
                <w:bCs w:val="0"/>
                <w:color w:val="auto"/>
                <w:szCs w:val="22"/>
                <w:highlight w:val="none"/>
                <w:lang w:eastAsia="zh-CN"/>
              </w:rPr>
              <w:t>）</w:t>
            </w:r>
            <w:r>
              <w:rPr>
                <w:rFonts w:hint="eastAsia" w:ascii="宋体" w:hAnsi="宋体" w:eastAsia="宋体" w:cs="宋体"/>
                <w:b w:val="0"/>
                <w:bCs w:val="0"/>
                <w:color w:val="auto"/>
                <w:szCs w:val="22"/>
                <w:highlight w:val="none"/>
              </w:rPr>
              <w:t>电梯运行参数（以国家电梯质量监督检验中心《特种设备型式试验合格证》相关数据予以认定）：</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425" w:leftChars="0" w:hanging="5" w:firstLineChars="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水平振动加速度：≤11 cm/s</w:t>
            </w:r>
            <w:r>
              <w:rPr>
                <w:rFonts w:hint="eastAsia" w:ascii="宋体" w:hAnsi="宋体" w:eastAsia="宋体" w:cs="宋体"/>
                <w:b w:val="0"/>
                <w:bCs w:val="0"/>
                <w:color w:val="auto"/>
                <w:szCs w:val="22"/>
                <w:highlight w:val="none"/>
                <w:lang w:val="en-US" w:eastAsia="zh-CN"/>
              </w:rPr>
              <w:t>²</w:t>
            </w:r>
            <w:r>
              <w:rPr>
                <w:rFonts w:hint="eastAsia" w:ascii="宋体" w:hAnsi="宋体" w:eastAsia="宋体" w:cs="宋体"/>
                <w:b w:val="0"/>
                <w:bCs w:val="0"/>
                <w:color w:val="auto"/>
                <w:szCs w:val="22"/>
                <w:highlight w:val="none"/>
              </w:rPr>
              <w:t>。</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425" w:leftChars="0" w:hanging="5" w:firstLineChars="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垂直振动加速度：≤8cm/s</w:t>
            </w:r>
            <w:r>
              <w:rPr>
                <w:rFonts w:hint="eastAsia" w:ascii="宋体" w:hAnsi="宋体" w:eastAsia="宋体" w:cs="宋体"/>
                <w:b w:val="0"/>
                <w:bCs w:val="0"/>
                <w:color w:val="auto"/>
                <w:szCs w:val="22"/>
                <w:highlight w:val="none"/>
                <w:lang w:val="en-US" w:eastAsia="zh-CN"/>
              </w:rPr>
              <w:t>²</w:t>
            </w:r>
            <w:r>
              <w:rPr>
                <w:rFonts w:hint="eastAsia" w:ascii="宋体" w:hAnsi="宋体" w:eastAsia="宋体" w:cs="宋体"/>
                <w:b w:val="0"/>
                <w:bCs w:val="0"/>
                <w:color w:val="auto"/>
                <w:szCs w:val="22"/>
                <w:highlight w:val="none"/>
              </w:rPr>
              <w:t>。</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425" w:leftChars="0" w:hanging="5" w:firstLineChars="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机房噪声：≤70dB。</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425" w:leftChars="0" w:hanging="5" w:firstLineChars="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最大开关门噪声：≤</w:t>
            </w:r>
            <w:r>
              <w:rPr>
                <w:rFonts w:hint="eastAsia" w:ascii="宋体" w:hAnsi="宋体" w:eastAsia="宋体" w:cs="宋体"/>
                <w:b w:val="0"/>
                <w:bCs w:val="0"/>
                <w:color w:val="auto"/>
                <w:szCs w:val="22"/>
                <w:highlight w:val="none"/>
                <w:lang w:val="en-US" w:eastAsia="zh-CN"/>
              </w:rPr>
              <w:t>55</w:t>
            </w:r>
            <w:r>
              <w:rPr>
                <w:rFonts w:hint="eastAsia" w:ascii="宋体" w:hAnsi="宋体" w:eastAsia="宋体" w:cs="宋体"/>
                <w:b w:val="0"/>
                <w:bCs w:val="0"/>
                <w:color w:val="auto"/>
                <w:szCs w:val="22"/>
                <w:highlight w:val="none"/>
              </w:rPr>
              <w:t>dB。</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425" w:leftChars="0" w:hanging="5" w:firstLineChars="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轿箱内运行噪声：≤53dB。</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425" w:leftChars="0" w:hanging="5" w:firstLineChars="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平层精度：≤±5mm。</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425" w:leftChars="0" w:hanging="5" w:firstLineChars="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lang w:val="en-US" w:eastAsia="zh-CN"/>
              </w:rPr>
              <w:t>开关门时间：</w:t>
            </w:r>
            <w:r>
              <w:rPr>
                <w:rFonts w:hint="eastAsia" w:ascii="宋体" w:hAnsi="宋体" w:eastAsia="宋体" w:cs="宋体"/>
                <w:b w:val="0"/>
                <w:bCs w:val="0"/>
                <w:color w:val="auto"/>
                <w:szCs w:val="22"/>
                <w:highlight w:val="none"/>
              </w:rPr>
              <w:t>≤</w:t>
            </w:r>
            <w:r>
              <w:rPr>
                <w:rFonts w:hint="eastAsia" w:ascii="宋体" w:hAnsi="宋体" w:eastAsia="宋体" w:cs="宋体"/>
                <w:b w:val="0"/>
                <w:bCs w:val="0"/>
                <w:color w:val="auto"/>
                <w:szCs w:val="22"/>
                <w:highlight w:val="none"/>
                <w:lang w:val="en-US" w:eastAsia="zh-CN"/>
              </w:rPr>
              <w:t>2.9s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auto"/>
                <w:szCs w:val="22"/>
                <w:highlight w:val="none"/>
              </w:rPr>
            </w:pPr>
            <w:r>
              <w:rPr>
                <w:rFonts w:hint="eastAsia" w:ascii="宋体" w:hAnsi="宋体" w:eastAsia="宋体" w:cs="宋体"/>
                <w:b/>
                <w:bCs/>
                <w:color w:val="auto"/>
                <w:szCs w:val="22"/>
                <w:highlight w:val="none"/>
                <w:lang w:eastAsia="zh-CN"/>
              </w:rPr>
              <w:t>四、</w:t>
            </w:r>
            <w:r>
              <w:rPr>
                <w:rFonts w:hint="eastAsia" w:ascii="宋体" w:hAnsi="宋体" w:eastAsia="宋体" w:cs="宋体"/>
                <w:b/>
                <w:bCs/>
                <w:color w:val="auto"/>
                <w:szCs w:val="22"/>
                <w:highlight w:val="none"/>
              </w:rPr>
              <w:t>功能配置：</w:t>
            </w:r>
          </w:p>
          <w:p>
            <w:pPr>
              <w:numPr>
                <w:ilvl w:val="0"/>
                <w:numId w:val="3"/>
              </w:numPr>
              <w:ind w:left="425" w:leftChars="0" w:hanging="425" w:firstLineChars="0"/>
              <w:rPr>
                <w:rFonts w:hint="eastAsia"/>
                <w:color w:val="auto"/>
                <w:highlight w:val="none"/>
              </w:rPr>
            </w:pPr>
            <w:r>
              <w:rPr>
                <w:rFonts w:hint="eastAsia"/>
                <w:color w:val="auto"/>
                <w:highlight w:val="none"/>
              </w:rPr>
              <w:t>检修运行（轿顶、机房）</w:t>
            </w:r>
          </w:p>
          <w:p>
            <w:pPr>
              <w:numPr>
                <w:ilvl w:val="0"/>
                <w:numId w:val="3"/>
              </w:numPr>
              <w:ind w:left="425" w:leftChars="0" w:hanging="425" w:firstLineChars="0"/>
              <w:rPr>
                <w:rFonts w:hint="eastAsia"/>
                <w:color w:val="auto"/>
                <w:highlight w:val="none"/>
              </w:rPr>
            </w:pPr>
            <w:r>
              <w:rPr>
                <w:rFonts w:hint="eastAsia"/>
                <w:color w:val="auto"/>
                <w:highlight w:val="none"/>
              </w:rPr>
              <w:t>超载保护示警</w:t>
            </w:r>
          </w:p>
          <w:p>
            <w:pPr>
              <w:numPr>
                <w:ilvl w:val="0"/>
                <w:numId w:val="3"/>
              </w:numPr>
              <w:ind w:left="425" w:leftChars="0" w:hanging="425" w:firstLineChars="0"/>
              <w:rPr>
                <w:rFonts w:hint="eastAsia"/>
                <w:color w:val="auto"/>
                <w:highlight w:val="none"/>
              </w:rPr>
            </w:pPr>
            <w:r>
              <w:rPr>
                <w:rFonts w:hint="eastAsia"/>
                <w:color w:val="auto"/>
                <w:highlight w:val="none"/>
              </w:rPr>
              <w:t>上行超速保护</w:t>
            </w:r>
          </w:p>
          <w:p>
            <w:pPr>
              <w:numPr>
                <w:ilvl w:val="0"/>
                <w:numId w:val="3"/>
              </w:numPr>
              <w:ind w:left="425" w:leftChars="0" w:hanging="425" w:firstLineChars="0"/>
              <w:rPr>
                <w:rFonts w:hint="eastAsia"/>
                <w:color w:val="auto"/>
                <w:highlight w:val="none"/>
              </w:rPr>
            </w:pPr>
            <w:r>
              <w:rPr>
                <w:rFonts w:hint="eastAsia"/>
                <w:color w:val="auto"/>
                <w:highlight w:val="none"/>
              </w:rPr>
              <w:t>下行超速保护</w:t>
            </w:r>
          </w:p>
          <w:p>
            <w:pPr>
              <w:numPr>
                <w:ilvl w:val="0"/>
                <w:numId w:val="3"/>
              </w:numPr>
              <w:ind w:left="425" w:leftChars="0" w:hanging="425" w:firstLineChars="0"/>
              <w:rPr>
                <w:rFonts w:hint="eastAsia"/>
                <w:color w:val="auto"/>
                <w:highlight w:val="none"/>
              </w:rPr>
            </w:pPr>
            <w:r>
              <w:rPr>
                <w:rFonts w:hint="eastAsia"/>
                <w:color w:val="auto"/>
                <w:highlight w:val="none"/>
              </w:rPr>
              <w:t>轿内管制运行表示灯</w:t>
            </w:r>
          </w:p>
          <w:p>
            <w:pPr>
              <w:numPr>
                <w:ilvl w:val="0"/>
                <w:numId w:val="3"/>
              </w:numPr>
              <w:ind w:left="425" w:leftChars="0" w:hanging="425" w:firstLineChars="0"/>
              <w:rPr>
                <w:rFonts w:hint="eastAsia"/>
                <w:color w:val="auto"/>
                <w:highlight w:val="none"/>
              </w:rPr>
            </w:pPr>
            <w:r>
              <w:rPr>
                <w:rFonts w:hint="eastAsia"/>
                <w:color w:val="auto"/>
                <w:highlight w:val="none"/>
              </w:rPr>
              <w:t>轿内应急照明</w:t>
            </w:r>
          </w:p>
          <w:p>
            <w:pPr>
              <w:numPr>
                <w:ilvl w:val="0"/>
                <w:numId w:val="3"/>
              </w:numPr>
              <w:ind w:left="425" w:leftChars="0" w:hanging="425" w:firstLineChars="0"/>
              <w:rPr>
                <w:rFonts w:hint="eastAsia"/>
                <w:color w:val="auto"/>
                <w:highlight w:val="none"/>
              </w:rPr>
            </w:pPr>
            <w:r>
              <w:rPr>
                <w:rFonts w:hint="eastAsia"/>
                <w:color w:val="auto"/>
                <w:highlight w:val="none"/>
              </w:rPr>
              <w:t>紧急电动救援运行</w:t>
            </w:r>
          </w:p>
          <w:p>
            <w:pPr>
              <w:numPr>
                <w:ilvl w:val="0"/>
                <w:numId w:val="3"/>
              </w:numPr>
              <w:ind w:left="425" w:leftChars="0" w:hanging="425" w:firstLineChars="0"/>
              <w:rPr>
                <w:rFonts w:hint="eastAsia"/>
                <w:color w:val="auto"/>
                <w:highlight w:val="none"/>
              </w:rPr>
            </w:pPr>
            <w:r>
              <w:rPr>
                <w:rFonts w:hint="eastAsia"/>
                <w:color w:val="auto"/>
                <w:highlight w:val="none"/>
              </w:rPr>
              <w:t>抱闸动作检测反馈</w:t>
            </w:r>
          </w:p>
          <w:p>
            <w:pPr>
              <w:numPr>
                <w:ilvl w:val="0"/>
                <w:numId w:val="3"/>
              </w:numPr>
              <w:ind w:left="425" w:leftChars="0" w:hanging="425" w:firstLineChars="0"/>
              <w:rPr>
                <w:rFonts w:hint="eastAsia"/>
                <w:color w:val="auto"/>
                <w:highlight w:val="none"/>
              </w:rPr>
            </w:pPr>
            <w:r>
              <w:rPr>
                <w:rFonts w:hint="eastAsia"/>
                <w:color w:val="auto"/>
                <w:highlight w:val="none"/>
              </w:rPr>
              <w:t>轿内紧急呼叫装置</w:t>
            </w:r>
          </w:p>
          <w:p>
            <w:pPr>
              <w:numPr>
                <w:ilvl w:val="0"/>
                <w:numId w:val="3"/>
              </w:numPr>
              <w:ind w:left="425" w:leftChars="0" w:hanging="425" w:firstLineChars="0"/>
              <w:rPr>
                <w:rFonts w:hint="eastAsia"/>
                <w:color w:val="auto"/>
                <w:highlight w:val="none"/>
              </w:rPr>
            </w:pPr>
            <w:r>
              <w:rPr>
                <w:rFonts w:hint="eastAsia"/>
                <w:color w:val="auto"/>
                <w:highlight w:val="none"/>
              </w:rPr>
              <w:t>马达空转保护</w:t>
            </w:r>
          </w:p>
          <w:p>
            <w:pPr>
              <w:numPr>
                <w:ilvl w:val="0"/>
                <w:numId w:val="3"/>
              </w:numPr>
              <w:ind w:left="425" w:leftChars="0" w:hanging="425" w:firstLineChars="0"/>
              <w:rPr>
                <w:rFonts w:hint="eastAsia"/>
                <w:color w:val="auto"/>
                <w:highlight w:val="none"/>
              </w:rPr>
            </w:pPr>
            <w:r>
              <w:rPr>
                <w:rFonts w:hint="eastAsia"/>
                <w:color w:val="auto"/>
                <w:highlight w:val="none"/>
              </w:rPr>
              <w:t>门内区自动再平层</w:t>
            </w:r>
          </w:p>
          <w:p>
            <w:pPr>
              <w:numPr>
                <w:ilvl w:val="0"/>
                <w:numId w:val="3"/>
              </w:numPr>
              <w:ind w:left="425" w:leftChars="0" w:hanging="425" w:firstLineChars="0"/>
              <w:rPr>
                <w:rFonts w:hint="eastAsia"/>
                <w:color w:val="auto"/>
                <w:highlight w:val="none"/>
              </w:rPr>
            </w:pPr>
            <w:r>
              <w:rPr>
                <w:rFonts w:hint="eastAsia"/>
                <w:color w:val="auto"/>
                <w:highlight w:val="none"/>
              </w:rPr>
              <w:t>脉冲位置异常自动校正</w:t>
            </w:r>
          </w:p>
          <w:p>
            <w:pPr>
              <w:numPr>
                <w:ilvl w:val="0"/>
                <w:numId w:val="3"/>
              </w:numPr>
              <w:ind w:left="425" w:leftChars="0" w:hanging="425" w:firstLineChars="0"/>
              <w:rPr>
                <w:rFonts w:hint="eastAsia"/>
                <w:color w:val="auto"/>
                <w:highlight w:val="none"/>
              </w:rPr>
            </w:pPr>
            <w:r>
              <w:rPr>
                <w:rFonts w:hint="eastAsia"/>
                <w:color w:val="auto"/>
                <w:highlight w:val="none"/>
              </w:rPr>
              <w:t>复电后自动运行</w:t>
            </w:r>
          </w:p>
          <w:p>
            <w:pPr>
              <w:numPr>
                <w:ilvl w:val="0"/>
                <w:numId w:val="3"/>
              </w:numPr>
              <w:ind w:left="425" w:leftChars="0" w:hanging="425" w:firstLineChars="0"/>
              <w:rPr>
                <w:rFonts w:hint="eastAsia"/>
                <w:color w:val="auto"/>
                <w:highlight w:val="none"/>
              </w:rPr>
            </w:pPr>
            <w:r>
              <w:rPr>
                <w:rFonts w:hint="eastAsia"/>
                <w:color w:val="auto"/>
                <w:highlight w:val="none"/>
              </w:rPr>
              <w:t>故障低速自救运行功能</w:t>
            </w:r>
          </w:p>
          <w:p>
            <w:pPr>
              <w:numPr>
                <w:ilvl w:val="0"/>
                <w:numId w:val="3"/>
              </w:numPr>
              <w:ind w:left="425" w:leftChars="0" w:hanging="425" w:firstLineChars="0"/>
              <w:rPr>
                <w:rFonts w:hint="eastAsia"/>
                <w:color w:val="auto"/>
                <w:highlight w:val="none"/>
              </w:rPr>
            </w:pPr>
            <w:r>
              <w:rPr>
                <w:rFonts w:hint="eastAsia"/>
                <w:color w:val="auto"/>
                <w:highlight w:val="none"/>
              </w:rPr>
              <w:t>钢丝绳拉伸自动补偿功能</w:t>
            </w:r>
          </w:p>
          <w:p>
            <w:pPr>
              <w:numPr>
                <w:ilvl w:val="0"/>
                <w:numId w:val="3"/>
              </w:numPr>
              <w:ind w:left="425" w:leftChars="0" w:hanging="425" w:firstLineChars="0"/>
              <w:rPr>
                <w:rFonts w:hint="eastAsia"/>
                <w:color w:val="auto"/>
                <w:highlight w:val="none"/>
              </w:rPr>
            </w:pPr>
            <w:r>
              <w:rPr>
                <w:rFonts w:hint="eastAsia"/>
                <w:color w:val="auto"/>
                <w:highlight w:val="none"/>
              </w:rPr>
              <w:t>驱动系统温度异常检知保护</w:t>
            </w:r>
          </w:p>
          <w:p>
            <w:pPr>
              <w:numPr>
                <w:ilvl w:val="0"/>
                <w:numId w:val="3"/>
              </w:numPr>
              <w:ind w:left="425" w:leftChars="0" w:hanging="425" w:firstLineChars="0"/>
              <w:rPr>
                <w:rFonts w:hint="eastAsia"/>
                <w:color w:val="auto"/>
                <w:highlight w:val="none"/>
              </w:rPr>
            </w:pPr>
            <w:r>
              <w:rPr>
                <w:rFonts w:hint="eastAsia"/>
                <w:color w:val="auto"/>
                <w:highlight w:val="none"/>
              </w:rPr>
              <w:t>楼高尺寸自动记忆调整功能</w:t>
            </w:r>
          </w:p>
          <w:p>
            <w:pPr>
              <w:numPr>
                <w:ilvl w:val="0"/>
                <w:numId w:val="3"/>
              </w:numPr>
              <w:ind w:left="425" w:leftChars="0" w:hanging="425" w:firstLineChars="0"/>
              <w:rPr>
                <w:rFonts w:hint="eastAsia"/>
                <w:color w:val="auto"/>
                <w:highlight w:val="none"/>
              </w:rPr>
            </w:pPr>
            <w:r>
              <w:rPr>
                <w:rFonts w:hint="eastAsia"/>
                <w:color w:val="auto"/>
                <w:highlight w:val="none"/>
              </w:rPr>
              <w:t>管制运行迫降反馈信号</w:t>
            </w:r>
          </w:p>
          <w:p>
            <w:pPr>
              <w:numPr>
                <w:ilvl w:val="0"/>
                <w:numId w:val="3"/>
              </w:numPr>
              <w:ind w:left="425" w:leftChars="0" w:hanging="425" w:firstLineChars="0"/>
              <w:rPr>
                <w:rFonts w:hint="eastAsia"/>
                <w:color w:val="auto"/>
                <w:highlight w:val="none"/>
              </w:rPr>
            </w:pPr>
            <w:r>
              <w:rPr>
                <w:rFonts w:hint="eastAsia"/>
                <w:color w:val="auto"/>
                <w:highlight w:val="none"/>
              </w:rPr>
              <w:t>取消轿内恶作剧功能（&gt;5层站，轿内重量&lt;150kg）</w:t>
            </w:r>
          </w:p>
          <w:p>
            <w:pPr>
              <w:numPr>
                <w:ilvl w:val="0"/>
                <w:numId w:val="3"/>
              </w:numPr>
              <w:ind w:left="425" w:leftChars="0" w:hanging="425" w:firstLineChars="0"/>
              <w:rPr>
                <w:rFonts w:hint="eastAsia"/>
                <w:color w:val="auto"/>
                <w:highlight w:val="none"/>
              </w:rPr>
            </w:pPr>
            <w:r>
              <w:rPr>
                <w:rFonts w:hint="eastAsia"/>
                <w:color w:val="auto"/>
                <w:highlight w:val="none"/>
              </w:rPr>
              <w:t>轿内误召唤取消（手动）</w:t>
            </w:r>
          </w:p>
          <w:p>
            <w:pPr>
              <w:numPr>
                <w:ilvl w:val="0"/>
                <w:numId w:val="3"/>
              </w:numPr>
              <w:ind w:left="425" w:leftChars="0" w:hanging="425" w:firstLineChars="0"/>
              <w:rPr>
                <w:rFonts w:hint="eastAsia"/>
                <w:color w:val="auto"/>
                <w:highlight w:val="none"/>
              </w:rPr>
            </w:pPr>
            <w:r>
              <w:rPr>
                <w:rFonts w:hint="eastAsia"/>
                <w:color w:val="auto"/>
                <w:highlight w:val="none"/>
              </w:rPr>
              <w:t>满员自动通过功能</w:t>
            </w:r>
          </w:p>
          <w:p>
            <w:pPr>
              <w:numPr>
                <w:ilvl w:val="0"/>
                <w:numId w:val="3"/>
              </w:numPr>
              <w:ind w:left="425" w:leftChars="0" w:hanging="425" w:firstLineChars="0"/>
              <w:rPr>
                <w:rFonts w:hint="eastAsia"/>
                <w:color w:val="auto"/>
                <w:highlight w:val="none"/>
              </w:rPr>
            </w:pPr>
            <w:r>
              <w:rPr>
                <w:rFonts w:hint="eastAsia"/>
                <w:color w:val="auto"/>
                <w:highlight w:val="none"/>
              </w:rPr>
              <w:t>运行次数储存</w:t>
            </w:r>
          </w:p>
          <w:p>
            <w:pPr>
              <w:numPr>
                <w:ilvl w:val="0"/>
                <w:numId w:val="3"/>
              </w:numPr>
              <w:ind w:left="425" w:leftChars="0" w:hanging="425" w:firstLineChars="0"/>
              <w:rPr>
                <w:rFonts w:hint="eastAsia"/>
                <w:color w:val="auto"/>
                <w:highlight w:val="none"/>
              </w:rPr>
            </w:pPr>
            <w:r>
              <w:rPr>
                <w:rFonts w:hint="eastAsia"/>
                <w:color w:val="auto"/>
                <w:highlight w:val="none"/>
              </w:rPr>
              <w:t>故障自动记忆功能</w:t>
            </w:r>
          </w:p>
          <w:p>
            <w:pPr>
              <w:numPr>
                <w:ilvl w:val="0"/>
                <w:numId w:val="3"/>
              </w:numPr>
              <w:ind w:left="425" w:leftChars="0" w:hanging="425" w:firstLineChars="0"/>
              <w:rPr>
                <w:rFonts w:hint="eastAsia"/>
                <w:color w:val="auto"/>
                <w:highlight w:val="none"/>
              </w:rPr>
            </w:pPr>
            <w:r>
              <w:rPr>
                <w:rFonts w:hint="eastAsia"/>
                <w:color w:val="auto"/>
                <w:highlight w:val="none"/>
              </w:rPr>
              <w:t>异常时梯门反复开关</w:t>
            </w:r>
          </w:p>
          <w:p>
            <w:pPr>
              <w:numPr>
                <w:ilvl w:val="0"/>
                <w:numId w:val="3"/>
              </w:numPr>
              <w:ind w:left="425" w:leftChars="0" w:hanging="425" w:firstLineChars="0"/>
              <w:rPr>
                <w:rFonts w:hint="eastAsia"/>
                <w:color w:val="auto"/>
                <w:highlight w:val="none"/>
              </w:rPr>
            </w:pPr>
            <w:r>
              <w:rPr>
                <w:rFonts w:hint="eastAsia"/>
                <w:color w:val="auto"/>
                <w:highlight w:val="none"/>
              </w:rPr>
              <w:t>开门时间自动设定</w:t>
            </w:r>
          </w:p>
          <w:p>
            <w:pPr>
              <w:numPr>
                <w:ilvl w:val="0"/>
                <w:numId w:val="3"/>
              </w:numPr>
              <w:ind w:left="425" w:leftChars="0" w:hanging="425" w:firstLineChars="0"/>
              <w:rPr>
                <w:rFonts w:hint="eastAsia"/>
                <w:color w:val="auto"/>
                <w:highlight w:val="none"/>
              </w:rPr>
            </w:pPr>
            <w:r>
              <w:rPr>
                <w:rFonts w:hint="eastAsia"/>
                <w:color w:val="auto"/>
                <w:highlight w:val="none"/>
              </w:rPr>
              <w:t>电子称重补偿启动</w:t>
            </w:r>
          </w:p>
          <w:p>
            <w:pPr>
              <w:numPr>
                <w:ilvl w:val="0"/>
                <w:numId w:val="3"/>
              </w:numPr>
              <w:ind w:left="425" w:leftChars="0" w:hanging="425" w:firstLineChars="0"/>
              <w:rPr>
                <w:rFonts w:hint="eastAsia"/>
                <w:color w:val="auto"/>
                <w:highlight w:val="none"/>
              </w:rPr>
            </w:pPr>
            <w:r>
              <w:rPr>
                <w:rFonts w:hint="eastAsia"/>
                <w:color w:val="auto"/>
                <w:highlight w:val="none"/>
              </w:rPr>
              <w:t>候梯厅服务中止显示（中文显示）</w:t>
            </w:r>
          </w:p>
          <w:p>
            <w:pPr>
              <w:numPr>
                <w:ilvl w:val="0"/>
                <w:numId w:val="3"/>
              </w:numPr>
              <w:ind w:left="425" w:leftChars="0" w:hanging="425" w:firstLineChars="0"/>
              <w:rPr>
                <w:rFonts w:hint="eastAsia"/>
                <w:color w:val="auto"/>
                <w:highlight w:val="none"/>
              </w:rPr>
            </w:pPr>
            <w:r>
              <w:rPr>
                <w:rFonts w:hint="eastAsia"/>
                <w:color w:val="auto"/>
                <w:highlight w:val="none"/>
              </w:rPr>
              <w:t>候梯厅满载指示</w:t>
            </w:r>
          </w:p>
          <w:p>
            <w:pPr>
              <w:numPr>
                <w:ilvl w:val="0"/>
                <w:numId w:val="3"/>
              </w:numPr>
              <w:ind w:left="425" w:leftChars="0" w:hanging="425" w:firstLineChars="0"/>
              <w:rPr>
                <w:rFonts w:hint="eastAsia"/>
                <w:color w:val="auto"/>
                <w:highlight w:val="none"/>
              </w:rPr>
            </w:pPr>
            <w:r>
              <w:rPr>
                <w:rFonts w:hint="eastAsia"/>
                <w:color w:val="auto"/>
                <w:highlight w:val="none"/>
              </w:rPr>
              <w:t>换向重开门</w:t>
            </w:r>
          </w:p>
          <w:p>
            <w:pPr>
              <w:numPr>
                <w:ilvl w:val="0"/>
                <w:numId w:val="3"/>
              </w:numPr>
              <w:ind w:left="425" w:leftChars="0" w:hanging="425" w:firstLineChars="0"/>
              <w:rPr>
                <w:rFonts w:hint="eastAsia"/>
                <w:color w:val="auto"/>
                <w:highlight w:val="none"/>
              </w:rPr>
            </w:pPr>
            <w:r>
              <w:rPr>
                <w:rFonts w:hint="eastAsia"/>
                <w:color w:val="auto"/>
                <w:highlight w:val="none"/>
              </w:rPr>
              <w:t>即时关门</w:t>
            </w:r>
          </w:p>
          <w:p>
            <w:pPr>
              <w:numPr>
                <w:ilvl w:val="0"/>
                <w:numId w:val="3"/>
              </w:numPr>
              <w:ind w:left="425" w:leftChars="0" w:hanging="425" w:firstLineChars="0"/>
              <w:rPr>
                <w:rFonts w:hint="eastAsia"/>
                <w:color w:val="auto"/>
                <w:highlight w:val="none"/>
              </w:rPr>
            </w:pPr>
            <w:r>
              <w:rPr>
                <w:rFonts w:hint="eastAsia"/>
                <w:color w:val="auto"/>
                <w:highlight w:val="none"/>
              </w:rPr>
              <w:t>驻停功能</w:t>
            </w:r>
          </w:p>
          <w:p>
            <w:pPr>
              <w:numPr>
                <w:ilvl w:val="0"/>
                <w:numId w:val="3"/>
              </w:numPr>
              <w:ind w:left="425" w:leftChars="0" w:hanging="425" w:firstLineChars="0"/>
              <w:rPr>
                <w:rFonts w:hint="eastAsia"/>
                <w:color w:val="auto"/>
                <w:highlight w:val="none"/>
              </w:rPr>
            </w:pPr>
            <w:r>
              <w:rPr>
                <w:rFonts w:hint="eastAsia"/>
                <w:color w:val="auto"/>
                <w:highlight w:val="none"/>
              </w:rPr>
              <w:t>照明自动关闭功能</w:t>
            </w:r>
          </w:p>
          <w:p>
            <w:pPr>
              <w:numPr>
                <w:ilvl w:val="0"/>
                <w:numId w:val="3"/>
              </w:numPr>
              <w:ind w:left="425" w:leftChars="0" w:hanging="425" w:firstLineChars="0"/>
              <w:rPr>
                <w:rFonts w:hint="eastAsia"/>
                <w:color w:val="auto"/>
                <w:highlight w:val="none"/>
              </w:rPr>
            </w:pPr>
            <w:r>
              <w:rPr>
                <w:rFonts w:hint="eastAsia"/>
                <w:color w:val="auto"/>
                <w:highlight w:val="none"/>
              </w:rPr>
              <w:t>换气扇自动停止功能</w:t>
            </w:r>
          </w:p>
          <w:p>
            <w:pPr>
              <w:numPr>
                <w:ilvl w:val="0"/>
                <w:numId w:val="3"/>
              </w:numPr>
              <w:ind w:left="425" w:leftChars="0" w:hanging="425" w:firstLineChars="0"/>
              <w:rPr>
                <w:rFonts w:hint="eastAsia"/>
                <w:color w:val="auto"/>
                <w:highlight w:val="none"/>
              </w:rPr>
            </w:pPr>
            <w:r>
              <w:rPr>
                <w:rFonts w:hint="eastAsia"/>
                <w:color w:val="auto"/>
                <w:highlight w:val="none"/>
              </w:rPr>
              <w:t>★五方通话系统（主机系统HY-PD、UPS准用电源HY-、机房分机HY-PD2）</w:t>
            </w:r>
          </w:p>
          <w:p>
            <w:pPr>
              <w:numPr>
                <w:ilvl w:val="0"/>
                <w:numId w:val="3"/>
              </w:numPr>
              <w:ind w:left="425" w:leftChars="0" w:hanging="425" w:firstLineChars="0"/>
              <w:rPr>
                <w:rFonts w:hint="eastAsia"/>
                <w:color w:val="auto"/>
                <w:highlight w:val="none"/>
              </w:rPr>
            </w:pPr>
            <w:r>
              <w:rPr>
                <w:rFonts w:hint="eastAsia"/>
                <w:color w:val="auto"/>
                <w:highlight w:val="none"/>
              </w:rPr>
              <w:t>轿内层站方向显示</w:t>
            </w:r>
          </w:p>
          <w:p>
            <w:pPr>
              <w:numPr>
                <w:ilvl w:val="0"/>
                <w:numId w:val="3"/>
              </w:numPr>
              <w:ind w:left="425" w:leftChars="0" w:hanging="425" w:firstLineChars="0"/>
              <w:rPr>
                <w:rFonts w:hint="eastAsia"/>
                <w:color w:val="auto"/>
                <w:highlight w:val="none"/>
              </w:rPr>
            </w:pPr>
            <w:r>
              <w:rPr>
                <w:rFonts w:hint="eastAsia"/>
                <w:color w:val="auto"/>
                <w:highlight w:val="none"/>
              </w:rPr>
              <w:t>开门按钮灯（轿内自动熄灭灯时）</w:t>
            </w:r>
          </w:p>
          <w:p>
            <w:pPr>
              <w:numPr>
                <w:ilvl w:val="0"/>
                <w:numId w:val="3"/>
              </w:numPr>
              <w:ind w:left="425" w:leftChars="0" w:hanging="425" w:firstLineChars="0"/>
              <w:rPr>
                <w:rFonts w:hint="eastAsia"/>
                <w:color w:val="auto"/>
                <w:highlight w:val="none"/>
                <w:lang w:val="en-US" w:eastAsia="zh-CN"/>
              </w:rPr>
            </w:pPr>
            <w:r>
              <w:rPr>
                <w:rFonts w:hint="eastAsia"/>
                <w:color w:val="auto"/>
                <w:highlight w:val="none"/>
                <w:lang w:val="en-US" w:eastAsia="zh-CN"/>
              </w:rPr>
              <w:t>门过载保护功能</w:t>
            </w:r>
          </w:p>
          <w:p>
            <w:pPr>
              <w:numPr>
                <w:ilvl w:val="0"/>
                <w:numId w:val="3"/>
              </w:numPr>
              <w:ind w:left="425" w:leftChars="0" w:hanging="425" w:firstLineChars="0"/>
              <w:rPr>
                <w:rFonts w:hint="default"/>
                <w:color w:val="auto"/>
                <w:highlight w:val="none"/>
                <w:lang w:val="en-US" w:eastAsia="zh-CN"/>
              </w:rPr>
            </w:pPr>
            <w:r>
              <w:rPr>
                <w:rFonts w:hint="eastAsia"/>
                <w:color w:val="auto"/>
                <w:highlight w:val="none"/>
                <w:lang w:val="en-US" w:eastAsia="zh-CN"/>
              </w:rPr>
              <w:t>宽电压接入保护</w:t>
            </w:r>
          </w:p>
          <w:p>
            <w:pPr>
              <w:numPr>
                <w:ilvl w:val="0"/>
                <w:numId w:val="3"/>
              </w:numPr>
              <w:ind w:left="425" w:leftChars="0" w:hanging="425" w:firstLineChars="0"/>
              <w:rPr>
                <w:rFonts w:hint="default"/>
                <w:color w:val="auto"/>
                <w:highlight w:val="none"/>
                <w:lang w:val="en-US" w:eastAsia="zh-CN"/>
              </w:rPr>
            </w:pPr>
            <w:r>
              <w:rPr>
                <w:rFonts w:hint="eastAsia"/>
                <w:color w:val="auto"/>
                <w:highlight w:val="none"/>
                <w:lang w:val="en-US" w:eastAsia="zh-CN"/>
              </w:rPr>
              <w:t>电梯运行状态显示</w:t>
            </w:r>
          </w:p>
          <w:p>
            <w:pPr>
              <w:numPr>
                <w:ilvl w:val="0"/>
                <w:numId w:val="3"/>
              </w:numPr>
              <w:ind w:left="425" w:leftChars="0" w:hanging="425" w:firstLineChars="0"/>
              <w:rPr>
                <w:rFonts w:hint="default"/>
                <w:color w:val="auto"/>
                <w:highlight w:val="none"/>
                <w:lang w:val="en-US" w:eastAsia="zh-CN"/>
              </w:rPr>
            </w:pPr>
            <w:r>
              <w:rPr>
                <w:rFonts w:hint="eastAsia"/>
                <w:color w:val="auto"/>
                <w:highlight w:val="none"/>
                <w:lang w:val="en-US" w:eastAsia="zh-CN"/>
              </w:rPr>
              <w:t>轿门开启限制保护</w:t>
            </w:r>
          </w:p>
          <w:p>
            <w:pPr>
              <w:numPr>
                <w:ilvl w:val="0"/>
                <w:numId w:val="3"/>
              </w:numPr>
              <w:ind w:left="425" w:leftChars="0" w:hanging="425" w:firstLineChars="0"/>
              <w:rPr>
                <w:rFonts w:hint="default"/>
                <w:color w:val="auto"/>
                <w:highlight w:val="none"/>
                <w:lang w:val="en-US" w:eastAsia="zh-CN"/>
              </w:rPr>
            </w:pPr>
            <w:r>
              <w:rPr>
                <w:rFonts w:hint="eastAsia"/>
                <w:color w:val="auto"/>
                <w:highlight w:val="none"/>
                <w:lang w:val="en-US" w:eastAsia="zh-CN"/>
              </w:rPr>
              <w:t>轿厢意外移动保护</w:t>
            </w:r>
          </w:p>
          <w:p>
            <w:pPr>
              <w:numPr>
                <w:ilvl w:val="0"/>
                <w:numId w:val="3"/>
              </w:numPr>
              <w:ind w:left="425" w:leftChars="0" w:hanging="425" w:firstLineChars="0"/>
              <w:rPr>
                <w:rFonts w:hint="default"/>
                <w:color w:val="auto"/>
                <w:highlight w:val="none"/>
                <w:lang w:val="en-US" w:eastAsia="zh-CN"/>
              </w:rPr>
            </w:pPr>
            <w:r>
              <w:rPr>
                <w:rFonts w:hint="eastAsia"/>
                <w:color w:val="auto"/>
                <w:highlight w:val="none"/>
                <w:lang w:val="en-US" w:eastAsia="zh-CN"/>
              </w:rPr>
              <w:t>集选全自动方式</w:t>
            </w:r>
          </w:p>
          <w:p>
            <w:pPr>
              <w:numPr>
                <w:ilvl w:val="0"/>
                <w:numId w:val="3"/>
              </w:numPr>
              <w:ind w:left="425" w:leftChars="0" w:hanging="425" w:firstLineChars="0"/>
              <w:rPr>
                <w:rFonts w:hint="default"/>
                <w:color w:val="auto"/>
                <w:highlight w:val="none"/>
                <w:lang w:val="en-US" w:eastAsia="zh-CN"/>
              </w:rPr>
            </w:pPr>
            <w:r>
              <w:rPr>
                <w:rFonts w:hint="eastAsia"/>
                <w:color w:val="auto"/>
                <w:highlight w:val="none"/>
                <w:lang w:val="en-US" w:eastAsia="zh-CN"/>
              </w:rPr>
              <w:t>故障时自动就近平层</w:t>
            </w:r>
          </w:p>
          <w:p>
            <w:pPr>
              <w:numPr>
                <w:ilvl w:val="0"/>
                <w:numId w:val="3"/>
              </w:numPr>
              <w:ind w:left="425" w:leftChars="0" w:hanging="425" w:firstLineChars="0"/>
              <w:rPr>
                <w:rFonts w:hint="eastAsia" w:ascii="宋体" w:hAnsi="宋体" w:eastAsia="宋体" w:cs="宋体"/>
                <w:b w:val="0"/>
                <w:bCs w:val="0"/>
                <w:color w:val="auto"/>
                <w:szCs w:val="22"/>
                <w:highlight w:val="none"/>
              </w:rPr>
            </w:pPr>
            <w:r>
              <w:rPr>
                <w:rFonts w:hint="eastAsia"/>
                <w:color w:val="auto"/>
                <w:highlight w:val="none"/>
                <w:lang w:val="en-US" w:eastAsia="zh-CN"/>
              </w:rPr>
              <w:t>自动脱离联动控制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426" w:type="dxa"/>
            <w:tcBorders>
              <w:top w:val="single" w:color="auto" w:sz="4" w:space="0"/>
              <w:bottom w:val="single" w:color="auto" w:sz="4" w:space="0"/>
              <w:right w:val="single" w:color="auto" w:sz="4" w:space="0"/>
            </w:tcBorders>
            <w:noWrap w:val="0"/>
            <w:vAlign w:val="center"/>
          </w:tcPr>
          <w:p>
            <w:pPr>
              <w:spacing w:line="360" w:lineRule="auto"/>
              <w:jc w:val="center"/>
              <w:rPr>
                <w:rFonts w:hint="eastAsia" w:hAnsi="宋体" w:cs="宋体"/>
                <w:color w:val="auto"/>
                <w:highlight w:val="none"/>
              </w:rPr>
            </w:pPr>
            <w:r>
              <w:rPr>
                <w:rFonts w:hint="eastAsia"/>
                <w:color w:val="auto"/>
                <w:sz w:val="24"/>
                <w:szCs w:val="24"/>
                <w:highlight w:val="none"/>
              </w:rPr>
              <w:t>客梯兼</w:t>
            </w:r>
            <w:r>
              <w:rPr>
                <w:rFonts w:hint="eastAsia"/>
                <w:color w:val="auto"/>
                <w:sz w:val="24"/>
                <w:szCs w:val="24"/>
                <w:highlight w:val="none"/>
                <w:lang w:eastAsia="zh-CN"/>
              </w:rPr>
              <w:t>消防</w:t>
            </w:r>
            <w:r>
              <w:rPr>
                <w:rFonts w:hint="eastAsia"/>
                <w:color w:val="auto"/>
                <w:sz w:val="24"/>
                <w:szCs w:val="24"/>
                <w:highlight w:val="none"/>
              </w:rPr>
              <w:t>电梯</w:t>
            </w:r>
          </w:p>
          <w:p>
            <w:pPr>
              <w:spacing w:line="360" w:lineRule="auto"/>
              <w:jc w:val="center"/>
              <w:rPr>
                <w:rFonts w:hAnsi="宋体" w:cs="宋体"/>
                <w:color w:val="auto"/>
                <w:highlight w:val="none"/>
              </w:rPr>
            </w:pPr>
          </w:p>
        </w:tc>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color w:val="auto"/>
                <w:highlight w:val="none"/>
              </w:rPr>
            </w:pPr>
            <w:r>
              <w:rPr>
                <w:rFonts w:hint="eastAsia" w:hAnsi="宋体" w:cs="宋体"/>
                <w:color w:val="auto"/>
                <w:highlight w:val="none"/>
                <w:lang w:val="en-US" w:eastAsia="zh-CN"/>
              </w:rPr>
              <w:t>2</w:t>
            </w:r>
            <w:r>
              <w:rPr>
                <w:rFonts w:hint="eastAsia" w:hAnsi="宋体" w:cs="宋体"/>
                <w:color w:val="auto"/>
                <w:highlight w:val="none"/>
              </w:rPr>
              <w:t>台</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spacing w:before="240" w:line="360" w:lineRule="auto"/>
              <w:jc w:val="center"/>
              <w:rPr>
                <w:rFonts w:hint="eastAsia" w:hAnsi="宋体" w:cs="宋体"/>
                <w:color w:val="auto"/>
                <w:highlight w:val="none"/>
              </w:rPr>
            </w:pPr>
            <w:r>
              <w:rPr>
                <w:rFonts w:hint="eastAsia" w:cs="宋体"/>
                <w:color w:val="auto"/>
                <w:szCs w:val="21"/>
                <w:highlight w:val="none"/>
              </w:rPr>
              <w:t>电梯品质要求不低电梯设备参数要求等于或高于图纸设计要求</w:t>
            </w:r>
          </w:p>
        </w:tc>
        <w:tc>
          <w:tcPr>
            <w:tcW w:w="7020"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auto"/>
                <w:szCs w:val="22"/>
                <w:highlight w:val="none"/>
              </w:rPr>
            </w:pPr>
            <w:r>
              <w:rPr>
                <w:rFonts w:hint="eastAsia" w:ascii="宋体" w:hAnsi="宋体" w:eastAsia="宋体" w:cs="宋体"/>
                <w:b/>
                <w:bCs/>
                <w:color w:val="auto"/>
                <w:szCs w:val="22"/>
                <w:highlight w:val="none"/>
              </w:rPr>
              <w:t>一、基本参数及尺寸：</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1、电梯类型：1台</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★2、载重量：≥</w:t>
            </w:r>
            <w:r>
              <w:rPr>
                <w:rFonts w:hint="eastAsia" w:ascii="宋体" w:hAnsi="宋体" w:eastAsia="宋体" w:cs="宋体"/>
                <w:b w:val="0"/>
                <w:bCs w:val="0"/>
                <w:color w:val="auto"/>
                <w:szCs w:val="22"/>
                <w:highlight w:val="none"/>
                <w:lang w:val="en-US" w:eastAsia="zh-CN"/>
              </w:rPr>
              <w:t>825</w:t>
            </w:r>
            <w:r>
              <w:rPr>
                <w:rFonts w:hint="eastAsia" w:ascii="宋体" w:hAnsi="宋体" w:eastAsia="宋体" w:cs="宋体"/>
                <w:b w:val="0"/>
                <w:bCs w:val="0"/>
                <w:color w:val="auto"/>
                <w:szCs w:val="22"/>
                <w:highlight w:val="none"/>
              </w:rPr>
              <w:t>公斤</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★3、速度：≥1.75米/秒</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4、停层站：8/8/8</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5、提升高度：27.20米</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6、底坑净深：1450 mm，顶层高度3950 mm</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7、井道尺寸宽×深：≥2</w:t>
            </w:r>
            <w:r>
              <w:rPr>
                <w:rFonts w:hint="eastAsia" w:ascii="宋体" w:hAnsi="宋体" w:eastAsia="宋体" w:cs="宋体"/>
                <w:b w:val="0"/>
                <w:bCs w:val="0"/>
                <w:color w:val="auto"/>
                <w:szCs w:val="22"/>
                <w:highlight w:val="none"/>
                <w:lang w:val="en-US" w:eastAsia="zh-CN"/>
              </w:rPr>
              <w:t>050</w:t>
            </w:r>
            <w:r>
              <w:rPr>
                <w:rFonts w:hint="eastAsia" w:ascii="宋体" w:hAnsi="宋体" w:eastAsia="宋体" w:cs="宋体"/>
                <w:b w:val="0"/>
                <w:bCs w:val="0"/>
                <w:color w:val="auto"/>
                <w:szCs w:val="22"/>
                <w:highlight w:val="none"/>
              </w:rPr>
              <w:t>mm×19</w:t>
            </w:r>
            <w:r>
              <w:rPr>
                <w:rFonts w:hint="eastAsia" w:ascii="宋体" w:hAnsi="宋体" w:eastAsia="宋体" w:cs="宋体"/>
                <w:b w:val="0"/>
                <w:bCs w:val="0"/>
                <w:color w:val="auto"/>
                <w:szCs w:val="22"/>
                <w:highlight w:val="none"/>
                <w:lang w:val="en-US" w:eastAsia="zh-CN"/>
              </w:rPr>
              <w:t>1</w:t>
            </w:r>
            <w:r>
              <w:rPr>
                <w:rFonts w:hint="eastAsia" w:ascii="宋体" w:hAnsi="宋体" w:eastAsia="宋体" w:cs="宋体"/>
                <w:b w:val="0"/>
                <w:bCs w:val="0"/>
                <w:color w:val="auto"/>
                <w:szCs w:val="22"/>
                <w:highlight w:val="none"/>
              </w:rPr>
              <w:t>0mm</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★8、轿厢尺寸宽×深：≥1</w:t>
            </w:r>
            <w:r>
              <w:rPr>
                <w:rFonts w:hint="eastAsia" w:ascii="宋体" w:hAnsi="宋体" w:eastAsia="宋体" w:cs="宋体"/>
                <w:b w:val="0"/>
                <w:bCs w:val="0"/>
                <w:color w:val="auto"/>
                <w:szCs w:val="22"/>
                <w:highlight w:val="none"/>
                <w:lang w:val="en-US" w:eastAsia="zh-CN"/>
              </w:rPr>
              <w:t>4</w:t>
            </w:r>
            <w:r>
              <w:rPr>
                <w:rFonts w:hint="eastAsia" w:ascii="宋体" w:hAnsi="宋体" w:eastAsia="宋体" w:cs="宋体"/>
                <w:b w:val="0"/>
                <w:bCs w:val="0"/>
                <w:color w:val="auto"/>
                <w:szCs w:val="22"/>
                <w:highlight w:val="none"/>
              </w:rPr>
              <w:t>00mm×1</w:t>
            </w:r>
            <w:r>
              <w:rPr>
                <w:rFonts w:hint="eastAsia" w:ascii="宋体" w:hAnsi="宋体" w:eastAsia="宋体" w:cs="宋体"/>
                <w:b w:val="0"/>
                <w:bCs w:val="0"/>
                <w:color w:val="auto"/>
                <w:szCs w:val="22"/>
                <w:highlight w:val="none"/>
                <w:lang w:val="en-US" w:eastAsia="zh-CN"/>
              </w:rPr>
              <w:t>35</w:t>
            </w:r>
            <w:r>
              <w:rPr>
                <w:rFonts w:hint="eastAsia" w:ascii="宋体" w:hAnsi="宋体" w:eastAsia="宋体" w:cs="宋体"/>
                <w:b w:val="0"/>
                <w:bCs w:val="0"/>
                <w:color w:val="auto"/>
                <w:szCs w:val="22"/>
                <w:highlight w:val="none"/>
              </w:rPr>
              <w:t>0mm</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auto"/>
                <w:szCs w:val="22"/>
                <w:highlight w:val="none"/>
              </w:rPr>
            </w:pPr>
            <w:r>
              <w:rPr>
                <w:rFonts w:hint="eastAsia" w:ascii="宋体" w:hAnsi="宋体" w:eastAsia="宋体" w:cs="宋体"/>
                <w:b/>
                <w:bCs/>
                <w:color w:val="auto"/>
                <w:szCs w:val="22"/>
                <w:highlight w:val="none"/>
              </w:rPr>
              <w:t>注明：</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auto"/>
                <w:szCs w:val="22"/>
                <w:highlight w:val="none"/>
              </w:rPr>
            </w:pPr>
            <w:r>
              <w:rPr>
                <w:rFonts w:hint="eastAsia" w:ascii="宋体" w:hAnsi="宋体" w:eastAsia="宋体" w:cs="宋体"/>
                <w:b/>
                <w:bCs/>
                <w:color w:val="auto"/>
                <w:szCs w:val="22"/>
                <w:highlight w:val="none"/>
              </w:rPr>
              <w:t>★1、电梯净开门尺寸：900mm×2100mm（注：建筑尺寸以现场尺寸为准）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auto"/>
                <w:szCs w:val="22"/>
                <w:highlight w:val="none"/>
              </w:rPr>
            </w:pPr>
            <w:r>
              <w:rPr>
                <w:rFonts w:hint="eastAsia" w:ascii="宋体" w:hAnsi="宋体" w:eastAsia="宋体" w:cs="宋体"/>
                <w:b/>
                <w:bCs/>
                <w:color w:val="auto"/>
                <w:szCs w:val="22"/>
                <w:highlight w:val="none"/>
              </w:rPr>
              <w:t>★2、载重不含200Kg电梯轿厢内的装饰；轿厢内净高度2.45米。</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auto"/>
                <w:szCs w:val="22"/>
                <w:highlight w:val="none"/>
              </w:rPr>
            </w:pPr>
            <w:r>
              <w:rPr>
                <w:rFonts w:hint="eastAsia" w:ascii="宋体" w:hAnsi="宋体" w:eastAsia="宋体" w:cs="宋体"/>
                <w:b/>
                <w:bCs/>
                <w:color w:val="auto"/>
                <w:szCs w:val="22"/>
                <w:highlight w:val="none"/>
              </w:rPr>
              <w:t>3、动力电源范围：交流电源： AC380V±7%，50Hz±1Hz。</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auto"/>
                <w:szCs w:val="22"/>
                <w:highlight w:val="none"/>
              </w:rPr>
            </w:pPr>
            <w:r>
              <w:rPr>
                <w:rFonts w:hint="eastAsia" w:hAnsi="宋体" w:eastAsia="宋体" w:cs="宋体"/>
                <w:b/>
                <w:bCs/>
                <w:color w:val="auto"/>
                <w:szCs w:val="22"/>
                <w:highlight w:val="none"/>
                <w:lang w:val="en-US" w:eastAsia="zh-CN"/>
              </w:rPr>
              <w:t>4</w:t>
            </w:r>
            <w:r>
              <w:rPr>
                <w:rFonts w:hint="eastAsia" w:ascii="宋体" w:hAnsi="宋体" w:eastAsia="宋体" w:cs="宋体"/>
                <w:b/>
                <w:bCs/>
                <w:color w:val="auto"/>
                <w:szCs w:val="22"/>
                <w:highlight w:val="none"/>
              </w:rPr>
              <w:t>、供电方式：三相五线制</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auto"/>
                <w:szCs w:val="22"/>
                <w:highlight w:val="none"/>
                <w:lang w:eastAsia="zh-CN"/>
              </w:rPr>
            </w:pPr>
            <w:r>
              <w:rPr>
                <w:rFonts w:hint="eastAsia" w:ascii="宋体" w:hAnsi="宋体" w:eastAsia="宋体" w:cs="宋体"/>
                <w:b/>
                <w:bCs/>
                <w:color w:val="auto"/>
                <w:szCs w:val="22"/>
                <w:highlight w:val="none"/>
              </w:rPr>
              <w:t>二、主要系统及部件要求</w:t>
            </w:r>
            <w:r>
              <w:rPr>
                <w:rFonts w:hint="eastAsia" w:hAnsi="宋体" w:eastAsia="宋体" w:cs="宋体"/>
                <w:b/>
                <w:bCs/>
                <w:color w:val="auto"/>
                <w:szCs w:val="22"/>
                <w:highlight w:val="none"/>
                <w:lang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★1、控制系统：双32位微机数字网络化、模块化智能控制系统</w:t>
            </w:r>
            <w:r>
              <w:rPr>
                <w:rFonts w:hint="eastAsia" w:ascii="宋体" w:hAnsi="宋体" w:eastAsia="宋体" w:cs="宋体"/>
                <w:b w:val="0"/>
                <w:bCs w:val="0"/>
                <w:color w:val="auto"/>
                <w:szCs w:val="22"/>
                <w:highlight w:val="none"/>
                <w:lang w:eastAsia="zh-CN"/>
              </w:rPr>
              <w:t>，</w:t>
            </w:r>
            <w:r>
              <w:rPr>
                <w:rFonts w:hint="eastAsia" w:ascii="宋体" w:hAnsi="宋体" w:eastAsia="宋体" w:cs="宋体"/>
                <w:b w:val="0"/>
                <w:bCs w:val="0"/>
                <w:color w:val="auto"/>
                <w:szCs w:val="22"/>
                <w:highlight w:val="none"/>
              </w:rPr>
              <w:t xml:space="preserve">数据处理快捷，可靠性高，功能完善，且为整梯生产厂家自行生产，与整梯品牌相同。 </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★2、变频系统：全数字化网络智能电脑矢量控制、采用投标品牌交流变频调压调速（VVVF）系统</w:t>
            </w:r>
            <w:r>
              <w:rPr>
                <w:rFonts w:hint="eastAsia" w:ascii="宋体" w:hAnsi="宋体" w:eastAsia="宋体" w:cs="宋体"/>
                <w:b w:val="0"/>
                <w:bCs w:val="0"/>
                <w:color w:val="auto"/>
                <w:szCs w:val="22"/>
                <w:highlight w:val="none"/>
                <w:lang w:eastAsia="zh-CN"/>
              </w:rPr>
              <w:t>，调速装置由</w:t>
            </w:r>
            <w:r>
              <w:rPr>
                <w:rFonts w:hint="eastAsia" w:ascii="宋体" w:hAnsi="宋体" w:eastAsia="宋体" w:cs="宋体"/>
                <w:b w:val="0"/>
                <w:bCs w:val="0"/>
                <w:color w:val="auto"/>
                <w:szCs w:val="22"/>
                <w:highlight w:val="none"/>
              </w:rPr>
              <w:t>生产厂家自行生产，与整梯品牌相同。</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★3、门机系统：采用永磁同步变频低噪音门机</w:t>
            </w:r>
            <w:r>
              <w:rPr>
                <w:rFonts w:hint="eastAsia" w:ascii="宋体" w:hAnsi="宋体" w:eastAsia="宋体" w:cs="宋体"/>
                <w:b w:val="0"/>
                <w:bCs w:val="0"/>
                <w:color w:val="auto"/>
                <w:szCs w:val="22"/>
                <w:highlight w:val="none"/>
                <w:lang w:eastAsia="zh-CN"/>
              </w:rPr>
              <w:t>，</w:t>
            </w:r>
            <w:r>
              <w:rPr>
                <w:rFonts w:hint="eastAsia" w:ascii="宋体" w:hAnsi="宋体" w:eastAsia="宋体" w:cs="宋体"/>
                <w:b w:val="0"/>
                <w:bCs w:val="0"/>
                <w:color w:val="auto"/>
                <w:szCs w:val="22"/>
                <w:highlight w:val="none"/>
              </w:rPr>
              <w:t>采用投标品牌VVVF变频驱动</w:t>
            </w:r>
            <w:r>
              <w:rPr>
                <w:rFonts w:hint="eastAsia" w:ascii="宋体" w:hAnsi="宋体" w:eastAsia="宋体" w:cs="宋体"/>
                <w:b w:val="0"/>
                <w:bCs w:val="0"/>
                <w:color w:val="auto"/>
                <w:szCs w:val="22"/>
                <w:highlight w:val="none"/>
                <w:lang w:eastAsia="zh-CN"/>
              </w:rPr>
              <w:t>，</w:t>
            </w:r>
            <w:r>
              <w:rPr>
                <w:rFonts w:hint="eastAsia" w:ascii="宋体" w:hAnsi="宋体" w:eastAsia="宋体" w:cs="宋体"/>
                <w:b w:val="0"/>
                <w:bCs w:val="0"/>
                <w:color w:val="auto"/>
                <w:szCs w:val="22"/>
                <w:highlight w:val="none"/>
              </w:rPr>
              <w:t>整机必须为原厂原品牌门机系统。</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★4、曳引系统：采用投标品牌永磁同步无齿轮曳引机</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★5、通讯系统：全串行传输。</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6、机房位置：井道顶部。</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★7主机：采用投标品牌永磁同步无齿轮曳引机。</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★8、控制柜：采用投标品牌32位全电脑模块化电梯控制系统，具有故障自诊断功能，具有故障代码显示和存储功能，并具备软件现场升级功能。</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9、门保护系统：采用红外线光幕门保护系统；</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10、拖动绳：钢丝绳或扁平钢带，采用行业领先技术且节能环保扁平钢带技术的加分；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bCs/>
                <w:color w:val="auto"/>
                <w:szCs w:val="22"/>
                <w:highlight w:val="none"/>
                <w:lang w:eastAsia="zh-CN"/>
              </w:rPr>
              <w:t>三</w:t>
            </w:r>
            <w:r>
              <w:rPr>
                <w:rFonts w:hint="eastAsia" w:ascii="宋体" w:hAnsi="宋体" w:eastAsia="宋体" w:cs="宋体"/>
                <w:b/>
                <w:bCs/>
                <w:color w:val="auto"/>
                <w:szCs w:val="22"/>
                <w:highlight w:val="none"/>
              </w:rPr>
              <w:t>、轿厢装饰要求</w:t>
            </w:r>
            <w:r>
              <w:rPr>
                <w:rFonts w:hint="eastAsia" w:hAnsi="宋体" w:eastAsia="宋体" w:cs="宋体"/>
                <w:b/>
                <w:bCs/>
                <w:color w:val="auto"/>
                <w:szCs w:val="22"/>
                <w:highlight w:val="none"/>
                <w:lang w:eastAsia="zh-CN"/>
              </w:rPr>
              <w:t>：</w:t>
            </w:r>
            <w:r>
              <w:rPr>
                <w:rFonts w:hint="eastAsia" w:ascii="宋体" w:hAnsi="宋体" w:eastAsia="宋体" w:cs="宋体"/>
                <w:b w:val="0"/>
                <w:bCs w:val="0"/>
                <w:color w:val="auto"/>
                <w:szCs w:val="22"/>
                <w:highlight w:val="none"/>
              </w:rPr>
              <w:br w:type="textWrapping"/>
            </w:r>
            <w:r>
              <w:rPr>
                <w:rFonts w:hint="eastAsia" w:ascii="宋体" w:hAnsi="宋体" w:eastAsia="宋体" w:cs="宋体"/>
                <w:b w:val="0"/>
                <w:bCs w:val="0"/>
                <w:color w:val="auto"/>
                <w:szCs w:val="22"/>
                <w:highlight w:val="none"/>
                <w:lang w:eastAsia="zh-CN"/>
              </w:rPr>
              <w:t>（</w:t>
            </w:r>
            <w:r>
              <w:rPr>
                <w:rFonts w:hint="eastAsia" w:ascii="宋体" w:hAnsi="宋体" w:eastAsia="宋体" w:cs="宋体"/>
                <w:b w:val="0"/>
                <w:bCs w:val="0"/>
                <w:color w:val="auto"/>
                <w:szCs w:val="22"/>
                <w:highlight w:val="none"/>
                <w:lang w:val="en-US" w:eastAsia="zh-CN"/>
              </w:rPr>
              <w:t>1</w:t>
            </w:r>
            <w:r>
              <w:rPr>
                <w:rFonts w:hint="eastAsia" w:ascii="宋体" w:hAnsi="宋体" w:eastAsia="宋体" w:cs="宋体"/>
                <w:b w:val="0"/>
                <w:bCs w:val="0"/>
                <w:color w:val="auto"/>
                <w:szCs w:val="22"/>
                <w:highlight w:val="none"/>
                <w:lang w:eastAsia="zh-CN"/>
              </w:rPr>
              <w:t>）轿厢装潢</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★1、轿 厢 壁：304发纹不锈钢板（ 厚度均需≥1.2mm）。</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★2、轿门、门眉板：304发纹不锈钢板。</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3、轿厢天花：</w:t>
            </w:r>
            <w:r>
              <w:rPr>
                <w:rFonts w:hint="eastAsia" w:ascii="宋体" w:hAnsi="宋体" w:eastAsia="宋体" w:cs="宋体"/>
                <w:b w:val="0"/>
                <w:bCs w:val="0"/>
                <w:color w:val="auto"/>
                <w:szCs w:val="22"/>
                <w:highlight w:val="none"/>
                <w:lang w:eastAsia="zh-CN"/>
              </w:rPr>
              <w:t>标备</w:t>
            </w:r>
            <w:r>
              <w:rPr>
                <w:rFonts w:hint="eastAsia" w:ascii="宋体" w:hAnsi="宋体" w:eastAsia="宋体" w:cs="宋体"/>
                <w:b w:val="0"/>
                <w:bCs w:val="0"/>
                <w:color w:val="auto"/>
                <w:szCs w:val="22"/>
                <w:highlight w:val="none"/>
              </w:rPr>
              <w:t>。</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4、轿厢地面：</w:t>
            </w:r>
            <w:r>
              <w:rPr>
                <w:rFonts w:hint="eastAsia" w:ascii="宋体" w:hAnsi="宋体" w:eastAsia="宋体" w:cs="宋体"/>
                <w:b w:val="0"/>
                <w:bCs w:val="0"/>
                <w:color w:val="auto"/>
                <w:szCs w:val="22"/>
                <w:highlight w:val="none"/>
                <w:lang w:eastAsia="zh-CN"/>
              </w:rPr>
              <w:t>标备</w:t>
            </w:r>
            <w:r>
              <w:rPr>
                <w:rFonts w:hint="eastAsia" w:ascii="宋体" w:hAnsi="宋体" w:eastAsia="宋体" w:cs="宋体"/>
                <w:b w:val="0"/>
                <w:bCs w:val="0"/>
                <w:color w:val="auto"/>
                <w:szCs w:val="22"/>
                <w:highlight w:val="none"/>
              </w:rPr>
              <w:t>。</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★5、轿厢通风：低噪音风机通风，并匹配电梯专用空调。</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★6、轿厢内净高度2.</w:t>
            </w:r>
            <w:r>
              <w:rPr>
                <w:rFonts w:hint="eastAsia" w:ascii="宋体" w:hAnsi="宋体" w:eastAsia="宋体" w:cs="宋体"/>
                <w:b w:val="0"/>
                <w:bCs w:val="0"/>
                <w:color w:val="auto"/>
                <w:szCs w:val="22"/>
                <w:highlight w:val="none"/>
                <w:lang w:val="en-US" w:eastAsia="zh-CN"/>
              </w:rPr>
              <w:t>4</w:t>
            </w:r>
            <w:r>
              <w:rPr>
                <w:rFonts w:hint="eastAsia" w:ascii="宋体" w:hAnsi="宋体" w:eastAsia="宋体" w:cs="宋体"/>
                <w:b w:val="0"/>
                <w:bCs w:val="0"/>
                <w:color w:val="auto"/>
                <w:szCs w:val="22"/>
                <w:highlight w:val="none"/>
              </w:rPr>
              <w:t>5米。</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lang w:eastAsia="zh-CN"/>
              </w:rPr>
              <w:t>（</w:t>
            </w:r>
            <w:r>
              <w:rPr>
                <w:rFonts w:hint="eastAsia" w:ascii="宋体" w:hAnsi="宋体" w:eastAsia="宋体" w:cs="宋体"/>
                <w:b w:val="0"/>
                <w:bCs w:val="0"/>
                <w:color w:val="auto"/>
                <w:szCs w:val="22"/>
                <w:highlight w:val="none"/>
                <w:lang w:val="en-US" w:eastAsia="zh-CN"/>
              </w:rPr>
              <w:t>2</w:t>
            </w:r>
            <w:r>
              <w:rPr>
                <w:rFonts w:hint="eastAsia" w:ascii="宋体" w:hAnsi="宋体" w:eastAsia="宋体" w:cs="宋体"/>
                <w:b w:val="0"/>
                <w:bCs w:val="0"/>
                <w:color w:val="auto"/>
                <w:szCs w:val="22"/>
                <w:highlight w:val="none"/>
                <w:lang w:eastAsia="zh-CN"/>
              </w:rPr>
              <w:t>）厅门装潢</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1、开门方式：中分两扇门。</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2、净开门尺寸：900mm×2100mm</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3、轿厢净尺寸：详见电梯型号表</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4、门    套：全层为304发纹不锈钢小门套（厚度均需≥1.2mm）。</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5、厅    门：全层为304发纹不锈钢厅门（厚度均需≥1.2mm）。</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6、轿厢地坎：高强度硬质铝合金。</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lang w:eastAsia="zh-CN"/>
              </w:rPr>
              <w:t>（</w:t>
            </w:r>
            <w:r>
              <w:rPr>
                <w:rFonts w:hint="eastAsia" w:ascii="宋体" w:hAnsi="宋体" w:eastAsia="宋体" w:cs="宋体"/>
                <w:b w:val="0"/>
                <w:bCs w:val="0"/>
                <w:color w:val="auto"/>
                <w:szCs w:val="22"/>
                <w:highlight w:val="none"/>
                <w:lang w:val="en-US" w:eastAsia="zh-CN"/>
              </w:rPr>
              <w:t>3</w:t>
            </w:r>
            <w:r>
              <w:rPr>
                <w:rFonts w:hint="eastAsia" w:ascii="宋体" w:hAnsi="宋体" w:eastAsia="宋体" w:cs="宋体"/>
                <w:b w:val="0"/>
                <w:bCs w:val="0"/>
                <w:color w:val="auto"/>
                <w:szCs w:val="22"/>
                <w:highlight w:val="none"/>
                <w:lang w:eastAsia="zh-CN"/>
              </w:rPr>
              <w:t>）</w:t>
            </w:r>
            <w:r>
              <w:rPr>
                <w:rFonts w:hint="eastAsia" w:ascii="宋体" w:hAnsi="宋体" w:eastAsia="宋体" w:cs="宋体"/>
                <w:b w:val="0"/>
                <w:bCs w:val="0"/>
                <w:color w:val="auto"/>
                <w:szCs w:val="22"/>
                <w:highlight w:val="none"/>
              </w:rPr>
              <w:t>、轿厢、厅门召唤箱</w:t>
            </w:r>
            <w:r>
              <w:rPr>
                <w:rFonts w:hint="eastAsia" w:ascii="宋体" w:hAnsi="宋体" w:eastAsia="宋体" w:cs="宋体"/>
                <w:b w:val="0"/>
                <w:bCs w:val="0"/>
                <w:color w:val="auto"/>
                <w:szCs w:val="22"/>
                <w:highlight w:val="none"/>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1、轿厢操作箱：高清晰点阵显示屏</w:t>
            </w:r>
            <w:r>
              <w:rPr>
                <w:rFonts w:hint="eastAsia" w:ascii="宋体" w:hAnsi="宋体" w:eastAsia="宋体" w:cs="宋体"/>
                <w:b w:val="0"/>
                <w:bCs w:val="0"/>
                <w:color w:val="auto"/>
                <w:szCs w:val="22"/>
                <w:highlight w:val="none"/>
                <w:lang w:eastAsia="zh-CN"/>
              </w:rPr>
              <w:t>，显示尺寸：</w:t>
            </w:r>
            <w:r>
              <w:rPr>
                <w:rFonts w:hint="eastAsia" w:ascii="宋体" w:hAnsi="宋体" w:eastAsia="宋体" w:cs="宋体"/>
                <w:b w:val="0"/>
                <w:bCs w:val="0"/>
                <w:color w:val="auto"/>
                <w:szCs w:val="22"/>
                <w:highlight w:val="none"/>
                <w:lang w:val="en-US" w:eastAsia="zh-CN"/>
              </w:rPr>
              <w:t>381×214mm（H×V）。</w:t>
            </w:r>
            <w:r>
              <w:rPr>
                <w:rFonts w:hint="eastAsia" w:ascii="宋体" w:hAnsi="宋体" w:eastAsia="宋体" w:cs="宋体"/>
                <w:b w:val="0"/>
                <w:bCs w:val="0"/>
                <w:color w:val="auto"/>
                <w:szCs w:val="22"/>
                <w:highlight w:val="none"/>
              </w:rPr>
              <w:t>可显示电梯运行楼层、方向等信息，高灵敏度金属面微动按钮，一体式发纹不锈钢面板、断码液晶显示，带运行方向显示及楼层显示，具有通知器、警铃、紧急通话按钮</w:t>
            </w:r>
            <w:r>
              <w:rPr>
                <w:rFonts w:hint="eastAsia" w:ascii="宋体" w:hAnsi="宋体" w:eastAsia="宋体" w:cs="宋体"/>
                <w:b w:val="0"/>
                <w:bCs w:val="0"/>
                <w:color w:val="auto"/>
                <w:szCs w:val="22"/>
                <w:highlight w:val="none"/>
                <w:lang w:eastAsia="zh-CN"/>
              </w:rPr>
              <w:t>，</w:t>
            </w:r>
            <w:r>
              <w:rPr>
                <w:rFonts w:hint="eastAsia" w:ascii="宋体" w:hAnsi="宋体" w:eastAsia="宋体" w:cs="宋体"/>
                <w:b w:val="0"/>
                <w:bCs w:val="0"/>
                <w:color w:val="auto"/>
                <w:szCs w:val="22"/>
                <w:highlight w:val="none"/>
              </w:rPr>
              <w:t>款式新颖、大方。</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b w:val="0"/>
                <w:bCs w:val="0"/>
                <w:color w:val="auto"/>
                <w:szCs w:val="22"/>
                <w:highlight w:val="none"/>
              </w:rPr>
            </w:pPr>
            <w:r>
              <w:rPr>
                <w:rFonts w:hint="eastAsia" w:hAnsi="宋体" w:eastAsia="宋体" w:cs="宋体"/>
                <w:b w:val="0"/>
                <w:bCs w:val="0"/>
                <w:color w:val="auto"/>
                <w:szCs w:val="22"/>
                <w:highlight w:val="none"/>
                <w:lang w:val="en-US" w:eastAsia="zh-CN"/>
              </w:rPr>
              <w:t>2、</w:t>
            </w:r>
            <w:r>
              <w:rPr>
                <w:rFonts w:hint="eastAsia" w:ascii="宋体" w:hAnsi="宋体" w:eastAsia="宋体" w:cs="宋体"/>
                <w:b w:val="0"/>
                <w:bCs w:val="0"/>
                <w:color w:val="auto"/>
                <w:szCs w:val="22"/>
                <w:highlight w:val="none"/>
              </w:rPr>
              <w:t>厅外召唤箱：一体式；发纹不锈钢面板、微触按钮、断码液晶显示，带运行方向显示及楼层显示。</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lang w:eastAsia="zh-CN"/>
              </w:rPr>
              <w:t>（</w:t>
            </w:r>
            <w:r>
              <w:rPr>
                <w:rFonts w:hint="eastAsia" w:ascii="宋体" w:hAnsi="宋体" w:eastAsia="宋体" w:cs="宋体"/>
                <w:b w:val="0"/>
                <w:bCs w:val="0"/>
                <w:color w:val="auto"/>
                <w:szCs w:val="22"/>
                <w:highlight w:val="none"/>
                <w:lang w:val="en-US" w:eastAsia="zh-CN"/>
              </w:rPr>
              <w:t>4</w:t>
            </w:r>
            <w:r>
              <w:rPr>
                <w:rFonts w:hint="eastAsia" w:ascii="宋体" w:hAnsi="宋体" w:eastAsia="宋体" w:cs="宋体"/>
                <w:b w:val="0"/>
                <w:bCs w:val="0"/>
                <w:color w:val="auto"/>
                <w:szCs w:val="22"/>
                <w:highlight w:val="none"/>
                <w:lang w:eastAsia="zh-CN"/>
              </w:rPr>
              <w:t>）</w:t>
            </w:r>
            <w:r>
              <w:rPr>
                <w:rFonts w:hint="eastAsia" w:ascii="宋体" w:hAnsi="宋体" w:eastAsia="宋体" w:cs="宋体"/>
                <w:b w:val="0"/>
                <w:bCs w:val="0"/>
                <w:color w:val="auto"/>
                <w:szCs w:val="22"/>
                <w:highlight w:val="none"/>
              </w:rPr>
              <w:t>电梯运行参数（以国家电梯质量监督检验中心《特种设备型式试验合格证》相关数据予以认定）：</w:t>
            </w:r>
          </w:p>
          <w:p>
            <w:pPr>
              <w:keepNext w:val="0"/>
              <w:keepLines w:val="0"/>
              <w:pageBreakBefore w:val="0"/>
              <w:widowControl w:val="0"/>
              <w:numPr>
                <w:ilvl w:val="0"/>
                <w:numId w:val="4"/>
              </w:numPr>
              <w:kinsoku/>
              <w:wordWrap/>
              <w:overflowPunct/>
              <w:topLinePunct w:val="0"/>
              <w:autoSpaceDE/>
              <w:autoSpaceDN/>
              <w:bidi w:val="0"/>
              <w:adjustRightInd/>
              <w:snapToGrid/>
              <w:spacing w:line="288" w:lineRule="auto"/>
              <w:ind w:left="425" w:leftChars="0" w:hanging="5" w:firstLineChars="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水平振动加速度：≤11 cm/s</w:t>
            </w:r>
            <w:r>
              <w:rPr>
                <w:rFonts w:hint="eastAsia" w:ascii="宋体" w:hAnsi="宋体" w:eastAsia="宋体" w:cs="宋体"/>
                <w:b w:val="0"/>
                <w:bCs w:val="0"/>
                <w:color w:val="auto"/>
                <w:szCs w:val="22"/>
                <w:highlight w:val="none"/>
                <w:lang w:val="en-US" w:eastAsia="zh-CN"/>
              </w:rPr>
              <w:t>²</w:t>
            </w:r>
            <w:r>
              <w:rPr>
                <w:rFonts w:hint="eastAsia" w:ascii="宋体" w:hAnsi="宋体" w:eastAsia="宋体" w:cs="宋体"/>
                <w:b w:val="0"/>
                <w:bCs w:val="0"/>
                <w:color w:val="auto"/>
                <w:szCs w:val="22"/>
                <w:highlight w:val="none"/>
              </w:rPr>
              <w:t>。</w:t>
            </w:r>
          </w:p>
          <w:p>
            <w:pPr>
              <w:keepNext w:val="0"/>
              <w:keepLines w:val="0"/>
              <w:pageBreakBefore w:val="0"/>
              <w:widowControl w:val="0"/>
              <w:numPr>
                <w:ilvl w:val="0"/>
                <w:numId w:val="4"/>
              </w:numPr>
              <w:kinsoku/>
              <w:wordWrap/>
              <w:overflowPunct/>
              <w:topLinePunct w:val="0"/>
              <w:autoSpaceDE/>
              <w:autoSpaceDN/>
              <w:bidi w:val="0"/>
              <w:adjustRightInd/>
              <w:snapToGrid/>
              <w:spacing w:line="288" w:lineRule="auto"/>
              <w:ind w:left="425" w:leftChars="0" w:hanging="5" w:firstLineChars="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垂直振动加速度：≤8cm/s</w:t>
            </w:r>
            <w:r>
              <w:rPr>
                <w:rFonts w:hint="eastAsia" w:ascii="宋体" w:hAnsi="宋体" w:eastAsia="宋体" w:cs="宋体"/>
                <w:b w:val="0"/>
                <w:bCs w:val="0"/>
                <w:color w:val="auto"/>
                <w:szCs w:val="22"/>
                <w:highlight w:val="none"/>
                <w:lang w:val="en-US" w:eastAsia="zh-CN"/>
              </w:rPr>
              <w:t>²</w:t>
            </w:r>
            <w:r>
              <w:rPr>
                <w:rFonts w:hint="eastAsia" w:ascii="宋体" w:hAnsi="宋体" w:eastAsia="宋体" w:cs="宋体"/>
                <w:b w:val="0"/>
                <w:bCs w:val="0"/>
                <w:color w:val="auto"/>
                <w:szCs w:val="22"/>
                <w:highlight w:val="none"/>
              </w:rPr>
              <w:t>。</w:t>
            </w:r>
          </w:p>
          <w:p>
            <w:pPr>
              <w:keepNext w:val="0"/>
              <w:keepLines w:val="0"/>
              <w:pageBreakBefore w:val="0"/>
              <w:widowControl w:val="0"/>
              <w:numPr>
                <w:ilvl w:val="0"/>
                <w:numId w:val="4"/>
              </w:numPr>
              <w:kinsoku/>
              <w:wordWrap/>
              <w:overflowPunct/>
              <w:topLinePunct w:val="0"/>
              <w:autoSpaceDE/>
              <w:autoSpaceDN/>
              <w:bidi w:val="0"/>
              <w:adjustRightInd/>
              <w:snapToGrid/>
              <w:spacing w:line="288" w:lineRule="auto"/>
              <w:ind w:left="425" w:leftChars="0" w:hanging="5" w:firstLineChars="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机房噪声：≤70dB。</w:t>
            </w:r>
          </w:p>
          <w:p>
            <w:pPr>
              <w:keepNext w:val="0"/>
              <w:keepLines w:val="0"/>
              <w:pageBreakBefore w:val="0"/>
              <w:widowControl w:val="0"/>
              <w:numPr>
                <w:ilvl w:val="0"/>
                <w:numId w:val="4"/>
              </w:numPr>
              <w:kinsoku/>
              <w:wordWrap/>
              <w:overflowPunct/>
              <w:topLinePunct w:val="0"/>
              <w:autoSpaceDE/>
              <w:autoSpaceDN/>
              <w:bidi w:val="0"/>
              <w:adjustRightInd/>
              <w:snapToGrid/>
              <w:spacing w:line="288" w:lineRule="auto"/>
              <w:ind w:left="425" w:leftChars="0" w:hanging="5" w:firstLineChars="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最大开关门噪声：≤</w:t>
            </w:r>
            <w:r>
              <w:rPr>
                <w:rFonts w:hint="eastAsia" w:ascii="宋体" w:hAnsi="宋体" w:eastAsia="宋体" w:cs="宋体"/>
                <w:b w:val="0"/>
                <w:bCs w:val="0"/>
                <w:color w:val="auto"/>
                <w:szCs w:val="22"/>
                <w:highlight w:val="none"/>
                <w:lang w:val="en-US" w:eastAsia="zh-CN"/>
              </w:rPr>
              <w:t>55</w:t>
            </w:r>
            <w:r>
              <w:rPr>
                <w:rFonts w:hint="eastAsia" w:ascii="宋体" w:hAnsi="宋体" w:eastAsia="宋体" w:cs="宋体"/>
                <w:b w:val="0"/>
                <w:bCs w:val="0"/>
                <w:color w:val="auto"/>
                <w:szCs w:val="22"/>
                <w:highlight w:val="none"/>
              </w:rPr>
              <w:t>dB。</w:t>
            </w:r>
          </w:p>
          <w:p>
            <w:pPr>
              <w:keepNext w:val="0"/>
              <w:keepLines w:val="0"/>
              <w:pageBreakBefore w:val="0"/>
              <w:widowControl w:val="0"/>
              <w:numPr>
                <w:ilvl w:val="0"/>
                <w:numId w:val="4"/>
              </w:numPr>
              <w:kinsoku/>
              <w:wordWrap/>
              <w:overflowPunct/>
              <w:topLinePunct w:val="0"/>
              <w:autoSpaceDE/>
              <w:autoSpaceDN/>
              <w:bidi w:val="0"/>
              <w:adjustRightInd/>
              <w:snapToGrid/>
              <w:spacing w:line="288" w:lineRule="auto"/>
              <w:ind w:left="425" w:leftChars="0" w:hanging="5" w:firstLineChars="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轿箱内运行噪声：≤53dB。</w:t>
            </w:r>
          </w:p>
          <w:p>
            <w:pPr>
              <w:keepNext w:val="0"/>
              <w:keepLines w:val="0"/>
              <w:pageBreakBefore w:val="0"/>
              <w:widowControl w:val="0"/>
              <w:numPr>
                <w:ilvl w:val="0"/>
                <w:numId w:val="4"/>
              </w:numPr>
              <w:kinsoku/>
              <w:wordWrap/>
              <w:overflowPunct/>
              <w:topLinePunct w:val="0"/>
              <w:autoSpaceDE/>
              <w:autoSpaceDN/>
              <w:bidi w:val="0"/>
              <w:adjustRightInd/>
              <w:snapToGrid/>
              <w:spacing w:line="288" w:lineRule="auto"/>
              <w:ind w:left="425" w:leftChars="0" w:hanging="5" w:firstLineChars="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rPr>
              <w:t>平层精度：≤±5mm。</w:t>
            </w:r>
          </w:p>
          <w:p>
            <w:pPr>
              <w:keepNext w:val="0"/>
              <w:keepLines w:val="0"/>
              <w:pageBreakBefore w:val="0"/>
              <w:widowControl w:val="0"/>
              <w:numPr>
                <w:ilvl w:val="0"/>
                <w:numId w:val="4"/>
              </w:numPr>
              <w:kinsoku/>
              <w:wordWrap/>
              <w:overflowPunct/>
              <w:topLinePunct w:val="0"/>
              <w:autoSpaceDE/>
              <w:autoSpaceDN/>
              <w:bidi w:val="0"/>
              <w:adjustRightInd/>
              <w:snapToGrid/>
              <w:spacing w:line="288" w:lineRule="auto"/>
              <w:ind w:left="425" w:leftChars="0" w:hanging="5" w:firstLineChars="0"/>
              <w:textAlignment w:val="auto"/>
              <w:rPr>
                <w:rFonts w:hint="eastAsia" w:ascii="宋体" w:hAnsi="宋体" w:eastAsia="宋体" w:cs="宋体"/>
                <w:b w:val="0"/>
                <w:bCs w:val="0"/>
                <w:color w:val="auto"/>
                <w:szCs w:val="22"/>
                <w:highlight w:val="none"/>
              </w:rPr>
            </w:pPr>
            <w:r>
              <w:rPr>
                <w:rFonts w:hint="eastAsia" w:ascii="宋体" w:hAnsi="宋体" w:eastAsia="宋体" w:cs="宋体"/>
                <w:b w:val="0"/>
                <w:bCs w:val="0"/>
                <w:color w:val="auto"/>
                <w:szCs w:val="22"/>
                <w:highlight w:val="none"/>
                <w:lang w:val="en-US" w:eastAsia="zh-CN"/>
              </w:rPr>
              <w:t>开关门时间：</w:t>
            </w:r>
            <w:r>
              <w:rPr>
                <w:rFonts w:hint="eastAsia" w:ascii="宋体" w:hAnsi="宋体" w:eastAsia="宋体" w:cs="宋体"/>
                <w:b w:val="0"/>
                <w:bCs w:val="0"/>
                <w:color w:val="auto"/>
                <w:szCs w:val="22"/>
                <w:highlight w:val="none"/>
              </w:rPr>
              <w:t>≤</w:t>
            </w:r>
            <w:r>
              <w:rPr>
                <w:rFonts w:hint="eastAsia" w:ascii="宋体" w:hAnsi="宋体" w:eastAsia="宋体" w:cs="宋体"/>
                <w:b w:val="0"/>
                <w:bCs w:val="0"/>
                <w:color w:val="auto"/>
                <w:szCs w:val="22"/>
                <w:highlight w:val="none"/>
                <w:lang w:val="en-US" w:eastAsia="zh-CN"/>
              </w:rPr>
              <w:t>2.9s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auto"/>
                <w:szCs w:val="22"/>
                <w:highlight w:val="none"/>
              </w:rPr>
            </w:pPr>
            <w:r>
              <w:rPr>
                <w:rFonts w:hint="eastAsia" w:ascii="宋体" w:hAnsi="宋体" w:eastAsia="宋体" w:cs="宋体"/>
                <w:b/>
                <w:bCs/>
                <w:color w:val="auto"/>
                <w:szCs w:val="22"/>
                <w:highlight w:val="none"/>
                <w:lang w:eastAsia="zh-CN"/>
              </w:rPr>
              <w:t>四、</w:t>
            </w:r>
            <w:r>
              <w:rPr>
                <w:rFonts w:hint="eastAsia" w:ascii="宋体" w:hAnsi="宋体" w:eastAsia="宋体" w:cs="宋体"/>
                <w:b/>
                <w:bCs/>
                <w:color w:val="auto"/>
                <w:szCs w:val="22"/>
                <w:highlight w:val="none"/>
              </w:rPr>
              <w:t>功能配置：</w:t>
            </w:r>
          </w:p>
          <w:p>
            <w:pPr>
              <w:numPr>
                <w:ilvl w:val="0"/>
                <w:numId w:val="5"/>
              </w:numPr>
              <w:ind w:left="425" w:leftChars="0" w:hanging="425" w:firstLineChars="0"/>
              <w:rPr>
                <w:rFonts w:hint="eastAsia"/>
                <w:color w:val="auto"/>
                <w:highlight w:val="none"/>
              </w:rPr>
            </w:pPr>
            <w:r>
              <w:rPr>
                <w:rFonts w:hint="eastAsia"/>
                <w:color w:val="auto"/>
                <w:highlight w:val="none"/>
              </w:rPr>
              <w:t>检修运行（轿顶、机房）</w:t>
            </w:r>
          </w:p>
          <w:p>
            <w:pPr>
              <w:numPr>
                <w:ilvl w:val="0"/>
                <w:numId w:val="5"/>
              </w:numPr>
              <w:ind w:left="425" w:leftChars="0" w:hanging="425" w:firstLineChars="0"/>
              <w:rPr>
                <w:rFonts w:hint="eastAsia"/>
                <w:color w:val="auto"/>
                <w:highlight w:val="none"/>
              </w:rPr>
            </w:pPr>
            <w:r>
              <w:rPr>
                <w:rFonts w:hint="eastAsia"/>
                <w:color w:val="auto"/>
                <w:highlight w:val="none"/>
              </w:rPr>
              <w:t>超载保护示警</w:t>
            </w:r>
          </w:p>
          <w:p>
            <w:pPr>
              <w:numPr>
                <w:ilvl w:val="0"/>
                <w:numId w:val="5"/>
              </w:numPr>
              <w:ind w:left="425" w:leftChars="0" w:hanging="425" w:firstLineChars="0"/>
              <w:rPr>
                <w:rFonts w:hint="eastAsia"/>
                <w:color w:val="auto"/>
                <w:highlight w:val="none"/>
              </w:rPr>
            </w:pPr>
            <w:r>
              <w:rPr>
                <w:rFonts w:hint="eastAsia"/>
                <w:color w:val="auto"/>
                <w:highlight w:val="none"/>
              </w:rPr>
              <w:t>上行超速保护</w:t>
            </w:r>
          </w:p>
          <w:p>
            <w:pPr>
              <w:numPr>
                <w:ilvl w:val="0"/>
                <w:numId w:val="5"/>
              </w:numPr>
              <w:ind w:left="425" w:leftChars="0" w:hanging="425" w:firstLineChars="0"/>
              <w:rPr>
                <w:rFonts w:hint="eastAsia"/>
                <w:color w:val="auto"/>
                <w:highlight w:val="none"/>
              </w:rPr>
            </w:pPr>
            <w:r>
              <w:rPr>
                <w:rFonts w:hint="eastAsia"/>
                <w:color w:val="auto"/>
                <w:highlight w:val="none"/>
              </w:rPr>
              <w:t>下行超速保护</w:t>
            </w:r>
          </w:p>
          <w:p>
            <w:pPr>
              <w:numPr>
                <w:ilvl w:val="0"/>
                <w:numId w:val="5"/>
              </w:numPr>
              <w:ind w:left="425" w:leftChars="0" w:hanging="425" w:firstLineChars="0"/>
              <w:rPr>
                <w:rFonts w:hint="eastAsia"/>
                <w:color w:val="auto"/>
                <w:highlight w:val="none"/>
              </w:rPr>
            </w:pPr>
            <w:r>
              <w:rPr>
                <w:rFonts w:hint="eastAsia"/>
                <w:color w:val="auto"/>
                <w:highlight w:val="none"/>
              </w:rPr>
              <w:t>轿内管制运行表示灯</w:t>
            </w:r>
          </w:p>
          <w:p>
            <w:pPr>
              <w:numPr>
                <w:ilvl w:val="0"/>
                <w:numId w:val="5"/>
              </w:numPr>
              <w:ind w:left="425" w:leftChars="0" w:hanging="425" w:firstLineChars="0"/>
              <w:rPr>
                <w:rFonts w:hint="eastAsia"/>
                <w:color w:val="auto"/>
                <w:highlight w:val="none"/>
              </w:rPr>
            </w:pPr>
            <w:r>
              <w:rPr>
                <w:rFonts w:hint="eastAsia"/>
                <w:color w:val="auto"/>
                <w:highlight w:val="none"/>
              </w:rPr>
              <w:t>轿内应急照明</w:t>
            </w:r>
          </w:p>
          <w:p>
            <w:pPr>
              <w:numPr>
                <w:ilvl w:val="0"/>
                <w:numId w:val="5"/>
              </w:numPr>
              <w:ind w:left="425" w:leftChars="0" w:hanging="425" w:firstLineChars="0"/>
              <w:rPr>
                <w:rFonts w:hint="eastAsia"/>
                <w:color w:val="auto"/>
                <w:highlight w:val="none"/>
              </w:rPr>
            </w:pPr>
            <w:r>
              <w:rPr>
                <w:rFonts w:hint="eastAsia"/>
                <w:color w:val="auto"/>
                <w:highlight w:val="none"/>
              </w:rPr>
              <w:t>紧急电动救援运行</w:t>
            </w:r>
          </w:p>
          <w:p>
            <w:pPr>
              <w:numPr>
                <w:ilvl w:val="0"/>
                <w:numId w:val="5"/>
              </w:numPr>
              <w:ind w:left="425" w:leftChars="0" w:hanging="425" w:firstLineChars="0"/>
              <w:rPr>
                <w:rFonts w:hint="eastAsia"/>
                <w:color w:val="auto"/>
                <w:highlight w:val="none"/>
              </w:rPr>
            </w:pPr>
            <w:r>
              <w:rPr>
                <w:rFonts w:hint="eastAsia"/>
                <w:color w:val="auto"/>
                <w:highlight w:val="none"/>
              </w:rPr>
              <w:t>抱闸动作检测反馈</w:t>
            </w:r>
          </w:p>
          <w:p>
            <w:pPr>
              <w:numPr>
                <w:ilvl w:val="0"/>
                <w:numId w:val="5"/>
              </w:numPr>
              <w:ind w:left="425" w:leftChars="0" w:hanging="425" w:firstLineChars="0"/>
              <w:rPr>
                <w:rFonts w:hint="eastAsia"/>
                <w:color w:val="auto"/>
                <w:highlight w:val="none"/>
              </w:rPr>
            </w:pPr>
            <w:r>
              <w:rPr>
                <w:rFonts w:hint="eastAsia"/>
                <w:color w:val="auto"/>
                <w:highlight w:val="none"/>
              </w:rPr>
              <w:t>轿内紧急呼叫装置</w:t>
            </w:r>
          </w:p>
          <w:p>
            <w:pPr>
              <w:numPr>
                <w:ilvl w:val="0"/>
                <w:numId w:val="5"/>
              </w:numPr>
              <w:ind w:left="425" w:leftChars="0" w:hanging="425" w:firstLineChars="0"/>
              <w:rPr>
                <w:rFonts w:hint="eastAsia"/>
                <w:color w:val="auto"/>
                <w:highlight w:val="none"/>
              </w:rPr>
            </w:pPr>
            <w:r>
              <w:rPr>
                <w:rFonts w:hint="eastAsia"/>
                <w:color w:val="auto"/>
                <w:highlight w:val="none"/>
              </w:rPr>
              <w:t>马达空转保护</w:t>
            </w:r>
          </w:p>
          <w:p>
            <w:pPr>
              <w:numPr>
                <w:ilvl w:val="0"/>
                <w:numId w:val="5"/>
              </w:numPr>
              <w:ind w:left="425" w:leftChars="0" w:hanging="425" w:firstLineChars="0"/>
              <w:rPr>
                <w:rFonts w:hint="eastAsia"/>
                <w:color w:val="auto"/>
                <w:highlight w:val="none"/>
              </w:rPr>
            </w:pPr>
            <w:r>
              <w:rPr>
                <w:rFonts w:hint="eastAsia"/>
                <w:color w:val="auto"/>
                <w:highlight w:val="none"/>
              </w:rPr>
              <w:t>门内区自动再平层</w:t>
            </w:r>
          </w:p>
          <w:p>
            <w:pPr>
              <w:numPr>
                <w:ilvl w:val="0"/>
                <w:numId w:val="5"/>
              </w:numPr>
              <w:ind w:left="425" w:leftChars="0" w:hanging="425" w:firstLineChars="0"/>
              <w:rPr>
                <w:rFonts w:hint="eastAsia"/>
                <w:color w:val="auto"/>
                <w:highlight w:val="none"/>
              </w:rPr>
            </w:pPr>
            <w:r>
              <w:rPr>
                <w:rFonts w:hint="eastAsia"/>
                <w:color w:val="auto"/>
                <w:highlight w:val="none"/>
              </w:rPr>
              <w:t>脉冲位置异常自动校正</w:t>
            </w:r>
          </w:p>
          <w:p>
            <w:pPr>
              <w:numPr>
                <w:ilvl w:val="0"/>
                <w:numId w:val="5"/>
              </w:numPr>
              <w:ind w:left="425" w:leftChars="0" w:hanging="425" w:firstLineChars="0"/>
              <w:rPr>
                <w:rFonts w:hint="eastAsia"/>
                <w:color w:val="auto"/>
                <w:highlight w:val="none"/>
              </w:rPr>
            </w:pPr>
            <w:r>
              <w:rPr>
                <w:rFonts w:hint="eastAsia"/>
                <w:color w:val="auto"/>
                <w:highlight w:val="none"/>
              </w:rPr>
              <w:t>复电后自动运行</w:t>
            </w:r>
          </w:p>
          <w:p>
            <w:pPr>
              <w:numPr>
                <w:ilvl w:val="0"/>
                <w:numId w:val="5"/>
              </w:numPr>
              <w:ind w:left="425" w:leftChars="0" w:hanging="425" w:firstLineChars="0"/>
              <w:rPr>
                <w:rFonts w:hint="eastAsia"/>
                <w:color w:val="auto"/>
                <w:highlight w:val="none"/>
              </w:rPr>
            </w:pPr>
            <w:r>
              <w:rPr>
                <w:rFonts w:hint="eastAsia"/>
                <w:color w:val="auto"/>
                <w:highlight w:val="none"/>
              </w:rPr>
              <w:t>故障低速自救运行功能</w:t>
            </w:r>
          </w:p>
          <w:p>
            <w:pPr>
              <w:numPr>
                <w:ilvl w:val="0"/>
                <w:numId w:val="5"/>
              </w:numPr>
              <w:ind w:left="425" w:leftChars="0" w:hanging="425" w:firstLineChars="0"/>
              <w:rPr>
                <w:rFonts w:hint="eastAsia"/>
                <w:color w:val="auto"/>
                <w:highlight w:val="none"/>
              </w:rPr>
            </w:pPr>
            <w:r>
              <w:rPr>
                <w:rFonts w:hint="eastAsia"/>
                <w:color w:val="auto"/>
                <w:highlight w:val="none"/>
              </w:rPr>
              <w:t>钢丝绳拉伸自动补偿功能</w:t>
            </w:r>
          </w:p>
          <w:p>
            <w:pPr>
              <w:numPr>
                <w:ilvl w:val="0"/>
                <w:numId w:val="5"/>
              </w:numPr>
              <w:ind w:left="425" w:leftChars="0" w:hanging="425" w:firstLineChars="0"/>
              <w:rPr>
                <w:rFonts w:hint="eastAsia"/>
                <w:color w:val="auto"/>
                <w:highlight w:val="none"/>
              </w:rPr>
            </w:pPr>
            <w:r>
              <w:rPr>
                <w:rFonts w:hint="eastAsia"/>
                <w:color w:val="auto"/>
                <w:highlight w:val="none"/>
              </w:rPr>
              <w:t>驱动系统温度异常检知保护</w:t>
            </w:r>
          </w:p>
          <w:p>
            <w:pPr>
              <w:numPr>
                <w:ilvl w:val="0"/>
                <w:numId w:val="5"/>
              </w:numPr>
              <w:ind w:left="425" w:leftChars="0" w:hanging="425" w:firstLineChars="0"/>
              <w:rPr>
                <w:rFonts w:hint="eastAsia"/>
                <w:color w:val="auto"/>
                <w:highlight w:val="none"/>
              </w:rPr>
            </w:pPr>
            <w:r>
              <w:rPr>
                <w:rFonts w:hint="eastAsia"/>
                <w:color w:val="auto"/>
                <w:highlight w:val="none"/>
              </w:rPr>
              <w:t>楼高尺寸自动记忆调整功能</w:t>
            </w:r>
          </w:p>
          <w:p>
            <w:pPr>
              <w:numPr>
                <w:ilvl w:val="0"/>
                <w:numId w:val="5"/>
              </w:numPr>
              <w:ind w:left="425" w:leftChars="0" w:hanging="425" w:firstLineChars="0"/>
              <w:rPr>
                <w:rFonts w:hint="eastAsia"/>
                <w:color w:val="auto"/>
                <w:highlight w:val="none"/>
              </w:rPr>
            </w:pPr>
            <w:r>
              <w:rPr>
                <w:rFonts w:hint="eastAsia"/>
                <w:color w:val="auto"/>
                <w:highlight w:val="none"/>
              </w:rPr>
              <w:t>管制运行迫降反馈信号</w:t>
            </w:r>
          </w:p>
          <w:p>
            <w:pPr>
              <w:numPr>
                <w:ilvl w:val="0"/>
                <w:numId w:val="5"/>
              </w:numPr>
              <w:ind w:left="425" w:leftChars="0" w:hanging="425" w:firstLineChars="0"/>
              <w:rPr>
                <w:rFonts w:hint="eastAsia"/>
                <w:color w:val="auto"/>
                <w:highlight w:val="none"/>
              </w:rPr>
            </w:pPr>
            <w:r>
              <w:rPr>
                <w:rFonts w:hint="eastAsia"/>
                <w:color w:val="auto"/>
                <w:highlight w:val="none"/>
              </w:rPr>
              <w:t>取消轿内恶作剧功能（&gt;5层站，轿内重量&lt;150kg）</w:t>
            </w:r>
          </w:p>
          <w:p>
            <w:pPr>
              <w:numPr>
                <w:ilvl w:val="0"/>
                <w:numId w:val="5"/>
              </w:numPr>
              <w:ind w:left="425" w:leftChars="0" w:hanging="425" w:firstLineChars="0"/>
              <w:rPr>
                <w:rFonts w:hint="eastAsia"/>
                <w:color w:val="auto"/>
                <w:highlight w:val="none"/>
              </w:rPr>
            </w:pPr>
            <w:r>
              <w:rPr>
                <w:rFonts w:hint="eastAsia"/>
                <w:color w:val="auto"/>
                <w:highlight w:val="none"/>
              </w:rPr>
              <w:t>轿内误召唤取消（手动）</w:t>
            </w:r>
          </w:p>
          <w:p>
            <w:pPr>
              <w:numPr>
                <w:ilvl w:val="0"/>
                <w:numId w:val="5"/>
              </w:numPr>
              <w:ind w:left="425" w:leftChars="0" w:hanging="425" w:firstLineChars="0"/>
              <w:rPr>
                <w:rFonts w:hint="eastAsia"/>
                <w:color w:val="auto"/>
                <w:highlight w:val="none"/>
              </w:rPr>
            </w:pPr>
            <w:r>
              <w:rPr>
                <w:rFonts w:hint="eastAsia"/>
                <w:color w:val="auto"/>
                <w:highlight w:val="none"/>
              </w:rPr>
              <w:t>满员自动通过功能</w:t>
            </w:r>
          </w:p>
          <w:p>
            <w:pPr>
              <w:numPr>
                <w:ilvl w:val="0"/>
                <w:numId w:val="5"/>
              </w:numPr>
              <w:ind w:left="425" w:leftChars="0" w:hanging="425" w:firstLineChars="0"/>
              <w:rPr>
                <w:rFonts w:hint="eastAsia"/>
                <w:color w:val="auto"/>
                <w:highlight w:val="none"/>
              </w:rPr>
            </w:pPr>
            <w:r>
              <w:rPr>
                <w:rFonts w:hint="eastAsia"/>
                <w:color w:val="auto"/>
                <w:highlight w:val="none"/>
              </w:rPr>
              <w:t>运行次数储存</w:t>
            </w:r>
          </w:p>
          <w:p>
            <w:pPr>
              <w:numPr>
                <w:ilvl w:val="0"/>
                <w:numId w:val="5"/>
              </w:numPr>
              <w:ind w:left="425" w:leftChars="0" w:hanging="425" w:firstLineChars="0"/>
              <w:rPr>
                <w:rFonts w:hint="eastAsia"/>
                <w:color w:val="auto"/>
                <w:highlight w:val="none"/>
              </w:rPr>
            </w:pPr>
            <w:r>
              <w:rPr>
                <w:rFonts w:hint="eastAsia"/>
                <w:color w:val="auto"/>
                <w:highlight w:val="none"/>
              </w:rPr>
              <w:t>故障自动记忆功能</w:t>
            </w:r>
          </w:p>
          <w:p>
            <w:pPr>
              <w:numPr>
                <w:ilvl w:val="0"/>
                <w:numId w:val="5"/>
              </w:numPr>
              <w:ind w:left="425" w:leftChars="0" w:hanging="425" w:firstLineChars="0"/>
              <w:rPr>
                <w:rFonts w:hint="eastAsia"/>
                <w:color w:val="auto"/>
                <w:highlight w:val="none"/>
              </w:rPr>
            </w:pPr>
            <w:r>
              <w:rPr>
                <w:rFonts w:hint="eastAsia"/>
                <w:color w:val="auto"/>
                <w:highlight w:val="none"/>
              </w:rPr>
              <w:t>异常时梯门反复开关</w:t>
            </w:r>
          </w:p>
          <w:p>
            <w:pPr>
              <w:numPr>
                <w:ilvl w:val="0"/>
                <w:numId w:val="5"/>
              </w:numPr>
              <w:ind w:left="425" w:leftChars="0" w:hanging="425" w:firstLineChars="0"/>
              <w:rPr>
                <w:rFonts w:hint="eastAsia"/>
                <w:color w:val="auto"/>
                <w:highlight w:val="none"/>
              </w:rPr>
            </w:pPr>
            <w:r>
              <w:rPr>
                <w:rFonts w:hint="eastAsia"/>
                <w:color w:val="auto"/>
                <w:highlight w:val="none"/>
              </w:rPr>
              <w:t>开门时间自动设定</w:t>
            </w:r>
          </w:p>
          <w:p>
            <w:pPr>
              <w:numPr>
                <w:ilvl w:val="0"/>
                <w:numId w:val="5"/>
              </w:numPr>
              <w:ind w:left="425" w:leftChars="0" w:hanging="425" w:firstLineChars="0"/>
              <w:rPr>
                <w:rFonts w:hint="eastAsia"/>
                <w:color w:val="auto"/>
                <w:highlight w:val="none"/>
              </w:rPr>
            </w:pPr>
            <w:r>
              <w:rPr>
                <w:rFonts w:hint="eastAsia"/>
                <w:color w:val="auto"/>
                <w:highlight w:val="none"/>
              </w:rPr>
              <w:t>电子称重补偿启动</w:t>
            </w:r>
          </w:p>
          <w:p>
            <w:pPr>
              <w:numPr>
                <w:ilvl w:val="0"/>
                <w:numId w:val="5"/>
              </w:numPr>
              <w:ind w:left="425" w:leftChars="0" w:hanging="425" w:firstLineChars="0"/>
              <w:rPr>
                <w:rFonts w:hint="eastAsia"/>
                <w:color w:val="auto"/>
                <w:highlight w:val="none"/>
              </w:rPr>
            </w:pPr>
            <w:r>
              <w:rPr>
                <w:rFonts w:hint="eastAsia"/>
                <w:color w:val="auto"/>
                <w:highlight w:val="none"/>
              </w:rPr>
              <w:t>候梯厅服务中止显示（中文显示）</w:t>
            </w:r>
          </w:p>
          <w:p>
            <w:pPr>
              <w:numPr>
                <w:ilvl w:val="0"/>
                <w:numId w:val="5"/>
              </w:numPr>
              <w:ind w:left="425" w:leftChars="0" w:hanging="425" w:firstLineChars="0"/>
              <w:rPr>
                <w:rFonts w:hint="eastAsia"/>
                <w:color w:val="auto"/>
                <w:highlight w:val="none"/>
              </w:rPr>
            </w:pPr>
            <w:r>
              <w:rPr>
                <w:rFonts w:hint="eastAsia"/>
                <w:color w:val="auto"/>
                <w:highlight w:val="none"/>
              </w:rPr>
              <w:t>候梯厅满载指示</w:t>
            </w:r>
          </w:p>
          <w:p>
            <w:pPr>
              <w:numPr>
                <w:ilvl w:val="0"/>
                <w:numId w:val="5"/>
              </w:numPr>
              <w:ind w:left="425" w:leftChars="0" w:hanging="425" w:firstLineChars="0"/>
              <w:rPr>
                <w:rFonts w:hint="eastAsia"/>
                <w:color w:val="auto"/>
                <w:highlight w:val="none"/>
              </w:rPr>
            </w:pPr>
            <w:r>
              <w:rPr>
                <w:rFonts w:hint="eastAsia"/>
                <w:color w:val="auto"/>
                <w:highlight w:val="none"/>
              </w:rPr>
              <w:t>换向重开门</w:t>
            </w:r>
          </w:p>
          <w:p>
            <w:pPr>
              <w:numPr>
                <w:ilvl w:val="0"/>
                <w:numId w:val="5"/>
              </w:numPr>
              <w:ind w:left="425" w:leftChars="0" w:hanging="425" w:firstLineChars="0"/>
              <w:rPr>
                <w:rFonts w:hint="eastAsia"/>
                <w:color w:val="auto"/>
                <w:highlight w:val="none"/>
              </w:rPr>
            </w:pPr>
            <w:r>
              <w:rPr>
                <w:rFonts w:hint="eastAsia"/>
                <w:color w:val="auto"/>
                <w:highlight w:val="none"/>
              </w:rPr>
              <w:t>即时关门</w:t>
            </w:r>
          </w:p>
          <w:p>
            <w:pPr>
              <w:numPr>
                <w:ilvl w:val="0"/>
                <w:numId w:val="5"/>
              </w:numPr>
              <w:ind w:left="425" w:leftChars="0" w:hanging="425" w:firstLineChars="0"/>
              <w:rPr>
                <w:rFonts w:hint="eastAsia"/>
                <w:color w:val="auto"/>
                <w:highlight w:val="none"/>
              </w:rPr>
            </w:pPr>
            <w:r>
              <w:rPr>
                <w:rFonts w:hint="eastAsia"/>
                <w:color w:val="auto"/>
                <w:highlight w:val="none"/>
              </w:rPr>
              <w:t>驻停功能</w:t>
            </w:r>
          </w:p>
          <w:p>
            <w:pPr>
              <w:numPr>
                <w:ilvl w:val="0"/>
                <w:numId w:val="5"/>
              </w:numPr>
              <w:ind w:left="425" w:leftChars="0" w:hanging="425" w:firstLineChars="0"/>
              <w:rPr>
                <w:rFonts w:hint="eastAsia"/>
                <w:color w:val="auto"/>
                <w:highlight w:val="none"/>
              </w:rPr>
            </w:pPr>
            <w:r>
              <w:rPr>
                <w:rFonts w:hint="eastAsia"/>
                <w:color w:val="auto"/>
                <w:highlight w:val="none"/>
              </w:rPr>
              <w:t>照明自动关闭功能</w:t>
            </w:r>
          </w:p>
          <w:p>
            <w:pPr>
              <w:numPr>
                <w:ilvl w:val="0"/>
                <w:numId w:val="5"/>
              </w:numPr>
              <w:ind w:left="425" w:leftChars="0" w:hanging="425" w:firstLineChars="0"/>
              <w:rPr>
                <w:rFonts w:hint="eastAsia"/>
                <w:color w:val="auto"/>
                <w:highlight w:val="none"/>
              </w:rPr>
            </w:pPr>
            <w:r>
              <w:rPr>
                <w:rFonts w:hint="eastAsia"/>
                <w:color w:val="auto"/>
                <w:highlight w:val="none"/>
              </w:rPr>
              <w:t>换气扇自动停止功能</w:t>
            </w:r>
          </w:p>
          <w:p>
            <w:pPr>
              <w:numPr>
                <w:ilvl w:val="0"/>
                <w:numId w:val="5"/>
              </w:numPr>
              <w:ind w:left="425" w:leftChars="0" w:hanging="425" w:firstLineChars="0"/>
              <w:rPr>
                <w:rFonts w:hint="eastAsia"/>
                <w:color w:val="auto"/>
                <w:highlight w:val="none"/>
              </w:rPr>
            </w:pPr>
            <w:r>
              <w:rPr>
                <w:rFonts w:hint="eastAsia"/>
                <w:color w:val="auto"/>
                <w:highlight w:val="none"/>
              </w:rPr>
              <w:t>★五方通话系统（主机系统HY-PD、UPS准用电源HY-、机房分机HY-PD2）</w:t>
            </w:r>
          </w:p>
          <w:p>
            <w:pPr>
              <w:numPr>
                <w:ilvl w:val="0"/>
                <w:numId w:val="5"/>
              </w:numPr>
              <w:ind w:left="425" w:leftChars="0" w:hanging="425" w:firstLineChars="0"/>
              <w:rPr>
                <w:rFonts w:hint="eastAsia"/>
                <w:color w:val="auto"/>
                <w:highlight w:val="none"/>
              </w:rPr>
            </w:pPr>
            <w:r>
              <w:rPr>
                <w:rFonts w:hint="eastAsia"/>
                <w:color w:val="auto"/>
                <w:highlight w:val="none"/>
              </w:rPr>
              <w:t>轿内层站方向显示</w:t>
            </w:r>
          </w:p>
          <w:p>
            <w:pPr>
              <w:numPr>
                <w:ilvl w:val="0"/>
                <w:numId w:val="5"/>
              </w:numPr>
              <w:ind w:left="425" w:leftChars="0" w:hanging="425" w:firstLineChars="0"/>
              <w:rPr>
                <w:rFonts w:hint="eastAsia"/>
                <w:color w:val="auto"/>
                <w:highlight w:val="none"/>
              </w:rPr>
            </w:pPr>
            <w:r>
              <w:rPr>
                <w:rFonts w:hint="eastAsia"/>
                <w:color w:val="auto"/>
                <w:highlight w:val="none"/>
              </w:rPr>
              <w:t>开门按钮灯（轿内自动熄灭灯时）</w:t>
            </w:r>
          </w:p>
          <w:p>
            <w:pPr>
              <w:numPr>
                <w:ilvl w:val="0"/>
                <w:numId w:val="5"/>
              </w:numPr>
              <w:ind w:left="425" w:leftChars="0" w:hanging="425" w:firstLineChars="0"/>
              <w:rPr>
                <w:rFonts w:hint="eastAsia"/>
                <w:color w:val="auto"/>
                <w:highlight w:val="none"/>
                <w:lang w:val="en-US" w:eastAsia="zh-CN"/>
              </w:rPr>
            </w:pPr>
            <w:r>
              <w:rPr>
                <w:rFonts w:hint="eastAsia"/>
                <w:color w:val="auto"/>
                <w:highlight w:val="none"/>
                <w:lang w:val="en-US" w:eastAsia="zh-CN"/>
              </w:rPr>
              <w:t>门过载保护功能</w:t>
            </w:r>
          </w:p>
          <w:p>
            <w:pPr>
              <w:numPr>
                <w:ilvl w:val="0"/>
                <w:numId w:val="5"/>
              </w:numPr>
              <w:ind w:left="425" w:leftChars="0" w:hanging="425" w:firstLineChars="0"/>
              <w:rPr>
                <w:rFonts w:hint="default"/>
                <w:color w:val="auto"/>
                <w:highlight w:val="none"/>
                <w:lang w:val="en-US" w:eastAsia="zh-CN"/>
              </w:rPr>
            </w:pPr>
            <w:r>
              <w:rPr>
                <w:rFonts w:hint="eastAsia"/>
                <w:color w:val="auto"/>
                <w:highlight w:val="none"/>
                <w:lang w:val="en-US" w:eastAsia="zh-CN"/>
              </w:rPr>
              <w:t>宽电压接入保护</w:t>
            </w:r>
          </w:p>
          <w:p>
            <w:pPr>
              <w:numPr>
                <w:ilvl w:val="0"/>
                <w:numId w:val="5"/>
              </w:numPr>
              <w:ind w:left="425" w:leftChars="0" w:hanging="425" w:firstLineChars="0"/>
              <w:rPr>
                <w:rFonts w:hint="default"/>
                <w:color w:val="auto"/>
                <w:highlight w:val="none"/>
                <w:lang w:val="en-US" w:eastAsia="zh-CN"/>
              </w:rPr>
            </w:pPr>
            <w:r>
              <w:rPr>
                <w:rFonts w:hint="eastAsia"/>
                <w:color w:val="auto"/>
                <w:highlight w:val="none"/>
                <w:lang w:val="en-US" w:eastAsia="zh-CN"/>
              </w:rPr>
              <w:t>电梯运行状态显示</w:t>
            </w:r>
          </w:p>
          <w:p>
            <w:pPr>
              <w:numPr>
                <w:ilvl w:val="0"/>
                <w:numId w:val="5"/>
              </w:numPr>
              <w:ind w:left="425" w:leftChars="0" w:hanging="425" w:firstLineChars="0"/>
              <w:rPr>
                <w:rFonts w:hint="default"/>
                <w:color w:val="auto"/>
                <w:highlight w:val="none"/>
                <w:lang w:val="en-US" w:eastAsia="zh-CN"/>
              </w:rPr>
            </w:pPr>
            <w:r>
              <w:rPr>
                <w:rFonts w:hint="eastAsia"/>
                <w:color w:val="auto"/>
                <w:highlight w:val="none"/>
                <w:lang w:val="en-US" w:eastAsia="zh-CN"/>
              </w:rPr>
              <w:t>轿门开启限制保护</w:t>
            </w:r>
          </w:p>
          <w:p>
            <w:pPr>
              <w:numPr>
                <w:ilvl w:val="0"/>
                <w:numId w:val="5"/>
              </w:numPr>
              <w:ind w:left="425" w:leftChars="0" w:hanging="425" w:firstLineChars="0"/>
              <w:rPr>
                <w:rFonts w:hint="default"/>
                <w:color w:val="auto"/>
                <w:highlight w:val="none"/>
                <w:lang w:val="en-US" w:eastAsia="zh-CN"/>
              </w:rPr>
            </w:pPr>
            <w:r>
              <w:rPr>
                <w:rFonts w:hint="eastAsia"/>
                <w:color w:val="auto"/>
                <w:highlight w:val="none"/>
                <w:lang w:val="en-US" w:eastAsia="zh-CN"/>
              </w:rPr>
              <w:t>轿厢意外移动保护</w:t>
            </w:r>
          </w:p>
          <w:p>
            <w:pPr>
              <w:numPr>
                <w:ilvl w:val="0"/>
                <w:numId w:val="5"/>
              </w:numPr>
              <w:ind w:left="425" w:leftChars="0" w:hanging="425" w:firstLineChars="0"/>
              <w:rPr>
                <w:rFonts w:hint="default"/>
                <w:color w:val="auto"/>
                <w:highlight w:val="none"/>
                <w:lang w:val="en-US" w:eastAsia="zh-CN"/>
              </w:rPr>
            </w:pPr>
            <w:r>
              <w:rPr>
                <w:rFonts w:hint="eastAsia"/>
                <w:color w:val="auto"/>
                <w:highlight w:val="none"/>
                <w:lang w:val="en-US" w:eastAsia="zh-CN"/>
              </w:rPr>
              <w:t>集选全自动方式</w:t>
            </w:r>
          </w:p>
          <w:p>
            <w:pPr>
              <w:numPr>
                <w:ilvl w:val="0"/>
                <w:numId w:val="5"/>
              </w:numPr>
              <w:ind w:left="425" w:leftChars="0" w:hanging="425" w:firstLineChars="0"/>
              <w:rPr>
                <w:rFonts w:hint="default"/>
                <w:color w:val="auto"/>
                <w:highlight w:val="none"/>
                <w:lang w:val="en-US" w:eastAsia="zh-CN"/>
              </w:rPr>
            </w:pPr>
            <w:r>
              <w:rPr>
                <w:rFonts w:hint="eastAsia"/>
                <w:color w:val="auto"/>
                <w:highlight w:val="none"/>
                <w:lang w:val="en-US" w:eastAsia="zh-CN"/>
              </w:rPr>
              <w:t>故障时自动就近平层</w:t>
            </w:r>
          </w:p>
          <w:p>
            <w:pPr>
              <w:numPr>
                <w:ilvl w:val="0"/>
                <w:numId w:val="5"/>
              </w:numPr>
              <w:ind w:left="425" w:leftChars="0" w:hanging="425" w:firstLineChars="0"/>
              <w:rPr>
                <w:rFonts w:hint="eastAsia" w:ascii="宋体" w:hAnsi="宋体" w:eastAsia="宋体" w:cs="宋体"/>
                <w:b w:val="0"/>
                <w:bCs w:val="0"/>
                <w:color w:val="auto"/>
                <w:szCs w:val="22"/>
                <w:highlight w:val="none"/>
              </w:rPr>
            </w:pPr>
            <w:r>
              <w:rPr>
                <w:rFonts w:hint="eastAsia"/>
                <w:color w:val="auto"/>
                <w:highlight w:val="none"/>
                <w:lang w:val="en-US" w:eastAsia="zh-CN"/>
              </w:rPr>
              <w:t>自动脱离联动控制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2" w:hRule="atLeast"/>
          <w:jc w:val="center"/>
        </w:trPr>
        <w:tc>
          <w:tcPr>
            <w:tcW w:w="426" w:type="dxa"/>
            <w:tcBorders>
              <w:top w:val="single" w:color="auto" w:sz="4" w:space="0"/>
              <w:bottom w:val="single" w:color="auto" w:sz="4" w:space="0"/>
              <w:right w:val="single" w:color="auto" w:sz="4" w:space="0"/>
            </w:tcBorders>
            <w:noWrap w:val="0"/>
            <w:vAlign w:val="center"/>
          </w:tcPr>
          <w:p>
            <w:pPr>
              <w:spacing w:line="360" w:lineRule="auto"/>
              <w:jc w:val="center"/>
              <w:rPr>
                <w:rFonts w:hAnsi="宋体" w:cs="宋体"/>
                <w:color w:val="auto"/>
                <w:highlight w:val="none"/>
              </w:rPr>
            </w:pPr>
            <w:r>
              <w:rPr>
                <w:rFonts w:hint="eastAsia" w:hAnsi="宋体" w:cs="宋体"/>
                <w:color w:val="auto"/>
                <w:highlight w:val="none"/>
              </w:rPr>
              <w:t>商务文件</w:t>
            </w:r>
          </w:p>
        </w:tc>
        <w:tc>
          <w:tcPr>
            <w:tcW w:w="8960" w:type="dxa"/>
            <w:gridSpan w:val="3"/>
            <w:tcBorders>
              <w:top w:val="single" w:color="auto" w:sz="4" w:space="0"/>
              <w:left w:val="single" w:color="auto" w:sz="4" w:space="0"/>
              <w:bottom w:val="single" w:color="auto" w:sz="4" w:space="0"/>
            </w:tcBorders>
            <w:noWrap w:val="0"/>
            <w:vAlign w:val="center"/>
          </w:tcPr>
          <w:p>
            <w:pPr>
              <w:shd w:val="clear" w:color="auto" w:fill="FFFFFF"/>
              <w:spacing w:line="480" w:lineRule="auto"/>
              <w:ind w:firstLine="430" w:firstLineChars="205"/>
              <w:rPr>
                <w:color w:val="auto"/>
                <w:highlight w:val="none"/>
              </w:rPr>
            </w:pPr>
            <w:r>
              <w:rPr>
                <w:rFonts w:hint="eastAsia"/>
                <w:color w:val="auto"/>
                <w:highlight w:val="none"/>
              </w:rPr>
              <w:t>一、</w:t>
            </w:r>
            <w:r>
              <w:rPr>
                <w:rFonts w:hint="eastAsia"/>
                <w:color w:val="auto"/>
                <w:highlight w:val="none"/>
                <w:lang w:eastAsia="zh-CN"/>
              </w:rPr>
              <w:t>签订</w:t>
            </w:r>
            <w:r>
              <w:rPr>
                <w:rFonts w:hint="eastAsia"/>
                <w:color w:val="auto"/>
                <w:highlight w:val="none"/>
              </w:rPr>
              <w:t>合同日期：自中标公告（成交通知书）发出之日起</w:t>
            </w:r>
            <w:r>
              <w:rPr>
                <w:rFonts w:hint="eastAsia"/>
                <w:color w:val="auto"/>
                <w:highlight w:val="none"/>
                <w:lang w:val="en-US" w:eastAsia="zh-CN"/>
              </w:rPr>
              <w:t>2</w:t>
            </w:r>
            <w:r>
              <w:rPr>
                <w:rFonts w:hint="eastAsia"/>
                <w:color w:val="auto"/>
                <w:highlight w:val="none"/>
              </w:rPr>
              <w:t>个工作日内。</w:t>
            </w:r>
          </w:p>
          <w:p>
            <w:pPr>
              <w:shd w:val="clear" w:color="auto" w:fill="FFFFFF"/>
              <w:spacing w:line="480" w:lineRule="auto"/>
              <w:ind w:firstLine="430" w:firstLineChars="205"/>
              <w:rPr>
                <w:rFonts w:hint="eastAsia"/>
                <w:color w:val="auto"/>
                <w:highlight w:val="none"/>
                <w:lang w:val="en-US" w:eastAsia="zh-CN"/>
              </w:rPr>
            </w:pPr>
            <w:r>
              <w:rPr>
                <w:rFonts w:hint="eastAsia"/>
                <w:color w:val="auto"/>
                <w:highlight w:val="none"/>
              </w:rPr>
              <w:t>★二、</w:t>
            </w:r>
            <w:r>
              <w:rPr>
                <w:rFonts w:hint="eastAsia"/>
                <w:color w:val="auto"/>
                <w:highlight w:val="none"/>
                <w:lang w:eastAsia="zh-CN"/>
              </w:rPr>
              <w:t>交付使用</w:t>
            </w:r>
            <w:r>
              <w:rPr>
                <w:rFonts w:hint="eastAsia"/>
                <w:color w:val="auto"/>
                <w:highlight w:val="none"/>
              </w:rPr>
              <w:t xml:space="preserve">期（含安装、调试时间）：合同签订后 </w:t>
            </w:r>
            <w:r>
              <w:rPr>
                <w:rFonts w:hint="eastAsia"/>
                <w:color w:val="auto"/>
                <w:highlight w:val="none"/>
                <w:lang w:val="en-US" w:eastAsia="zh-CN"/>
              </w:rPr>
              <w:t>15</w:t>
            </w:r>
            <w:r>
              <w:rPr>
                <w:rFonts w:hint="eastAsia"/>
                <w:color w:val="auto"/>
                <w:highlight w:val="none"/>
              </w:rPr>
              <w:t xml:space="preserve"> 日历天；合同签订</w:t>
            </w:r>
            <w:r>
              <w:rPr>
                <w:rFonts w:hint="eastAsia"/>
                <w:color w:val="auto"/>
                <w:highlight w:val="none"/>
                <w:lang w:eastAsia="zh-CN"/>
              </w:rPr>
              <w:t>时</w:t>
            </w:r>
            <w:r>
              <w:rPr>
                <w:color w:val="auto"/>
                <w:highlight w:val="none"/>
              </w:rPr>
              <w:t>,</w:t>
            </w:r>
            <w:r>
              <w:rPr>
                <w:rFonts w:hint="eastAsia"/>
                <w:color w:val="auto"/>
                <w:highlight w:val="none"/>
              </w:rPr>
              <w:t>中标人须派人到现场勘察，并根据现场实际情况设计电梯安装图纸</w:t>
            </w:r>
            <w:r>
              <w:rPr>
                <w:rFonts w:hint="eastAsia"/>
                <w:color w:val="auto"/>
                <w:highlight w:val="none"/>
                <w:lang w:eastAsia="zh-CN"/>
              </w:rPr>
              <w:t>隔日即</w:t>
            </w:r>
            <w:r>
              <w:rPr>
                <w:rFonts w:hint="eastAsia"/>
                <w:color w:val="auto"/>
                <w:highlight w:val="none"/>
              </w:rPr>
              <w:t>提供给招标人</w:t>
            </w:r>
            <w:r>
              <w:rPr>
                <w:rFonts w:hint="eastAsia"/>
                <w:color w:val="auto"/>
                <w:highlight w:val="none"/>
                <w:lang w:eastAsia="zh-CN"/>
              </w:rPr>
              <w:t>。</w:t>
            </w:r>
            <w:r>
              <w:rPr>
                <w:rFonts w:hint="eastAsia"/>
                <w:color w:val="auto"/>
                <w:highlight w:val="none"/>
              </w:rPr>
              <w:t>合同签订后</w:t>
            </w:r>
            <w:r>
              <w:rPr>
                <w:rFonts w:hint="eastAsia"/>
                <w:color w:val="auto"/>
                <w:highlight w:val="none"/>
                <w:lang w:val="en-US" w:eastAsia="zh-CN"/>
              </w:rPr>
              <w:t>3</w:t>
            </w:r>
            <w:r>
              <w:rPr>
                <w:rFonts w:hint="eastAsia"/>
                <w:color w:val="auto"/>
                <w:highlight w:val="none"/>
              </w:rPr>
              <w:t>日历天</w:t>
            </w:r>
            <w:r>
              <w:rPr>
                <w:rFonts w:hint="eastAsia"/>
                <w:color w:val="auto"/>
                <w:highlight w:val="none"/>
                <w:lang w:eastAsia="zh-CN"/>
              </w:rPr>
              <w:t>，需货到现场。</w:t>
            </w:r>
            <w:r>
              <w:rPr>
                <w:rFonts w:hint="eastAsia"/>
                <w:color w:val="auto"/>
                <w:highlight w:val="none"/>
              </w:rPr>
              <w:t>如需建筑施工单位配合，中标人须派人现场指导土建施工。中标人</w:t>
            </w:r>
            <w:r>
              <w:rPr>
                <w:rFonts w:hint="eastAsia"/>
                <w:color w:val="auto"/>
                <w:highlight w:val="none"/>
                <w:lang w:eastAsia="zh-CN"/>
              </w:rPr>
              <w:t>因自身原因无法完成工期，</w:t>
            </w:r>
            <w:r>
              <w:rPr>
                <w:rFonts w:hint="eastAsia"/>
                <w:color w:val="auto"/>
                <w:highlight w:val="none"/>
                <w:lang w:val="en-US" w:eastAsia="zh-CN"/>
              </w:rPr>
              <w:t>3个日历日后</w:t>
            </w:r>
            <w:r>
              <w:rPr>
                <w:rFonts w:hint="eastAsia"/>
                <w:color w:val="auto"/>
                <w:highlight w:val="none"/>
              </w:rPr>
              <w:t>招标人</w:t>
            </w:r>
            <w:r>
              <w:rPr>
                <w:rFonts w:hint="eastAsia"/>
                <w:color w:val="auto"/>
                <w:highlight w:val="none"/>
                <w:lang w:eastAsia="zh-CN"/>
              </w:rPr>
              <w:t>有权解除合同，并提出相应的违约损失。</w:t>
            </w:r>
          </w:p>
          <w:p>
            <w:pPr>
              <w:shd w:val="clear" w:color="auto" w:fill="FFFFFF"/>
              <w:spacing w:line="480" w:lineRule="auto"/>
              <w:ind w:firstLine="430" w:firstLineChars="205"/>
              <w:rPr>
                <w:color w:val="auto"/>
                <w:highlight w:val="none"/>
              </w:rPr>
            </w:pPr>
            <w:r>
              <w:rPr>
                <w:rFonts w:hint="eastAsia"/>
                <w:color w:val="auto"/>
                <w:highlight w:val="none"/>
              </w:rPr>
              <w:t>★三、交货地点：施工现场（招标人指定位置），保管工作由投标人自行负责。</w:t>
            </w:r>
          </w:p>
          <w:p>
            <w:pPr>
              <w:shd w:val="clear" w:color="auto" w:fill="FFFFFF"/>
              <w:spacing w:line="480" w:lineRule="auto"/>
              <w:ind w:firstLine="430" w:firstLineChars="205"/>
              <w:rPr>
                <w:color w:val="auto"/>
                <w:highlight w:val="none"/>
              </w:rPr>
            </w:pPr>
            <w:r>
              <w:rPr>
                <w:rFonts w:hint="eastAsia"/>
                <w:color w:val="auto"/>
                <w:highlight w:val="none"/>
              </w:rPr>
              <w:t>四、售后服务要求：</w:t>
            </w:r>
          </w:p>
          <w:p>
            <w:pPr>
              <w:shd w:val="clear" w:color="auto" w:fill="FFFFFF"/>
              <w:spacing w:line="480" w:lineRule="auto"/>
              <w:ind w:left="165"/>
              <w:rPr>
                <w:color w:val="auto"/>
                <w:highlight w:val="none"/>
              </w:rPr>
            </w:pPr>
            <w:r>
              <w:rPr>
                <w:rFonts w:hint="eastAsia"/>
                <w:color w:val="auto"/>
                <w:highlight w:val="none"/>
              </w:rPr>
              <w:t xml:space="preserve">  ★</w:t>
            </w:r>
            <w:r>
              <w:rPr>
                <w:color w:val="auto"/>
                <w:highlight w:val="none"/>
              </w:rPr>
              <w:t xml:space="preserve">1. </w:t>
            </w:r>
            <w:r>
              <w:rPr>
                <w:rFonts w:hint="eastAsia"/>
                <w:color w:val="auto"/>
                <w:highlight w:val="none"/>
              </w:rPr>
              <w:t>投标人对电梯的免费维保期（自交货并验收合格之日起计）不低于</w:t>
            </w:r>
            <w:r>
              <w:rPr>
                <w:rFonts w:hint="eastAsia"/>
                <w:color w:val="auto"/>
                <w:highlight w:val="none"/>
                <w:lang w:val="en-US" w:eastAsia="zh-CN"/>
              </w:rPr>
              <w:t>12</w:t>
            </w:r>
            <w:r>
              <w:rPr>
                <w:rFonts w:hint="eastAsia"/>
                <w:color w:val="auto"/>
                <w:highlight w:val="none"/>
              </w:rPr>
              <w:t>个月，免费维保期内维保的一切费用由投标人承担。投标人须提供免费维保期内的维保工作详细计划。有完善的安装施工队伍，实现销售、安装、售后服务一系列服务。免费维保期内，电梯一旦发生故障，投标人必须在投标文件承诺的时间内（</w:t>
            </w:r>
            <w:r>
              <w:rPr>
                <w:color w:val="auto"/>
                <w:highlight w:val="none"/>
              </w:rPr>
              <w:t>1</w:t>
            </w:r>
            <w:r>
              <w:rPr>
                <w:rFonts w:hint="eastAsia"/>
                <w:color w:val="auto"/>
                <w:highlight w:val="none"/>
              </w:rPr>
              <w:t>小时内）到达现场并及时排除故障。投标人如不及时修理，招标人有权自行派人修理，发生费用在质保金内按实扣除（无需经投标人确认），并且投标人按其费用的两倍向招标人进行赔偿。</w:t>
            </w:r>
            <w:r>
              <w:rPr>
                <w:color w:val="auto"/>
                <w:highlight w:val="none"/>
              </w:rPr>
              <w:t xml:space="preserve">                                                                         </w:t>
            </w:r>
          </w:p>
          <w:p>
            <w:pPr>
              <w:shd w:val="clear" w:color="auto" w:fill="FFFFFF"/>
              <w:spacing w:line="480" w:lineRule="auto"/>
              <w:ind w:left="165" w:firstLine="430" w:firstLineChars="205"/>
              <w:rPr>
                <w:color w:val="auto"/>
                <w:highlight w:val="none"/>
              </w:rPr>
            </w:pPr>
            <w:r>
              <w:rPr>
                <w:color w:val="auto"/>
                <w:highlight w:val="none"/>
              </w:rPr>
              <w:t xml:space="preserve">2. </w:t>
            </w:r>
            <w:r>
              <w:rPr>
                <w:rFonts w:hint="eastAsia"/>
                <w:color w:val="auto"/>
                <w:highlight w:val="none"/>
              </w:rPr>
              <w:t>其他售后服务要求：要求在投标书中报出保修期满后的维保费、优惠条件（人工费、材料费、抢修时间、付款办法）及各主要部件的报价，保修期满后招标人可以选择按投标人承诺的条件与投标人签订维修保养协议。</w:t>
            </w:r>
          </w:p>
          <w:p>
            <w:pPr>
              <w:shd w:val="clear" w:color="auto" w:fill="FFFFFF"/>
              <w:spacing w:line="480" w:lineRule="auto"/>
              <w:ind w:firstLine="420" w:firstLineChars="200"/>
              <w:jc w:val="left"/>
              <w:rPr>
                <w:rFonts w:hint="eastAsia"/>
                <w:color w:val="auto"/>
                <w:highlight w:val="none"/>
              </w:rPr>
            </w:pPr>
            <w:r>
              <w:rPr>
                <w:color w:val="auto"/>
                <w:highlight w:val="none"/>
              </w:rPr>
              <w:t xml:space="preserve">3 </w:t>
            </w:r>
            <w:r>
              <w:rPr>
                <w:rFonts w:hint="eastAsia"/>
                <w:color w:val="auto"/>
                <w:highlight w:val="none"/>
              </w:rPr>
              <w:t>常年备有电梯配件，能及时处理、替换损坏的部件。</w:t>
            </w:r>
          </w:p>
          <w:p>
            <w:pPr>
              <w:shd w:val="clear" w:color="auto" w:fill="FFFFFF"/>
              <w:spacing w:line="480" w:lineRule="auto"/>
              <w:ind w:left="165"/>
              <w:rPr>
                <w:color w:val="auto"/>
                <w:highlight w:val="none"/>
              </w:rPr>
            </w:pPr>
            <w:r>
              <w:rPr>
                <w:rFonts w:hint="eastAsia"/>
                <w:color w:val="auto"/>
                <w:highlight w:val="none"/>
              </w:rPr>
              <w:t>★五、实质性要求和条件：本次招标内容为电梯设备的采购供货、安装、调试、缺陷处理、维修、所有检测费用及后期服务。</w:t>
            </w:r>
          </w:p>
          <w:p>
            <w:pPr>
              <w:pStyle w:val="22"/>
              <w:spacing w:line="480" w:lineRule="auto"/>
              <w:ind w:firstLine="210" w:firstLineChars="100"/>
              <w:rPr>
                <w:rFonts w:hint="eastAsia"/>
                <w:color w:val="auto"/>
                <w:highlight w:val="none"/>
                <w:lang w:val="en-US" w:eastAsia="zh-CN"/>
              </w:rPr>
            </w:pPr>
            <w:r>
              <w:rPr>
                <w:rFonts w:hint="eastAsia"/>
                <w:color w:val="auto"/>
                <w:highlight w:val="none"/>
                <w:lang w:val="en-US" w:eastAsia="zh-CN"/>
              </w:rPr>
              <w:t>★六、1、非投标产品生产厂家的投标人在投标文件中提供本项目的售后服务书。</w:t>
            </w:r>
          </w:p>
          <w:p>
            <w:pPr>
              <w:snapToGrid w:val="0"/>
              <w:spacing w:line="480" w:lineRule="auto"/>
              <w:ind w:left="13" w:leftChars="6" w:firstLine="420" w:firstLineChars="200"/>
              <w:jc w:val="left"/>
              <w:rPr>
                <w:color w:val="auto"/>
                <w:highlight w:val="none"/>
              </w:rPr>
            </w:pPr>
            <w:r>
              <w:rPr>
                <w:rFonts w:hint="eastAsia"/>
                <w:color w:val="auto"/>
                <w:highlight w:val="none"/>
              </w:rPr>
              <w:t>2、投标人</w:t>
            </w:r>
            <w:r>
              <w:rPr>
                <w:rFonts w:hint="eastAsia" w:eastAsia="宋体"/>
                <w:color w:val="auto"/>
                <w:highlight w:val="none"/>
                <w:lang w:eastAsia="zh-CN"/>
              </w:rPr>
              <w:t>必须</w:t>
            </w:r>
            <w:r>
              <w:rPr>
                <w:rFonts w:hint="eastAsia"/>
                <w:color w:val="auto"/>
                <w:highlight w:val="none"/>
              </w:rPr>
              <w:t>提供证明投标产品的曳引主机、控制柜内控制</w:t>
            </w:r>
            <w:r>
              <w:rPr>
                <w:rFonts w:hint="eastAsia"/>
                <w:color w:val="auto"/>
                <w:highlight w:val="none"/>
                <w:lang w:eastAsia="zh-CN"/>
              </w:rPr>
              <w:t>电子元件</w:t>
            </w:r>
            <w:r>
              <w:rPr>
                <w:rFonts w:hint="eastAsia"/>
                <w:color w:val="auto"/>
                <w:highlight w:val="none"/>
              </w:rPr>
              <w:t>均要求为投标产品原品牌研制开发，原品牌进口或者国内独资或合资工厂生产配置（不得外购）与投标产品为同一品牌的证明材料原件。</w:t>
            </w:r>
          </w:p>
          <w:p>
            <w:pPr>
              <w:spacing w:line="480" w:lineRule="auto"/>
              <w:ind w:firstLine="207" w:firstLineChars="99"/>
              <w:rPr>
                <w:color w:val="auto"/>
                <w:highlight w:val="none"/>
              </w:rPr>
            </w:pPr>
            <w:r>
              <w:rPr>
                <w:rFonts w:hint="eastAsia"/>
                <w:color w:val="auto"/>
                <w:highlight w:val="none"/>
              </w:rPr>
              <w:t>★七、投标报价为采购人指定地点的现场交货价，包括：</w:t>
            </w:r>
          </w:p>
          <w:p>
            <w:pPr>
              <w:spacing w:line="480" w:lineRule="auto"/>
              <w:ind w:firstLine="315" w:firstLineChars="150"/>
              <w:rPr>
                <w:color w:val="auto"/>
                <w:highlight w:val="none"/>
              </w:rPr>
            </w:pPr>
            <w:r>
              <w:rPr>
                <w:rFonts w:hint="eastAsia"/>
                <w:color w:val="auto"/>
                <w:highlight w:val="none"/>
              </w:rPr>
              <w:t>（</w:t>
            </w:r>
            <w:r>
              <w:rPr>
                <w:color w:val="auto"/>
                <w:highlight w:val="none"/>
              </w:rPr>
              <w:t>1</w:t>
            </w:r>
            <w:r>
              <w:rPr>
                <w:rFonts w:hint="eastAsia"/>
                <w:color w:val="auto"/>
                <w:highlight w:val="none"/>
              </w:rPr>
              <w:t>）货物的价格；</w:t>
            </w:r>
          </w:p>
          <w:p>
            <w:pPr>
              <w:spacing w:line="480" w:lineRule="auto"/>
              <w:ind w:firstLine="315" w:firstLineChars="150"/>
              <w:rPr>
                <w:color w:val="auto"/>
                <w:highlight w:val="none"/>
              </w:rPr>
            </w:pPr>
            <w:r>
              <w:rPr>
                <w:rFonts w:hint="eastAsia"/>
                <w:color w:val="auto"/>
                <w:highlight w:val="none"/>
              </w:rPr>
              <w:t>（</w:t>
            </w:r>
            <w:r>
              <w:rPr>
                <w:color w:val="auto"/>
                <w:highlight w:val="none"/>
              </w:rPr>
              <w:t>2</w:t>
            </w:r>
            <w:r>
              <w:rPr>
                <w:rFonts w:hint="eastAsia"/>
                <w:color w:val="auto"/>
                <w:highlight w:val="none"/>
              </w:rPr>
              <w:t>）货物的标准附件、备品备件、专用工具的价格；</w:t>
            </w:r>
          </w:p>
          <w:p>
            <w:pPr>
              <w:spacing w:line="480" w:lineRule="auto"/>
              <w:ind w:firstLine="315" w:firstLineChars="150"/>
              <w:rPr>
                <w:color w:val="auto"/>
                <w:highlight w:val="none"/>
              </w:rPr>
            </w:pPr>
            <w:r>
              <w:rPr>
                <w:rFonts w:hint="eastAsia"/>
                <w:color w:val="auto"/>
                <w:highlight w:val="none"/>
              </w:rPr>
              <w:t>（</w:t>
            </w:r>
            <w:r>
              <w:rPr>
                <w:color w:val="auto"/>
                <w:highlight w:val="none"/>
              </w:rPr>
              <w:t>3</w:t>
            </w:r>
            <w:r>
              <w:rPr>
                <w:rFonts w:hint="eastAsia"/>
                <w:color w:val="auto"/>
                <w:highlight w:val="none"/>
              </w:rPr>
              <w:t>）运输、装卸、调试、培训、技术支持、售后服务费用；</w:t>
            </w:r>
          </w:p>
          <w:p>
            <w:pPr>
              <w:spacing w:line="480" w:lineRule="auto"/>
              <w:ind w:firstLine="315" w:firstLineChars="150"/>
              <w:rPr>
                <w:color w:val="auto"/>
                <w:highlight w:val="none"/>
              </w:rPr>
            </w:pPr>
            <w:r>
              <w:rPr>
                <w:rFonts w:hint="eastAsia"/>
                <w:color w:val="auto"/>
                <w:highlight w:val="none"/>
              </w:rPr>
              <w:t>（</w:t>
            </w:r>
            <w:r>
              <w:rPr>
                <w:color w:val="auto"/>
                <w:highlight w:val="none"/>
              </w:rPr>
              <w:t>4</w:t>
            </w:r>
            <w:r>
              <w:rPr>
                <w:rFonts w:hint="eastAsia"/>
                <w:color w:val="auto"/>
                <w:highlight w:val="none"/>
              </w:rPr>
              <w:t>）必要的保险费用、关税和各项税费；</w:t>
            </w:r>
          </w:p>
          <w:p>
            <w:pPr>
              <w:shd w:val="clear" w:color="auto" w:fill="FFFFFF"/>
              <w:tabs>
                <w:tab w:val="left" w:pos="900"/>
              </w:tabs>
              <w:spacing w:line="480" w:lineRule="auto"/>
              <w:ind w:firstLine="315" w:firstLineChars="150"/>
              <w:jc w:val="left"/>
              <w:rPr>
                <w:color w:val="auto"/>
                <w:highlight w:val="none"/>
              </w:rPr>
            </w:pPr>
            <w:r>
              <w:rPr>
                <w:rFonts w:hint="eastAsia"/>
                <w:color w:val="auto"/>
                <w:highlight w:val="none"/>
              </w:rPr>
              <w:t>（</w:t>
            </w:r>
            <w:r>
              <w:rPr>
                <w:color w:val="auto"/>
                <w:highlight w:val="none"/>
              </w:rPr>
              <w:t>5</w:t>
            </w:r>
            <w:r>
              <w:rPr>
                <w:rFonts w:hint="eastAsia"/>
                <w:color w:val="auto"/>
                <w:highlight w:val="none"/>
              </w:rPr>
              <w:t>）安装费、调试、报装及验收费用。（含施工用的脚手架搭拆、设备吊运、检测费）</w:t>
            </w:r>
          </w:p>
          <w:p>
            <w:pPr>
              <w:shd w:val="clear" w:color="auto" w:fill="FFFFFF"/>
              <w:tabs>
                <w:tab w:val="left" w:pos="900"/>
              </w:tabs>
              <w:spacing w:line="480" w:lineRule="auto"/>
              <w:ind w:firstLine="315" w:firstLineChars="150"/>
              <w:jc w:val="left"/>
              <w:rPr>
                <w:color w:val="auto"/>
                <w:highlight w:val="none"/>
              </w:rPr>
            </w:pPr>
            <w:r>
              <w:rPr>
                <w:rFonts w:hint="eastAsia"/>
                <w:color w:val="auto"/>
                <w:highlight w:val="none"/>
              </w:rPr>
              <w:t>（6）中标人在负责电梯安装的同时对该工程的土建结构施工中同步进行指导，满足制造方提供的各项指标和我国电梯的相关规定所发生的费用。</w:t>
            </w:r>
          </w:p>
          <w:p>
            <w:pPr>
              <w:spacing w:line="480" w:lineRule="auto"/>
              <w:ind w:firstLine="315" w:firstLineChars="150"/>
              <w:rPr>
                <w:color w:val="auto"/>
                <w:highlight w:val="none"/>
              </w:rPr>
            </w:pPr>
            <w:r>
              <w:rPr>
                <w:rFonts w:hint="eastAsia"/>
                <w:color w:val="auto"/>
                <w:highlight w:val="none"/>
              </w:rPr>
              <w:t>★八、付款方式：</w:t>
            </w:r>
          </w:p>
          <w:p>
            <w:pPr>
              <w:spacing w:line="480" w:lineRule="auto"/>
              <w:ind w:firstLine="808" w:firstLineChars="385"/>
              <w:rPr>
                <w:color w:val="auto"/>
                <w:highlight w:val="none"/>
              </w:rPr>
            </w:pPr>
            <w:r>
              <w:rPr>
                <w:rFonts w:hint="eastAsia"/>
                <w:color w:val="auto"/>
                <w:highlight w:val="none"/>
              </w:rPr>
              <w:t>详见合同（验收合格是指当地劳动部门、质量监督部门及建设主管部门等验收合格，并能安全投入运行为准）</w:t>
            </w:r>
          </w:p>
          <w:p>
            <w:pPr>
              <w:shd w:val="clear" w:color="auto" w:fill="FFFFFF"/>
              <w:tabs>
                <w:tab w:val="left" w:pos="900"/>
              </w:tabs>
              <w:spacing w:line="480" w:lineRule="auto"/>
              <w:ind w:firstLine="315" w:firstLineChars="150"/>
              <w:jc w:val="left"/>
              <w:rPr>
                <w:color w:val="auto"/>
                <w:highlight w:val="none"/>
              </w:rPr>
            </w:pPr>
            <w:r>
              <w:rPr>
                <w:rFonts w:hint="eastAsia"/>
                <w:color w:val="auto"/>
                <w:highlight w:val="none"/>
              </w:rPr>
              <w:t>★九、设备必须是全新整套的、符合国家电梯有关质量标准，随机提供全中文的技术资料及图纸，提供经技术监督部门验收合格的电梯产品。零部件、配件及安装材料必须是未经使用的全新的并符合国家有关质量安全标准的产品；安装调试严格执行国家有关电梯安装的管理条例</w:t>
            </w:r>
          </w:p>
          <w:p>
            <w:pPr>
              <w:spacing w:line="480" w:lineRule="auto"/>
              <w:ind w:firstLine="315" w:firstLineChars="150"/>
              <w:rPr>
                <w:color w:val="auto"/>
                <w:highlight w:val="none"/>
              </w:rPr>
            </w:pPr>
            <w:r>
              <w:rPr>
                <w:rFonts w:hint="eastAsia"/>
                <w:color w:val="auto"/>
                <w:highlight w:val="none"/>
              </w:rPr>
              <w:t>★十、其他要求：</w:t>
            </w:r>
          </w:p>
          <w:p>
            <w:pPr>
              <w:spacing w:line="480" w:lineRule="auto"/>
              <w:ind w:firstLine="315" w:firstLineChars="150"/>
              <w:rPr>
                <w:color w:val="auto"/>
                <w:highlight w:val="none"/>
              </w:rPr>
            </w:pPr>
            <w:r>
              <w:rPr>
                <w:rFonts w:hint="eastAsia"/>
                <w:color w:val="auto"/>
                <w:highlight w:val="none"/>
              </w:rPr>
              <w:t>★</w:t>
            </w:r>
            <w:r>
              <w:rPr>
                <w:color w:val="auto"/>
                <w:highlight w:val="none"/>
              </w:rPr>
              <w:t>1.</w:t>
            </w:r>
            <w:r>
              <w:rPr>
                <w:rFonts w:hint="eastAsia"/>
                <w:color w:val="auto"/>
                <w:highlight w:val="none"/>
              </w:rPr>
              <w:t>设备安装调试必须严格执行国家有关技术标准，中标人自负施工人身、设备安全责任。</w:t>
            </w:r>
          </w:p>
          <w:p>
            <w:pPr>
              <w:spacing w:line="480" w:lineRule="auto"/>
              <w:ind w:firstLine="315" w:firstLineChars="150"/>
              <w:rPr>
                <w:rFonts w:hint="eastAsia" w:eastAsia="宋体"/>
                <w:color w:val="auto"/>
                <w:highlight w:val="none"/>
                <w:lang w:eastAsia="zh-CN"/>
              </w:rPr>
            </w:pPr>
            <w:r>
              <w:rPr>
                <w:rFonts w:hint="eastAsia"/>
                <w:color w:val="auto"/>
                <w:highlight w:val="none"/>
              </w:rPr>
              <w:t>★</w:t>
            </w:r>
            <w:r>
              <w:rPr>
                <w:color w:val="auto"/>
                <w:highlight w:val="none"/>
              </w:rPr>
              <w:t>2.</w:t>
            </w:r>
            <w:r>
              <w:rPr>
                <w:rFonts w:hint="eastAsia"/>
                <w:color w:val="auto"/>
                <w:highlight w:val="none"/>
              </w:rPr>
              <w:t>投标人企业资质：</w:t>
            </w:r>
            <w:r>
              <w:rPr>
                <w:rFonts w:hint="eastAsia" w:eastAsia="宋体"/>
                <w:color w:val="auto"/>
                <w:highlight w:val="none"/>
                <w:lang w:eastAsia="zh-CN"/>
              </w:rPr>
              <w:t>见公告</w:t>
            </w:r>
          </w:p>
          <w:p>
            <w:pPr>
              <w:spacing w:line="480" w:lineRule="auto"/>
              <w:ind w:firstLine="315" w:firstLineChars="150"/>
              <w:jc w:val="left"/>
              <w:rPr>
                <w:color w:val="auto"/>
                <w:highlight w:val="none"/>
              </w:rPr>
            </w:pPr>
            <w:r>
              <w:rPr>
                <w:rFonts w:hint="eastAsia"/>
                <w:color w:val="auto"/>
                <w:highlight w:val="none"/>
              </w:rPr>
              <w:t>★</w:t>
            </w:r>
            <w:r>
              <w:rPr>
                <w:color w:val="auto"/>
                <w:highlight w:val="none"/>
              </w:rPr>
              <w:t>3</w:t>
            </w:r>
            <w:r>
              <w:rPr>
                <w:rFonts w:hint="eastAsia"/>
                <w:color w:val="auto"/>
                <w:highlight w:val="none"/>
              </w:rPr>
              <w:t>、投标产品根据国家标准“</w:t>
            </w:r>
            <w:r>
              <w:rPr>
                <w:color w:val="auto"/>
                <w:highlight w:val="none"/>
              </w:rPr>
              <w:t>GB7588-2003</w:t>
            </w:r>
            <w:r>
              <w:rPr>
                <w:rFonts w:hint="eastAsia"/>
                <w:color w:val="auto"/>
                <w:highlight w:val="none"/>
              </w:rPr>
              <w:t>”、“</w:t>
            </w:r>
            <w:r>
              <w:rPr>
                <w:color w:val="auto"/>
                <w:highlight w:val="none"/>
              </w:rPr>
              <w:t>GB16899-1997</w:t>
            </w:r>
            <w:r>
              <w:rPr>
                <w:rFonts w:hint="eastAsia"/>
                <w:color w:val="auto"/>
                <w:highlight w:val="none"/>
              </w:rPr>
              <w:t>”及其它相关国家规范标准生产制造。</w:t>
            </w:r>
          </w:p>
          <w:p>
            <w:pPr>
              <w:spacing w:line="480" w:lineRule="auto"/>
              <w:ind w:firstLine="260" w:firstLineChars="124"/>
              <w:jc w:val="left"/>
              <w:rPr>
                <w:color w:val="auto"/>
                <w:highlight w:val="none"/>
              </w:rPr>
            </w:pPr>
            <w:r>
              <w:rPr>
                <w:rFonts w:hint="eastAsia"/>
                <w:color w:val="auto"/>
                <w:highlight w:val="none"/>
              </w:rPr>
              <w:t>★</w:t>
            </w:r>
            <w:r>
              <w:rPr>
                <w:color w:val="auto"/>
                <w:highlight w:val="none"/>
              </w:rPr>
              <w:t>4</w:t>
            </w:r>
            <w:r>
              <w:rPr>
                <w:rFonts w:hint="eastAsia" w:eastAsia="宋体"/>
                <w:color w:val="auto"/>
                <w:highlight w:val="none"/>
                <w:lang w:eastAsia="zh-CN"/>
              </w:rPr>
              <w:t>、</w:t>
            </w:r>
            <w:r>
              <w:rPr>
                <w:rFonts w:hint="eastAsia"/>
                <w:color w:val="auto"/>
                <w:highlight w:val="none"/>
              </w:rPr>
              <w:t>签订合同后，中标人必须提供生产厂家的授权委托书原件，否则</w:t>
            </w:r>
            <w:r>
              <w:rPr>
                <w:rFonts w:hint="eastAsia" w:eastAsia="宋体"/>
                <w:color w:val="auto"/>
                <w:highlight w:val="none"/>
                <w:lang w:eastAsia="zh-CN"/>
              </w:rPr>
              <w:t>按照合同违约处理</w:t>
            </w:r>
            <w:r>
              <w:rPr>
                <w:rFonts w:hint="eastAsia"/>
                <w:color w:val="auto"/>
                <w:highlight w:val="none"/>
              </w:rPr>
              <w:t>，投标人投标时须作出响应。</w:t>
            </w:r>
          </w:p>
          <w:p>
            <w:pPr>
              <w:spacing w:line="480" w:lineRule="auto"/>
              <w:ind w:firstLine="210" w:firstLineChars="100"/>
              <w:jc w:val="left"/>
              <w:rPr>
                <w:color w:val="auto"/>
                <w:highlight w:val="none"/>
              </w:rPr>
            </w:pPr>
            <w:r>
              <w:rPr>
                <w:rFonts w:hint="eastAsia"/>
                <w:color w:val="auto"/>
                <w:highlight w:val="none"/>
              </w:rPr>
              <w:t>★6、</w:t>
            </w:r>
            <w:r>
              <w:rPr>
                <w:color w:val="auto"/>
                <w:highlight w:val="none"/>
              </w:rPr>
              <w:t>在交货验收时</w:t>
            </w:r>
            <w:r>
              <w:rPr>
                <w:rFonts w:hint="eastAsia"/>
                <w:color w:val="auto"/>
                <w:highlight w:val="none"/>
              </w:rPr>
              <w:t>，对采购电梯的主要部件采购人有权聘请专家进行核查，相关费用由采购人支付，若</w:t>
            </w:r>
            <w:r>
              <w:rPr>
                <w:color w:val="auto"/>
                <w:highlight w:val="none"/>
              </w:rPr>
              <w:t>发现所交付的产品不能满足</w:t>
            </w:r>
            <w:r>
              <w:rPr>
                <w:rFonts w:hint="eastAsia"/>
                <w:color w:val="auto"/>
                <w:highlight w:val="none"/>
              </w:rPr>
              <w:t>招标</w:t>
            </w:r>
            <w:r>
              <w:rPr>
                <w:color w:val="auto"/>
                <w:highlight w:val="none"/>
              </w:rPr>
              <w:t>文件要求</w:t>
            </w:r>
            <w:r>
              <w:rPr>
                <w:rFonts w:hint="eastAsia"/>
                <w:color w:val="auto"/>
                <w:highlight w:val="none"/>
              </w:rPr>
              <w:t>，出现弄虚作假情况，一经查实，招标单位将予以退货，</w:t>
            </w:r>
            <w:r>
              <w:rPr>
                <w:color w:val="auto"/>
                <w:highlight w:val="none"/>
              </w:rPr>
              <w:t>并按照相关法律法规和合同约定条款进行处罚，由此造成的工期延误等所有责任均由</w:t>
            </w:r>
            <w:r>
              <w:rPr>
                <w:rFonts w:hint="eastAsia"/>
                <w:color w:val="auto"/>
                <w:highlight w:val="none"/>
              </w:rPr>
              <w:t>投</w:t>
            </w:r>
            <w:r>
              <w:rPr>
                <w:color w:val="auto"/>
                <w:highlight w:val="none"/>
              </w:rPr>
              <w:t>标人承担。</w:t>
            </w:r>
          </w:p>
          <w:p>
            <w:pPr>
              <w:pStyle w:val="3"/>
              <w:rPr>
                <w:rFonts w:hint="default" w:eastAsia="宋体"/>
                <w:color w:val="auto"/>
                <w:highlight w:val="none"/>
                <w:lang w:val="en-US" w:eastAsia="zh-CN"/>
              </w:rPr>
            </w:pPr>
            <w:r>
              <w:rPr>
                <w:rFonts w:hint="eastAsia"/>
                <w:color w:val="auto"/>
                <w:szCs w:val="22"/>
                <w:highlight w:val="none"/>
                <w:lang w:val="en-US" w:eastAsia="zh-CN"/>
              </w:rPr>
              <w:t xml:space="preserve">  </w:t>
            </w:r>
          </w:p>
        </w:tc>
      </w:tr>
    </w:tbl>
    <w:p>
      <w:pPr>
        <w:widowControl/>
        <w:spacing w:line="360" w:lineRule="auto"/>
        <w:jc w:val="center"/>
        <w:rPr>
          <w:rFonts w:hint="eastAsia" w:hAnsi="宋体" w:cs="宋体"/>
          <w:b/>
          <w:bCs/>
          <w:color w:val="auto"/>
          <w:kern w:val="0"/>
          <w:szCs w:val="21"/>
          <w:highlight w:val="none"/>
        </w:rPr>
      </w:pPr>
      <w:r>
        <w:rPr>
          <w:rFonts w:hint="eastAsia"/>
          <w:color w:val="auto"/>
          <w:szCs w:val="22"/>
          <w:highlight w:val="none"/>
        </w:rPr>
        <w:t>★</w:t>
      </w:r>
      <w:r>
        <w:rPr>
          <w:rFonts w:hint="eastAsia" w:hAnsi="宋体" w:cs="宋体"/>
          <w:b/>
          <w:bCs/>
          <w:color w:val="auto"/>
          <w:kern w:val="0"/>
          <w:szCs w:val="21"/>
          <w:highlight w:val="none"/>
        </w:rPr>
        <w:t>电梯维修保养部位及保养时间标准</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50"/>
        <w:gridCol w:w="4440"/>
        <w:gridCol w:w="3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 xml:space="preserve">保养部位 </w:t>
            </w: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编号</w:t>
            </w:r>
          </w:p>
        </w:tc>
        <w:tc>
          <w:tcPr>
            <w:tcW w:w="444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保养内容</w:t>
            </w:r>
          </w:p>
        </w:tc>
        <w:tc>
          <w:tcPr>
            <w:tcW w:w="3235"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保养时间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noWrap w:val="0"/>
            <w:vAlign w:val="center"/>
          </w:tcPr>
          <w:p>
            <w:pPr>
              <w:widowControl/>
              <w:spacing w:line="360" w:lineRule="auto"/>
              <w:jc w:val="center"/>
              <w:rPr>
                <w:rFonts w:hint="eastAsia" w:hAnsi="宋体" w:cs="宋体"/>
                <w:color w:val="auto"/>
                <w:kern w:val="0"/>
                <w:szCs w:val="21"/>
                <w:highlight w:val="none"/>
              </w:rPr>
            </w:pPr>
            <w:r>
              <w:rPr>
                <w:rFonts w:hint="eastAsia" w:hAnsi="宋体" w:cs="宋体"/>
                <w:color w:val="auto"/>
                <w:kern w:val="0"/>
                <w:szCs w:val="21"/>
                <w:highlight w:val="none"/>
              </w:rPr>
              <w:t>电</w:t>
            </w:r>
          </w:p>
          <w:p>
            <w:pPr>
              <w:widowControl/>
              <w:spacing w:line="360" w:lineRule="auto"/>
              <w:jc w:val="center"/>
              <w:rPr>
                <w:rFonts w:hint="eastAsia" w:hAnsi="宋体" w:cs="宋体"/>
                <w:color w:val="auto"/>
                <w:kern w:val="0"/>
                <w:szCs w:val="21"/>
                <w:highlight w:val="none"/>
              </w:rPr>
            </w:pPr>
            <w:r>
              <w:rPr>
                <w:rFonts w:hint="eastAsia" w:hAnsi="宋体" w:cs="宋体"/>
                <w:color w:val="auto"/>
                <w:kern w:val="0"/>
                <w:szCs w:val="21"/>
                <w:highlight w:val="none"/>
              </w:rPr>
              <w:t>梯</w:t>
            </w:r>
          </w:p>
          <w:p>
            <w:pPr>
              <w:widowControl/>
              <w:spacing w:line="360" w:lineRule="auto"/>
              <w:jc w:val="center"/>
              <w:rPr>
                <w:rFonts w:hint="eastAsia" w:hAnsi="宋体" w:cs="宋体"/>
                <w:color w:val="auto"/>
                <w:kern w:val="0"/>
                <w:szCs w:val="21"/>
                <w:highlight w:val="none"/>
              </w:rPr>
            </w:pPr>
            <w:r>
              <w:rPr>
                <w:rFonts w:hint="eastAsia" w:hAnsi="宋体" w:cs="宋体"/>
                <w:color w:val="auto"/>
                <w:kern w:val="0"/>
                <w:szCs w:val="21"/>
                <w:highlight w:val="none"/>
              </w:rPr>
              <w:t>机</w:t>
            </w:r>
          </w:p>
          <w:p>
            <w:pPr>
              <w:widowControl/>
              <w:spacing w:line="360" w:lineRule="auto"/>
              <w:jc w:val="center"/>
              <w:rPr>
                <w:rFonts w:hint="eastAsia" w:hAnsi="宋体" w:cs="宋体"/>
                <w:color w:val="auto"/>
                <w:kern w:val="0"/>
                <w:szCs w:val="21"/>
                <w:highlight w:val="none"/>
              </w:rPr>
            </w:pPr>
            <w:r>
              <w:rPr>
                <w:rFonts w:hint="eastAsia" w:hAnsi="宋体" w:cs="宋体"/>
                <w:color w:val="auto"/>
                <w:kern w:val="0"/>
                <w:szCs w:val="21"/>
                <w:highlight w:val="none"/>
              </w:rPr>
              <w:t>房</w:t>
            </w: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1</w:t>
            </w:r>
          </w:p>
        </w:tc>
        <w:tc>
          <w:tcPr>
            <w:tcW w:w="4440"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驱动、马达之震动、嗓音、温度、臭味、漏油、润滑情况检查</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2</w:t>
            </w:r>
          </w:p>
        </w:tc>
        <w:tc>
          <w:tcPr>
            <w:tcW w:w="4440"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szCs w:val="21"/>
                <w:highlight w:val="none"/>
              </w:rPr>
              <w:t>卷扬机主轮及偏位轮之轴承检查</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3</w:t>
            </w:r>
          </w:p>
        </w:tc>
        <w:tc>
          <w:tcPr>
            <w:tcW w:w="4440"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卷扬机主轮上下钢索是否高低一致</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4</w:t>
            </w:r>
          </w:p>
        </w:tc>
        <w:tc>
          <w:tcPr>
            <w:tcW w:w="4440"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szCs w:val="21"/>
                <w:highlight w:val="none"/>
              </w:rPr>
              <w:t>卷扬机换齿轮油</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每六月一次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5</w:t>
            </w:r>
          </w:p>
        </w:tc>
        <w:tc>
          <w:tcPr>
            <w:tcW w:w="4440"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szCs w:val="21"/>
                <w:highlight w:val="none"/>
              </w:rPr>
              <w:t>各轴承部打黄油</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每六月一次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6</w:t>
            </w:r>
          </w:p>
        </w:tc>
        <w:tc>
          <w:tcPr>
            <w:tcW w:w="4440"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szCs w:val="21"/>
                <w:highlight w:val="none"/>
              </w:rPr>
              <w:t>电磁刹车分解修理，活动轴承上油</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每六月一次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7</w:t>
            </w:r>
          </w:p>
        </w:tc>
        <w:tc>
          <w:tcPr>
            <w:tcW w:w="4440"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szCs w:val="21"/>
                <w:highlight w:val="none"/>
              </w:rPr>
              <w:t>电磁刹车动作性能校正</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8</w:t>
            </w:r>
          </w:p>
        </w:tc>
        <w:tc>
          <w:tcPr>
            <w:tcW w:w="4440"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szCs w:val="21"/>
                <w:highlight w:val="none"/>
              </w:rPr>
              <w:t>电磁刹车来令状况</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9</w:t>
            </w:r>
          </w:p>
        </w:tc>
        <w:tc>
          <w:tcPr>
            <w:tcW w:w="4440"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szCs w:val="21"/>
                <w:highlight w:val="none"/>
              </w:rPr>
              <w:t>调速机飞轮轴承制动杆中心栓注油</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每六月一次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10</w:t>
            </w:r>
          </w:p>
        </w:tc>
        <w:tc>
          <w:tcPr>
            <w:tcW w:w="4440"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szCs w:val="21"/>
                <w:highlight w:val="none"/>
              </w:rPr>
              <w:t>调速机性能检查（钢索、电气、机械动作点）</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11</w:t>
            </w:r>
          </w:p>
        </w:tc>
        <w:tc>
          <w:tcPr>
            <w:tcW w:w="4440"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szCs w:val="21"/>
                <w:highlight w:val="none"/>
              </w:rPr>
              <w:t>控制盘 CCBX 接点检查</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12</w:t>
            </w:r>
          </w:p>
        </w:tc>
        <w:tc>
          <w:tcPr>
            <w:tcW w:w="4440"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szCs w:val="21"/>
                <w:highlight w:val="none"/>
              </w:rPr>
              <w:t>机房环境及抽排风机检查</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13</w:t>
            </w:r>
          </w:p>
        </w:tc>
        <w:tc>
          <w:tcPr>
            <w:tcW w:w="4440"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szCs w:val="21"/>
                <w:highlight w:val="none"/>
              </w:rPr>
              <w:t>控制盘选择台内部清扫开关锁结线端子</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14</w:t>
            </w:r>
          </w:p>
        </w:tc>
        <w:tc>
          <w:tcPr>
            <w:tcW w:w="4440"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szCs w:val="21"/>
                <w:highlight w:val="none"/>
              </w:rPr>
              <w:t>各电动机器接线部去污清理并锁紧螺丝</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15</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控制盘内状况检查（电阻、电容、接点、印刷电路板清洁）</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16</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电源开关电源负荷电流测验</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17</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接地线检查油漆脱落处理</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noWrap w:val="0"/>
            <w:vAlign w:val="center"/>
          </w:tcPr>
          <w:p>
            <w:pPr>
              <w:widowControl/>
              <w:spacing w:line="360" w:lineRule="auto"/>
              <w:jc w:val="center"/>
              <w:rPr>
                <w:rFonts w:hint="eastAsia" w:hAnsi="宋体" w:cs="宋体"/>
                <w:color w:val="auto"/>
                <w:kern w:val="0"/>
                <w:szCs w:val="21"/>
                <w:highlight w:val="none"/>
              </w:rPr>
            </w:pPr>
            <w:r>
              <w:rPr>
                <w:rFonts w:hint="eastAsia" w:hAnsi="宋体" w:cs="宋体"/>
                <w:color w:val="auto"/>
                <w:kern w:val="0"/>
                <w:szCs w:val="21"/>
                <w:highlight w:val="none"/>
              </w:rPr>
              <w:t>井</w:t>
            </w:r>
          </w:p>
          <w:p>
            <w:pPr>
              <w:widowControl/>
              <w:spacing w:line="360" w:lineRule="auto"/>
              <w:jc w:val="center"/>
              <w:rPr>
                <w:rFonts w:hint="eastAsia" w:hAnsi="宋体" w:cs="宋体"/>
                <w:color w:val="auto"/>
                <w:kern w:val="0"/>
                <w:szCs w:val="21"/>
                <w:highlight w:val="none"/>
              </w:rPr>
            </w:pPr>
            <w:r>
              <w:rPr>
                <w:rFonts w:hint="eastAsia" w:hAnsi="宋体" w:cs="宋体"/>
                <w:color w:val="auto"/>
                <w:kern w:val="0"/>
                <w:szCs w:val="21"/>
                <w:highlight w:val="none"/>
              </w:rPr>
              <w:t>道</w:t>
            </w: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1</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导轨状况及补充给油杯之油量检查</w:t>
            </w:r>
          </w:p>
        </w:tc>
        <w:tc>
          <w:tcPr>
            <w:tcW w:w="3235" w:type="dxa"/>
            <w:noWrap w:val="0"/>
            <w:vAlign w:val="center"/>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2</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导滑器，油杯内油芯内分解处理</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3</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紧急停止试验及活动部轴承上油</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每三月一次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4</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升降路安全开关检查（动作杆滚动轴注油）</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5</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导轨支架螺丝锁紧</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6</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门系统及乘厢各部螺丝松驰检查</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7</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钢索调整，磨损及生锈检查</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8</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导滑器磨损情形，与导轨间隙</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9</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着床开关接线点检查及清洁</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10</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超重检测器的性能测验</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11</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检查导轨装配动作杆与各种自动控制开关作用状态</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12</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活动电缆是否破损，看元件松驰检查</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noWrap w:val="0"/>
            <w:vAlign w:val="center"/>
          </w:tcPr>
          <w:p>
            <w:pPr>
              <w:widowControl/>
              <w:spacing w:line="360" w:lineRule="auto"/>
              <w:jc w:val="center"/>
              <w:rPr>
                <w:rFonts w:hint="eastAsia" w:hAnsi="宋体" w:cs="宋体"/>
                <w:color w:val="auto"/>
                <w:kern w:val="0"/>
                <w:szCs w:val="21"/>
                <w:highlight w:val="none"/>
              </w:rPr>
            </w:pPr>
            <w:r>
              <w:rPr>
                <w:rFonts w:hint="eastAsia" w:hAnsi="宋体" w:cs="宋体"/>
                <w:color w:val="auto"/>
                <w:kern w:val="0"/>
                <w:szCs w:val="21"/>
                <w:highlight w:val="none"/>
              </w:rPr>
              <w:t>轿</w:t>
            </w:r>
          </w:p>
          <w:p>
            <w:pPr>
              <w:widowControl/>
              <w:spacing w:line="360" w:lineRule="auto"/>
              <w:jc w:val="center"/>
              <w:rPr>
                <w:rFonts w:hint="eastAsia" w:hAnsi="宋体" w:cs="宋体"/>
                <w:color w:val="auto"/>
                <w:kern w:val="0"/>
                <w:szCs w:val="21"/>
                <w:highlight w:val="none"/>
              </w:rPr>
            </w:pPr>
            <w:r>
              <w:rPr>
                <w:rFonts w:hint="eastAsia" w:hAnsi="宋体" w:cs="宋体"/>
                <w:color w:val="auto"/>
                <w:kern w:val="0"/>
                <w:szCs w:val="21"/>
                <w:highlight w:val="none"/>
              </w:rPr>
              <w:t>厢</w:t>
            </w: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1</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门驱动马达减速机、皮带等附属装置检查及轴承部上油</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2</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自动拉门联锁动作及安全开关性能测验</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3</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门轨清洁处理，钢索调整，活动轴承上油</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4</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联锁装置松紧检查</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5</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门脚导滑槽（车厢、档站）清洁</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6</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厢内操作盘作用情形，及信号状况点检查</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7</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厢内日光灯、电扇检查</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8</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紧急照明联络装置检查</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9</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减速着床准确程度（±10mm 以内）</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10</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楼站按钮有无损伤</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11</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指示灯炮不亮检查</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12</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出入口清洁检查</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13</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调速补助链条与齿轮辅助钢索轮滑轮并注油</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每三月一次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left"/>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14</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厢底各部检查</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noWrap w:val="0"/>
            <w:vAlign w:val="center"/>
          </w:tcPr>
          <w:p>
            <w:pPr>
              <w:widowControl/>
              <w:spacing w:line="360" w:lineRule="auto"/>
              <w:jc w:val="center"/>
              <w:rPr>
                <w:rFonts w:hint="eastAsia" w:hAnsi="宋体" w:cs="宋体"/>
                <w:color w:val="auto"/>
                <w:kern w:val="0"/>
                <w:szCs w:val="21"/>
                <w:highlight w:val="none"/>
              </w:rPr>
            </w:pPr>
            <w:r>
              <w:rPr>
                <w:rFonts w:hint="eastAsia" w:hAnsi="宋体" w:cs="宋体"/>
                <w:color w:val="auto"/>
                <w:kern w:val="0"/>
                <w:szCs w:val="21"/>
                <w:highlight w:val="none"/>
              </w:rPr>
              <w:t>底</w:t>
            </w:r>
          </w:p>
          <w:p>
            <w:pPr>
              <w:widowControl/>
              <w:spacing w:line="360" w:lineRule="auto"/>
              <w:jc w:val="center"/>
              <w:rPr>
                <w:rFonts w:hint="eastAsia" w:hAnsi="宋体" w:cs="宋体"/>
                <w:color w:val="auto"/>
                <w:kern w:val="0"/>
                <w:szCs w:val="21"/>
                <w:highlight w:val="none"/>
              </w:rPr>
            </w:pPr>
            <w:r>
              <w:rPr>
                <w:rFonts w:hint="eastAsia" w:hAnsi="宋体" w:cs="宋体"/>
                <w:color w:val="auto"/>
                <w:kern w:val="0"/>
                <w:szCs w:val="21"/>
                <w:highlight w:val="none"/>
              </w:rPr>
              <w:t>坑</w:t>
            </w: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1</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底坑清理，导轨受油盖检查</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center"/>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2</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绶冲器油量检查</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center"/>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3</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调速机的重锤的度调整，安全距离检查</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每三月一次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center"/>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4</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平衡缝条长度扭曲调整</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每三月一次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widowControl/>
              <w:spacing w:line="360" w:lineRule="auto"/>
              <w:jc w:val="center"/>
              <w:rPr>
                <w:rFonts w:hint="eastAsia" w:hAnsi="宋体" w:cs="宋体"/>
                <w:color w:val="auto"/>
                <w:kern w:val="0"/>
                <w:szCs w:val="21"/>
                <w:highlight w:val="none"/>
              </w:rPr>
            </w:pPr>
          </w:p>
        </w:tc>
        <w:tc>
          <w:tcPr>
            <w:tcW w:w="850" w:type="dxa"/>
            <w:noWrap w:val="0"/>
            <w:vAlign w:val="top"/>
          </w:tcPr>
          <w:p>
            <w:pPr>
              <w:widowControl/>
              <w:spacing w:line="360" w:lineRule="auto"/>
              <w:jc w:val="left"/>
              <w:rPr>
                <w:rFonts w:hint="eastAsia" w:hAnsi="宋体" w:cs="宋体"/>
                <w:color w:val="auto"/>
                <w:kern w:val="0"/>
                <w:szCs w:val="21"/>
                <w:highlight w:val="none"/>
              </w:rPr>
            </w:pPr>
            <w:r>
              <w:rPr>
                <w:rFonts w:hint="eastAsia" w:hAnsi="宋体" w:cs="宋体"/>
                <w:color w:val="auto"/>
                <w:kern w:val="0"/>
                <w:szCs w:val="21"/>
                <w:highlight w:val="none"/>
              </w:rPr>
              <w:t>5</w:t>
            </w:r>
          </w:p>
        </w:tc>
        <w:tc>
          <w:tcPr>
            <w:tcW w:w="4440" w:type="dxa"/>
            <w:noWrap w:val="0"/>
            <w:vAlign w:val="center"/>
          </w:tcPr>
          <w:p>
            <w:pPr>
              <w:widowControl/>
              <w:spacing w:line="360" w:lineRule="auto"/>
              <w:rPr>
                <w:rFonts w:hint="eastAsia" w:hAnsi="宋体" w:cs="宋体"/>
                <w:color w:val="auto"/>
                <w:szCs w:val="21"/>
                <w:highlight w:val="none"/>
              </w:rPr>
            </w:pPr>
            <w:r>
              <w:rPr>
                <w:rFonts w:hint="eastAsia" w:hAnsi="宋体" w:cs="宋体"/>
                <w:color w:val="auto"/>
                <w:szCs w:val="21"/>
                <w:highlight w:val="none"/>
              </w:rPr>
              <w:t>底坑照明灯泡检查，安全开关动作确认</w:t>
            </w:r>
          </w:p>
        </w:tc>
        <w:tc>
          <w:tcPr>
            <w:tcW w:w="3235" w:type="dxa"/>
            <w:noWrap w:val="0"/>
            <w:vAlign w:val="center"/>
          </w:tcPr>
          <w:p>
            <w:pPr>
              <w:widowControl/>
              <w:spacing w:line="360" w:lineRule="auto"/>
              <w:rPr>
                <w:rFonts w:hint="eastAsia" w:hAnsi="宋体" w:cs="宋体"/>
                <w:color w:val="auto"/>
                <w:kern w:val="0"/>
                <w:szCs w:val="21"/>
                <w:highlight w:val="none"/>
              </w:rPr>
            </w:pPr>
            <w:r>
              <w:rPr>
                <w:rFonts w:hint="eastAsia" w:hAnsi="宋体" w:cs="宋体"/>
                <w:color w:val="auto"/>
                <w:kern w:val="0"/>
                <w:szCs w:val="21"/>
                <w:highlight w:val="none"/>
              </w:rPr>
              <w:t>不超过 15 天一次</w:t>
            </w:r>
          </w:p>
        </w:tc>
      </w:tr>
    </w:tbl>
    <w:p>
      <w:pPr>
        <w:widowControl/>
        <w:spacing w:line="360" w:lineRule="auto"/>
        <w:jc w:val="left"/>
        <w:rPr>
          <w:color w:val="auto"/>
          <w:szCs w:val="21"/>
          <w:highlight w:val="none"/>
        </w:rPr>
      </w:pPr>
      <w:r>
        <w:rPr>
          <w:rFonts w:hint="eastAsia" w:ascii="宋体" w:hAnsi="宋体" w:cs="宋体"/>
          <w:b/>
          <w:color w:val="auto"/>
          <w:kern w:val="0"/>
          <w:szCs w:val="21"/>
          <w:highlight w:val="none"/>
          <w:lang w:bidi="ar"/>
        </w:rPr>
        <w:t>执行标准</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1．《电梯、自动扶梯、自动人行道术语》GB/T7024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2．《电梯主要参数及轿厢、井道、机房的型式与尺寸》GB/T7025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3．《低压成套开关设备和控制设备》GB/T7251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4．《电梯制造与安装安全规范》GB7588-2003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5．《电梯安装验收规范》GB10060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6．《电梯技术条件》GB/T10058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7．《电梯试验方法》GB/T10059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8．《建筑物的电气装置电击防护》GB/T14821.1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9．《电气装置安装工程电梯电气装置施工及验收规范》GB50182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10．《电梯工程施工质量验收规范》GB50310 </w:t>
      </w:r>
    </w:p>
    <w:p>
      <w:pPr>
        <w:widowControl/>
        <w:spacing w:line="360" w:lineRule="auto"/>
        <w:jc w:val="left"/>
        <w:rPr>
          <w:color w:val="auto"/>
          <w:szCs w:val="21"/>
          <w:highlight w:val="none"/>
        </w:rPr>
      </w:pPr>
      <w:r>
        <w:rPr>
          <w:rFonts w:hint="eastAsia" w:ascii="宋体" w:hAnsi="宋体" w:cs="宋体"/>
          <w:b/>
          <w:color w:val="auto"/>
          <w:kern w:val="0"/>
          <w:szCs w:val="21"/>
          <w:highlight w:val="none"/>
          <w:lang w:bidi="ar"/>
        </w:rPr>
        <w:t xml:space="preserve">保质期：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1.在正常使用情况下，电梯产品保质期为一年（从交货日当天算起），保质期间配件因质量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问题成交人负责免费更换。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2.在保质期间，由于使用单位管理、使用不当及其他人为造成的损坏、故障等，不属于免费更换的 </w:t>
      </w:r>
    </w:p>
    <w:p>
      <w:pPr>
        <w:widowControl/>
        <w:spacing w:line="360" w:lineRule="auto"/>
        <w:jc w:val="left"/>
        <w:rPr>
          <w:color w:val="auto"/>
          <w:szCs w:val="21"/>
          <w:highlight w:val="none"/>
        </w:rPr>
      </w:pPr>
      <w:r>
        <w:rPr>
          <w:rFonts w:hint="eastAsia" w:ascii="宋体" w:hAnsi="宋体" w:cs="宋体"/>
          <w:color w:val="auto"/>
          <w:kern w:val="0"/>
          <w:szCs w:val="21"/>
          <w:highlight w:val="none"/>
          <w:lang w:bidi="ar"/>
        </w:rPr>
        <w:t xml:space="preserve">范围，成交人可予以有偿提供配件。 </w:t>
      </w:r>
    </w:p>
    <w:p>
      <w:pPr>
        <w:rPr>
          <w:rFonts w:hint="eastAsia" w:ascii="宋体" w:hAnsi="宋体"/>
          <w:b/>
          <w:color w:val="auto"/>
          <w:szCs w:val="21"/>
          <w:highlight w:val="none"/>
        </w:rPr>
      </w:pPr>
      <w:r>
        <w:rPr>
          <w:rFonts w:hint="eastAsia" w:ascii="宋体" w:hAnsi="宋体"/>
          <w:b/>
          <w:color w:val="auto"/>
          <w:szCs w:val="21"/>
          <w:highlight w:val="none"/>
        </w:rPr>
        <w:t>相关采购及售后服务要求：</w:t>
      </w:r>
    </w:p>
    <w:p>
      <w:pPr>
        <w:spacing w:line="360" w:lineRule="auto"/>
        <w:rPr>
          <w:rFonts w:hint="eastAsia" w:ascii="宋体" w:hAnsi="宋体"/>
          <w:color w:val="auto"/>
          <w:szCs w:val="21"/>
          <w:highlight w:val="none"/>
        </w:rPr>
      </w:pPr>
      <w:r>
        <w:rPr>
          <w:rFonts w:hint="eastAsia" w:ascii="宋体" w:hAnsi="宋体"/>
          <w:color w:val="auto"/>
          <w:szCs w:val="21"/>
          <w:highlight w:val="none"/>
        </w:rPr>
        <w:t>1、设备必须是全新整套的、符合国家电梯有关质量标准，随机提供全中文的技术资料及图纸，提供经技术监督部门验收合格的电梯产品。零部件、配件及安装材料必须是未经使用的全新的并符合国家有关质量安全标准的产品；安装调试严格执行国家有关电梯安装的管理条例。</w:t>
      </w: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2、供应商对电梯的免费维保期（自交货并验收合格之日起计）不低于12个月，免费维保期内维保的一切费用由供应商承担。供应商须提供免费维保期内的维保工作详细计划，供应商必须有完善的安装施工队伍，实现销售、安装、售后服务一系列服务。免费维保期内，电梯一旦发生故障，供应商必须在响应文件承诺的时间内（1小时内）到达现场并及时排除故障。                                                                         </w:t>
      </w:r>
    </w:p>
    <w:p>
      <w:pPr>
        <w:spacing w:line="360" w:lineRule="auto"/>
        <w:rPr>
          <w:rFonts w:hint="eastAsia" w:ascii="宋体" w:hAnsi="宋体"/>
          <w:color w:val="auto"/>
          <w:szCs w:val="21"/>
          <w:highlight w:val="none"/>
        </w:rPr>
      </w:pPr>
      <w:r>
        <w:rPr>
          <w:rFonts w:hint="eastAsia" w:ascii="宋体" w:hAnsi="宋体"/>
          <w:color w:val="auto"/>
          <w:szCs w:val="21"/>
          <w:highlight w:val="none"/>
        </w:rPr>
        <w:t>3、常年备有电梯配件，能及时处理、替换损坏的部件。</w:t>
      </w:r>
    </w:p>
    <w:p>
      <w:pPr>
        <w:pStyle w:val="25"/>
        <w:ind w:left="0" w:leftChars="0"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4、交付使用时间：成交通知书后7天签合同，签完合同后，2周内设备交货。</w:t>
      </w:r>
    </w:p>
    <w:p>
      <w:pPr>
        <w:pStyle w:val="25"/>
        <w:ind w:left="0" w:leftChars="0" w:firstLine="0" w:firstLine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5、交付地点：业主指定的场所。</w:t>
      </w:r>
    </w:p>
    <w:p>
      <w:pPr>
        <w:spacing w:line="620" w:lineRule="exact"/>
        <w:ind w:firstLine="1743" w:firstLineChars="396"/>
        <w:outlineLvl w:val="0"/>
        <w:rPr>
          <w:rFonts w:hint="eastAsia" w:ascii="宋体" w:hAnsi="宋体"/>
          <w:b/>
          <w:color w:val="auto"/>
          <w:sz w:val="44"/>
          <w:szCs w:val="44"/>
          <w:highlight w:val="none"/>
        </w:rPr>
      </w:pPr>
      <w:bookmarkStart w:id="55" w:name="_Toc433105010"/>
    </w:p>
    <w:p>
      <w:pPr>
        <w:spacing w:line="620" w:lineRule="exact"/>
        <w:ind w:firstLine="1743" w:firstLineChars="396"/>
        <w:outlineLvl w:val="0"/>
        <w:rPr>
          <w:rFonts w:hint="eastAsia" w:ascii="宋体" w:hAnsi="宋体"/>
          <w:b/>
          <w:color w:val="auto"/>
          <w:sz w:val="44"/>
          <w:szCs w:val="44"/>
          <w:highlight w:val="none"/>
        </w:rPr>
      </w:pPr>
      <w:r>
        <w:rPr>
          <w:rFonts w:hint="eastAsia" w:ascii="宋体" w:hAnsi="宋体"/>
          <w:b/>
          <w:color w:val="auto"/>
          <w:sz w:val="44"/>
          <w:szCs w:val="44"/>
          <w:highlight w:val="none"/>
        </w:rPr>
        <w:t>第四章  竞争性谈判响应文件格式</w:t>
      </w:r>
      <w:bookmarkEnd w:id="55"/>
    </w:p>
    <w:p>
      <w:pPr>
        <w:spacing w:line="500" w:lineRule="exact"/>
        <w:rPr>
          <w:rFonts w:hint="eastAsia" w:ascii="仿宋_GB2312" w:hAnsi="宋体" w:eastAsia="仿宋_GB2312"/>
          <w:b/>
          <w:color w:val="auto"/>
          <w:sz w:val="32"/>
          <w:szCs w:val="32"/>
          <w:highlight w:val="none"/>
        </w:rPr>
      </w:pPr>
    </w:p>
    <w:p>
      <w:pPr>
        <w:snapToGrid w:val="0"/>
        <w:spacing w:before="156" w:beforeLines="50" w:after="50" w:line="360" w:lineRule="exact"/>
        <w:rPr>
          <w:rFonts w:hint="eastAsia" w:ascii="宋体" w:hAnsi="宋体"/>
          <w:b/>
          <w:bCs/>
          <w:color w:val="auto"/>
          <w:sz w:val="28"/>
          <w:szCs w:val="28"/>
          <w:highlight w:val="none"/>
        </w:rPr>
      </w:pPr>
      <w:r>
        <w:rPr>
          <w:rFonts w:hint="eastAsia" w:ascii="宋体" w:hAnsi="宋体"/>
          <w:b/>
          <w:bCs/>
          <w:color w:val="auto"/>
          <w:sz w:val="28"/>
          <w:szCs w:val="28"/>
          <w:highlight w:val="none"/>
        </w:rPr>
        <w:t xml:space="preserve">一、 </w:t>
      </w:r>
      <w:r>
        <w:rPr>
          <w:rFonts w:hint="eastAsia"/>
          <w:b/>
          <w:color w:val="auto"/>
          <w:sz w:val="28"/>
          <w:szCs w:val="28"/>
          <w:highlight w:val="none"/>
        </w:rPr>
        <w:t>竞争性谈判响应文件</w:t>
      </w:r>
      <w:r>
        <w:rPr>
          <w:rFonts w:hint="eastAsia" w:ascii="宋体" w:hAnsi="宋体"/>
          <w:b/>
          <w:bCs/>
          <w:color w:val="auto"/>
          <w:sz w:val="28"/>
          <w:szCs w:val="28"/>
          <w:highlight w:val="none"/>
        </w:rPr>
        <w:t>外包装封面及</w:t>
      </w:r>
      <w:r>
        <w:rPr>
          <w:rFonts w:hint="eastAsia"/>
          <w:b/>
          <w:color w:val="auto"/>
          <w:sz w:val="28"/>
          <w:szCs w:val="28"/>
          <w:highlight w:val="none"/>
        </w:rPr>
        <w:t>竞争性谈判响应文件</w:t>
      </w:r>
      <w:r>
        <w:rPr>
          <w:rFonts w:hint="eastAsia" w:ascii="宋体" w:hAnsi="宋体"/>
          <w:b/>
          <w:color w:val="auto"/>
          <w:sz w:val="28"/>
          <w:szCs w:val="28"/>
          <w:highlight w:val="none"/>
        </w:rPr>
        <w:t>封面</w:t>
      </w:r>
      <w:r>
        <w:rPr>
          <w:rFonts w:hint="eastAsia" w:ascii="宋体" w:hAnsi="宋体"/>
          <w:b/>
          <w:bCs/>
          <w:color w:val="auto"/>
          <w:sz w:val="28"/>
          <w:szCs w:val="28"/>
          <w:highlight w:val="none"/>
        </w:rPr>
        <w:t>格式</w:t>
      </w:r>
    </w:p>
    <w:p>
      <w:pPr>
        <w:snapToGrid w:val="0"/>
        <w:spacing w:before="156" w:beforeLines="50" w:after="50" w:line="360" w:lineRule="exact"/>
        <w:rPr>
          <w:rFonts w:hint="eastAsia" w:ascii="宋体" w:hAnsi="宋体"/>
          <w:b/>
          <w:color w:val="auto"/>
          <w:szCs w:val="21"/>
          <w:highlight w:val="none"/>
        </w:rPr>
      </w:pPr>
    </w:p>
    <w:p>
      <w:pPr>
        <w:snapToGrid w:val="0"/>
        <w:spacing w:before="156" w:beforeLines="50" w:after="50" w:line="360" w:lineRule="exact"/>
        <w:rPr>
          <w:rFonts w:hint="eastAsia" w:ascii="宋体" w:hAnsi="宋体"/>
          <w:b/>
          <w:color w:val="auto"/>
          <w:szCs w:val="21"/>
          <w:highlight w:val="none"/>
        </w:rPr>
      </w:pPr>
      <w:r>
        <w:rPr>
          <w:rFonts w:hint="eastAsia" w:ascii="宋体" w:hAnsi="宋体"/>
          <w:b/>
          <w:color w:val="auto"/>
          <w:szCs w:val="21"/>
          <w:highlight w:val="none"/>
        </w:rPr>
        <w:t>一）.</w:t>
      </w:r>
      <w:r>
        <w:rPr>
          <w:rFonts w:hint="eastAsia"/>
          <w:b/>
          <w:color w:val="auto"/>
          <w:highlight w:val="none"/>
        </w:rPr>
        <w:t xml:space="preserve"> 竞争性谈判响应文件</w:t>
      </w:r>
      <w:r>
        <w:rPr>
          <w:rFonts w:hint="eastAsia" w:ascii="宋体" w:hAnsi="宋体"/>
          <w:b/>
          <w:color w:val="auto"/>
          <w:szCs w:val="21"/>
          <w:highlight w:val="none"/>
        </w:rPr>
        <w:t xml:space="preserve">的外包装封面格式： </w:t>
      </w:r>
    </w:p>
    <w:p>
      <w:pPr>
        <w:snapToGrid w:val="0"/>
        <w:spacing w:before="156" w:beforeLines="50" w:after="50" w:line="360" w:lineRule="exact"/>
        <w:rPr>
          <w:rFonts w:hint="eastAsia" w:ascii="宋体" w:hAnsi="宋体"/>
          <w:color w:val="auto"/>
          <w:szCs w:val="21"/>
          <w:highlight w:val="none"/>
        </w:rPr>
      </w:pPr>
    </w:p>
    <w:p>
      <w:pPr>
        <w:snapToGrid w:val="0"/>
        <w:spacing w:before="156" w:beforeLines="50" w:after="50" w:line="360" w:lineRule="exact"/>
        <w:ind w:firstLine="3518" w:firstLineChars="1095"/>
        <w:rPr>
          <w:rFonts w:hint="eastAsia" w:ascii="宋体" w:hAnsi="宋体"/>
          <w:color w:val="auto"/>
          <w:szCs w:val="21"/>
          <w:highlight w:val="none"/>
        </w:rPr>
      </w:pPr>
      <w:r>
        <w:rPr>
          <w:rFonts w:hint="eastAsia" w:ascii="仿宋_GB2312" w:hAnsi="宋体" w:eastAsia="仿宋_GB2312"/>
          <w:b/>
          <w:color w:val="auto"/>
          <w:sz w:val="32"/>
          <w:szCs w:val="32"/>
          <w:highlight w:val="none"/>
        </w:rPr>
        <w:t>竞争性谈判响应文件</w:t>
      </w:r>
      <w:r>
        <w:rPr>
          <w:rFonts w:hint="eastAsia" w:ascii="宋体" w:hAnsi="宋体"/>
          <w:b/>
          <w:bCs/>
          <w:color w:val="auto"/>
          <w:sz w:val="32"/>
          <w:szCs w:val="32"/>
          <w:highlight w:val="none"/>
        </w:rPr>
        <w:t xml:space="preserve">   </w:t>
      </w:r>
      <w:r>
        <w:rPr>
          <w:rFonts w:hint="eastAsia" w:ascii="宋体" w:hAnsi="宋体"/>
          <w:b/>
          <w:bCs/>
          <w:color w:val="auto"/>
          <w:szCs w:val="21"/>
          <w:highlight w:val="none"/>
        </w:rPr>
        <w:t xml:space="preserve">           </w:t>
      </w:r>
    </w:p>
    <w:p>
      <w:pPr>
        <w:snapToGrid w:val="0"/>
        <w:spacing w:before="156" w:beforeLines="50" w:after="50" w:line="360" w:lineRule="exact"/>
        <w:ind w:firstLine="630" w:firstLineChars="300"/>
        <w:rPr>
          <w:rFonts w:hint="eastAsia" w:ascii="宋体" w:hAnsi="宋体"/>
          <w:bCs/>
          <w:color w:val="auto"/>
          <w:szCs w:val="21"/>
          <w:highlight w:val="none"/>
        </w:rPr>
      </w:pPr>
      <w:r>
        <w:rPr>
          <w:rFonts w:hint="eastAsia" w:ascii="宋体" w:hAnsi="宋体"/>
          <w:color w:val="auto"/>
          <w:szCs w:val="21"/>
          <w:highlight w:val="none"/>
        </w:rPr>
        <w:t>项目名称</w:t>
      </w:r>
      <w:r>
        <w:rPr>
          <w:rFonts w:hint="eastAsia" w:ascii="宋体" w:hAnsi="宋体"/>
          <w:bCs/>
          <w:color w:val="auto"/>
          <w:szCs w:val="21"/>
          <w:highlight w:val="none"/>
        </w:rPr>
        <w:t>：</w:t>
      </w:r>
    </w:p>
    <w:p>
      <w:pPr>
        <w:snapToGrid w:val="0"/>
        <w:spacing w:before="156" w:beforeLines="50" w:after="50" w:line="360" w:lineRule="exact"/>
        <w:ind w:firstLine="630" w:firstLineChars="300"/>
        <w:rPr>
          <w:rFonts w:hint="eastAsia" w:ascii="宋体" w:hAnsi="宋体"/>
          <w:bCs/>
          <w:color w:val="auto"/>
          <w:szCs w:val="21"/>
          <w:highlight w:val="none"/>
        </w:rPr>
      </w:pPr>
      <w:r>
        <w:rPr>
          <w:rFonts w:hint="eastAsia" w:ascii="宋体" w:hAnsi="宋体"/>
          <w:color w:val="auto"/>
          <w:szCs w:val="21"/>
          <w:highlight w:val="none"/>
        </w:rPr>
        <w:t>项目编号</w:t>
      </w:r>
      <w:r>
        <w:rPr>
          <w:rFonts w:hint="eastAsia" w:ascii="宋体" w:hAnsi="宋体"/>
          <w:bCs/>
          <w:color w:val="auto"/>
          <w:szCs w:val="21"/>
          <w:highlight w:val="none"/>
        </w:rPr>
        <w:t>：</w:t>
      </w:r>
    </w:p>
    <w:p>
      <w:pPr>
        <w:pStyle w:val="9"/>
        <w:snapToGrid w:val="0"/>
        <w:spacing w:before="50" w:after="50" w:line="440" w:lineRule="exact"/>
        <w:ind w:firstLine="630" w:firstLineChars="300"/>
        <w:rPr>
          <w:rFonts w:hint="eastAsia" w:ascii="宋体" w:hAnsi="宋体"/>
          <w:bCs/>
          <w:color w:val="auto"/>
          <w:szCs w:val="21"/>
          <w:highlight w:val="none"/>
        </w:rPr>
      </w:pPr>
      <w:r>
        <w:rPr>
          <w:rFonts w:hint="eastAsia" w:ascii="宋体" w:hAnsi="宋体"/>
          <w:color w:val="auto"/>
          <w:szCs w:val="21"/>
          <w:highlight w:val="none"/>
        </w:rPr>
        <w:t>谈判供应商名称</w:t>
      </w:r>
      <w:r>
        <w:rPr>
          <w:rFonts w:hint="eastAsia" w:ascii="宋体" w:hAnsi="宋体"/>
          <w:bCs/>
          <w:color w:val="auto"/>
          <w:szCs w:val="21"/>
          <w:highlight w:val="none"/>
        </w:rPr>
        <w:t>：</w:t>
      </w:r>
    </w:p>
    <w:p>
      <w:pPr>
        <w:pStyle w:val="9"/>
        <w:snapToGrid w:val="0"/>
        <w:spacing w:before="50" w:after="50" w:line="360" w:lineRule="exact"/>
        <w:ind w:firstLine="630" w:firstLineChars="300"/>
        <w:rPr>
          <w:rFonts w:hint="eastAsia" w:ascii="宋体" w:hAnsi="宋体"/>
          <w:bCs/>
          <w:color w:val="auto"/>
          <w:szCs w:val="21"/>
          <w:highlight w:val="none"/>
        </w:rPr>
      </w:pPr>
      <w:r>
        <w:rPr>
          <w:rFonts w:hint="eastAsia" w:ascii="宋体" w:hAnsi="宋体"/>
          <w:bCs/>
          <w:color w:val="auto"/>
          <w:szCs w:val="21"/>
          <w:highlight w:val="none"/>
        </w:rPr>
        <w:t>（截标时才能启封）</w:t>
      </w:r>
    </w:p>
    <w:p>
      <w:pPr>
        <w:pStyle w:val="9"/>
        <w:snapToGrid w:val="0"/>
        <w:spacing w:before="50" w:after="50" w:line="360" w:lineRule="exact"/>
        <w:ind w:firstLine="630" w:firstLineChars="300"/>
        <w:rPr>
          <w:rFonts w:hint="eastAsia" w:ascii="宋体" w:hAnsi="宋体"/>
          <w:bCs/>
          <w:color w:val="auto"/>
          <w:szCs w:val="21"/>
          <w:highlight w:val="none"/>
        </w:rPr>
      </w:pPr>
    </w:p>
    <w:p>
      <w:pPr>
        <w:snapToGrid w:val="0"/>
        <w:spacing w:before="156" w:beforeLines="50" w:after="50" w:line="360" w:lineRule="exact"/>
        <w:rPr>
          <w:rFonts w:hint="eastAsia" w:ascii="仿宋_GB2312" w:hAnsi="宋体" w:eastAsia="仿宋_GB2312"/>
          <w:b/>
          <w:color w:val="auto"/>
          <w:sz w:val="24"/>
          <w:highlight w:val="none"/>
        </w:rPr>
      </w:pPr>
      <w:r>
        <w:rPr>
          <w:rFonts w:hint="eastAsia" w:ascii="宋体" w:hAnsi="宋体"/>
          <w:b/>
          <w:color w:val="auto"/>
          <w:szCs w:val="21"/>
          <w:highlight w:val="none"/>
        </w:rPr>
        <w:t>二）.</w:t>
      </w:r>
      <w:r>
        <w:rPr>
          <w:rFonts w:hint="eastAsia"/>
          <w:b/>
          <w:color w:val="auto"/>
          <w:highlight w:val="none"/>
        </w:rPr>
        <w:t xml:space="preserve"> 竞争性谈判响应文件</w:t>
      </w:r>
      <w:r>
        <w:rPr>
          <w:rFonts w:hint="eastAsia" w:ascii="宋体" w:hAnsi="宋体"/>
          <w:b/>
          <w:color w:val="auto"/>
          <w:szCs w:val="21"/>
          <w:highlight w:val="none"/>
        </w:rPr>
        <w:t>封面格式：</w:t>
      </w:r>
      <w:r>
        <w:rPr>
          <w:rFonts w:hint="eastAsia" w:ascii="仿宋_GB2312" w:hAnsi="宋体" w:eastAsia="仿宋_GB2312"/>
          <w:b/>
          <w:color w:val="auto"/>
          <w:sz w:val="24"/>
          <w:highlight w:val="none"/>
        </w:rPr>
        <w:t xml:space="preserve"> </w:t>
      </w:r>
    </w:p>
    <w:p>
      <w:pPr>
        <w:snapToGrid w:val="0"/>
        <w:spacing w:before="156" w:beforeLines="50" w:after="50" w:line="360" w:lineRule="exact"/>
        <w:ind w:left="7200" w:hanging="7200" w:hangingChars="3000"/>
        <w:rPr>
          <w:rFonts w:hint="eastAsia" w:ascii="仿宋_GB2312" w:hAnsi="宋体" w:eastAsia="仿宋_GB2312"/>
          <w:bCs/>
          <w:color w:val="auto"/>
          <w:sz w:val="24"/>
          <w:highlight w:val="none"/>
        </w:rPr>
      </w:pPr>
      <w:r>
        <w:rPr>
          <w:rFonts w:hint="eastAsia" w:ascii="仿宋_GB2312" w:hAnsi="宋体" w:eastAsia="仿宋_GB2312"/>
          <w:color w:val="auto"/>
          <w:sz w:val="24"/>
          <w:highlight w:val="none"/>
        </w:rPr>
        <w:t xml:space="preserve">                                                                                             </w:t>
      </w:r>
      <w:r>
        <w:rPr>
          <w:rFonts w:hint="eastAsia" w:ascii="宋体" w:hAnsi="宋体"/>
          <w:b/>
          <w:bCs/>
          <w:color w:val="auto"/>
          <w:szCs w:val="21"/>
          <w:highlight w:val="none"/>
        </w:rPr>
        <w:t>（正/副本）</w:t>
      </w:r>
    </w:p>
    <w:p>
      <w:pPr>
        <w:snapToGrid w:val="0"/>
        <w:spacing w:before="156" w:beforeLines="50" w:after="50" w:line="360" w:lineRule="exact"/>
        <w:ind w:firstLine="2554" w:firstLineChars="795"/>
        <w:rPr>
          <w:rFonts w:hint="eastAsia" w:ascii="仿宋_GB2312" w:hAnsi="宋体" w:eastAsia="仿宋_GB2312"/>
          <w:bCs/>
          <w:color w:val="auto"/>
          <w:sz w:val="24"/>
          <w:highlight w:val="none"/>
        </w:rPr>
      </w:pPr>
      <w:r>
        <w:rPr>
          <w:rFonts w:hint="eastAsia" w:ascii="仿宋_GB2312" w:hAnsi="宋体" w:eastAsia="仿宋_GB2312"/>
          <w:b/>
          <w:color w:val="auto"/>
          <w:sz w:val="32"/>
          <w:szCs w:val="32"/>
          <w:highlight w:val="none"/>
        </w:rPr>
        <w:t>竞争性谈判响应文件（封面）</w:t>
      </w:r>
    </w:p>
    <w:p>
      <w:pPr>
        <w:spacing w:line="500" w:lineRule="exact"/>
        <w:ind w:firstLine="420" w:firstLineChars="200"/>
        <w:rPr>
          <w:rFonts w:hint="eastAsia" w:ascii="宋体" w:hAnsi="宋体"/>
          <w:color w:val="auto"/>
          <w:szCs w:val="21"/>
          <w:highlight w:val="none"/>
        </w:rPr>
      </w:pPr>
    </w:p>
    <w:p>
      <w:pPr>
        <w:spacing w:line="500" w:lineRule="exact"/>
        <w:ind w:firstLine="420" w:firstLineChars="200"/>
        <w:rPr>
          <w:rFonts w:hint="eastAsia" w:ascii="宋体" w:hAnsi="宋体"/>
          <w:color w:val="auto"/>
          <w:szCs w:val="21"/>
          <w:highlight w:val="none"/>
          <w:u w:val="single"/>
        </w:rPr>
      </w:pPr>
      <w:r>
        <w:rPr>
          <w:rFonts w:hint="eastAsia" w:ascii="宋体" w:hAnsi="宋体"/>
          <w:color w:val="auto"/>
          <w:szCs w:val="21"/>
          <w:highlight w:val="none"/>
        </w:rPr>
        <w:t>项目名称：</w:t>
      </w:r>
      <w:r>
        <w:rPr>
          <w:rFonts w:hint="eastAsia" w:ascii="宋体" w:hAnsi="宋体"/>
          <w:color w:val="auto"/>
          <w:szCs w:val="21"/>
          <w:highlight w:val="none"/>
          <w:u w:val="single"/>
        </w:rPr>
        <w:t xml:space="preserve">                       </w:t>
      </w:r>
    </w:p>
    <w:p>
      <w:pPr>
        <w:snapToGrid w:val="0"/>
        <w:spacing w:before="156" w:beforeLines="50" w:after="50" w:line="360" w:lineRule="exact"/>
        <w:ind w:firstLine="420" w:firstLineChars="200"/>
        <w:rPr>
          <w:rFonts w:hint="eastAsia" w:ascii="宋体" w:hAnsi="宋体"/>
          <w:color w:val="auto"/>
          <w:szCs w:val="21"/>
          <w:highlight w:val="none"/>
          <w:u w:val="single"/>
        </w:rPr>
      </w:pPr>
      <w:r>
        <w:rPr>
          <w:rFonts w:hint="eastAsia" w:ascii="宋体" w:hAnsi="宋体"/>
          <w:color w:val="auto"/>
          <w:szCs w:val="21"/>
          <w:highlight w:val="none"/>
        </w:rPr>
        <w:t>项目编号</w:t>
      </w:r>
      <w:r>
        <w:rPr>
          <w:rFonts w:hint="eastAsia" w:ascii="宋体" w:hAnsi="宋体"/>
          <w:bCs/>
          <w:color w:val="auto"/>
          <w:szCs w:val="21"/>
          <w:highlight w:val="none"/>
        </w:rPr>
        <w:t>：</w:t>
      </w:r>
      <w:r>
        <w:rPr>
          <w:rFonts w:hint="eastAsia" w:ascii="宋体" w:hAnsi="宋体"/>
          <w:color w:val="auto"/>
          <w:szCs w:val="21"/>
          <w:highlight w:val="none"/>
          <w:u w:val="single"/>
        </w:rPr>
        <w:t xml:space="preserve">                       </w:t>
      </w:r>
    </w:p>
    <w:p>
      <w:pPr>
        <w:snapToGrid w:val="0"/>
        <w:spacing w:before="156" w:beforeLines="50" w:after="50" w:line="360" w:lineRule="exact"/>
        <w:ind w:firstLine="420" w:firstLineChars="200"/>
        <w:rPr>
          <w:rFonts w:hint="eastAsia" w:ascii="宋体" w:hAnsi="宋体"/>
          <w:bCs/>
          <w:color w:val="auto"/>
          <w:szCs w:val="21"/>
          <w:highlight w:val="none"/>
        </w:rPr>
      </w:pPr>
      <w:r>
        <w:rPr>
          <w:rFonts w:hint="eastAsia" w:ascii="宋体" w:hAnsi="宋体"/>
          <w:color w:val="auto"/>
          <w:szCs w:val="21"/>
          <w:highlight w:val="none"/>
        </w:rPr>
        <w:t>谈判供应商名称</w:t>
      </w:r>
      <w:r>
        <w:rPr>
          <w:rFonts w:hint="eastAsia" w:ascii="宋体" w:hAnsi="宋体"/>
          <w:bCs/>
          <w:color w:val="auto"/>
          <w:szCs w:val="21"/>
          <w:highlight w:val="none"/>
        </w:rPr>
        <w:t>：</w:t>
      </w:r>
      <w:r>
        <w:rPr>
          <w:rFonts w:hint="eastAsia" w:ascii="宋体" w:hAnsi="宋体"/>
          <w:color w:val="auto"/>
          <w:szCs w:val="21"/>
          <w:highlight w:val="none"/>
          <w:u w:val="single"/>
        </w:rPr>
        <w:t xml:space="preserve">                        </w:t>
      </w:r>
    </w:p>
    <w:p>
      <w:pPr>
        <w:spacing w:line="500" w:lineRule="exact"/>
        <w:jc w:val="center"/>
        <w:rPr>
          <w:rFonts w:hint="eastAsia" w:ascii="宋体" w:hAnsi="宋体"/>
          <w:color w:val="auto"/>
          <w:szCs w:val="21"/>
          <w:highlight w:val="none"/>
        </w:rPr>
      </w:pPr>
      <w:r>
        <w:rPr>
          <w:rFonts w:hint="eastAsia" w:ascii="仿宋_GB2312" w:hAnsi="宋体" w:eastAsia="仿宋_GB2312"/>
          <w:color w:val="auto"/>
          <w:sz w:val="24"/>
          <w:highlight w:val="none"/>
        </w:rPr>
        <w:t xml:space="preserve">                      </w:t>
      </w:r>
    </w:p>
    <w:p>
      <w:pPr>
        <w:snapToGrid w:val="0"/>
        <w:spacing w:before="156" w:beforeLines="50" w:after="50" w:line="360" w:lineRule="exact"/>
        <w:jc w:val="center"/>
        <w:rPr>
          <w:rFonts w:hint="eastAsia" w:ascii="宋体" w:hAnsi="宋体"/>
          <w:color w:val="auto"/>
          <w:szCs w:val="21"/>
          <w:highlight w:val="none"/>
        </w:rPr>
      </w:pPr>
      <w:r>
        <w:rPr>
          <w:rFonts w:hint="eastAsia" w:ascii="宋体" w:hAnsi="宋体"/>
          <w:color w:val="auto"/>
          <w:szCs w:val="21"/>
          <w:highlight w:val="none"/>
        </w:rPr>
        <w:t xml:space="preserve">                                       年</w:t>
      </w:r>
      <w:r>
        <w:rPr>
          <w:rFonts w:hint="eastAsia" w:ascii="宋体" w:hAnsi="宋体" w:cs="宋体"/>
          <w:color w:val="auto"/>
          <w:szCs w:val="21"/>
          <w:highlight w:val="none"/>
        </w:rPr>
        <w:t xml:space="preserve">    </w:t>
      </w:r>
      <w:r>
        <w:rPr>
          <w:rFonts w:hint="eastAsia" w:ascii="宋体" w:hAnsi="宋体"/>
          <w:color w:val="auto"/>
          <w:szCs w:val="21"/>
          <w:highlight w:val="none"/>
        </w:rPr>
        <w:t>月    日</w:t>
      </w: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spacing w:line="520" w:lineRule="exact"/>
        <w:rPr>
          <w:rFonts w:hint="eastAsia" w:ascii="宋体" w:hAnsi="宋体"/>
          <w:b/>
          <w:color w:val="auto"/>
          <w:sz w:val="32"/>
          <w:szCs w:val="32"/>
          <w:highlight w:val="none"/>
        </w:rPr>
      </w:pPr>
      <w:r>
        <w:rPr>
          <w:rFonts w:hint="eastAsia" w:ascii="宋体" w:hAnsi="宋体"/>
          <w:b/>
          <w:color w:val="auto"/>
          <w:sz w:val="32"/>
          <w:szCs w:val="32"/>
          <w:highlight w:val="none"/>
        </w:rPr>
        <w:t>二、附  件</w:t>
      </w:r>
    </w:p>
    <w:p>
      <w:pPr>
        <w:spacing w:line="520" w:lineRule="exact"/>
        <w:rPr>
          <w:rFonts w:hint="eastAsia" w:ascii="宋体" w:hAnsi="宋体"/>
          <w:color w:val="auto"/>
          <w:szCs w:val="21"/>
          <w:highlight w:val="none"/>
        </w:rPr>
      </w:pPr>
      <w:r>
        <w:rPr>
          <w:rFonts w:hint="eastAsia" w:ascii="方正宋黑简体" w:hAnsi="宋体" w:eastAsia="方正宋黑简体"/>
          <w:b/>
          <w:color w:val="auto"/>
          <w:szCs w:val="21"/>
          <w:highlight w:val="none"/>
        </w:rPr>
        <w:t>附件1</w:t>
      </w:r>
    </w:p>
    <w:p>
      <w:pPr>
        <w:spacing w:line="520" w:lineRule="exact"/>
        <w:jc w:val="center"/>
        <w:rPr>
          <w:rFonts w:hint="eastAsia"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谈 判 书</w:t>
      </w:r>
    </w:p>
    <w:p>
      <w:pPr>
        <w:spacing w:line="520" w:lineRule="exact"/>
        <w:jc w:val="center"/>
        <w:rPr>
          <w:rFonts w:hint="eastAsia" w:ascii="宋体" w:hAnsi="宋体"/>
          <w:b/>
          <w:color w:val="auto"/>
          <w:szCs w:val="21"/>
          <w:highlight w:val="none"/>
        </w:rPr>
      </w:pPr>
    </w:p>
    <w:p>
      <w:pPr>
        <w:pStyle w:val="22"/>
        <w:spacing w:line="520" w:lineRule="exact"/>
        <w:rPr>
          <w:rFonts w:hint="eastAsia" w:hAnsi="宋体"/>
          <w:color w:val="auto"/>
          <w:highlight w:val="none"/>
        </w:rPr>
      </w:pPr>
      <w:r>
        <w:rPr>
          <w:rFonts w:hint="eastAsia" w:hAnsi="宋体"/>
          <w:color w:val="auto"/>
          <w:highlight w:val="none"/>
          <w:u w:val="single"/>
        </w:rPr>
        <w:t>梧州市公共资源交易中心（梧州市政府采购中心）</w:t>
      </w:r>
      <w:r>
        <w:rPr>
          <w:rFonts w:hint="eastAsia" w:hAnsi="宋体"/>
          <w:color w:val="auto"/>
          <w:highlight w:val="none"/>
        </w:rPr>
        <w:t>：</w:t>
      </w:r>
    </w:p>
    <w:p>
      <w:pPr>
        <w:pStyle w:val="22"/>
        <w:spacing w:line="520" w:lineRule="exact"/>
        <w:ind w:firstLine="480"/>
        <w:rPr>
          <w:rFonts w:hint="eastAsia" w:hAnsi="宋体"/>
          <w:color w:val="auto"/>
          <w:highlight w:val="none"/>
        </w:rPr>
      </w:pPr>
      <w:r>
        <w:rPr>
          <w:rFonts w:hint="eastAsia" w:hAnsi="宋体"/>
          <w:color w:val="auto"/>
          <w:highlight w:val="none"/>
        </w:rPr>
        <w:t>依据贵方</w:t>
      </w:r>
      <w:r>
        <w:rPr>
          <w:rFonts w:hint="eastAsia" w:hAnsi="宋体"/>
          <w:color w:val="auto"/>
          <w:highlight w:val="none"/>
          <w:u w:val="single"/>
          <w:lang w:eastAsia="zh-CN"/>
        </w:rPr>
        <w:t>梧州市人民警察训练学校电梯设备及附属工程项目</w:t>
      </w:r>
      <w:r>
        <w:rPr>
          <w:rFonts w:hint="eastAsia" w:hAnsi="宋体"/>
          <w:color w:val="auto"/>
          <w:highlight w:val="none"/>
          <w:u w:val="single"/>
        </w:rPr>
        <w:t>采购项目</w:t>
      </w:r>
      <w:r>
        <w:rPr>
          <w:rFonts w:hint="eastAsia" w:hAnsi="宋体"/>
          <w:color w:val="auto"/>
          <w:highlight w:val="none"/>
        </w:rPr>
        <w:t>（项目编号：</w:t>
      </w:r>
      <w:r>
        <w:rPr>
          <w:rFonts w:hint="eastAsia" w:hAnsi="宋体"/>
          <w:color w:val="auto"/>
          <w:highlight w:val="none"/>
          <w:u w:val="single"/>
          <w:lang w:eastAsia="zh-CN"/>
        </w:rPr>
        <w:t>WZZC2020-J1-02666-001-CGZX</w:t>
      </w:r>
      <w:r>
        <w:rPr>
          <w:rFonts w:hint="eastAsia" w:hAnsi="宋体"/>
          <w:color w:val="auto"/>
          <w:highlight w:val="none"/>
          <w:u w:val="single"/>
        </w:rPr>
        <w:t>）</w:t>
      </w:r>
      <w:r>
        <w:rPr>
          <w:rFonts w:hint="eastAsia" w:hAnsi="宋体"/>
          <w:color w:val="auto"/>
          <w:highlight w:val="none"/>
        </w:rPr>
        <w:t>政府采购的谈判邀请，我方</w:t>
      </w:r>
      <w:r>
        <w:rPr>
          <w:rFonts w:hint="eastAsia" w:hAnsi="宋体"/>
          <w:color w:val="auto"/>
          <w:highlight w:val="none"/>
          <w:u w:val="single"/>
        </w:rPr>
        <w:t>（姓名和职务）</w:t>
      </w:r>
      <w:r>
        <w:rPr>
          <w:rFonts w:hint="eastAsia" w:hAnsi="宋体"/>
          <w:color w:val="auto"/>
          <w:highlight w:val="none"/>
        </w:rPr>
        <w:t>经正式授权并代表本单位</w:t>
      </w:r>
      <w:r>
        <w:rPr>
          <w:rFonts w:hint="eastAsia" w:hAnsi="宋体"/>
          <w:color w:val="auto"/>
          <w:highlight w:val="none"/>
          <w:u w:val="single"/>
        </w:rPr>
        <w:t>（谈判供应商名称、地址）</w:t>
      </w:r>
      <w:r>
        <w:rPr>
          <w:rFonts w:hint="eastAsia" w:hAnsi="宋体"/>
          <w:color w:val="auto"/>
          <w:highlight w:val="none"/>
        </w:rPr>
        <w:t>提交下述竞争性谈判响应文件</w:t>
      </w:r>
      <w:r>
        <w:rPr>
          <w:rFonts w:hint="eastAsia" w:hAnsi="宋体"/>
          <w:b/>
          <w:color w:val="auto"/>
          <w:highlight w:val="none"/>
        </w:rPr>
        <w:t>（价格文件、商务技术文件），其中</w:t>
      </w:r>
      <w:r>
        <w:rPr>
          <w:rFonts w:hint="eastAsia" w:hAnsi="宋体"/>
          <w:color w:val="auto"/>
          <w:highlight w:val="none"/>
        </w:rPr>
        <w:t>正本一份、副本两份。</w:t>
      </w:r>
    </w:p>
    <w:p>
      <w:pPr>
        <w:pStyle w:val="22"/>
        <w:spacing w:line="520" w:lineRule="exact"/>
        <w:ind w:firstLine="480"/>
        <w:rPr>
          <w:rFonts w:hint="eastAsia" w:hAnsi="宋体"/>
          <w:color w:val="auto"/>
          <w:highlight w:val="none"/>
        </w:rPr>
      </w:pPr>
      <w:r>
        <w:rPr>
          <w:rFonts w:hint="eastAsia" w:hAnsi="宋体"/>
          <w:color w:val="auto"/>
          <w:highlight w:val="none"/>
        </w:rPr>
        <w:t>1. 报价表；</w:t>
      </w:r>
    </w:p>
    <w:p>
      <w:pPr>
        <w:pStyle w:val="22"/>
        <w:spacing w:line="520" w:lineRule="exact"/>
        <w:ind w:firstLine="480"/>
        <w:rPr>
          <w:rFonts w:hint="eastAsia" w:hAnsi="宋体"/>
          <w:color w:val="auto"/>
          <w:highlight w:val="none"/>
        </w:rPr>
      </w:pPr>
      <w:r>
        <w:rPr>
          <w:rFonts w:hint="eastAsia" w:hAnsi="宋体"/>
          <w:color w:val="auto"/>
          <w:highlight w:val="none"/>
        </w:rPr>
        <w:t>2. 商务、技术响应、偏离情况说明表；</w:t>
      </w:r>
    </w:p>
    <w:p>
      <w:pPr>
        <w:pStyle w:val="22"/>
        <w:spacing w:line="520" w:lineRule="exact"/>
        <w:ind w:firstLine="480"/>
        <w:rPr>
          <w:rFonts w:hint="eastAsia" w:hAnsi="宋体"/>
          <w:color w:val="auto"/>
          <w:highlight w:val="none"/>
        </w:rPr>
      </w:pPr>
      <w:r>
        <w:rPr>
          <w:rFonts w:hint="eastAsia" w:hAnsi="宋体"/>
          <w:color w:val="auto"/>
          <w:highlight w:val="none"/>
        </w:rPr>
        <w:t>3. 资格证明文件；</w:t>
      </w:r>
    </w:p>
    <w:p>
      <w:pPr>
        <w:pStyle w:val="22"/>
        <w:spacing w:line="520" w:lineRule="exact"/>
        <w:ind w:firstLine="480"/>
        <w:rPr>
          <w:rFonts w:hint="eastAsia" w:hAnsi="宋体"/>
          <w:color w:val="auto"/>
          <w:highlight w:val="none"/>
        </w:rPr>
      </w:pPr>
      <w:r>
        <w:rPr>
          <w:rFonts w:hint="eastAsia" w:hAnsi="宋体"/>
          <w:color w:val="auto"/>
          <w:highlight w:val="none"/>
        </w:rPr>
        <w:t>4. 按竞争性谈判文件谈判供应商须知和采购需求提供的有关文件；</w:t>
      </w:r>
    </w:p>
    <w:p>
      <w:pPr>
        <w:pStyle w:val="22"/>
        <w:spacing w:line="520" w:lineRule="exact"/>
        <w:ind w:firstLine="315" w:firstLineChars="150"/>
        <w:rPr>
          <w:rFonts w:hint="eastAsia" w:hAnsi="宋体"/>
          <w:color w:val="auto"/>
          <w:highlight w:val="none"/>
        </w:rPr>
      </w:pPr>
      <w:r>
        <w:rPr>
          <w:rFonts w:hint="eastAsia" w:hAnsi="宋体"/>
          <w:color w:val="auto"/>
          <w:highlight w:val="none"/>
        </w:rPr>
        <w:t>在此，授权代表宣布同意如下：</w:t>
      </w:r>
    </w:p>
    <w:p>
      <w:pPr>
        <w:pStyle w:val="22"/>
        <w:spacing w:line="520" w:lineRule="exact"/>
        <w:ind w:firstLine="583" w:firstLineChars="278"/>
        <w:rPr>
          <w:rFonts w:hint="eastAsia" w:hAnsi="宋体"/>
          <w:color w:val="auto"/>
          <w:highlight w:val="none"/>
        </w:rPr>
      </w:pPr>
      <w:r>
        <w:rPr>
          <w:rFonts w:hint="eastAsia" w:hAnsi="宋体"/>
          <w:color w:val="auto"/>
          <w:highlight w:val="none"/>
        </w:rPr>
        <w:t>1、将按谈判文件的约定履行合同责任和义务；</w:t>
      </w:r>
    </w:p>
    <w:p>
      <w:pPr>
        <w:pStyle w:val="22"/>
        <w:spacing w:line="360" w:lineRule="auto"/>
        <w:ind w:firstLine="567" w:firstLineChars="270"/>
        <w:rPr>
          <w:rFonts w:hint="eastAsia" w:hAnsi="宋体"/>
          <w:color w:val="auto"/>
          <w:highlight w:val="none"/>
        </w:rPr>
      </w:pPr>
      <w:r>
        <w:rPr>
          <w:rFonts w:hint="eastAsia" w:hAnsi="宋体"/>
          <w:color w:val="auto"/>
          <w:highlight w:val="none"/>
        </w:rPr>
        <w:t>2、已详细审查全部谈判文件，</w:t>
      </w:r>
      <w:r>
        <w:rPr>
          <w:rFonts w:hint="eastAsia"/>
          <w:color w:val="auto"/>
          <w:highlight w:val="none"/>
        </w:rPr>
        <w:t>包括修改文件（如有的话）以及全部参考资料和有关附件，已经了解我方对谈判文件、采购过程、采购结果有依法进行咨询、质疑、投诉的权利及相关渠道和要求。</w:t>
      </w:r>
    </w:p>
    <w:p>
      <w:pPr>
        <w:pStyle w:val="22"/>
        <w:snapToGrid w:val="0"/>
        <w:spacing w:line="360" w:lineRule="auto"/>
        <w:ind w:firstLine="525" w:firstLineChars="250"/>
        <w:rPr>
          <w:rFonts w:hint="eastAsia" w:hAnsi="宋体"/>
          <w:color w:val="auto"/>
          <w:highlight w:val="none"/>
        </w:rPr>
      </w:pPr>
      <w:r>
        <w:rPr>
          <w:rFonts w:hint="eastAsia"/>
          <w:color w:val="auto"/>
          <w:highlight w:val="none"/>
        </w:rPr>
        <w:t>3、谈判供应商在谈判之前已经与贵方进行了充分沟通，完全理解并接受谈判文件的各项规定和要求，对谈判文件的合理性、合法性不再有异议。</w:t>
      </w:r>
    </w:p>
    <w:p>
      <w:pPr>
        <w:pStyle w:val="22"/>
        <w:spacing w:line="360" w:lineRule="auto"/>
        <w:ind w:firstLine="525" w:firstLineChars="250"/>
        <w:rPr>
          <w:rFonts w:hint="eastAsia" w:hAnsi="宋体"/>
          <w:color w:val="auto"/>
          <w:highlight w:val="none"/>
        </w:rPr>
      </w:pPr>
      <w:r>
        <w:rPr>
          <w:rFonts w:hint="eastAsia" w:hAnsi="宋体"/>
          <w:color w:val="auto"/>
          <w:highlight w:val="none"/>
        </w:rPr>
        <w:t>4、同意提供按照贵方可能要求的与其谈判有关的一切数据或资料；确认在本次投标中提交的所有资料真实有效，并对此负责；</w:t>
      </w:r>
    </w:p>
    <w:p>
      <w:pPr>
        <w:pStyle w:val="22"/>
        <w:spacing w:line="520" w:lineRule="exact"/>
        <w:ind w:firstLine="525" w:firstLineChars="250"/>
        <w:rPr>
          <w:rFonts w:hint="eastAsia" w:hAnsi="宋体"/>
          <w:color w:val="auto"/>
          <w:highlight w:val="none"/>
          <w:u w:val="single"/>
        </w:rPr>
      </w:pPr>
      <w:r>
        <w:rPr>
          <w:rFonts w:hint="eastAsia" w:hAnsi="宋体"/>
          <w:color w:val="auto"/>
          <w:highlight w:val="none"/>
        </w:rPr>
        <w:t>5.与本谈判有关的一切正式往来信函请寄：</w:t>
      </w:r>
      <w:r>
        <w:rPr>
          <w:rFonts w:hint="eastAsia" w:hAnsi="宋体"/>
          <w:color w:val="auto"/>
          <w:highlight w:val="none"/>
          <w:u w:val="single"/>
        </w:rPr>
        <w:t xml:space="preserve">                       </w:t>
      </w:r>
    </w:p>
    <w:p>
      <w:pPr>
        <w:pStyle w:val="22"/>
        <w:spacing w:line="520" w:lineRule="exact"/>
        <w:ind w:firstLine="840"/>
        <w:rPr>
          <w:rFonts w:hint="eastAsia" w:hAnsi="宋体"/>
          <w:color w:val="auto"/>
          <w:highlight w:val="none"/>
          <w:u w:val="single"/>
        </w:rPr>
      </w:pPr>
      <w:r>
        <w:rPr>
          <w:rFonts w:hint="eastAsia" w:hAnsi="宋体"/>
          <w:color w:val="auto"/>
          <w:highlight w:val="none"/>
        </w:rPr>
        <w:t>开户银行：</w:t>
      </w:r>
      <w:r>
        <w:rPr>
          <w:rFonts w:hint="eastAsia" w:hAnsi="宋体"/>
          <w:color w:val="auto"/>
          <w:highlight w:val="none"/>
          <w:u w:val="single"/>
        </w:rPr>
        <w:t xml:space="preserve">                         </w:t>
      </w:r>
      <w:r>
        <w:rPr>
          <w:rFonts w:hint="eastAsia" w:hAnsi="宋体"/>
          <w:color w:val="auto"/>
          <w:highlight w:val="none"/>
        </w:rPr>
        <w:t xml:space="preserve">  帐号/行号：</w:t>
      </w:r>
      <w:r>
        <w:rPr>
          <w:rFonts w:hint="eastAsia" w:hAnsi="宋体"/>
          <w:color w:val="auto"/>
          <w:highlight w:val="none"/>
          <w:u w:val="single"/>
        </w:rPr>
        <w:t xml:space="preserve">          </w:t>
      </w:r>
    </w:p>
    <w:p>
      <w:pPr>
        <w:pStyle w:val="22"/>
        <w:spacing w:line="520" w:lineRule="exact"/>
        <w:ind w:firstLine="840"/>
        <w:rPr>
          <w:rFonts w:hint="eastAsia" w:hAnsi="宋体"/>
          <w:color w:val="auto"/>
          <w:highlight w:val="none"/>
        </w:rPr>
      </w:pPr>
      <w:r>
        <w:rPr>
          <w:rFonts w:hint="eastAsia" w:hAnsi="宋体"/>
          <w:color w:val="auto"/>
          <w:highlight w:val="none"/>
        </w:rPr>
        <w:t>电话/传真：</w:t>
      </w:r>
      <w:r>
        <w:rPr>
          <w:rFonts w:hint="eastAsia" w:hAnsi="宋体"/>
          <w:color w:val="auto"/>
          <w:highlight w:val="none"/>
          <w:u w:val="single"/>
        </w:rPr>
        <w:t xml:space="preserve">                        </w:t>
      </w:r>
      <w:r>
        <w:rPr>
          <w:rFonts w:hint="eastAsia" w:hAnsi="宋体"/>
          <w:color w:val="auto"/>
          <w:highlight w:val="none"/>
        </w:rPr>
        <w:t xml:space="preserve"> 电子函件：</w:t>
      </w:r>
      <w:r>
        <w:rPr>
          <w:rFonts w:hint="eastAsia" w:hAnsi="宋体"/>
          <w:color w:val="auto"/>
          <w:highlight w:val="none"/>
          <w:u w:val="single"/>
        </w:rPr>
        <w:t xml:space="preserve">             </w:t>
      </w:r>
      <w:r>
        <w:rPr>
          <w:rFonts w:hint="eastAsia" w:hAnsi="宋体"/>
          <w:color w:val="auto"/>
          <w:highlight w:val="none"/>
        </w:rPr>
        <w:t xml:space="preserve">              </w:t>
      </w:r>
    </w:p>
    <w:p>
      <w:pPr>
        <w:pStyle w:val="22"/>
        <w:spacing w:line="520" w:lineRule="exact"/>
        <w:ind w:firstLine="840"/>
        <w:rPr>
          <w:rFonts w:hint="eastAsia" w:hAnsi="宋体"/>
          <w:color w:val="auto"/>
          <w:highlight w:val="none"/>
          <w:u w:val="single"/>
        </w:rPr>
      </w:pPr>
      <w:r>
        <w:rPr>
          <w:rFonts w:hint="eastAsia" w:hAnsi="宋体"/>
          <w:color w:val="auto"/>
          <w:highlight w:val="none"/>
        </w:rPr>
        <w:t>日期：</w:t>
      </w:r>
      <w:r>
        <w:rPr>
          <w:rFonts w:hint="eastAsia" w:hAnsi="宋体"/>
          <w:color w:val="auto"/>
          <w:highlight w:val="none"/>
          <w:u w:val="single"/>
        </w:rPr>
        <w:t xml:space="preserve">      </w:t>
      </w:r>
      <w:r>
        <w:rPr>
          <w:rFonts w:hint="eastAsia" w:hAnsi="宋体"/>
          <w:color w:val="auto"/>
          <w:highlight w:val="none"/>
        </w:rPr>
        <w:t>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日</w:t>
      </w:r>
    </w:p>
    <w:p>
      <w:pPr>
        <w:pStyle w:val="22"/>
        <w:spacing w:line="520" w:lineRule="exact"/>
        <w:ind w:firstLine="840"/>
        <w:rPr>
          <w:rFonts w:hint="eastAsia" w:hAnsi="宋体"/>
          <w:color w:val="auto"/>
          <w:highlight w:val="none"/>
          <w:u w:val="single"/>
        </w:rPr>
      </w:pPr>
      <w:r>
        <w:rPr>
          <w:rFonts w:hint="eastAsia" w:hAnsi="宋体"/>
          <w:color w:val="auto"/>
          <w:highlight w:val="none"/>
        </w:rPr>
        <w:t>法定代表人或</w:t>
      </w:r>
      <w:r>
        <w:rPr>
          <w:rFonts w:hint="eastAsia"/>
          <w:color w:val="auto"/>
          <w:highlight w:val="none"/>
        </w:rPr>
        <w:t>委托代理人（被授权人）</w:t>
      </w:r>
      <w:r>
        <w:rPr>
          <w:rFonts w:hint="eastAsia" w:hAnsi="宋体"/>
          <w:color w:val="auto"/>
          <w:highlight w:val="none"/>
        </w:rPr>
        <w:t>签字（盖姓名章无效）：</w:t>
      </w:r>
      <w:r>
        <w:rPr>
          <w:rFonts w:hint="eastAsia" w:hAnsi="宋体"/>
          <w:color w:val="auto"/>
          <w:highlight w:val="none"/>
          <w:u w:val="single"/>
        </w:rPr>
        <w:t xml:space="preserve">                       </w:t>
      </w:r>
    </w:p>
    <w:p>
      <w:pPr>
        <w:pStyle w:val="22"/>
        <w:spacing w:line="520" w:lineRule="exact"/>
        <w:ind w:firstLine="840"/>
        <w:rPr>
          <w:rFonts w:hint="eastAsia" w:hAnsi="宋体"/>
          <w:color w:val="auto"/>
          <w:highlight w:val="none"/>
        </w:rPr>
      </w:pPr>
      <w:r>
        <w:rPr>
          <w:rFonts w:hint="eastAsia" w:hAnsi="宋体"/>
          <w:color w:val="auto"/>
          <w:highlight w:val="none"/>
        </w:rPr>
        <w:t>谈判供应商名称（盖章）：</w:t>
      </w:r>
      <w:r>
        <w:rPr>
          <w:rFonts w:hint="eastAsia" w:hAnsi="宋体"/>
          <w:color w:val="auto"/>
          <w:highlight w:val="none"/>
          <w:u w:val="single"/>
        </w:rPr>
        <w:t xml:space="preserve">                                    </w:t>
      </w:r>
      <w:r>
        <w:rPr>
          <w:rFonts w:hint="eastAsia" w:hAnsi="宋体"/>
          <w:color w:val="auto"/>
          <w:highlight w:val="none"/>
        </w:rPr>
        <w:t xml:space="preserve">                           </w:t>
      </w:r>
    </w:p>
    <w:p>
      <w:pPr>
        <w:pStyle w:val="22"/>
        <w:spacing w:line="520" w:lineRule="exact"/>
        <w:ind w:firstLine="840"/>
        <w:rPr>
          <w:rFonts w:hint="eastAsia" w:ascii="方正宋黑简体" w:hAnsi="宋体" w:eastAsia="方正宋黑简体"/>
          <w:b/>
          <w:color w:val="auto"/>
          <w:highlight w:val="none"/>
        </w:rPr>
      </w:pPr>
      <w:r>
        <w:rPr>
          <w:rFonts w:hint="eastAsia" w:hAnsi="宋体"/>
          <w:color w:val="auto"/>
          <w:highlight w:val="none"/>
        </w:rPr>
        <w:t xml:space="preserve">                    </w:t>
      </w:r>
    </w:p>
    <w:p>
      <w:pPr>
        <w:spacing w:line="500" w:lineRule="exact"/>
        <w:rPr>
          <w:rFonts w:hint="eastAsia" w:ascii="仿宋_GB2312" w:hAnsi="宋体" w:eastAsia="仿宋_GB2312"/>
          <w:b/>
          <w:color w:val="auto"/>
          <w:sz w:val="32"/>
          <w:szCs w:val="32"/>
          <w:highlight w:val="none"/>
        </w:rPr>
      </w:pPr>
      <w:r>
        <w:rPr>
          <w:rFonts w:hint="eastAsia" w:ascii="方正宋黑简体" w:hAnsi="宋体" w:eastAsia="方正宋黑简体"/>
          <w:b/>
          <w:color w:val="auto"/>
          <w:szCs w:val="21"/>
          <w:highlight w:val="none"/>
        </w:rPr>
        <w:t>附件2</w:t>
      </w:r>
    </w:p>
    <w:p>
      <w:pPr>
        <w:spacing w:line="500" w:lineRule="exact"/>
        <w:jc w:val="center"/>
        <w:rPr>
          <w:rFonts w:ascii="方正小标宋简体" w:hAnsi="宋体" w:eastAsia="方正小标宋简体"/>
          <w:color w:val="auto"/>
          <w:sz w:val="36"/>
          <w:szCs w:val="36"/>
          <w:highlight w:val="none"/>
        </w:rPr>
      </w:pPr>
      <w:r>
        <w:rPr>
          <w:rFonts w:hint="eastAsia" w:ascii="方正小标宋简体" w:hAnsi="宋体" w:eastAsia="方正小标宋简体"/>
          <w:color w:val="auto"/>
          <w:sz w:val="36"/>
          <w:szCs w:val="36"/>
          <w:highlight w:val="none"/>
        </w:rPr>
        <w:t>报 价 表</w:t>
      </w:r>
    </w:p>
    <w:p>
      <w:pPr>
        <w:spacing w:line="500" w:lineRule="exact"/>
        <w:rPr>
          <w:rFonts w:hint="eastAsia" w:ascii="宋体" w:hAnsi="宋体"/>
          <w:color w:val="auto"/>
          <w:szCs w:val="21"/>
          <w:highlight w:val="none"/>
        </w:rPr>
      </w:pPr>
    </w:p>
    <w:p>
      <w:pPr>
        <w:spacing w:before="156" w:beforeLines="50" w:after="156" w:afterLines="50" w:line="360" w:lineRule="exact"/>
        <w:rPr>
          <w:rFonts w:hint="eastAsia" w:ascii="宋体" w:hAnsi="宋体"/>
          <w:color w:val="auto"/>
          <w:szCs w:val="21"/>
          <w:highlight w:val="none"/>
          <w:u w:val="single"/>
        </w:rPr>
      </w:pPr>
      <w:r>
        <w:rPr>
          <w:rFonts w:hint="eastAsia" w:ascii="宋体" w:hAnsi="宋体"/>
          <w:color w:val="auto"/>
          <w:szCs w:val="21"/>
          <w:highlight w:val="none"/>
        </w:rPr>
        <w:t>项目名称:</w:t>
      </w:r>
      <w:r>
        <w:rPr>
          <w:rFonts w:hint="eastAsia" w:ascii="宋体" w:hAnsi="宋体"/>
          <w:color w:val="auto"/>
          <w:szCs w:val="21"/>
          <w:highlight w:val="none"/>
          <w:u w:val="single"/>
        </w:rPr>
        <w:t xml:space="preserve">                 </w:t>
      </w:r>
    </w:p>
    <w:p>
      <w:pPr>
        <w:spacing w:before="156" w:beforeLines="50" w:after="156" w:afterLines="50" w:line="360" w:lineRule="exact"/>
        <w:rPr>
          <w:rFonts w:hint="eastAsia" w:ascii="宋体" w:hAnsi="宋体"/>
          <w:color w:val="auto"/>
          <w:szCs w:val="21"/>
          <w:highlight w:val="none"/>
        </w:rPr>
      </w:pPr>
      <w:r>
        <w:rPr>
          <w:rFonts w:hint="eastAsia" w:ascii="宋体" w:hAnsi="宋体"/>
          <w:color w:val="auto"/>
          <w:szCs w:val="21"/>
          <w:highlight w:val="none"/>
        </w:rPr>
        <w:t>项目编号:</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917"/>
        <w:gridCol w:w="1141"/>
        <w:gridCol w:w="655"/>
        <w:gridCol w:w="819"/>
        <w:gridCol w:w="1818"/>
        <w:gridCol w:w="927"/>
        <w:gridCol w:w="1457"/>
        <w:gridCol w:w="1032"/>
      </w:tblGrid>
      <w:tr>
        <w:tblPrEx>
          <w:tblCellMar>
            <w:top w:w="0" w:type="dxa"/>
            <w:left w:w="108" w:type="dxa"/>
            <w:bottom w:w="0" w:type="dxa"/>
            <w:right w:w="108" w:type="dxa"/>
          </w:tblCellMar>
        </w:tblPrEx>
        <w:trPr>
          <w:cantSplit/>
          <w:trHeight w:val="1579" w:hRule="atLeast"/>
          <w:jc w:val="center"/>
        </w:trPr>
        <w:tc>
          <w:tcPr>
            <w:tcW w:w="419" w:type="dxa"/>
            <w:tcBorders>
              <w:bottom w:val="single" w:color="auto" w:sz="4" w:space="0"/>
            </w:tcBorders>
            <w:noWrap w:val="0"/>
            <w:vAlign w:val="center"/>
          </w:tcPr>
          <w:p>
            <w:pPr>
              <w:pStyle w:val="22"/>
              <w:spacing w:line="360" w:lineRule="exact"/>
              <w:jc w:val="center"/>
              <w:rPr>
                <w:rFonts w:hint="eastAsia" w:hAnsi="宋体"/>
                <w:color w:val="auto"/>
                <w:spacing w:val="-20"/>
                <w:highlight w:val="none"/>
              </w:rPr>
            </w:pPr>
            <w:r>
              <w:rPr>
                <w:rFonts w:hint="eastAsia" w:hAnsi="宋体"/>
                <w:color w:val="auto"/>
                <w:spacing w:val="-20"/>
                <w:highlight w:val="none"/>
              </w:rPr>
              <w:t>序号</w:t>
            </w:r>
          </w:p>
        </w:tc>
        <w:tc>
          <w:tcPr>
            <w:tcW w:w="917" w:type="dxa"/>
            <w:tcBorders>
              <w:bottom w:val="single" w:color="auto" w:sz="4" w:space="0"/>
            </w:tcBorders>
            <w:noWrap w:val="0"/>
            <w:vAlign w:val="center"/>
          </w:tcPr>
          <w:p>
            <w:pPr>
              <w:tabs>
                <w:tab w:val="left" w:pos="180"/>
                <w:tab w:val="left" w:pos="1620"/>
              </w:tabs>
              <w:spacing w:line="360" w:lineRule="exact"/>
              <w:jc w:val="center"/>
              <w:rPr>
                <w:rFonts w:hint="eastAsia" w:ascii="宋体" w:hAnsi="宋体"/>
                <w:color w:val="auto"/>
                <w:szCs w:val="21"/>
                <w:highlight w:val="none"/>
              </w:rPr>
            </w:pPr>
            <w:r>
              <w:rPr>
                <w:rFonts w:hint="eastAsia" w:ascii="宋体" w:hAnsi="宋体"/>
                <w:color w:val="auto"/>
                <w:szCs w:val="21"/>
                <w:highlight w:val="none"/>
              </w:rPr>
              <w:t>货物</w:t>
            </w:r>
          </w:p>
          <w:p>
            <w:pPr>
              <w:tabs>
                <w:tab w:val="left" w:pos="180"/>
                <w:tab w:val="left" w:pos="1620"/>
              </w:tabs>
              <w:spacing w:line="360" w:lineRule="exact"/>
              <w:jc w:val="center"/>
              <w:rPr>
                <w:rFonts w:hint="eastAsia" w:ascii="宋体" w:hAnsi="宋体"/>
                <w:color w:val="auto"/>
                <w:szCs w:val="21"/>
                <w:highlight w:val="none"/>
              </w:rPr>
            </w:pPr>
            <w:r>
              <w:rPr>
                <w:rFonts w:hint="eastAsia" w:ascii="宋体" w:hAnsi="宋体"/>
                <w:color w:val="auto"/>
                <w:szCs w:val="21"/>
                <w:highlight w:val="none"/>
              </w:rPr>
              <w:t>名称</w:t>
            </w:r>
          </w:p>
        </w:tc>
        <w:tc>
          <w:tcPr>
            <w:tcW w:w="1141" w:type="dxa"/>
            <w:tcBorders>
              <w:bottom w:val="single" w:color="auto" w:sz="4" w:space="0"/>
            </w:tcBorders>
            <w:noWrap w:val="0"/>
            <w:vAlign w:val="center"/>
          </w:tcPr>
          <w:p>
            <w:pPr>
              <w:tabs>
                <w:tab w:val="left" w:pos="180"/>
                <w:tab w:val="left" w:pos="1620"/>
              </w:tabs>
              <w:spacing w:line="360" w:lineRule="exact"/>
              <w:jc w:val="center"/>
              <w:rPr>
                <w:rFonts w:hint="eastAsia" w:ascii="宋体" w:hAnsi="宋体"/>
                <w:color w:val="auto"/>
                <w:szCs w:val="21"/>
                <w:highlight w:val="none"/>
              </w:rPr>
            </w:pPr>
            <w:r>
              <w:rPr>
                <w:rFonts w:hint="eastAsia" w:ascii="宋体" w:hAnsi="宋体"/>
                <w:color w:val="auto"/>
                <w:szCs w:val="21"/>
                <w:highlight w:val="none"/>
              </w:rPr>
              <w:t>品牌、型号规格、生产厂家</w:t>
            </w:r>
          </w:p>
        </w:tc>
        <w:tc>
          <w:tcPr>
            <w:tcW w:w="655" w:type="dxa"/>
            <w:tcBorders>
              <w:bottom w:val="single" w:color="auto" w:sz="4" w:space="0"/>
            </w:tcBorders>
            <w:noWrap w:val="0"/>
            <w:vAlign w:val="center"/>
          </w:tcPr>
          <w:p>
            <w:pPr>
              <w:tabs>
                <w:tab w:val="left" w:pos="180"/>
                <w:tab w:val="left" w:pos="1620"/>
              </w:tabs>
              <w:spacing w:line="360" w:lineRule="exact"/>
              <w:jc w:val="center"/>
              <w:rPr>
                <w:rFonts w:hint="eastAsia" w:ascii="宋体" w:hAnsi="宋体"/>
                <w:color w:val="auto"/>
                <w:szCs w:val="21"/>
                <w:highlight w:val="none"/>
              </w:rPr>
            </w:pPr>
            <w:r>
              <w:rPr>
                <w:rFonts w:hint="eastAsia" w:ascii="宋体" w:hAnsi="宋体"/>
                <w:color w:val="auto"/>
                <w:szCs w:val="21"/>
                <w:highlight w:val="none"/>
              </w:rPr>
              <w:t>数量</w:t>
            </w:r>
            <w:r>
              <w:rPr>
                <w:rFonts w:hint="eastAsia" w:hAnsi="宋体"/>
                <w:color w:val="auto"/>
                <w:highlight w:val="none"/>
              </w:rPr>
              <w:t>①</w:t>
            </w:r>
          </w:p>
        </w:tc>
        <w:tc>
          <w:tcPr>
            <w:tcW w:w="819" w:type="dxa"/>
            <w:tcBorders>
              <w:bottom w:val="single" w:color="auto" w:sz="4" w:space="0"/>
            </w:tcBorders>
            <w:noWrap w:val="0"/>
            <w:vAlign w:val="center"/>
          </w:tcPr>
          <w:p>
            <w:pPr>
              <w:tabs>
                <w:tab w:val="left" w:pos="180"/>
                <w:tab w:val="left" w:pos="1620"/>
              </w:tabs>
              <w:spacing w:line="360" w:lineRule="exact"/>
              <w:jc w:val="center"/>
              <w:rPr>
                <w:rFonts w:hint="eastAsia" w:ascii="宋体" w:hAnsi="宋体"/>
                <w:color w:val="auto"/>
                <w:szCs w:val="21"/>
                <w:highlight w:val="none"/>
              </w:rPr>
            </w:pPr>
            <w:r>
              <w:rPr>
                <w:rFonts w:hint="eastAsia" w:ascii="宋体" w:hAnsi="宋体"/>
                <w:color w:val="auto"/>
                <w:szCs w:val="21"/>
                <w:highlight w:val="none"/>
              </w:rPr>
              <w:t>单位</w:t>
            </w:r>
          </w:p>
        </w:tc>
        <w:tc>
          <w:tcPr>
            <w:tcW w:w="1818" w:type="dxa"/>
            <w:tcBorders>
              <w:bottom w:val="single" w:color="auto" w:sz="4" w:space="0"/>
            </w:tcBorders>
            <w:noWrap w:val="0"/>
            <w:vAlign w:val="center"/>
          </w:tcPr>
          <w:p>
            <w:pPr>
              <w:tabs>
                <w:tab w:val="left" w:pos="180"/>
                <w:tab w:val="left" w:pos="1620"/>
              </w:tabs>
              <w:spacing w:line="360" w:lineRule="exact"/>
              <w:jc w:val="center"/>
              <w:rPr>
                <w:rFonts w:hint="eastAsia" w:ascii="宋体" w:hAnsi="宋体"/>
                <w:color w:val="auto"/>
                <w:szCs w:val="21"/>
                <w:highlight w:val="none"/>
              </w:rPr>
            </w:pPr>
            <w:r>
              <w:rPr>
                <w:rFonts w:hint="eastAsia" w:ascii="宋体" w:hAnsi="宋体"/>
                <w:color w:val="auto"/>
                <w:szCs w:val="21"/>
                <w:highlight w:val="none"/>
              </w:rPr>
              <w:t>技术参数及性能配置要求</w:t>
            </w:r>
          </w:p>
        </w:tc>
        <w:tc>
          <w:tcPr>
            <w:tcW w:w="927" w:type="dxa"/>
            <w:tcBorders>
              <w:bottom w:val="single" w:color="auto" w:sz="4" w:space="0"/>
            </w:tcBorders>
            <w:noWrap w:val="0"/>
            <w:vAlign w:val="center"/>
          </w:tcPr>
          <w:p>
            <w:pPr>
              <w:tabs>
                <w:tab w:val="left" w:pos="180"/>
                <w:tab w:val="left" w:pos="1620"/>
              </w:tabs>
              <w:spacing w:line="360" w:lineRule="exact"/>
              <w:jc w:val="center"/>
              <w:rPr>
                <w:rFonts w:hint="eastAsia" w:ascii="宋体" w:hAnsi="宋体"/>
                <w:color w:val="auto"/>
                <w:szCs w:val="21"/>
                <w:highlight w:val="none"/>
              </w:rPr>
            </w:pPr>
            <w:r>
              <w:rPr>
                <w:rFonts w:hint="eastAsia" w:ascii="宋体" w:hAnsi="宋体"/>
                <w:color w:val="auto"/>
                <w:szCs w:val="21"/>
                <w:highlight w:val="none"/>
              </w:rPr>
              <w:t>单价</w:t>
            </w:r>
            <w:r>
              <w:rPr>
                <w:rFonts w:hint="eastAsia" w:hAnsi="宋体"/>
                <w:color w:val="auto"/>
                <w:highlight w:val="none"/>
              </w:rPr>
              <w:t>②</w:t>
            </w:r>
          </w:p>
        </w:tc>
        <w:tc>
          <w:tcPr>
            <w:tcW w:w="1457" w:type="dxa"/>
            <w:tcBorders>
              <w:bottom w:val="single" w:color="auto" w:sz="4" w:space="0"/>
            </w:tcBorders>
            <w:noWrap w:val="0"/>
            <w:vAlign w:val="center"/>
          </w:tcPr>
          <w:p>
            <w:pPr>
              <w:pStyle w:val="22"/>
              <w:spacing w:line="360" w:lineRule="exact"/>
              <w:jc w:val="center"/>
              <w:rPr>
                <w:rFonts w:hint="eastAsia" w:hAnsi="宋体"/>
                <w:color w:val="auto"/>
                <w:highlight w:val="none"/>
              </w:rPr>
            </w:pPr>
            <w:r>
              <w:rPr>
                <w:rFonts w:hint="eastAsia" w:hAnsi="宋体"/>
                <w:color w:val="auto"/>
                <w:highlight w:val="none"/>
              </w:rPr>
              <w:t>单项合价</w:t>
            </w:r>
          </w:p>
          <w:p>
            <w:pPr>
              <w:pStyle w:val="22"/>
              <w:spacing w:line="360" w:lineRule="exact"/>
              <w:jc w:val="center"/>
              <w:rPr>
                <w:rFonts w:hAnsi="宋体"/>
                <w:color w:val="auto"/>
                <w:highlight w:val="none"/>
              </w:rPr>
            </w:pPr>
            <w:r>
              <w:rPr>
                <w:rFonts w:hint="eastAsia" w:hAnsi="宋体"/>
                <w:color w:val="auto"/>
                <w:highlight w:val="none"/>
              </w:rPr>
              <w:t>（元）</w:t>
            </w:r>
          </w:p>
          <w:p>
            <w:pPr>
              <w:pStyle w:val="22"/>
              <w:spacing w:line="360" w:lineRule="exact"/>
              <w:jc w:val="center"/>
              <w:rPr>
                <w:rFonts w:hAnsi="宋体"/>
                <w:color w:val="auto"/>
                <w:highlight w:val="none"/>
              </w:rPr>
            </w:pPr>
            <w:r>
              <w:rPr>
                <w:rFonts w:hint="eastAsia" w:hAnsi="宋体"/>
                <w:color w:val="auto"/>
                <w:highlight w:val="none"/>
              </w:rPr>
              <w:t>③</w:t>
            </w:r>
            <w:r>
              <w:rPr>
                <w:rFonts w:hAnsi="宋体"/>
                <w:color w:val="auto"/>
                <w:highlight w:val="none"/>
              </w:rPr>
              <w:t>=</w:t>
            </w:r>
            <w:r>
              <w:rPr>
                <w:rFonts w:hint="eastAsia" w:hAnsi="宋体"/>
                <w:color w:val="auto"/>
                <w:highlight w:val="none"/>
              </w:rPr>
              <w:t>①×②</w:t>
            </w:r>
          </w:p>
        </w:tc>
        <w:tc>
          <w:tcPr>
            <w:tcW w:w="1032" w:type="dxa"/>
            <w:tcBorders>
              <w:bottom w:val="single" w:color="auto" w:sz="4" w:space="0"/>
            </w:tcBorders>
            <w:noWrap w:val="0"/>
            <w:vAlign w:val="center"/>
          </w:tcPr>
          <w:p>
            <w:pPr>
              <w:pStyle w:val="22"/>
              <w:spacing w:line="360" w:lineRule="exact"/>
              <w:jc w:val="center"/>
              <w:rPr>
                <w:rFonts w:hint="eastAsia" w:hAnsi="宋体"/>
                <w:color w:val="auto"/>
                <w:highlight w:val="none"/>
              </w:rPr>
            </w:pPr>
            <w:r>
              <w:rPr>
                <w:rFonts w:hint="eastAsia" w:hAnsi="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19"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1</w:t>
            </w:r>
          </w:p>
        </w:tc>
        <w:tc>
          <w:tcPr>
            <w:tcW w:w="917" w:type="dxa"/>
            <w:noWrap w:val="0"/>
            <w:vAlign w:val="center"/>
          </w:tcPr>
          <w:p>
            <w:pPr>
              <w:jc w:val="center"/>
              <w:rPr>
                <w:rFonts w:hint="eastAsia" w:ascii="宋体" w:hAnsi="宋体"/>
                <w:color w:val="auto"/>
                <w:highlight w:val="none"/>
              </w:rPr>
            </w:pPr>
          </w:p>
        </w:tc>
        <w:tc>
          <w:tcPr>
            <w:tcW w:w="1141" w:type="dxa"/>
            <w:noWrap w:val="0"/>
            <w:vAlign w:val="center"/>
          </w:tcPr>
          <w:p>
            <w:pPr>
              <w:jc w:val="center"/>
              <w:rPr>
                <w:rFonts w:hint="eastAsia" w:ascii="宋体" w:hAnsi="宋体"/>
                <w:color w:val="auto"/>
                <w:highlight w:val="none"/>
              </w:rPr>
            </w:pPr>
          </w:p>
        </w:tc>
        <w:tc>
          <w:tcPr>
            <w:tcW w:w="655" w:type="dxa"/>
            <w:noWrap w:val="0"/>
            <w:vAlign w:val="center"/>
          </w:tcPr>
          <w:p>
            <w:pPr>
              <w:pStyle w:val="22"/>
              <w:rPr>
                <w:rFonts w:hint="eastAsia" w:hAnsi="宋体"/>
                <w:color w:val="auto"/>
                <w:highlight w:val="none"/>
              </w:rPr>
            </w:pPr>
          </w:p>
        </w:tc>
        <w:tc>
          <w:tcPr>
            <w:tcW w:w="819" w:type="dxa"/>
            <w:noWrap w:val="0"/>
            <w:vAlign w:val="center"/>
          </w:tcPr>
          <w:p>
            <w:pPr>
              <w:pStyle w:val="22"/>
              <w:rPr>
                <w:rFonts w:hint="eastAsia" w:hAnsi="宋体"/>
                <w:color w:val="auto"/>
                <w:highlight w:val="none"/>
              </w:rPr>
            </w:pPr>
          </w:p>
        </w:tc>
        <w:tc>
          <w:tcPr>
            <w:tcW w:w="1818" w:type="dxa"/>
            <w:noWrap w:val="0"/>
            <w:vAlign w:val="center"/>
          </w:tcPr>
          <w:p>
            <w:pPr>
              <w:pStyle w:val="22"/>
              <w:rPr>
                <w:rFonts w:hint="eastAsia" w:hAnsi="宋体"/>
                <w:color w:val="auto"/>
                <w:highlight w:val="none"/>
              </w:rPr>
            </w:pPr>
          </w:p>
        </w:tc>
        <w:tc>
          <w:tcPr>
            <w:tcW w:w="927" w:type="dxa"/>
            <w:noWrap w:val="0"/>
            <w:vAlign w:val="center"/>
          </w:tcPr>
          <w:p>
            <w:pPr>
              <w:pStyle w:val="22"/>
              <w:rPr>
                <w:rFonts w:hint="eastAsia" w:hAnsi="宋体"/>
                <w:color w:val="auto"/>
                <w:highlight w:val="none"/>
              </w:rPr>
            </w:pPr>
          </w:p>
        </w:tc>
        <w:tc>
          <w:tcPr>
            <w:tcW w:w="1457" w:type="dxa"/>
            <w:noWrap w:val="0"/>
            <w:vAlign w:val="center"/>
          </w:tcPr>
          <w:p>
            <w:pPr>
              <w:pStyle w:val="22"/>
              <w:rPr>
                <w:rFonts w:hint="eastAsia" w:hAnsi="宋体"/>
                <w:color w:val="auto"/>
                <w:highlight w:val="none"/>
              </w:rPr>
            </w:pPr>
          </w:p>
        </w:tc>
        <w:tc>
          <w:tcPr>
            <w:tcW w:w="1032" w:type="dxa"/>
            <w:noWrap w:val="0"/>
            <w:vAlign w:val="center"/>
          </w:tcPr>
          <w:p>
            <w:pPr>
              <w:pStyle w:val="22"/>
              <w:rPr>
                <w:rFonts w:hint="eastAsia" w:hAnsi="宋体"/>
                <w:color w:val="auto"/>
                <w:spacing w:val="-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19"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w:t>
            </w:r>
          </w:p>
        </w:tc>
        <w:tc>
          <w:tcPr>
            <w:tcW w:w="917" w:type="dxa"/>
            <w:noWrap w:val="0"/>
            <w:vAlign w:val="center"/>
          </w:tcPr>
          <w:p>
            <w:pPr>
              <w:jc w:val="center"/>
              <w:rPr>
                <w:rFonts w:hint="eastAsia" w:ascii="宋体" w:hAnsi="宋体"/>
                <w:color w:val="auto"/>
                <w:highlight w:val="none"/>
              </w:rPr>
            </w:pPr>
          </w:p>
        </w:tc>
        <w:tc>
          <w:tcPr>
            <w:tcW w:w="1141" w:type="dxa"/>
            <w:noWrap w:val="0"/>
            <w:vAlign w:val="center"/>
          </w:tcPr>
          <w:p>
            <w:pPr>
              <w:jc w:val="center"/>
              <w:rPr>
                <w:rFonts w:hint="eastAsia" w:ascii="宋体" w:hAnsi="宋体"/>
                <w:color w:val="auto"/>
                <w:highlight w:val="none"/>
              </w:rPr>
            </w:pPr>
          </w:p>
        </w:tc>
        <w:tc>
          <w:tcPr>
            <w:tcW w:w="655" w:type="dxa"/>
            <w:noWrap w:val="0"/>
            <w:vAlign w:val="center"/>
          </w:tcPr>
          <w:p>
            <w:pPr>
              <w:pStyle w:val="22"/>
              <w:rPr>
                <w:rFonts w:hint="eastAsia" w:hAnsi="宋体"/>
                <w:color w:val="auto"/>
                <w:highlight w:val="none"/>
              </w:rPr>
            </w:pPr>
          </w:p>
        </w:tc>
        <w:tc>
          <w:tcPr>
            <w:tcW w:w="819" w:type="dxa"/>
            <w:noWrap w:val="0"/>
            <w:vAlign w:val="center"/>
          </w:tcPr>
          <w:p>
            <w:pPr>
              <w:pStyle w:val="22"/>
              <w:rPr>
                <w:rFonts w:hint="eastAsia" w:hAnsi="宋体"/>
                <w:color w:val="auto"/>
                <w:highlight w:val="none"/>
              </w:rPr>
            </w:pPr>
          </w:p>
        </w:tc>
        <w:tc>
          <w:tcPr>
            <w:tcW w:w="1818" w:type="dxa"/>
            <w:noWrap w:val="0"/>
            <w:vAlign w:val="center"/>
          </w:tcPr>
          <w:p>
            <w:pPr>
              <w:pStyle w:val="22"/>
              <w:rPr>
                <w:rFonts w:hint="eastAsia" w:hAnsi="宋体"/>
                <w:color w:val="auto"/>
                <w:highlight w:val="none"/>
              </w:rPr>
            </w:pPr>
          </w:p>
        </w:tc>
        <w:tc>
          <w:tcPr>
            <w:tcW w:w="927" w:type="dxa"/>
            <w:noWrap w:val="0"/>
            <w:vAlign w:val="center"/>
          </w:tcPr>
          <w:p>
            <w:pPr>
              <w:pStyle w:val="22"/>
              <w:rPr>
                <w:rFonts w:hint="eastAsia" w:hAnsi="宋体"/>
                <w:color w:val="auto"/>
                <w:highlight w:val="none"/>
              </w:rPr>
            </w:pPr>
          </w:p>
        </w:tc>
        <w:tc>
          <w:tcPr>
            <w:tcW w:w="1457" w:type="dxa"/>
            <w:noWrap w:val="0"/>
            <w:vAlign w:val="center"/>
          </w:tcPr>
          <w:p>
            <w:pPr>
              <w:pStyle w:val="22"/>
              <w:rPr>
                <w:rFonts w:hint="eastAsia" w:hAnsi="宋体"/>
                <w:color w:val="auto"/>
                <w:highlight w:val="none"/>
              </w:rPr>
            </w:pPr>
          </w:p>
        </w:tc>
        <w:tc>
          <w:tcPr>
            <w:tcW w:w="1032" w:type="dxa"/>
            <w:noWrap w:val="0"/>
            <w:vAlign w:val="center"/>
          </w:tcPr>
          <w:p>
            <w:pPr>
              <w:pStyle w:val="22"/>
              <w:rPr>
                <w:rFonts w:hint="eastAsia" w:hAnsi="宋体"/>
                <w:color w:val="auto"/>
                <w:spacing w:val="-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19" w:type="dxa"/>
            <w:noWrap w:val="0"/>
            <w:vAlign w:val="center"/>
          </w:tcPr>
          <w:p>
            <w:pPr>
              <w:jc w:val="center"/>
              <w:rPr>
                <w:rFonts w:ascii="宋体" w:hAnsi="宋体"/>
                <w:color w:val="auto"/>
                <w:sz w:val="24"/>
                <w:highlight w:val="none"/>
              </w:rPr>
            </w:pPr>
            <w:r>
              <w:rPr>
                <w:rFonts w:ascii="宋体" w:hAnsi="宋体"/>
                <w:color w:val="auto"/>
                <w:sz w:val="24"/>
                <w:highlight w:val="none"/>
              </w:rPr>
              <w:t>N</w:t>
            </w:r>
          </w:p>
        </w:tc>
        <w:tc>
          <w:tcPr>
            <w:tcW w:w="917" w:type="dxa"/>
            <w:noWrap w:val="0"/>
            <w:vAlign w:val="center"/>
          </w:tcPr>
          <w:p>
            <w:pPr>
              <w:jc w:val="center"/>
              <w:rPr>
                <w:rFonts w:hint="eastAsia" w:ascii="宋体" w:hAnsi="宋体"/>
                <w:color w:val="auto"/>
                <w:highlight w:val="none"/>
              </w:rPr>
            </w:pPr>
          </w:p>
        </w:tc>
        <w:tc>
          <w:tcPr>
            <w:tcW w:w="1141" w:type="dxa"/>
            <w:noWrap w:val="0"/>
            <w:vAlign w:val="center"/>
          </w:tcPr>
          <w:p>
            <w:pPr>
              <w:jc w:val="center"/>
              <w:rPr>
                <w:rFonts w:hint="eastAsia" w:ascii="宋体" w:hAnsi="宋体"/>
                <w:color w:val="auto"/>
                <w:highlight w:val="none"/>
              </w:rPr>
            </w:pPr>
          </w:p>
        </w:tc>
        <w:tc>
          <w:tcPr>
            <w:tcW w:w="655" w:type="dxa"/>
            <w:noWrap w:val="0"/>
            <w:vAlign w:val="center"/>
          </w:tcPr>
          <w:p>
            <w:pPr>
              <w:pStyle w:val="22"/>
              <w:rPr>
                <w:rFonts w:hint="eastAsia" w:hAnsi="宋体"/>
                <w:color w:val="auto"/>
                <w:highlight w:val="none"/>
              </w:rPr>
            </w:pPr>
          </w:p>
        </w:tc>
        <w:tc>
          <w:tcPr>
            <w:tcW w:w="819" w:type="dxa"/>
            <w:noWrap w:val="0"/>
            <w:vAlign w:val="center"/>
          </w:tcPr>
          <w:p>
            <w:pPr>
              <w:pStyle w:val="22"/>
              <w:rPr>
                <w:rFonts w:hint="eastAsia" w:hAnsi="宋体"/>
                <w:color w:val="auto"/>
                <w:highlight w:val="none"/>
              </w:rPr>
            </w:pPr>
          </w:p>
        </w:tc>
        <w:tc>
          <w:tcPr>
            <w:tcW w:w="1818" w:type="dxa"/>
            <w:noWrap w:val="0"/>
            <w:vAlign w:val="center"/>
          </w:tcPr>
          <w:p>
            <w:pPr>
              <w:pStyle w:val="22"/>
              <w:rPr>
                <w:rFonts w:hint="eastAsia" w:hAnsi="宋体"/>
                <w:color w:val="auto"/>
                <w:highlight w:val="none"/>
              </w:rPr>
            </w:pPr>
          </w:p>
        </w:tc>
        <w:tc>
          <w:tcPr>
            <w:tcW w:w="927" w:type="dxa"/>
            <w:noWrap w:val="0"/>
            <w:vAlign w:val="center"/>
          </w:tcPr>
          <w:p>
            <w:pPr>
              <w:pStyle w:val="22"/>
              <w:rPr>
                <w:rFonts w:hint="eastAsia" w:hAnsi="宋体"/>
                <w:color w:val="auto"/>
                <w:highlight w:val="none"/>
              </w:rPr>
            </w:pPr>
          </w:p>
        </w:tc>
        <w:tc>
          <w:tcPr>
            <w:tcW w:w="1457" w:type="dxa"/>
            <w:noWrap w:val="0"/>
            <w:vAlign w:val="center"/>
          </w:tcPr>
          <w:p>
            <w:pPr>
              <w:pStyle w:val="22"/>
              <w:rPr>
                <w:rFonts w:hint="eastAsia" w:hAnsi="宋体"/>
                <w:color w:val="auto"/>
                <w:highlight w:val="none"/>
              </w:rPr>
            </w:pPr>
          </w:p>
        </w:tc>
        <w:tc>
          <w:tcPr>
            <w:tcW w:w="1032" w:type="dxa"/>
            <w:noWrap w:val="0"/>
            <w:vAlign w:val="center"/>
          </w:tcPr>
          <w:p>
            <w:pPr>
              <w:pStyle w:val="22"/>
              <w:rPr>
                <w:rFonts w:hint="eastAsia" w:hAnsi="宋体"/>
                <w:color w:val="auto"/>
                <w:spacing w:val="-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185" w:type="dxa"/>
            <w:gridSpan w:val="9"/>
            <w:noWrap w:val="0"/>
            <w:vAlign w:val="center"/>
          </w:tcPr>
          <w:p>
            <w:pPr>
              <w:pStyle w:val="22"/>
              <w:rPr>
                <w:rFonts w:hint="eastAsia" w:hAnsi="宋体"/>
                <w:color w:val="auto"/>
                <w:spacing w:val="-6"/>
                <w:highlight w:val="none"/>
              </w:rPr>
            </w:pPr>
            <w:r>
              <w:rPr>
                <w:rFonts w:hint="eastAsia" w:hAnsi="宋体"/>
                <w:color w:val="auto"/>
                <w:spacing w:val="-6"/>
                <w:highlight w:val="none"/>
              </w:rPr>
              <w:t>总报价（人民币大写）：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185" w:type="dxa"/>
            <w:gridSpan w:val="9"/>
            <w:noWrap w:val="0"/>
            <w:vAlign w:val="center"/>
          </w:tcPr>
          <w:p>
            <w:pPr>
              <w:pStyle w:val="22"/>
              <w:rPr>
                <w:rFonts w:hint="eastAsia" w:hAnsi="宋体"/>
                <w:color w:val="auto"/>
                <w:spacing w:val="-6"/>
                <w:highlight w:val="none"/>
              </w:rPr>
            </w:pPr>
            <w:r>
              <w:rPr>
                <w:rFonts w:hint="eastAsia"/>
                <w:color w:val="auto"/>
                <w:spacing w:val="-6"/>
                <w:highlight w:val="none"/>
              </w:rPr>
              <w:t>交付使用时间</w:t>
            </w:r>
            <w:r>
              <w:rPr>
                <w:rFonts w:hint="eastAsia" w:hAnsi="宋体"/>
                <w:color w:val="auto"/>
                <w:spacing w:val="-6"/>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185" w:type="dxa"/>
            <w:gridSpan w:val="9"/>
            <w:noWrap w:val="0"/>
            <w:vAlign w:val="center"/>
          </w:tcPr>
          <w:p>
            <w:pPr>
              <w:pStyle w:val="22"/>
              <w:rPr>
                <w:rFonts w:hint="eastAsia" w:hAnsi="宋体"/>
                <w:color w:val="auto"/>
                <w:spacing w:val="-6"/>
                <w:highlight w:val="none"/>
              </w:rPr>
            </w:pPr>
            <w:r>
              <w:rPr>
                <w:rFonts w:hint="eastAsia"/>
                <w:color w:val="auto"/>
                <w:spacing w:val="-6"/>
                <w:highlight w:val="none"/>
              </w:rPr>
              <w:t>交货地点：</w:t>
            </w:r>
          </w:p>
        </w:tc>
      </w:tr>
    </w:tbl>
    <w:p>
      <w:pPr>
        <w:spacing w:line="500" w:lineRule="exact"/>
        <w:rPr>
          <w:rFonts w:hint="eastAsia" w:ascii="宋体" w:hAnsi="宋体"/>
          <w:color w:val="auto"/>
          <w:szCs w:val="21"/>
          <w:highlight w:val="none"/>
        </w:rPr>
      </w:pPr>
      <w:r>
        <w:rPr>
          <w:rFonts w:hint="eastAsia" w:ascii="宋体" w:hAnsi="宋体"/>
          <w:color w:val="auto"/>
          <w:szCs w:val="21"/>
          <w:highlight w:val="none"/>
        </w:rPr>
        <w:t>注：1、所有价格均用人民币表示，单位为元，精确到个数位。</w:t>
      </w:r>
    </w:p>
    <w:p>
      <w:pPr>
        <w:spacing w:line="500" w:lineRule="exact"/>
        <w:ind w:firstLine="411" w:firstLineChars="196"/>
        <w:rPr>
          <w:rFonts w:hint="eastAsia" w:ascii="宋体" w:hAnsi="宋体"/>
          <w:color w:val="auto"/>
          <w:szCs w:val="21"/>
          <w:highlight w:val="none"/>
        </w:rPr>
      </w:pPr>
      <w:r>
        <w:rPr>
          <w:rFonts w:hint="eastAsia" w:hAnsi="宋体"/>
          <w:bCs/>
          <w:color w:val="auto"/>
          <w:highlight w:val="none"/>
        </w:rPr>
        <w:t>2、报价指电梯报价要求包含设备费、安装费、运输费、厂家调试费、技术监督部门的报装费、验收费及两年“三包”维保服务费、税金等费用其它所有成本、费用的总和</w:t>
      </w:r>
      <w:r>
        <w:rPr>
          <w:rFonts w:hint="eastAsia" w:ascii="宋体" w:hAnsi="宋体"/>
          <w:color w:val="auto"/>
          <w:szCs w:val="21"/>
          <w:highlight w:val="none"/>
        </w:rPr>
        <w:t>。</w:t>
      </w:r>
    </w:p>
    <w:p>
      <w:pPr>
        <w:pStyle w:val="22"/>
        <w:spacing w:line="500" w:lineRule="exact"/>
        <w:ind w:firstLine="420" w:firstLineChars="200"/>
        <w:rPr>
          <w:rFonts w:hint="eastAsia" w:hAnsi="宋体"/>
          <w:color w:val="auto"/>
          <w:highlight w:val="none"/>
        </w:rPr>
      </w:pPr>
    </w:p>
    <w:p>
      <w:pPr>
        <w:pStyle w:val="22"/>
        <w:spacing w:line="500" w:lineRule="exact"/>
        <w:ind w:firstLine="420" w:firstLineChars="200"/>
        <w:rPr>
          <w:rFonts w:hint="eastAsia" w:hAnsi="宋体"/>
          <w:color w:val="auto"/>
          <w:highlight w:val="none"/>
        </w:rPr>
      </w:pPr>
    </w:p>
    <w:p>
      <w:pPr>
        <w:pStyle w:val="22"/>
        <w:spacing w:line="500" w:lineRule="exact"/>
        <w:ind w:firstLine="420" w:firstLineChars="200"/>
        <w:rPr>
          <w:rFonts w:hint="eastAsia" w:hAnsi="宋体"/>
          <w:color w:val="auto"/>
          <w:highlight w:val="none"/>
          <w:u w:val="single"/>
        </w:rPr>
      </w:pPr>
      <w:r>
        <w:rPr>
          <w:rFonts w:hint="eastAsia" w:hAnsi="宋体"/>
          <w:color w:val="auto"/>
          <w:highlight w:val="none"/>
        </w:rPr>
        <w:t>法定代表人或委托代理人（签字，盖姓名章无效）:</w:t>
      </w:r>
      <w:r>
        <w:rPr>
          <w:rFonts w:hint="eastAsia" w:hAnsi="宋体"/>
          <w:color w:val="auto"/>
          <w:highlight w:val="none"/>
          <w:u w:val="single"/>
        </w:rPr>
        <w:t xml:space="preserve">              </w:t>
      </w:r>
    </w:p>
    <w:p>
      <w:pPr>
        <w:pStyle w:val="22"/>
        <w:spacing w:line="500" w:lineRule="exact"/>
        <w:ind w:firstLine="420" w:firstLineChars="200"/>
        <w:rPr>
          <w:rFonts w:hint="eastAsia" w:hAnsi="宋体"/>
          <w:color w:val="auto"/>
          <w:highlight w:val="none"/>
          <w:u w:val="single"/>
        </w:rPr>
      </w:pPr>
      <w:r>
        <w:rPr>
          <w:rFonts w:hint="eastAsia" w:hAnsi="宋体"/>
          <w:color w:val="auto"/>
          <w:highlight w:val="none"/>
        </w:rPr>
        <w:t>谈判供应商名称（盖章）：</w:t>
      </w:r>
      <w:r>
        <w:rPr>
          <w:rFonts w:hint="eastAsia" w:hAnsi="宋体"/>
          <w:color w:val="auto"/>
          <w:highlight w:val="none"/>
          <w:u w:val="single"/>
        </w:rPr>
        <w:t xml:space="preserve">       </w:t>
      </w:r>
    </w:p>
    <w:p>
      <w:pPr>
        <w:spacing w:line="500" w:lineRule="exact"/>
        <w:ind w:firstLine="420" w:firstLineChars="200"/>
        <w:rPr>
          <w:rFonts w:hint="eastAsia" w:ascii="宋体" w:hAnsi="宋体"/>
          <w:color w:val="auto"/>
          <w:szCs w:val="21"/>
          <w:highlight w:val="none"/>
        </w:rPr>
      </w:pPr>
      <w:r>
        <w:rPr>
          <w:rFonts w:hint="eastAsia" w:hAnsi="宋体"/>
          <w:color w:val="auto"/>
          <w:highlight w:val="none"/>
        </w:rPr>
        <w:t>报价时间：</w:t>
      </w:r>
      <w:r>
        <w:rPr>
          <w:rFonts w:hint="eastAsia" w:hAnsi="宋体"/>
          <w:color w:val="auto"/>
          <w:highlight w:val="none"/>
          <w:u w:val="single"/>
        </w:rPr>
        <w:t xml:space="preserve">     </w:t>
      </w:r>
      <w:r>
        <w:rPr>
          <w:rFonts w:hint="eastAsia" w:hAnsi="宋体"/>
          <w:color w:val="auto"/>
          <w:highlight w:val="none"/>
        </w:rPr>
        <w:t>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日</w:t>
      </w:r>
    </w:p>
    <w:p>
      <w:pPr>
        <w:spacing w:line="500" w:lineRule="exact"/>
        <w:ind w:firstLine="420"/>
        <w:rPr>
          <w:rFonts w:hint="eastAsia" w:ascii="宋体" w:hAnsi="宋体"/>
          <w:color w:val="auto"/>
          <w:szCs w:val="21"/>
          <w:highlight w:val="none"/>
        </w:rPr>
      </w:pPr>
    </w:p>
    <w:p>
      <w:pPr>
        <w:adjustRightInd w:val="0"/>
        <w:snapToGrid w:val="0"/>
        <w:spacing w:line="300" w:lineRule="auto"/>
        <w:ind w:left="-88" w:leftChars="-42"/>
        <w:rPr>
          <w:rFonts w:hint="eastAsia" w:ascii="宋体" w:hAnsi="宋体"/>
          <w:color w:val="auto"/>
          <w:szCs w:val="21"/>
          <w:highlight w:val="none"/>
        </w:rPr>
      </w:pPr>
    </w:p>
    <w:p>
      <w:pPr>
        <w:adjustRightInd w:val="0"/>
        <w:snapToGrid w:val="0"/>
        <w:spacing w:line="300" w:lineRule="auto"/>
        <w:rPr>
          <w:rFonts w:hint="eastAsia" w:ascii="宋体" w:hAnsi="宋体"/>
          <w:color w:val="auto"/>
          <w:szCs w:val="21"/>
          <w:highlight w:val="none"/>
        </w:rPr>
      </w:pPr>
    </w:p>
    <w:p>
      <w:pPr>
        <w:pStyle w:val="3"/>
        <w:rPr>
          <w:rFonts w:hint="eastAsia" w:ascii="宋体" w:hAnsi="宋体"/>
          <w:color w:val="auto"/>
          <w:szCs w:val="21"/>
          <w:highlight w:val="none"/>
        </w:rPr>
      </w:pPr>
    </w:p>
    <w:p>
      <w:pPr>
        <w:pStyle w:val="3"/>
        <w:rPr>
          <w:rFonts w:hint="eastAsia" w:ascii="宋体" w:hAnsi="宋体"/>
          <w:color w:val="auto"/>
          <w:szCs w:val="21"/>
          <w:highlight w:val="none"/>
        </w:rPr>
      </w:pPr>
    </w:p>
    <w:p>
      <w:pPr>
        <w:adjustRightInd w:val="0"/>
        <w:snapToGrid w:val="0"/>
        <w:spacing w:line="300" w:lineRule="auto"/>
        <w:rPr>
          <w:rFonts w:hint="eastAsia" w:ascii="宋体" w:hAnsi="宋体"/>
          <w:color w:val="auto"/>
          <w:szCs w:val="21"/>
          <w:highlight w:val="none"/>
        </w:rPr>
      </w:pPr>
    </w:p>
    <w:p>
      <w:pPr>
        <w:spacing w:line="300" w:lineRule="auto"/>
        <w:rPr>
          <w:rFonts w:ascii="方正宋黑简体" w:hAnsi="宋体" w:eastAsia="方正宋黑简体"/>
          <w:b/>
          <w:color w:val="auto"/>
          <w:szCs w:val="21"/>
          <w:highlight w:val="none"/>
        </w:rPr>
      </w:pPr>
      <w:r>
        <w:rPr>
          <w:rFonts w:hint="eastAsia" w:ascii="方正宋黑简体" w:hAnsi="宋体" w:eastAsia="方正宋黑简体"/>
          <w:b/>
          <w:color w:val="auto"/>
          <w:szCs w:val="21"/>
          <w:highlight w:val="none"/>
        </w:rPr>
        <w:t xml:space="preserve">附件3  </w:t>
      </w:r>
    </w:p>
    <w:p>
      <w:pPr>
        <w:spacing w:line="300" w:lineRule="auto"/>
        <w:rPr>
          <w:rFonts w:hint="eastAsia" w:ascii="宋体" w:hAnsi="宋体"/>
          <w:b/>
          <w:color w:val="auto"/>
          <w:szCs w:val="21"/>
          <w:highlight w:val="none"/>
        </w:rPr>
      </w:pPr>
    </w:p>
    <w:p>
      <w:pPr>
        <w:spacing w:line="300" w:lineRule="auto"/>
        <w:jc w:val="center"/>
        <w:rPr>
          <w:rFonts w:hint="eastAsia" w:ascii="方正小标宋简体" w:hAnsi="宋体" w:eastAsia="方正小标宋简体"/>
          <w:color w:val="auto"/>
          <w:sz w:val="36"/>
          <w:szCs w:val="36"/>
          <w:highlight w:val="none"/>
        </w:rPr>
      </w:pPr>
      <w:r>
        <w:rPr>
          <w:rFonts w:hint="eastAsia" w:ascii="方正小标宋简体" w:hAnsi="宋体" w:eastAsia="方正小标宋简体"/>
          <w:color w:val="auto"/>
          <w:sz w:val="36"/>
          <w:szCs w:val="36"/>
          <w:highlight w:val="none"/>
        </w:rPr>
        <w:t>商务、技术响应、偏离情况说明表</w:t>
      </w:r>
    </w:p>
    <w:p>
      <w:pPr>
        <w:spacing w:line="300" w:lineRule="auto"/>
        <w:rPr>
          <w:rFonts w:hint="eastAsia" w:ascii="宋体" w:hAnsi="宋体"/>
          <w:color w:val="auto"/>
          <w:szCs w:val="21"/>
          <w:highlight w:val="none"/>
        </w:rPr>
      </w:pPr>
    </w:p>
    <w:p>
      <w:pPr>
        <w:spacing w:before="156" w:beforeLines="50" w:after="156" w:afterLines="50" w:line="360" w:lineRule="exact"/>
        <w:rPr>
          <w:rFonts w:hint="eastAsia" w:ascii="宋体" w:hAnsi="宋体"/>
          <w:color w:val="auto"/>
          <w:szCs w:val="21"/>
          <w:highlight w:val="none"/>
          <w:u w:val="single"/>
        </w:rPr>
      </w:pPr>
      <w:r>
        <w:rPr>
          <w:rFonts w:hint="eastAsia" w:ascii="宋体" w:hAnsi="宋体"/>
          <w:color w:val="auto"/>
          <w:szCs w:val="21"/>
          <w:highlight w:val="none"/>
        </w:rPr>
        <w:t>项目名称:</w:t>
      </w:r>
      <w:r>
        <w:rPr>
          <w:rFonts w:hint="eastAsia" w:ascii="宋体" w:hAnsi="宋体"/>
          <w:color w:val="auto"/>
          <w:szCs w:val="21"/>
          <w:highlight w:val="none"/>
          <w:u w:val="single"/>
        </w:rPr>
        <w:t xml:space="preserve">                 </w:t>
      </w:r>
    </w:p>
    <w:p>
      <w:pPr>
        <w:spacing w:before="156" w:beforeLines="50" w:after="156" w:afterLines="50" w:line="360" w:lineRule="exact"/>
        <w:rPr>
          <w:rFonts w:hint="eastAsia" w:ascii="宋体" w:hAnsi="宋体"/>
          <w:color w:val="auto"/>
          <w:szCs w:val="21"/>
          <w:highlight w:val="none"/>
        </w:rPr>
      </w:pPr>
      <w:r>
        <w:rPr>
          <w:rFonts w:hint="eastAsia" w:ascii="宋体" w:hAnsi="宋体"/>
          <w:color w:val="auto"/>
          <w:szCs w:val="21"/>
          <w:highlight w:val="none"/>
        </w:rPr>
        <w:t>项目编号:</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06"/>
        <w:gridCol w:w="2809"/>
        <w:gridCol w:w="2945"/>
        <w:gridCol w:w="1464"/>
        <w:gridCol w:w="136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420" w:hRule="atLeast"/>
          <w:jc w:val="center"/>
        </w:trPr>
        <w:tc>
          <w:tcPr>
            <w:tcW w:w="606" w:type="dxa"/>
            <w:noWrap w:val="0"/>
            <w:vAlign w:val="center"/>
          </w:tcPr>
          <w:p>
            <w:pPr>
              <w:adjustRightInd w:val="0"/>
              <w:snapToGrid w:val="0"/>
              <w:spacing w:line="300" w:lineRule="auto"/>
              <w:jc w:val="center"/>
              <w:rPr>
                <w:rFonts w:hint="eastAsia" w:ascii="宋体" w:hAnsi="宋体"/>
                <w:color w:val="auto"/>
                <w:szCs w:val="21"/>
                <w:highlight w:val="none"/>
              </w:rPr>
            </w:pPr>
            <w:r>
              <w:rPr>
                <w:rFonts w:hint="eastAsia" w:ascii="宋体" w:hAnsi="宋体"/>
                <w:color w:val="auto"/>
                <w:szCs w:val="21"/>
                <w:highlight w:val="none"/>
              </w:rPr>
              <w:t xml:space="preserve">                     </w:t>
            </w:r>
            <w:bookmarkStart w:id="56" w:name="_Toc173066401"/>
            <w:bookmarkStart w:id="57" w:name="_Toc173211900"/>
            <w:bookmarkStart w:id="58" w:name="_Toc254970588"/>
            <w:bookmarkStart w:id="59" w:name="_Toc254970729"/>
            <w:bookmarkStart w:id="60" w:name="_Toc405905876"/>
            <w:r>
              <w:rPr>
                <w:rFonts w:hint="eastAsia" w:ascii="宋体" w:hAnsi="宋体"/>
                <w:color w:val="auto"/>
                <w:szCs w:val="21"/>
                <w:highlight w:val="none"/>
              </w:rPr>
              <w:t>序号</w:t>
            </w:r>
            <w:bookmarkEnd w:id="56"/>
            <w:bookmarkEnd w:id="57"/>
            <w:bookmarkEnd w:id="58"/>
            <w:bookmarkEnd w:id="59"/>
            <w:bookmarkEnd w:id="60"/>
          </w:p>
        </w:tc>
        <w:tc>
          <w:tcPr>
            <w:tcW w:w="2809" w:type="dxa"/>
            <w:noWrap w:val="0"/>
            <w:vAlign w:val="center"/>
          </w:tcPr>
          <w:p>
            <w:pPr>
              <w:adjustRightInd w:val="0"/>
              <w:snapToGrid w:val="0"/>
              <w:spacing w:line="300" w:lineRule="auto"/>
              <w:jc w:val="center"/>
              <w:rPr>
                <w:rFonts w:hint="eastAsia" w:ascii="宋体" w:hAnsi="宋体"/>
                <w:color w:val="auto"/>
                <w:szCs w:val="21"/>
                <w:highlight w:val="none"/>
              </w:rPr>
            </w:pPr>
            <w:bookmarkStart w:id="61" w:name="_Toc173066402"/>
            <w:bookmarkStart w:id="62" w:name="_Toc173211901"/>
            <w:bookmarkStart w:id="63" w:name="_Toc254970589"/>
            <w:bookmarkStart w:id="64" w:name="_Toc254970730"/>
            <w:bookmarkStart w:id="65" w:name="_Toc405905877"/>
            <w:r>
              <w:rPr>
                <w:rFonts w:hint="eastAsia" w:ascii="宋体" w:hAnsi="宋体"/>
                <w:color w:val="auto"/>
                <w:szCs w:val="21"/>
                <w:highlight w:val="none"/>
              </w:rPr>
              <w:t>竞争性谈判文件要求</w:t>
            </w:r>
            <w:bookmarkEnd w:id="61"/>
            <w:bookmarkEnd w:id="62"/>
            <w:bookmarkEnd w:id="63"/>
            <w:bookmarkEnd w:id="64"/>
            <w:bookmarkEnd w:id="65"/>
          </w:p>
        </w:tc>
        <w:tc>
          <w:tcPr>
            <w:tcW w:w="2945" w:type="dxa"/>
            <w:noWrap w:val="0"/>
            <w:vAlign w:val="center"/>
          </w:tcPr>
          <w:p>
            <w:pPr>
              <w:adjustRightInd w:val="0"/>
              <w:snapToGrid w:val="0"/>
              <w:spacing w:line="300" w:lineRule="auto"/>
              <w:jc w:val="center"/>
              <w:rPr>
                <w:rFonts w:hint="eastAsia" w:ascii="宋体" w:hAnsi="宋体"/>
                <w:color w:val="auto"/>
                <w:szCs w:val="21"/>
                <w:highlight w:val="none"/>
              </w:rPr>
            </w:pPr>
            <w:bookmarkStart w:id="66" w:name="_Toc173066403"/>
            <w:bookmarkStart w:id="67" w:name="_Toc173211902"/>
            <w:bookmarkStart w:id="68" w:name="_Toc254970590"/>
            <w:bookmarkStart w:id="69" w:name="_Toc254970731"/>
            <w:bookmarkStart w:id="70" w:name="_Toc405905878"/>
            <w:r>
              <w:rPr>
                <w:rFonts w:hint="eastAsia" w:ascii="宋体" w:hAnsi="宋体"/>
                <w:color w:val="auto"/>
                <w:szCs w:val="21"/>
                <w:highlight w:val="none"/>
              </w:rPr>
              <w:t>竞争性谈判响应文件具体响应</w:t>
            </w:r>
            <w:bookmarkEnd w:id="66"/>
            <w:bookmarkEnd w:id="67"/>
            <w:bookmarkEnd w:id="68"/>
            <w:bookmarkEnd w:id="69"/>
            <w:bookmarkEnd w:id="70"/>
          </w:p>
        </w:tc>
        <w:tc>
          <w:tcPr>
            <w:tcW w:w="1464" w:type="dxa"/>
            <w:noWrap w:val="0"/>
            <w:vAlign w:val="center"/>
          </w:tcPr>
          <w:p>
            <w:pPr>
              <w:adjustRightInd w:val="0"/>
              <w:snapToGrid w:val="0"/>
              <w:spacing w:line="300" w:lineRule="auto"/>
              <w:jc w:val="center"/>
              <w:rPr>
                <w:rFonts w:hint="eastAsia" w:ascii="宋体" w:hAnsi="宋体"/>
                <w:color w:val="auto"/>
                <w:szCs w:val="21"/>
                <w:highlight w:val="none"/>
              </w:rPr>
            </w:pPr>
            <w:bookmarkStart w:id="71" w:name="_Toc173066404"/>
            <w:bookmarkStart w:id="72" w:name="_Toc173211903"/>
            <w:bookmarkStart w:id="73" w:name="_Toc254970591"/>
            <w:bookmarkStart w:id="74" w:name="_Toc254970732"/>
            <w:bookmarkStart w:id="75" w:name="_Toc405905879"/>
            <w:r>
              <w:rPr>
                <w:rFonts w:hint="eastAsia" w:ascii="宋体" w:hAnsi="宋体"/>
                <w:color w:val="auto"/>
                <w:szCs w:val="21"/>
                <w:highlight w:val="none"/>
              </w:rPr>
              <w:t>响应/偏离</w:t>
            </w:r>
            <w:bookmarkEnd w:id="71"/>
            <w:bookmarkEnd w:id="72"/>
            <w:bookmarkEnd w:id="73"/>
            <w:bookmarkEnd w:id="74"/>
            <w:bookmarkEnd w:id="75"/>
          </w:p>
        </w:tc>
        <w:tc>
          <w:tcPr>
            <w:tcW w:w="1361" w:type="dxa"/>
            <w:noWrap w:val="0"/>
            <w:vAlign w:val="center"/>
          </w:tcPr>
          <w:p>
            <w:pPr>
              <w:adjustRightInd w:val="0"/>
              <w:snapToGrid w:val="0"/>
              <w:spacing w:line="300" w:lineRule="auto"/>
              <w:jc w:val="center"/>
              <w:rPr>
                <w:rFonts w:hint="eastAsia" w:ascii="宋体" w:hAnsi="宋体"/>
                <w:color w:val="auto"/>
                <w:szCs w:val="21"/>
                <w:highlight w:val="none"/>
              </w:rPr>
            </w:pPr>
            <w:bookmarkStart w:id="76" w:name="_Toc405905880"/>
            <w:bookmarkStart w:id="77" w:name="_Toc173066405"/>
            <w:bookmarkStart w:id="78" w:name="_Toc173211904"/>
            <w:bookmarkStart w:id="79" w:name="_Toc254970592"/>
            <w:bookmarkStart w:id="80" w:name="_Toc254970733"/>
            <w:r>
              <w:rPr>
                <w:rFonts w:hint="eastAsia" w:ascii="宋体" w:hAnsi="宋体"/>
                <w:color w:val="auto"/>
                <w:szCs w:val="21"/>
                <w:highlight w:val="none"/>
              </w:rPr>
              <w:t>说明</w:t>
            </w:r>
            <w:bookmarkEnd w:id="76"/>
            <w:bookmarkEnd w:id="77"/>
            <w:bookmarkEnd w:id="78"/>
            <w:bookmarkEnd w:id="79"/>
            <w:bookmarkEnd w:id="80"/>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405" w:hRule="atLeast"/>
          <w:jc w:val="center"/>
        </w:trPr>
        <w:tc>
          <w:tcPr>
            <w:tcW w:w="9185" w:type="dxa"/>
            <w:gridSpan w:val="5"/>
            <w:noWrap w:val="0"/>
            <w:vAlign w:val="center"/>
          </w:tcPr>
          <w:p>
            <w:pPr>
              <w:adjustRightInd w:val="0"/>
              <w:snapToGrid w:val="0"/>
              <w:spacing w:line="240" w:lineRule="exact"/>
              <w:jc w:val="center"/>
              <w:rPr>
                <w:rFonts w:hint="eastAsia" w:ascii="宋体" w:hAnsi="宋体"/>
                <w:color w:val="auto"/>
                <w:szCs w:val="21"/>
                <w:highlight w:val="none"/>
              </w:rPr>
            </w:pPr>
            <w:bookmarkStart w:id="81" w:name="_Toc405905881"/>
            <w:r>
              <w:rPr>
                <w:rFonts w:hint="eastAsia" w:ascii="宋体" w:hAnsi="宋体"/>
                <w:color w:val="auto"/>
                <w:szCs w:val="21"/>
                <w:highlight w:val="none"/>
              </w:rPr>
              <w:t>商务部分</w:t>
            </w:r>
            <w:bookmarkEnd w:id="81"/>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405" w:hRule="atLeast"/>
          <w:jc w:val="center"/>
        </w:trPr>
        <w:tc>
          <w:tcPr>
            <w:tcW w:w="606" w:type="dxa"/>
            <w:noWrap w:val="0"/>
            <w:vAlign w:val="center"/>
          </w:tcPr>
          <w:p>
            <w:pPr>
              <w:adjustRightInd w:val="0"/>
              <w:snapToGrid w:val="0"/>
              <w:spacing w:line="240" w:lineRule="exact"/>
              <w:jc w:val="center"/>
              <w:rPr>
                <w:rFonts w:hint="eastAsia" w:ascii="宋体" w:hAnsi="宋体"/>
                <w:color w:val="auto"/>
                <w:szCs w:val="21"/>
                <w:highlight w:val="none"/>
              </w:rPr>
            </w:pPr>
            <w:bookmarkStart w:id="82" w:name="_Toc173066406"/>
            <w:bookmarkStart w:id="83" w:name="_Toc173211905"/>
            <w:bookmarkStart w:id="84" w:name="_Toc254970593"/>
            <w:bookmarkStart w:id="85" w:name="_Toc254970734"/>
            <w:bookmarkStart w:id="86" w:name="_Toc405905882"/>
            <w:r>
              <w:rPr>
                <w:rFonts w:hint="eastAsia" w:ascii="宋体" w:hAnsi="宋体"/>
                <w:color w:val="auto"/>
                <w:szCs w:val="21"/>
                <w:highlight w:val="none"/>
              </w:rPr>
              <w:t>1</w:t>
            </w:r>
            <w:bookmarkEnd w:id="82"/>
            <w:bookmarkEnd w:id="83"/>
            <w:bookmarkEnd w:id="84"/>
            <w:bookmarkEnd w:id="85"/>
            <w:bookmarkEnd w:id="86"/>
          </w:p>
        </w:tc>
        <w:tc>
          <w:tcPr>
            <w:tcW w:w="2809" w:type="dxa"/>
            <w:noWrap w:val="0"/>
            <w:vAlign w:val="center"/>
          </w:tcPr>
          <w:p>
            <w:pPr>
              <w:adjustRightInd w:val="0"/>
              <w:snapToGrid w:val="0"/>
              <w:spacing w:line="240" w:lineRule="exact"/>
              <w:jc w:val="center"/>
              <w:rPr>
                <w:rFonts w:hint="eastAsia" w:ascii="宋体" w:hAnsi="宋体"/>
                <w:color w:val="auto"/>
                <w:szCs w:val="21"/>
                <w:highlight w:val="none"/>
              </w:rPr>
            </w:pPr>
          </w:p>
        </w:tc>
        <w:tc>
          <w:tcPr>
            <w:tcW w:w="2945" w:type="dxa"/>
            <w:noWrap w:val="0"/>
            <w:vAlign w:val="center"/>
          </w:tcPr>
          <w:p>
            <w:pPr>
              <w:adjustRightInd w:val="0"/>
              <w:snapToGrid w:val="0"/>
              <w:spacing w:line="240" w:lineRule="exact"/>
              <w:jc w:val="center"/>
              <w:rPr>
                <w:rFonts w:hint="eastAsia" w:ascii="宋体" w:hAnsi="宋体"/>
                <w:color w:val="auto"/>
                <w:szCs w:val="21"/>
                <w:highlight w:val="none"/>
              </w:rPr>
            </w:pPr>
          </w:p>
        </w:tc>
        <w:tc>
          <w:tcPr>
            <w:tcW w:w="1464" w:type="dxa"/>
            <w:noWrap w:val="0"/>
            <w:vAlign w:val="center"/>
          </w:tcPr>
          <w:p>
            <w:pPr>
              <w:adjustRightInd w:val="0"/>
              <w:snapToGrid w:val="0"/>
              <w:spacing w:line="240" w:lineRule="exact"/>
              <w:jc w:val="center"/>
              <w:rPr>
                <w:rFonts w:hint="eastAsia" w:ascii="宋体" w:hAnsi="宋体"/>
                <w:color w:val="auto"/>
                <w:szCs w:val="21"/>
                <w:highlight w:val="none"/>
              </w:rPr>
            </w:pPr>
          </w:p>
        </w:tc>
        <w:tc>
          <w:tcPr>
            <w:tcW w:w="1361" w:type="dxa"/>
            <w:noWrap w:val="0"/>
            <w:vAlign w:val="center"/>
          </w:tcPr>
          <w:p>
            <w:pPr>
              <w:adjustRightInd w:val="0"/>
              <w:snapToGrid w:val="0"/>
              <w:spacing w:line="240" w:lineRule="exact"/>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405" w:hRule="atLeast"/>
          <w:jc w:val="center"/>
        </w:trPr>
        <w:tc>
          <w:tcPr>
            <w:tcW w:w="606" w:type="dxa"/>
            <w:noWrap w:val="0"/>
            <w:vAlign w:val="center"/>
          </w:tcPr>
          <w:p>
            <w:pPr>
              <w:adjustRightInd w:val="0"/>
              <w:snapToGrid w:val="0"/>
              <w:spacing w:line="240" w:lineRule="exact"/>
              <w:jc w:val="center"/>
              <w:rPr>
                <w:rFonts w:hint="eastAsia" w:ascii="宋体" w:hAnsi="宋体"/>
                <w:color w:val="auto"/>
                <w:szCs w:val="21"/>
                <w:highlight w:val="none"/>
              </w:rPr>
            </w:pPr>
            <w:bookmarkStart w:id="87" w:name="_Toc173066407"/>
            <w:bookmarkStart w:id="88" w:name="_Toc173211906"/>
            <w:bookmarkStart w:id="89" w:name="_Toc254970594"/>
            <w:bookmarkStart w:id="90" w:name="_Toc254970735"/>
            <w:bookmarkStart w:id="91" w:name="_Toc405905883"/>
            <w:r>
              <w:rPr>
                <w:rFonts w:hint="eastAsia" w:ascii="宋体" w:hAnsi="宋体"/>
                <w:color w:val="auto"/>
                <w:szCs w:val="21"/>
                <w:highlight w:val="none"/>
              </w:rPr>
              <w:t>2</w:t>
            </w:r>
            <w:bookmarkEnd w:id="87"/>
            <w:bookmarkEnd w:id="88"/>
            <w:bookmarkEnd w:id="89"/>
            <w:bookmarkEnd w:id="90"/>
            <w:bookmarkEnd w:id="91"/>
          </w:p>
        </w:tc>
        <w:tc>
          <w:tcPr>
            <w:tcW w:w="2809" w:type="dxa"/>
            <w:noWrap w:val="0"/>
            <w:vAlign w:val="center"/>
          </w:tcPr>
          <w:p>
            <w:pPr>
              <w:adjustRightInd w:val="0"/>
              <w:snapToGrid w:val="0"/>
              <w:spacing w:line="240" w:lineRule="exact"/>
              <w:jc w:val="center"/>
              <w:rPr>
                <w:rFonts w:hint="eastAsia" w:ascii="宋体" w:hAnsi="宋体"/>
                <w:color w:val="auto"/>
                <w:szCs w:val="21"/>
                <w:highlight w:val="none"/>
              </w:rPr>
            </w:pPr>
          </w:p>
        </w:tc>
        <w:tc>
          <w:tcPr>
            <w:tcW w:w="2945" w:type="dxa"/>
            <w:noWrap w:val="0"/>
            <w:vAlign w:val="center"/>
          </w:tcPr>
          <w:p>
            <w:pPr>
              <w:adjustRightInd w:val="0"/>
              <w:snapToGrid w:val="0"/>
              <w:spacing w:line="240" w:lineRule="exact"/>
              <w:jc w:val="center"/>
              <w:rPr>
                <w:rFonts w:hint="eastAsia" w:ascii="宋体" w:hAnsi="宋体"/>
                <w:color w:val="auto"/>
                <w:szCs w:val="21"/>
                <w:highlight w:val="none"/>
              </w:rPr>
            </w:pPr>
          </w:p>
        </w:tc>
        <w:tc>
          <w:tcPr>
            <w:tcW w:w="1464" w:type="dxa"/>
            <w:noWrap w:val="0"/>
            <w:vAlign w:val="center"/>
          </w:tcPr>
          <w:p>
            <w:pPr>
              <w:adjustRightInd w:val="0"/>
              <w:snapToGrid w:val="0"/>
              <w:spacing w:line="240" w:lineRule="exact"/>
              <w:jc w:val="center"/>
              <w:rPr>
                <w:rFonts w:hint="eastAsia" w:ascii="宋体" w:hAnsi="宋体"/>
                <w:color w:val="auto"/>
                <w:szCs w:val="21"/>
                <w:highlight w:val="none"/>
              </w:rPr>
            </w:pPr>
          </w:p>
        </w:tc>
        <w:tc>
          <w:tcPr>
            <w:tcW w:w="1361" w:type="dxa"/>
            <w:noWrap w:val="0"/>
            <w:vAlign w:val="center"/>
          </w:tcPr>
          <w:p>
            <w:pPr>
              <w:adjustRightInd w:val="0"/>
              <w:snapToGrid w:val="0"/>
              <w:spacing w:line="240" w:lineRule="exact"/>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405" w:hRule="atLeast"/>
          <w:jc w:val="center"/>
        </w:trPr>
        <w:tc>
          <w:tcPr>
            <w:tcW w:w="606" w:type="dxa"/>
            <w:noWrap w:val="0"/>
            <w:vAlign w:val="center"/>
          </w:tcPr>
          <w:p>
            <w:pPr>
              <w:adjustRightInd w:val="0"/>
              <w:snapToGrid w:val="0"/>
              <w:spacing w:line="240" w:lineRule="exact"/>
              <w:jc w:val="center"/>
              <w:rPr>
                <w:rFonts w:hint="eastAsia" w:ascii="宋体" w:hAnsi="宋体"/>
                <w:color w:val="auto"/>
                <w:szCs w:val="21"/>
                <w:highlight w:val="none"/>
              </w:rPr>
            </w:pPr>
            <w:bookmarkStart w:id="92" w:name="_Toc173066408"/>
            <w:bookmarkStart w:id="93" w:name="_Toc173211907"/>
            <w:bookmarkStart w:id="94" w:name="_Toc254970595"/>
            <w:bookmarkStart w:id="95" w:name="_Toc254970736"/>
            <w:bookmarkStart w:id="96" w:name="_Toc405905884"/>
            <w:r>
              <w:rPr>
                <w:rFonts w:hint="eastAsia" w:ascii="宋体" w:hAnsi="宋体"/>
                <w:color w:val="auto"/>
                <w:szCs w:val="21"/>
                <w:highlight w:val="none"/>
              </w:rPr>
              <w:t>3</w:t>
            </w:r>
            <w:bookmarkEnd w:id="92"/>
            <w:bookmarkEnd w:id="93"/>
            <w:bookmarkEnd w:id="94"/>
            <w:bookmarkEnd w:id="95"/>
            <w:bookmarkEnd w:id="96"/>
          </w:p>
        </w:tc>
        <w:tc>
          <w:tcPr>
            <w:tcW w:w="2809" w:type="dxa"/>
            <w:noWrap w:val="0"/>
            <w:vAlign w:val="center"/>
          </w:tcPr>
          <w:p>
            <w:pPr>
              <w:adjustRightInd w:val="0"/>
              <w:snapToGrid w:val="0"/>
              <w:spacing w:line="240" w:lineRule="exact"/>
              <w:jc w:val="center"/>
              <w:rPr>
                <w:rFonts w:hint="eastAsia" w:ascii="宋体" w:hAnsi="宋体"/>
                <w:color w:val="auto"/>
                <w:szCs w:val="21"/>
                <w:highlight w:val="none"/>
              </w:rPr>
            </w:pPr>
          </w:p>
        </w:tc>
        <w:tc>
          <w:tcPr>
            <w:tcW w:w="2945" w:type="dxa"/>
            <w:noWrap w:val="0"/>
            <w:vAlign w:val="center"/>
          </w:tcPr>
          <w:p>
            <w:pPr>
              <w:adjustRightInd w:val="0"/>
              <w:snapToGrid w:val="0"/>
              <w:spacing w:line="240" w:lineRule="exact"/>
              <w:jc w:val="center"/>
              <w:rPr>
                <w:rFonts w:hint="eastAsia" w:ascii="宋体" w:hAnsi="宋体"/>
                <w:color w:val="auto"/>
                <w:szCs w:val="21"/>
                <w:highlight w:val="none"/>
              </w:rPr>
            </w:pPr>
          </w:p>
        </w:tc>
        <w:tc>
          <w:tcPr>
            <w:tcW w:w="1464" w:type="dxa"/>
            <w:noWrap w:val="0"/>
            <w:vAlign w:val="center"/>
          </w:tcPr>
          <w:p>
            <w:pPr>
              <w:adjustRightInd w:val="0"/>
              <w:snapToGrid w:val="0"/>
              <w:spacing w:line="240" w:lineRule="exact"/>
              <w:jc w:val="center"/>
              <w:rPr>
                <w:rFonts w:hint="eastAsia" w:ascii="宋体" w:hAnsi="宋体"/>
                <w:color w:val="auto"/>
                <w:szCs w:val="21"/>
                <w:highlight w:val="none"/>
              </w:rPr>
            </w:pPr>
          </w:p>
        </w:tc>
        <w:tc>
          <w:tcPr>
            <w:tcW w:w="1361" w:type="dxa"/>
            <w:noWrap w:val="0"/>
            <w:vAlign w:val="center"/>
          </w:tcPr>
          <w:p>
            <w:pPr>
              <w:adjustRightInd w:val="0"/>
              <w:snapToGrid w:val="0"/>
              <w:spacing w:line="240" w:lineRule="exact"/>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405" w:hRule="atLeast"/>
          <w:jc w:val="center"/>
        </w:trPr>
        <w:tc>
          <w:tcPr>
            <w:tcW w:w="606" w:type="dxa"/>
            <w:noWrap w:val="0"/>
            <w:vAlign w:val="center"/>
          </w:tcPr>
          <w:p>
            <w:pPr>
              <w:adjustRightInd w:val="0"/>
              <w:snapToGrid w:val="0"/>
              <w:spacing w:line="240" w:lineRule="exact"/>
              <w:jc w:val="center"/>
              <w:rPr>
                <w:rFonts w:hint="eastAsia" w:ascii="宋体" w:hAnsi="宋体"/>
                <w:color w:val="auto"/>
                <w:szCs w:val="21"/>
                <w:highlight w:val="none"/>
              </w:rPr>
            </w:pPr>
            <w:bookmarkStart w:id="97" w:name="_Toc405905885"/>
            <w:r>
              <w:rPr>
                <w:rFonts w:hint="eastAsia" w:ascii="宋体" w:hAnsi="宋体"/>
                <w:color w:val="auto"/>
                <w:szCs w:val="21"/>
                <w:highlight w:val="none"/>
              </w:rPr>
              <w:t>…</w:t>
            </w:r>
            <w:bookmarkEnd w:id="97"/>
          </w:p>
        </w:tc>
        <w:tc>
          <w:tcPr>
            <w:tcW w:w="2809" w:type="dxa"/>
            <w:noWrap w:val="0"/>
            <w:vAlign w:val="center"/>
          </w:tcPr>
          <w:p>
            <w:pPr>
              <w:adjustRightInd w:val="0"/>
              <w:snapToGrid w:val="0"/>
              <w:spacing w:line="240" w:lineRule="exact"/>
              <w:jc w:val="center"/>
              <w:rPr>
                <w:rFonts w:hint="eastAsia" w:ascii="宋体" w:hAnsi="宋体"/>
                <w:color w:val="auto"/>
                <w:szCs w:val="21"/>
                <w:highlight w:val="none"/>
              </w:rPr>
            </w:pPr>
          </w:p>
        </w:tc>
        <w:tc>
          <w:tcPr>
            <w:tcW w:w="2945" w:type="dxa"/>
            <w:noWrap w:val="0"/>
            <w:vAlign w:val="center"/>
          </w:tcPr>
          <w:p>
            <w:pPr>
              <w:adjustRightInd w:val="0"/>
              <w:snapToGrid w:val="0"/>
              <w:spacing w:line="240" w:lineRule="exact"/>
              <w:jc w:val="center"/>
              <w:rPr>
                <w:rFonts w:hint="eastAsia" w:ascii="宋体" w:hAnsi="宋体"/>
                <w:color w:val="auto"/>
                <w:szCs w:val="21"/>
                <w:highlight w:val="none"/>
              </w:rPr>
            </w:pPr>
          </w:p>
        </w:tc>
        <w:tc>
          <w:tcPr>
            <w:tcW w:w="1464" w:type="dxa"/>
            <w:noWrap w:val="0"/>
            <w:vAlign w:val="center"/>
          </w:tcPr>
          <w:p>
            <w:pPr>
              <w:adjustRightInd w:val="0"/>
              <w:snapToGrid w:val="0"/>
              <w:spacing w:line="240" w:lineRule="exact"/>
              <w:jc w:val="center"/>
              <w:rPr>
                <w:rFonts w:hint="eastAsia" w:ascii="宋体" w:hAnsi="宋体"/>
                <w:color w:val="auto"/>
                <w:szCs w:val="21"/>
                <w:highlight w:val="none"/>
              </w:rPr>
            </w:pPr>
          </w:p>
        </w:tc>
        <w:tc>
          <w:tcPr>
            <w:tcW w:w="1361" w:type="dxa"/>
            <w:noWrap w:val="0"/>
            <w:vAlign w:val="center"/>
          </w:tcPr>
          <w:p>
            <w:pPr>
              <w:adjustRightInd w:val="0"/>
              <w:snapToGrid w:val="0"/>
              <w:spacing w:line="240" w:lineRule="exact"/>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405" w:hRule="atLeast"/>
          <w:jc w:val="center"/>
        </w:trPr>
        <w:tc>
          <w:tcPr>
            <w:tcW w:w="9185" w:type="dxa"/>
            <w:gridSpan w:val="5"/>
            <w:noWrap w:val="0"/>
            <w:vAlign w:val="center"/>
          </w:tcPr>
          <w:p>
            <w:pPr>
              <w:adjustRightInd w:val="0"/>
              <w:snapToGrid w:val="0"/>
              <w:spacing w:line="240" w:lineRule="exact"/>
              <w:jc w:val="center"/>
              <w:rPr>
                <w:rFonts w:hint="eastAsia" w:ascii="宋体" w:hAnsi="宋体"/>
                <w:color w:val="auto"/>
                <w:szCs w:val="21"/>
                <w:highlight w:val="none"/>
              </w:rPr>
            </w:pPr>
            <w:bookmarkStart w:id="98" w:name="_Toc405905886"/>
            <w:r>
              <w:rPr>
                <w:rFonts w:hint="eastAsia" w:ascii="宋体" w:hAnsi="宋体"/>
                <w:color w:val="auto"/>
                <w:szCs w:val="21"/>
                <w:highlight w:val="none"/>
              </w:rPr>
              <w:t>技术部分</w:t>
            </w:r>
            <w:bookmarkEnd w:id="98"/>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405" w:hRule="atLeast"/>
          <w:jc w:val="center"/>
        </w:trPr>
        <w:tc>
          <w:tcPr>
            <w:tcW w:w="606" w:type="dxa"/>
            <w:noWrap w:val="0"/>
            <w:vAlign w:val="center"/>
          </w:tcPr>
          <w:p>
            <w:pPr>
              <w:adjustRightInd w:val="0"/>
              <w:snapToGrid w:val="0"/>
              <w:spacing w:line="240" w:lineRule="exact"/>
              <w:jc w:val="center"/>
              <w:rPr>
                <w:rFonts w:hint="eastAsia" w:ascii="宋体" w:hAnsi="宋体"/>
                <w:color w:val="auto"/>
                <w:szCs w:val="21"/>
                <w:highlight w:val="none"/>
              </w:rPr>
            </w:pPr>
            <w:bookmarkStart w:id="99" w:name="_Toc405905887"/>
            <w:r>
              <w:rPr>
                <w:rFonts w:hint="eastAsia" w:ascii="宋体" w:hAnsi="宋体"/>
                <w:color w:val="auto"/>
                <w:szCs w:val="21"/>
                <w:highlight w:val="none"/>
              </w:rPr>
              <w:t>1</w:t>
            </w:r>
            <w:bookmarkEnd w:id="99"/>
          </w:p>
        </w:tc>
        <w:tc>
          <w:tcPr>
            <w:tcW w:w="2809" w:type="dxa"/>
            <w:noWrap w:val="0"/>
            <w:vAlign w:val="center"/>
          </w:tcPr>
          <w:p>
            <w:pPr>
              <w:adjustRightInd w:val="0"/>
              <w:snapToGrid w:val="0"/>
              <w:spacing w:line="240" w:lineRule="exact"/>
              <w:jc w:val="center"/>
              <w:rPr>
                <w:rFonts w:hint="eastAsia" w:ascii="宋体" w:hAnsi="宋体"/>
                <w:color w:val="auto"/>
                <w:szCs w:val="21"/>
                <w:highlight w:val="none"/>
              </w:rPr>
            </w:pPr>
          </w:p>
        </w:tc>
        <w:tc>
          <w:tcPr>
            <w:tcW w:w="2945" w:type="dxa"/>
            <w:noWrap w:val="0"/>
            <w:vAlign w:val="center"/>
          </w:tcPr>
          <w:p>
            <w:pPr>
              <w:adjustRightInd w:val="0"/>
              <w:snapToGrid w:val="0"/>
              <w:spacing w:line="240" w:lineRule="exact"/>
              <w:jc w:val="center"/>
              <w:rPr>
                <w:rFonts w:hint="eastAsia" w:ascii="宋体" w:hAnsi="宋体"/>
                <w:color w:val="auto"/>
                <w:szCs w:val="21"/>
                <w:highlight w:val="none"/>
              </w:rPr>
            </w:pPr>
          </w:p>
        </w:tc>
        <w:tc>
          <w:tcPr>
            <w:tcW w:w="1464" w:type="dxa"/>
            <w:noWrap w:val="0"/>
            <w:vAlign w:val="center"/>
          </w:tcPr>
          <w:p>
            <w:pPr>
              <w:adjustRightInd w:val="0"/>
              <w:snapToGrid w:val="0"/>
              <w:spacing w:line="240" w:lineRule="exact"/>
              <w:jc w:val="center"/>
              <w:rPr>
                <w:rFonts w:hint="eastAsia" w:ascii="宋体" w:hAnsi="宋体"/>
                <w:color w:val="auto"/>
                <w:szCs w:val="21"/>
                <w:highlight w:val="none"/>
              </w:rPr>
            </w:pPr>
          </w:p>
        </w:tc>
        <w:tc>
          <w:tcPr>
            <w:tcW w:w="1361" w:type="dxa"/>
            <w:noWrap w:val="0"/>
            <w:vAlign w:val="center"/>
          </w:tcPr>
          <w:p>
            <w:pPr>
              <w:adjustRightInd w:val="0"/>
              <w:snapToGrid w:val="0"/>
              <w:spacing w:line="240" w:lineRule="exact"/>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405" w:hRule="atLeast"/>
          <w:jc w:val="center"/>
        </w:trPr>
        <w:tc>
          <w:tcPr>
            <w:tcW w:w="606" w:type="dxa"/>
            <w:noWrap w:val="0"/>
            <w:vAlign w:val="center"/>
          </w:tcPr>
          <w:p>
            <w:pPr>
              <w:adjustRightInd w:val="0"/>
              <w:snapToGrid w:val="0"/>
              <w:spacing w:line="240" w:lineRule="exact"/>
              <w:jc w:val="center"/>
              <w:rPr>
                <w:rFonts w:hint="eastAsia" w:ascii="宋体" w:hAnsi="宋体"/>
                <w:color w:val="auto"/>
                <w:szCs w:val="21"/>
                <w:highlight w:val="none"/>
              </w:rPr>
            </w:pPr>
            <w:bookmarkStart w:id="100" w:name="_Toc405905888"/>
            <w:r>
              <w:rPr>
                <w:rFonts w:hint="eastAsia" w:ascii="宋体" w:hAnsi="宋体"/>
                <w:color w:val="auto"/>
                <w:szCs w:val="21"/>
                <w:highlight w:val="none"/>
              </w:rPr>
              <w:t>2</w:t>
            </w:r>
            <w:bookmarkEnd w:id="100"/>
          </w:p>
        </w:tc>
        <w:tc>
          <w:tcPr>
            <w:tcW w:w="2809" w:type="dxa"/>
            <w:noWrap w:val="0"/>
            <w:vAlign w:val="center"/>
          </w:tcPr>
          <w:p>
            <w:pPr>
              <w:adjustRightInd w:val="0"/>
              <w:snapToGrid w:val="0"/>
              <w:spacing w:line="240" w:lineRule="exact"/>
              <w:jc w:val="center"/>
              <w:rPr>
                <w:rFonts w:hint="eastAsia" w:ascii="宋体" w:hAnsi="宋体"/>
                <w:color w:val="auto"/>
                <w:szCs w:val="21"/>
                <w:highlight w:val="none"/>
              </w:rPr>
            </w:pPr>
          </w:p>
        </w:tc>
        <w:tc>
          <w:tcPr>
            <w:tcW w:w="2945" w:type="dxa"/>
            <w:noWrap w:val="0"/>
            <w:vAlign w:val="center"/>
          </w:tcPr>
          <w:p>
            <w:pPr>
              <w:adjustRightInd w:val="0"/>
              <w:snapToGrid w:val="0"/>
              <w:spacing w:line="240" w:lineRule="exact"/>
              <w:jc w:val="center"/>
              <w:rPr>
                <w:rFonts w:hint="eastAsia" w:ascii="宋体" w:hAnsi="宋体"/>
                <w:color w:val="auto"/>
                <w:szCs w:val="21"/>
                <w:highlight w:val="none"/>
              </w:rPr>
            </w:pPr>
          </w:p>
        </w:tc>
        <w:tc>
          <w:tcPr>
            <w:tcW w:w="1464" w:type="dxa"/>
            <w:noWrap w:val="0"/>
            <w:vAlign w:val="center"/>
          </w:tcPr>
          <w:p>
            <w:pPr>
              <w:adjustRightInd w:val="0"/>
              <w:snapToGrid w:val="0"/>
              <w:spacing w:line="240" w:lineRule="exact"/>
              <w:jc w:val="center"/>
              <w:rPr>
                <w:rFonts w:hint="eastAsia" w:ascii="宋体" w:hAnsi="宋体"/>
                <w:color w:val="auto"/>
                <w:szCs w:val="21"/>
                <w:highlight w:val="none"/>
              </w:rPr>
            </w:pPr>
          </w:p>
        </w:tc>
        <w:tc>
          <w:tcPr>
            <w:tcW w:w="1361" w:type="dxa"/>
            <w:noWrap w:val="0"/>
            <w:vAlign w:val="center"/>
          </w:tcPr>
          <w:p>
            <w:pPr>
              <w:adjustRightInd w:val="0"/>
              <w:snapToGrid w:val="0"/>
              <w:spacing w:line="240" w:lineRule="exact"/>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405" w:hRule="atLeast"/>
          <w:jc w:val="center"/>
        </w:trPr>
        <w:tc>
          <w:tcPr>
            <w:tcW w:w="606" w:type="dxa"/>
            <w:noWrap w:val="0"/>
            <w:vAlign w:val="center"/>
          </w:tcPr>
          <w:p>
            <w:pPr>
              <w:adjustRightInd w:val="0"/>
              <w:snapToGrid w:val="0"/>
              <w:spacing w:line="240" w:lineRule="exact"/>
              <w:jc w:val="center"/>
              <w:rPr>
                <w:rFonts w:hint="eastAsia" w:ascii="宋体" w:hAnsi="宋体"/>
                <w:color w:val="auto"/>
                <w:szCs w:val="21"/>
                <w:highlight w:val="none"/>
              </w:rPr>
            </w:pPr>
            <w:bookmarkStart w:id="101" w:name="_Toc405905889"/>
            <w:r>
              <w:rPr>
                <w:rFonts w:hint="eastAsia" w:ascii="宋体" w:hAnsi="宋体"/>
                <w:color w:val="auto"/>
                <w:szCs w:val="21"/>
                <w:highlight w:val="none"/>
              </w:rPr>
              <w:t>3</w:t>
            </w:r>
            <w:bookmarkEnd w:id="101"/>
          </w:p>
        </w:tc>
        <w:tc>
          <w:tcPr>
            <w:tcW w:w="2809" w:type="dxa"/>
            <w:noWrap w:val="0"/>
            <w:vAlign w:val="center"/>
          </w:tcPr>
          <w:p>
            <w:pPr>
              <w:adjustRightInd w:val="0"/>
              <w:snapToGrid w:val="0"/>
              <w:spacing w:line="240" w:lineRule="exact"/>
              <w:jc w:val="center"/>
              <w:rPr>
                <w:rFonts w:hint="eastAsia" w:ascii="宋体" w:hAnsi="宋体"/>
                <w:color w:val="auto"/>
                <w:szCs w:val="21"/>
                <w:highlight w:val="none"/>
              </w:rPr>
            </w:pPr>
          </w:p>
        </w:tc>
        <w:tc>
          <w:tcPr>
            <w:tcW w:w="2945" w:type="dxa"/>
            <w:noWrap w:val="0"/>
            <w:vAlign w:val="center"/>
          </w:tcPr>
          <w:p>
            <w:pPr>
              <w:adjustRightInd w:val="0"/>
              <w:snapToGrid w:val="0"/>
              <w:spacing w:line="240" w:lineRule="exact"/>
              <w:jc w:val="center"/>
              <w:rPr>
                <w:rFonts w:hint="eastAsia" w:ascii="宋体" w:hAnsi="宋体"/>
                <w:color w:val="auto"/>
                <w:szCs w:val="21"/>
                <w:highlight w:val="none"/>
              </w:rPr>
            </w:pPr>
          </w:p>
        </w:tc>
        <w:tc>
          <w:tcPr>
            <w:tcW w:w="1464" w:type="dxa"/>
            <w:noWrap w:val="0"/>
            <w:vAlign w:val="center"/>
          </w:tcPr>
          <w:p>
            <w:pPr>
              <w:adjustRightInd w:val="0"/>
              <w:snapToGrid w:val="0"/>
              <w:spacing w:line="240" w:lineRule="exact"/>
              <w:jc w:val="center"/>
              <w:rPr>
                <w:rFonts w:hint="eastAsia" w:ascii="宋体" w:hAnsi="宋体"/>
                <w:color w:val="auto"/>
                <w:szCs w:val="21"/>
                <w:highlight w:val="none"/>
              </w:rPr>
            </w:pPr>
          </w:p>
        </w:tc>
        <w:tc>
          <w:tcPr>
            <w:tcW w:w="1361" w:type="dxa"/>
            <w:noWrap w:val="0"/>
            <w:vAlign w:val="center"/>
          </w:tcPr>
          <w:p>
            <w:pPr>
              <w:adjustRightInd w:val="0"/>
              <w:snapToGrid w:val="0"/>
              <w:spacing w:line="240" w:lineRule="exact"/>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405" w:hRule="atLeast"/>
          <w:jc w:val="center"/>
        </w:trPr>
        <w:tc>
          <w:tcPr>
            <w:tcW w:w="606" w:type="dxa"/>
            <w:noWrap w:val="0"/>
            <w:vAlign w:val="center"/>
          </w:tcPr>
          <w:p>
            <w:pPr>
              <w:adjustRightInd w:val="0"/>
              <w:snapToGrid w:val="0"/>
              <w:spacing w:line="240" w:lineRule="exact"/>
              <w:jc w:val="center"/>
              <w:rPr>
                <w:rFonts w:hint="eastAsia" w:ascii="宋体" w:hAnsi="宋体"/>
                <w:color w:val="auto"/>
                <w:szCs w:val="21"/>
                <w:highlight w:val="none"/>
              </w:rPr>
            </w:pPr>
            <w:bookmarkStart w:id="102" w:name="_Toc405905890"/>
            <w:r>
              <w:rPr>
                <w:rFonts w:hint="eastAsia" w:ascii="宋体" w:hAnsi="宋体"/>
                <w:color w:val="auto"/>
                <w:szCs w:val="21"/>
                <w:highlight w:val="none"/>
              </w:rPr>
              <w:t>…</w:t>
            </w:r>
            <w:bookmarkEnd w:id="102"/>
          </w:p>
        </w:tc>
        <w:tc>
          <w:tcPr>
            <w:tcW w:w="2809" w:type="dxa"/>
            <w:noWrap w:val="0"/>
            <w:vAlign w:val="center"/>
          </w:tcPr>
          <w:p>
            <w:pPr>
              <w:adjustRightInd w:val="0"/>
              <w:snapToGrid w:val="0"/>
              <w:spacing w:line="240" w:lineRule="exact"/>
              <w:jc w:val="center"/>
              <w:rPr>
                <w:rFonts w:hint="eastAsia" w:ascii="宋体" w:hAnsi="宋体"/>
                <w:color w:val="auto"/>
                <w:szCs w:val="21"/>
                <w:highlight w:val="none"/>
              </w:rPr>
            </w:pPr>
          </w:p>
        </w:tc>
        <w:tc>
          <w:tcPr>
            <w:tcW w:w="2945" w:type="dxa"/>
            <w:noWrap w:val="0"/>
            <w:vAlign w:val="center"/>
          </w:tcPr>
          <w:p>
            <w:pPr>
              <w:adjustRightInd w:val="0"/>
              <w:snapToGrid w:val="0"/>
              <w:spacing w:line="240" w:lineRule="exact"/>
              <w:jc w:val="center"/>
              <w:rPr>
                <w:rFonts w:hint="eastAsia" w:ascii="宋体" w:hAnsi="宋体"/>
                <w:color w:val="auto"/>
                <w:szCs w:val="21"/>
                <w:highlight w:val="none"/>
              </w:rPr>
            </w:pPr>
          </w:p>
        </w:tc>
        <w:tc>
          <w:tcPr>
            <w:tcW w:w="1464" w:type="dxa"/>
            <w:tcBorders>
              <w:right w:val="single" w:color="auto" w:sz="4" w:space="0"/>
            </w:tcBorders>
            <w:noWrap w:val="0"/>
            <w:vAlign w:val="center"/>
          </w:tcPr>
          <w:p>
            <w:pPr>
              <w:adjustRightInd w:val="0"/>
              <w:snapToGrid w:val="0"/>
              <w:spacing w:line="240" w:lineRule="exact"/>
              <w:jc w:val="center"/>
              <w:rPr>
                <w:rFonts w:hint="eastAsia" w:ascii="宋体" w:hAnsi="宋体"/>
                <w:color w:val="auto"/>
                <w:szCs w:val="21"/>
                <w:highlight w:val="none"/>
              </w:rPr>
            </w:pPr>
          </w:p>
        </w:tc>
        <w:tc>
          <w:tcPr>
            <w:tcW w:w="1361" w:type="dxa"/>
            <w:tcBorders>
              <w:left w:val="single" w:color="auto" w:sz="4" w:space="0"/>
            </w:tcBorders>
            <w:noWrap w:val="0"/>
            <w:vAlign w:val="center"/>
          </w:tcPr>
          <w:p>
            <w:pPr>
              <w:adjustRightInd w:val="0"/>
              <w:snapToGrid w:val="0"/>
              <w:spacing w:line="240" w:lineRule="exact"/>
              <w:jc w:val="center"/>
              <w:rPr>
                <w:rFonts w:hint="eastAsia" w:ascii="宋体" w:hAnsi="宋体"/>
                <w:color w:val="auto"/>
                <w:szCs w:val="21"/>
                <w:highlight w:val="none"/>
              </w:rPr>
            </w:pPr>
          </w:p>
        </w:tc>
      </w:tr>
    </w:tbl>
    <w:p>
      <w:pPr>
        <w:adjustRightInd w:val="0"/>
        <w:snapToGrid w:val="0"/>
        <w:spacing w:line="360" w:lineRule="exact"/>
        <w:rPr>
          <w:rFonts w:hint="eastAsia" w:ascii="宋体" w:hAnsi="宋体"/>
          <w:color w:val="auto"/>
          <w:szCs w:val="21"/>
          <w:highlight w:val="none"/>
        </w:rPr>
      </w:pPr>
      <w:r>
        <w:rPr>
          <w:rFonts w:hint="eastAsia" w:ascii="宋体" w:hAnsi="宋体"/>
          <w:color w:val="auto"/>
          <w:szCs w:val="21"/>
          <w:highlight w:val="none"/>
        </w:rPr>
        <w:t>说明：</w:t>
      </w:r>
      <w:r>
        <w:rPr>
          <w:rFonts w:hint="eastAsia" w:hAnsi="宋体"/>
          <w:color w:val="auto"/>
          <w:highlight w:val="none"/>
        </w:rPr>
        <w:t>1.应写明竞</w:t>
      </w:r>
      <w:r>
        <w:rPr>
          <w:rFonts w:hint="eastAsia" w:ascii="宋体" w:hAnsi="宋体"/>
          <w:color w:val="auto"/>
          <w:szCs w:val="21"/>
          <w:highlight w:val="none"/>
        </w:rPr>
        <w:t>争性谈判响应文件对</w:t>
      </w:r>
      <w:r>
        <w:rPr>
          <w:rFonts w:hint="eastAsia"/>
          <w:color w:val="auto"/>
          <w:highlight w:val="none"/>
        </w:rPr>
        <w:t>商务</w:t>
      </w:r>
      <w:r>
        <w:rPr>
          <w:rFonts w:hint="eastAsia" w:hAnsi="宋体"/>
          <w:color w:val="auto"/>
          <w:highlight w:val="none"/>
        </w:rPr>
        <w:t>与技术要求的</w:t>
      </w:r>
      <w:r>
        <w:rPr>
          <w:rFonts w:hint="eastAsia" w:ascii="宋体" w:hAnsi="宋体"/>
          <w:color w:val="auto"/>
          <w:szCs w:val="21"/>
          <w:highlight w:val="none"/>
        </w:rPr>
        <w:t>响应和偏离情况</w:t>
      </w:r>
      <w:r>
        <w:rPr>
          <w:rFonts w:hint="eastAsia"/>
          <w:bCs/>
          <w:color w:val="auto"/>
          <w:szCs w:val="21"/>
          <w:highlight w:val="none"/>
        </w:rPr>
        <w:t>；</w:t>
      </w:r>
    </w:p>
    <w:p>
      <w:pPr>
        <w:adjustRightInd w:val="0"/>
        <w:snapToGri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2.应对照竞争性谈判文件“第三章  项目采购需求”，逐条说明所提供货物和服务已对竞争性谈判文件的商务、技术做出了实质性的响应，并申明商务、技术条文的响应和偏离。特别对有具体商务、技术参数要求的，谈判供应商必须提供对应的详细应答。如果仅注明“符合”、“满足”或简单复制竞争性谈判文件要求，将导致谈判被拒绝。</w:t>
      </w:r>
    </w:p>
    <w:p>
      <w:pPr>
        <w:pStyle w:val="22"/>
        <w:spacing w:line="360" w:lineRule="exact"/>
        <w:rPr>
          <w:rFonts w:hint="eastAsia" w:hAnsi="宋体"/>
          <w:color w:val="auto"/>
          <w:highlight w:val="none"/>
        </w:rPr>
      </w:pPr>
    </w:p>
    <w:p>
      <w:pPr>
        <w:pStyle w:val="22"/>
        <w:spacing w:line="360" w:lineRule="exact"/>
        <w:rPr>
          <w:rFonts w:hint="eastAsia" w:hAnsi="宋体"/>
          <w:color w:val="auto"/>
          <w:highlight w:val="none"/>
        </w:rPr>
      </w:pPr>
    </w:p>
    <w:p>
      <w:pPr>
        <w:pStyle w:val="22"/>
        <w:spacing w:line="360" w:lineRule="exact"/>
        <w:rPr>
          <w:rFonts w:hint="eastAsia" w:hAnsi="宋体"/>
          <w:color w:val="auto"/>
          <w:highlight w:val="none"/>
        </w:rPr>
      </w:pPr>
    </w:p>
    <w:p>
      <w:pPr>
        <w:pStyle w:val="22"/>
        <w:spacing w:line="360" w:lineRule="exact"/>
        <w:ind w:firstLine="3150" w:firstLineChars="1500"/>
        <w:rPr>
          <w:rFonts w:hint="eastAsia" w:hAnsi="宋体"/>
          <w:color w:val="auto"/>
          <w:highlight w:val="none"/>
        </w:rPr>
      </w:pPr>
      <w:r>
        <w:rPr>
          <w:rFonts w:hint="eastAsia" w:hAnsi="宋体"/>
          <w:color w:val="auto"/>
          <w:highlight w:val="none"/>
        </w:rPr>
        <w:t>法定代表人或委托代理人签字（盖姓名章无效）:</w:t>
      </w:r>
      <w:r>
        <w:rPr>
          <w:rFonts w:hint="eastAsia" w:hAnsi="宋体"/>
          <w:color w:val="auto"/>
          <w:highlight w:val="none"/>
          <w:u w:val="single"/>
        </w:rPr>
        <w:t xml:space="preserve">                </w:t>
      </w:r>
      <w:r>
        <w:rPr>
          <w:rFonts w:hint="eastAsia" w:hAnsi="宋体"/>
          <w:color w:val="auto"/>
          <w:highlight w:val="none"/>
        </w:rPr>
        <w:t xml:space="preserve">  </w:t>
      </w:r>
    </w:p>
    <w:p>
      <w:pPr>
        <w:pStyle w:val="22"/>
        <w:spacing w:line="360" w:lineRule="exact"/>
        <w:ind w:firstLine="1470" w:firstLineChars="700"/>
        <w:rPr>
          <w:rFonts w:hint="eastAsia" w:hAnsi="宋体"/>
          <w:color w:val="auto"/>
          <w:highlight w:val="none"/>
        </w:rPr>
      </w:pPr>
    </w:p>
    <w:p>
      <w:pPr>
        <w:pStyle w:val="22"/>
        <w:spacing w:line="360" w:lineRule="exact"/>
        <w:ind w:firstLine="5670" w:firstLineChars="2700"/>
        <w:rPr>
          <w:rFonts w:hint="eastAsia" w:hAnsi="宋体"/>
          <w:color w:val="auto"/>
          <w:highlight w:val="none"/>
          <w:u w:val="single"/>
        </w:rPr>
      </w:pPr>
      <w:r>
        <w:rPr>
          <w:rFonts w:hint="eastAsia" w:hAnsi="宋体"/>
          <w:color w:val="auto"/>
          <w:highlight w:val="none"/>
          <w:u w:val="single"/>
        </w:rPr>
        <w:t xml:space="preserve">        </w:t>
      </w:r>
      <w:r>
        <w:rPr>
          <w:rFonts w:hint="eastAsia" w:hAnsi="宋体"/>
          <w:color w:val="auto"/>
          <w:highlight w:val="none"/>
        </w:rPr>
        <w:t>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日</w:t>
      </w:r>
    </w:p>
    <w:p>
      <w:pPr>
        <w:pStyle w:val="22"/>
        <w:spacing w:line="360" w:lineRule="exact"/>
        <w:ind w:firstLine="4935" w:firstLineChars="2350"/>
        <w:rPr>
          <w:rFonts w:hint="eastAsia" w:hAnsi="宋体"/>
          <w:color w:val="auto"/>
          <w:highlight w:val="none"/>
          <w:u w:val="single"/>
        </w:rPr>
      </w:pPr>
    </w:p>
    <w:p>
      <w:pPr>
        <w:spacing w:line="300" w:lineRule="auto"/>
        <w:rPr>
          <w:rFonts w:hint="eastAsia" w:ascii="宋体" w:hAnsi="宋体"/>
          <w:color w:val="auto"/>
          <w:szCs w:val="21"/>
          <w:highlight w:val="none"/>
        </w:rPr>
      </w:pPr>
    </w:p>
    <w:p>
      <w:pPr>
        <w:spacing w:line="300" w:lineRule="auto"/>
        <w:rPr>
          <w:rFonts w:hint="eastAsia" w:ascii="宋体" w:hAnsi="宋体"/>
          <w:color w:val="auto"/>
          <w:szCs w:val="21"/>
          <w:highlight w:val="none"/>
        </w:rPr>
      </w:pPr>
    </w:p>
    <w:p>
      <w:pPr>
        <w:spacing w:line="300" w:lineRule="auto"/>
        <w:rPr>
          <w:rFonts w:hint="eastAsia" w:ascii="宋体" w:hAnsi="宋体"/>
          <w:color w:val="auto"/>
          <w:szCs w:val="21"/>
          <w:highlight w:val="none"/>
        </w:rPr>
      </w:pPr>
    </w:p>
    <w:p>
      <w:pPr>
        <w:adjustRightInd w:val="0"/>
        <w:snapToGrid w:val="0"/>
        <w:spacing w:line="300" w:lineRule="auto"/>
        <w:rPr>
          <w:rFonts w:hint="eastAsia" w:ascii="宋体" w:hAnsi="宋体"/>
          <w:color w:val="auto"/>
          <w:szCs w:val="21"/>
          <w:highlight w:val="none"/>
        </w:rPr>
      </w:pPr>
    </w:p>
    <w:p>
      <w:pPr>
        <w:adjustRightInd w:val="0"/>
        <w:snapToGrid w:val="0"/>
        <w:spacing w:line="300" w:lineRule="auto"/>
        <w:rPr>
          <w:rFonts w:hint="eastAsia" w:ascii="宋体" w:hAnsi="宋体"/>
          <w:color w:val="auto"/>
          <w:szCs w:val="21"/>
          <w:highlight w:val="none"/>
        </w:rPr>
      </w:pPr>
    </w:p>
    <w:p>
      <w:pPr>
        <w:adjustRightInd w:val="0"/>
        <w:snapToGrid w:val="0"/>
        <w:spacing w:line="300" w:lineRule="auto"/>
        <w:rPr>
          <w:rFonts w:hint="eastAsia" w:ascii="宋体" w:hAnsi="宋体"/>
          <w:color w:val="auto"/>
          <w:szCs w:val="21"/>
          <w:highlight w:val="none"/>
        </w:rPr>
      </w:pPr>
    </w:p>
    <w:p>
      <w:pPr>
        <w:adjustRightInd w:val="0"/>
        <w:snapToGrid w:val="0"/>
        <w:spacing w:line="300" w:lineRule="auto"/>
        <w:rPr>
          <w:rFonts w:ascii="方正宋黑简体" w:hAnsi="宋体" w:eastAsia="方正宋黑简体"/>
          <w:b/>
          <w:color w:val="auto"/>
          <w:szCs w:val="21"/>
          <w:highlight w:val="none"/>
        </w:rPr>
      </w:pPr>
      <w:r>
        <w:rPr>
          <w:rFonts w:hint="eastAsia" w:ascii="方正宋黑简体" w:hAnsi="宋体" w:eastAsia="方正宋黑简体"/>
          <w:b/>
          <w:color w:val="auto"/>
          <w:szCs w:val="21"/>
          <w:highlight w:val="none"/>
        </w:rPr>
        <w:t>附件4</w:t>
      </w:r>
    </w:p>
    <w:p>
      <w:pPr>
        <w:spacing w:line="300" w:lineRule="auto"/>
        <w:rPr>
          <w:rFonts w:hint="eastAsia" w:ascii="宋体" w:hAnsi="宋体"/>
          <w:color w:val="auto"/>
          <w:szCs w:val="21"/>
          <w:highlight w:val="none"/>
        </w:rPr>
      </w:pPr>
    </w:p>
    <w:p>
      <w:pPr>
        <w:adjustRightInd w:val="0"/>
        <w:snapToGrid w:val="0"/>
        <w:spacing w:line="300" w:lineRule="auto"/>
        <w:jc w:val="center"/>
        <w:rPr>
          <w:rFonts w:hint="eastAsia"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法定代表人授权委托书</w:t>
      </w:r>
    </w:p>
    <w:p>
      <w:pPr>
        <w:adjustRightInd w:val="0"/>
        <w:snapToGrid w:val="0"/>
        <w:spacing w:line="520" w:lineRule="exact"/>
        <w:rPr>
          <w:rFonts w:hint="eastAsia" w:ascii="宋体" w:hAnsi="宋体"/>
          <w:color w:val="auto"/>
          <w:szCs w:val="21"/>
          <w:highlight w:val="none"/>
        </w:rPr>
      </w:pPr>
    </w:p>
    <w:p>
      <w:pPr>
        <w:spacing w:line="520" w:lineRule="exact"/>
        <w:rPr>
          <w:rFonts w:hint="eastAsia" w:ascii="宋体" w:hAnsi="宋体"/>
          <w:color w:val="auto"/>
          <w:szCs w:val="21"/>
          <w:highlight w:val="none"/>
        </w:rPr>
      </w:pPr>
      <w:r>
        <w:rPr>
          <w:rFonts w:hint="eastAsia" w:ascii="宋体" w:hAnsi="宋体"/>
          <w:color w:val="auto"/>
          <w:szCs w:val="21"/>
          <w:highlight w:val="none"/>
          <w:u w:val="single"/>
        </w:rPr>
        <w:t>梧州市公共资源交易中心（梧州市政府采购中心）</w:t>
      </w:r>
      <w:r>
        <w:rPr>
          <w:rFonts w:hint="eastAsia" w:ascii="宋体" w:hAnsi="宋体"/>
          <w:color w:val="auto"/>
          <w:szCs w:val="21"/>
          <w:highlight w:val="none"/>
        </w:rPr>
        <w:t>：</w:t>
      </w:r>
    </w:p>
    <w:p>
      <w:pPr>
        <w:spacing w:line="52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兹授权</w:t>
      </w:r>
      <w:r>
        <w:rPr>
          <w:rFonts w:hint="eastAsia" w:ascii="宋体" w:hAnsi="宋体"/>
          <w:color w:val="auto"/>
          <w:szCs w:val="21"/>
          <w:highlight w:val="none"/>
          <w:u w:val="single"/>
        </w:rPr>
        <w:t xml:space="preserve">      </w:t>
      </w:r>
      <w:r>
        <w:rPr>
          <w:rFonts w:hint="eastAsia" w:ascii="宋体" w:hAnsi="宋体"/>
          <w:color w:val="auto"/>
          <w:szCs w:val="21"/>
          <w:highlight w:val="none"/>
        </w:rPr>
        <w:t>同志为我公司参加贵单位组织的</w:t>
      </w:r>
      <w:r>
        <w:rPr>
          <w:rFonts w:hint="eastAsia" w:ascii="宋体" w:hAnsi="宋体"/>
          <w:color w:val="auto"/>
          <w:highlight w:val="none"/>
          <w:u w:val="single"/>
          <w:lang w:eastAsia="zh-CN"/>
        </w:rPr>
        <w:t>梧州市人民警察训练学校电梯设备及附属工程项目</w:t>
      </w:r>
      <w:r>
        <w:rPr>
          <w:rFonts w:hint="eastAsia" w:ascii="宋体" w:hAnsi="宋体"/>
          <w:color w:val="auto"/>
          <w:highlight w:val="none"/>
          <w:u w:val="single"/>
        </w:rPr>
        <w:t>采购项目</w:t>
      </w:r>
      <w:r>
        <w:rPr>
          <w:rFonts w:hint="eastAsia" w:ascii="宋体" w:hAnsi="宋体"/>
          <w:color w:val="auto"/>
          <w:highlight w:val="none"/>
        </w:rPr>
        <w:t>（项目编号：</w:t>
      </w:r>
      <w:r>
        <w:rPr>
          <w:rFonts w:hint="eastAsia" w:ascii="宋体" w:hAnsi="宋体"/>
          <w:color w:val="auto"/>
          <w:highlight w:val="none"/>
          <w:u w:val="single"/>
          <w:lang w:eastAsia="zh-CN"/>
        </w:rPr>
        <w:t>WZZC2020-J1-02666-001-CGZX</w:t>
      </w:r>
      <w:r>
        <w:rPr>
          <w:rFonts w:hint="eastAsia" w:ascii="宋体" w:hAnsi="宋体"/>
          <w:color w:val="auto"/>
          <w:highlight w:val="none"/>
          <w:u w:val="single"/>
        </w:rPr>
        <w:t>）</w:t>
      </w:r>
      <w:r>
        <w:rPr>
          <w:rFonts w:hint="eastAsia" w:ascii="宋体" w:hAnsi="宋体"/>
          <w:color w:val="auto"/>
          <w:szCs w:val="21"/>
          <w:highlight w:val="none"/>
        </w:rPr>
        <w:t>竞争性谈判采购活动的委托代理人，全权代表我公司处理在该项目活动中的一切事宜。代理期限从</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日起至</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日止。 </w:t>
      </w:r>
    </w:p>
    <w:p>
      <w:pPr>
        <w:spacing w:line="520" w:lineRule="exact"/>
        <w:rPr>
          <w:rFonts w:hint="eastAsia" w:ascii="宋体" w:hAnsi="宋体"/>
          <w:color w:val="auto"/>
          <w:szCs w:val="21"/>
          <w:highlight w:val="none"/>
        </w:rPr>
      </w:pPr>
    </w:p>
    <w:p>
      <w:pPr>
        <w:spacing w:line="520" w:lineRule="exact"/>
        <w:rPr>
          <w:rFonts w:hint="eastAsia" w:ascii="宋体" w:hAnsi="宋体"/>
          <w:color w:val="auto"/>
          <w:szCs w:val="21"/>
          <w:highlight w:val="none"/>
        </w:rPr>
      </w:pPr>
      <w:r>
        <w:rPr>
          <w:rFonts w:hint="eastAsia" w:ascii="宋体" w:hAnsi="宋体"/>
          <w:color w:val="auto"/>
          <w:szCs w:val="21"/>
          <w:highlight w:val="none"/>
        </w:rPr>
        <w:t>谈判供应商（盖章）：</w:t>
      </w:r>
      <w:r>
        <w:rPr>
          <w:rFonts w:hint="eastAsia" w:ascii="宋体" w:hAnsi="宋体"/>
          <w:color w:val="auto"/>
          <w:szCs w:val="21"/>
          <w:highlight w:val="none"/>
          <w:u w:val="single"/>
        </w:rPr>
        <w:t xml:space="preserve">               </w:t>
      </w:r>
    </w:p>
    <w:p>
      <w:pPr>
        <w:spacing w:line="520" w:lineRule="exact"/>
        <w:rPr>
          <w:rFonts w:hint="eastAsia" w:ascii="宋体" w:hAnsi="宋体"/>
          <w:color w:val="auto"/>
          <w:szCs w:val="21"/>
          <w:highlight w:val="none"/>
        </w:rPr>
      </w:pPr>
      <w:r>
        <w:rPr>
          <w:rFonts w:hint="eastAsia" w:ascii="宋体" w:hAnsi="宋体"/>
          <w:color w:val="auto"/>
          <w:szCs w:val="21"/>
          <w:highlight w:val="none"/>
        </w:rPr>
        <w:t>法定代表人签字（盖姓名章无效）：</w:t>
      </w:r>
      <w:r>
        <w:rPr>
          <w:rFonts w:hint="eastAsia" w:ascii="宋体" w:hAnsi="宋体"/>
          <w:color w:val="auto"/>
          <w:szCs w:val="21"/>
          <w:highlight w:val="none"/>
          <w:u w:val="single"/>
        </w:rPr>
        <w:t xml:space="preserve">       </w:t>
      </w:r>
    </w:p>
    <w:p>
      <w:pPr>
        <w:spacing w:line="520" w:lineRule="exact"/>
        <w:rPr>
          <w:rFonts w:hint="eastAsia" w:ascii="宋体" w:hAnsi="宋体"/>
          <w:color w:val="auto"/>
          <w:szCs w:val="21"/>
          <w:highlight w:val="none"/>
        </w:rPr>
      </w:pPr>
      <w:r>
        <w:rPr>
          <w:rFonts w:hint="eastAsia" w:ascii="宋体" w:hAnsi="宋体"/>
          <w:color w:val="auto"/>
          <w:szCs w:val="21"/>
          <w:highlight w:val="none"/>
        </w:rPr>
        <w:t>签发日期：</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520" w:lineRule="exact"/>
        <w:rPr>
          <w:rFonts w:hint="eastAsia" w:ascii="宋体" w:hAnsi="宋体"/>
          <w:color w:val="auto"/>
          <w:szCs w:val="21"/>
          <w:highlight w:val="none"/>
        </w:rPr>
      </w:pPr>
      <w:r>
        <w:rPr>
          <w:rFonts w:hint="eastAsia" w:ascii="宋体" w:hAnsi="宋体"/>
          <w:color w:val="auto"/>
          <w:szCs w:val="21"/>
          <w:highlight w:val="none"/>
        </w:rPr>
        <w:t>注：法定代表人作为代理人的仍须填写此委托书。</w:t>
      </w:r>
    </w:p>
    <w:p>
      <w:pPr>
        <w:spacing w:line="520" w:lineRule="exact"/>
        <w:rPr>
          <w:rFonts w:hint="eastAsia" w:ascii="宋体" w:hAnsi="宋体"/>
          <w:color w:val="auto"/>
          <w:szCs w:val="21"/>
          <w:highlight w:val="none"/>
        </w:rPr>
      </w:pPr>
    </w:p>
    <w:p>
      <w:pPr>
        <w:spacing w:line="520" w:lineRule="exact"/>
        <w:rPr>
          <w:rFonts w:hint="eastAsia" w:ascii="宋体" w:hAnsi="宋体"/>
          <w:color w:val="auto"/>
          <w:szCs w:val="21"/>
          <w:highlight w:val="none"/>
        </w:rPr>
      </w:pPr>
    </w:p>
    <w:p>
      <w:pPr>
        <w:spacing w:line="520" w:lineRule="exact"/>
        <w:rPr>
          <w:rFonts w:hint="eastAsia" w:ascii="宋体" w:hAnsi="宋体"/>
          <w:color w:val="auto"/>
          <w:szCs w:val="21"/>
          <w:highlight w:val="none"/>
        </w:rPr>
      </w:pPr>
      <w:r>
        <w:rPr>
          <w:rFonts w:hint="eastAsia" w:ascii="宋体" w:hAnsi="宋体"/>
          <w:color w:val="auto"/>
          <w:szCs w:val="21"/>
          <w:highlight w:val="none"/>
        </w:rPr>
        <w:t>附：委托代理人工作单位</w:t>
      </w:r>
      <w:r>
        <w:rPr>
          <w:rFonts w:hint="eastAsia" w:ascii="宋体" w:hAnsi="宋体"/>
          <w:color w:val="auto"/>
          <w:szCs w:val="21"/>
          <w:highlight w:val="none"/>
          <w:u w:val="single"/>
        </w:rPr>
        <w:t xml:space="preserve">               </w:t>
      </w:r>
    </w:p>
    <w:p>
      <w:pPr>
        <w:spacing w:line="520" w:lineRule="exact"/>
        <w:ind w:firstLine="420" w:firstLineChars="200"/>
        <w:rPr>
          <w:rFonts w:hint="eastAsia" w:ascii="宋体" w:hAnsi="宋体"/>
          <w:color w:val="auto"/>
          <w:szCs w:val="21"/>
          <w:highlight w:val="none"/>
        </w:rPr>
      </w:pPr>
      <w:r>
        <w:rPr>
          <w:rFonts w:hint="eastAsia" w:ascii="宋体" w:hAnsi="宋体"/>
          <w:color w:val="auto"/>
          <w:szCs w:val="21"/>
          <w:highlight w:val="none"/>
        </w:rPr>
        <w:t>职务：</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性别：</w:t>
      </w:r>
      <w:r>
        <w:rPr>
          <w:rFonts w:hint="eastAsia" w:ascii="宋体" w:hAnsi="宋体"/>
          <w:color w:val="auto"/>
          <w:szCs w:val="21"/>
          <w:highlight w:val="none"/>
          <w:u w:val="single"/>
        </w:rPr>
        <w:t xml:space="preserve">    </w:t>
      </w:r>
    </w:p>
    <w:p>
      <w:pPr>
        <w:adjustRightInd w:val="0"/>
        <w:snapToGrid w:val="0"/>
        <w:spacing w:line="520" w:lineRule="exact"/>
        <w:ind w:firstLine="420" w:firstLineChars="200"/>
        <w:rPr>
          <w:rFonts w:hint="eastAsia" w:ascii="宋体" w:hAnsi="宋体"/>
          <w:color w:val="auto"/>
          <w:szCs w:val="21"/>
          <w:highlight w:val="none"/>
          <w:u w:val="single"/>
        </w:rPr>
      </w:pPr>
      <w:r>
        <w:rPr>
          <w:rFonts w:hint="eastAsia" w:ascii="宋体" w:hAnsi="宋体"/>
          <w:color w:val="auto"/>
          <w:szCs w:val="21"/>
          <w:highlight w:val="none"/>
        </w:rPr>
        <w:t>身份证号码：</w:t>
      </w:r>
      <w:r>
        <w:rPr>
          <w:rFonts w:hint="eastAsia" w:ascii="宋体" w:hAnsi="宋体"/>
          <w:color w:val="auto"/>
          <w:szCs w:val="21"/>
          <w:highlight w:val="none"/>
          <w:u w:val="single"/>
        </w:rPr>
        <w:t xml:space="preserve">                              </w:t>
      </w:r>
    </w:p>
    <w:tbl>
      <w:tblPr>
        <w:tblStyle w:val="36"/>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trPr>
        <w:tc>
          <w:tcPr>
            <w:tcW w:w="8657" w:type="dxa"/>
            <w:noWrap w:val="0"/>
            <w:vAlign w:val="top"/>
          </w:tcPr>
          <w:p>
            <w:pPr>
              <w:spacing w:line="300" w:lineRule="auto"/>
              <w:rPr>
                <w:rFonts w:hint="eastAsia" w:ascii="宋体" w:hAnsi="宋体"/>
                <w:color w:val="auto"/>
                <w:szCs w:val="21"/>
                <w:highlight w:val="none"/>
              </w:rPr>
            </w:pPr>
            <w:r>
              <w:rPr>
                <w:rFonts w:hint="eastAsia" w:ascii="宋体" w:hAnsi="宋体"/>
                <w:color w:val="auto"/>
                <w:szCs w:val="21"/>
                <w:highlight w:val="none"/>
              </w:rPr>
              <w:t>粘贴委托代理人的正面及反面身份证复印件</w:t>
            </w:r>
          </w:p>
        </w:tc>
      </w:tr>
    </w:tbl>
    <w:p>
      <w:pPr>
        <w:autoSpaceDE w:val="0"/>
        <w:autoSpaceDN w:val="0"/>
        <w:spacing w:line="300" w:lineRule="auto"/>
        <w:ind w:left="480" w:hanging="480"/>
        <w:rPr>
          <w:rFonts w:hint="eastAsia" w:ascii="宋体" w:hAnsi="宋体"/>
          <w:color w:val="auto"/>
          <w:szCs w:val="21"/>
          <w:highlight w:val="none"/>
        </w:rPr>
      </w:pPr>
    </w:p>
    <w:p>
      <w:pPr>
        <w:autoSpaceDE w:val="0"/>
        <w:autoSpaceDN w:val="0"/>
        <w:spacing w:line="300" w:lineRule="auto"/>
        <w:ind w:left="480" w:hanging="480"/>
        <w:rPr>
          <w:rFonts w:hint="eastAsia" w:ascii="宋体" w:hAnsi="宋体"/>
          <w:color w:val="auto"/>
          <w:szCs w:val="21"/>
          <w:highlight w:val="none"/>
        </w:rPr>
      </w:pPr>
    </w:p>
    <w:p>
      <w:pPr>
        <w:pStyle w:val="22"/>
        <w:spacing w:line="300" w:lineRule="auto"/>
        <w:rPr>
          <w:rFonts w:hint="eastAsia" w:hAnsi="宋体"/>
          <w:color w:val="auto"/>
          <w:highlight w:val="none"/>
        </w:rPr>
      </w:pPr>
    </w:p>
    <w:p>
      <w:pPr>
        <w:pStyle w:val="22"/>
        <w:spacing w:line="300" w:lineRule="auto"/>
        <w:rPr>
          <w:rFonts w:hint="eastAsia" w:hAnsi="宋体"/>
          <w:color w:val="auto"/>
          <w:highlight w:val="none"/>
        </w:rPr>
      </w:pPr>
    </w:p>
    <w:p>
      <w:pPr>
        <w:pStyle w:val="22"/>
        <w:spacing w:line="300" w:lineRule="auto"/>
        <w:rPr>
          <w:rFonts w:hint="eastAsia" w:hAnsi="宋体"/>
          <w:color w:val="auto"/>
          <w:highlight w:val="none"/>
        </w:rPr>
      </w:pPr>
    </w:p>
    <w:p>
      <w:pPr>
        <w:pStyle w:val="22"/>
        <w:spacing w:line="300" w:lineRule="auto"/>
        <w:rPr>
          <w:rFonts w:hint="eastAsia" w:hAnsi="宋体"/>
          <w:color w:val="auto"/>
          <w:highlight w:val="none"/>
        </w:rPr>
      </w:pPr>
    </w:p>
    <w:p>
      <w:pPr>
        <w:adjustRightInd w:val="0"/>
        <w:snapToGrid w:val="0"/>
        <w:spacing w:line="276" w:lineRule="auto"/>
        <w:jc w:val="center"/>
        <w:rPr>
          <w:rFonts w:hint="eastAsia" w:ascii="黑体" w:eastAsia="黑体"/>
          <w:b/>
          <w:color w:val="auto"/>
          <w:sz w:val="32"/>
          <w:szCs w:val="32"/>
          <w:highlight w:val="none"/>
        </w:rPr>
      </w:pPr>
      <w:r>
        <w:rPr>
          <w:rFonts w:hint="eastAsia" w:ascii="黑体" w:eastAsia="黑体"/>
          <w:b/>
          <w:color w:val="auto"/>
          <w:sz w:val="32"/>
          <w:szCs w:val="32"/>
          <w:highlight w:val="none"/>
        </w:rPr>
        <w:t>法定代表人身份证明书</w:t>
      </w:r>
    </w:p>
    <w:p>
      <w:pPr>
        <w:adjustRightInd w:val="0"/>
        <w:snapToGrid w:val="0"/>
        <w:spacing w:line="276" w:lineRule="auto"/>
        <w:ind w:firstLine="960" w:firstLineChars="400"/>
        <w:rPr>
          <w:rFonts w:hint="eastAsia"/>
          <w:color w:val="auto"/>
          <w:sz w:val="24"/>
          <w:highlight w:val="none"/>
          <w:u w:val="single"/>
        </w:rPr>
      </w:pPr>
    </w:p>
    <w:p>
      <w:pPr>
        <w:adjustRightInd w:val="0"/>
        <w:snapToGrid w:val="0"/>
        <w:spacing w:line="720" w:lineRule="exact"/>
        <w:ind w:firstLine="1120" w:firstLineChars="400"/>
        <w:rPr>
          <w:rFonts w:hint="eastAsia"/>
          <w:color w:val="auto"/>
          <w:sz w:val="28"/>
          <w:szCs w:val="28"/>
          <w:highlight w:val="none"/>
        </w:rPr>
      </w:pPr>
      <w:r>
        <w:rPr>
          <w:rFonts w:hint="eastAsia"/>
          <w:color w:val="auto"/>
          <w:sz w:val="28"/>
          <w:szCs w:val="28"/>
          <w:highlight w:val="none"/>
          <w:u w:val="single"/>
        </w:rPr>
        <w:t xml:space="preserve">          </w:t>
      </w:r>
      <w:r>
        <w:rPr>
          <w:rFonts w:hint="eastAsia"/>
          <w:color w:val="auto"/>
          <w:sz w:val="28"/>
          <w:szCs w:val="28"/>
          <w:highlight w:val="none"/>
        </w:rPr>
        <w:t xml:space="preserve"> 在我</w:t>
      </w:r>
      <w:r>
        <w:rPr>
          <w:rFonts w:hint="eastAsia"/>
          <w:color w:val="auto"/>
          <w:sz w:val="28"/>
          <w:szCs w:val="28"/>
          <w:highlight w:val="none"/>
          <w:u w:val="single"/>
        </w:rPr>
        <w:t xml:space="preserve">       </w:t>
      </w:r>
      <w:r>
        <w:rPr>
          <w:rFonts w:hint="eastAsia"/>
          <w:color w:val="auto"/>
          <w:sz w:val="28"/>
          <w:szCs w:val="28"/>
          <w:highlight w:val="none"/>
        </w:rPr>
        <w:t>任</w:t>
      </w:r>
      <w:r>
        <w:rPr>
          <w:rFonts w:hint="eastAsia"/>
          <w:color w:val="auto"/>
          <w:sz w:val="28"/>
          <w:szCs w:val="28"/>
          <w:highlight w:val="none"/>
          <w:u w:val="single"/>
        </w:rPr>
        <w:t xml:space="preserve">          </w:t>
      </w:r>
      <w:r>
        <w:rPr>
          <w:rFonts w:hint="eastAsia"/>
          <w:color w:val="auto"/>
          <w:sz w:val="28"/>
          <w:szCs w:val="28"/>
          <w:highlight w:val="none"/>
        </w:rPr>
        <w:t>职务，是我公司</w:t>
      </w:r>
      <w:r>
        <w:rPr>
          <w:rFonts w:hint="eastAsia"/>
          <w:color w:val="auto"/>
          <w:sz w:val="28"/>
          <w:szCs w:val="28"/>
          <w:highlight w:val="none"/>
          <w:u w:val="single"/>
        </w:rPr>
        <w:t xml:space="preserve">              </w:t>
      </w:r>
      <w:r>
        <w:rPr>
          <w:rFonts w:hint="eastAsia"/>
          <w:color w:val="auto"/>
          <w:sz w:val="28"/>
          <w:szCs w:val="28"/>
          <w:highlight w:val="none"/>
        </w:rPr>
        <w:t>的法定代表人。</w:t>
      </w:r>
    </w:p>
    <w:p>
      <w:pPr>
        <w:adjustRightInd w:val="0"/>
        <w:snapToGrid w:val="0"/>
        <w:spacing w:line="720" w:lineRule="exact"/>
        <w:ind w:firstLine="980" w:firstLineChars="350"/>
        <w:rPr>
          <w:rFonts w:hint="eastAsia"/>
          <w:color w:val="auto"/>
          <w:sz w:val="28"/>
          <w:szCs w:val="28"/>
          <w:highlight w:val="none"/>
        </w:rPr>
      </w:pPr>
      <w:r>
        <w:rPr>
          <w:rFonts w:hint="eastAsia"/>
          <w:color w:val="auto"/>
          <w:sz w:val="28"/>
          <w:szCs w:val="28"/>
          <w:highlight w:val="none"/>
        </w:rPr>
        <w:t>特此证明。</w:t>
      </w:r>
    </w:p>
    <w:p>
      <w:pPr>
        <w:adjustRightInd w:val="0"/>
        <w:snapToGrid w:val="0"/>
        <w:spacing w:line="276" w:lineRule="auto"/>
        <w:rPr>
          <w:rFonts w:hint="eastAsia"/>
          <w:color w:val="auto"/>
          <w:sz w:val="28"/>
          <w:szCs w:val="28"/>
          <w:highlight w:val="none"/>
        </w:rPr>
      </w:pPr>
    </w:p>
    <w:p>
      <w:pPr>
        <w:adjustRightInd w:val="0"/>
        <w:snapToGrid w:val="0"/>
        <w:spacing w:line="276" w:lineRule="auto"/>
        <w:rPr>
          <w:rFonts w:hint="eastAsia"/>
          <w:color w:val="auto"/>
          <w:sz w:val="28"/>
          <w:szCs w:val="28"/>
          <w:highlight w:val="none"/>
        </w:rPr>
      </w:pPr>
      <w:r>
        <w:rPr>
          <w:rFonts w:hint="eastAsia"/>
          <w:color w:val="auto"/>
          <w:sz w:val="28"/>
          <w:szCs w:val="28"/>
          <w:highlight w:val="none"/>
        </w:rPr>
        <w:t xml:space="preserve">                        </w:t>
      </w:r>
    </w:p>
    <w:p>
      <w:pPr>
        <w:adjustRightInd w:val="0"/>
        <w:snapToGrid w:val="0"/>
        <w:spacing w:line="276" w:lineRule="auto"/>
        <w:rPr>
          <w:rFonts w:hint="eastAsia"/>
          <w:color w:val="auto"/>
          <w:sz w:val="28"/>
          <w:szCs w:val="28"/>
          <w:highlight w:val="none"/>
        </w:rPr>
      </w:pPr>
    </w:p>
    <w:p>
      <w:pPr>
        <w:adjustRightInd w:val="0"/>
        <w:snapToGrid w:val="0"/>
        <w:spacing w:line="276" w:lineRule="auto"/>
        <w:ind w:firstLine="3920" w:firstLineChars="1400"/>
        <w:rPr>
          <w:rFonts w:hint="eastAsia"/>
          <w:color w:val="auto"/>
          <w:sz w:val="28"/>
          <w:szCs w:val="28"/>
          <w:highlight w:val="none"/>
          <w:u w:val="single"/>
        </w:rPr>
      </w:pPr>
      <w:r>
        <w:rPr>
          <w:rFonts w:hint="eastAsia"/>
          <w:color w:val="auto"/>
          <w:sz w:val="28"/>
          <w:szCs w:val="28"/>
          <w:highlight w:val="none"/>
        </w:rPr>
        <w:t>单位名称：</w:t>
      </w:r>
      <w:r>
        <w:rPr>
          <w:rFonts w:hint="eastAsia"/>
          <w:color w:val="auto"/>
          <w:sz w:val="28"/>
          <w:szCs w:val="28"/>
          <w:highlight w:val="none"/>
          <w:u w:val="single"/>
        </w:rPr>
        <w:t xml:space="preserve">                              </w:t>
      </w:r>
    </w:p>
    <w:p>
      <w:pPr>
        <w:adjustRightInd w:val="0"/>
        <w:snapToGrid w:val="0"/>
        <w:spacing w:line="276" w:lineRule="auto"/>
        <w:rPr>
          <w:rFonts w:hint="eastAsia"/>
          <w:color w:val="auto"/>
          <w:sz w:val="28"/>
          <w:szCs w:val="28"/>
          <w:highlight w:val="none"/>
        </w:rPr>
      </w:pPr>
      <w:r>
        <w:rPr>
          <w:rFonts w:hint="eastAsia"/>
          <w:color w:val="auto"/>
          <w:sz w:val="28"/>
          <w:szCs w:val="28"/>
          <w:highlight w:val="none"/>
        </w:rPr>
        <w:t xml:space="preserve">                                          （单位公章）</w:t>
      </w:r>
    </w:p>
    <w:p>
      <w:pPr>
        <w:adjustRightInd w:val="0"/>
        <w:snapToGrid w:val="0"/>
        <w:spacing w:line="276" w:lineRule="auto"/>
        <w:rPr>
          <w:rFonts w:hint="eastAsia"/>
          <w:color w:val="auto"/>
          <w:sz w:val="28"/>
          <w:szCs w:val="28"/>
          <w:highlight w:val="none"/>
        </w:rPr>
      </w:pPr>
    </w:p>
    <w:p>
      <w:pPr>
        <w:adjustRightInd w:val="0"/>
        <w:snapToGrid w:val="0"/>
        <w:spacing w:line="276" w:lineRule="auto"/>
        <w:rPr>
          <w:rFonts w:hint="eastAsia"/>
          <w:color w:val="auto"/>
          <w:sz w:val="28"/>
          <w:szCs w:val="28"/>
          <w:highlight w:val="none"/>
        </w:rPr>
      </w:pPr>
      <w:r>
        <w:rPr>
          <w:rFonts w:hint="eastAsia"/>
          <w:color w:val="auto"/>
          <w:sz w:val="28"/>
          <w:szCs w:val="28"/>
          <w:highlight w:val="none"/>
        </w:rPr>
        <w:t xml:space="preserve">                                         年     月    日</w:t>
      </w:r>
    </w:p>
    <w:p>
      <w:pPr>
        <w:adjustRightInd w:val="0"/>
        <w:snapToGrid w:val="0"/>
        <w:spacing w:line="276" w:lineRule="auto"/>
        <w:rPr>
          <w:rFonts w:hint="eastAsia"/>
          <w:color w:val="auto"/>
          <w:sz w:val="28"/>
          <w:szCs w:val="28"/>
          <w:highlight w:val="none"/>
        </w:rPr>
      </w:pPr>
    </w:p>
    <w:p>
      <w:pPr>
        <w:adjustRightInd w:val="0"/>
        <w:snapToGrid w:val="0"/>
        <w:spacing w:line="276" w:lineRule="auto"/>
        <w:ind w:firstLine="420" w:firstLineChars="150"/>
        <w:rPr>
          <w:rFonts w:hint="eastAsia"/>
          <w:color w:val="auto"/>
          <w:sz w:val="28"/>
          <w:szCs w:val="28"/>
          <w:highlight w:val="none"/>
        </w:rPr>
      </w:pPr>
    </w:p>
    <w:p>
      <w:pPr>
        <w:adjustRightInd w:val="0"/>
        <w:snapToGrid w:val="0"/>
        <w:spacing w:line="276" w:lineRule="auto"/>
        <w:ind w:firstLine="420" w:firstLineChars="150"/>
        <w:rPr>
          <w:rFonts w:hint="eastAsia"/>
          <w:color w:val="auto"/>
          <w:sz w:val="28"/>
          <w:szCs w:val="28"/>
          <w:highlight w:val="none"/>
        </w:rPr>
      </w:pPr>
      <w:r>
        <w:rPr>
          <w:rFonts w:hint="eastAsia"/>
          <w:color w:val="auto"/>
          <w:sz w:val="28"/>
          <w:szCs w:val="28"/>
          <w:highlight w:val="none"/>
        </w:rPr>
        <w:t>住    址：</w:t>
      </w:r>
    </w:p>
    <w:p>
      <w:pPr>
        <w:adjustRightInd w:val="0"/>
        <w:snapToGrid w:val="0"/>
        <w:spacing w:line="276" w:lineRule="auto"/>
        <w:ind w:firstLine="420" w:firstLineChars="150"/>
        <w:rPr>
          <w:rFonts w:hint="eastAsia"/>
          <w:color w:val="auto"/>
          <w:sz w:val="28"/>
          <w:szCs w:val="28"/>
          <w:highlight w:val="none"/>
        </w:rPr>
      </w:pPr>
    </w:p>
    <w:p>
      <w:pPr>
        <w:pStyle w:val="22"/>
        <w:adjustRightInd w:val="0"/>
        <w:snapToGrid w:val="0"/>
        <w:spacing w:line="276" w:lineRule="auto"/>
        <w:ind w:firstLine="420" w:firstLineChars="150"/>
        <w:rPr>
          <w:rFonts w:hint="eastAsia"/>
          <w:color w:val="auto"/>
          <w:sz w:val="28"/>
          <w:szCs w:val="28"/>
          <w:highlight w:val="none"/>
        </w:rPr>
      </w:pPr>
      <w:r>
        <w:rPr>
          <w:rFonts w:hint="eastAsia"/>
          <w:color w:val="auto"/>
          <w:sz w:val="28"/>
          <w:szCs w:val="28"/>
          <w:highlight w:val="none"/>
        </w:rPr>
        <w:t>联系电话：</w:t>
      </w:r>
    </w:p>
    <w:p>
      <w:pPr>
        <w:pStyle w:val="22"/>
        <w:adjustRightInd w:val="0"/>
        <w:snapToGrid w:val="0"/>
        <w:spacing w:line="276" w:lineRule="auto"/>
        <w:ind w:firstLine="420" w:firstLineChars="150"/>
        <w:rPr>
          <w:rFonts w:hint="eastAsia"/>
          <w:color w:val="auto"/>
          <w:sz w:val="28"/>
          <w:szCs w:val="28"/>
          <w:highlight w:val="none"/>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4" w:type="dxa"/>
            <w:noWrap w:val="0"/>
            <w:vAlign w:val="top"/>
          </w:tcPr>
          <w:p>
            <w:pPr>
              <w:snapToGrid w:val="0"/>
              <w:spacing w:line="360" w:lineRule="exact"/>
              <w:rPr>
                <w:rFonts w:hAnsi="宋体"/>
                <w:color w:val="auto"/>
                <w:szCs w:val="21"/>
                <w:highlight w:val="none"/>
              </w:rPr>
            </w:pPr>
            <w:r>
              <w:rPr>
                <w:rFonts w:hint="eastAsia" w:hAnsi="宋体"/>
                <w:color w:val="auto"/>
                <w:szCs w:val="21"/>
                <w:highlight w:val="none"/>
              </w:rPr>
              <w:t>贴附“</w:t>
            </w:r>
            <w:r>
              <w:rPr>
                <w:rFonts w:hint="eastAsia" w:hAnsi="宋体"/>
                <w:color w:val="auto"/>
                <w:highlight w:val="none"/>
              </w:rPr>
              <w:t>身份证复印件”（正反两面）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0" w:hRule="atLeast"/>
        </w:trPr>
        <w:tc>
          <w:tcPr>
            <w:tcW w:w="9124" w:type="dxa"/>
            <w:noWrap w:val="0"/>
            <w:vAlign w:val="top"/>
          </w:tcPr>
          <w:p>
            <w:pPr>
              <w:snapToGrid w:val="0"/>
              <w:spacing w:line="360" w:lineRule="exact"/>
              <w:rPr>
                <w:rFonts w:hint="eastAsia" w:hAnsi="宋体"/>
                <w:color w:val="auto"/>
                <w:szCs w:val="21"/>
                <w:highlight w:val="none"/>
              </w:rPr>
            </w:pPr>
          </w:p>
          <w:p>
            <w:pPr>
              <w:snapToGrid w:val="0"/>
              <w:spacing w:line="360" w:lineRule="exact"/>
              <w:rPr>
                <w:rFonts w:hint="eastAsia" w:hAnsi="宋体"/>
                <w:color w:val="auto"/>
                <w:szCs w:val="21"/>
                <w:highlight w:val="none"/>
              </w:rPr>
            </w:pPr>
          </w:p>
          <w:p>
            <w:pPr>
              <w:snapToGrid w:val="0"/>
              <w:spacing w:line="360" w:lineRule="exact"/>
              <w:rPr>
                <w:rFonts w:hint="eastAsia" w:hAnsi="宋体"/>
                <w:color w:val="auto"/>
                <w:szCs w:val="21"/>
                <w:highlight w:val="none"/>
              </w:rPr>
            </w:pPr>
          </w:p>
        </w:tc>
      </w:tr>
    </w:tbl>
    <w:p>
      <w:pPr>
        <w:pStyle w:val="22"/>
        <w:spacing w:line="300" w:lineRule="auto"/>
        <w:rPr>
          <w:rFonts w:hint="eastAsia" w:hAnsi="宋体"/>
          <w:color w:val="auto"/>
          <w:highlight w:val="none"/>
        </w:rPr>
      </w:pPr>
    </w:p>
    <w:p>
      <w:pPr>
        <w:pStyle w:val="22"/>
        <w:spacing w:line="300" w:lineRule="auto"/>
        <w:rPr>
          <w:rFonts w:hint="eastAsia" w:hAnsi="宋体"/>
          <w:color w:val="auto"/>
          <w:highlight w:val="none"/>
        </w:rPr>
      </w:pPr>
    </w:p>
    <w:p>
      <w:pPr>
        <w:spacing w:line="360" w:lineRule="exact"/>
        <w:rPr>
          <w:rFonts w:hint="eastAsia" w:ascii="方正宋黑简体" w:hAnsi="宋体" w:eastAsia="方正宋黑简体"/>
          <w:b/>
          <w:color w:val="auto"/>
          <w:szCs w:val="21"/>
          <w:highlight w:val="none"/>
        </w:rPr>
      </w:pPr>
    </w:p>
    <w:p>
      <w:pPr>
        <w:spacing w:line="360" w:lineRule="exact"/>
        <w:rPr>
          <w:rFonts w:ascii="宋体" w:hAnsi="宋体"/>
          <w:b/>
          <w:color w:val="auto"/>
          <w:szCs w:val="21"/>
          <w:highlight w:val="none"/>
        </w:rPr>
      </w:pPr>
      <w:r>
        <w:rPr>
          <w:rFonts w:hint="eastAsia" w:ascii="方正宋黑简体" w:hAnsi="宋体" w:eastAsia="方正宋黑简体"/>
          <w:b/>
          <w:color w:val="auto"/>
          <w:szCs w:val="21"/>
          <w:highlight w:val="none"/>
        </w:rPr>
        <w:t>附件5</w:t>
      </w:r>
    </w:p>
    <w:p>
      <w:pPr>
        <w:pStyle w:val="9"/>
        <w:overflowPunct w:val="0"/>
        <w:spacing w:line="560" w:lineRule="exact"/>
        <w:ind w:firstLine="0"/>
        <w:jc w:val="center"/>
        <w:rPr>
          <w:rFonts w:hint="eastAsia" w:ascii="方正小标宋简体" w:hAnsi="宋体" w:eastAsia="方正小标宋简体"/>
          <w:color w:val="auto"/>
          <w:sz w:val="30"/>
          <w:szCs w:val="30"/>
          <w:highlight w:val="none"/>
        </w:rPr>
      </w:pPr>
    </w:p>
    <w:p>
      <w:pPr>
        <w:pStyle w:val="9"/>
        <w:overflowPunct w:val="0"/>
        <w:spacing w:line="560" w:lineRule="exact"/>
        <w:ind w:firstLine="0"/>
        <w:jc w:val="center"/>
        <w:rPr>
          <w:rFonts w:hint="eastAsia" w:ascii="黑体" w:hAnsi="宋体" w:eastAsia="黑体"/>
          <w:b/>
          <w:color w:val="auto"/>
          <w:sz w:val="30"/>
          <w:szCs w:val="30"/>
          <w:highlight w:val="none"/>
        </w:rPr>
      </w:pPr>
      <w:r>
        <w:rPr>
          <w:rFonts w:hint="eastAsia" w:ascii="方正小标宋简体" w:hAnsi="宋体" w:eastAsia="方正小标宋简体"/>
          <w:color w:val="auto"/>
          <w:sz w:val="30"/>
          <w:szCs w:val="30"/>
          <w:highlight w:val="none"/>
        </w:rPr>
        <w:t>近三年内，在经营活动中没有重大违法记录的声明函（格式）</w:t>
      </w:r>
    </w:p>
    <w:p>
      <w:pPr>
        <w:adjustRightInd w:val="0"/>
        <w:snapToGrid w:val="0"/>
        <w:spacing w:line="360" w:lineRule="exact"/>
        <w:jc w:val="center"/>
        <w:rPr>
          <w:rFonts w:hint="eastAsia" w:ascii="宋体" w:hAnsi="宋体"/>
          <w:b/>
          <w:color w:val="auto"/>
          <w:szCs w:val="21"/>
          <w:highlight w:val="none"/>
        </w:rPr>
      </w:pPr>
    </w:p>
    <w:p>
      <w:pPr>
        <w:adjustRightInd w:val="0"/>
        <w:snapToGrid w:val="0"/>
        <w:spacing w:line="360" w:lineRule="exact"/>
        <w:rPr>
          <w:rFonts w:hint="eastAsia" w:ascii="宋体" w:hAnsi="宋体"/>
          <w:color w:val="auto"/>
          <w:szCs w:val="21"/>
          <w:highlight w:val="none"/>
        </w:rPr>
      </w:pPr>
      <w:r>
        <w:rPr>
          <w:rFonts w:hint="eastAsia" w:ascii="宋体" w:hAnsi="宋体"/>
          <w:color w:val="auto"/>
          <w:szCs w:val="21"/>
          <w:highlight w:val="none"/>
        </w:rPr>
        <w:t>致：</w:t>
      </w:r>
      <w:r>
        <w:rPr>
          <w:rFonts w:hint="eastAsia" w:ascii="宋体" w:hAnsi="宋体"/>
          <w:color w:val="auto"/>
          <w:szCs w:val="21"/>
          <w:highlight w:val="none"/>
          <w:u w:val="single"/>
        </w:rPr>
        <w:t xml:space="preserve">                </w:t>
      </w:r>
    </w:p>
    <w:p>
      <w:pPr>
        <w:adjustRightInd w:val="0"/>
        <w:snapToGrid w:val="0"/>
        <w:spacing w:line="360" w:lineRule="exact"/>
        <w:ind w:firstLine="315" w:firstLineChars="150"/>
        <w:jc w:val="left"/>
        <w:rPr>
          <w:rFonts w:hint="eastAsia" w:ascii="宋体" w:hAnsi="宋体"/>
          <w:color w:val="auto"/>
          <w:szCs w:val="21"/>
          <w:highlight w:val="none"/>
        </w:rPr>
      </w:pPr>
    </w:p>
    <w:p>
      <w:pPr>
        <w:adjustRightInd w:val="0"/>
        <w:snapToGrid w:val="0"/>
        <w:spacing w:line="360" w:lineRule="exact"/>
        <w:ind w:firstLine="315" w:firstLineChars="150"/>
        <w:jc w:val="left"/>
        <w:rPr>
          <w:rFonts w:hint="eastAsia" w:ascii="宋体" w:hAnsi="宋体"/>
          <w:color w:val="auto"/>
          <w:szCs w:val="21"/>
          <w:highlight w:val="none"/>
        </w:rPr>
      </w:pPr>
      <w:r>
        <w:rPr>
          <w:rFonts w:hint="eastAsia" w:ascii="宋体" w:hAnsi="宋体"/>
          <w:color w:val="auto"/>
          <w:szCs w:val="21"/>
          <w:highlight w:val="none"/>
        </w:rPr>
        <w:t>我单位近三年在经营活动中没有重大违法记录（包括：因违法经营受到刑事处罚或者责令停产停业，吊销许可证或者执照、较大数额罚款等行政处罚），特此声明。</w:t>
      </w:r>
    </w:p>
    <w:p>
      <w:pPr>
        <w:adjustRightInd w:val="0"/>
        <w:snapToGrid w:val="0"/>
        <w:spacing w:line="360" w:lineRule="exact"/>
        <w:ind w:firstLine="315" w:firstLineChars="150"/>
        <w:jc w:val="left"/>
        <w:rPr>
          <w:rFonts w:hint="eastAsia" w:ascii="宋体" w:hAnsi="宋体"/>
          <w:color w:val="auto"/>
          <w:szCs w:val="21"/>
          <w:highlight w:val="none"/>
        </w:rPr>
      </w:pPr>
      <w:r>
        <w:rPr>
          <w:rFonts w:hint="eastAsia" w:ascii="宋体" w:hAnsi="宋体"/>
          <w:color w:val="auto"/>
          <w:szCs w:val="21"/>
          <w:highlight w:val="none"/>
        </w:rPr>
        <w:t>若招标采购单位在本项目采购过程中发现我单位近三年内在经营活动中有重大违法记录，我单位将无条件地退出本项目的谈判，并承担因此引起的一切后果。</w:t>
      </w:r>
    </w:p>
    <w:p>
      <w:pPr>
        <w:adjustRightInd w:val="0"/>
        <w:snapToGrid w:val="0"/>
        <w:spacing w:line="360" w:lineRule="exact"/>
        <w:ind w:firstLine="315" w:firstLineChars="150"/>
        <w:jc w:val="left"/>
        <w:rPr>
          <w:rFonts w:hint="eastAsia" w:ascii="宋体" w:hAnsi="宋体"/>
          <w:color w:val="auto"/>
          <w:szCs w:val="21"/>
          <w:highlight w:val="none"/>
        </w:rPr>
      </w:pPr>
    </w:p>
    <w:p>
      <w:pPr>
        <w:adjustRightInd w:val="0"/>
        <w:snapToGrid w:val="0"/>
        <w:spacing w:line="360" w:lineRule="exact"/>
        <w:ind w:firstLine="315" w:firstLineChars="150"/>
        <w:jc w:val="left"/>
        <w:rPr>
          <w:rFonts w:hint="eastAsia" w:ascii="宋体" w:hAnsi="宋体"/>
          <w:color w:val="auto"/>
          <w:szCs w:val="21"/>
          <w:highlight w:val="none"/>
        </w:rPr>
      </w:pPr>
    </w:p>
    <w:p>
      <w:pPr>
        <w:adjustRightInd w:val="0"/>
        <w:snapToGrid w:val="0"/>
        <w:spacing w:line="360" w:lineRule="exact"/>
        <w:ind w:firstLine="315" w:firstLineChars="150"/>
        <w:jc w:val="left"/>
        <w:rPr>
          <w:rFonts w:hint="eastAsia" w:ascii="宋体" w:hAnsi="宋体"/>
          <w:color w:val="auto"/>
          <w:szCs w:val="21"/>
          <w:highlight w:val="none"/>
        </w:rPr>
      </w:pPr>
    </w:p>
    <w:p>
      <w:pPr>
        <w:adjustRightInd w:val="0"/>
        <w:snapToGrid w:val="0"/>
        <w:spacing w:line="360" w:lineRule="exact"/>
        <w:ind w:firstLine="315" w:firstLineChars="150"/>
        <w:jc w:val="left"/>
        <w:rPr>
          <w:rFonts w:hint="eastAsia" w:ascii="宋体" w:hAnsi="宋体"/>
          <w:color w:val="auto"/>
          <w:szCs w:val="21"/>
          <w:highlight w:val="none"/>
        </w:rPr>
      </w:pPr>
    </w:p>
    <w:p>
      <w:pPr>
        <w:adjustRightInd w:val="0"/>
        <w:snapToGrid w:val="0"/>
        <w:spacing w:line="360" w:lineRule="exact"/>
        <w:ind w:firstLine="315" w:firstLineChars="150"/>
        <w:jc w:val="left"/>
        <w:rPr>
          <w:rFonts w:hint="eastAsia" w:ascii="宋体" w:hAnsi="宋体"/>
          <w:color w:val="auto"/>
          <w:szCs w:val="21"/>
          <w:highlight w:val="none"/>
        </w:rPr>
      </w:pPr>
    </w:p>
    <w:p>
      <w:pPr>
        <w:adjustRightInd w:val="0"/>
        <w:snapToGrid w:val="0"/>
        <w:spacing w:line="360" w:lineRule="exact"/>
        <w:ind w:firstLine="315" w:firstLineChars="150"/>
        <w:jc w:val="left"/>
        <w:rPr>
          <w:rFonts w:hint="eastAsia" w:ascii="宋体" w:hAnsi="宋体"/>
          <w:color w:val="auto"/>
          <w:szCs w:val="21"/>
          <w:highlight w:val="none"/>
        </w:rPr>
      </w:pPr>
    </w:p>
    <w:p>
      <w:pPr>
        <w:adjustRightInd w:val="0"/>
        <w:snapToGrid w:val="0"/>
        <w:spacing w:line="360" w:lineRule="exact"/>
        <w:ind w:firstLine="315" w:firstLineChars="150"/>
        <w:jc w:val="left"/>
        <w:rPr>
          <w:rFonts w:hint="eastAsia" w:ascii="宋体" w:hAnsi="宋体"/>
          <w:color w:val="auto"/>
          <w:szCs w:val="21"/>
          <w:highlight w:val="none"/>
        </w:rPr>
      </w:pPr>
    </w:p>
    <w:p>
      <w:pPr>
        <w:adjustRightInd w:val="0"/>
        <w:snapToGrid w:val="0"/>
        <w:spacing w:line="360" w:lineRule="exact"/>
        <w:ind w:firstLine="315" w:firstLineChars="150"/>
        <w:jc w:val="left"/>
        <w:rPr>
          <w:rFonts w:hint="eastAsia" w:ascii="宋体" w:hAnsi="宋体"/>
          <w:color w:val="auto"/>
          <w:szCs w:val="21"/>
          <w:highlight w:val="none"/>
        </w:rPr>
      </w:pPr>
    </w:p>
    <w:p>
      <w:pPr>
        <w:snapToGrid w:val="0"/>
        <w:spacing w:line="360" w:lineRule="auto"/>
        <w:ind w:firstLine="588" w:firstLineChars="245"/>
        <w:jc w:val="left"/>
        <w:rPr>
          <w:rFonts w:hint="eastAsia" w:ascii="宋体" w:hAnsi="宋体" w:cs="宋体"/>
          <w:color w:val="auto"/>
          <w:sz w:val="24"/>
          <w:highlight w:val="none"/>
        </w:rPr>
      </w:pPr>
    </w:p>
    <w:p>
      <w:pPr>
        <w:pStyle w:val="22"/>
        <w:spacing w:line="480" w:lineRule="auto"/>
        <w:rPr>
          <w:rFonts w:ascii="Times New Roman" w:hAnsi="Times New Roman"/>
          <w:color w:val="auto"/>
          <w:sz w:val="24"/>
          <w:szCs w:val="24"/>
          <w:highlight w:val="none"/>
        </w:rPr>
      </w:pPr>
      <w:r>
        <w:rPr>
          <w:rFonts w:ascii="Times New Roman" w:hAnsi="Times New Roman"/>
          <w:color w:val="auto"/>
          <w:sz w:val="24"/>
          <w:szCs w:val="24"/>
          <w:highlight w:val="none"/>
        </w:rPr>
        <w:t>供应商盖公章</w:t>
      </w:r>
      <w:r>
        <w:rPr>
          <w:rFonts w:ascii="Times New Roman" w:hAnsi="Times New Roman"/>
          <w:color w:val="auto"/>
          <w:sz w:val="24"/>
          <w:szCs w:val="24"/>
          <w:highlight w:val="none"/>
          <w:u w:val="single"/>
        </w:rPr>
        <w:t xml:space="preserve">                                 </w:t>
      </w:r>
    </w:p>
    <w:p>
      <w:pPr>
        <w:pStyle w:val="22"/>
        <w:spacing w:line="480" w:lineRule="auto"/>
        <w:rPr>
          <w:rFonts w:ascii="Times New Roman" w:hAnsi="Times New Roman"/>
          <w:color w:val="auto"/>
          <w:sz w:val="24"/>
          <w:szCs w:val="24"/>
          <w:highlight w:val="none"/>
          <w:u w:val="single"/>
        </w:rPr>
      </w:pPr>
      <w:r>
        <w:rPr>
          <w:rFonts w:ascii="Times New Roman" w:hAnsi="Times New Roman"/>
          <w:color w:val="auto"/>
          <w:sz w:val="24"/>
          <w:szCs w:val="24"/>
          <w:highlight w:val="none"/>
        </w:rPr>
        <w:t>法定代表人（负责人）或委托代理人签字</w:t>
      </w:r>
      <w:r>
        <w:rPr>
          <w:rFonts w:ascii="Times New Roman" w:hAnsi="Times New Roman"/>
          <w:color w:val="auto"/>
          <w:sz w:val="24"/>
          <w:szCs w:val="24"/>
          <w:highlight w:val="none"/>
          <w:u w:val="single"/>
        </w:rPr>
        <w:t xml:space="preserve">                   </w:t>
      </w:r>
    </w:p>
    <w:p>
      <w:pPr>
        <w:pStyle w:val="22"/>
        <w:spacing w:line="480" w:lineRule="auto"/>
        <w:rPr>
          <w:rFonts w:ascii="Times New Roman" w:hAnsi="Times New Roman"/>
          <w:color w:val="auto"/>
          <w:sz w:val="24"/>
          <w:szCs w:val="24"/>
          <w:highlight w:val="none"/>
          <w:u w:val="single"/>
        </w:rPr>
      </w:pPr>
      <w:r>
        <w:rPr>
          <w:rFonts w:ascii="Times New Roman" w:hAnsi="Times New Roman"/>
          <w:color w:val="auto"/>
          <w:sz w:val="24"/>
          <w:szCs w:val="24"/>
          <w:highlight w:val="none"/>
        </w:rPr>
        <w:t>日期</w:t>
      </w:r>
      <w:r>
        <w:rPr>
          <w:rFonts w:ascii="Times New Roman" w:hAnsi="Times New Roman"/>
          <w:color w:val="auto"/>
          <w:sz w:val="24"/>
          <w:szCs w:val="24"/>
          <w:highlight w:val="none"/>
          <w:u w:val="single"/>
        </w:rPr>
        <w:t xml:space="preserve">                                 </w:t>
      </w:r>
    </w:p>
    <w:p>
      <w:pPr>
        <w:jc w:val="center"/>
        <w:rPr>
          <w:rFonts w:hint="eastAsia"/>
          <w:b/>
          <w:color w:val="auto"/>
          <w:sz w:val="32"/>
          <w:szCs w:val="32"/>
          <w:highlight w:val="none"/>
        </w:rPr>
      </w:pPr>
    </w:p>
    <w:p>
      <w:pPr>
        <w:jc w:val="center"/>
        <w:rPr>
          <w:rFonts w:hint="eastAsia"/>
          <w:b/>
          <w:color w:val="auto"/>
          <w:sz w:val="32"/>
          <w:szCs w:val="32"/>
          <w:highlight w:val="none"/>
        </w:rPr>
      </w:pPr>
    </w:p>
    <w:p>
      <w:pPr>
        <w:jc w:val="center"/>
        <w:rPr>
          <w:rFonts w:hint="eastAsia"/>
          <w:b/>
          <w:color w:val="auto"/>
          <w:sz w:val="32"/>
          <w:szCs w:val="32"/>
          <w:highlight w:val="none"/>
        </w:rPr>
      </w:pPr>
    </w:p>
    <w:p>
      <w:pPr>
        <w:jc w:val="center"/>
        <w:rPr>
          <w:rFonts w:hint="eastAsia"/>
          <w:b/>
          <w:color w:val="auto"/>
          <w:sz w:val="32"/>
          <w:szCs w:val="32"/>
          <w:highlight w:val="none"/>
        </w:rPr>
      </w:pPr>
    </w:p>
    <w:p>
      <w:pPr>
        <w:spacing w:line="588" w:lineRule="exact"/>
        <w:jc w:val="center"/>
        <w:rPr>
          <w:rFonts w:hint="eastAsia" w:ascii="宋体" w:hAnsi="宋体"/>
          <w:b/>
          <w:color w:val="auto"/>
          <w:spacing w:val="6"/>
          <w:sz w:val="32"/>
          <w:szCs w:val="32"/>
          <w:highlight w:val="none"/>
        </w:rPr>
      </w:pPr>
    </w:p>
    <w:p>
      <w:pPr>
        <w:spacing w:line="588" w:lineRule="exact"/>
        <w:jc w:val="center"/>
        <w:rPr>
          <w:rFonts w:hint="eastAsia" w:ascii="宋体" w:hAnsi="宋体"/>
          <w:b/>
          <w:color w:val="auto"/>
          <w:spacing w:val="6"/>
          <w:sz w:val="32"/>
          <w:szCs w:val="32"/>
          <w:highlight w:val="none"/>
        </w:rPr>
      </w:pPr>
    </w:p>
    <w:p>
      <w:pPr>
        <w:spacing w:line="588" w:lineRule="exact"/>
        <w:jc w:val="center"/>
        <w:rPr>
          <w:rFonts w:hint="eastAsia" w:ascii="宋体" w:hAnsi="宋体"/>
          <w:b/>
          <w:color w:val="auto"/>
          <w:spacing w:val="6"/>
          <w:sz w:val="32"/>
          <w:szCs w:val="32"/>
          <w:highlight w:val="none"/>
        </w:rPr>
      </w:pPr>
    </w:p>
    <w:p>
      <w:pPr>
        <w:spacing w:line="588" w:lineRule="exact"/>
        <w:jc w:val="center"/>
        <w:rPr>
          <w:rFonts w:hint="eastAsia" w:ascii="宋体" w:hAnsi="宋体"/>
          <w:b/>
          <w:color w:val="auto"/>
          <w:spacing w:val="6"/>
          <w:sz w:val="32"/>
          <w:szCs w:val="32"/>
          <w:highlight w:val="none"/>
        </w:rPr>
      </w:pPr>
    </w:p>
    <w:p>
      <w:pPr>
        <w:pStyle w:val="22"/>
        <w:snapToGrid w:val="0"/>
        <w:spacing w:line="360" w:lineRule="auto"/>
        <w:jc w:val="center"/>
        <w:rPr>
          <w:rFonts w:hAnsi="宋体" w:cs="宋体"/>
          <w:b/>
          <w:color w:val="auto"/>
          <w:sz w:val="32"/>
          <w:szCs w:val="32"/>
          <w:highlight w:val="none"/>
        </w:rPr>
      </w:pPr>
      <w:r>
        <w:rPr>
          <w:rFonts w:hint="eastAsia" w:hAnsi="宋体" w:cs="宋体"/>
          <w:b/>
          <w:color w:val="auto"/>
          <w:sz w:val="32"/>
          <w:szCs w:val="32"/>
          <w:highlight w:val="none"/>
        </w:rPr>
        <w:t>信用声明函（格式）</w:t>
      </w:r>
    </w:p>
    <w:p>
      <w:pPr>
        <w:pStyle w:val="22"/>
        <w:snapToGrid w:val="0"/>
        <w:spacing w:line="360" w:lineRule="auto"/>
        <w:jc w:val="center"/>
        <w:rPr>
          <w:rFonts w:hAnsi="宋体" w:cs="宋体"/>
          <w:b/>
          <w:color w:val="auto"/>
          <w:sz w:val="24"/>
          <w:szCs w:val="24"/>
          <w:highlight w:val="none"/>
        </w:rPr>
      </w:pPr>
    </w:p>
    <w:p>
      <w:pPr>
        <w:tabs>
          <w:tab w:val="left" w:pos="7200"/>
        </w:tabs>
        <w:snapToGrid w:val="0"/>
        <w:spacing w:line="360" w:lineRule="auto"/>
        <w:rPr>
          <w:rFonts w:ascii="宋体" w:hAnsi="宋体" w:cs="宋体"/>
          <w:color w:val="auto"/>
          <w:sz w:val="24"/>
          <w:highlight w:val="none"/>
        </w:rPr>
      </w:pPr>
      <w:r>
        <w:rPr>
          <w:rFonts w:hint="eastAsia" w:ascii="宋体" w:hAnsi="宋体" w:cs="宋体"/>
          <w:color w:val="auto"/>
          <w:sz w:val="24"/>
          <w:highlight w:val="none"/>
        </w:rPr>
        <w:t>致：（采购代理机构名称）</w:t>
      </w:r>
    </w:p>
    <w:p>
      <w:pPr>
        <w:tabs>
          <w:tab w:val="left" w:pos="7200"/>
        </w:tabs>
        <w:snapToGrid w:val="0"/>
        <w:spacing w:line="360" w:lineRule="auto"/>
        <w:ind w:firstLine="480" w:firstLineChars="200"/>
        <w:jc w:val="left"/>
        <w:rPr>
          <w:rFonts w:ascii="宋体" w:hAnsi="宋体" w:cs="宋体"/>
          <w:color w:val="auto"/>
          <w:sz w:val="24"/>
          <w:highlight w:val="none"/>
        </w:rPr>
      </w:pPr>
    </w:p>
    <w:p>
      <w:pPr>
        <w:tabs>
          <w:tab w:val="left" w:pos="7200"/>
        </w:tabs>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我方愿意参加贵方组织的</w:t>
      </w:r>
      <w:r>
        <w:rPr>
          <w:rFonts w:hint="eastAsia" w:ascii="宋体" w:hAnsi="宋体" w:cs="宋体"/>
          <w:color w:val="auto"/>
          <w:sz w:val="24"/>
          <w:highlight w:val="none"/>
          <w:u w:val="single"/>
        </w:rPr>
        <w:t xml:space="preserve"> (项目名称) （项目编号）</w:t>
      </w:r>
      <w:r>
        <w:rPr>
          <w:rFonts w:hint="eastAsia" w:ascii="宋体" w:hAnsi="宋体" w:cs="宋体"/>
          <w:color w:val="auto"/>
          <w:sz w:val="24"/>
          <w:highlight w:val="none"/>
        </w:rPr>
        <w:t>项目的投标，为便于贵方公正、择优地确定中标人及其投标服务成果和服务，我方就本次投标有关事项郑重声明如下：</w:t>
      </w:r>
    </w:p>
    <w:p>
      <w:pPr>
        <w:tabs>
          <w:tab w:val="left" w:pos="7200"/>
        </w:tabs>
        <w:snapToGrid w:val="0"/>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 经查询，在规定的查询时间内，“信用中国”和“中国政府采购网”网站我方未被列入失信被执行人、重大税收违法案件当事人名单、政府采购严重违法失信行为记录名单。</w:t>
      </w:r>
    </w:p>
    <w:p>
      <w:pPr>
        <w:tabs>
          <w:tab w:val="left" w:pos="7200"/>
        </w:tabs>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 以上事项如有虚假或隐瞒，我方愿意承担一切后果，并不再寻求任何旨在减轻或免除法律责任的辩解。 </w:t>
      </w:r>
    </w:p>
    <w:p>
      <w:pPr>
        <w:tabs>
          <w:tab w:val="left" w:pos="7200"/>
        </w:tabs>
        <w:snapToGrid w:val="0"/>
        <w:spacing w:line="360" w:lineRule="auto"/>
        <w:ind w:firstLine="480" w:firstLineChars="200"/>
        <w:rPr>
          <w:rFonts w:ascii="宋体" w:hAnsi="宋体" w:cs="宋体"/>
          <w:color w:val="auto"/>
          <w:sz w:val="24"/>
          <w:highlight w:val="none"/>
        </w:rPr>
      </w:pPr>
    </w:p>
    <w:p>
      <w:pPr>
        <w:tabs>
          <w:tab w:val="left" w:pos="7200"/>
        </w:tabs>
        <w:snapToGrid w:val="0"/>
        <w:spacing w:line="360" w:lineRule="auto"/>
        <w:ind w:firstLine="480" w:firstLineChars="200"/>
        <w:rPr>
          <w:rFonts w:ascii="宋体" w:hAnsi="宋体" w:cs="宋体"/>
          <w:color w:val="auto"/>
          <w:sz w:val="24"/>
          <w:highlight w:val="none"/>
        </w:rPr>
      </w:pPr>
    </w:p>
    <w:p>
      <w:pPr>
        <w:tabs>
          <w:tab w:val="left" w:pos="7200"/>
        </w:tabs>
        <w:snapToGrid w:val="0"/>
        <w:spacing w:line="360" w:lineRule="auto"/>
        <w:ind w:firstLine="480" w:firstLineChars="200"/>
        <w:rPr>
          <w:rFonts w:ascii="宋体" w:hAnsi="宋体" w:cs="宋体"/>
          <w:color w:val="auto"/>
          <w:sz w:val="24"/>
          <w:highlight w:val="none"/>
        </w:rPr>
      </w:pPr>
    </w:p>
    <w:p>
      <w:pPr>
        <w:tabs>
          <w:tab w:val="left" w:pos="7200"/>
        </w:tabs>
        <w:snapToGrid w:val="0"/>
        <w:spacing w:line="360" w:lineRule="auto"/>
        <w:rPr>
          <w:rFonts w:ascii="宋体" w:hAnsi="宋体" w:cs="宋体"/>
          <w:color w:val="auto"/>
          <w:sz w:val="24"/>
          <w:highlight w:val="none"/>
        </w:rPr>
      </w:pPr>
      <w:r>
        <w:rPr>
          <w:rFonts w:hint="eastAsia" w:ascii="宋体" w:hAnsi="宋体" w:cs="宋体"/>
          <w:color w:val="auto"/>
          <w:sz w:val="24"/>
          <w:highlight w:val="none"/>
        </w:rPr>
        <w:t>说明：</w:t>
      </w:r>
    </w:p>
    <w:p>
      <w:pPr>
        <w:pStyle w:val="9"/>
        <w:snapToGri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服务商应当自行通过 “信用中国”（www.creditchina.gov.cn）和“中国政府采购网”网站（www.ccgp.gov.cn）查询服务商相关主体的信用记录。查询时间为本项目投标截止时间前。对列入失信被执行人、重大税收违法案件当事人名单、政府采购严重违法失信行为记录名单的服务商，将被拒绝参与本项目的采购活动。</w:t>
      </w:r>
    </w:p>
    <w:p>
      <w:pPr>
        <w:snapToGrid w:val="0"/>
        <w:spacing w:line="360" w:lineRule="auto"/>
        <w:jc w:val="left"/>
        <w:rPr>
          <w:rFonts w:ascii="宋体" w:hAnsi="宋体" w:cs="宋体"/>
          <w:color w:val="auto"/>
          <w:sz w:val="24"/>
          <w:highlight w:val="none"/>
        </w:rPr>
      </w:pPr>
    </w:p>
    <w:p>
      <w:pPr>
        <w:snapToGrid w:val="0"/>
        <w:spacing w:line="360" w:lineRule="auto"/>
        <w:jc w:val="left"/>
        <w:rPr>
          <w:rFonts w:hint="eastAsia" w:ascii="宋体" w:hAnsi="宋体" w:cs="宋体"/>
          <w:color w:val="auto"/>
          <w:sz w:val="24"/>
          <w:highlight w:val="none"/>
        </w:rPr>
      </w:pPr>
    </w:p>
    <w:p>
      <w:pPr>
        <w:snapToGrid w:val="0"/>
        <w:spacing w:line="360" w:lineRule="auto"/>
        <w:jc w:val="left"/>
        <w:rPr>
          <w:rFonts w:hint="eastAsia" w:ascii="宋体" w:hAnsi="宋体" w:cs="宋体"/>
          <w:color w:val="auto"/>
          <w:sz w:val="24"/>
          <w:highlight w:val="none"/>
        </w:rPr>
      </w:pPr>
    </w:p>
    <w:p>
      <w:pPr>
        <w:snapToGrid w:val="0"/>
        <w:spacing w:line="360" w:lineRule="auto"/>
        <w:jc w:val="left"/>
        <w:rPr>
          <w:rFonts w:hint="eastAsia" w:ascii="宋体" w:hAnsi="宋体" w:cs="宋体"/>
          <w:color w:val="auto"/>
          <w:sz w:val="24"/>
          <w:highlight w:val="none"/>
        </w:rPr>
      </w:pPr>
    </w:p>
    <w:p>
      <w:pPr>
        <w:snapToGrid w:val="0"/>
        <w:spacing w:line="360" w:lineRule="auto"/>
        <w:jc w:val="left"/>
        <w:rPr>
          <w:rFonts w:hint="eastAsia" w:ascii="宋体" w:hAnsi="宋体" w:cs="宋体"/>
          <w:color w:val="auto"/>
          <w:sz w:val="24"/>
          <w:highlight w:val="none"/>
        </w:rPr>
      </w:pPr>
    </w:p>
    <w:p>
      <w:pPr>
        <w:snapToGrid w:val="0"/>
        <w:spacing w:line="360" w:lineRule="auto"/>
        <w:jc w:val="left"/>
        <w:rPr>
          <w:rFonts w:ascii="宋体" w:hAnsi="宋体" w:cs="宋体"/>
          <w:color w:val="auto"/>
          <w:sz w:val="24"/>
          <w:highlight w:val="none"/>
        </w:rPr>
      </w:pPr>
    </w:p>
    <w:p>
      <w:pPr>
        <w:tabs>
          <w:tab w:val="left" w:pos="7200"/>
        </w:tabs>
        <w:snapToGrid w:val="0"/>
        <w:spacing w:line="360" w:lineRule="auto"/>
        <w:ind w:firstLine="956" w:firstLineChars="398"/>
        <w:rPr>
          <w:rFonts w:ascii="宋体" w:hAnsi="宋体" w:cs="宋体"/>
          <w:b/>
          <w:color w:val="auto"/>
          <w:sz w:val="24"/>
          <w:highlight w:val="none"/>
          <w:u w:val="single"/>
        </w:rPr>
      </w:pPr>
      <w:r>
        <w:rPr>
          <w:rFonts w:hint="eastAsia" w:ascii="宋体" w:hAnsi="宋体" w:cs="宋体"/>
          <w:b/>
          <w:color w:val="auto"/>
          <w:sz w:val="24"/>
          <w:highlight w:val="none"/>
        </w:rPr>
        <w:t xml:space="preserve">                              法定代表人或委托代理人签字：</w:t>
      </w:r>
    </w:p>
    <w:p>
      <w:pPr>
        <w:tabs>
          <w:tab w:val="left" w:pos="7200"/>
        </w:tabs>
        <w:snapToGrid w:val="0"/>
        <w:spacing w:line="360" w:lineRule="auto"/>
        <w:ind w:left="6913" w:leftChars="2200" w:hanging="2293" w:hangingChars="955"/>
        <w:jc w:val="left"/>
        <w:rPr>
          <w:rFonts w:ascii="宋体" w:hAnsi="宋体" w:cs="宋体"/>
          <w:b/>
          <w:color w:val="auto"/>
          <w:sz w:val="24"/>
          <w:highlight w:val="none"/>
        </w:rPr>
      </w:pPr>
      <w:r>
        <w:rPr>
          <w:rFonts w:hint="eastAsia" w:ascii="宋体" w:hAnsi="宋体" w:cs="宋体"/>
          <w:b/>
          <w:color w:val="auto"/>
          <w:sz w:val="24"/>
          <w:highlight w:val="none"/>
        </w:rPr>
        <w:t>服务商（盖章）：</w:t>
      </w:r>
    </w:p>
    <w:p>
      <w:pPr>
        <w:spacing w:line="300" w:lineRule="auto"/>
        <w:rPr>
          <w:rFonts w:hint="eastAsia" w:ascii="黑体" w:hAnsi="宋体" w:eastAsia="黑体"/>
          <w:b/>
          <w:color w:val="auto"/>
          <w:kern w:val="0"/>
          <w:sz w:val="32"/>
          <w:szCs w:val="32"/>
          <w:highlight w:val="none"/>
        </w:rPr>
      </w:pPr>
    </w:p>
    <w:p>
      <w:pPr>
        <w:spacing w:line="300" w:lineRule="auto"/>
        <w:rPr>
          <w:rFonts w:hint="eastAsia" w:ascii="黑体" w:hAnsi="宋体" w:eastAsia="黑体"/>
          <w:b/>
          <w:color w:val="auto"/>
          <w:kern w:val="0"/>
          <w:sz w:val="32"/>
          <w:szCs w:val="32"/>
          <w:highlight w:val="none"/>
        </w:rPr>
      </w:pPr>
    </w:p>
    <w:p>
      <w:pPr>
        <w:pStyle w:val="3"/>
        <w:rPr>
          <w:rFonts w:hint="eastAsia"/>
          <w:color w:val="auto"/>
          <w:highlight w:val="none"/>
        </w:rPr>
      </w:pPr>
    </w:p>
    <w:p>
      <w:pPr>
        <w:pStyle w:val="3"/>
        <w:rPr>
          <w:rFonts w:hint="eastAsia"/>
          <w:color w:val="auto"/>
          <w:highlight w:val="none"/>
        </w:rPr>
      </w:pPr>
    </w:p>
    <w:p>
      <w:pPr>
        <w:spacing w:line="300" w:lineRule="auto"/>
        <w:rPr>
          <w:rFonts w:ascii="方正宋黑简体" w:hAnsi="宋体" w:eastAsia="方正宋黑简体"/>
          <w:b/>
          <w:color w:val="auto"/>
          <w:szCs w:val="21"/>
          <w:highlight w:val="none"/>
        </w:rPr>
      </w:pPr>
      <w:r>
        <w:rPr>
          <w:rFonts w:hint="eastAsia" w:ascii="方正宋黑简体" w:hAnsi="宋体" w:eastAsia="方正宋黑简体"/>
          <w:b/>
          <w:color w:val="auto"/>
          <w:szCs w:val="21"/>
          <w:highlight w:val="none"/>
        </w:rPr>
        <w:t>附件6</w:t>
      </w:r>
    </w:p>
    <w:p>
      <w:pPr>
        <w:spacing w:before="50" w:after="156" w:line="360" w:lineRule="exact"/>
        <w:jc w:val="center"/>
        <w:rPr>
          <w:rFonts w:hint="eastAsia" w:ascii="宋体" w:hAnsi="宋体" w:cs="宋体"/>
          <w:b/>
          <w:color w:val="auto"/>
          <w:szCs w:val="21"/>
          <w:highlight w:val="none"/>
        </w:rPr>
      </w:pPr>
      <w:r>
        <w:rPr>
          <w:rFonts w:ascii="宋体" w:hAnsi="宋体" w:cs="宋体"/>
          <w:b/>
          <w:color w:val="auto"/>
          <w:szCs w:val="21"/>
          <w:highlight w:val="none"/>
        </w:rPr>
        <w:t>设备配置清单</w:t>
      </w:r>
    </w:p>
    <w:p>
      <w:pPr>
        <w:spacing w:before="50" w:after="156" w:line="360" w:lineRule="exact"/>
        <w:jc w:val="center"/>
        <w:rPr>
          <w:rFonts w:ascii="宋体" w:hAnsi="宋体" w:cs="宋体"/>
          <w:b/>
          <w:color w:val="auto"/>
          <w:szCs w:val="21"/>
          <w:highlight w:val="none"/>
        </w:rPr>
      </w:pPr>
    </w:p>
    <w:tbl>
      <w:tblPr>
        <w:tblStyle w:val="36"/>
        <w:tblW w:w="0" w:type="auto"/>
        <w:jc w:val="center"/>
        <w:tblLayout w:type="fixed"/>
        <w:tblCellMar>
          <w:top w:w="0" w:type="dxa"/>
          <w:left w:w="108" w:type="dxa"/>
          <w:bottom w:w="0" w:type="dxa"/>
          <w:right w:w="108" w:type="dxa"/>
        </w:tblCellMar>
      </w:tblPr>
      <w:tblGrid>
        <w:gridCol w:w="792"/>
        <w:gridCol w:w="1443"/>
        <w:gridCol w:w="839"/>
        <w:gridCol w:w="1498"/>
        <w:gridCol w:w="1620"/>
        <w:gridCol w:w="1809"/>
        <w:gridCol w:w="912"/>
      </w:tblGrid>
      <w:tr>
        <w:tblPrEx>
          <w:tblCellMar>
            <w:top w:w="0" w:type="dxa"/>
            <w:left w:w="108" w:type="dxa"/>
            <w:bottom w:w="0" w:type="dxa"/>
            <w:right w:w="108" w:type="dxa"/>
          </w:tblCellMar>
        </w:tblPrEx>
        <w:trPr>
          <w:trHeight w:val="930"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before="50" w:after="50" w:line="360" w:lineRule="exact"/>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spacing w:before="50" w:after="50" w:line="360" w:lineRule="exact"/>
              <w:jc w:val="center"/>
              <w:rPr>
                <w:rFonts w:ascii="宋体" w:hAnsi="宋体" w:cs="宋体"/>
                <w:color w:val="auto"/>
                <w:szCs w:val="21"/>
                <w:highlight w:val="none"/>
              </w:rPr>
            </w:pPr>
            <w:r>
              <w:rPr>
                <w:rFonts w:hint="eastAsia" w:ascii="宋体" w:hAnsi="宋体" w:cs="宋体"/>
                <w:color w:val="auto"/>
                <w:szCs w:val="21"/>
                <w:highlight w:val="none"/>
              </w:rPr>
              <w:t>设备名称</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spacing w:before="50" w:after="50" w:line="360" w:lineRule="exact"/>
              <w:jc w:val="center"/>
              <w:rPr>
                <w:rFonts w:ascii="宋体" w:hAnsi="宋体" w:cs="宋体"/>
                <w:color w:val="auto"/>
                <w:szCs w:val="21"/>
                <w:highlight w:val="none"/>
              </w:rPr>
            </w:pPr>
            <w:r>
              <w:rPr>
                <w:rFonts w:hint="eastAsia" w:ascii="宋体" w:hAnsi="宋体" w:cs="宋体"/>
                <w:color w:val="auto"/>
                <w:szCs w:val="21"/>
                <w:highlight w:val="none"/>
              </w:rPr>
              <w:t>品牌</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before="50" w:after="50" w:line="360" w:lineRule="exact"/>
              <w:jc w:val="center"/>
              <w:rPr>
                <w:rFonts w:ascii="宋体" w:hAnsi="宋体" w:cs="宋体"/>
                <w:color w:val="auto"/>
                <w:szCs w:val="21"/>
                <w:highlight w:val="none"/>
              </w:rPr>
            </w:pPr>
            <w:r>
              <w:rPr>
                <w:rFonts w:hint="eastAsia" w:ascii="宋体" w:hAnsi="宋体" w:cs="宋体"/>
                <w:color w:val="auto"/>
                <w:szCs w:val="21"/>
                <w:highlight w:val="none"/>
              </w:rPr>
              <w:t>规格型号</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spacing w:before="50" w:after="50" w:line="360" w:lineRule="exact"/>
              <w:jc w:val="center"/>
              <w:rPr>
                <w:rFonts w:ascii="宋体" w:hAnsi="宋体" w:cs="宋体"/>
                <w:color w:val="auto"/>
                <w:szCs w:val="21"/>
                <w:highlight w:val="none"/>
              </w:rPr>
            </w:pPr>
            <w:r>
              <w:rPr>
                <w:rFonts w:hint="eastAsia" w:ascii="宋体" w:hAnsi="宋体" w:cs="宋体"/>
                <w:color w:val="auto"/>
                <w:szCs w:val="21"/>
                <w:highlight w:val="none"/>
              </w:rPr>
              <w:t>单位及数量</w:t>
            </w:r>
          </w:p>
        </w:tc>
        <w:tc>
          <w:tcPr>
            <w:tcW w:w="1809" w:type="dxa"/>
            <w:tcBorders>
              <w:top w:val="single" w:color="000000" w:sz="4" w:space="0"/>
              <w:left w:val="single" w:color="000000" w:sz="4" w:space="0"/>
              <w:bottom w:val="single" w:color="000000" w:sz="4" w:space="0"/>
              <w:right w:val="single" w:color="000000" w:sz="4" w:space="0"/>
            </w:tcBorders>
            <w:noWrap w:val="0"/>
            <w:vAlign w:val="center"/>
          </w:tcPr>
          <w:p>
            <w:pPr>
              <w:spacing w:before="50" w:after="50" w:line="360" w:lineRule="exact"/>
              <w:jc w:val="center"/>
              <w:rPr>
                <w:rFonts w:ascii="宋体" w:hAnsi="宋体" w:cs="宋体"/>
                <w:color w:val="auto"/>
                <w:szCs w:val="21"/>
                <w:highlight w:val="none"/>
              </w:rPr>
            </w:pPr>
            <w:r>
              <w:rPr>
                <w:rFonts w:hint="eastAsia" w:ascii="宋体" w:hAnsi="宋体" w:cs="宋体"/>
                <w:color w:val="auto"/>
                <w:szCs w:val="21"/>
                <w:highlight w:val="none"/>
              </w:rPr>
              <w:t>性能及指标</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spacing w:before="50" w:after="50" w:line="360" w:lineRule="exact"/>
              <w:jc w:val="center"/>
              <w:rPr>
                <w:rFonts w:ascii="宋体" w:hAnsi="宋体" w:cs="宋体"/>
                <w:color w:val="auto"/>
                <w:szCs w:val="21"/>
                <w:highlight w:val="none"/>
              </w:rPr>
            </w:pPr>
            <w:r>
              <w:rPr>
                <w:rFonts w:hint="eastAsia" w:ascii="宋体" w:hAnsi="宋体" w:cs="宋体"/>
                <w:color w:val="auto"/>
                <w:szCs w:val="21"/>
                <w:highlight w:val="none"/>
              </w:rPr>
              <w:t>产地</w:t>
            </w:r>
          </w:p>
        </w:tc>
      </w:tr>
      <w:tr>
        <w:tblPrEx>
          <w:tblCellMar>
            <w:top w:w="0" w:type="dxa"/>
            <w:left w:w="108" w:type="dxa"/>
            <w:bottom w:w="0" w:type="dxa"/>
            <w:right w:w="108" w:type="dxa"/>
          </w:tblCellMar>
        </w:tblPrEx>
        <w:trPr>
          <w:trHeight w:val="402"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before="50" w:after="50" w:line="360" w:lineRule="exact"/>
              <w:jc w:val="center"/>
              <w:rPr>
                <w:rFonts w:ascii="宋体" w:hAnsi="宋体" w:cs="宋体"/>
                <w:color w:val="auto"/>
                <w:szCs w:val="21"/>
                <w:highlight w:val="none"/>
              </w:rPr>
            </w:pP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spacing w:before="50" w:after="50" w:line="360" w:lineRule="exact"/>
              <w:jc w:val="center"/>
              <w:rPr>
                <w:rFonts w:ascii="宋体" w:hAnsi="宋体" w:cs="宋体"/>
                <w:color w:val="auto"/>
                <w:szCs w:val="21"/>
                <w:highlight w:val="none"/>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spacing w:before="50" w:after="50" w:line="360" w:lineRule="exact"/>
              <w:jc w:val="center"/>
              <w:rPr>
                <w:rFonts w:ascii="宋体" w:hAnsi="宋体" w:cs="宋体"/>
                <w:color w:val="auto"/>
                <w:szCs w:val="21"/>
                <w:highlight w:val="none"/>
              </w:rPr>
            </w:pP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before="50" w:after="50" w:line="360" w:lineRule="exact"/>
              <w:jc w:val="center"/>
              <w:rPr>
                <w:rFonts w:ascii="宋体" w:hAnsi="宋体" w:cs="宋体"/>
                <w:color w:val="auto"/>
                <w:szCs w:val="21"/>
                <w:highlight w:val="none"/>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spacing w:before="50" w:after="50" w:line="360" w:lineRule="exact"/>
              <w:jc w:val="center"/>
              <w:rPr>
                <w:rFonts w:ascii="宋体" w:hAnsi="宋体" w:cs="宋体"/>
                <w:color w:val="auto"/>
                <w:szCs w:val="21"/>
                <w:highlight w:val="none"/>
              </w:rPr>
            </w:pPr>
          </w:p>
        </w:tc>
        <w:tc>
          <w:tcPr>
            <w:tcW w:w="1809" w:type="dxa"/>
            <w:tcBorders>
              <w:top w:val="single" w:color="000000" w:sz="4" w:space="0"/>
              <w:left w:val="single" w:color="000000" w:sz="4" w:space="0"/>
              <w:bottom w:val="single" w:color="000000" w:sz="4" w:space="0"/>
              <w:right w:val="single" w:color="000000" w:sz="4" w:space="0"/>
            </w:tcBorders>
            <w:noWrap w:val="0"/>
            <w:vAlign w:val="center"/>
          </w:tcPr>
          <w:p>
            <w:pPr>
              <w:spacing w:before="50" w:after="50" w:line="360" w:lineRule="exact"/>
              <w:jc w:val="center"/>
              <w:rPr>
                <w:rFonts w:ascii="宋体" w:hAnsi="宋体" w:cs="宋体"/>
                <w:color w:val="auto"/>
                <w:szCs w:val="21"/>
                <w:highlight w:val="none"/>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spacing w:before="50" w:after="50" w:line="360" w:lineRule="exact"/>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554"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before="50" w:after="50" w:line="360" w:lineRule="exact"/>
              <w:jc w:val="center"/>
              <w:rPr>
                <w:rFonts w:ascii="宋体" w:hAnsi="宋体" w:cs="宋体"/>
                <w:color w:val="auto"/>
                <w:szCs w:val="21"/>
                <w:highlight w:val="none"/>
              </w:rPr>
            </w:pP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spacing w:before="50" w:after="50" w:line="360" w:lineRule="exact"/>
              <w:jc w:val="center"/>
              <w:rPr>
                <w:rFonts w:ascii="宋体" w:hAnsi="宋体" w:cs="宋体"/>
                <w:color w:val="auto"/>
                <w:szCs w:val="21"/>
                <w:highlight w:val="none"/>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spacing w:before="50" w:after="50" w:line="360" w:lineRule="exact"/>
              <w:jc w:val="center"/>
              <w:rPr>
                <w:rFonts w:ascii="宋体" w:hAnsi="宋体" w:cs="宋体"/>
                <w:color w:val="auto"/>
                <w:szCs w:val="21"/>
                <w:highlight w:val="none"/>
              </w:rPr>
            </w:pP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before="50" w:after="50" w:line="360" w:lineRule="exact"/>
              <w:jc w:val="center"/>
              <w:rPr>
                <w:rFonts w:ascii="宋体" w:hAnsi="宋体" w:cs="宋体"/>
                <w:color w:val="auto"/>
                <w:szCs w:val="21"/>
                <w:highlight w:val="none"/>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spacing w:before="50" w:after="50" w:line="360" w:lineRule="exact"/>
              <w:jc w:val="center"/>
              <w:rPr>
                <w:rFonts w:ascii="宋体" w:hAnsi="宋体" w:cs="宋体"/>
                <w:color w:val="auto"/>
                <w:szCs w:val="21"/>
                <w:highlight w:val="none"/>
              </w:rPr>
            </w:pPr>
          </w:p>
        </w:tc>
        <w:tc>
          <w:tcPr>
            <w:tcW w:w="1809" w:type="dxa"/>
            <w:tcBorders>
              <w:top w:val="single" w:color="000000" w:sz="4" w:space="0"/>
              <w:left w:val="single" w:color="000000" w:sz="4" w:space="0"/>
              <w:bottom w:val="single" w:color="000000" w:sz="4" w:space="0"/>
              <w:right w:val="single" w:color="000000" w:sz="4" w:space="0"/>
            </w:tcBorders>
            <w:noWrap w:val="0"/>
            <w:vAlign w:val="center"/>
          </w:tcPr>
          <w:p>
            <w:pPr>
              <w:spacing w:before="50" w:after="50" w:line="360" w:lineRule="exact"/>
              <w:jc w:val="center"/>
              <w:rPr>
                <w:rFonts w:ascii="宋体" w:hAnsi="宋体" w:cs="宋体"/>
                <w:color w:val="auto"/>
                <w:szCs w:val="21"/>
                <w:highlight w:val="none"/>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spacing w:before="50" w:after="50" w:line="360" w:lineRule="exact"/>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554"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spacing w:before="50" w:after="50" w:line="360" w:lineRule="exact"/>
              <w:jc w:val="center"/>
              <w:rPr>
                <w:rFonts w:ascii="宋体" w:hAnsi="宋体" w:cs="宋体"/>
                <w:color w:val="auto"/>
                <w:szCs w:val="21"/>
                <w:highlight w:val="none"/>
              </w:rPr>
            </w:pPr>
            <w:r>
              <w:rPr>
                <w:rFonts w:ascii="宋体" w:hAnsi="宋体" w:cs="宋体"/>
                <w:color w:val="auto"/>
                <w:szCs w:val="21"/>
                <w:highlight w:val="none"/>
              </w:rPr>
              <w:t>…</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spacing w:before="50" w:after="50" w:line="360" w:lineRule="exact"/>
              <w:jc w:val="center"/>
              <w:rPr>
                <w:rFonts w:ascii="宋体" w:hAnsi="宋体" w:cs="宋体"/>
                <w:color w:val="auto"/>
                <w:szCs w:val="21"/>
                <w:highlight w:val="none"/>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spacing w:before="50" w:after="50" w:line="360" w:lineRule="exact"/>
              <w:jc w:val="center"/>
              <w:rPr>
                <w:rFonts w:ascii="宋体" w:hAnsi="宋体" w:cs="宋体"/>
                <w:color w:val="auto"/>
                <w:szCs w:val="21"/>
                <w:highlight w:val="none"/>
              </w:rPr>
            </w:pP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pacing w:before="50" w:after="50" w:line="360" w:lineRule="exact"/>
              <w:jc w:val="center"/>
              <w:rPr>
                <w:rFonts w:ascii="宋体" w:hAnsi="宋体" w:cs="宋体"/>
                <w:color w:val="auto"/>
                <w:szCs w:val="21"/>
                <w:highlight w:val="none"/>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spacing w:before="50" w:after="50" w:line="360" w:lineRule="exact"/>
              <w:jc w:val="center"/>
              <w:rPr>
                <w:rFonts w:ascii="宋体" w:hAnsi="宋体" w:cs="宋体"/>
                <w:color w:val="auto"/>
                <w:szCs w:val="21"/>
                <w:highlight w:val="none"/>
              </w:rPr>
            </w:pPr>
          </w:p>
        </w:tc>
        <w:tc>
          <w:tcPr>
            <w:tcW w:w="1809" w:type="dxa"/>
            <w:tcBorders>
              <w:top w:val="single" w:color="000000" w:sz="4" w:space="0"/>
              <w:left w:val="single" w:color="000000" w:sz="4" w:space="0"/>
              <w:bottom w:val="single" w:color="000000" w:sz="4" w:space="0"/>
              <w:right w:val="single" w:color="000000" w:sz="4" w:space="0"/>
            </w:tcBorders>
            <w:noWrap w:val="0"/>
            <w:vAlign w:val="center"/>
          </w:tcPr>
          <w:p>
            <w:pPr>
              <w:spacing w:before="50" w:after="50" w:line="360" w:lineRule="exact"/>
              <w:jc w:val="center"/>
              <w:rPr>
                <w:rFonts w:ascii="宋体" w:hAnsi="宋体" w:cs="宋体"/>
                <w:color w:val="auto"/>
                <w:szCs w:val="21"/>
                <w:highlight w:val="none"/>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spacing w:before="50" w:after="50" w:line="360" w:lineRule="exact"/>
              <w:jc w:val="center"/>
              <w:rPr>
                <w:rFonts w:ascii="宋体" w:hAnsi="宋体" w:cs="宋体"/>
                <w:color w:val="auto"/>
                <w:szCs w:val="21"/>
                <w:highlight w:val="none"/>
              </w:rPr>
            </w:pPr>
          </w:p>
        </w:tc>
      </w:tr>
    </w:tbl>
    <w:p>
      <w:pPr>
        <w:snapToGrid w:val="0"/>
        <w:spacing w:before="50" w:after="50"/>
        <w:rPr>
          <w:rFonts w:ascii="宋体" w:hAnsi="宋体" w:cs="宋体"/>
          <w:color w:val="auto"/>
          <w:spacing w:val="20"/>
          <w:szCs w:val="21"/>
          <w:highlight w:val="none"/>
          <w:u w:val="single"/>
        </w:rPr>
      </w:pPr>
      <w:r>
        <w:rPr>
          <w:rFonts w:hint="eastAsia" w:ascii="宋体" w:hAnsi="宋体" w:cs="宋体"/>
          <w:color w:val="auto"/>
          <w:spacing w:val="20"/>
          <w:szCs w:val="21"/>
          <w:highlight w:val="none"/>
        </w:rPr>
        <w:t>授权代表签名：</w:t>
      </w:r>
    </w:p>
    <w:p>
      <w:pPr>
        <w:snapToGrid w:val="0"/>
        <w:spacing w:before="50" w:after="50"/>
        <w:rPr>
          <w:rFonts w:ascii="宋体" w:hAnsi="宋体" w:cs="宋体"/>
          <w:color w:val="auto"/>
          <w:spacing w:val="20"/>
          <w:szCs w:val="21"/>
          <w:highlight w:val="none"/>
          <w:u w:val="single"/>
        </w:rPr>
      </w:pPr>
    </w:p>
    <w:p>
      <w:pPr>
        <w:snapToGrid w:val="0"/>
        <w:spacing w:before="50" w:after="50"/>
        <w:rPr>
          <w:rFonts w:ascii="宋体" w:hAnsi="宋体" w:cs="宋体"/>
          <w:color w:val="auto"/>
          <w:spacing w:val="20"/>
          <w:szCs w:val="21"/>
          <w:highlight w:val="none"/>
          <w:u w:val="single"/>
        </w:rPr>
      </w:pPr>
      <w:r>
        <w:rPr>
          <w:rFonts w:hint="eastAsia" w:ascii="宋体" w:hAnsi="宋体" w:cs="宋体"/>
          <w:color w:val="auto"/>
          <w:spacing w:val="20"/>
          <w:szCs w:val="21"/>
          <w:highlight w:val="none"/>
        </w:rPr>
        <w:t>投标人盖章：              日 期：</w:t>
      </w:r>
    </w:p>
    <w:p>
      <w:pPr>
        <w:spacing w:before="50" w:after="156" w:line="360" w:lineRule="exact"/>
        <w:jc w:val="left"/>
        <w:rPr>
          <w:rFonts w:ascii="宋体" w:hAnsi="宋体" w:cs="宋体"/>
          <w:color w:val="auto"/>
          <w:szCs w:val="21"/>
          <w:highlight w:val="none"/>
        </w:rPr>
      </w:pPr>
      <w:r>
        <w:rPr>
          <w:rFonts w:ascii="宋体" w:hAnsi="宋体" w:cs="宋体"/>
          <w:color w:val="auto"/>
          <w:szCs w:val="21"/>
          <w:highlight w:val="none"/>
        </w:rPr>
        <w:t>非招标文件必须要求时可附：①原厂出厂配置表及原厂中文使用说明书（格式自拟）</w:t>
      </w:r>
    </w:p>
    <w:p>
      <w:pPr>
        <w:spacing w:before="50" w:after="156" w:line="360" w:lineRule="exact"/>
        <w:ind w:firstLine="2730"/>
        <w:jc w:val="left"/>
        <w:rPr>
          <w:rFonts w:ascii="宋体" w:hAnsi="宋体" w:cs="宋体"/>
          <w:color w:val="auto"/>
          <w:szCs w:val="21"/>
          <w:highlight w:val="none"/>
        </w:rPr>
      </w:pPr>
      <w:r>
        <w:rPr>
          <w:rFonts w:ascii="宋体" w:hAnsi="宋体" w:cs="宋体"/>
          <w:color w:val="auto"/>
          <w:szCs w:val="21"/>
          <w:highlight w:val="none"/>
        </w:rPr>
        <w:t>②产品出厂标准、质量检测报告及精度检测报告或数据（格式自拟）</w:t>
      </w:r>
    </w:p>
    <w:p>
      <w:pPr>
        <w:pStyle w:val="22"/>
        <w:adjustRightInd w:val="0"/>
        <w:snapToGrid w:val="0"/>
        <w:jc w:val="center"/>
        <w:rPr>
          <w:rFonts w:hint="eastAsia"/>
          <w:color w:val="auto"/>
          <w:highlight w:val="none"/>
          <w:u w:val="single"/>
        </w:rPr>
      </w:pPr>
    </w:p>
    <w:p>
      <w:pPr>
        <w:pStyle w:val="22"/>
        <w:adjustRightInd w:val="0"/>
        <w:snapToGrid w:val="0"/>
        <w:jc w:val="center"/>
        <w:rPr>
          <w:rFonts w:hint="eastAsia"/>
          <w:color w:val="auto"/>
          <w:highlight w:val="none"/>
          <w:u w:val="single"/>
        </w:rPr>
      </w:pPr>
    </w:p>
    <w:p>
      <w:pPr>
        <w:pStyle w:val="22"/>
        <w:adjustRightInd w:val="0"/>
        <w:snapToGrid w:val="0"/>
        <w:jc w:val="center"/>
        <w:rPr>
          <w:rFonts w:hint="eastAsia"/>
          <w:color w:val="auto"/>
          <w:highlight w:val="none"/>
          <w:u w:val="single"/>
        </w:rPr>
      </w:pPr>
    </w:p>
    <w:p>
      <w:pPr>
        <w:pStyle w:val="22"/>
        <w:adjustRightInd w:val="0"/>
        <w:snapToGrid w:val="0"/>
        <w:jc w:val="center"/>
        <w:rPr>
          <w:rFonts w:hint="eastAsia"/>
          <w:color w:val="auto"/>
          <w:highlight w:val="none"/>
          <w:u w:val="single"/>
        </w:rPr>
      </w:pPr>
    </w:p>
    <w:p>
      <w:pPr>
        <w:pStyle w:val="22"/>
        <w:adjustRightInd w:val="0"/>
        <w:snapToGrid w:val="0"/>
        <w:jc w:val="center"/>
        <w:rPr>
          <w:rFonts w:hint="eastAsia"/>
          <w:color w:val="auto"/>
          <w:highlight w:val="none"/>
          <w:u w:val="single"/>
        </w:rPr>
      </w:pPr>
    </w:p>
    <w:p>
      <w:pPr>
        <w:pStyle w:val="22"/>
        <w:adjustRightInd w:val="0"/>
        <w:snapToGrid w:val="0"/>
        <w:jc w:val="center"/>
        <w:rPr>
          <w:rFonts w:hint="eastAsia"/>
          <w:color w:val="auto"/>
          <w:highlight w:val="none"/>
          <w:u w:val="single"/>
        </w:rPr>
      </w:pPr>
    </w:p>
    <w:p>
      <w:pPr>
        <w:pStyle w:val="22"/>
        <w:adjustRightInd w:val="0"/>
        <w:snapToGrid w:val="0"/>
        <w:jc w:val="center"/>
        <w:rPr>
          <w:rFonts w:hint="eastAsia"/>
          <w:color w:val="auto"/>
          <w:highlight w:val="none"/>
          <w:u w:val="single"/>
        </w:rPr>
      </w:pPr>
    </w:p>
    <w:p>
      <w:pPr>
        <w:pStyle w:val="22"/>
        <w:adjustRightInd w:val="0"/>
        <w:snapToGrid w:val="0"/>
        <w:jc w:val="center"/>
        <w:rPr>
          <w:rFonts w:hint="eastAsia"/>
          <w:color w:val="auto"/>
          <w:highlight w:val="none"/>
          <w:u w:val="single"/>
        </w:rPr>
      </w:pPr>
    </w:p>
    <w:p>
      <w:pPr>
        <w:pStyle w:val="22"/>
        <w:adjustRightInd w:val="0"/>
        <w:snapToGrid w:val="0"/>
        <w:jc w:val="center"/>
        <w:rPr>
          <w:rFonts w:hint="eastAsia"/>
          <w:color w:val="auto"/>
          <w:highlight w:val="none"/>
          <w:u w:val="single"/>
        </w:rPr>
      </w:pPr>
    </w:p>
    <w:p>
      <w:pPr>
        <w:pStyle w:val="22"/>
        <w:adjustRightInd w:val="0"/>
        <w:snapToGrid w:val="0"/>
        <w:jc w:val="center"/>
        <w:rPr>
          <w:rFonts w:hint="eastAsia"/>
          <w:color w:val="auto"/>
          <w:highlight w:val="none"/>
          <w:u w:val="single"/>
        </w:rPr>
      </w:pPr>
    </w:p>
    <w:p>
      <w:pPr>
        <w:pStyle w:val="22"/>
        <w:adjustRightInd w:val="0"/>
        <w:snapToGrid w:val="0"/>
        <w:jc w:val="center"/>
        <w:rPr>
          <w:rFonts w:hint="eastAsia"/>
          <w:color w:val="auto"/>
          <w:highlight w:val="none"/>
          <w:u w:val="single"/>
        </w:rPr>
      </w:pPr>
    </w:p>
    <w:p>
      <w:pPr>
        <w:pStyle w:val="22"/>
        <w:adjustRightInd w:val="0"/>
        <w:snapToGrid w:val="0"/>
        <w:jc w:val="center"/>
        <w:rPr>
          <w:rFonts w:hint="eastAsia"/>
          <w:color w:val="auto"/>
          <w:highlight w:val="none"/>
          <w:u w:val="single"/>
        </w:rPr>
      </w:pPr>
    </w:p>
    <w:p>
      <w:pPr>
        <w:pStyle w:val="22"/>
        <w:adjustRightInd w:val="0"/>
        <w:snapToGrid w:val="0"/>
        <w:jc w:val="center"/>
        <w:rPr>
          <w:rFonts w:hint="eastAsia"/>
          <w:color w:val="auto"/>
          <w:highlight w:val="none"/>
          <w:u w:val="single"/>
        </w:rPr>
      </w:pPr>
    </w:p>
    <w:p>
      <w:pPr>
        <w:pStyle w:val="22"/>
        <w:adjustRightInd w:val="0"/>
        <w:snapToGrid w:val="0"/>
        <w:jc w:val="center"/>
        <w:rPr>
          <w:rFonts w:hint="eastAsia"/>
          <w:color w:val="auto"/>
          <w:highlight w:val="none"/>
          <w:u w:val="single"/>
        </w:rPr>
      </w:pPr>
    </w:p>
    <w:p>
      <w:pPr>
        <w:pStyle w:val="22"/>
        <w:adjustRightInd w:val="0"/>
        <w:snapToGrid w:val="0"/>
        <w:jc w:val="center"/>
        <w:rPr>
          <w:rFonts w:hint="eastAsia"/>
          <w:color w:val="auto"/>
          <w:highlight w:val="none"/>
          <w:u w:val="single"/>
        </w:rPr>
      </w:pPr>
    </w:p>
    <w:p>
      <w:pPr>
        <w:pStyle w:val="22"/>
        <w:adjustRightInd w:val="0"/>
        <w:snapToGrid w:val="0"/>
        <w:jc w:val="center"/>
        <w:rPr>
          <w:rFonts w:hint="eastAsia"/>
          <w:color w:val="auto"/>
          <w:highlight w:val="none"/>
          <w:u w:val="single"/>
        </w:rPr>
      </w:pPr>
    </w:p>
    <w:p>
      <w:pPr>
        <w:pStyle w:val="22"/>
        <w:adjustRightInd w:val="0"/>
        <w:snapToGrid w:val="0"/>
        <w:jc w:val="center"/>
        <w:rPr>
          <w:rFonts w:hint="eastAsia"/>
          <w:color w:val="auto"/>
          <w:highlight w:val="none"/>
          <w:u w:val="single"/>
        </w:rPr>
      </w:pPr>
    </w:p>
    <w:p>
      <w:pPr>
        <w:pStyle w:val="22"/>
        <w:adjustRightInd w:val="0"/>
        <w:snapToGrid w:val="0"/>
        <w:jc w:val="center"/>
        <w:rPr>
          <w:rFonts w:hint="eastAsia"/>
          <w:color w:val="auto"/>
          <w:highlight w:val="none"/>
          <w:u w:val="single"/>
        </w:rPr>
      </w:pPr>
    </w:p>
    <w:p>
      <w:pPr>
        <w:pStyle w:val="22"/>
        <w:adjustRightInd w:val="0"/>
        <w:snapToGrid w:val="0"/>
        <w:jc w:val="center"/>
        <w:rPr>
          <w:rFonts w:hint="eastAsia"/>
          <w:color w:val="auto"/>
          <w:highlight w:val="none"/>
          <w:u w:val="single"/>
        </w:rPr>
      </w:pPr>
    </w:p>
    <w:p>
      <w:pPr>
        <w:pStyle w:val="22"/>
        <w:adjustRightInd w:val="0"/>
        <w:snapToGrid w:val="0"/>
        <w:jc w:val="center"/>
        <w:rPr>
          <w:rFonts w:hint="eastAsia"/>
          <w:color w:val="auto"/>
          <w:highlight w:val="none"/>
          <w:u w:val="single"/>
        </w:rPr>
      </w:pPr>
    </w:p>
    <w:p>
      <w:pPr>
        <w:pStyle w:val="22"/>
        <w:adjustRightInd w:val="0"/>
        <w:snapToGrid w:val="0"/>
        <w:jc w:val="center"/>
        <w:rPr>
          <w:rFonts w:hint="eastAsia"/>
          <w:color w:val="auto"/>
          <w:highlight w:val="none"/>
          <w:u w:val="single"/>
        </w:rPr>
      </w:pPr>
    </w:p>
    <w:p>
      <w:pPr>
        <w:pStyle w:val="22"/>
        <w:adjustRightInd w:val="0"/>
        <w:snapToGrid w:val="0"/>
        <w:jc w:val="center"/>
        <w:rPr>
          <w:rFonts w:hint="eastAsia"/>
          <w:color w:val="auto"/>
          <w:highlight w:val="none"/>
          <w:u w:val="single"/>
        </w:rPr>
      </w:pPr>
    </w:p>
    <w:p>
      <w:pPr>
        <w:pStyle w:val="22"/>
        <w:adjustRightInd w:val="0"/>
        <w:snapToGrid w:val="0"/>
        <w:jc w:val="center"/>
        <w:rPr>
          <w:rFonts w:hint="eastAsia"/>
          <w:color w:val="auto"/>
          <w:highlight w:val="none"/>
          <w:u w:val="single"/>
        </w:rPr>
      </w:pPr>
    </w:p>
    <w:p>
      <w:pPr>
        <w:pStyle w:val="22"/>
        <w:adjustRightInd w:val="0"/>
        <w:snapToGrid w:val="0"/>
        <w:rPr>
          <w:rFonts w:hint="eastAsia"/>
          <w:color w:val="auto"/>
          <w:highlight w:val="none"/>
          <w:u w:val="single"/>
        </w:rPr>
      </w:pPr>
    </w:p>
    <w:p>
      <w:pPr>
        <w:spacing w:line="600" w:lineRule="exact"/>
        <w:rPr>
          <w:rFonts w:hint="eastAsia" w:ascii="方正宋黑简体" w:hAnsi="Courier New" w:eastAsia="方正宋黑简体" w:cs="Courier New"/>
          <w:b/>
          <w:color w:val="auto"/>
          <w:szCs w:val="21"/>
          <w:highlight w:val="none"/>
        </w:rPr>
      </w:pPr>
      <w:r>
        <w:rPr>
          <w:rFonts w:hAnsi="宋体"/>
          <w:b/>
          <w:bCs/>
          <w:color w:val="auto"/>
          <w:sz w:val="32"/>
          <w:highlight w:val="none"/>
        </w:rPr>
        <w:br w:type="page"/>
      </w:r>
      <w:r>
        <w:rPr>
          <w:rFonts w:hint="eastAsia" w:ascii="方正宋黑简体" w:hAnsi="Courier New" w:eastAsia="方正宋黑简体" w:cs="Courier New"/>
          <w:b/>
          <w:color w:val="auto"/>
          <w:szCs w:val="21"/>
          <w:highlight w:val="none"/>
        </w:rPr>
        <w:t>附件7</w:t>
      </w:r>
    </w:p>
    <w:p>
      <w:pPr>
        <w:spacing w:before="50" w:after="156" w:line="360" w:lineRule="exact"/>
        <w:ind w:left="517" w:hanging="517"/>
        <w:jc w:val="center"/>
        <w:rPr>
          <w:rFonts w:ascii="宋体" w:hAnsi="宋体" w:cs="宋体"/>
          <w:b/>
          <w:color w:val="auto"/>
          <w:szCs w:val="21"/>
          <w:highlight w:val="none"/>
        </w:rPr>
      </w:pPr>
      <w:r>
        <w:rPr>
          <w:rFonts w:ascii="宋体" w:hAnsi="宋体" w:cs="宋体"/>
          <w:b/>
          <w:color w:val="auto"/>
          <w:highlight w:val="none"/>
        </w:rPr>
        <w:t>施工方案</w:t>
      </w:r>
    </w:p>
    <w:p>
      <w:pPr>
        <w:spacing w:before="50" w:after="156" w:line="360" w:lineRule="exact"/>
        <w:ind w:left="517" w:hanging="517"/>
        <w:jc w:val="center"/>
        <w:rPr>
          <w:rFonts w:ascii="宋体" w:hAnsi="宋体" w:cs="宋体"/>
          <w:b/>
          <w:color w:val="auto"/>
          <w:szCs w:val="21"/>
          <w:highlight w:val="none"/>
        </w:rPr>
      </w:pPr>
      <w:r>
        <w:rPr>
          <w:rFonts w:hint="eastAsia" w:ascii="宋体" w:hAnsi="宋体" w:cs="宋体"/>
          <w:b/>
          <w:color w:val="auto"/>
          <w:szCs w:val="21"/>
          <w:highlight w:val="none"/>
        </w:rPr>
        <w:t>（供应商根据招标文件要求并结合自身情况自行填写）</w:t>
      </w:r>
    </w:p>
    <w:p>
      <w:pPr>
        <w:adjustRightInd w:val="0"/>
        <w:snapToGrid w:val="0"/>
        <w:spacing w:line="600" w:lineRule="exact"/>
        <w:jc w:val="center"/>
        <w:rPr>
          <w:rFonts w:hint="eastAsia" w:ascii="方正小标宋简体" w:hAnsi="宋体" w:eastAsia="方正小标宋简体" w:cs="Courier New"/>
          <w:color w:val="auto"/>
          <w:sz w:val="30"/>
          <w:szCs w:val="30"/>
          <w:highlight w:val="none"/>
        </w:rPr>
      </w:pPr>
    </w:p>
    <w:p>
      <w:pPr>
        <w:adjustRightInd w:val="0"/>
        <w:snapToGrid w:val="0"/>
        <w:spacing w:line="600" w:lineRule="exact"/>
        <w:jc w:val="center"/>
        <w:rPr>
          <w:rFonts w:hint="eastAsia" w:ascii="方正小标宋简体" w:hAnsi="宋体" w:eastAsia="方正小标宋简体" w:cs="Courier New"/>
          <w:color w:val="auto"/>
          <w:sz w:val="30"/>
          <w:szCs w:val="30"/>
          <w:highlight w:val="none"/>
        </w:rPr>
      </w:pPr>
    </w:p>
    <w:p>
      <w:pPr>
        <w:adjustRightInd w:val="0"/>
        <w:snapToGrid w:val="0"/>
        <w:spacing w:line="600" w:lineRule="exact"/>
        <w:jc w:val="center"/>
        <w:rPr>
          <w:rFonts w:hint="eastAsia" w:ascii="方正小标宋简体" w:hAnsi="宋体" w:eastAsia="方正小标宋简体" w:cs="Courier New"/>
          <w:color w:val="auto"/>
          <w:sz w:val="30"/>
          <w:szCs w:val="30"/>
          <w:highlight w:val="none"/>
        </w:rPr>
      </w:pPr>
    </w:p>
    <w:p>
      <w:pPr>
        <w:adjustRightInd w:val="0"/>
        <w:snapToGrid w:val="0"/>
        <w:spacing w:line="600" w:lineRule="exact"/>
        <w:jc w:val="center"/>
        <w:rPr>
          <w:rFonts w:hint="eastAsia" w:ascii="方正小标宋简体" w:hAnsi="宋体" w:eastAsia="方正小标宋简体" w:cs="Courier New"/>
          <w:color w:val="auto"/>
          <w:sz w:val="30"/>
          <w:szCs w:val="30"/>
          <w:highlight w:val="none"/>
        </w:rPr>
      </w:pPr>
    </w:p>
    <w:p>
      <w:pPr>
        <w:adjustRightInd w:val="0"/>
        <w:snapToGrid w:val="0"/>
        <w:spacing w:line="600" w:lineRule="exact"/>
        <w:jc w:val="center"/>
        <w:rPr>
          <w:rFonts w:hint="eastAsia" w:ascii="方正小标宋简体" w:hAnsi="宋体" w:eastAsia="方正小标宋简体" w:cs="Courier New"/>
          <w:color w:val="auto"/>
          <w:sz w:val="30"/>
          <w:szCs w:val="30"/>
          <w:highlight w:val="none"/>
        </w:rPr>
      </w:pPr>
    </w:p>
    <w:p>
      <w:pPr>
        <w:adjustRightInd w:val="0"/>
        <w:snapToGrid w:val="0"/>
        <w:spacing w:line="600" w:lineRule="exact"/>
        <w:jc w:val="center"/>
        <w:rPr>
          <w:rFonts w:hint="eastAsia" w:ascii="方正小标宋简体" w:hAnsi="宋体" w:eastAsia="方正小标宋简体" w:cs="Courier New"/>
          <w:color w:val="auto"/>
          <w:sz w:val="30"/>
          <w:szCs w:val="30"/>
          <w:highlight w:val="none"/>
        </w:rPr>
      </w:pPr>
    </w:p>
    <w:p>
      <w:pPr>
        <w:adjustRightInd w:val="0"/>
        <w:snapToGrid w:val="0"/>
        <w:spacing w:line="600" w:lineRule="exact"/>
        <w:jc w:val="center"/>
        <w:rPr>
          <w:rFonts w:hint="eastAsia" w:ascii="方正小标宋简体" w:hAnsi="宋体" w:eastAsia="方正小标宋简体" w:cs="Courier New"/>
          <w:color w:val="auto"/>
          <w:sz w:val="30"/>
          <w:szCs w:val="30"/>
          <w:highlight w:val="none"/>
        </w:rPr>
      </w:pPr>
    </w:p>
    <w:p>
      <w:pPr>
        <w:adjustRightInd w:val="0"/>
        <w:snapToGrid w:val="0"/>
        <w:spacing w:line="600" w:lineRule="exact"/>
        <w:jc w:val="center"/>
        <w:rPr>
          <w:rFonts w:hint="eastAsia" w:ascii="方正小标宋简体" w:hAnsi="宋体" w:eastAsia="方正小标宋简体" w:cs="Courier New"/>
          <w:color w:val="auto"/>
          <w:sz w:val="30"/>
          <w:szCs w:val="30"/>
          <w:highlight w:val="none"/>
        </w:rPr>
      </w:pPr>
    </w:p>
    <w:p>
      <w:pPr>
        <w:adjustRightInd w:val="0"/>
        <w:snapToGrid w:val="0"/>
        <w:spacing w:line="600" w:lineRule="exact"/>
        <w:jc w:val="center"/>
        <w:rPr>
          <w:rFonts w:hint="eastAsia" w:ascii="方正小标宋简体" w:hAnsi="宋体" w:eastAsia="方正小标宋简体" w:cs="Courier New"/>
          <w:color w:val="auto"/>
          <w:sz w:val="30"/>
          <w:szCs w:val="30"/>
          <w:highlight w:val="none"/>
        </w:rPr>
      </w:pPr>
    </w:p>
    <w:p>
      <w:pPr>
        <w:adjustRightInd w:val="0"/>
        <w:snapToGrid w:val="0"/>
        <w:spacing w:line="600" w:lineRule="exact"/>
        <w:jc w:val="center"/>
        <w:rPr>
          <w:rFonts w:hint="eastAsia" w:ascii="方正小标宋简体" w:hAnsi="宋体" w:eastAsia="方正小标宋简体" w:cs="Courier New"/>
          <w:color w:val="auto"/>
          <w:sz w:val="30"/>
          <w:szCs w:val="30"/>
          <w:highlight w:val="none"/>
        </w:rPr>
      </w:pPr>
    </w:p>
    <w:p>
      <w:pPr>
        <w:adjustRightInd w:val="0"/>
        <w:snapToGrid w:val="0"/>
        <w:spacing w:line="600" w:lineRule="exact"/>
        <w:jc w:val="center"/>
        <w:rPr>
          <w:rFonts w:hint="eastAsia" w:ascii="方正小标宋简体" w:hAnsi="宋体" w:eastAsia="方正小标宋简体" w:cs="Courier New"/>
          <w:color w:val="auto"/>
          <w:sz w:val="30"/>
          <w:szCs w:val="30"/>
          <w:highlight w:val="none"/>
        </w:rPr>
      </w:pPr>
    </w:p>
    <w:p>
      <w:pPr>
        <w:adjustRightInd w:val="0"/>
        <w:snapToGrid w:val="0"/>
        <w:spacing w:line="600" w:lineRule="exact"/>
        <w:jc w:val="center"/>
        <w:rPr>
          <w:rFonts w:hint="eastAsia" w:ascii="方正小标宋简体" w:hAnsi="宋体" w:eastAsia="方正小标宋简体" w:cs="Courier New"/>
          <w:color w:val="auto"/>
          <w:sz w:val="30"/>
          <w:szCs w:val="30"/>
          <w:highlight w:val="none"/>
        </w:rPr>
      </w:pPr>
    </w:p>
    <w:p>
      <w:pPr>
        <w:adjustRightInd w:val="0"/>
        <w:snapToGrid w:val="0"/>
        <w:spacing w:line="600" w:lineRule="exact"/>
        <w:jc w:val="center"/>
        <w:rPr>
          <w:rFonts w:hint="eastAsia" w:ascii="方正小标宋简体" w:hAnsi="宋体" w:eastAsia="方正小标宋简体" w:cs="Courier New"/>
          <w:color w:val="auto"/>
          <w:sz w:val="30"/>
          <w:szCs w:val="30"/>
          <w:highlight w:val="none"/>
        </w:rPr>
      </w:pPr>
    </w:p>
    <w:p>
      <w:pPr>
        <w:adjustRightInd w:val="0"/>
        <w:snapToGrid w:val="0"/>
        <w:spacing w:line="600" w:lineRule="exact"/>
        <w:jc w:val="center"/>
        <w:rPr>
          <w:rFonts w:hint="eastAsia" w:ascii="方正小标宋简体" w:hAnsi="宋体" w:eastAsia="方正小标宋简体" w:cs="Courier New"/>
          <w:color w:val="auto"/>
          <w:sz w:val="30"/>
          <w:szCs w:val="30"/>
          <w:highlight w:val="none"/>
        </w:rPr>
      </w:pPr>
    </w:p>
    <w:p>
      <w:pPr>
        <w:adjustRightInd w:val="0"/>
        <w:snapToGrid w:val="0"/>
        <w:spacing w:line="600" w:lineRule="exact"/>
        <w:jc w:val="center"/>
        <w:rPr>
          <w:rFonts w:hint="eastAsia" w:ascii="方正小标宋简体" w:hAnsi="宋体" w:eastAsia="方正小标宋简体" w:cs="Courier New"/>
          <w:color w:val="auto"/>
          <w:sz w:val="30"/>
          <w:szCs w:val="30"/>
          <w:highlight w:val="none"/>
        </w:rPr>
      </w:pPr>
    </w:p>
    <w:p>
      <w:pPr>
        <w:adjustRightInd w:val="0"/>
        <w:snapToGrid w:val="0"/>
        <w:spacing w:line="600" w:lineRule="exact"/>
        <w:jc w:val="center"/>
        <w:rPr>
          <w:rFonts w:hint="eastAsia" w:ascii="方正小标宋简体" w:hAnsi="宋体" w:eastAsia="方正小标宋简体" w:cs="Courier New"/>
          <w:color w:val="auto"/>
          <w:sz w:val="30"/>
          <w:szCs w:val="30"/>
          <w:highlight w:val="none"/>
        </w:rPr>
      </w:pPr>
    </w:p>
    <w:p>
      <w:pPr>
        <w:adjustRightInd w:val="0"/>
        <w:snapToGrid w:val="0"/>
        <w:spacing w:line="600" w:lineRule="exact"/>
        <w:jc w:val="center"/>
        <w:rPr>
          <w:rFonts w:hint="eastAsia" w:ascii="方正小标宋简体" w:hAnsi="宋体" w:eastAsia="方正小标宋简体" w:cs="Courier New"/>
          <w:color w:val="auto"/>
          <w:sz w:val="30"/>
          <w:szCs w:val="30"/>
          <w:highlight w:val="none"/>
        </w:rPr>
      </w:pPr>
    </w:p>
    <w:p>
      <w:pPr>
        <w:adjustRightInd w:val="0"/>
        <w:snapToGrid w:val="0"/>
        <w:spacing w:line="600" w:lineRule="exact"/>
        <w:jc w:val="center"/>
        <w:rPr>
          <w:rFonts w:hint="eastAsia" w:ascii="方正小标宋简体" w:hAnsi="宋体" w:eastAsia="方正小标宋简体" w:cs="Courier New"/>
          <w:color w:val="auto"/>
          <w:sz w:val="30"/>
          <w:szCs w:val="30"/>
          <w:highlight w:val="none"/>
        </w:rPr>
      </w:pPr>
    </w:p>
    <w:p>
      <w:pPr>
        <w:adjustRightInd w:val="0"/>
        <w:snapToGrid w:val="0"/>
        <w:spacing w:line="600" w:lineRule="exact"/>
        <w:jc w:val="center"/>
        <w:rPr>
          <w:rFonts w:hint="eastAsia" w:ascii="方正小标宋简体" w:hAnsi="宋体" w:eastAsia="方正小标宋简体" w:cs="Courier New"/>
          <w:color w:val="auto"/>
          <w:sz w:val="30"/>
          <w:szCs w:val="30"/>
          <w:highlight w:val="none"/>
        </w:rPr>
      </w:pPr>
    </w:p>
    <w:p>
      <w:pPr>
        <w:adjustRightInd w:val="0"/>
        <w:snapToGrid w:val="0"/>
        <w:spacing w:line="600" w:lineRule="exact"/>
        <w:jc w:val="center"/>
        <w:rPr>
          <w:rFonts w:hint="eastAsia" w:ascii="方正小标宋简体" w:hAnsi="宋体" w:eastAsia="方正小标宋简体" w:cs="Courier New"/>
          <w:color w:val="auto"/>
          <w:sz w:val="30"/>
          <w:szCs w:val="30"/>
          <w:highlight w:val="none"/>
        </w:rPr>
      </w:pPr>
    </w:p>
    <w:p>
      <w:pPr>
        <w:adjustRightInd w:val="0"/>
        <w:snapToGrid w:val="0"/>
        <w:spacing w:line="600" w:lineRule="exact"/>
        <w:jc w:val="center"/>
        <w:rPr>
          <w:rFonts w:hint="eastAsia" w:ascii="方正小标宋简体" w:hAnsi="宋体" w:eastAsia="方正小标宋简体" w:cs="Courier New"/>
          <w:color w:val="auto"/>
          <w:sz w:val="30"/>
          <w:szCs w:val="30"/>
          <w:highlight w:val="none"/>
        </w:rPr>
      </w:pPr>
    </w:p>
    <w:p>
      <w:pPr>
        <w:pStyle w:val="3"/>
        <w:rPr>
          <w:rFonts w:hint="eastAsia"/>
          <w:color w:val="auto"/>
          <w:highlight w:val="none"/>
        </w:rPr>
      </w:pPr>
    </w:p>
    <w:p>
      <w:pPr>
        <w:spacing w:line="600" w:lineRule="exact"/>
        <w:rPr>
          <w:rFonts w:hint="eastAsia" w:ascii="方正宋黑简体" w:hAnsi="宋体" w:eastAsia="方正宋黑简体"/>
          <w:b/>
          <w:color w:val="auto"/>
          <w:szCs w:val="21"/>
          <w:highlight w:val="none"/>
        </w:rPr>
      </w:pPr>
      <w:r>
        <w:rPr>
          <w:rFonts w:hint="eastAsia" w:ascii="方正宋黑简体" w:hAnsi="宋体" w:eastAsia="方正宋黑简体"/>
          <w:b/>
          <w:color w:val="auto"/>
          <w:szCs w:val="21"/>
          <w:highlight w:val="none"/>
        </w:rPr>
        <w:t>附件8</w:t>
      </w:r>
    </w:p>
    <w:p>
      <w:pPr>
        <w:adjustRightInd w:val="0"/>
        <w:snapToGrid w:val="0"/>
        <w:spacing w:line="600" w:lineRule="exact"/>
        <w:jc w:val="center"/>
        <w:rPr>
          <w:rFonts w:hint="eastAsia" w:ascii="方正小标宋简体" w:hAnsi="宋体" w:eastAsia="方正小标宋简体" w:cs="Courier New"/>
          <w:color w:val="auto"/>
          <w:sz w:val="30"/>
          <w:szCs w:val="30"/>
          <w:highlight w:val="none"/>
        </w:rPr>
      </w:pPr>
    </w:p>
    <w:p>
      <w:pPr>
        <w:adjustRightInd w:val="0"/>
        <w:snapToGrid w:val="0"/>
        <w:spacing w:line="600" w:lineRule="exact"/>
        <w:jc w:val="center"/>
        <w:rPr>
          <w:rFonts w:hint="eastAsia" w:ascii="方正小标宋简体" w:hAnsi="宋体" w:eastAsia="方正小标宋简体" w:cs="Courier New"/>
          <w:color w:val="auto"/>
          <w:sz w:val="30"/>
          <w:szCs w:val="30"/>
          <w:highlight w:val="none"/>
        </w:rPr>
      </w:pPr>
      <w:r>
        <w:rPr>
          <w:rFonts w:hint="eastAsia" w:ascii="方正小标宋简体" w:hAnsi="宋体" w:eastAsia="方正小标宋简体" w:cs="Courier New"/>
          <w:color w:val="auto"/>
          <w:sz w:val="30"/>
          <w:szCs w:val="30"/>
          <w:highlight w:val="none"/>
        </w:rPr>
        <w:t>谈判保证金缴纳证明</w:t>
      </w:r>
    </w:p>
    <w:p>
      <w:pPr>
        <w:pStyle w:val="22"/>
        <w:spacing w:line="360" w:lineRule="auto"/>
        <w:ind w:firstLine="420" w:firstLineChars="200"/>
        <w:rPr>
          <w:color w:val="auto"/>
          <w:highlight w:val="none"/>
        </w:rPr>
      </w:pPr>
    </w:p>
    <w:p>
      <w:pPr>
        <w:pStyle w:val="22"/>
        <w:spacing w:line="360" w:lineRule="auto"/>
        <w:ind w:firstLine="829" w:firstLineChars="395"/>
        <w:rPr>
          <w:color w:val="auto"/>
          <w:highlight w:val="none"/>
        </w:rPr>
      </w:pPr>
      <w:r>
        <w:rPr>
          <w:rFonts w:hint="eastAsia"/>
          <w:color w:val="auto"/>
          <w:highlight w:val="none"/>
        </w:rPr>
        <w:t>我方参加</w:t>
      </w:r>
      <w:r>
        <w:rPr>
          <w:rFonts w:hint="eastAsia"/>
          <w:color w:val="auto"/>
          <w:highlight w:val="none"/>
          <w:u w:val="single"/>
        </w:rPr>
        <w:t>（项目名称及编号）　　　　　　</w:t>
      </w:r>
      <w:r>
        <w:rPr>
          <w:rFonts w:hint="eastAsia"/>
          <w:color w:val="auto"/>
          <w:highlight w:val="none"/>
        </w:rPr>
        <w:t>的投标，缴纳谈判保证金人民币（大写）    元整（￥       元），若我方中标，同意你方将该谈判保证金转为履约保证金，若不中标，请贵方在退付谈判保证金时转入以下对公账户：</w:t>
      </w:r>
    </w:p>
    <w:p>
      <w:pPr>
        <w:pStyle w:val="22"/>
        <w:spacing w:line="360" w:lineRule="auto"/>
        <w:ind w:firstLine="840" w:firstLineChars="400"/>
        <w:rPr>
          <w:color w:val="auto"/>
          <w:highlight w:val="none"/>
          <w:u w:val="single"/>
        </w:rPr>
      </w:pPr>
      <w:r>
        <w:rPr>
          <w:rFonts w:hint="eastAsia"/>
          <w:color w:val="auto"/>
          <w:highlight w:val="none"/>
        </w:rPr>
        <w:t>开户名称：</w:t>
      </w:r>
      <w:r>
        <w:rPr>
          <w:rFonts w:hint="eastAsia"/>
          <w:color w:val="auto"/>
          <w:highlight w:val="none"/>
          <w:u w:val="single"/>
        </w:rPr>
        <w:t xml:space="preserve">                    </w:t>
      </w:r>
    </w:p>
    <w:p>
      <w:pPr>
        <w:pStyle w:val="22"/>
        <w:spacing w:line="360" w:lineRule="auto"/>
        <w:ind w:firstLine="840" w:firstLineChars="400"/>
        <w:rPr>
          <w:color w:val="auto"/>
          <w:highlight w:val="none"/>
          <w:u w:val="single"/>
        </w:rPr>
      </w:pPr>
      <w:r>
        <w:rPr>
          <w:rFonts w:hint="eastAsia"/>
          <w:color w:val="auto"/>
          <w:highlight w:val="none"/>
        </w:rPr>
        <w:t>开户银行：</w:t>
      </w:r>
      <w:r>
        <w:rPr>
          <w:rFonts w:hint="eastAsia"/>
          <w:color w:val="auto"/>
          <w:highlight w:val="none"/>
          <w:u w:val="single"/>
        </w:rPr>
        <w:t xml:space="preserve">                    </w:t>
      </w:r>
    </w:p>
    <w:p>
      <w:pPr>
        <w:pStyle w:val="22"/>
        <w:spacing w:line="360" w:lineRule="auto"/>
        <w:ind w:firstLine="840" w:firstLineChars="400"/>
        <w:rPr>
          <w:color w:val="auto"/>
          <w:highlight w:val="none"/>
          <w:u w:val="single"/>
        </w:rPr>
      </w:pPr>
      <w:r>
        <w:rPr>
          <w:rFonts w:hint="eastAsia"/>
          <w:color w:val="auto"/>
          <w:highlight w:val="none"/>
        </w:rPr>
        <w:t>银行账号：</w:t>
      </w:r>
      <w:r>
        <w:rPr>
          <w:rFonts w:hint="eastAsia"/>
          <w:color w:val="auto"/>
          <w:highlight w:val="none"/>
          <w:u w:val="single"/>
        </w:rPr>
        <w:t xml:space="preserve">                    </w:t>
      </w:r>
    </w:p>
    <w:p>
      <w:pPr>
        <w:pStyle w:val="22"/>
        <w:spacing w:line="360" w:lineRule="auto"/>
        <w:ind w:firstLine="829" w:firstLineChars="395"/>
        <w:rPr>
          <w:color w:val="auto"/>
          <w:highlight w:val="none"/>
        </w:rPr>
      </w:pPr>
      <w:r>
        <w:rPr>
          <w:rFonts w:hint="eastAsia"/>
          <w:color w:val="auto"/>
          <w:highlight w:val="none"/>
        </w:rPr>
        <w:t>通讯地址：</w:t>
      </w:r>
    </w:p>
    <w:p>
      <w:pPr>
        <w:pStyle w:val="22"/>
        <w:spacing w:line="360" w:lineRule="auto"/>
        <w:ind w:firstLine="829" w:firstLineChars="395"/>
        <w:rPr>
          <w:color w:val="auto"/>
          <w:highlight w:val="none"/>
        </w:rPr>
      </w:pPr>
      <w:r>
        <w:rPr>
          <w:rFonts w:hint="eastAsia"/>
          <w:color w:val="auto"/>
          <w:highlight w:val="none"/>
        </w:rPr>
        <w:t>联系人（委托代理人）、联系电话（手机）</w:t>
      </w:r>
    </w:p>
    <w:p>
      <w:pPr>
        <w:pStyle w:val="22"/>
        <w:spacing w:line="360" w:lineRule="auto"/>
        <w:ind w:firstLine="829" w:firstLineChars="395"/>
        <w:rPr>
          <w:color w:val="auto"/>
          <w:highlight w:val="none"/>
        </w:rPr>
      </w:pPr>
    </w:p>
    <w:p>
      <w:pPr>
        <w:pStyle w:val="22"/>
        <w:spacing w:line="360" w:lineRule="auto"/>
        <w:ind w:firstLine="2100" w:firstLineChars="1000"/>
        <w:rPr>
          <w:color w:val="auto"/>
          <w:highlight w:val="none"/>
        </w:rPr>
      </w:pPr>
      <w:r>
        <w:rPr>
          <w:rFonts w:hint="eastAsia"/>
          <w:color w:val="auto"/>
          <w:highlight w:val="none"/>
        </w:rPr>
        <w:t>（粘贴投标保证金缴纳凭证复印件并加盖单位公章）</w:t>
      </w:r>
    </w:p>
    <w:p>
      <w:pPr>
        <w:pStyle w:val="22"/>
        <w:spacing w:line="360" w:lineRule="auto"/>
        <w:ind w:firstLine="420"/>
        <w:rPr>
          <w:color w:val="auto"/>
          <w:highlight w:val="none"/>
          <w:u w:val="single"/>
        </w:rPr>
      </w:pPr>
    </w:p>
    <w:p>
      <w:pPr>
        <w:pStyle w:val="22"/>
        <w:spacing w:line="360" w:lineRule="auto"/>
        <w:ind w:firstLine="420"/>
        <w:rPr>
          <w:color w:val="auto"/>
          <w:highlight w:val="none"/>
          <w:u w:val="single"/>
        </w:rPr>
      </w:pPr>
    </w:p>
    <w:p>
      <w:pPr>
        <w:pStyle w:val="22"/>
        <w:spacing w:line="360" w:lineRule="auto"/>
        <w:rPr>
          <w:rFonts w:hint="eastAsia"/>
          <w:b/>
          <w:color w:val="auto"/>
          <w:sz w:val="30"/>
          <w:szCs w:val="30"/>
          <w:highlight w:val="none"/>
        </w:rPr>
      </w:pPr>
      <w:r>
        <w:rPr>
          <w:rFonts w:hint="eastAsia"/>
          <w:b/>
          <w:color w:val="auto"/>
          <w:sz w:val="30"/>
          <w:szCs w:val="30"/>
          <w:highlight w:val="none"/>
        </w:rPr>
        <w:t xml:space="preserve"> </w:t>
      </w:r>
    </w:p>
    <w:p>
      <w:pPr>
        <w:pStyle w:val="22"/>
        <w:spacing w:line="360" w:lineRule="auto"/>
        <w:rPr>
          <w:rFonts w:hint="eastAsia"/>
          <w:b/>
          <w:color w:val="auto"/>
          <w:sz w:val="30"/>
          <w:szCs w:val="30"/>
          <w:highlight w:val="none"/>
        </w:rPr>
      </w:pPr>
    </w:p>
    <w:p>
      <w:pPr>
        <w:pStyle w:val="22"/>
        <w:spacing w:line="360" w:lineRule="auto"/>
        <w:rPr>
          <w:rFonts w:hint="eastAsia"/>
          <w:b/>
          <w:color w:val="auto"/>
          <w:sz w:val="30"/>
          <w:szCs w:val="30"/>
          <w:highlight w:val="none"/>
        </w:rPr>
      </w:pPr>
    </w:p>
    <w:p>
      <w:pPr>
        <w:pStyle w:val="22"/>
        <w:spacing w:line="360" w:lineRule="auto"/>
        <w:rPr>
          <w:rFonts w:hint="eastAsia"/>
          <w:b/>
          <w:color w:val="auto"/>
          <w:sz w:val="30"/>
          <w:szCs w:val="30"/>
          <w:highlight w:val="none"/>
        </w:rPr>
      </w:pPr>
    </w:p>
    <w:p>
      <w:pPr>
        <w:pStyle w:val="22"/>
        <w:spacing w:line="360" w:lineRule="auto"/>
        <w:rPr>
          <w:b/>
          <w:color w:val="auto"/>
          <w:sz w:val="24"/>
          <w:szCs w:val="24"/>
          <w:highlight w:val="none"/>
        </w:rPr>
      </w:pPr>
    </w:p>
    <w:p>
      <w:pPr>
        <w:rPr>
          <w:color w:val="auto"/>
          <w:highlight w:val="none"/>
        </w:rPr>
      </w:pPr>
    </w:p>
    <w:p>
      <w:pPr>
        <w:rPr>
          <w:color w:val="auto"/>
          <w:highlight w:val="none"/>
        </w:rPr>
      </w:pPr>
    </w:p>
    <w:p>
      <w:pPr>
        <w:rPr>
          <w:color w:val="auto"/>
          <w:highlight w:val="none"/>
        </w:rPr>
      </w:pPr>
    </w:p>
    <w:p>
      <w:pPr>
        <w:adjustRightInd w:val="0"/>
        <w:snapToGrid w:val="0"/>
        <w:rPr>
          <w:rFonts w:hint="eastAsia" w:ascii="黑体" w:hAnsi="Courier New" w:eastAsia="黑体" w:cs="Courier New"/>
          <w:b/>
          <w:color w:val="auto"/>
          <w:sz w:val="32"/>
          <w:szCs w:val="21"/>
          <w:highlight w:val="none"/>
        </w:rPr>
      </w:pPr>
      <w:r>
        <w:rPr>
          <w:rFonts w:hint="eastAsia"/>
          <w:b/>
          <w:color w:val="auto"/>
          <w:szCs w:val="21"/>
          <w:highlight w:val="none"/>
          <w:u w:val="single"/>
        </w:rPr>
        <w:t>说明：该声明除投标文件装订外，投标人应另单独准备一份，在开标前到本机构财务处确认投标保证金到账并加盖财务收讫章，供开标时检查。</w:t>
      </w:r>
    </w:p>
    <w:p>
      <w:pPr>
        <w:adjustRightInd w:val="0"/>
        <w:snapToGrid w:val="0"/>
        <w:jc w:val="center"/>
        <w:rPr>
          <w:rFonts w:hint="eastAsia" w:ascii="黑体" w:hAnsi="Courier New" w:eastAsia="黑体" w:cs="Courier New"/>
          <w:b/>
          <w:color w:val="auto"/>
          <w:sz w:val="32"/>
          <w:szCs w:val="21"/>
          <w:highlight w:val="none"/>
        </w:rPr>
      </w:pPr>
    </w:p>
    <w:p>
      <w:pPr>
        <w:spacing w:line="300" w:lineRule="auto"/>
        <w:ind w:left="420" w:hanging="420"/>
        <w:jc w:val="center"/>
        <w:rPr>
          <w:rFonts w:hint="eastAsia" w:ascii="黑体" w:hAnsi="宋体" w:eastAsia="黑体"/>
          <w:b/>
          <w:color w:val="auto"/>
          <w:kern w:val="0"/>
          <w:sz w:val="32"/>
          <w:szCs w:val="32"/>
          <w:highlight w:val="none"/>
        </w:rPr>
      </w:pPr>
    </w:p>
    <w:p>
      <w:pPr>
        <w:spacing w:line="300" w:lineRule="auto"/>
        <w:ind w:left="420" w:hanging="420"/>
        <w:jc w:val="center"/>
        <w:rPr>
          <w:rFonts w:hint="eastAsia" w:ascii="黑体" w:hAnsi="宋体" w:eastAsia="黑体"/>
          <w:b/>
          <w:color w:val="auto"/>
          <w:kern w:val="0"/>
          <w:sz w:val="32"/>
          <w:szCs w:val="32"/>
          <w:highlight w:val="none"/>
        </w:rPr>
      </w:pPr>
    </w:p>
    <w:p>
      <w:pPr>
        <w:spacing w:line="600" w:lineRule="exact"/>
        <w:rPr>
          <w:rFonts w:hint="eastAsia" w:ascii="方正宋黑简体" w:hAnsi="宋体" w:eastAsia="方正宋黑简体"/>
          <w:b/>
          <w:color w:val="auto"/>
          <w:szCs w:val="21"/>
          <w:highlight w:val="none"/>
        </w:rPr>
      </w:pPr>
      <w:r>
        <w:rPr>
          <w:rFonts w:hint="eastAsia" w:ascii="方正宋黑简体" w:hAnsi="宋体" w:eastAsia="方正宋黑简体"/>
          <w:b/>
          <w:color w:val="auto"/>
          <w:szCs w:val="21"/>
          <w:highlight w:val="none"/>
        </w:rPr>
        <w:t>附件9</w:t>
      </w:r>
    </w:p>
    <w:p>
      <w:pPr>
        <w:adjustRightInd w:val="0"/>
        <w:snapToGrid w:val="0"/>
        <w:spacing w:line="600" w:lineRule="exact"/>
        <w:jc w:val="center"/>
        <w:rPr>
          <w:rFonts w:hint="eastAsia" w:ascii="方正小标宋简体" w:hAnsi="宋体" w:eastAsia="方正小标宋简体" w:cs="Courier New"/>
          <w:color w:val="auto"/>
          <w:sz w:val="30"/>
          <w:szCs w:val="30"/>
          <w:highlight w:val="none"/>
        </w:rPr>
      </w:pPr>
      <w:r>
        <w:rPr>
          <w:rFonts w:hint="eastAsia" w:ascii="方正小标宋简体" w:hAnsi="宋体" w:eastAsia="方正小标宋简体" w:cs="Courier New"/>
          <w:color w:val="auto"/>
          <w:sz w:val="30"/>
          <w:szCs w:val="30"/>
          <w:highlight w:val="none"/>
        </w:rPr>
        <w:t>售后服务承诺书</w:t>
      </w:r>
    </w:p>
    <w:p>
      <w:pPr>
        <w:spacing w:line="360" w:lineRule="exact"/>
        <w:rPr>
          <w:rFonts w:hint="eastAsia"/>
          <w:color w:val="auto"/>
          <w:highlight w:val="none"/>
        </w:rPr>
      </w:pPr>
    </w:p>
    <w:p>
      <w:pPr>
        <w:spacing w:line="360" w:lineRule="exact"/>
        <w:ind w:firstLine="420" w:firstLineChars="200"/>
        <w:rPr>
          <w:rFonts w:hint="eastAsia" w:ascii="黑体" w:hAnsi="宋体" w:eastAsia="黑体"/>
          <w:b/>
          <w:color w:val="auto"/>
          <w:kern w:val="0"/>
          <w:sz w:val="32"/>
          <w:szCs w:val="32"/>
          <w:highlight w:val="none"/>
        </w:rPr>
      </w:pPr>
      <w:r>
        <w:rPr>
          <w:rFonts w:hint="eastAsia"/>
          <w:color w:val="auto"/>
          <w:highlight w:val="none"/>
        </w:rPr>
        <w:t xml:space="preserve">【由谈判供应商按《采购需求一览表》售后服务要求自行填写，提供的切实可行的售后服务和优惠承诺，保证交货期的措施（必要时提供生产计划周期表）】  </w:t>
      </w:r>
    </w:p>
    <w:p>
      <w:pPr>
        <w:spacing w:line="300" w:lineRule="auto"/>
        <w:ind w:left="420" w:hanging="420"/>
        <w:jc w:val="center"/>
        <w:rPr>
          <w:rFonts w:hint="eastAsia" w:ascii="黑体" w:hAnsi="宋体" w:eastAsia="黑体"/>
          <w:b/>
          <w:color w:val="auto"/>
          <w:kern w:val="0"/>
          <w:sz w:val="32"/>
          <w:szCs w:val="32"/>
          <w:highlight w:val="none"/>
        </w:rPr>
      </w:pPr>
    </w:p>
    <w:p>
      <w:pPr>
        <w:spacing w:before="340" w:after="330" w:line="578" w:lineRule="auto"/>
        <w:jc w:val="center"/>
        <w:rPr>
          <w:rFonts w:hint="eastAsia" w:ascii="方正小标宋简体" w:eastAsia="方正小标宋简体"/>
          <w:b/>
          <w:bCs/>
          <w:color w:val="auto"/>
          <w:kern w:val="0"/>
          <w:sz w:val="44"/>
          <w:szCs w:val="44"/>
          <w:highlight w:val="none"/>
        </w:rPr>
      </w:pPr>
    </w:p>
    <w:p>
      <w:pPr>
        <w:spacing w:before="340" w:after="330" w:line="578" w:lineRule="auto"/>
        <w:jc w:val="center"/>
        <w:rPr>
          <w:rFonts w:hint="eastAsia" w:ascii="方正小标宋简体" w:eastAsia="方正小标宋简体"/>
          <w:b/>
          <w:bCs/>
          <w:color w:val="auto"/>
          <w:kern w:val="0"/>
          <w:sz w:val="44"/>
          <w:szCs w:val="44"/>
          <w:highlight w:val="none"/>
        </w:rPr>
      </w:pPr>
    </w:p>
    <w:p>
      <w:pPr>
        <w:spacing w:before="340" w:after="330" w:line="578" w:lineRule="auto"/>
        <w:jc w:val="center"/>
        <w:rPr>
          <w:rFonts w:hint="eastAsia" w:ascii="方正小标宋简体" w:eastAsia="方正小标宋简体"/>
          <w:b/>
          <w:bCs/>
          <w:color w:val="auto"/>
          <w:kern w:val="0"/>
          <w:sz w:val="44"/>
          <w:szCs w:val="44"/>
          <w:highlight w:val="none"/>
        </w:rPr>
      </w:pPr>
    </w:p>
    <w:p>
      <w:pPr>
        <w:rPr>
          <w:rFonts w:hint="eastAsia"/>
          <w:color w:val="auto"/>
          <w:highlight w:val="none"/>
        </w:rPr>
      </w:pPr>
    </w:p>
    <w:p>
      <w:pPr>
        <w:rPr>
          <w:rFonts w:hint="eastAsia"/>
          <w:color w:val="auto"/>
          <w:highlight w:val="none"/>
        </w:rPr>
      </w:pPr>
    </w:p>
    <w:p>
      <w:pPr>
        <w:spacing w:line="600" w:lineRule="exact"/>
        <w:rPr>
          <w:rFonts w:hint="eastAsia" w:ascii="方正宋黑简体" w:hAnsi="宋体" w:eastAsia="方正宋黑简体"/>
          <w:b/>
          <w:color w:val="auto"/>
          <w:szCs w:val="21"/>
          <w:highlight w:val="none"/>
        </w:rPr>
      </w:pPr>
      <w:r>
        <w:rPr>
          <w:color w:val="auto"/>
          <w:highlight w:val="none"/>
        </w:rPr>
        <w:br w:type="page"/>
      </w:r>
      <w:r>
        <w:rPr>
          <w:rFonts w:hint="eastAsia" w:ascii="方正宋黑简体" w:hAnsi="宋体" w:eastAsia="方正宋黑简体"/>
          <w:b/>
          <w:color w:val="auto"/>
          <w:szCs w:val="21"/>
          <w:highlight w:val="none"/>
        </w:rPr>
        <w:t>附件10</w:t>
      </w:r>
    </w:p>
    <w:p>
      <w:pPr>
        <w:spacing w:line="600" w:lineRule="exact"/>
        <w:ind w:left="420" w:hanging="420"/>
        <w:jc w:val="center"/>
        <w:rPr>
          <w:rFonts w:hint="eastAsia" w:ascii="方正小标宋简体" w:hAnsi="宋体" w:eastAsia="方正小标宋简体"/>
          <w:color w:val="auto"/>
          <w:kern w:val="0"/>
          <w:sz w:val="30"/>
          <w:szCs w:val="30"/>
          <w:highlight w:val="none"/>
        </w:rPr>
      </w:pPr>
      <w:r>
        <w:rPr>
          <w:rFonts w:hint="eastAsia" w:ascii="方正小标宋简体" w:hAnsi="宋体" w:eastAsia="方正小标宋简体"/>
          <w:color w:val="auto"/>
          <w:kern w:val="0"/>
          <w:sz w:val="30"/>
          <w:szCs w:val="30"/>
          <w:highlight w:val="none"/>
        </w:rPr>
        <w:t>产品质量保证书</w:t>
      </w:r>
    </w:p>
    <w:p>
      <w:pPr>
        <w:spacing w:line="360" w:lineRule="exact"/>
        <w:ind w:left="420" w:hanging="420"/>
        <w:jc w:val="center"/>
        <w:rPr>
          <w:rFonts w:hint="eastAsia" w:ascii="黑体" w:hAnsi="宋体" w:eastAsia="黑体"/>
          <w:b/>
          <w:color w:val="auto"/>
          <w:kern w:val="0"/>
          <w:sz w:val="24"/>
          <w:highlight w:val="none"/>
        </w:rPr>
      </w:pPr>
    </w:p>
    <w:p>
      <w:pPr>
        <w:spacing w:line="360" w:lineRule="exact"/>
        <w:ind w:left="420" w:hanging="420"/>
        <w:rPr>
          <w:rFonts w:hint="eastAsia" w:ascii="宋体" w:hAnsi="宋体"/>
          <w:color w:val="auto"/>
          <w:kern w:val="0"/>
          <w:szCs w:val="21"/>
          <w:highlight w:val="none"/>
          <w:u w:val="single"/>
        </w:rPr>
      </w:pPr>
      <w:r>
        <w:rPr>
          <w:rFonts w:hint="eastAsia" w:ascii="宋体" w:hAnsi="宋体"/>
          <w:color w:val="auto"/>
          <w:kern w:val="0"/>
          <w:szCs w:val="21"/>
          <w:highlight w:val="none"/>
          <w:u w:val="single"/>
        </w:rPr>
        <w:t xml:space="preserve">致              </w:t>
      </w:r>
      <w:r>
        <w:rPr>
          <w:rFonts w:hint="eastAsia" w:ascii="宋体" w:hAnsi="宋体"/>
          <w:color w:val="auto"/>
          <w:kern w:val="0"/>
          <w:szCs w:val="21"/>
          <w:highlight w:val="none"/>
        </w:rPr>
        <w:t xml:space="preserve"> ：</w:t>
      </w:r>
    </w:p>
    <w:p>
      <w:pPr>
        <w:spacing w:line="36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我公司在此向贵方承诺：</w:t>
      </w:r>
    </w:p>
    <w:p>
      <w:pPr>
        <w:spacing w:line="36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我方参与谈判的</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项目（编号</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一旦成交，我方保证按照谈判文件和谈判响应文件的要求提供合格的产品，如出现弄虚作假，包括掺杂、掺假、以假充真、以次充好、以不合格产品冒充合格产品的，我方愿按《政府采购法》、《合同法》、《产品质量法》、《消费者权益保护法》等法律法规规定，承担相应的经济责任和法律责任。</w:t>
      </w:r>
    </w:p>
    <w:p>
      <w:pPr>
        <w:spacing w:line="300" w:lineRule="auto"/>
        <w:rPr>
          <w:rFonts w:hint="eastAsia" w:ascii="宋体" w:hAnsi="宋体"/>
          <w:color w:val="auto"/>
          <w:kern w:val="0"/>
          <w:sz w:val="28"/>
          <w:szCs w:val="28"/>
          <w:highlight w:val="none"/>
        </w:rPr>
      </w:pPr>
    </w:p>
    <w:p>
      <w:pPr>
        <w:spacing w:line="300" w:lineRule="auto"/>
        <w:ind w:hanging="420"/>
        <w:rPr>
          <w:rFonts w:hint="eastAsia" w:ascii="宋体" w:hAnsi="宋体"/>
          <w:color w:val="auto"/>
          <w:kern w:val="0"/>
          <w:sz w:val="28"/>
          <w:szCs w:val="28"/>
          <w:highlight w:val="none"/>
        </w:rPr>
      </w:pPr>
    </w:p>
    <w:p>
      <w:pPr>
        <w:spacing w:line="300" w:lineRule="auto"/>
        <w:ind w:left="420" w:hanging="420"/>
        <w:jc w:val="center"/>
        <w:rPr>
          <w:rFonts w:hint="eastAsia" w:ascii="黑体" w:hAnsi="宋体" w:eastAsia="黑体"/>
          <w:b/>
          <w:color w:val="auto"/>
          <w:kern w:val="0"/>
          <w:sz w:val="32"/>
          <w:szCs w:val="32"/>
          <w:highlight w:val="none"/>
        </w:rPr>
      </w:pPr>
    </w:p>
    <w:p>
      <w:pPr>
        <w:spacing w:line="300" w:lineRule="auto"/>
        <w:ind w:left="420" w:hanging="420"/>
        <w:jc w:val="center"/>
        <w:rPr>
          <w:rFonts w:hint="eastAsia" w:ascii="黑体" w:hAnsi="宋体" w:eastAsia="黑体"/>
          <w:b/>
          <w:color w:val="auto"/>
          <w:kern w:val="0"/>
          <w:sz w:val="32"/>
          <w:szCs w:val="32"/>
          <w:highlight w:val="none"/>
        </w:rPr>
      </w:pPr>
    </w:p>
    <w:p>
      <w:pPr>
        <w:spacing w:line="300" w:lineRule="auto"/>
        <w:ind w:left="420" w:hanging="420"/>
        <w:jc w:val="center"/>
        <w:rPr>
          <w:rFonts w:hint="eastAsia" w:ascii="黑体" w:hAnsi="宋体" w:eastAsia="黑体"/>
          <w:b/>
          <w:color w:val="auto"/>
          <w:kern w:val="0"/>
          <w:sz w:val="32"/>
          <w:szCs w:val="32"/>
          <w:highlight w:val="none"/>
        </w:rPr>
      </w:pPr>
    </w:p>
    <w:p>
      <w:pPr>
        <w:spacing w:line="300" w:lineRule="auto"/>
        <w:ind w:left="420" w:hanging="420"/>
        <w:jc w:val="center"/>
        <w:rPr>
          <w:rFonts w:hint="eastAsia" w:ascii="黑体" w:hAnsi="宋体" w:eastAsia="黑体"/>
          <w:b/>
          <w:color w:val="auto"/>
          <w:kern w:val="0"/>
          <w:sz w:val="32"/>
          <w:szCs w:val="32"/>
          <w:highlight w:val="none"/>
        </w:rPr>
      </w:pPr>
    </w:p>
    <w:p>
      <w:pPr>
        <w:spacing w:line="300" w:lineRule="auto"/>
        <w:ind w:left="420" w:hanging="420"/>
        <w:jc w:val="center"/>
        <w:rPr>
          <w:rFonts w:hint="eastAsia" w:ascii="黑体" w:hAnsi="宋体" w:eastAsia="黑体"/>
          <w:b/>
          <w:color w:val="auto"/>
          <w:kern w:val="0"/>
          <w:sz w:val="32"/>
          <w:szCs w:val="32"/>
          <w:highlight w:val="none"/>
        </w:rPr>
      </w:pPr>
    </w:p>
    <w:p>
      <w:pPr>
        <w:spacing w:line="300" w:lineRule="auto"/>
        <w:ind w:left="420" w:hanging="420"/>
        <w:jc w:val="center"/>
        <w:rPr>
          <w:rFonts w:hint="eastAsia" w:ascii="黑体" w:hAnsi="宋体" w:eastAsia="黑体"/>
          <w:b/>
          <w:color w:val="auto"/>
          <w:kern w:val="0"/>
          <w:sz w:val="32"/>
          <w:szCs w:val="32"/>
          <w:highlight w:val="none"/>
        </w:rPr>
      </w:pPr>
    </w:p>
    <w:p>
      <w:pPr>
        <w:spacing w:line="300" w:lineRule="auto"/>
        <w:ind w:left="420" w:hanging="420"/>
        <w:jc w:val="center"/>
        <w:rPr>
          <w:rFonts w:hint="eastAsia" w:ascii="黑体" w:hAnsi="宋体" w:eastAsia="黑体"/>
          <w:b/>
          <w:color w:val="auto"/>
          <w:kern w:val="0"/>
          <w:sz w:val="32"/>
          <w:szCs w:val="32"/>
          <w:highlight w:val="none"/>
        </w:rPr>
      </w:pPr>
    </w:p>
    <w:p>
      <w:pPr>
        <w:spacing w:line="300" w:lineRule="auto"/>
        <w:ind w:left="420" w:hanging="420"/>
        <w:jc w:val="center"/>
        <w:rPr>
          <w:rFonts w:hint="eastAsia" w:ascii="黑体" w:hAnsi="宋体" w:eastAsia="黑体"/>
          <w:b/>
          <w:color w:val="auto"/>
          <w:kern w:val="0"/>
          <w:sz w:val="32"/>
          <w:szCs w:val="32"/>
          <w:highlight w:val="none"/>
        </w:rPr>
      </w:pPr>
    </w:p>
    <w:p>
      <w:pPr>
        <w:spacing w:line="300" w:lineRule="auto"/>
        <w:ind w:left="420" w:hanging="420"/>
        <w:jc w:val="center"/>
        <w:rPr>
          <w:rFonts w:hint="eastAsia" w:ascii="黑体" w:hAnsi="宋体" w:eastAsia="黑体"/>
          <w:b/>
          <w:color w:val="auto"/>
          <w:kern w:val="0"/>
          <w:sz w:val="32"/>
          <w:szCs w:val="32"/>
          <w:highlight w:val="none"/>
        </w:rPr>
      </w:pPr>
    </w:p>
    <w:p>
      <w:pPr>
        <w:spacing w:line="300" w:lineRule="auto"/>
        <w:ind w:left="420" w:hanging="420"/>
        <w:jc w:val="center"/>
        <w:rPr>
          <w:rFonts w:hint="eastAsia" w:ascii="黑体" w:hAnsi="宋体" w:eastAsia="黑体"/>
          <w:b/>
          <w:color w:val="auto"/>
          <w:kern w:val="0"/>
          <w:sz w:val="32"/>
          <w:szCs w:val="32"/>
          <w:highlight w:val="none"/>
        </w:rPr>
      </w:pPr>
    </w:p>
    <w:p>
      <w:pPr>
        <w:spacing w:line="300" w:lineRule="auto"/>
        <w:rPr>
          <w:rFonts w:hint="eastAsia" w:ascii="黑体" w:hAnsi="宋体" w:eastAsia="黑体"/>
          <w:b/>
          <w:color w:val="auto"/>
          <w:kern w:val="0"/>
          <w:sz w:val="32"/>
          <w:szCs w:val="32"/>
          <w:highlight w:val="none"/>
        </w:rPr>
      </w:pPr>
    </w:p>
    <w:p>
      <w:pPr>
        <w:adjustRightInd w:val="0"/>
        <w:snapToGrid w:val="0"/>
        <w:ind w:firstLine="422" w:firstLineChars="201"/>
        <w:rPr>
          <w:rFonts w:hint="eastAsia" w:ascii="宋体" w:hAnsi="Courier New" w:cs="Courier New"/>
          <w:color w:val="auto"/>
          <w:szCs w:val="21"/>
          <w:highlight w:val="none"/>
        </w:rPr>
      </w:pPr>
      <w:r>
        <w:rPr>
          <w:rFonts w:hint="eastAsia" w:ascii="宋体" w:hAnsi="Courier New" w:cs="Courier New"/>
          <w:color w:val="auto"/>
          <w:szCs w:val="21"/>
          <w:highlight w:val="none"/>
        </w:rPr>
        <w:t>谈判供应商（章）：</w:t>
      </w:r>
      <w:r>
        <w:rPr>
          <w:rFonts w:hint="eastAsia" w:ascii="宋体" w:hAnsi="Courier New" w:cs="Courier New"/>
          <w:color w:val="auto"/>
          <w:szCs w:val="21"/>
          <w:highlight w:val="none"/>
          <w:u w:val="single"/>
        </w:rPr>
        <w:t xml:space="preserve">                                        </w:t>
      </w:r>
    </w:p>
    <w:p>
      <w:pPr>
        <w:adjustRightInd w:val="0"/>
        <w:snapToGrid w:val="0"/>
        <w:ind w:firstLine="422" w:firstLineChars="201"/>
        <w:rPr>
          <w:rFonts w:hint="eastAsia" w:ascii="宋体" w:hAnsi="Courier New" w:cs="Courier New"/>
          <w:color w:val="auto"/>
          <w:szCs w:val="21"/>
          <w:highlight w:val="none"/>
        </w:rPr>
      </w:pPr>
    </w:p>
    <w:p>
      <w:pPr>
        <w:adjustRightInd w:val="0"/>
        <w:snapToGrid w:val="0"/>
        <w:ind w:firstLine="422" w:firstLineChars="201"/>
        <w:rPr>
          <w:rFonts w:hint="eastAsia" w:ascii="宋体" w:hAnsi="Courier New" w:cs="Courier New"/>
          <w:color w:val="auto"/>
          <w:szCs w:val="21"/>
          <w:highlight w:val="none"/>
          <w:u w:val="single"/>
        </w:rPr>
      </w:pPr>
      <w:r>
        <w:rPr>
          <w:rFonts w:hint="eastAsia" w:ascii="宋体" w:hAnsi="Courier New" w:cs="Courier New"/>
          <w:color w:val="auto"/>
          <w:szCs w:val="21"/>
          <w:highlight w:val="none"/>
        </w:rPr>
        <w:t>法定代表人或委托代理人（签字，盖姓名章无效）：</w:t>
      </w:r>
      <w:r>
        <w:rPr>
          <w:rFonts w:hint="eastAsia" w:ascii="宋体" w:hAnsi="Courier New" w:cs="Courier New"/>
          <w:color w:val="auto"/>
          <w:szCs w:val="21"/>
          <w:highlight w:val="none"/>
          <w:u w:val="single"/>
        </w:rPr>
        <w:t xml:space="preserve">                           </w:t>
      </w:r>
    </w:p>
    <w:p>
      <w:pPr>
        <w:adjustRightInd w:val="0"/>
        <w:snapToGrid w:val="0"/>
        <w:ind w:firstLine="483" w:firstLineChars="201"/>
        <w:rPr>
          <w:rFonts w:hint="eastAsia" w:ascii="宋体" w:hAnsi="Courier New" w:cs="Courier New"/>
          <w:b/>
          <w:color w:val="auto"/>
          <w:sz w:val="24"/>
          <w:szCs w:val="21"/>
          <w:highlight w:val="none"/>
        </w:rPr>
      </w:pPr>
    </w:p>
    <w:p>
      <w:pPr>
        <w:adjustRightInd w:val="0"/>
        <w:snapToGrid w:val="0"/>
        <w:ind w:firstLine="422" w:firstLineChars="201"/>
        <w:rPr>
          <w:rFonts w:hint="eastAsia" w:ascii="宋体" w:hAnsi="Courier New" w:cs="Courier New"/>
          <w:color w:val="auto"/>
          <w:szCs w:val="21"/>
          <w:highlight w:val="none"/>
          <w:u w:val="single"/>
        </w:rPr>
      </w:pPr>
      <w:r>
        <w:rPr>
          <w:rFonts w:hint="eastAsia" w:ascii="宋体" w:hAnsi="Courier New" w:cs="Courier New"/>
          <w:color w:val="auto"/>
          <w:szCs w:val="21"/>
          <w:highlight w:val="none"/>
        </w:rPr>
        <w:t>日期：</w:t>
      </w:r>
      <w:r>
        <w:rPr>
          <w:rFonts w:hint="eastAsia" w:ascii="宋体" w:hAnsi="Courier New" w:cs="Courier New"/>
          <w:color w:val="auto"/>
          <w:szCs w:val="21"/>
          <w:highlight w:val="none"/>
          <w:u w:val="single"/>
        </w:rPr>
        <w:t xml:space="preserve">                                                      </w:t>
      </w:r>
    </w:p>
    <w:p>
      <w:pPr>
        <w:rPr>
          <w:rFonts w:hint="eastAsia"/>
          <w:color w:val="auto"/>
          <w:highlight w:val="none"/>
        </w:rPr>
      </w:pPr>
    </w:p>
    <w:p>
      <w:pPr>
        <w:spacing w:line="600" w:lineRule="exact"/>
        <w:rPr>
          <w:rFonts w:hint="eastAsia" w:ascii="方正宋黑简体" w:hAnsi="宋体" w:eastAsia="方正宋黑简体"/>
          <w:b/>
          <w:color w:val="auto"/>
          <w:szCs w:val="21"/>
          <w:highlight w:val="none"/>
        </w:rPr>
      </w:pPr>
      <w:r>
        <w:rPr>
          <w:color w:val="auto"/>
          <w:highlight w:val="none"/>
        </w:rPr>
        <w:br w:type="page"/>
      </w:r>
      <w:r>
        <w:rPr>
          <w:rFonts w:hint="eastAsia" w:ascii="方正宋黑简体" w:hAnsi="宋体" w:eastAsia="方正宋黑简体"/>
          <w:b/>
          <w:color w:val="auto"/>
          <w:szCs w:val="21"/>
          <w:highlight w:val="none"/>
        </w:rPr>
        <w:t>附件11</w:t>
      </w:r>
    </w:p>
    <w:p>
      <w:pPr>
        <w:spacing w:line="600" w:lineRule="exact"/>
        <w:ind w:left="420" w:hanging="420"/>
        <w:jc w:val="center"/>
        <w:rPr>
          <w:rFonts w:hint="eastAsia" w:ascii="方正小标宋简体" w:hAnsi="宋体" w:eastAsia="方正小标宋简体"/>
          <w:color w:val="auto"/>
          <w:kern w:val="0"/>
          <w:sz w:val="30"/>
          <w:szCs w:val="30"/>
          <w:highlight w:val="none"/>
        </w:rPr>
      </w:pPr>
      <w:r>
        <w:rPr>
          <w:rFonts w:hint="eastAsia" w:ascii="方正小标宋简体" w:hAnsi="宋体" w:eastAsia="方正小标宋简体"/>
          <w:color w:val="auto"/>
          <w:kern w:val="0"/>
          <w:sz w:val="30"/>
          <w:szCs w:val="30"/>
          <w:highlight w:val="none"/>
        </w:rPr>
        <w:t>谈判供应商的资格证明文件</w:t>
      </w:r>
    </w:p>
    <w:p>
      <w:pPr>
        <w:spacing w:line="360" w:lineRule="exact"/>
        <w:rPr>
          <w:rFonts w:hint="eastAsia" w:ascii="宋体" w:hAnsi="宋体" w:cs="Courier New"/>
          <w:bCs/>
          <w:color w:val="auto"/>
          <w:szCs w:val="21"/>
          <w:highlight w:val="none"/>
        </w:rPr>
      </w:pPr>
    </w:p>
    <w:p>
      <w:pPr>
        <w:spacing w:line="360" w:lineRule="exact"/>
        <w:ind w:firstLine="420" w:firstLineChars="200"/>
        <w:rPr>
          <w:rFonts w:hint="eastAsia" w:ascii="宋体" w:hAnsi="宋体" w:cs="Courier New"/>
          <w:bCs/>
          <w:color w:val="auto"/>
          <w:szCs w:val="21"/>
          <w:highlight w:val="none"/>
        </w:rPr>
      </w:pPr>
      <w:r>
        <w:rPr>
          <w:rFonts w:hint="eastAsia" w:ascii="宋体" w:hAnsi="宋体" w:cs="Courier New"/>
          <w:bCs/>
          <w:color w:val="auto"/>
          <w:szCs w:val="21"/>
          <w:highlight w:val="none"/>
        </w:rPr>
        <w:t>（注：按照谈判供应商须知5.6商务技术文件要求提供，其中必须提供的资料，谈判供应商必须全部提供，否则谈判无效）。</w:t>
      </w:r>
    </w:p>
    <w:p>
      <w:pPr>
        <w:spacing w:before="340" w:after="330" w:line="578" w:lineRule="auto"/>
        <w:rPr>
          <w:rFonts w:hint="eastAsia" w:ascii="宋体" w:hAnsi="宋体" w:cs="Courier New"/>
          <w:bCs/>
          <w:color w:val="auto"/>
          <w:szCs w:val="21"/>
          <w:highlight w:val="none"/>
        </w:rPr>
      </w:pPr>
    </w:p>
    <w:p>
      <w:pPr>
        <w:spacing w:before="340" w:after="330" w:line="578" w:lineRule="auto"/>
        <w:rPr>
          <w:rFonts w:hint="eastAsia" w:ascii="宋体" w:hAnsi="宋体" w:cs="Courier New"/>
          <w:bCs/>
          <w:color w:val="auto"/>
          <w:szCs w:val="21"/>
          <w:highlight w:val="none"/>
        </w:rPr>
      </w:pPr>
    </w:p>
    <w:p>
      <w:pPr>
        <w:spacing w:before="340" w:after="330" w:line="578" w:lineRule="auto"/>
        <w:rPr>
          <w:rFonts w:hint="eastAsia" w:ascii="宋体" w:hAnsi="宋体" w:cs="Courier New"/>
          <w:bCs/>
          <w:color w:val="auto"/>
          <w:szCs w:val="21"/>
          <w:highlight w:val="none"/>
        </w:rPr>
      </w:pPr>
    </w:p>
    <w:p>
      <w:pPr>
        <w:spacing w:before="340" w:after="330" w:line="578" w:lineRule="auto"/>
        <w:rPr>
          <w:rFonts w:hint="eastAsia" w:ascii="宋体" w:hAnsi="宋体" w:cs="Courier New"/>
          <w:bCs/>
          <w:color w:val="auto"/>
          <w:szCs w:val="21"/>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spacing w:line="600" w:lineRule="exact"/>
        <w:rPr>
          <w:rFonts w:hint="eastAsia" w:ascii="方正宋黑简体" w:hAnsi="宋体" w:eastAsia="方正宋黑简体"/>
          <w:b/>
          <w:color w:val="auto"/>
          <w:szCs w:val="21"/>
          <w:highlight w:val="none"/>
        </w:rPr>
      </w:pPr>
      <w:r>
        <w:rPr>
          <w:color w:val="auto"/>
          <w:szCs w:val="21"/>
          <w:highlight w:val="none"/>
        </w:rPr>
        <w:br w:type="page"/>
      </w:r>
      <w:r>
        <w:rPr>
          <w:rFonts w:hint="eastAsia" w:ascii="方正宋黑简体" w:hAnsi="宋体" w:eastAsia="方正宋黑简体"/>
          <w:b/>
          <w:color w:val="auto"/>
          <w:szCs w:val="21"/>
          <w:highlight w:val="none"/>
        </w:rPr>
        <w:t>附件11</w:t>
      </w:r>
    </w:p>
    <w:p>
      <w:pPr>
        <w:spacing w:line="600" w:lineRule="exact"/>
        <w:ind w:left="420" w:hanging="420"/>
        <w:jc w:val="center"/>
        <w:rPr>
          <w:rFonts w:hint="eastAsia" w:ascii="方正小标宋简体" w:hAnsi="宋体" w:eastAsia="方正小标宋简体"/>
          <w:color w:val="auto"/>
          <w:kern w:val="0"/>
          <w:sz w:val="36"/>
          <w:szCs w:val="36"/>
          <w:highlight w:val="none"/>
        </w:rPr>
      </w:pPr>
      <w:r>
        <w:rPr>
          <w:rFonts w:hint="eastAsia" w:ascii="方正小标宋简体" w:hAnsi="宋体" w:eastAsia="方正小标宋简体"/>
          <w:color w:val="auto"/>
          <w:kern w:val="0"/>
          <w:sz w:val="36"/>
          <w:szCs w:val="36"/>
          <w:highlight w:val="none"/>
        </w:rPr>
        <w:t>中小企业声明函</w:t>
      </w:r>
    </w:p>
    <w:p>
      <w:pPr>
        <w:adjustRightInd w:val="0"/>
        <w:snapToGrid w:val="0"/>
        <w:jc w:val="center"/>
        <w:rPr>
          <w:rFonts w:hint="eastAsia" w:ascii="宋体" w:hAnsi="宋体"/>
          <w:color w:val="auto"/>
          <w:szCs w:val="21"/>
          <w:highlight w:val="none"/>
        </w:rPr>
      </w:pPr>
    </w:p>
    <w:p>
      <w:pPr>
        <w:adjustRightInd w:val="0"/>
        <w:snapToGrid w:val="0"/>
        <w:jc w:val="left"/>
        <w:rPr>
          <w:rFonts w:hint="eastAsia" w:ascii="宋体" w:hAnsi="宋体"/>
          <w:color w:val="auto"/>
          <w:szCs w:val="21"/>
          <w:highlight w:val="none"/>
        </w:rPr>
      </w:pPr>
    </w:p>
    <w:p>
      <w:pPr>
        <w:adjustRightInd w:val="0"/>
        <w:snapToGrid w:val="0"/>
        <w:spacing w:line="360" w:lineRule="exact"/>
        <w:jc w:val="left"/>
        <w:rPr>
          <w:rFonts w:hint="eastAsia" w:ascii="宋体" w:hAnsi="宋体"/>
          <w:color w:val="auto"/>
          <w:szCs w:val="21"/>
          <w:highlight w:val="none"/>
        </w:rPr>
      </w:pPr>
      <w:r>
        <w:rPr>
          <w:rFonts w:hint="eastAsia" w:ascii="宋体" w:hAnsi="宋体"/>
          <w:color w:val="auto"/>
          <w:szCs w:val="21"/>
          <w:highlight w:val="none"/>
        </w:rPr>
        <w:t>　　本公司郑重声明，根据《政府采购促进中小企业发展暂行办法》（财库[2011]181号）的规定，本公司为______（请填写：中型、小型、微型）企业。即，本公司同时满足以下条件：</w:t>
      </w:r>
    </w:p>
    <w:p>
      <w:pPr>
        <w:adjustRightInd w:val="0"/>
        <w:snapToGrid w:val="0"/>
        <w:spacing w:line="360" w:lineRule="exact"/>
        <w:jc w:val="left"/>
        <w:rPr>
          <w:rFonts w:hint="eastAsia" w:ascii="宋体" w:hAnsi="宋体"/>
          <w:color w:val="auto"/>
          <w:szCs w:val="21"/>
          <w:highlight w:val="none"/>
        </w:rPr>
      </w:pPr>
    </w:p>
    <w:p>
      <w:pPr>
        <w:adjustRightInd w:val="0"/>
        <w:snapToGrid w:val="0"/>
        <w:spacing w:line="360" w:lineRule="exact"/>
        <w:jc w:val="left"/>
        <w:rPr>
          <w:rFonts w:hint="eastAsia" w:ascii="宋体" w:hAnsi="宋体"/>
          <w:color w:val="auto"/>
          <w:szCs w:val="21"/>
          <w:highlight w:val="none"/>
        </w:rPr>
      </w:pPr>
      <w:r>
        <w:rPr>
          <w:rFonts w:hint="eastAsia" w:ascii="宋体" w:hAnsi="宋体"/>
          <w:color w:val="auto"/>
          <w:szCs w:val="21"/>
          <w:highlight w:val="none"/>
        </w:rPr>
        <w:t>　　1.根据《工业和信息化部、国家统计局、国家发展和改革委员会、财政部关于印发中小企业划型标准规定的通知》（工信部联企业[2011]300号）规定的划分标准，本公司为______（请填写：中型、小型、微型）企业。</w:t>
      </w:r>
    </w:p>
    <w:p>
      <w:pPr>
        <w:adjustRightInd w:val="0"/>
        <w:snapToGrid w:val="0"/>
        <w:spacing w:line="360" w:lineRule="exact"/>
        <w:jc w:val="left"/>
        <w:rPr>
          <w:rFonts w:hint="eastAsia" w:ascii="宋体" w:hAnsi="宋体"/>
          <w:color w:val="auto"/>
          <w:szCs w:val="21"/>
          <w:highlight w:val="none"/>
        </w:rPr>
      </w:pPr>
      <w:r>
        <w:rPr>
          <w:rFonts w:hint="eastAsia" w:ascii="宋体" w:hAnsi="宋体"/>
          <w:color w:val="auto"/>
          <w:szCs w:val="21"/>
          <w:highlight w:val="none"/>
        </w:rPr>
        <w:t>　　2.本公司参加______单位的______项目采购活动提供本企业制造的货物，由本企业承担工程、提供服务，或者提供其他______（请填写：中型、小型、微型）企业制造的货物。本条所称货物不包括使用大型企业注册商标的货物。</w:t>
      </w:r>
    </w:p>
    <w:p>
      <w:pPr>
        <w:adjustRightInd w:val="0"/>
        <w:snapToGrid w:val="0"/>
        <w:spacing w:line="360" w:lineRule="exact"/>
        <w:jc w:val="left"/>
        <w:rPr>
          <w:rFonts w:hint="eastAsia" w:ascii="宋体" w:hAnsi="宋体"/>
          <w:color w:val="auto"/>
          <w:szCs w:val="21"/>
          <w:highlight w:val="none"/>
        </w:rPr>
      </w:pPr>
      <w:r>
        <w:rPr>
          <w:rFonts w:hint="eastAsia" w:ascii="宋体" w:hAnsi="宋体"/>
          <w:color w:val="auto"/>
          <w:szCs w:val="21"/>
          <w:highlight w:val="none"/>
        </w:rPr>
        <w:t>　　本公司对上述声明的真实性负责。如有虚假，将依法承担相应责任。</w:t>
      </w:r>
    </w:p>
    <w:p>
      <w:pPr>
        <w:adjustRightInd w:val="0"/>
        <w:snapToGrid w:val="0"/>
        <w:spacing w:line="360" w:lineRule="exact"/>
        <w:ind w:right="420"/>
        <w:jc w:val="center"/>
        <w:rPr>
          <w:rFonts w:hint="eastAsia" w:ascii="宋体" w:hAnsi="宋体"/>
          <w:color w:val="auto"/>
          <w:szCs w:val="21"/>
          <w:highlight w:val="none"/>
        </w:rPr>
      </w:pPr>
    </w:p>
    <w:p>
      <w:pPr>
        <w:adjustRightInd w:val="0"/>
        <w:snapToGrid w:val="0"/>
        <w:spacing w:line="360" w:lineRule="exact"/>
        <w:ind w:right="420" w:firstLine="5376" w:firstLineChars="2560"/>
        <w:jc w:val="left"/>
        <w:rPr>
          <w:rFonts w:hint="eastAsia" w:ascii="宋体" w:hAnsi="宋体"/>
          <w:color w:val="auto"/>
          <w:szCs w:val="21"/>
          <w:highlight w:val="none"/>
        </w:rPr>
      </w:pPr>
      <w:r>
        <w:rPr>
          <w:rFonts w:hint="eastAsia" w:ascii="宋体" w:hAnsi="宋体"/>
          <w:color w:val="auto"/>
          <w:szCs w:val="21"/>
          <w:highlight w:val="none"/>
        </w:rPr>
        <w:t>企业名称（盖章）：　</w:t>
      </w:r>
    </w:p>
    <w:p>
      <w:pPr>
        <w:adjustRightInd w:val="0"/>
        <w:snapToGrid w:val="0"/>
        <w:spacing w:line="360" w:lineRule="exact"/>
        <w:ind w:left="1413" w:leftChars="673" w:firstLine="5901" w:firstLineChars="2810"/>
        <w:rPr>
          <w:rFonts w:hint="eastAsia" w:ascii="宋体" w:hAnsi="宋体"/>
          <w:bCs/>
          <w:color w:val="auto"/>
          <w:szCs w:val="21"/>
          <w:highlight w:val="none"/>
        </w:rPr>
      </w:pPr>
      <w:r>
        <w:rPr>
          <w:rFonts w:hint="eastAsia" w:ascii="宋体" w:hAnsi="宋体"/>
          <w:bCs/>
          <w:color w:val="auto"/>
          <w:szCs w:val="21"/>
          <w:highlight w:val="none"/>
        </w:rPr>
        <w:t>年    月    日</w:t>
      </w:r>
    </w:p>
    <w:p>
      <w:pPr>
        <w:adjustRightInd w:val="0"/>
        <w:snapToGrid w:val="0"/>
        <w:spacing w:line="360" w:lineRule="exact"/>
        <w:ind w:right="420"/>
        <w:jc w:val="left"/>
        <w:rPr>
          <w:rFonts w:hint="eastAsia" w:ascii="宋体" w:hAnsi="宋体"/>
          <w:color w:val="auto"/>
          <w:szCs w:val="21"/>
          <w:highlight w:val="none"/>
        </w:rPr>
      </w:pPr>
    </w:p>
    <w:p>
      <w:pPr>
        <w:adjustRightInd w:val="0"/>
        <w:snapToGrid w:val="0"/>
        <w:spacing w:line="360" w:lineRule="exact"/>
        <w:ind w:right="420"/>
        <w:jc w:val="left"/>
        <w:rPr>
          <w:rFonts w:hint="eastAsia" w:ascii="宋体" w:hAnsi="宋体"/>
          <w:color w:val="auto"/>
          <w:szCs w:val="21"/>
          <w:highlight w:val="none"/>
        </w:rPr>
      </w:pPr>
    </w:p>
    <w:p>
      <w:pPr>
        <w:pStyle w:val="4"/>
        <w:keepNext w:val="0"/>
        <w:adjustRightInd w:val="0"/>
        <w:snapToGrid w:val="0"/>
        <w:jc w:val="center"/>
        <w:rPr>
          <w:rFonts w:hint="eastAsia"/>
          <w:color w:val="auto"/>
          <w:highlight w:val="none"/>
          <w:u w:val="single"/>
        </w:rPr>
      </w:pPr>
    </w:p>
    <w:p>
      <w:pPr>
        <w:spacing w:line="300" w:lineRule="auto"/>
        <w:ind w:left="420" w:hanging="420"/>
        <w:jc w:val="center"/>
        <w:rPr>
          <w:rFonts w:hint="eastAsia" w:ascii="黑体" w:hAnsi="宋体" w:eastAsia="黑体"/>
          <w:b/>
          <w:color w:val="auto"/>
          <w:kern w:val="0"/>
          <w:sz w:val="32"/>
          <w:szCs w:val="32"/>
          <w:highlight w:val="none"/>
        </w:rPr>
      </w:pPr>
    </w:p>
    <w:p>
      <w:pPr>
        <w:spacing w:line="300" w:lineRule="auto"/>
        <w:ind w:left="420" w:hanging="420"/>
        <w:jc w:val="center"/>
        <w:rPr>
          <w:rFonts w:hint="eastAsia" w:ascii="黑体" w:hAnsi="宋体" w:eastAsia="黑体"/>
          <w:b/>
          <w:color w:val="auto"/>
          <w:kern w:val="0"/>
          <w:sz w:val="32"/>
          <w:szCs w:val="32"/>
          <w:highlight w:val="none"/>
        </w:rPr>
      </w:pPr>
    </w:p>
    <w:p>
      <w:pPr>
        <w:spacing w:line="300" w:lineRule="auto"/>
        <w:ind w:left="420" w:hanging="420"/>
        <w:jc w:val="center"/>
        <w:rPr>
          <w:rFonts w:hint="eastAsia" w:ascii="黑体" w:hAnsi="宋体" w:eastAsia="黑体"/>
          <w:b/>
          <w:color w:val="auto"/>
          <w:kern w:val="0"/>
          <w:sz w:val="32"/>
          <w:szCs w:val="32"/>
          <w:highlight w:val="none"/>
        </w:rPr>
      </w:pPr>
    </w:p>
    <w:p>
      <w:pPr>
        <w:spacing w:line="300" w:lineRule="auto"/>
        <w:ind w:left="420" w:hanging="420"/>
        <w:jc w:val="center"/>
        <w:rPr>
          <w:rFonts w:hint="eastAsia" w:ascii="黑体" w:hAnsi="宋体" w:eastAsia="黑体"/>
          <w:b/>
          <w:color w:val="auto"/>
          <w:kern w:val="0"/>
          <w:sz w:val="32"/>
          <w:szCs w:val="32"/>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spacing w:line="300" w:lineRule="auto"/>
        <w:ind w:left="420" w:hanging="420"/>
        <w:jc w:val="center"/>
        <w:rPr>
          <w:rFonts w:hint="eastAsia" w:ascii="黑体" w:hAnsi="宋体" w:eastAsia="黑体"/>
          <w:b/>
          <w:color w:val="auto"/>
          <w:kern w:val="0"/>
          <w:sz w:val="32"/>
          <w:szCs w:val="32"/>
          <w:highlight w:val="none"/>
        </w:rPr>
      </w:pPr>
    </w:p>
    <w:p>
      <w:pPr>
        <w:widowControl/>
        <w:jc w:val="left"/>
        <w:rPr>
          <w:rFonts w:hint="eastAsia" w:ascii="方正宋黑简体" w:hAnsi="宋体" w:eastAsia="方正宋黑简体"/>
          <w:b/>
          <w:color w:val="auto"/>
          <w:szCs w:val="21"/>
          <w:highlight w:val="none"/>
        </w:rPr>
      </w:pPr>
      <w:r>
        <w:rPr>
          <w:rFonts w:hint="eastAsia" w:ascii="方正宋黑简体" w:hAnsi="宋体" w:eastAsia="方正宋黑简体"/>
          <w:b/>
          <w:color w:val="auto"/>
          <w:szCs w:val="21"/>
          <w:highlight w:val="none"/>
        </w:rPr>
        <w:t>附件12</w:t>
      </w:r>
    </w:p>
    <w:p>
      <w:pPr>
        <w:widowControl/>
        <w:jc w:val="center"/>
        <w:rPr>
          <w:rFonts w:hint="eastAsia" w:ascii="宋体" w:hAnsi="宋体" w:cs="宋体"/>
          <w:b/>
          <w:color w:val="auto"/>
          <w:sz w:val="36"/>
          <w:szCs w:val="36"/>
          <w:highlight w:val="none"/>
        </w:rPr>
      </w:pPr>
      <w:r>
        <w:rPr>
          <w:rFonts w:hint="eastAsia" w:ascii="宋体" w:hAnsi="宋体" w:cs="宋体"/>
          <w:b/>
          <w:color w:val="auto"/>
          <w:sz w:val="36"/>
          <w:szCs w:val="36"/>
          <w:highlight w:val="none"/>
        </w:rPr>
        <w:t>残疾人福利性单位声明函</w:t>
      </w:r>
    </w:p>
    <w:p>
      <w:pPr>
        <w:widowControl/>
        <w:spacing w:before="100" w:beforeAutospacing="1" w:after="100" w:afterAutospacing="1" w:line="425" w:lineRule="atLeast"/>
        <w:jc w:val="left"/>
        <w:rPr>
          <w:rFonts w:hint="eastAsia" w:ascii="宋体" w:hAnsi="宋体" w:cs="宋体"/>
          <w:color w:val="auto"/>
          <w:kern w:val="0"/>
          <w:sz w:val="24"/>
          <w:highlight w:val="none"/>
        </w:rPr>
      </w:pPr>
    </w:p>
    <w:p>
      <w:pPr>
        <w:widowControl/>
        <w:spacing w:before="100" w:beforeAutospacing="1" w:after="100" w:afterAutospacing="1" w:line="40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单位的</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项目采购活动提供本单位制造的货物（由本单位承担工程/提供服务），或者提供其他残疾人福利性单位制造的货物（不包括使用非残疾人福利性单位注册商标的货物）。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40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本单位对上述声明的真实性负责。如有虚假，将依法承担相应责任。</w:t>
      </w:r>
    </w:p>
    <w:p>
      <w:pPr>
        <w:widowControl/>
        <w:spacing w:before="100" w:beforeAutospacing="1" w:after="100" w:afterAutospacing="1" w:line="400" w:lineRule="exact"/>
        <w:jc w:val="left"/>
        <w:rPr>
          <w:rFonts w:hint="eastAsia" w:ascii="宋体" w:hAnsi="宋体" w:cs="宋体"/>
          <w:color w:val="auto"/>
          <w:kern w:val="0"/>
          <w:szCs w:val="21"/>
          <w:highlight w:val="none"/>
        </w:rPr>
      </w:pPr>
    </w:p>
    <w:p>
      <w:pPr>
        <w:widowControl/>
        <w:spacing w:before="100" w:beforeAutospacing="1" w:after="100" w:afterAutospacing="1" w:line="400" w:lineRule="exact"/>
        <w:jc w:val="left"/>
        <w:rPr>
          <w:rFonts w:hint="eastAsia" w:ascii="宋体" w:hAnsi="宋体" w:cs="宋体"/>
          <w:color w:val="auto"/>
          <w:kern w:val="0"/>
          <w:szCs w:val="21"/>
          <w:highlight w:val="none"/>
        </w:rPr>
      </w:pPr>
    </w:p>
    <w:p>
      <w:pPr>
        <w:widowControl/>
        <w:spacing w:before="100" w:beforeAutospacing="1" w:after="100" w:afterAutospacing="1" w:line="40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单位名称（盖章）：</w:t>
      </w:r>
    </w:p>
    <w:p>
      <w:pPr>
        <w:widowControl/>
        <w:spacing w:before="100" w:beforeAutospacing="1" w:after="100" w:afterAutospacing="1" w:line="40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日  期</w:t>
      </w:r>
    </w:p>
    <w:p>
      <w:pPr>
        <w:widowControl/>
        <w:spacing w:before="100" w:beforeAutospacing="1" w:after="100" w:afterAutospacing="1" w:line="400" w:lineRule="exact"/>
        <w:jc w:val="left"/>
        <w:rPr>
          <w:rFonts w:hint="eastAsia" w:ascii="宋体" w:hAnsi="宋体" w:cs="宋体"/>
          <w:color w:val="auto"/>
          <w:kern w:val="0"/>
          <w:sz w:val="24"/>
          <w:highlight w:val="none"/>
        </w:rPr>
      </w:pPr>
    </w:p>
    <w:p>
      <w:pPr>
        <w:spacing w:line="300" w:lineRule="auto"/>
        <w:rPr>
          <w:rFonts w:hint="eastAsia" w:ascii="方正宋黑简体" w:hAnsi="宋体" w:eastAsia="方正宋黑简体"/>
          <w:b/>
          <w:color w:val="auto"/>
          <w:szCs w:val="21"/>
          <w:highlight w:val="none"/>
        </w:rPr>
      </w:pPr>
      <w:r>
        <w:rPr>
          <w:rFonts w:hint="eastAsia" w:ascii="宋体" w:hAnsi="宋体" w:cs="宋体"/>
          <w:color w:val="auto"/>
          <w:kern w:val="0"/>
          <w:szCs w:val="21"/>
          <w:highlight w:val="none"/>
        </w:rPr>
        <w:t>注：投标人如为残疾人福利性单位并提供本《残疾人福利性单位声明函》的，必须对声明的真实性负责。</w:t>
      </w:r>
    </w:p>
    <w:p>
      <w:pPr>
        <w:spacing w:line="300" w:lineRule="auto"/>
        <w:rPr>
          <w:rFonts w:hint="eastAsia" w:ascii="方正宋黑简体" w:hAnsi="宋体" w:eastAsia="方正宋黑简体"/>
          <w:b/>
          <w:color w:val="auto"/>
          <w:szCs w:val="21"/>
          <w:highlight w:val="none"/>
        </w:rPr>
      </w:pPr>
    </w:p>
    <w:p>
      <w:pPr>
        <w:spacing w:line="300" w:lineRule="auto"/>
        <w:rPr>
          <w:rFonts w:hint="eastAsia" w:ascii="方正宋黑简体" w:hAnsi="宋体" w:eastAsia="方正宋黑简体"/>
          <w:b/>
          <w:color w:val="auto"/>
          <w:szCs w:val="21"/>
          <w:highlight w:val="none"/>
        </w:rPr>
      </w:pPr>
    </w:p>
    <w:p>
      <w:pPr>
        <w:spacing w:line="300" w:lineRule="auto"/>
        <w:rPr>
          <w:rFonts w:hint="eastAsia" w:ascii="方正宋黑简体" w:hAnsi="宋体" w:eastAsia="方正宋黑简体"/>
          <w:b/>
          <w:color w:val="auto"/>
          <w:szCs w:val="21"/>
          <w:highlight w:val="none"/>
        </w:rPr>
      </w:pPr>
    </w:p>
    <w:p>
      <w:pPr>
        <w:spacing w:line="300" w:lineRule="auto"/>
        <w:rPr>
          <w:rFonts w:hint="eastAsia" w:ascii="方正宋黑简体" w:hAnsi="宋体" w:eastAsia="方正宋黑简体"/>
          <w:b/>
          <w:color w:val="auto"/>
          <w:szCs w:val="21"/>
          <w:highlight w:val="none"/>
        </w:rPr>
      </w:pPr>
    </w:p>
    <w:p>
      <w:pPr>
        <w:spacing w:line="300" w:lineRule="auto"/>
        <w:rPr>
          <w:rFonts w:hint="eastAsia" w:ascii="方正宋黑简体" w:hAnsi="宋体" w:eastAsia="方正宋黑简体"/>
          <w:b/>
          <w:color w:val="auto"/>
          <w:szCs w:val="21"/>
          <w:highlight w:val="none"/>
        </w:rPr>
      </w:pPr>
    </w:p>
    <w:p>
      <w:pPr>
        <w:spacing w:line="300" w:lineRule="auto"/>
        <w:rPr>
          <w:rFonts w:hint="eastAsia" w:ascii="方正宋黑简体" w:hAnsi="宋体" w:eastAsia="方正宋黑简体"/>
          <w:b/>
          <w:color w:val="auto"/>
          <w:szCs w:val="21"/>
          <w:highlight w:val="none"/>
        </w:rPr>
      </w:pPr>
    </w:p>
    <w:p>
      <w:pPr>
        <w:spacing w:line="300" w:lineRule="auto"/>
        <w:rPr>
          <w:rFonts w:hint="eastAsia" w:ascii="方正宋黑简体" w:hAnsi="宋体" w:eastAsia="方正宋黑简体"/>
          <w:b/>
          <w:color w:val="auto"/>
          <w:szCs w:val="21"/>
          <w:highlight w:val="none"/>
        </w:rPr>
      </w:pPr>
    </w:p>
    <w:p>
      <w:pPr>
        <w:spacing w:line="300" w:lineRule="auto"/>
        <w:rPr>
          <w:rFonts w:hint="eastAsia" w:ascii="方正宋黑简体" w:hAnsi="宋体" w:eastAsia="方正宋黑简体"/>
          <w:b/>
          <w:color w:val="auto"/>
          <w:szCs w:val="21"/>
          <w:highlight w:val="none"/>
        </w:rPr>
      </w:pPr>
    </w:p>
    <w:p>
      <w:pPr>
        <w:spacing w:line="300" w:lineRule="auto"/>
        <w:rPr>
          <w:rFonts w:hint="eastAsia" w:ascii="方正宋黑简体" w:hAnsi="宋体" w:eastAsia="方正宋黑简体"/>
          <w:b/>
          <w:color w:val="auto"/>
          <w:szCs w:val="21"/>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spacing w:line="300" w:lineRule="auto"/>
        <w:rPr>
          <w:rFonts w:hint="eastAsia" w:ascii="方正宋黑简体" w:hAnsi="宋体" w:eastAsia="方正宋黑简体"/>
          <w:b/>
          <w:color w:val="auto"/>
          <w:szCs w:val="21"/>
          <w:highlight w:val="none"/>
        </w:rPr>
      </w:pPr>
    </w:p>
    <w:p>
      <w:pPr>
        <w:spacing w:before="156" w:after="50" w:line="360" w:lineRule="exact"/>
        <w:jc w:val="center"/>
        <w:rPr>
          <w:rFonts w:ascii="宋体" w:hAnsi="宋体" w:cs="宋体"/>
          <w:b/>
          <w:color w:val="auto"/>
          <w:szCs w:val="21"/>
          <w:highlight w:val="none"/>
        </w:rPr>
      </w:pPr>
      <w:r>
        <w:rPr>
          <w:rFonts w:ascii="宋体" w:hAnsi="宋体" w:cs="宋体"/>
          <w:b/>
          <w:color w:val="auto"/>
          <w:szCs w:val="21"/>
          <w:highlight w:val="none"/>
        </w:rPr>
        <w:t>主要装备和检测设施的情况和现状</w:t>
      </w:r>
    </w:p>
    <w:p>
      <w:pPr>
        <w:spacing w:before="156" w:after="50" w:line="360" w:lineRule="exact"/>
        <w:jc w:val="center"/>
        <w:rPr>
          <w:rFonts w:ascii="宋体" w:hAnsi="宋体" w:cs="宋体"/>
          <w:b/>
          <w:color w:val="auto"/>
          <w:szCs w:val="21"/>
          <w:highlight w:val="none"/>
        </w:rPr>
      </w:pPr>
      <w:r>
        <w:rPr>
          <w:rFonts w:ascii="宋体" w:hAnsi="宋体" w:cs="宋体"/>
          <w:color w:val="auto"/>
          <w:szCs w:val="21"/>
          <w:highlight w:val="none"/>
        </w:rPr>
        <w:t>（格式自拟）</w:t>
      </w:r>
    </w:p>
    <w:p>
      <w:pPr>
        <w:spacing w:before="156" w:after="50" w:line="360" w:lineRule="exact"/>
        <w:jc w:val="center"/>
        <w:rPr>
          <w:rFonts w:ascii="宋体" w:hAnsi="宋体" w:cs="宋体"/>
          <w:b/>
          <w:color w:val="auto"/>
          <w:szCs w:val="21"/>
          <w:highlight w:val="none"/>
        </w:rPr>
      </w:pPr>
    </w:p>
    <w:p>
      <w:pPr>
        <w:spacing w:before="156" w:after="50" w:line="360" w:lineRule="exact"/>
        <w:jc w:val="center"/>
        <w:rPr>
          <w:rFonts w:ascii="宋体" w:hAnsi="宋体" w:cs="宋体"/>
          <w:b/>
          <w:color w:val="auto"/>
          <w:szCs w:val="21"/>
          <w:highlight w:val="none"/>
        </w:rPr>
      </w:pPr>
    </w:p>
    <w:p>
      <w:pPr>
        <w:spacing w:before="156" w:after="50" w:line="360" w:lineRule="exact"/>
        <w:jc w:val="center"/>
        <w:rPr>
          <w:rFonts w:ascii="宋体" w:hAnsi="宋体" w:cs="宋体"/>
          <w:b/>
          <w:color w:val="auto"/>
          <w:szCs w:val="21"/>
          <w:highlight w:val="none"/>
        </w:rPr>
      </w:pPr>
    </w:p>
    <w:p>
      <w:pPr>
        <w:spacing w:before="156" w:after="50" w:line="360" w:lineRule="exact"/>
        <w:jc w:val="center"/>
        <w:rPr>
          <w:rFonts w:ascii="宋体" w:hAnsi="宋体" w:cs="宋体"/>
          <w:b/>
          <w:color w:val="auto"/>
          <w:szCs w:val="21"/>
          <w:highlight w:val="none"/>
        </w:rPr>
      </w:pPr>
    </w:p>
    <w:p>
      <w:pPr>
        <w:spacing w:before="156" w:after="50" w:line="360" w:lineRule="exact"/>
        <w:jc w:val="center"/>
        <w:rPr>
          <w:rFonts w:ascii="宋体" w:hAnsi="宋体" w:cs="宋体"/>
          <w:b/>
          <w:color w:val="auto"/>
          <w:szCs w:val="21"/>
          <w:highlight w:val="none"/>
        </w:rPr>
      </w:pPr>
    </w:p>
    <w:p>
      <w:pPr>
        <w:snapToGrid w:val="0"/>
        <w:spacing w:before="50" w:after="50"/>
        <w:rPr>
          <w:rFonts w:ascii="宋体" w:hAnsi="宋体" w:cs="宋体"/>
          <w:color w:val="auto"/>
          <w:spacing w:val="20"/>
          <w:szCs w:val="21"/>
          <w:highlight w:val="none"/>
          <w:u w:val="single"/>
        </w:rPr>
      </w:pPr>
      <w:r>
        <w:rPr>
          <w:rFonts w:hint="eastAsia" w:ascii="宋体" w:hAnsi="宋体" w:cs="宋体"/>
          <w:color w:val="auto"/>
          <w:spacing w:val="20"/>
          <w:szCs w:val="21"/>
          <w:highlight w:val="none"/>
        </w:rPr>
        <w:t>授权代表签名：</w:t>
      </w:r>
    </w:p>
    <w:p>
      <w:pPr>
        <w:snapToGrid w:val="0"/>
        <w:spacing w:before="50" w:after="50"/>
        <w:rPr>
          <w:rFonts w:ascii="宋体" w:hAnsi="宋体" w:cs="宋体"/>
          <w:color w:val="auto"/>
          <w:spacing w:val="20"/>
          <w:szCs w:val="21"/>
          <w:highlight w:val="none"/>
          <w:u w:val="single"/>
        </w:rPr>
      </w:pPr>
    </w:p>
    <w:p>
      <w:pPr>
        <w:snapToGrid w:val="0"/>
        <w:spacing w:before="50" w:after="50"/>
        <w:rPr>
          <w:rFonts w:ascii="宋体" w:hAnsi="宋体" w:cs="宋体"/>
          <w:color w:val="auto"/>
          <w:spacing w:val="20"/>
          <w:szCs w:val="21"/>
          <w:highlight w:val="none"/>
          <w:u w:val="single"/>
        </w:rPr>
      </w:pPr>
      <w:r>
        <w:rPr>
          <w:rFonts w:hint="eastAsia" w:ascii="宋体" w:hAnsi="宋体" w:cs="宋体"/>
          <w:color w:val="auto"/>
          <w:spacing w:val="20"/>
          <w:szCs w:val="21"/>
          <w:highlight w:val="none"/>
        </w:rPr>
        <w:t>投标人盖章：              日 期：</w:t>
      </w:r>
    </w:p>
    <w:p>
      <w:pPr>
        <w:spacing w:before="156" w:after="50" w:line="360" w:lineRule="exact"/>
        <w:jc w:val="center"/>
        <w:rPr>
          <w:rFonts w:ascii="宋体" w:hAnsi="宋体" w:cs="宋体"/>
          <w:b/>
          <w:color w:val="auto"/>
          <w:szCs w:val="21"/>
          <w:highlight w:val="none"/>
        </w:rPr>
      </w:pPr>
    </w:p>
    <w:p>
      <w:pPr>
        <w:spacing w:before="156" w:after="50" w:line="360" w:lineRule="exact"/>
        <w:jc w:val="center"/>
        <w:rPr>
          <w:rFonts w:ascii="宋体" w:hAnsi="宋体" w:cs="宋体"/>
          <w:b/>
          <w:color w:val="auto"/>
          <w:szCs w:val="21"/>
          <w:highlight w:val="none"/>
        </w:rPr>
      </w:pPr>
    </w:p>
    <w:p>
      <w:pPr>
        <w:spacing w:before="156" w:after="50" w:line="360" w:lineRule="exact"/>
        <w:jc w:val="center"/>
        <w:rPr>
          <w:rFonts w:ascii="宋体" w:hAnsi="宋体" w:cs="宋体"/>
          <w:b/>
          <w:color w:val="auto"/>
          <w:szCs w:val="21"/>
          <w:highlight w:val="none"/>
        </w:rPr>
      </w:pPr>
    </w:p>
    <w:p>
      <w:pPr>
        <w:spacing w:before="156" w:after="50" w:line="360" w:lineRule="exact"/>
        <w:jc w:val="center"/>
        <w:rPr>
          <w:rFonts w:ascii="宋体" w:hAnsi="宋体" w:cs="宋体"/>
          <w:b/>
          <w:color w:val="auto"/>
          <w:szCs w:val="21"/>
          <w:highlight w:val="none"/>
        </w:rPr>
      </w:pPr>
    </w:p>
    <w:p>
      <w:pPr>
        <w:spacing w:before="156" w:after="50" w:line="360" w:lineRule="exact"/>
        <w:jc w:val="center"/>
        <w:rPr>
          <w:rFonts w:ascii="宋体" w:hAnsi="宋体" w:cs="宋体"/>
          <w:b/>
          <w:color w:val="auto"/>
          <w:szCs w:val="21"/>
          <w:highlight w:val="none"/>
        </w:rPr>
      </w:pPr>
    </w:p>
    <w:p>
      <w:pPr>
        <w:spacing w:before="156" w:after="50" w:line="360" w:lineRule="exact"/>
        <w:jc w:val="center"/>
        <w:rPr>
          <w:rFonts w:ascii="宋体" w:hAnsi="宋体" w:cs="宋体"/>
          <w:b/>
          <w:color w:val="auto"/>
          <w:szCs w:val="21"/>
          <w:highlight w:val="none"/>
        </w:rPr>
      </w:pPr>
    </w:p>
    <w:p>
      <w:pPr>
        <w:spacing w:before="156" w:after="50" w:line="360" w:lineRule="exact"/>
        <w:jc w:val="center"/>
        <w:rPr>
          <w:rFonts w:ascii="宋体" w:hAnsi="宋体" w:cs="宋体"/>
          <w:b/>
          <w:color w:val="auto"/>
          <w:szCs w:val="21"/>
          <w:highlight w:val="none"/>
        </w:rPr>
      </w:pPr>
    </w:p>
    <w:p>
      <w:pPr>
        <w:spacing w:before="156" w:after="50" w:line="360" w:lineRule="exact"/>
        <w:jc w:val="center"/>
        <w:rPr>
          <w:rFonts w:ascii="宋体" w:hAnsi="宋体" w:cs="宋体"/>
          <w:b/>
          <w:color w:val="auto"/>
          <w:szCs w:val="21"/>
          <w:highlight w:val="none"/>
        </w:rPr>
      </w:pPr>
    </w:p>
    <w:p>
      <w:pPr>
        <w:spacing w:before="156" w:after="50" w:line="360" w:lineRule="exact"/>
        <w:jc w:val="center"/>
        <w:rPr>
          <w:rFonts w:ascii="宋体" w:hAnsi="宋体" w:cs="宋体"/>
          <w:b/>
          <w:color w:val="auto"/>
          <w:szCs w:val="21"/>
          <w:highlight w:val="none"/>
        </w:rPr>
      </w:pPr>
    </w:p>
    <w:p>
      <w:pPr>
        <w:spacing w:before="156" w:after="50" w:line="360" w:lineRule="exact"/>
        <w:jc w:val="center"/>
        <w:rPr>
          <w:rFonts w:ascii="宋体" w:hAnsi="宋体" w:cs="宋体"/>
          <w:b/>
          <w:color w:val="auto"/>
          <w:szCs w:val="21"/>
          <w:highlight w:val="none"/>
        </w:rPr>
      </w:pPr>
    </w:p>
    <w:p>
      <w:pPr>
        <w:spacing w:before="156" w:after="50" w:line="360" w:lineRule="exact"/>
        <w:jc w:val="center"/>
        <w:rPr>
          <w:rFonts w:ascii="宋体" w:hAnsi="宋体" w:cs="宋体"/>
          <w:b/>
          <w:color w:val="auto"/>
          <w:szCs w:val="21"/>
          <w:highlight w:val="none"/>
        </w:rPr>
      </w:pPr>
    </w:p>
    <w:p>
      <w:pPr>
        <w:spacing w:before="156" w:after="50" w:line="360" w:lineRule="exact"/>
        <w:jc w:val="center"/>
        <w:rPr>
          <w:rFonts w:ascii="宋体" w:hAnsi="宋体" w:cs="宋体"/>
          <w:b/>
          <w:color w:val="auto"/>
          <w:szCs w:val="21"/>
          <w:highlight w:val="none"/>
        </w:rPr>
      </w:pPr>
    </w:p>
    <w:p>
      <w:pPr>
        <w:spacing w:before="156" w:after="50" w:line="360" w:lineRule="exact"/>
        <w:jc w:val="center"/>
        <w:rPr>
          <w:rFonts w:ascii="宋体" w:hAnsi="宋体" w:cs="宋体"/>
          <w:b/>
          <w:color w:val="auto"/>
          <w:szCs w:val="21"/>
          <w:highlight w:val="none"/>
        </w:rPr>
      </w:pPr>
    </w:p>
    <w:p>
      <w:pPr>
        <w:spacing w:before="156" w:after="50" w:line="360" w:lineRule="exact"/>
        <w:jc w:val="center"/>
        <w:rPr>
          <w:rFonts w:ascii="宋体" w:hAnsi="宋体" w:cs="宋体"/>
          <w:b/>
          <w:color w:val="auto"/>
          <w:szCs w:val="21"/>
          <w:highlight w:val="none"/>
        </w:rPr>
      </w:pPr>
    </w:p>
    <w:p>
      <w:pPr>
        <w:spacing w:before="156" w:after="50" w:line="360" w:lineRule="exact"/>
        <w:jc w:val="center"/>
        <w:rPr>
          <w:rFonts w:hint="eastAsia" w:ascii="宋体" w:hAnsi="宋体" w:cs="宋体"/>
          <w:b/>
          <w:color w:val="auto"/>
          <w:szCs w:val="21"/>
          <w:highlight w:val="none"/>
        </w:rPr>
      </w:pPr>
    </w:p>
    <w:p>
      <w:pPr>
        <w:spacing w:before="156" w:after="50" w:line="360" w:lineRule="exact"/>
        <w:jc w:val="center"/>
        <w:rPr>
          <w:rFonts w:hint="eastAsia" w:ascii="宋体" w:hAnsi="宋体" w:cs="宋体"/>
          <w:b/>
          <w:color w:val="auto"/>
          <w:szCs w:val="21"/>
          <w:highlight w:val="none"/>
        </w:rPr>
      </w:pPr>
    </w:p>
    <w:p>
      <w:pPr>
        <w:spacing w:before="156" w:after="50" w:line="360" w:lineRule="exact"/>
        <w:jc w:val="center"/>
        <w:rPr>
          <w:rFonts w:ascii="宋体" w:hAnsi="宋体" w:cs="宋体"/>
          <w:b/>
          <w:color w:val="auto"/>
          <w:szCs w:val="21"/>
          <w:highlight w:val="none"/>
        </w:rPr>
      </w:pPr>
    </w:p>
    <w:p>
      <w:pPr>
        <w:spacing w:before="156" w:after="50" w:line="360" w:lineRule="exact"/>
        <w:jc w:val="center"/>
        <w:rPr>
          <w:rFonts w:hint="eastAsia" w:ascii="宋体" w:hAnsi="宋体" w:cs="宋体"/>
          <w:b/>
          <w:color w:val="auto"/>
          <w:szCs w:val="21"/>
          <w:highlight w:val="none"/>
        </w:rPr>
      </w:pPr>
    </w:p>
    <w:p>
      <w:pPr>
        <w:spacing w:before="156" w:after="50" w:line="360" w:lineRule="exact"/>
        <w:jc w:val="center"/>
        <w:rPr>
          <w:rFonts w:hint="eastAsia" w:ascii="宋体" w:hAnsi="宋体" w:cs="宋体"/>
          <w:b/>
          <w:color w:val="auto"/>
          <w:szCs w:val="21"/>
          <w:highlight w:val="none"/>
        </w:rPr>
      </w:pPr>
    </w:p>
    <w:p>
      <w:pPr>
        <w:spacing w:before="156" w:after="50" w:line="360" w:lineRule="exact"/>
        <w:jc w:val="center"/>
        <w:rPr>
          <w:rFonts w:hint="eastAsia" w:ascii="宋体" w:hAnsi="宋体" w:cs="宋体"/>
          <w:b/>
          <w:color w:val="auto"/>
          <w:szCs w:val="21"/>
          <w:highlight w:val="none"/>
        </w:rPr>
      </w:pPr>
      <w:r>
        <w:rPr>
          <w:rFonts w:ascii="宋体" w:hAnsi="宋体" w:cs="宋体"/>
          <w:b/>
          <w:color w:val="auto"/>
          <w:szCs w:val="21"/>
          <w:highlight w:val="none"/>
        </w:rPr>
        <w:t>项目实施人员（主要从业人员及其技术资格）一览表</w:t>
      </w:r>
    </w:p>
    <w:p>
      <w:pPr>
        <w:spacing w:before="156" w:after="50" w:line="360" w:lineRule="exact"/>
        <w:jc w:val="center"/>
        <w:rPr>
          <w:rFonts w:ascii="宋体" w:hAnsi="宋体" w:cs="宋体"/>
          <w:b/>
          <w:color w:val="auto"/>
          <w:szCs w:val="21"/>
          <w:highlight w:val="none"/>
        </w:rPr>
      </w:pPr>
    </w:p>
    <w:tbl>
      <w:tblPr>
        <w:tblStyle w:val="36"/>
        <w:tblW w:w="0" w:type="auto"/>
        <w:tblInd w:w="-143" w:type="dxa"/>
        <w:tblLayout w:type="fixed"/>
        <w:tblCellMar>
          <w:top w:w="0" w:type="dxa"/>
          <w:left w:w="108" w:type="dxa"/>
          <w:bottom w:w="0" w:type="dxa"/>
          <w:right w:w="108" w:type="dxa"/>
        </w:tblCellMar>
      </w:tblPr>
      <w:tblGrid>
        <w:gridCol w:w="971"/>
        <w:gridCol w:w="900"/>
        <w:gridCol w:w="2160"/>
        <w:gridCol w:w="1516"/>
        <w:gridCol w:w="2084"/>
        <w:gridCol w:w="1980"/>
      </w:tblGrid>
      <w:tr>
        <w:tc>
          <w:tcPr>
            <w:tcW w:w="971" w:type="dxa"/>
            <w:tcBorders>
              <w:top w:val="single" w:color="000000" w:sz="4" w:space="0"/>
              <w:left w:val="single" w:color="000000" w:sz="4" w:space="0"/>
              <w:bottom w:val="single" w:color="000000" w:sz="4" w:space="0"/>
              <w:right w:val="single" w:color="000000" w:sz="4" w:space="0"/>
            </w:tcBorders>
            <w:noWrap w:val="0"/>
            <w:vAlign w:val="center"/>
          </w:tcPr>
          <w:p>
            <w:pPr>
              <w:spacing w:before="156" w:after="50" w:line="360" w:lineRule="exact"/>
              <w:jc w:val="center"/>
              <w:rPr>
                <w:rFonts w:ascii="宋体" w:hAnsi="宋体" w:cs="宋体"/>
                <w:color w:val="auto"/>
                <w:szCs w:val="21"/>
                <w:highlight w:val="none"/>
              </w:rPr>
            </w:pPr>
            <w:r>
              <w:rPr>
                <w:rFonts w:hint="eastAsia" w:ascii="宋体" w:hAnsi="宋体" w:cs="宋体"/>
                <w:color w:val="auto"/>
                <w:szCs w:val="21"/>
                <w:highlight w:val="none"/>
              </w:rPr>
              <w:t>姓名</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before="156" w:after="50" w:line="360" w:lineRule="exact"/>
              <w:jc w:val="center"/>
              <w:rPr>
                <w:rFonts w:ascii="宋体" w:hAnsi="宋体" w:cs="宋体"/>
                <w:color w:val="auto"/>
                <w:szCs w:val="21"/>
                <w:highlight w:val="none"/>
              </w:rPr>
            </w:pPr>
            <w:r>
              <w:rPr>
                <w:rFonts w:hint="eastAsia" w:ascii="宋体" w:hAnsi="宋体" w:cs="宋体"/>
                <w:color w:val="auto"/>
                <w:szCs w:val="21"/>
                <w:highlight w:val="none"/>
              </w:rPr>
              <w:t>职务</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spacing w:before="156" w:after="50" w:line="360" w:lineRule="exact"/>
              <w:jc w:val="center"/>
              <w:rPr>
                <w:rFonts w:ascii="宋体" w:hAnsi="宋体" w:cs="宋体"/>
                <w:color w:val="auto"/>
                <w:szCs w:val="21"/>
                <w:highlight w:val="none"/>
              </w:rPr>
            </w:pPr>
            <w:r>
              <w:rPr>
                <w:rFonts w:hint="eastAsia" w:ascii="宋体" w:hAnsi="宋体" w:cs="宋体"/>
                <w:color w:val="auto"/>
                <w:szCs w:val="21"/>
                <w:highlight w:val="none"/>
              </w:rPr>
              <w:t>专业技术资格</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spacing w:before="156" w:after="50" w:line="360" w:lineRule="exact"/>
              <w:jc w:val="center"/>
              <w:rPr>
                <w:rFonts w:ascii="宋体" w:hAnsi="宋体" w:cs="宋体"/>
                <w:color w:val="auto"/>
                <w:szCs w:val="21"/>
                <w:highlight w:val="none"/>
              </w:rPr>
            </w:pPr>
            <w:r>
              <w:rPr>
                <w:rFonts w:hint="eastAsia" w:ascii="宋体" w:hAnsi="宋体" w:cs="宋体"/>
                <w:color w:val="auto"/>
                <w:szCs w:val="21"/>
                <w:highlight w:val="none"/>
              </w:rPr>
              <w:t>证书编号</w:t>
            </w:r>
          </w:p>
        </w:tc>
        <w:tc>
          <w:tcPr>
            <w:tcW w:w="2084" w:type="dxa"/>
            <w:tcBorders>
              <w:top w:val="single" w:color="000000" w:sz="4" w:space="0"/>
              <w:left w:val="single" w:color="000000" w:sz="4" w:space="0"/>
              <w:bottom w:val="single" w:color="000000" w:sz="4" w:space="0"/>
              <w:right w:val="single" w:color="000000" w:sz="4" w:space="0"/>
            </w:tcBorders>
            <w:noWrap w:val="0"/>
            <w:vAlign w:val="center"/>
          </w:tcPr>
          <w:p>
            <w:pPr>
              <w:spacing w:before="156" w:after="50" w:line="360" w:lineRule="exact"/>
              <w:jc w:val="center"/>
              <w:rPr>
                <w:rFonts w:ascii="宋体" w:hAnsi="宋体" w:cs="宋体"/>
                <w:color w:val="auto"/>
                <w:szCs w:val="21"/>
                <w:highlight w:val="none"/>
              </w:rPr>
            </w:pPr>
            <w:r>
              <w:rPr>
                <w:rFonts w:hint="eastAsia" w:ascii="宋体" w:hAnsi="宋体" w:cs="宋体"/>
                <w:color w:val="auto"/>
                <w:szCs w:val="21"/>
                <w:highlight w:val="none"/>
              </w:rPr>
              <w:t>参加本单位</w:t>
            </w:r>
          </w:p>
          <w:p>
            <w:pPr>
              <w:spacing w:before="156" w:after="50" w:line="360" w:lineRule="exact"/>
              <w:jc w:val="center"/>
              <w:rPr>
                <w:rFonts w:ascii="宋体" w:hAnsi="宋体" w:cs="宋体"/>
                <w:color w:val="auto"/>
                <w:szCs w:val="21"/>
                <w:highlight w:val="none"/>
              </w:rPr>
            </w:pPr>
            <w:r>
              <w:rPr>
                <w:rFonts w:hint="eastAsia" w:ascii="宋体" w:hAnsi="宋体" w:cs="宋体"/>
                <w:color w:val="auto"/>
                <w:szCs w:val="21"/>
                <w:highlight w:val="none"/>
              </w:rPr>
              <w:t>工作时间</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spacing w:before="156" w:after="50" w:line="360" w:lineRule="exact"/>
              <w:jc w:val="center"/>
              <w:rPr>
                <w:rFonts w:ascii="宋体" w:hAnsi="宋体" w:cs="宋体"/>
                <w:color w:val="auto"/>
                <w:szCs w:val="21"/>
                <w:highlight w:val="none"/>
              </w:rPr>
            </w:pPr>
            <w:r>
              <w:rPr>
                <w:rFonts w:hint="eastAsia" w:ascii="宋体" w:hAnsi="宋体" w:cs="宋体"/>
                <w:color w:val="auto"/>
                <w:szCs w:val="21"/>
                <w:highlight w:val="none"/>
              </w:rPr>
              <w:t>劳动合同编号</w:t>
            </w:r>
          </w:p>
        </w:tc>
      </w:tr>
      <w:tr>
        <w:tblPrEx>
          <w:tblCellMar>
            <w:top w:w="0" w:type="dxa"/>
            <w:left w:w="108" w:type="dxa"/>
            <w:bottom w:w="0" w:type="dxa"/>
            <w:right w:w="108" w:type="dxa"/>
          </w:tblCellMar>
        </w:tblPrEx>
        <w:tc>
          <w:tcPr>
            <w:tcW w:w="971" w:type="dxa"/>
            <w:tcBorders>
              <w:top w:val="single" w:color="000000" w:sz="4" w:space="0"/>
              <w:left w:val="single" w:color="000000" w:sz="4" w:space="0"/>
              <w:bottom w:val="single" w:color="000000" w:sz="4" w:space="0"/>
              <w:right w:val="single" w:color="000000" w:sz="4" w:space="0"/>
            </w:tcBorders>
            <w:noWrap w:val="0"/>
            <w:vAlign w:val="top"/>
          </w:tcPr>
          <w:p>
            <w:pPr>
              <w:spacing w:before="156" w:after="50" w:line="360" w:lineRule="exact"/>
              <w:rPr>
                <w:rFonts w:ascii="宋体" w:hAnsi="宋体" w:cs="宋体"/>
                <w:color w:val="auto"/>
                <w:szCs w:val="21"/>
                <w:highlight w:val="none"/>
              </w:rPr>
            </w:pPr>
          </w:p>
        </w:tc>
        <w:tc>
          <w:tcPr>
            <w:tcW w:w="900" w:type="dxa"/>
            <w:tcBorders>
              <w:top w:val="single" w:color="000000" w:sz="4" w:space="0"/>
              <w:left w:val="single" w:color="000000" w:sz="4" w:space="0"/>
              <w:bottom w:val="single" w:color="000000" w:sz="4" w:space="0"/>
              <w:right w:val="single" w:color="000000" w:sz="4" w:space="0"/>
            </w:tcBorders>
            <w:noWrap w:val="0"/>
            <w:vAlign w:val="top"/>
          </w:tcPr>
          <w:p>
            <w:pPr>
              <w:spacing w:before="156" w:after="50" w:line="360" w:lineRule="exact"/>
              <w:rPr>
                <w:rFonts w:ascii="宋体" w:hAnsi="宋体" w:cs="宋体"/>
                <w:color w:val="auto"/>
                <w:szCs w:val="21"/>
                <w:highlight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top"/>
          </w:tcPr>
          <w:p>
            <w:pPr>
              <w:spacing w:before="156" w:after="50" w:line="360" w:lineRule="exact"/>
              <w:rPr>
                <w:rFonts w:ascii="宋体" w:hAnsi="宋体" w:cs="宋体"/>
                <w:color w:val="auto"/>
                <w:szCs w:val="21"/>
                <w:highlight w:val="none"/>
              </w:rPr>
            </w:pPr>
          </w:p>
        </w:tc>
        <w:tc>
          <w:tcPr>
            <w:tcW w:w="1516" w:type="dxa"/>
            <w:tcBorders>
              <w:top w:val="single" w:color="000000" w:sz="4" w:space="0"/>
              <w:left w:val="single" w:color="000000" w:sz="4" w:space="0"/>
              <w:bottom w:val="single" w:color="000000" w:sz="4" w:space="0"/>
              <w:right w:val="single" w:color="000000" w:sz="4" w:space="0"/>
            </w:tcBorders>
            <w:noWrap w:val="0"/>
            <w:vAlign w:val="top"/>
          </w:tcPr>
          <w:p>
            <w:pPr>
              <w:spacing w:before="156" w:after="50" w:line="360" w:lineRule="exact"/>
              <w:rPr>
                <w:rFonts w:ascii="宋体" w:hAnsi="宋体" w:cs="宋体"/>
                <w:color w:val="auto"/>
                <w:szCs w:val="21"/>
                <w:highlight w:val="none"/>
              </w:rPr>
            </w:pPr>
          </w:p>
        </w:tc>
        <w:tc>
          <w:tcPr>
            <w:tcW w:w="2084" w:type="dxa"/>
            <w:tcBorders>
              <w:top w:val="single" w:color="000000" w:sz="4" w:space="0"/>
              <w:left w:val="single" w:color="000000" w:sz="4" w:space="0"/>
              <w:bottom w:val="single" w:color="000000" w:sz="4" w:space="0"/>
              <w:right w:val="single" w:color="000000" w:sz="4" w:space="0"/>
            </w:tcBorders>
            <w:noWrap w:val="0"/>
            <w:vAlign w:val="top"/>
          </w:tcPr>
          <w:p>
            <w:pPr>
              <w:spacing w:before="156" w:after="50" w:line="360" w:lineRule="exact"/>
              <w:rPr>
                <w:rFonts w:ascii="宋体" w:hAnsi="宋体" w:cs="宋体"/>
                <w:color w:val="auto"/>
                <w:szCs w:val="21"/>
                <w:highlight w:val="none"/>
              </w:rPr>
            </w:pPr>
          </w:p>
        </w:tc>
        <w:tc>
          <w:tcPr>
            <w:tcW w:w="1980" w:type="dxa"/>
            <w:tcBorders>
              <w:top w:val="single" w:color="000000" w:sz="4" w:space="0"/>
              <w:left w:val="single" w:color="000000" w:sz="4" w:space="0"/>
              <w:bottom w:val="single" w:color="000000" w:sz="4" w:space="0"/>
              <w:right w:val="single" w:color="000000" w:sz="4" w:space="0"/>
            </w:tcBorders>
            <w:noWrap w:val="0"/>
            <w:vAlign w:val="top"/>
          </w:tcPr>
          <w:p>
            <w:pPr>
              <w:spacing w:before="156" w:after="50" w:line="360" w:lineRule="exact"/>
              <w:rPr>
                <w:rFonts w:ascii="宋体" w:hAnsi="宋体" w:cs="宋体"/>
                <w:color w:val="auto"/>
                <w:szCs w:val="21"/>
                <w:highlight w:val="none"/>
              </w:rPr>
            </w:pPr>
          </w:p>
        </w:tc>
      </w:tr>
      <w:tr>
        <w:tblPrEx>
          <w:tblCellMar>
            <w:top w:w="0" w:type="dxa"/>
            <w:left w:w="108" w:type="dxa"/>
            <w:bottom w:w="0" w:type="dxa"/>
            <w:right w:w="108" w:type="dxa"/>
          </w:tblCellMar>
        </w:tblPrEx>
        <w:tc>
          <w:tcPr>
            <w:tcW w:w="971" w:type="dxa"/>
            <w:tcBorders>
              <w:top w:val="single" w:color="000000" w:sz="4" w:space="0"/>
              <w:left w:val="single" w:color="000000" w:sz="4" w:space="0"/>
              <w:bottom w:val="single" w:color="000000" w:sz="4" w:space="0"/>
              <w:right w:val="single" w:color="000000" w:sz="4" w:space="0"/>
            </w:tcBorders>
            <w:noWrap w:val="0"/>
            <w:vAlign w:val="top"/>
          </w:tcPr>
          <w:p>
            <w:pPr>
              <w:spacing w:before="156" w:after="50" w:line="360" w:lineRule="exact"/>
              <w:rPr>
                <w:rFonts w:ascii="宋体" w:hAnsi="宋体" w:cs="宋体"/>
                <w:color w:val="auto"/>
                <w:szCs w:val="21"/>
                <w:highlight w:val="none"/>
              </w:rPr>
            </w:pPr>
          </w:p>
        </w:tc>
        <w:tc>
          <w:tcPr>
            <w:tcW w:w="900" w:type="dxa"/>
            <w:tcBorders>
              <w:top w:val="single" w:color="000000" w:sz="4" w:space="0"/>
              <w:left w:val="single" w:color="000000" w:sz="4" w:space="0"/>
              <w:bottom w:val="single" w:color="000000" w:sz="4" w:space="0"/>
              <w:right w:val="single" w:color="000000" w:sz="4" w:space="0"/>
            </w:tcBorders>
            <w:noWrap w:val="0"/>
            <w:vAlign w:val="top"/>
          </w:tcPr>
          <w:p>
            <w:pPr>
              <w:spacing w:before="156" w:after="50" w:line="360" w:lineRule="exact"/>
              <w:rPr>
                <w:rFonts w:ascii="宋体" w:hAnsi="宋体" w:cs="宋体"/>
                <w:color w:val="auto"/>
                <w:szCs w:val="21"/>
                <w:highlight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top"/>
          </w:tcPr>
          <w:p>
            <w:pPr>
              <w:spacing w:before="156" w:after="50" w:line="360" w:lineRule="exact"/>
              <w:rPr>
                <w:rFonts w:ascii="宋体" w:hAnsi="宋体" w:cs="宋体"/>
                <w:color w:val="auto"/>
                <w:szCs w:val="21"/>
                <w:highlight w:val="none"/>
              </w:rPr>
            </w:pPr>
          </w:p>
        </w:tc>
        <w:tc>
          <w:tcPr>
            <w:tcW w:w="1516" w:type="dxa"/>
            <w:tcBorders>
              <w:top w:val="single" w:color="000000" w:sz="4" w:space="0"/>
              <w:left w:val="single" w:color="000000" w:sz="4" w:space="0"/>
              <w:bottom w:val="single" w:color="000000" w:sz="4" w:space="0"/>
              <w:right w:val="single" w:color="000000" w:sz="4" w:space="0"/>
            </w:tcBorders>
            <w:noWrap w:val="0"/>
            <w:vAlign w:val="top"/>
          </w:tcPr>
          <w:p>
            <w:pPr>
              <w:spacing w:before="156" w:after="50" w:line="360" w:lineRule="exact"/>
              <w:rPr>
                <w:rFonts w:ascii="宋体" w:hAnsi="宋体" w:cs="宋体"/>
                <w:color w:val="auto"/>
                <w:szCs w:val="21"/>
                <w:highlight w:val="none"/>
              </w:rPr>
            </w:pPr>
          </w:p>
        </w:tc>
        <w:tc>
          <w:tcPr>
            <w:tcW w:w="2084" w:type="dxa"/>
            <w:tcBorders>
              <w:top w:val="single" w:color="000000" w:sz="4" w:space="0"/>
              <w:left w:val="single" w:color="000000" w:sz="4" w:space="0"/>
              <w:bottom w:val="single" w:color="000000" w:sz="4" w:space="0"/>
              <w:right w:val="single" w:color="000000" w:sz="4" w:space="0"/>
            </w:tcBorders>
            <w:noWrap w:val="0"/>
            <w:vAlign w:val="top"/>
          </w:tcPr>
          <w:p>
            <w:pPr>
              <w:spacing w:before="156" w:after="50" w:line="360" w:lineRule="exact"/>
              <w:rPr>
                <w:rFonts w:ascii="宋体" w:hAnsi="宋体" w:cs="宋体"/>
                <w:color w:val="auto"/>
                <w:szCs w:val="21"/>
                <w:highlight w:val="none"/>
              </w:rPr>
            </w:pPr>
          </w:p>
        </w:tc>
        <w:tc>
          <w:tcPr>
            <w:tcW w:w="1980" w:type="dxa"/>
            <w:tcBorders>
              <w:top w:val="single" w:color="000000" w:sz="4" w:space="0"/>
              <w:left w:val="single" w:color="000000" w:sz="4" w:space="0"/>
              <w:bottom w:val="single" w:color="000000" w:sz="4" w:space="0"/>
              <w:right w:val="single" w:color="000000" w:sz="4" w:space="0"/>
            </w:tcBorders>
            <w:noWrap w:val="0"/>
            <w:vAlign w:val="top"/>
          </w:tcPr>
          <w:p>
            <w:pPr>
              <w:spacing w:before="156" w:after="50" w:line="360" w:lineRule="exact"/>
              <w:rPr>
                <w:rFonts w:ascii="宋体" w:hAnsi="宋体" w:cs="宋体"/>
                <w:color w:val="auto"/>
                <w:szCs w:val="21"/>
                <w:highlight w:val="none"/>
              </w:rPr>
            </w:pPr>
          </w:p>
        </w:tc>
      </w:tr>
      <w:tr>
        <w:tblPrEx>
          <w:tblCellMar>
            <w:top w:w="0" w:type="dxa"/>
            <w:left w:w="108" w:type="dxa"/>
            <w:bottom w:w="0" w:type="dxa"/>
            <w:right w:w="108" w:type="dxa"/>
          </w:tblCellMar>
        </w:tblPrEx>
        <w:tc>
          <w:tcPr>
            <w:tcW w:w="971" w:type="dxa"/>
            <w:tcBorders>
              <w:top w:val="single" w:color="000000" w:sz="4" w:space="0"/>
              <w:left w:val="single" w:color="000000" w:sz="4" w:space="0"/>
              <w:bottom w:val="single" w:color="000000" w:sz="4" w:space="0"/>
              <w:right w:val="single" w:color="000000" w:sz="4" w:space="0"/>
            </w:tcBorders>
            <w:noWrap w:val="0"/>
            <w:vAlign w:val="top"/>
          </w:tcPr>
          <w:p>
            <w:pPr>
              <w:spacing w:before="156" w:after="50" w:line="360" w:lineRule="exact"/>
              <w:rPr>
                <w:rFonts w:ascii="宋体" w:hAnsi="宋体" w:cs="宋体"/>
                <w:color w:val="auto"/>
                <w:szCs w:val="21"/>
                <w:highlight w:val="none"/>
              </w:rPr>
            </w:pPr>
          </w:p>
        </w:tc>
        <w:tc>
          <w:tcPr>
            <w:tcW w:w="900" w:type="dxa"/>
            <w:tcBorders>
              <w:top w:val="single" w:color="000000" w:sz="4" w:space="0"/>
              <w:left w:val="single" w:color="000000" w:sz="4" w:space="0"/>
              <w:bottom w:val="single" w:color="000000" w:sz="4" w:space="0"/>
              <w:right w:val="single" w:color="000000" w:sz="4" w:space="0"/>
            </w:tcBorders>
            <w:noWrap w:val="0"/>
            <w:vAlign w:val="top"/>
          </w:tcPr>
          <w:p>
            <w:pPr>
              <w:spacing w:before="156" w:after="50" w:line="360" w:lineRule="exact"/>
              <w:rPr>
                <w:rFonts w:ascii="宋体" w:hAnsi="宋体" w:cs="宋体"/>
                <w:color w:val="auto"/>
                <w:szCs w:val="21"/>
                <w:highlight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top"/>
          </w:tcPr>
          <w:p>
            <w:pPr>
              <w:pStyle w:val="24"/>
              <w:spacing w:before="156" w:after="50" w:line="360" w:lineRule="exact"/>
              <w:ind w:left="5250"/>
              <w:rPr>
                <w:rFonts w:cs="宋体"/>
                <w:color w:val="auto"/>
                <w:highlight w:val="none"/>
                <w:lang w:val="en-US" w:eastAsia="zh-CN"/>
              </w:rPr>
            </w:pPr>
          </w:p>
        </w:tc>
        <w:tc>
          <w:tcPr>
            <w:tcW w:w="1516" w:type="dxa"/>
            <w:tcBorders>
              <w:top w:val="single" w:color="000000" w:sz="4" w:space="0"/>
              <w:left w:val="single" w:color="000000" w:sz="4" w:space="0"/>
              <w:bottom w:val="single" w:color="000000" w:sz="4" w:space="0"/>
              <w:right w:val="single" w:color="000000" w:sz="4" w:space="0"/>
            </w:tcBorders>
            <w:noWrap w:val="0"/>
            <w:vAlign w:val="top"/>
          </w:tcPr>
          <w:p>
            <w:pPr>
              <w:spacing w:before="156" w:after="50" w:line="360" w:lineRule="exact"/>
              <w:rPr>
                <w:rFonts w:ascii="宋体" w:hAnsi="宋体" w:cs="宋体"/>
                <w:color w:val="auto"/>
                <w:szCs w:val="21"/>
                <w:highlight w:val="none"/>
              </w:rPr>
            </w:pPr>
          </w:p>
        </w:tc>
        <w:tc>
          <w:tcPr>
            <w:tcW w:w="2084" w:type="dxa"/>
            <w:tcBorders>
              <w:top w:val="single" w:color="000000" w:sz="4" w:space="0"/>
              <w:left w:val="single" w:color="000000" w:sz="4" w:space="0"/>
              <w:bottom w:val="single" w:color="000000" w:sz="4" w:space="0"/>
              <w:right w:val="single" w:color="000000" w:sz="4" w:space="0"/>
            </w:tcBorders>
            <w:noWrap w:val="0"/>
            <w:vAlign w:val="top"/>
          </w:tcPr>
          <w:p>
            <w:pPr>
              <w:spacing w:before="156" w:after="50" w:line="360" w:lineRule="exact"/>
              <w:rPr>
                <w:rFonts w:ascii="宋体" w:hAnsi="宋体" w:cs="宋体"/>
                <w:color w:val="auto"/>
                <w:szCs w:val="21"/>
                <w:highlight w:val="none"/>
              </w:rPr>
            </w:pPr>
          </w:p>
        </w:tc>
        <w:tc>
          <w:tcPr>
            <w:tcW w:w="1980" w:type="dxa"/>
            <w:tcBorders>
              <w:top w:val="single" w:color="000000" w:sz="4" w:space="0"/>
              <w:left w:val="single" w:color="000000" w:sz="4" w:space="0"/>
              <w:bottom w:val="single" w:color="000000" w:sz="4" w:space="0"/>
              <w:right w:val="single" w:color="000000" w:sz="4" w:space="0"/>
            </w:tcBorders>
            <w:noWrap w:val="0"/>
            <w:vAlign w:val="top"/>
          </w:tcPr>
          <w:p>
            <w:pPr>
              <w:spacing w:before="156" w:after="50" w:line="360" w:lineRule="exact"/>
              <w:rPr>
                <w:rFonts w:ascii="宋体" w:hAnsi="宋体" w:cs="宋体"/>
                <w:color w:val="auto"/>
                <w:szCs w:val="21"/>
                <w:highlight w:val="none"/>
              </w:rPr>
            </w:pPr>
          </w:p>
        </w:tc>
      </w:tr>
    </w:tbl>
    <w:p>
      <w:pPr>
        <w:snapToGrid w:val="0"/>
        <w:spacing w:before="50" w:after="50"/>
        <w:rPr>
          <w:rFonts w:ascii="宋体" w:hAnsi="宋体" w:cs="宋体"/>
          <w:color w:val="auto"/>
          <w:spacing w:val="20"/>
          <w:szCs w:val="21"/>
          <w:highlight w:val="none"/>
          <w:u w:val="single"/>
        </w:rPr>
      </w:pPr>
      <w:r>
        <w:rPr>
          <w:rFonts w:hint="eastAsia" w:ascii="宋体" w:hAnsi="宋体" w:cs="宋体"/>
          <w:color w:val="auto"/>
          <w:spacing w:val="20"/>
          <w:szCs w:val="21"/>
          <w:highlight w:val="none"/>
        </w:rPr>
        <w:t>授权代表签名：</w:t>
      </w:r>
    </w:p>
    <w:p>
      <w:pPr>
        <w:snapToGrid w:val="0"/>
        <w:spacing w:before="50" w:after="50"/>
        <w:rPr>
          <w:rFonts w:ascii="宋体" w:hAnsi="宋体" w:cs="宋体"/>
          <w:color w:val="auto"/>
          <w:spacing w:val="20"/>
          <w:szCs w:val="21"/>
          <w:highlight w:val="none"/>
          <w:u w:val="single"/>
        </w:rPr>
      </w:pPr>
    </w:p>
    <w:p>
      <w:pPr>
        <w:snapToGrid w:val="0"/>
        <w:spacing w:before="50" w:after="50"/>
        <w:rPr>
          <w:rFonts w:ascii="宋体" w:hAnsi="宋体" w:cs="宋体"/>
          <w:color w:val="auto"/>
          <w:spacing w:val="20"/>
          <w:szCs w:val="21"/>
          <w:highlight w:val="none"/>
          <w:u w:val="single"/>
        </w:rPr>
      </w:pPr>
      <w:r>
        <w:rPr>
          <w:rFonts w:hint="eastAsia" w:ascii="宋体" w:hAnsi="宋体" w:cs="宋体"/>
          <w:color w:val="auto"/>
          <w:spacing w:val="20"/>
          <w:szCs w:val="21"/>
          <w:highlight w:val="none"/>
        </w:rPr>
        <w:t>投标人盖章：              日 期：</w:t>
      </w:r>
    </w:p>
    <w:p>
      <w:pPr>
        <w:spacing w:before="50" w:after="156" w:line="360" w:lineRule="exact"/>
        <w:jc w:val="left"/>
        <w:rPr>
          <w:rFonts w:ascii="宋体" w:hAnsi="宋体" w:cs="宋体"/>
          <w:b/>
          <w:color w:val="auto"/>
          <w:szCs w:val="21"/>
          <w:highlight w:val="none"/>
        </w:rPr>
      </w:pPr>
    </w:p>
    <w:p>
      <w:pPr>
        <w:spacing w:before="50" w:after="156" w:line="360" w:lineRule="exact"/>
        <w:jc w:val="left"/>
        <w:rPr>
          <w:rFonts w:ascii="宋体" w:hAnsi="宋体" w:cs="宋体"/>
          <w:b/>
          <w:color w:val="auto"/>
          <w:szCs w:val="21"/>
          <w:highlight w:val="none"/>
        </w:rPr>
      </w:pPr>
    </w:p>
    <w:p>
      <w:pPr>
        <w:spacing w:before="50" w:after="156" w:line="360" w:lineRule="exact"/>
        <w:jc w:val="left"/>
        <w:rPr>
          <w:rFonts w:ascii="宋体" w:hAnsi="宋体" w:cs="宋体"/>
          <w:b/>
          <w:color w:val="auto"/>
          <w:szCs w:val="21"/>
          <w:highlight w:val="none"/>
        </w:rPr>
      </w:pPr>
    </w:p>
    <w:p>
      <w:pPr>
        <w:spacing w:before="50" w:after="156" w:line="360" w:lineRule="exact"/>
        <w:jc w:val="left"/>
        <w:rPr>
          <w:rFonts w:ascii="宋体" w:hAnsi="宋体" w:cs="宋体"/>
          <w:b/>
          <w:color w:val="auto"/>
          <w:szCs w:val="21"/>
          <w:highlight w:val="none"/>
        </w:rPr>
      </w:pPr>
    </w:p>
    <w:p>
      <w:pPr>
        <w:spacing w:before="50" w:after="156" w:line="360" w:lineRule="exact"/>
        <w:jc w:val="left"/>
        <w:rPr>
          <w:rFonts w:ascii="宋体" w:hAnsi="宋体" w:cs="宋体"/>
          <w:b/>
          <w:color w:val="auto"/>
          <w:szCs w:val="21"/>
          <w:highlight w:val="none"/>
        </w:rPr>
      </w:pPr>
    </w:p>
    <w:p>
      <w:pPr>
        <w:spacing w:before="50" w:after="156" w:line="360" w:lineRule="exact"/>
        <w:jc w:val="left"/>
        <w:rPr>
          <w:rFonts w:ascii="宋体" w:hAnsi="宋体" w:cs="宋体"/>
          <w:b/>
          <w:color w:val="auto"/>
          <w:szCs w:val="21"/>
          <w:highlight w:val="none"/>
        </w:rPr>
      </w:pPr>
    </w:p>
    <w:p>
      <w:pPr>
        <w:spacing w:before="50" w:after="156" w:line="360" w:lineRule="exact"/>
        <w:jc w:val="left"/>
        <w:rPr>
          <w:rFonts w:ascii="宋体" w:hAnsi="宋体" w:cs="宋体"/>
          <w:b/>
          <w:color w:val="auto"/>
          <w:szCs w:val="21"/>
          <w:highlight w:val="none"/>
        </w:rPr>
      </w:pPr>
    </w:p>
    <w:p>
      <w:pPr>
        <w:spacing w:before="50" w:after="156" w:line="360" w:lineRule="exact"/>
        <w:jc w:val="left"/>
        <w:rPr>
          <w:rFonts w:ascii="宋体" w:hAnsi="宋体" w:cs="宋体"/>
          <w:b/>
          <w:color w:val="auto"/>
          <w:szCs w:val="21"/>
          <w:highlight w:val="none"/>
        </w:rPr>
      </w:pPr>
    </w:p>
    <w:p>
      <w:pPr>
        <w:spacing w:before="50" w:after="156" w:line="360" w:lineRule="exact"/>
        <w:jc w:val="left"/>
        <w:rPr>
          <w:rFonts w:ascii="宋体" w:hAnsi="宋体" w:cs="宋体"/>
          <w:b/>
          <w:color w:val="auto"/>
          <w:szCs w:val="21"/>
          <w:highlight w:val="none"/>
        </w:rPr>
      </w:pPr>
    </w:p>
    <w:p>
      <w:pPr>
        <w:spacing w:before="50" w:after="156" w:line="360" w:lineRule="exact"/>
        <w:jc w:val="left"/>
        <w:rPr>
          <w:rFonts w:ascii="宋体" w:hAnsi="宋体" w:cs="宋体"/>
          <w:b/>
          <w:color w:val="auto"/>
          <w:szCs w:val="21"/>
          <w:highlight w:val="none"/>
        </w:rPr>
      </w:pPr>
    </w:p>
    <w:p>
      <w:pPr>
        <w:spacing w:before="50" w:after="156" w:line="360" w:lineRule="exact"/>
        <w:jc w:val="left"/>
        <w:rPr>
          <w:rFonts w:ascii="宋体" w:hAnsi="宋体" w:cs="宋体"/>
          <w:b/>
          <w:color w:val="auto"/>
          <w:szCs w:val="21"/>
          <w:highlight w:val="none"/>
        </w:rPr>
      </w:pPr>
    </w:p>
    <w:p>
      <w:pPr>
        <w:spacing w:before="50" w:after="156" w:line="360" w:lineRule="exact"/>
        <w:jc w:val="left"/>
        <w:rPr>
          <w:rFonts w:ascii="宋体" w:hAnsi="宋体" w:cs="宋体"/>
          <w:b/>
          <w:color w:val="auto"/>
          <w:szCs w:val="21"/>
          <w:highlight w:val="none"/>
        </w:rPr>
      </w:pPr>
    </w:p>
    <w:p>
      <w:pPr>
        <w:spacing w:before="50" w:after="156" w:line="360" w:lineRule="exact"/>
        <w:jc w:val="left"/>
        <w:rPr>
          <w:rFonts w:ascii="宋体" w:hAnsi="宋体" w:cs="宋体"/>
          <w:b/>
          <w:color w:val="auto"/>
          <w:szCs w:val="21"/>
          <w:highlight w:val="none"/>
        </w:rPr>
      </w:pPr>
    </w:p>
    <w:p>
      <w:pPr>
        <w:spacing w:before="50" w:after="156" w:line="360" w:lineRule="exact"/>
        <w:jc w:val="left"/>
        <w:rPr>
          <w:rFonts w:ascii="宋体" w:hAnsi="宋体" w:cs="宋体"/>
          <w:b/>
          <w:color w:val="auto"/>
          <w:szCs w:val="21"/>
          <w:highlight w:val="none"/>
        </w:rPr>
      </w:pPr>
    </w:p>
    <w:p>
      <w:pPr>
        <w:spacing w:before="50" w:after="156" w:line="360" w:lineRule="exact"/>
        <w:jc w:val="left"/>
        <w:rPr>
          <w:rFonts w:ascii="宋体" w:hAnsi="宋体" w:cs="宋体"/>
          <w:b/>
          <w:color w:val="auto"/>
          <w:szCs w:val="21"/>
          <w:highlight w:val="none"/>
        </w:rPr>
      </w:pPr>
    </w:p>
    <w:p>
      <w:pPr>
        <w:spacing w:before="50" w:after="156" w:line="360" w:lineRule="exact"/>
        <w:jc w:val="left"/>
        <w:rPr>
          <w:rFonts w:hint="eastAsia" w:ascii="宋体" w:hAnsi="宋体" w:cs="宋体"/>
          <w:b/>
          <w:color w:val="auto"/>
          <w:szCs w:val="21"/>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spacing w:before="50" w:after="156" w:line="360" w:lineRule="exact"/>
        <w:jc w:val="left"/>
        <w:rPr>
          <w:rFonts w:ascii="宋体" w:hAnsi="宋体" w:cs="宋体"/>
          <w:color w:val="auto"/>
          <w:szCs w:val="21"/>
          <w:highlight w:val="none"/>
        </w:rPr>
      </w:pPr>
      <w:r>
        <w:rPr>
          <w:rFonts w:ascii="宋体" w:hAnsi="宋体" w:cs="宋体"/>
          <w:color w:val="auto"/>
          <w:szCs w:val="21"/>
          <w:highlight w:val="none"/>
        </w:rPr>
        <w:t>优惠条件：投标人承诺给予招标人的各种优惠条件，包括备品备件、专用耗材、售后服务等方面的优惠；</w:t>
      </w:r>
    </w:p>
    <w:p>
      <w:pPr>
        <w:spacing w:before="50" w:after="156" w:line="360" w:lineRule="exact"/>
        <w:jc w:val="left"/>
        <w:rPr>
          <w:rFonts w:hint="eastAsia" w:ascii="宋体" w:hAnsi="宋体" w:cs="宋体"/>
          <w:color w:val="auto"/>
          <w:szCs w:val="21"/>
          <w:highlight w:val="none"/>
        </w:rPr>
      </w:pPr>
      <w:r>
        <w:rPr>
          <w:rFonts w:ascii="宋体" w:hAnsi="宋体" w:cs="宋体"/>
          <w:color w:val="auto"/>
          <w:szCs w:val="21"/>
          <w:highlight w:val="none"/>
        </w:rPr>
        <w:t>备品备件、专用耗材、售后服务优惠表格式：</w:t>
      </w:r>
    </w:p>
    <w:p>
      <w:pPr>
        <w:spacing w:before="50" w:after="156" w:line="360" w:lineRule="exact"/>
        <w:jc w:val="left"/>
        <w:rPr>
          <w:rFonts w:ascii="宋体" w:hAnsi="宋体" w:cs="宋体"/>
          <w:color w:val="auto"/>
          <w:szCs w:val="21"/>
          <w:highlight w:val="none"/>
        </w:rPr>
      </w:pPr>
    </w:p>
    <w:tbl>
      <w:tblPr>
        <w:tblStyle w:val="36"/>
        <w:tblW w:w="0" w:type="auto"/>
        <w:tblInd w:w="0" w:type="dxa"/>
        <w:tblLayout w:type="fixed"/>
        <w:tblCellMar>
          <w:top w:w="0" w:type="dxa"/>
          <w:left w:w="0" w:type="dxa"/>
          <w:bottom w:w="0" w:type="dxa"/>
          <w:right w:w="0" w:type="dxa"/>
        </w:tblCellMar>
      </w:tblPr>
      <w:tblGrid>
        <w:gridCol w:w="735"/>
        <w:gridCol w:w="2700"/>
        <w:gridCol w:w="1440"/>
        <w:gridCol w:w="1440"/>
        <w:gridCol w:w="1530"/>
        <w:gridCol w:w="1530"/>
      </w:tblGrid>
      <w:tr>
        <w:tblPrEx>
          <w:tblCellMar>
            <w:top w:w="0" w:type="dxa"/>
            <w:left w:w="0" w:type="dxa"/>
            <w:bottom w:w="0" w:type="dxa"/>
            <w:right w:w="0" w:type="dxa"/>
          </w:tblCellMar>
        </w:tblPrEx>
        <w:trPr>
          <w:trHeight w:val="601"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2"/>
              <w:spacing w:before="295" w:after="295" w:line="360" w:lineRule="exact"/>
              <w:jc w:val="center"/>
              <w:rPr>
                <w:rFonts w:cs="宋体"/>
                <w:color w:val="auto"/>
                <w:highlight w:val="none"/>
              </w:rPr>
            </w:pPr>
            <w:r>
              <w:rPr>
                <w:rFonts w:hint="eastAsia" w:cs="宋体"/>
                <w:color w:val="auto"/>
                <w:highlight w:val="none"/>
              </w:rPr>
              <w:t>序号</w:t>
            </w:r>
          </w:p>
        </w:tc>
        <w:tc>
          <w:tcPr>
            <w:tcW w:w="2700" w:type="dxa"/>
            <w:tcBorders>
              <w:top w:val="single" w:color="000000" w:sz="4" w:space="0"/>
              <w:left w:val="single" w:color="000000" w:sz="4" w:space="0"/>
              <w:bottom w:val="single" w:color="000000" w:sz="2" w:space="0"/>
              <w:right w:val="single" w:color="000000" w:sz="4" w:space="0"/>
            </w:tcBorders>
            <w:noWrap w:val="0"/>
            <w:vAlign w:val="center"/>
          </w:tcPr>
          <w:p>
            <w:pPr>
              <w:pStyle w:val="22"/>
              <w:spacing w:before="295" w:after="295" w:line="360" w:lineRule="exact"/>
              <w:jc w:val="center"/>
              <w:rPr>
                <w:rFonts w:cs="宋体"/>
                <w:color w:val="auto"/>
                <w:highlight w:val="none"/>
              </w:rPr>
            </w:pPr>
            <w:r>
              <w:rPr>
                <w:rFonts w:hint="eastAsia" w:cs="宋体"/>
                <w:color w:val="auto"/>
                <w:highlight w:val="none"/>
              </w:rPr>
              <w:t>优惠内容</w:t>
            </w:r>
          </w:p>
        </w:tc>
        <w:tc>
          <w:tcPr>
            <w:tcW w:w="1440" w:type="dxa"/>
            <w:tcBorders>
              <w:top w:val="single" w:color="000000" w:sz="4" w:space="0"/>
              <w:left w:val="single" w:color="000000" w:sz="4" w:space="0"/>
              <w:bottom w:val="single" w:color="000000" w:sz="2" w:space="0"/>
              <w:right w:val="single" w:color="000000" w:sz="4" w:space="0"/>
            </w:tcBorders>
            <w:noWrap w:val="0"/>
            <w:vAlign w:val="center"/>
          </w:tcPr>
          <w:p>
            <w:pPr>
              <w:pStyle w:val="22"/>
              <w:spacing w:before="295" w:after="295" w:line="360" w:lineRule="exact"/>
              <w:jc w:val="center"/>
              <w:rPr>
                <w:rFonts w:cs="宋体"/>
                <w:color w:val="auto"/>
                <w:highlight w:val="none"/>
              </w:rPr>
            </w:pPr>
            <w:r>
              <w:rPr>
                <w:rFonts w:hint="eastAsia" w:cs="宋体"/>
                <w:color w:val="auto"/>
                <w:highlight w:val="none"/>
              </w:rPr>
              <w:t>适用机型</w:t>
            </w:r>
          </w:p>
        </w:tc>
        <w:tc>
          <w:tcPr>
            <w:tcW w:w="1440" w:type="dxa"/>
            <w:tcBorders>
              <w:top w:val="single" w:color="000000" w:sz="4" w:space="0"/>
              <w:left w:val="single" w:color="000000" w:sz="4" w:space="0"/>
              <w:bottom w:val="single" w:color="000000" w:sz="2" w:space="0"/>
              <w:right w:val="single" w:color="000000" w:sz="4" w:space="0"/>
            </w:tcBorders>
            <w:noWrap w:val="0"/>
            <w:tcMar>
              <w:top w:w="15" w:type="dxa"/>
              <w:left w:w="15" w:type="dxa"/>
              <w:right w:w="15" w:type="dxa"/>
            </w:tcMar>
            <w:vAlign w:val="center"/>
          </w:tcPr>
          <w:p>
            <w:pPr>
              <w:pStyle w:val="22"/>
              <w:spacing w:before="295" w:after="295" w:line="360" w:lineRule="exact"/>
              <w:jc w:val="center"/>
              <w:rPr>
                <w:rFonts w:cs="宋体"/>
                <w:color w:val="auto"/>
                <w:highlight w:val="none"/>
              </w:rPr>
            </w:pPr>
            <w:r>
              <w:rPr>
                <w:rFonts w:hint="eastAsia" w:cs="宋体"/>
                <w:color w:val="auto"/>
                <w:highlight w:val="none"/>
              </w:rPr>
              <w:t>单价</w:t>
            </w:r>
          </w:p>
        </w:tc>
        <w:tc>
          <w:tcPr>
            <w:tcW w:w="1530" w:type="dxa"/>
            <w:tcBorders>
              <w:top w:val="single" w:color="000000" w:sz="4" w:space="0"/>
              <w:left w:val="single" w:color="000000" w:sz="4" w:space="0"/>
              <w:bottom w:val="single" w:color="000000" w:sz="2" w:space="0"/>
              <w:right w:val="single" w:color="000000" w:sz="4" w:space="0"/>
            </w:tcBorders>
            <w:noWrap w:val="0"/>
            <w:vAlign w:val="center"/>
          </w:tcPr>
          <w:p>
            <w:pPr>
              <w:pStyle w:val="22"/>
              <w:spacing w:before="295" w:after="295" w:line="360" w:lineRule="exact"/>
              <w:jc w:val="center"/>
              <w:rPr>
                <w:rFonts w:cs="宋体"/>
                <w:color w:val="auto"/>
                <w:highlight w:val="none"/>
              </w:rPr>
            </w:pPr>
            <w:r>
              <w:rPr>
                <w:rFonts w:hint="eastAsia" w:cs="宋体"/>
                <w:color w:val="auto"/>
                <w:highlight w:val="none"/>
              </w:rPr>
              <w:t>比投标报价优惠率</w:t>
            </w:r>
          </w:p>
        </w:tc>
        <w:tc>
          <w:tcPr>
            <w:tcW w:w="1530" w:type="dxa"/>
            <w:tcBorders>
              <w:top w:val="single" w:color="000000" w:sz="4" w:space="0"/>
              <w:left w:val="single" w:color="000000" w:sz="4" w:space="0"/>
              <w:bottom w:val="single" w:color="000000" w:sz="2" w:space="0"/>
              <w:right w:val="single" w:color="000000" w:sz="4" w:space="0"/>
            </w:tcBorders>
            <w:noWrap w:val="0"/>
            <w:vAlign w:val="center"/>
          </w:tcPr>
          <w:p>
            <w:pPr>
              <w:pStyle w:val="22"/>
              <w:spacing w:before="295" w:after="295" w:line="360" w:lineRule="exact"/>
              <w:jc w:val="center"/>
              <w:rPr>
                <w:rFonts w:cs="宋体"/>
                <w:color w:val="auto"/>
                <w:highlight w:val="none"/>
              </w:rPr>
            </w:pPr>
            <w:r>
              <w:rPr>
                <w:rFonts w:hint="eastAsia" w:cs="宋体"/>
                <w:color w:val="auto"/>
                <w:highlight w:val="none"/>
              </w:rPr>
              <w:t>比招标要求提供更优售后服务</w:t>
            </w:r>
          </w:p>
        </w:tc>
      </w:tr>
      <w:tr>
        <w:tblPrEx>
          <w:tblCellMar>
            <w:top w:w="0" w:type="dxa"/>
            <w:left w:w="0" w:type="dxa"/>
            <w:bottom w:w="0" w:type="dxa"/>
            <w:right w:w="0" w:type="dxa"/>
          </w:tblCellMar>
        </w:tblPrEx>
        <w:trPr>
          <w:trHeight w:val="765" w:hRule="atLeast"/>
        </w:trPr>
        <w:tc>
          <w:tcPr>
            <w:tcW w:w="735" w:type="dxa"/>
            <w:tcBorders>
              <w:top w:val="single" w:color="000000" w:sz="4" w:space="0"/>
              <w:left w:val="single" w:color="000000" w:sz="4" w:space="0"/>
              <w:bottom w:val="single" w:color="000000" w:sz="4" w:space="0"/>
              <w:right w:val="single" w:color="000000" w:sz="2" w:space="0"/>
            </w:tcBorders>
            <w:noWrap w:val="0"/>
            <w:tcMar>
              <w:top w:w="15" w:type="dxa"/>
              <w:left w:w="15" w:type="dxa"/>
              <w:right w:w="15" w:type="dxa"/>
            </w:tcMar>
            <w:vAlign w:val="center"/>
          </w:tcPr>
          <w:p>
            <w:pPr>
              <w:pStyle w:val="22"/>
              <w:spacing w:before="295" w:after="295" w:line="360" w:lineRule="exact"/>
              <w:jc w:val="center"/>
              <w:rPr>
                <w:rFonts w:cs="宋体"/>
                <w:color w:val="auto"/>
                <w:highlight w:val="none"/>
              </w:rPr>
            </w:pPr>
          </w:p>
        </w:tc>
        <w:tc>
          <w:tcPr>
            <w:tcW w:w="2700" w:type="dxa"/>
            <w:tcBorders>
              <w:top w:val="single" w:color="000000" w:sz="2" w:space="0"/>
              <w:left w:val="single" w:color="000000" w:sz="2" w:space="0"/>
              <w:bottom w:val="single" w:color="000000" w:sz="6" w:space="0"/>
              <w:right w:val="single" w:color="000000" w:sz="4" w:space="0"/>
            </w:tcBorders>
            <w:noWrap w:val="0"/>
            <w:vAlign w:val="center"/>
          </w:tcPr>
          <w:p>
            <w:pPr>
              <w:pStyle w:val="22"/>
              <w:spacing w:before="295" w:after="295" w:line="360" w:lineRule="exact"/>
              <w:jc w:val="center"/>
              <w:rPr>
                <w:rFonts w:cs="宋体"/>
                <w:color w:val="auto"/>
                <w:highlight w:val="none"/>
              </w:rPr>
            </w:pPr>
          </w:p>
        </w:tc>
        <w:tc>
          <w:tcPr>
            <w:tcW w:w="1440" w:type="dxa"/>
            <w:tcBorders>
              <w:top w:val="single" w:color="000000" w:sz="2" w:space="0"/>
              <w:left w:val="single" w:color="000000" w:sz="4" w:space="0"/>
              <w:bottom w:val="single" w:color="000000" w:sz="6" w:space="0"/>
              <w:right w:val="single" w:color="000000" w:sz="6" w:space="0"/>
            </w:tcBorders>
            <w:noWrap w:val="0"/>
            <w:vAlign w:val="center"/>
          </w:tcPr>
          <w:p>
            <w:pPr>
              <w:pStyle w:val="22"/>
              <w:spacing w:before="295" w:after="295" w:line="360" w:lineRule="exact"/>
              <w:jc w:val="center"/>
              <w:rPr>
                <w:rFonts w:cs="宋体"/>
                <w:color w:val="auto"/>
                <w:highlight w:val="none"/>
              </w:rPr>
            </w:pPr>
          </w:p>
        </w:tc>
        <w:tc>
          <w:tcPr>
            <w:tcW w:w="1440" w:type="dxa"/>
            <w:tcBorders>
              <w:top w:val="single" w:color="000000" w:sz="2" w:space="0"/>
              <w:left w:val="single" w:color="000000" w:sz="6" w:space="0"/>
              <w:bottom w:val="single" w:color="000000" w:sz="6" w:space="0"/>
              <w:right w:val="single" w:color="000000" w:sz="6" w:space="0"/>
            </w:tcBorders>
            <w:noWrap w:val="0"/>
            <w:tcMar>
              <w:top w:w="15" w:type="dxa"/>
              <w:left w:w="15" w:type="dxa"/>
              <w:right w:w="15" w:type="dxa"/>
            </w:tcMar>
            <w:vAlign w:val="center"/>
          </w:tcPr>
          <w:p>
            <w:pPr>
              <w:pStyle w:val="22"/>
              <w:spacing w:before="295" w:after="295" w:line="360" w:lineRule="exact"/>
              <w:jc w:val="center"/>
              <w:rPr>
                <w:rFonts w:cs="宋体"/>
                <w:color w:val="auto"/>
                <w:highlight w:val="none"/>
              </w:rPr>
            </w:pPr>
          </w:p>
        </w:tc>
        <w:tc>
          <w:tcPr>
            <w:tcW w:w="1530" w:type="dxa"/>
            <w:tcBorders>
              <w:top w:val="single" w:color="000000" w:sz="2" w:space="0"/>
              <w:left w:val="single" w:color="000000" w:sz="6" w:space="0"/>
              <w:bottom w:val="single" w:color="000000" w:sz="6" w:space="0"/>
              <w:right w:val="single" w:color="000000" w:sz="2" w:space="0"/>
            </w:tcBorders>
            <w:noWrap w:val="0"/>
            <w:vAlign w:val="center"/>
          </w:tcPr>
          <w:p>
            <w:pPr>
              <w:pStyle w:val="22"/>
              <w:spacing w:before="295" w:after="295" w:line="360" w:lineRule="exact"/>
              <w:jc w:val="center"/>
              <w:rPr>
                <w:rFonts w:cs="宋体"/>
                <w:color w:val="auto"/>
                <w:highlight w:val="none"/>
              </w:rPr>
            </w:pPr>
            <w:r>
              <w:rPr>
                <w:rFonts w:hint="eastAsia" w:cs="宋体"/>
                <w:color w:val="auto"/>
                <w:highlight w:val="none"/>
                <w:u w:val="single"/>
              </w:rPr>
              <w:t xml:space="preserve">            </w:t>
            </w:r>
            <w:r>
              <w:rPr>
                <w:rFonts w:hint="eastAsia" w:cs="宋体"/>
                <w:color w:val="auto"/>
                <w:highlight w:val="none"/>
              </w:rPr>
              <w:t>%</w:t>
            </w:r>
          </w:p>
        </w:tc>
        <w:tc>
          <w:tcPr>
            <w:tcW w:w="1530" w:type="dxa"/>
            <w:tcBorders>
              <w:top w:val="single" w:color="000000" w:sz="2" w:space="0"/>
              <w:left w:val="single" w:color="000000" w:sz="6" w:space="0"/>
              <w:bottom w:val="single" w:color="000000" w:sz="6" w:space="0"/>
              <w:right w:val="single" w:color="000000" w:sz="2" w:space="0"/>
            </w:tcBorders>
            <w:noWrap w:val="0"/>
            <w:vAlign w:val="center"/>
          </w:tcPr>
          <w:p>
            <w:pPr>
              <w:pStyle w:val="22"/>
              <w:spacing w:before="295" w:after="295" w:line="360" w:lineRule="exact"/>
              <w:jc w:val="center"/>
              <w:rPr>
                <w:rFonts w:cs="宋体"/>
                <w:color w:val="auto"/>
                <w:highlight w:val="none"/>
              </w:rPr>
            </w:pPr>
          </w:p>
        </w:tc>
      </w:tr>
      <w:tr>
        <w:tblPrEx>
          <w:tblCellMar>
            <w:top w:w="0" w:type="dxa"/>
            <w:left w:w="0" w:type="dxa"/>
            <w:bottom w:w="0" w:type="dxa"/>
            <w:right w:w="0" w:type="dxa"/>
          </w:tblCellMar>
        </w:tblPrEx>
        <w:trPr>
          <w:trHeight w:val="713" w:hRule="atLeast"/>
        </w:trPr>
        <w:tc>
          <w:tcPr>
            <w:tcW w:w="735" w:type="dxa"/>
            <w:tcBorders>
              <w:top w:val="single" w:color="000000" w:sz="4" w:space="0"/>
              <w:left w:val="single" w:color="000000" w:sz="4" w:space="0"/>
              <w:bottom w:val="single" w:color="000000" w:sz="4" w:space="0"/>
              <w:right w:val="single" w:color="000000" w:sz="2" w:space="0"/>
            </w:tcBorders>
            <w:noWrap w:val="0"/>
            <w:tcMar>
              <w:top w:w="15" w:type="dxa"/>
              <w:left w:w="15" w:type="dxa"/>
              <w:right w:w="15" w:type="dxa"/>
            </w:tcMar>
            <w:vAlign w:val="center"/>
          </w:tcPr>
          <w:p>
            <w:pPr>
              <w:pStyle w:val="22"/>
              <w:spacing w:before="295" w:after="295" w:line="360" w:lineRule="exact"/>
              <w:jc w:val="center"/>
              <w:rPr>
                <w:rFonts w:cs="宋体"/>
                <w:color w:val="auto"/>
                <w:highlight w:val="none"/>
              </w:rPr>
            </w:pPr>
          </w:p>
        </w:tc>
        <w:tc>
          <w:tcPr>
            <w:tcW w:w="2700" w:type="dxa"/>
            <w:tcBorders>
              <w:top w:val="single" w:color="000000" w:sz="6" w:space="0"/>
              <w:left w:val="single" w:color="000000" w:sz="2" w:space="0"/>
              <w:bottom w:val="single" w:color="000000" w:sz="6" w:space="0"/>
              <w:right w:val="single" w:color="000000" w:sz="4" w:space="0"/>
            </w:tcBorders>
            <w:noWrap w:val="0"/>
            <w:vAlign w:val="center"/>
          </w:tcPr>
          <w:p>
            <w:pPr>
              <w:pStyle w:val="22"/>
              <w:spacing w:before="295" w:after="295" w:line="360" w:lineRule="exact"/>
              <w:jc w:val="center"/>
              <w:rPr>
                <w:rFonts w:cs="宋体"/>
                <w:color w:val="auto"/>
                <w:highlight w:val="none"/>
              </w:rPr>
            </w:pPr>
          </w:p>
        </w:tc>
        <w:tc>
          <w:tcPr>
            <w:tcW w:w="1440" w:type="dxa"/>
            <w:tcBorders>
              <w:top w:val="single" w:color="000000" w:sz="6" w:space="0"/>
              <w:left w:val="single" w:color="000000" w:sz="4" w:space="0"/>
              <w:bottom w:val="single" w:color="000000" w:sz="6" w:space="0"/>
              <w:right w:val="single" w:color="000000" w:sz="6" w:space="0"/>
            </w:tcBorders>
            <w:noWrap w:val="0"/>
            <w:vAlign w:val="center"/>
          </w:tcPr>
          <w:p>
            <w:pPr>
              <w:pStyle w:val="22"/>
              <w:spacing w:before="295" w:after="295" w:line="360" w:lineRule="exact"/>
              <w:jc w:val="center"/>
              <w:rPr>
                <w:rFonts w:cs="宋体"/>
                <w:color w:val="auto"/>
                <w:highlight w:val="none"/>
              </w:rPr>
            </w:pPr>
          </w:p>
        </w:tc>
        <w:tc>
          <w:tcPr>
            <w:tcW w:w="1440" w:type="dxa"/>
            <w:tcBorders>
              <w:top w:val="single" w:color="000000" w:sz="6" w:space="0"/>
              <w:left w:val="single" w:color="000000" w:sz="6" w:space="0"/>
              <w:bottom w:val="single" w:color="000000" w:sz="6" w:space="0"/>
              <w:right w:val="single" w:color="000000" w:sz="6" w:space="0"/>
            </w:tcBorders>
            <w:noWrap w:val="0"/>
            <w:tcMar>
              <w:top w:w="15" w:type="dxa"/>
              <w:left w:w="15" w:type="dxa"/>
              <w:right w:w="15" w:type="dxa"/>
            </w:tcMar>
            <w:vAlign w:val="center"/>
          </w:tcPr>
          <w:p>
            <w:pPr>
              <w:pStyle w:val="22"/>
              <w:spacing w:before="295" w:after="295" w:line="360" w:lineRule="exact"/>
              <w:jc w:val="center"/>
              <w:rPr>
                <w:rFonts w:cs="宋体"/>
                <w:color w:val="auto"/>
                <w:highlight w:val="none"/>
              </w:rPr>
            </w:pPr>
          </w:p>
        </w:tc>
        <w:tc>
          <w:tcPr>
            <w:tcW w:w="1530" w:type="dxa"/>
            <w:tcBorders>
              <w:top w:val="single" w:color="000000" w:sz="6" w:space="0"/>
              <w:left w:val="single" w:color="000000" w:sz="6" w:space="0"/>
              <w:bottom w:val="single" w:color="000000" w:sz="6" w:space="0"/>
              <w:right w:val="single" w:color="000000" w:sz="2" w:space="0"/>
            </w:tcBorders>
            <w:noWrap w:val="0"/>
            <w:vAlign w:val="center"/>
          </w:tcPr>
          <w:p>
            <w:pPr>
              <w:pStyle w:val="22"/>
              <w:spacing w:before="295" w:after="295" w:line="360" w:lineRule="exact"/>
              <w:jc w:val="center"/>
              <w:rPr>
                <w:rFonts w:cs="宋体"/>
                <w:color w:val="auto"/>
                <w:highlight w:val="none"/>
              </w:rPr>
            </w:pPr>
            <w:r>
              <w:rPr>
                <w:rFonts w:hint="eastAsia" w:cs="宋体"/>
                <w:color w:val="auto"/>
                <w:highlight w:val="none"/>
                <w:u w:val="single"/>
              </w:rPr>
              <w:t xml:space="preserve">            </w:t>
            </w:r>
            <w:r>
              <w:rPr>
                <w:rFonts w:hint="eastAsia" w:cs="宋体"/>
                <w:color w:val="auto"/>
                <w:highlight w:val="none"/>
              </w:rPr>
              <w:t>%</w:t>
            </w:r>
          </w:p>
        </w:tc>
        <w:tc>
          <w:tcPr>
            <w:tcW w:w="1530" w:type="dxa"/>
            <w:tcBorders>
              <w:top w:val="single" w:color="000000" w:sz="6" w:space="0"/>
              <w:left w:val="single" w:color="000000" w:sz="6" w:space="0"/>
              <w:bottom w:val="single" w:color="000000" w:sz="6" w:space="0"/>
              <w:right w:val="single" w:color="000000" w:sz="2" w:space="0"/>
            </w:tcBorders>
            <w:noWrap w:val="0"/>
            <w:vAlign w:val="center"/>
          </w:tcPr>
          <w:p>
            <w:pPr>
              <w:pStyle w:val="22"/>
              <w:spacing w:before="295" w:after="295" w:line="360" w:lineRule="exact"/>
              <w:jc w:val="center"/>
              <w:rPr>
                <w:rFonts w:cs="宋体"/>
                <w:color w:val="auto"/>
                <w:highlight w:val="none"/>
              </w:rPr>
            </w:pPr>
          </w:p>
        </w:tc>
      </w:tr>
      <w:tr>
        <w:tblPrEx>
          <w:tblCellMar>
            <w:top w:w="0" w:type="dxa"/>
            <w:left w:w="0" w:type="dxa"/>
            <w:bottom w:w="0" w:type="dxa"/>
            <w:right w:w="0" w:type="dxa"/>
          </w:tblCellMar>
        </w:tblPrEx>
        <w:trPr>
          <w:trHeight w:val="454" w:hRule="atLeast"/>
        </w:trPr>
        <w:tc>
          <w:tcPr>
            <w:tcW w:w="735" w:type="dxa"/>
            <w:tcBorders>
              <w:top w:val="single" w:color="000000" w:sz="4" w:space="0"/>
              <w:left w:val="single" w:color="000000" w:sz="4" w:space="0"/>
              <w:bottom w:val="single" w:color="000000" w:sz="4" w:space="0"/>
              <w:right w:val="single" w:color="000000" w:sz="2" w:space="0"/>
            </w:tcBorders>
            <w:noWrap w:val="0"/>
            <w:tcMar>
              <w:top w:w="15" w:type="dxa"/>
              <w:left w:w="15" w:type="dxa"/>
              <w:right w:w="15" w:type="dxa"/>
            </w:tcMar>
            <w:vAlign w:val="center"/>
          </w:tcPr>
          <w:p>
            <w:pPr>
              <w:pStyle w:val="22"/>
              <w:spacing w:before="295" w:after="295" w:line="360" w:lineRule="exact"/>
              <w:jc w:val="center"/>
              <w:rPr>
                <w:rFonts w:cs="宋体"/>
                <w:color w:val="auto"/>
                <w:highlight w:val="none"/>
              </w:rPr>
            </w:pPr>
          </w:p>
        </w:tc>
        <w:tc>
          <w:tcPr>
            <w:tcW w:w="2700" w:type="dxa"/>
            <w:tcBorders>
              <w:top w:val="single" w:color="000000" w:sz="6" w:space="0"/>
              <w:left w:val="single" w:color="000000" w:sz="2" w:space="0"/>
              <w:bottom w:val="single" w:color="000000" w:sz="6" w:space="0"/>
              <w:right w:val="single" w:color="000000" w:sz="4" w:space="0"/>
            </w:tcBorders>
            <w:noWrap w:val="0"/>
            <w:vAlign w:val="center"/>
          </w:tcPr>
          <w:p>
            <w:pPr>
              <w:pStyle w:val="22"/>
              <w:spacing w:before="295" w:after="295" w:line="360" w:lineRule="exact"/>
              <w:jc w:val="center"/>
              <w:rPr>
                <w:rFonts w:cs="宋体"/>
                <w:color w:val="auto"/>
                <w:highlight w:val="none"/>
              </w:rPr>
            </w:pPr>
          </w:p>
        </w:tc>
        <w:tc>
          <w:tcPr>
            <w:tcW w:w="1440" w:type="dxa"/>
            <w:tcBorders>
              <w:top w:val="single" w:color="000000" w:sz="6" w:space="0"/>
              <w:left w:val="single" w:color="000000" w:sz="4" w:space="0"/>
              <w:bottom w:val="single" w:color="000000" w:sz="6" w:space="0"/>
              <w:right w:val="single" w:color="000000" w:sz="6" w:space="0"/>
            </w:tcBorders>
            <w:noWrap w:val="0"/>
            <w:vAlign w:val="center"/>
          </w:tcPr>
          <w:p>
            <w:pPr>
              <w:pStyle w:val="22"/>
              <w:spacing w:before="295" w:after="295" w:line="360" w:lineRule="exact"/>
              <w:jc w:val="center"/>
              <w:rPr>
                <w:rFonts w:cs="宋体"/>
                <w:color w:val="auto"/>
                <w:highlight w:val="none"/>
              </w:rPr>
            </w:pPr>
          </w:p>
        </w:tc>
        <w:tc>
          <w:tcPr>
            <w:tcW w:w="1440" w:type="dxa"/>
            <w:tcBorders>
              <w:top w:val="single" w:color="000000" w:sz="6" w:space="0"/>
              <w:left w:val="single" w:color="000000" w:sz="6" w:space="0"/>
              <w:bottom w:val="single" w:color="000000" w:sz="6" w:space="0"/>
              <w:right w:val="single" w:color="000000" w:sz="6" w:space="0"/>
            </w:tcBorders>
            <w:noWrap w:val="0"/>
            <w:tcMar>
              <w:top w:w="15" w:type="dxa"/>
              <w:left w:w="15" w:type="dxa"/>
              <w:right w:w="15" w:type="dxa"/>
            </w:tcMar>
            <w:vAlign w:val="center"/>
          </w:tcPr>
          <w:p>
            <w:pPr>
              <w:pStyle w:val="22"/>
              <w:spacing w:before="295" w:after="295" w:line="360" w:lineRule="exact"/>
              <w:jc w:val="center"/>
              <w:rPr>
                <w:rFonts w:cs="宋体"/>
                <w:color w:val="auto"/>
                <w:highlight w:val="none"/>
              </w:rPr>
            </w:pPr>
          </w:p>
        </w:tc>
        <w:tc>
          <w:tcPr>
            <w:tcW w:w="1530" w:type="dxa"/>
            <w:tcBorders>
              <w:top w:val="single" w:color="000000" w:sz="6" w:space="0"/>
              <w:left w:val="single" w:color="000000" w:sz="6" w:space="0"/>
              <w:bottom w:val="single" w:color="000000" w:sz="6" w:space="0"/>
              <w:right w:val="single" w:color="000000" w:sz="2" w:space="0"/>
            </w:tcBorders>
            <w:noWrap w:val="0"/>
            <w:vAlign w:val="center"/>
          </w:tcPr>
          <w:p>
            <w:pPr>
              <w:pStyle w:val="22"/>
              <w:spacing w:before="295" w:after="295" w:line="360" w:lineRule="exact"/>
              <w:jc w:val="center"/>
              <w:rPr>
                <w:rFonts w:cs="宋体"/>
                <w:color w:val="auto"/>
                <w:highlight w:val="none"/>
              </w:rPr>
            </w:pPr>
            <w:r>
              <w:rPr>
                <w:rFonts w:hint="eastAsia" w:cs="宋体"/>
                <w:color w:val="auto"/>
                <w:highlight w:val="none"/>
                <w:u w:val="single"/>
              </w:rPr>
              <w:t xml:space="preserve">            </w:t>
            </w:r>
            <w:r>
              <w:rPr>
                <w:rFonts w:hint="eastAsia" w:cs="宋体"/>
                <w:color w:val="auto"/>
                <w:highlight w:val="none"/>
              </w:rPr>
              <w:t>%</w:t>
            </w:r>
          </w:p>
        </w:tc>
        <w:tc>
          <w:tcPr>
            <w:tcW w:w="1530" w:type="dxa"/>
            <w:tcBorders>
              <w:top w:val="single" w:color="000000" w:sz="6" w:space="0"/>
              <w:left w:val="single" w:color="000000" w:sz="6" w:space="0"/>
              <w:bottom w:val="single" w:color="000000" w:sz="6" w:space="0"/>
              <w:right w:val="single" w:color="000000" w:sz="2" w:space="0"/>
            </w:tcBorders>
            <w:noWrap w:val="0"/>
            <w:vAlign w:val="center"/>
          </w:tcPr>
          <w:p>
            <w:pPr>
              <w:pStyle w:val="22"/>
              <w:spacing w:before="295" w:after="295" w:line="360" w:lineRule="exact"/>
              <w:jc w:val="center"/>
              <w:rPr>
                <w:rFonts w:cs="宋体"/>
                <w:color w:val="auto"/>
                <w:highlight w:val="none"/>
              </w:rPr>
            </w:pPr>
          </w:p>
        </w:tc>
      </w:tr>
    </w:tbl>
    <w:p>
      <w:pPr>
        <w:spacing w:before="50" w:after="50" w:line="360" w:lineRule="exact"/>
        <w:rPr>
          <w:rFonts w:ascii="宋体" w:hAnsi="宋体" w:cs="宋体"/>
          <w:color w:val="auto"/>
          <w:spacing w:val="20"/>
          <w:szCs w:val="21"/>
          <w:highlight w:val="none"/>
        </w:rPr>
      </w:pPr>
    </w:p>
    <w:p>
      <w:pPr>
        <w:spacing w:before="50" w:after="50" w:line="360" w:lineRule="exact"/>
        <w:rPr>
          <w:rFonts w:ascii="宋体" w:hAnsi="宋体" w:cs="宋体"/>
          <w:color w:val="auto"/>
          <w:spacing w:val="20"/>
          <w:szCs w:val="21"/>
          <w:highlight w:val="none"/>
          <w:u w:val="single"/>
        </w:rPr>
      </w:pPr>
      <w:r>
        <w:rPr>
          <w:rFonts w:ascii="宋体" w:hAnsi="宋体" w:cs="宋体"/>
          <w:color w:val="auto"/>
          <w:szCs w:val="21"/>
          <w:highlight w:val="none"/>
        </w:rPr>
        <w:t>法定代表人或委托代理人签字（或签章）</w:t>
      </w:r>
      <w:r>
        <w:rPr>
          <w:rFonts w:ascii="宋体" w:hAnsi="宋体" w:cs="宋体"/>
          <w:color w:val="auto"/>
          <w:spacing w:val="20"/>
          <w:szCs w:val="21"/>
          <w:highlight w:val="none"/>
        </w:rPr>
        <w:t>：</w:t>
      </w:r>
      <w:r>
        <w:rPr>
          <w:rFonts w:ascii="宋体" w:hAnsi="宋体" w:cs="宋体"/>
          <w:color w:val="auto"/>
          <w:spacing w:val="20"/>
          <w:szCs w:val="21"/>
          <w:highlight w:val="none"/>
          <w:u w:val="single"/>
        </w:rPr>
        <w:t xml:space="preserve">        </w:t>
      </w:r>
    </w:p>
    <w:p>
      <w:pPr>
        <w:spacing w:before="50" w:after="50" w:line="360" w:lineRule="exact"/>
        <w:rPr>
          <w:rFonts w:ascii="宋体" w:hAnsi="宋体" w:cs="宋体"/>
          <w:color w:val="auto"/>
          <w:szCs w:val="21"/>
          <w:highlight w:val="none"/>
        </w:rPr>
      </w:pPr>
      <w:r>
        <w:rPr>
          <w:rFonts w:ascii="宋体" w:hAnsi="宋体" w:cs="宋体"/>
          <w:color w:val="auto"/>
          <w:spacing w:val="20"/>
          <w:szCs w:val="21"/>
          <w:highlight w:val="none"/>
        </w:rPr>
        <w:t>投标人盖章：</w:t>
      </w:r>
      <w:r>
        <w:rPr>
          <w:rFonts w:ascii="宋体" w:hAnsi="宋体" w:cs="宋体"/>
          <w:color w:val="auto"/>
          <w:spacing w:val="20"/>
          <w:szCs w:val="21"/>
          <w:highlight w:val="none"/>
          <w:u w:val="single"/>
        </w:rPr>
        <w:t xml:space="preserve">            </w:t>
      </w:r>
      <w:r>
        <w:rPr>
          <w:rFonts w:ascii="宋体" w:hAnsi="宋体" w:cs="宋体"/>
          <w:color w:val="auto"/>
          <w:spacing w:val="20"/>
          <w:szCs w:val="21"/>
          <w:highlight w:val="none"/>
        </w:rPr>
        <w:t xml:space="preserve">            日 期：</w:t>
      </w:r>
      <w:r>
        <w:rPr>
          <w:rFonts w:ascii="宋体" w:hAnsi="宋体" w:cs="宋体"/>
          <w:color w:val="auto"/>
          <w:spacing w:val="20"/>
          <w:szCs w:val="21"/>
          <w:highlight w:val="none"/>
          <w:u w:val="single"/>
        </w:rPr>
        <w:t xml:space="preserve">            </w:t>
      </w:r>
    </w:p>
    <w:p>
      <w:pPr>
        <w:spacing w:before="50" w:after="156" w:line="360" w:lineRule="exact"/>
        <w:jc w:val="left"/>
        <w:rPr>
          <w:rFonts w:ascii="宋体" w:hAnsi="宋体" w:cs="宋体"/>
          <w:color w:val="auto"/>
          <w:szCs w:val="21"/>
          <w:highlight w:val="none"/>
        </w:rPr>
      </w:pPr>
    </w:p>
    <w:p>
      <w:pPr>
        <w:pStyle w:val="54"/>
        <w:rPr>
          <w:rFonts w:ascii="宋体" w:eastAsia="宋体"/>
          <w:color w:val="auto"/>
          <w:highlight w:val="none"/>
        </w:rPr>
      </w:pPr>
    </w:p>
    <w:p>
      <w:pPr>
        <w:pStyle w:val="54"/>
        <w:rPr>
          <w:rFonts w:ascii="宋体" w:eastAsia="宋体"/>
          <w:color w:val="auto"/>
          <w:highlight w:val="none"/>
        </w:rPr>
      </w:pPr>
    </w:p>
    <w:p>
      <w:pPr>
        <w:pStyle w:val="54"/>
        <w:rPr>
          <w:rFonts w:ascii="宋体" w:eastAsia="宋体"/>
          <w:color w:val="auto"/>
          <w:highlight w:val="none"/>
        </w:rPr>
      </w:pPr>
    </w:p>
    <w:p>
      <w:pPr>
        <w:pStyle w:val="54"/>
        <w:rPr>
          <w:rFonts w:ascii="宋体" w:eastAsia="宋体"/>
          <w:color w:val="auto"/>
          <w:highlight w:val="none"/>
        </w:rPr>
      </w:pPr>
    </w:p>
    <w:p>
      <w:pPr>
        <w:pStyle w:val="54"/>
        <w:rPr>
          <w:rFonts w:ascii="宋体" w:eastAsia="宋体"/>
          <w:color w:val="auto"/>
          <w:highlight w:val="none"/>
        </w:rPr>
      </w:pPr>
    </w:p>
    <w:p>
      <w:pPr>
        <w:pStyle w:val="54"/>
        <w:rPr>
          <w:rFonts w:ascii="宋体" w:eastAsia="宋体"/>
          <w:color w:val="auto"/>
          <w:highlight w:val="none"/>
        </w:rPr>
      </w:pPr>
    </w:p>
    <w:p>
      <w:pPr>
        <w:pStyle w:val="54"/>
        <w:rPr>
          <w:rFonts w:ascii="宋体" w:eastAsia="宋体"/>
          <w:color w:val="auto"/>
          <w:highlight w:val="none"/>
        </w:rPr>
      </w:pPr>
    </w:p>
    <w:p>
      <w:pPr>
        <w:pStyle w:val="54"/>
        <w:rPr>
          <w:rFonts w:ascii="宋体" w:eastAsia="宋体"/>
          <w:color w:val="auto"/>
          <w:highlight w:val="none"/>
        </w:rPr>
      </w:pPr>
    </w:p>
    <w:p>
      <w:pPr>
        <w:pStyle w:val="54"/>
        <w:rPr>
          <w:rFonts w:ascii="宋体" w:eastAsia="宋体"/>
          <w:color w:val="auto"/>
          <w:highlight w:val="none"/>
        </w:rPr>
      </w:pPr>
    </w:p>
    <w:p>
      <w:pPr>
        <w:pStyle w:val="54"/>
        <w:rPr>
          <w:rFonts w:ascii="宋体" w:eastAsia="宋体"/>
          <w:color w:val="auto"/>
          <w:highlight w:val="none"/>
        </w:rPr>
      </w:pPr>
    </w:p>
    <w:p>
      <w:pPr>
        <w:pStyle w:val="54"/>
        <w:rPr>
          <w:rFonts w:hint="eastAsia" w:ascii="宋体" w:eastAsia="宋体"/>
          <w:color w:val="auto"/>
          <w:highlight w:val="none"/>
        </w:rPr>
      </w:pPr>
    </w:p>
    <w:p>
      <w:pPr>
        <w:pStyle w:val="54"/>
        <w:rPr>
          <w:rFonts w:hint="eastAsia" w:ascii="宋体" w:eastAsia="宋体"/>
          <w:color w:val="auto"/>
          <w:highlight w:val="none"/>
        </w:rPr>
      </w:pPr>
    </w:p>
    <w:p>
      <w:pPr>
        <w:pStyle w:val="54"/>
        <w:rPr>
          <w:rFonts w:ascii="宋体" w:eastAsia="宋体"/>
          <w:color w:val="auto"/>
          <w:highlight w:val="none"/>
        </w:rPr>
      </w:pPr>
    </w:p>
    <w:p>
      <w:pPr>
        <w:widowControl/>
        <w:jc w:val="center"/>
        <w:rPr>
          <w:rFonts w:ascii="宋体" w:hAnsi="宋体" w:cs="宋体"/>
          <w:b/>
          <w:bCs/>
          <w:color w:val="auto"/>
          <w:kern w:val="0"/>
          <w:sz w:val="36"/>
          <w:szCs w:val="36"/>
          <w:highlight w:val="none"/>
        </w:rPr>
      </w:pPr>
      <w:r>
        <w:rPr>
          <w:rFonts w:hint="eastAsia" w:ascii="宋体" w:hAnsi="宋体" w:cs="宋体"/>
          <w:b/>
          <w:bCs/>
          <w:color w:val="auto"/>
          <w:kern w:val="0"/>
          <w:sz w:val="36"/>
          <w:szCs w:val="36"/>
          <w:highlight w:val="none"/>
        </w:rPr>
        <w:t>政府采购项目合同验收报告（格式）</w:t>
      </w:r>
    </w:p>
    <w:p>
      <w:pPr>
        <w:widowControl/>
        <w:snapToGrid w:val="0"/>
        <w:spacing w:before="100" w:beforeAutospacing="1" w:after="100" w:afterAutospacing="1" w:line="440" w:lineRule="exact"/>
        <w:ind w:firstLine="659"/>
        <w:jc w:val="left"/>
        <w:rPr>
          <w:rFonts w:ascii="宋体" w:hAnsi="宋体" w:cs="宋体"/>
          <w:color w:val="auto"/>
          <w:kern w:val="0"/>
          <w:sz w:val="24"/>
          <w:highlight w:val="none"/>
        </w:rPr>
      </w:pPr>
      <w:r>
        <w:rPr>
          <w:rFonts w:hint="eastAsia" w:ascii="宋体" w:hAnsi="宋体" w:cs="宋体"/>
          <w:color w:val="auto"/>
          <w:kern w:val="0"/>
          <w:sz w:val="24"/>
          <w:highlight w:val="none"/>
        </w:rPr>
        <w:t>根据政府采购合同（采购合同编号：</w:t>
      </w:r>
      <w:r>
        <w:rPr>
          <w:rFonts w:hint="eastAsia" w:ascii="宋体" w:hAnsi="宋体" w:cs="宋体"/>
          <w:color w:val="auto"/>
          <w:kern w:val="0"/>
          <w:sz w:val="24"/>
          <w:highlight w:val="none"/>
          <w:u w:val="single"/>
        </w:rPr>
        <w:softHyphen/>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）的约定，我单位对</w:t>
      </w:r>
      <w:r>
        <w:rPr>
          <w:rFonts w:hint="eastAsia" w:ascii="宋体" w:hAnsi="宋体" w:cs="宋体"/>
          <w:color w:val="auto"/>
          <w:kern w:val="0"/>
          <w:sz w:val="24"/>
          <w:highlight w:val="none"/>
          <w:u w:val="single"/>
        </w:rPr>
        <w:t xml:space="preserve">（项目名称）       </w:t>
      </w:r>
      <w:r>
        <w:rPr>
          <w:rFonts w:hint="eastAsia" w:ascii="宋体" w:hAnsi="宋体" w:cs="宋体"/>
          <w:color w:val="auto"/>
          <w:kern w:val="0"/>
          <w:sz w:val="24"/>
          <w:highlight w:val="none"/>
        </w:rPr>
        <w:t>政府采购项目中标（或成交）供应商</w:t>
      </w:r>
      <w:r>
        <w:rPr>
          <w:rFonts w:hint="eastAsia" w:ascii="宋体" w:hAnsi="宋体" w:cs="宋体"/>
          <w:color w:val="auto"/>
          <w:kern w:val="0"/>
          <w:sz w:val="24"/>
          <w:highlight w:val="none"/>
          <w:u w:val="single"/>
        </w:rPr>
        <w:t xml:space="preserve">    （公司名称）    </w:t>
      </w:r>
      <w:r>
        <w:rPr>
          <w:rFonts w:hint="eastAsia" w:ascii="宋体" w:hAnsi="宋体" w:cs="宋体"/>
          <w:color w:val="auto"/>
          <w:kern w:val="0"/>
          <w:sz w:val="24"/>
          <w:highlight w:val="none"/>
        </w:rPr>
        <w:t>提供的货物（或服务）进行了验收，验收情况如下：</w:t>
      </w:r>
    </w:p>
    <w:tbl>
      <w:tblPr>
        <w:tblStyle w:val="36"/>
        <w:tblW w:w="976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12"/>
        <w:gridCol w:w="770"/>
        <w:gridCol w:w="2027"/>
        <w:gridCol w:w="1322"/>
        <w:gridCol w:w="2414"/>
        <w:gridCol w:w="754"/>
        <w:gridCol w:w="18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409" w:type="dxa"/>
            <w:gridSpan w:val="3"/>
            <w:noWrap w:val="0"/>
            <w:vAlign w:val="center"/>
          </w:tcPr>
          <w:p>
            <w:pPr>
              <w:widowControl/>
              <w:snapToGrid w:val="0"/>
              <w:ind w:left="-3"/>
              <w:jc w:val="center"/>
              <w:rPr>
                <w:rFonts w:ascii="宋体" w:hAnsi="宋体" w:cs="宋体"/>
                <w:color w:val="auto"/>
                <w:spacing w:val="-20"/>
                <w:kern w:val="0"/>
                <w:szCs w:val="21"/>
                <w:highlight w:val="none"/>
              </w:rPr>
            </w:pPr>
            <w:r>
              <w:rPr>
                <w:rFonts w:hint="eastAsia" w:ascii="宋体" w:hAnsi="宋体" w:cs="宋体"/>
                <w:color w:val="auto"/>
                <w:spacing w:val="-20"/>
                <w:kern w:val="0"/>
                <w:szCs w:val="21"/>
                <w:highlight w:val="none"/>
              </w:rPr>
              <w:t>验收方式</w:t>
            </w:r>
          </w:p>
        </w:tc>
        <w:tc>
          <w:tcPr>
            <w:tcW w:w="6357" w:type="dxa"/>
            <w:gridSpan w:val="4"/>
            <w:noWrap w:val="0"/>
            <w:vAlign w:val="center"/>
          </w:tcPr>
          <w:p>
            <w:pPr>
              <w:widowControl/>
              <w:snapToGrid w:val="0"/>
              <w:ind w:left="-3"/>
              <w:jc w:val="center"/>
              <w:rPr>
                <w:rFonts w:ascii="宋体" w:hAnsi="宋体" w:cs="宋体"/>
                <w:color w:val="auto"/>
                <w:kern w:val="0"/>
                <w:szCs w:val="21"/>
                <w:highlight w:val="none"/>
              </w:rPr>
            </w:pPr>
            <w:r>
              <w:rPr>
                <w:rFonts w:hint="eastAsia" w:ascii="宋体" w:hAnsi="宋体" w:cs="宋体"/>
                <w:color w:val="auto"/>
                <w:kern w:val="0"/>
                <w:szCs w:val="21"/>
                <w:highlight w:val="none"/>
              </w:rPr>
              <w:t>□自行验收         □联合验收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3" w:hRule="atLeast"/>
          <w:jc w:val="center"/>
        </w:trPr>
        <w:tc>
          <w:tcPr>
            <w:tcW w:w="612" w:type="dxa"/>
            <w:tcBorders>
              <w:top w:val="single" w:color="auto" w:sz="4" w:space="0"/>
              <w:right w:val="single" w:color="auto" w:sz="4" w:space="0"/>
            </w:tcBorders>
            <w:noWrap w:val="0"/>
            <w:vAlign w:val="center"/>
          </w:tcPr>
          <w:p>
            <w:pPr>
              <w:widowControl/>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2797" w:type="dxa"/>
            <w:gridSpan w:val="2"/>
            <w:tcBorders>
              <w:top w:val="single" w:color="auto" w:sz="4" w:space="0"/>
              <w:left w:val="single" w:color="auto" w:sz="4" w:space="0"/>
            </w:tcBorders>
            <w:noWrap w:val="0"/>
            <w:vAlign w:val="center"/>
          </w:tcPr>
          <w:p>
            <w:pPr>
              <w:widowControl/>
              <w:snapToGrid w:val="0"/>
              <w:ind w:left="-3"/>
              <w:jc w:val="center"/>
              <w:rPr>
                <w:rFonts w:ascii="宋体" w:hAnsi="宋体" w:cs="宋体"/>
                <w:color w:val="auto"/>
                <w:kern w:val="0"/>
                <w:szCs w:val="21"/>
                <w:highlight w:val="none"/>
              </w:rPr>
            </w:pPr>
            <w:r>
              <w:rPr>
                <w:rFonts w:hint="eastAsia" w:ascii="宋体" w:hAnsi="宋体" w:cs="宋体"/>
                <w:color w:val="auto"/>
                <w:kern w:val="0"/>
                <w:szCs w:val="21"/>
                <w:highlight w:val="none"/>
              </w:rPr>
              <w:t>名    称</w:t>
            </w:r>
          </w:p>
        </w:tc>
        <w:tc>
          <w:tcPr>
            <w:tcW w:w="3736" w:type="dxa"/>
            <w:gridSpan w:val="2"/>
            <w:noWrap w:val="0"/>
            <w:vAlign w:val="center"/>
          </w:tcPr>
          <w:p>
            <w:pPr>
              <w:widowControl/>
              <w:snapToGrid w:val="0"/>
              <w:ind w:left="-3"/>
              <w:jc w:val="center"/>
              <w:rPr>
                <w:rFonts w:ascii="宋体" w:hAnsi="宋体" w:cs="宋体"/>
                <w:color w:val="auto"/>
                <w:kern w:val="0"/>
                <w:szCs w:val="21"/>
                <w:highlight w:val="none"/>
              </w:rPr>
            </w:pPr>
            <w:r>
              <w:rPr>
                <w:rFonts w:hint="eastAsia" w:ascii="宋体" w:hAnsi="宋体" w:cs="宋体"/>
                <w:color w:val="auto"/>
                <w:kern w:val="0"/>
                <w:szCs w:val="21"/>
                <w:highlight w:val="none"/>
              </w:rPr>
              <w:t>货物型号规格、标准及配置</w:t>
            </w:r>
          </w:p>
          <w:p>
            <w:pPr>
              <w:widowControl/>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（或服务内容、标准）</w:t>
            </w:r>
          </w:p>
        </w:tc>
        <w:tc>
          <w:tcPr>
            <w:tcW w:w="754" w:type="dxa"/>
            <w:noWrap w:val="0"/>
            <w:vAlign w:val="center"/>
          </w:tcPr>
          <w:p>
            <w:pPr>
              <w:widowControl/>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数量</w:t>
            </w:r>
          </w:p>
        </w:tc>
        <w:tc>
          <w:tcPr>
            <w:tcW w:w="1867" w:type="dxa"/>
            <w:noWrap w:val="0"/>
            <w:vAlign w:val="center"/>
          </w:tcPr>
          <w:p>
            <w:pPr>
              <w:widowControl/>
              <w:snapToGrid w:val="0"/>
              <w:ind w:left="-3"/>
              <w:jc w:val="center"/>
              <w:rPr>
                <w:rFonts w:ascii="宋体" w:hAnsi="宋体" w:cs="宋体"/>
                <w:color w:val="auto"/>
                <w:kern w:val="0"/>
                <w:szCs w:val="21"/>
                <w:highlight w:val="none"/>
              </w:rPr>
            </w:pPr>
            <w:r>
              <w:rPr>
                <w:rFonts w:hint="eastAsia" w:ascii="宋体" w:hAnsi="宋体" w:cs="宋体"/>
                <w:color w:val="auto"/>
                <w:kern w:val="0"/>
                <w:szCs w:val="21"/>
                <w:highlight w:val="none"/>
              </w:rPr>
              <w:t>金额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612" w:type="dxa"/>
            <w:tcBorders>
              <w:right w:val="single" w:color="auto" w:sz="4" w:space="0"/>
            </w:tcBorders>
            <w:noWrap w:val="0"/>
            <w:vAlign w:val="center"/>
          </w:tcPr>
          <w:p>
            <w:pPr>
              <w:widowControl/>
              <w:snapToGrid w:val="0"/>
              <w:ind w:left="-3" w:firstLine="576"/>
              <w:jc w:val="left"/>
              <w:rPr>
                <w:rFonts w:ascii="宋体" w:hAnsi="宋体" w:cs="宋体"/>
                <w:color w:val="auto"/>
                <w:spacing w:val="-20"/>
                <w:kern w:val="0"/>
                <w:szCs w:val="21"/>
                <w:highlight w:val="none"/>
              </w:rPr>
            </w:pPr>
          </w:p>
        </w:tc>
        <w:tc>
          <w:tcPr>
            <w:tcW w:w="2797" w:type="dxa"/>
            <w:gridSpan w:val="2"/>
            <w:tcBorders>
              <w:left w:val="single" w:color="auto" w:sz="4" w:space="0"/>
            </w:tcBorders>
            <w:noWrap w:val="0"/>
            <w:vAlign w:val="center"/>
          </w:tcPr>
          <w:p>
            <w:pPr>
              <w:widowControl/>
              <w:snapToGrid w:val="0"/>
              <w:ind w:left="-3" w:firstLine="576"/>
              <w:jc w:val="left"/>
              <w:rPr>
                <w:rFonts w:ascii="宋体" w:hAnsi="宋体" w:cs="宋体"/>
                <w:color w:val="auto"/>
                <w:spacing w:val="-20"/>
                <w:kern w:val="0"/>
                <w:szCs w:val="21"/>
                <w:highlight w:val="none"/>
              </w:rPr>
            </w:pPr>
            <w:r>
              <w:rPr>
                <w:rFonts w:hint="eastAsia" w:ascii="宋体" w:hAnsi="宋体" w:cs="宋体"/>
                <w:color w:val="auto"/>
                <w:spacing w:val="-20"/>
                <w:kern w:val="0"/>
                <w:szCs w:val="21"/>
                <w:highlight w:val="none"/>
              </w:rPr>
              <w:t> </w:t>
            </w:r>
          </w:p>
        </w:tc>
        <w:tc>
          <w:tcPr>
            <w:tcW w:w="3736" w:type="dxa"/>
            <w:gridSpan w:val="2"/>
            <w:noWrap w:val="0"/>
            <w:vAlign w:val="center"/>
          </w:tcPr>
          <w:p>
            <w:pPr>
              <w:widowControl/>
              <w:snapToGrid w:val="0"/>
              <w:ind w:left="-3" w:firstLine="576"/>
              <w:jc w:val="left"/>
              <w:rPr>
                <w:rFonts w:ascii="宋体" w:hAnsi="宋体" w:cs="宋体"/>
                <w:color w:val="auto"/>
                <w:spacing w:val="-20"/>
                <w:kern w:val="0"/>
                <w:szCs w:val="21"/>
                <w:highlight w:val="none"/>
              </w:rPr>
            </w:pPr>
            <w:r>
              <w:rPr>
                <w:rFonts w:hint="eastAsia" w:ascii="宋体" w:hAnsi="宋体" w:cs="宋体"/>
                <w:color w:val="auto"/>
                <w:spacing w:val="-20"/>
                <w:kern w:val="0"/>
                <w:szCs w:val="21"/>
                <w:highlight w:val="none"/>
              </w:rPr>
              <w:t> </w:t>
            </w:r>
          </w:p>
        </w:tc>
        <w:tc>
          <w:tcPr>
            <w:tcW w:w="754" w:type="dxa"/>
            <w:noWrap w:val="0"/>
            <w:vAlign w:val="center"/>
          </w:tcPr>
          <w:p>
            <w:pPr>
              <w:widowControl/>
              <w:snapToGrid w:val="0"/>
              <w:jc w:val="left"/>
              <w:rPr>
                <w:rFonts w:ascii="宋体" w:hAnsi="宋体" w:cs="宋体"/>
                <w:color w:val="auto"/>
                <w:spacing w:val="-20"/>
                <w:kern w:val="0"/>
                <w:szCs w:val="21"/>
                <w:highlight w:val="none"/>
              </w:rPr>
            </w:pPr>
            <w:r>
              <w:rPr>
                <w:rFonts w:hint="eastAsia" w:ascii="宋体" w:hAnsi="宋体" w:cs="宋体"/>
                <w:color w:val="auto"/>
                <w:spacing w:val="-20"/>
                <w:kern w:val="0"/>
                <w:szCs w:val="21"/>
                <w:highlight w:val="none"/>
              </w:rPr>
              <w:t> </w:t>
            </w:r>
          </w:p>
        </w:tc>
        <w:tc>
          <w:tcPr>
            <w:tcW w:w="1867" w:type="dxa"/>
            <w:noWrap w:val="0"/>
            <w:vAlign w:val="center"/>
          </w:tcPr>
          <w:p>
            <w:pPr>
              <w:widowControl/>
              <w:snapToGrid w:val="0"/>
              <w:jc w:val="left"/>
              <w:rPr>
                <w:rFonts w:ascii="宋体" w:hAnsi="宋体" w:cs="宋体"/>
                <w:color w:val="auto"/>
                <w:spacing w:val="-20"/>
                <w:kern w:val="0"/>
                <w:szCs w:val="21"/>
                <w:highlight w:val="none"/>
              </w:rPr>
            </w:pPr>
            <w:r>
              <w:rPr>
                <w:rFonts w:hint="eastAsia" w:ascii="宋体" w:hAnsi="宋体" w:cs="宋体"/>
                <w:color w:val="auto"/>
                <w:spacing w:val="-20"/>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612" w:type="dxa"/>
            <w:tcBorders>
              <w:right w:val="single" w:color="auto" w:sz="4" w:space="0"/>
            </w:tcBorders>
            <w:noWrap w:val="0"/>
            <w:vAlign w:val="center"/>
          </w:tcPr>
          <w:p>
            <w:pPr>
              <w:widowControl/>
              <w:snapToGrid w:val="0"/>
              <w:ind w:left="-3" w:firstLine="576"/>
              <w:jc w:val="left"/>
              <w:rPr>
                <w:rFonts w:ascii="宋体" w:hAnsi="宋体" w:cs="宋体"/>
                <w:color w:val="auto"/>
                <w:spacing w:val="-20"/>
                <w:kern w:val="0"/>
                <w:szCs w:val="21"/>
                <w:highlight w:val="none"/>
              </w:rPr>
            </w:pPr>
          </w:p>
        </w:tc>
        <w:tc>
          <w:tcPr>
            <w:tcW w:w="2797" w:type="dxa"/>
            <w:gridSpan w:val="2"/>
            <w:tcBorders>
              <w:left w:val="single" w:color="auto" w:sz="4" w:space="0"/>
            </w:tcBorders>
            <w:noWrap w:val="0"/>
            <w:vAlign w:val="center"/>
          </w:tcPr>
          <w:p>
            <w:pPr>
              <w:widowControl/>
              <w:snapToGrid w:val="0"/>
              <w:ind w:left="-3" w:firstLine="576"/>
              <w:jc w:val="left"/>
              <w:rPr>
                <w:rFonts w:ascii="宋体" w:hAnsi="宋体" w:cs="宋体"/>
                <w:color w:val="auto"/>
                <w:spacing w:val="-20"/>
                <w:kern w:val="0"/>
                <w:szCs w:val="21"/>
                <w:highlight w:val="none"/>
              </w:rPr>
            </w:pPr>
            <w:r>
              <w:rPr>
                <w:rFonts w:hint="eastAsia" w:ascii="宋体" w:hAnsi="宋体" w:cs="宋体"/>
                <w:color w:val="auto"/>
                <w:spacing w:val="-20"/>
                <w:kern w:val="0"/>
                <w:szCs w:val="21"/>
                <w:highlight w:val="none"/>
              </w:rPr>
              <w:t> </w:t>
            </w:r>
          </w:p>
        </w:tc>
        <w:tc>
          <w:tcPr>
            <w:tcW w:w="3736" w:type="dxa"/>
            <w:gridSpan w:val="2"/>
            <w:noWrap w:val="0"/>
            <w:vAlign w:val="center"/>
          </w:tcPr>
          <w:p>
            <w:pPr>
              <w:widowControl/>
              <w:snapToGrid w:val="0"/>
              <w:ind w:left="-3" w:firstLine="576"/>
              <w:jc w:val="left"/>
              <w:rPr>
                <w:rFonts w:ascii="宋体" w:hAnsi="宋体" w:cs="宋体"/>
                <w:color w:val="auto"/>
                <w:spacing w:val="-20"/>
                <w:kern w:val="0"/>
                <w:szCs w:val="21"/>
                <w:highlight w:val="none"/>
              </w:rPr>
            </w:pPr>
            <w:r>
              <w:rPr>
                <w:rFonts w:hint="eastAsia" w:ascii="宋体" w:hAnsi="宋体" w:cs="宋体"/>
                <w:color w:val="auto"/>
                <w:spacing w:val="-20"/>
                <w:kern w:val="0"/>
                <w:szCs w:val="21"/>
                <w:highlight w:val="none"/>
              </w:rPr>
              <w:t> </w:t>
            </w:r>
          </w:p>
        </w:tc>
        <w:tc>
          <w:tcPr>
            <w:tcW w:w="754" w:type="dxa"/>
            <w:noWrap w:val="0"/>
            <w:vAlign w:val="center"/>
          </w:tcPr>
          <w:p>
            <w:pPr>
              <w:widowControl/>
              <w:snapToGrid w:val="0"/>
              <w:jc w:val="left"/>
              <w:rPr>
                <w:rFonts w:ascii="宋体" w:hAnsi="宋体" w:cs="宋体"/>
                <w:color w:val="auto"/>
                <w:spacing w:val="-20"/>
                <w:kern w:val="0"/>
                <w:szCs w:val="21"/>
                <w:highlight w:val="none"/>
              </w:rPr>
            </w:pPr>
            <w:r>
              <w:rPr>
                <w:rFonts w:hint="eastAsia" w:ascii="宋体" w:hAnsi="宋体" w:cs="宋体"/>
                <w:color w:val="auto"/>
                <w:spacing w:val="-20"/>
                <w:kern w:val="0"/>
                <w:szCs w:val="21"/>
                <w:highlight w:val="none"/>
              </w:rPr>
              <w:t> </w:t>
            </w:r>
          </w:p>
        </w:tc>
        <w:tc>
          <w:tcPr>
            <w:tcW w:w="1867" w:type="dxa"/>
            <w:noWrap w:val="0"/>
            <w:vAlign w:val="center"/>
          </w:tcPr>
          <w:p>
            <w:pPr>
              <w:widowControl/>
              <w:snapToGrid w:val="0"/>
              <w:jc w:val="left"/>
              <w:rPr>
                <w:rFonts w:ascii="宋体" w:hAnsi="宋体" w:cs="宋体"/>
                <w:color w:val="auto"/>
                <w:spacing w:val="-20"/>
                <w:kern w:val="0"/>
                <w:szCs w:val="21"/>
                <w:highlight w:val="none"/>
              </w:rPr>
            </w:pPr>
            <w:r>
              <w:rPr>
                <w:rFonts w:hint="eastAsia" w:ascii="宋体" w:hAnsi="宋体" w:cs="宋体"/>
                <w:color w:val="auto"/>
                <w:spacing w:val="-20"/>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612" w:type="dxa"/>
            <w:tcBorders>
              <w:right w:val="single" w:color="auto" w:sz="4" w:space="0"/>
            </w:tcBorders>
            <w:noWrap w:val="0"/>
            <w:vAlign w:val="center"/>
          </w:tcPr>
          <w:p>
            <w:pPr>
              <w:widowControl/>
              <w:snapToGrid w:val="0"/>
              <w:ind w:left="-3" w:firstLine="576"/>
              <w:jc w:val="left"/>
              <w:rPr>
                <w:rFonts w:ascii="宋体" w:hAnsi="宋体" w:cs="宋体"/>
                <w:color w:val="auto"/>
                <w:spacing w:val="-20"/>
                <w:kern w:val="0"/>
                <w:szCs w:val="21"/>
                <w:highlight w:val="none"/>
              </w:rPr>
            </w:pPr>
          </w:p>
        </w:tc>
        <w:tc>
          <w:tcPr>
            <w:tcW w:w="2797" w:type="dxa"/>
            <w:gridSpan w:val="2"/>
            <w:tcBorders>
              <w:left w:val="single" w:color="auto" w:sz="4" w:space="0"/>
            </w:tcBorders>
            <w:noWrap w:val="0"/>
            <w:vAlign w:val="center"/>
          </w:tcPr>
          <w:p>
            <w:pPr>
              <w:widowControl/>
              <w:snapToGrid w:val="0"/>
              <w:ind w:left="-3" w:firstLine="576"/>
              <w:jc w:val="left"/>
              <w:rPr>
                <w:rFonts w:ascii="宋体" w:hAnsi="宋体" w:cs="宋体"/>
                <w:color w:val="auto"/>
                <w:spacing w:val="-20"/>
                <w:kern w:val="0"/>
                <w:szCs w:val="21"/>
                <w:highlight w:val="none"/>
              </w:rPr>
            </w:pPr>
            <w:r>
              <w:rPr>
                <w:rFonts w:hint="eastAsia" w:ascii="宋体" w:hAnsi="宋体" w:cs="宋体"/>
                <w:color w:val="auto"/>
                <w:spacing w:val="-20"/>
                <w:kern w:val="0"/>
                <w:szCs w:val="21"/>
                <w:highlight w:val="none"/>
              </w:rPr>
              <w:t> </w:t>
            </w:r>
          </w:p>
        </w:tc>
        <w:tc>
          <w:tcPr>
            <w:tcW w:w="3736" w:type="dxa"/>
            <w:gridSpan w:val="2"/>
            <w:noWrap w:val="0"/>
            <w:vAlign w:val="center"/>
          </w:tcPr>
          <w:p>
            <w:pPr>
              <w:widowControl/>
              <w:snapToGrid w:val="0"/>
              <w:ind w:left="-3" w:firstLine="576"/>
              <w:jc w:val="left"/>
              <w:rPr>
                <w:rFonts w:ascii="宋体" w:hAnsi="宋体" w:cs="宋体"/>
                <w:color w:val="auto"/>
                <w:spacing w:val="-20"/>
                <w:kern w:val="0"/>
                <w:szCs w:val="21"/>
                <w:highlight w:val="none"/>
              </w:rPr>
            </w:pPr>
            <w:r>
              <w:rPr>
                <w:rFonts w:hint="eastAsia" w:ascii="宋体" w:hAnsi="宋体" w:cs="宋体"/>
                <w:color w:val="auto"/>
                <w:spacing w:val="-20"/>
                <w:kern w:val="0"/>
                <w:szCs w:val="21"/>
                <w:highlight w:val="none"/>
              </w:rPr>
              <w:t> </w:t>
            </w:r>
          </w:p>
        </w:tc>
        <w:tc>
          <w:tcPr>
            <w:tcW w:w="754" w:type="dxa"/>
            <w:noWrap w:val="0"/>
            <w:vAlign w:val="center"/>
          </w:tcPr>
          <w:p>
            <w:pPr>
              <w:widowControl/>
              <w:snapToGrid w:val="0"/>
              <w:jc w:val="left"/>
              <w:rPr>
                <w:rFonts w:ascii="宋体" w:hAnsi="宋体" w:cs="宋体"/>
                <w:color w:val="auto"/>
                <w:spacing w:val="-20"/>
                <w:kern w:val="0"/>
                <w:szCs w:val="21"/>
                <w:highlight w:val="none"/>
              </w:rPr>
            </w:pPr>
            <w:r>
              <w:rPr>
                <w:rFonts w:hint="eastAsia" w:ascii="宋体" w:hAnsi="宋体" w:cs="宋体"/>
                <w:color w:val="auto"/>
                <w:spacing w:val="-20"/>
                <w:kern w:val="0"/>
                <w:szCs w:val="21"/>
                <w:highlight w:val="none"/>
              </w:rPr>
              <w:t> </w:t>
            </w:r>
          </w:p>
        </w:tc>
        <w:tc>
          <w:tcPr>
            <w:tcW w:w="1867" w:type="dxa"/>
            <w:noWrap w:val="0"/>
            <w:vAlign w:val="center"/>
          </w:tcPr>
          <w:p>
            <w:pPr>
              <w:widowControl/>
              <w:snapToGrid w:val="0"/>
              <w:jc w:val="left"/>
              <w:rPr>
                <w:rFonts w:ascii="宋体" w:hAnsi="宋体" w:cs="宋体"/>
                <w:color w:val="auto"/>
                <w:spacing w:val="-20"/>
                <w:kern w:val="0"/>
                <w:szCs w:val="21"/>
                <w:highlight w:val="none"/>
              </w:rPr>
            </w:pPr>
            <w:r>
              <w:rPr>
                <w:rFonts w:hint="eastAsia" w:ascii="宋体" w:hAnsi="宋体" w:cs="宋体"/>
                <w:color w:val="auto"/>
                <w:spacing w:val="-20"/>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612" w:type="dxa"/>
            <w:tcBorders>
              <w:right w:val="single" w:color="auto" w:sz="4" w:space="0"/>
            </w:tcBorders>
            <w:noWrap w:val="0"/>
            <w:vAlign w:val="center"/>
          </w:tcPr>
          <w:p>
            <w:pPr>
              <w:widowControl/>
              <w:snapToGrid w:val="0"/>
              <w:ind w:left="-3" w:firstLine="576"/>
              <w:jc w:val="left"/>
              <w:rPr>
                <w:rFonts w:ascii="宋体" w:hAnsi="宋体" w:cs="宋体"/>
                <w:color w:val="auto"/>
                <w:spacing w:val="-20"/>
                <w:kern w:val="0"/>
                <w:szCs w:val="21"/>
                <w:highlight w:val="none"/>
              </w:rPr>
            </w:pPr>
          </w:p>
        </w:tc>
        <w:tc>
          <w:tcPr>
            <w:tcW w:w="2797" w:type="dxa"/>
            <w:gridSpan w:val="2"/>
            <w:tcBorders>
              <w:left w:val="single" w:color="auto" w:sz="4" w:space="0"/>
            </w:tcBorders>
            <w:noWrap w:val="0"/>
            <w:vAlign w:val="center"/>
          </w:tcPr>
          <w:p>
            <w:pPr>
              <w:widowControl/>
              <w:snapToGrid w:val="0"/>
              <w:ind w:left="-3" w:firstLine="576"/>
              <w:jc w:val="left"/>
              <w:rPr>
                <w:rFonts w:ascii="宋体" w:hAnsi="宋体" w:cs="宋体"/>
                <w:color w:val="auto"/>
                <w:spacing w:val="-20"/>
                <w:kern w:val="0"/>
                <w:szCs w:val="21"/>
                <w:highlight w:val="none"/>
              </w:rPr>
            </w:pPr>
          </w:p>
        </w:tc>
        <w:tc>
          <w:tcPr>
            <w:tcW w:w="3736" w:type="dxa"/>
            <w:gridSpan w:val="2"/>
            <w:noWrap w:val="0"/>
            <w:vAlign w:val="center"/>
          </w:tcPr>
          <w:p>
            <w:pPr>
              <w:widowControl/>
              <w:snapToGrid w:val="0"/>
              <w:ind w:left="-3" w:firstLine="576"/>
              <w:jc w:val="left"/>
              <w:rPr>
                <w:rFonts w:ascii="宋体" w:hAnsi="宋体" w:cs="宋体"/>
                <w:color w:val="auto"/>
                <w:spacing w:val="-20"/>
                <w:kern w:val="0"/>
                <w:szCs w:val="21"/>
                <w:highlight w:val="none"/>
              </w:rPr>
            </w:pPr>
          </w:p>
        </w:tc>
        <w:tc>
          <w:tcPr>
            <w:tcW w:w="754" w:type="dxa"/>
            <w:noWrap w:val="0"/>
            <w:vAlign w:val="center"/>
          </w:tcPr>
          <w:p>
            <w:pPr>
              <w:widowControl/>
              <w:snapToGrid w:val="0"/>
              <w:jc w:val="left"/>
              <w:rPr>
                <w:rFonts w:ascii="宋体" w:hAnsi="宋体" w:cs="宋体"/>
                <w:color w:val="auto"/>
                <w:spacing w:val="-20"/>
                <w:kern w:val="0"/>
                <w:szCs w:val="21"/>
                <w:highlight w:val="none"/>
              </w:rPr>
            </w:pPr>
          </w:p>
        </w:tc>
        <w:tc>
          <w:tcPr>
            <w:tcW w:w="1867" w:type="dxa"/>
            <w:noWrap w:val="0"/>
            <w:vAlign w:val="center"/>
          </w:tcPr>
          <w:p>
            <w:pPr>
              <w:widowControl/>
              <w:snapToGrid w:val="0"/>
              <w:jc w:val="left"/>
              <w:rPr>
                <w:rFonts w:ascii="宋体" w:hAnsi="宋体" w:cs="宋体"/>
                <w:color w:val="auto"/>
                <w:spacing w:val="-2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7145" w:type="dxa"/>
            <w:gridSpan w:val="5"/>
            <w:noWrap w:val="0"/>
            <w:vAlign w:val="center"/>
          </w:tcPr>
          <w:p>
            <w:pPr>
              <w:widowControl/>
              <w:snapToGrid w:val="0"/>
              <w:jc w:val="left"/>
              <w:rPr>
                <w:rFonts w:ascii="宋体" w:hAnsi="宋体" w:cs="宋体"/>
                <w:color w:val="auto"/>
                <w:spacing w:val="-20"/>
                <w:kern w:val="0"/>
                <w:szCs w:val="21"/>
                <w:highlight w:val="none"/>
              </w:rPr>
            </w:pPr>
            <w:r>
              <w:rPr>
                <w:rFonts w:hint="eastAsia" w:ascii="宋体" w:hAnsi="宋体" w:cs="宋体"/>
                <w:color w:val="auto"/>
                <w:spacing w:val="-20"/>
                <w:kern w:val="0"/>
                <w:szCs w:val="21"/>
                <w:highlight w:val="none"/>
              </w:rPr>
              <w:t>合     计</w:t>
            </w:r>
          </w:p>
        </w:tc>
        <w:tc>
          <w:tcPr>
            <w:tcW w:w="754" w:type="dxa"/>
            <w:noWrap w:val="0"/>
            <w:vAlign w:val="center"/>
          </w:tcPr>
          <w:p>
            <w:pPr>
              <w:widowControl/>
              <w:snapToGrid w:val="0"/>
              <w:jc w:val="left"/>
              <w:rPr>
                <w:rFonts w:ascii="宋体" w:hAnsi="宋体" w:cs="宋体"/>
                <w:color w:val="auto"/>
                <w:spacing w:val="-20"/>
                <w:kern w:val="0"/>
                <w:szCs w:val="21"/>
                <w:highlight w:val="none"/>
              </w:rPr>
            </w:pPr>
          </w:p>
        </w:tc>
        <w:tc>
          <w:tcPr>
            <w:tcW w:w="1867" w:type="dxa"/>
            <w:noWrap w:val="0"/>
            <w:vAlign w:val="center"/>
          </w:tcPr>
          <w:p>
            <w:pPr>
              <w:widowControl/>
              <w:snapToGrid w:val="0"/>
              <w:jc w:val="left"/>
              <w:rPr>
                <w:rFonts w:ascii="宋体" w:hAnsi="宋体" w:cs="宋体"/>
                <w:color w:val="auto"/>
                <w:spacing w:val="-2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9766" w:type="dxa"/>
            <w:gridSpan w:val="7"/>
            <w:noWrap w:val="0"/>
            <w:vAlign w:val="center"/>
          </w:tcPr>
          <w:p>
            <w:pPr>
              <w:widowControl/>
              <w:snapToGrid w:val="0"/>
              <w:jc w:val="left"/>
              <w:rPr>
                <w:rFonts w:ascii="宋体" w:hAnsi="宋体" w:cs="宋体"/>
                <w:color w:val="auto"/>
                <w:spacing w:val="-20"/>
                <w:kern w:val="0"/>
                <w:szCs w:val="21"/>
                <w:highlight w:val="none"/>
              </w:rPr>
            </w:pPr>
            <w:r>
              <w:rPr>
                <w:rFonts w:hint="eastAsia" w:ascii="宋体" w:hAnsi="宋体" w:cs="宋体"/>
                <w:color w:val="auto"/>
                <w:spacing w:val="-20"/>
                <w:kern w:val="0"/>
                <w:szCs w:val="21"/>
                <w:highlight w:val="none"/>
              </w:rPr>
              <w:t>合 计 大 写 金 额 ：人民币 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7" w:hRule="atLeast"/>
          <w:jc w:val="center"/>
        </w:trPr>
        <w:tc>
          <w:tcPr>
            <w:tcW w:w="1382" w:type="dxa"/>
            <w:gridSpan w:val="2"/>
            <w:noWrap w:val="0"/>
            <w:vAlign w:val="center"/>
          </w:tcPr>
          <w:p>
            <w:pPr>
              <w:widowControl/>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实际供货日期</w:t>
            </w:r>
          </w:p>
        </w:tc>
        <w:tc>
          <w:tcPr>
            <w:tcW w:w="3349" w:type="dxa"/>
            <w:gridSpan w:val="2"/>
            <w:noWrap w:val="0"/>
            <w:vAlign w:val="center"/>
          </w:tcPr>
          <w:p>
            <w:pPr>
              <w:snapToGrid w:val="0"/>
              <w:jc w:val="left"/>
              <w:rPr>
                <w:rFonts w:ascii="宋体" w:hAnsi="宋体" w:cs="宋体"/>
                <w:color w:val="auto"/>
                <w:kern w:val="0"/>
                <w:szCs w:val="21"/>
                <w:highlight w:val="none"/>
              </w:rPr>
            </w:pPr>
          </w:p>
        </w:tc>
        <w:tc>
          <w:tcPr>
            <w:tcW w:w="2414" w:type="dxa"/>
            <w:noWrap w:val="0"/>
            <w:vAlign w:val="center"/>
          </w:tcPr>
          <w:p>
            <w:pPr>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合同交货验收日期</w:t>
            </w:r>
          </w:p>
        </w:tc>
        <w:tc>
          <w:tcPr>
            <w:tcW w:w="2621" w:type="dxa"/>
            <w:gridSpan w:val="2"/>
            <w:noWrap w:val="0"/>
            <w:vAlign w:val="center"/>
          </w:tcPr>
          <w:p>
            <w:pPr>
              <w:snapToGrid w:val="0"/>
              <w:jc w:val="left"/>
              <w:rPr>
                <w:rFonts w:ascii="宋体" w:hAnsi="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7" w:hRule="atLeast"/>
          <w:jc w:val="center"/>
        </w:trPr>
        <w:tc>
          <w:tcPr>
            <w:tcW w:w="1382" w:type="dxa"/>
            <w:gridSpan w:val="2"/>
            <w:noWrap w:val="0"/>
            <w:vAlign w:val="center"/>
          </w:tcPr>
          <w:p>
            <w:pPr>
              <w:widowControl/>
              <w:snapToGrid w:val="0"/>
              <w:jc w:val="center"/>
              <w:rPr>
                <w:rFonts w:ascii="宋体" w:hAnsi="宋体" w:cs="宋体"/>
                <w:color w:val="auto"/>
                <w:kern w:val="0"/>
                <w:szCs w:val="21"/>
                <w:highlight w:val="none"/>
              </w:rPr>
            </w:pPr>
          </w:p>
        </w:tc>
        <w:tc>
          <w:tcPr>
            <w:tcW w:w="3349" w:type="dxa"/>
            <w:gridSpan w:val="2"/>
            <w:noWrap w:val="0"/>
            <w:vAlign w:val="center"/>
          </w:tcPr>
          <w:p>
            <w:pPr>
              <w:snapToGrid w:val="0"/>
              <w:jc w:val="left"/>
              <w:rPr>
                <w:rFonts w:ascii="宋体" w:hAnsi="宋体" w:cs="宋体"/>
                <w:color w:val="auto"/>
                <w:kern w:val="0"/>
                <w:szCs w:val="21"/>
                <w:highlight w:val="none"/>
              </w:rPr>
            </w:pPr>
          </w:p>
        </w:tc>
        <w:tc>
          <w:tcPr>
            <w:tcW w:w="2414" w:type="dxa"/>
            <w:noWrap w:val="0"/>
            <w:vAlign w:val="center"/>
          </w:tcPr>
          <w:p>
            <w:pPr>
              <w:snapToGrid w:val="0"/>
              <w:jc w:val="center"/>
              <w:rPr>
                <w:rFonts w:ascii="宋体" w:hAnsi="宋体" w:cs="宋体"/>
                <w:color w:val="auto"/>
                <w:kern w:val="0"/>
                <w:szCs w:val="21"/>
                <w:highlight w:val="none"/>
              </w:rPr>
            </w:pPr>
          </w:p>
        </w:tc>
        <w:tc>
          <w:tcPr>
            <w:tcW w:w="2621" w:type="dxa"/>
            <w:gridSpan w:val="2"/>
            <w:noWrap w:val="0"/>
            <w:vAlign w:val="center"/>
          </w:tcPr>
          <w:p>
            <w:pPr>
              <w:snapToGrid w:val="0"/>
              <w:jc w:val="left"/>
              <w:rPr>
                <w:rFonts w:ascii="宋体" w:hAnsi="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382" w:type="dxa"/>
            <w:gridSpan w:val="2"/>
            <w:noWrap w:val="0"/>
            <w:tcMar>
              <w:top w:w="0" w:type="dxa"/>
              <w:left w:w="108" w:type="dxa"/>
              <w:bottom w:w="0" w:type="dxa"/>
              <w:right w:w="108" w:type="dxa"/>
            </w:tcMar>
            <w:vAlign w:val="center"/>
          </w:tcPr>
          <w:p>
            <w:pPr>
              <w:widowControl/>
              <w:snapToGrid w:val="0"/>
              <w:ind w:left="-172" w:leftChars="-82" w:right="-107" w:rightChars="-51"/>
              <w:jc w:val="center"/>
              <w:rPr>
                <w:rFonts w:ascii="宋体" w:hAnsi="宋体" w:cs="宋体"/>
                <w:color w:val="auto"/>
                <w:kern w:val="0"/>
                <w:szCs w:val="21"/>
                <w:highlight w:val="none"/>
              </w:rPr>
            </w:pPr>
            <w:r>
              <w:rPr>
                <w:rFonts w:hint="eastAsia" w:ascii="宋体" w:hAnsi="宋体" w:cs="宋体"/>
                <w:color w:val="auto"/>
                <w:kern w:val="0"/>
                <w:szCs w:val="21"/>
                <w:highlight w:val="none"/>
              </w:rPr>
              <w:t>验收具体内容</w:t>
            </w:r>
          </w:p>
        </w:tc>
        <w:tc>
          <w:tcPr>
            <w:tcW w:w="8384" w:type="dxa"/>
            <w:gridSpan w:val="5"/>
            <w:noWrap w:val="0"/>
            <w:tcMar>
              <w:top w:w="0" w:type="dxa"/>
              <w:left w:w="108" w:type="dxa"/>
              <w:bottom w:w="0" w:type="dxa"/>
              <w:right w:w="108" w:type="dxa"/>
            </w:tcMar>
            <w:vAlign w:val="center"/>
          </w:tcPr>
          <w:p>
            <w:pPr>
              <w:widowControl/>
              <w:snapToGrid w:val="0"/>
              <w:jc w:val="left"/>
              <w:rPr>
                <w:rFonts w:ascii="宋体" w:hAnsi="宋体" w:cs="宋体"/>
                <w:color w:val="auto"/>
                <w:kern w:val="0"/>
                <w:szCs w:val="21"/>
                <w:highlight w:val="none"/>
              </w:rPr>
            </w:pPr>
            <w:r>
              <w:rPr>
                <w:rFonts w:hint="eastAsia" w:ascii="宋体" w:hAnsi="宋体" w:cs="宋体"/>
                <w:color w:val="auto"/>
                <w:kern w:val="0"/>
                <w:szCs w:val="21"/>
                <w:highlight w:val="none"/>
              </w:rPr>
              <w:t> (应按采购合同、招标文件、投标响应文件及验收方案等进行验收；并核对中标或成交供应商在安装调试等方面是否违反合同约定或服务规范要求、提供的质量保证证明材料是否齐全、应有的配件及附件是否达到合同约定等。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34" w:hRule="atLeast"/>
          <w:jc w:val="center"/>
        </w:trPr>
        <w:tc>
          <w:tcPr>
            <w:tcW w:w="1382" w:type="dxa"/>
            <w:gridSpan w:val="2"/>
            <w:vMerge w:val="restart"/>
            <w:noWrap w:val="0"/>
            <w:tcMar>
              <w:top w:w="0" w:type="dxa"/>
              <w:left w:w="108" w:type="dxa"/>
              <w:bottom w:w="0" w:type="dxa"/>
              <w:right w:w="108" w:type="dxa"/>
            </w:tcMar>
            <w:vAlign w:val="center"/>
          </w:tcPr>
          <w:p>
            <w:pPr>
              <w:widowControl/>
              <w:ind w:left="-172" w:leftChars="-82" w:right="-107" w:rightChars="-51"/>
              <w:jc w:val="center"/>
              <w:rPr>
                <w:rFonts w:ascii="宋体" w:hAnsi="宋体" w:cs="宋体"/>
                <w:color w:val="auto"/>
                <w:kern w:val="0"/>
                <w:szCs w:val="21"/>
                <w:highlight w:val="none"/>
              </w:rPr>
            </w:pPr>
            <w:r>
              <w:rPr>
                <w:rFonts w:hint="eastAsia" w:ascii="宋体" w:hAnsi="宋体" w:cs="宋体"/>
                <w:color w:val="auto"/>
                <w:kern w:val="0"/>
                <w:szCs w:val="21"/>
                <w:highlight w:val="none"/>
              </w:rPr>
              <w:t>验收小组意见</w:t>
            </w:r>
          </w:p>
        </w:tc>
        <w:tc>
          <w:tcPr>
            <w:tcW w:w="8384" w:type="dxa"/>
            <w:gridSpan w:val="5"/>
            <w:tcBorders>
              <w:bottom w:val="single" w:color="auto" w:sz="4" w:space="0"/>
            </w:tcBorders>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验收结论性意见：</w:t>
            </w:r>
          </w:p>
          <w:p>
            <w:pPr>
              <w:widowControl/>
              <w:snapToGrid w:val="0"/>
              <w:jc w:val="left"/>
              <w:rPr>
                <w:rFonts w:ascii="宋体" w:hAnsi="宋体" w:cs="宋体"/>
                <w:color w:val="auto"/>
                <w:kern w:val="0"/>
                <w:szCs w:val="21"/>
                <w:highlight w:val="none"/>
              </w:rPr>
            </w:pPr>
          </w:p>
          <w:p>
            <w:pPr>
              <w:widowControl/>
              <w:snapToGrid w:val="0"/>
              <w:jc w:val="left"/>
              <w:rPr>
                <w:rFonts w:ascii="宋体" w:hAnsi="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06" w:hRule="atLeast"/>
          <w:jc w:val="center"/>
        </w:trPr>
        <w:tc>
          <w:tcPr>
            <w:tcW w:w="1382" w:type="dxa"/>
            <w:gridSpan w:val="2"/>
            <w:vMerge w:val="continue"/>
            <w:noWrap w:val="0"/>
            <w:tcMar>
              <w:top w:w="0" w:type="dxa"/>
              <w:left w:w="108" w:type="dxa"/>
              <w:bottom w:w="0" w:type="dxa"/>
              <w:right w:w="108" w:type="dxa"/>
            </w:tcMar>
            <w:vAlign w:val="center"/>
          </w:tcPr>
          <w:p>
            <w:pPr>
              <w:widowControl/>
              <w:jc w:val="center"/>
              <w:rPr>
                <w:rFonts w:ascii="宋体" w:hAnsi="宋体" w:cs="宋体"/>
                <w:color w:val="auto"/>
                <w:kern w:val="0"/>
                <w:szCs w:val="21"/>
                <w:highlight w:val="none"/>
              </w:rPr>
            </w:pPr>
          </w:p>
        </w:tc>
        <w:tc>
          <w:tcPr>
            <w:tcW w:w="8384" w:type="dxa"/>
            <w:gridSpan w:val="5"/>
            <w:tcBorders>
              <w:top w:val="single" w:color="auto" w:sz="4" w:space="0"/>
            </w:tcBorders>
            <w:noWrap w:val="0"/>
            <w:vAlign w:val="center"/>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有异议的意见和说明理由：</w:t>
            </w:r>
          </w:p>
          <w:p>
            <w:pPr>
              <w:jc w:val="left"/>
              <w:rPr>
                <w:rFonts w:ascii="宋体" w:hAnsi="宋体" w:cs="宋体"/>
                <w:color w:val="auto"/>
                <w:kern w:val="0"/>
                <w:szCs w:val="21"/>
                <w:highlight w:val="none"/>
              </w:rPr>
            </w:pPr>
          </w:p>
          <w:p>
            <w:pPr>
              <w:jc w:val="left"/>
              <w:rPr>
                <w:rFonts w:ascii="宋体" w:hAnsi="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9766" w:type="dxa"/>
            <w:gridSpan w:val="7"/>
            <w:noWrap w:val="0"/>
            <w:tcMar>
              <w:top w:w="0" w:type="dxa"/>
              <w:left w:w="108" w:type="dxa"/>
              <w:bottom w:w="0" w:type="dxa"/>
              <w:right w:w="108" w:type="dxa"/>
            </w:tcMar>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66" w:type="dxa"/>
            <w:gridSpan w:val="7"/>
            <w:noWrap w:val="0"/>
            <w:tcMar>
              <w:top w:w="0" w:type="dxa"/>
              <w:left w:w="108" w:type="dxa"/>
              <w:bottom w:w="0" w:type="dxa"/>
              <w:right w:w="108" w:type="dxa"/>
            </w:tcMar>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13" w:hRule="atLeast"/>
          <w:jc w:val="center"/>
        </w:trPr>
        <w:tc>
          <w:tcPr>
            <w:tcW w:w="4731" w:type="dxa"/>
            <w:gridSpan w:val="4"/>
            <w:noWrap w:val="0"/>
            <w:tcMar>
              <w:top w:w="0" w:type="dxa"/>
              <w:left w:w="108" w:type="dxa"/>
              <w:bottom w:w="0" w:type="dxa"/>
              <w:right w:w="108" w:type="dxa"/>
            </w:tcMar>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中标（或成交）供应商签字或盖章：</w:t>
            </w:r>
          </w:p>
          <w:p>
            <w:pPr>
              <w:widowControl/>
              <w:jc w:val="left"/>
              <w:rPr>
                <w:rFonts w:ascii="宋体" w:hAnsi="宋体" w:cs="宋体"/>
                <w:color w:val="auto"/>
                <w:kern w:val="0"/>
                <w:szCs w:val="21"/>
                <w:highlight w:val="none"/>
              </w:rPr>
            </w:pP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联系电话：</w:t>
            </w:r>
          </w:p>
          <w:p>
            <w:pPr>
              <w:widowControl/>
              <w:jc w:val="left"/>
              <w:rPr>
                <w:rFonts w:ascii="宋体" w:hAnsi="宋体" w:cs="宋体"/>
                <w:color w:val="auto"/>
                <w:kern w:val="0"/>
                <w:szCs w:val="21"/>
                <w:highlight w:val="none"/>
              </w:rPr>
            </w:pP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年  月   日</w:t>
            </w:r>
          </w:p>
        </w:tc>
        <w:tc>
          <w:tcPr>
            <w:tcW w:w="5035" w:type="dxa"/>
            <w:gridSpan w:val="3"/>
            <w:noWrap w:val="0"/>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采购单位的意见（盖章）：</w:t>
            </w:r>
          </w:p>
          <w:p>
            <w:pPr>
              <w:widowControl/>
              <w:jc w:val="left"/>
              <w:rPr>
                <w:rFonts w:ascii="宋体" w:hAnsi="宋体" w:cs="宋体"/>
                <w:color w:val="auto"/>
                <w:kern w:val="0"/>
                <w:szCs w:val="21"/>
                <w:highlight w:val="none"/>
              </w:rPr>
            </w:pP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联系电话：</w:t>
            </w:r>
          </w:p>
          <w:p>
            <w:pPr>
              <w:widowControl/>
              <w:jc w:val="left"/>
              <w:rPr>
                <w:rFonts w:ascii="宋体" w:hAnsi="宋体" w:cs="宋体"/>
                <w:color w:val="auto"/>
                <w:kern w:val="0"/>
                <w:szCs w:val="21"/>
                <w:highlight w:val="none"/>
              </w:rPr>
            </w:pPr>
          </w:p>
          <w:p>
            <w:pPr>
              <w:widowControl/>
              <w:ind w:firstLine="2119"/>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年  月   日</w:t>
            </w:r>
          </w:p>
        </w:tc>
      </w:tr>
    </w:tbl>
    <w:p>
      <w:pPr>
        <w:widowControl/>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rPr>
        <w:t>备注：本报告单一式三份（采购单位1份、中标供应商1份、采购代理机构1份）。</w:t>
      </w:r>
    </w:p>
    <w:p>
      <w:pPr>
        <w:spacing w:line="300" w:lineRule="auto"/>
        <w:rPr>
          <w:rFonts w:hint="eastAsia" w:ascii="方正宋黑简体" w:hAnsi="宋体" w:eastAsia="方正宋黑简体"/>
          <w:b/>
          <w:color w:val="auto"/>
          <w:szCs w:val="21"/>
          <w:highlight w:val="none"/>
        </w:rPr>
      </w:pPr>
    </w:p>
    <w:p>
      <w:pPr>
        <w:spacing w:line="300" w:lineRule="auto"/>
        <w:rPr>
          <w:rFonts w:hint="eastAsia" w:ascii="方正宋黑简体" w:hAnsi="宋体" w:eastAsia="方正宋黑简体"/>
          <w:b/>
          <w:color w:val="auto"/>
          <w:szCs w:val="21"/>
          <w:highlight w:val="none"/>
        </w:rPr>
      </w:pPr>
    </w:p>
    <w:p>
      <w:pPr>
        <w:spacing w:line="300" w:lineRule="auto"/>
        <w:ind w:left="420" w:hanging="420"/>
        <w:jc w:val="center"/>
        <w:rPr>
          <w:rFonts w:hint="eastAsia" w:ascii="黑体" w:hAnsi="宋体" w:eastAsia="黑体"/>
          <w:b/>
          <w:color w:val="auto"/>
          <w:kern w:val="0"/>
          <w:sz w:val="32"/>
          <w:szCs w:val="32"/>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autoSpaceDE w:val="0"/>
        <w:autoSpaceDN w:val="0"/>
        <w:adjustRightInd w:val="0"/>
        <w:snapToGrid w:val="0"/>
        <w:spacing w:line="300" w:lineRule="auto"/>
        <w:ind w:firstLine="3271" w:firstLineChars="743"/>
        <w:outlineLvl w:val="0"/>
        <w:rPr>
          <w:rFonts w:hint="eastAsia" w:ascii="宋体" w:hAnsi="宋体"/>
          <w:b/>
          <w:color w:val="auto"/>
          <w:kern w:val="0"/>
          <w:sz w:val="44"/>
          <w:szCs w:val="44"/>
          <w:highlight w:val="none"/>
        </w:rPr>
      </w:pPr>
      <w:bookmarkStart w:id="103" w:name="_Toc433105011"/>
      <w:r>
        <w:rPr>
          <w:rFonts w:hint="eastAsia" w:ascii="宋体" w:hAnsi="宋体"/>
          <w:b/>
          <w:color w:val="auto"/>
          <w:kern w:val="0"/>
          <w:sz w:val="44"/>
          <w:szCs w:val="44"/>
          <w:highlight w:val="none"/>
        </w:rPr>
        <w:t>第五章  合同格式</w:t>
      </w:r>
      <w:bookmarkEnd w:id="103"/>
    </w:p>
    <w:p>
      <w:pPr>
        <w:spacing w:line="300" w:lineRule="auto"/>
        <w:ind w:left="420" w:hanging="420"/>
        <w:jc w:val="center"/>
        <w:rPr>
          <w:rFonts w:hint="eastAsia" w:ascii="黑体" w:hAnsi="宋体" w:eastAsia="黑体"/>
          <w:b/>
          <w:color w:val="auto"/>
          <w:kern w:val="0"/>
          <w:sz w:val="32"/>
          <w:szCs w:val="32"/>
          <w:highlight w:val="none"/>
        </w:rPr>
      </w:pPr>
    </w:p>
    <w:p>
      <w:pPr>
        <w:spacing w:line="300" w:lineRule="auto"/>
        <w:ind w:left="420" w:hanging="420"/>
        <w:jc w:val="center"/>
        <w:rPr>
          <w:rFonts w:hint="eastAsia" w:ascii="黑体" w:hAnsi="宋体" w:eastAsia="黑体"/>
          <w:b/>
          <w:color w:val="auto"/>
          <w:kern w:val="0"/>
          <w:sz w:val="32"/>
          <w:szCs w:val="32"/>
          <w:highlight w:val="none"/>
        </w:rPr>
      </w:pPr>
    </w:p>
    <w:p>
      <w:pPr>
        <w:spacing w:line="300" w:lineRule="auto"/>
        <w:ind w:left="420" w:hanging="420"/>
        <w:jc w:val="center"/>
        <w:rPr>
          <w:rFonts w:hint="eastAsia" w:ascii="黑体" w:hAnsi="宋体" w:eastAsia="黑体"/>
          <w:b/>
          <w:color w:val="auto"/>
          <w:kern w:val="0"/>
          <w:sz w:val="32"/>
          <w:szCs w:val="32"/>
          <w:highlight w:val="none"/>
        </w:rPr>
      </w:pPr>
    </w:p>
    <w:p>
      <w:pPr>
        <w:spacing w:line="300" w:lineRule="auto"/>
        <w:ind w:left="420" w:hanging="420"/>
        <w:jc w:val="center"/>
        <w:rPr>
          <w:rFonts w:hint="eastAsia" w:ascii="黑体" w:hAnsi="宋体" w:eastAsia="黑体"/>
          <w:b/>
          <w:color w:val="auto"/>
          <w:kern w:val="0"/>
          <w:sz w:val="32"/>
          <w:szCs w:val="32"/>
          <w:highlight w:val="none"/>
        </w:rPr>
      </w:pPr>
    </w:p>
    <w:p>
      <w:pPr>
        <w:spacing w:line="300" w:lineRule="auto"/>
        <w:ind w:left="420" w:hanging="420"/>
        <w:jc w:val="center"/>
        <w:rPr>
          <w:rFonts w:hint="eastAsia" w:ascii="黑体" w:hAnsi="宋体" w:eastAsia="黑体"/>
          <w:b/>
          <w:color w:val="auto"/>
          <w:kern w:val="0"/>
          <w:sz w:val="32"/>
          <w:szCs w:val="32"/>
          <w:highlight w:val="none"/>
        </w:rPr>
      </w:pPr>
    </w:p>
    <w:p>
      <w:pPr>
        <w:spacing w:line="300" w:lineRule="auto"/>
        <w:ind w:left="420" w:hanging="420"/>
        <w:jc w:val="center"/>
        <w:rPr>
          <w:rFonts w:hint="eastAsia" w:ascii="黑体" w:hAnsi="宋体" w:eastAsia="黑体"/>
          <w:b/>
          <w:color w:val="auto"/>
          <w:kern w:val="0"/>
          <w:sz w:val="32"/>
          <w:szCs w:val="32"/>
          <w:highlight w:val="none"/>
        </w:rPr>
      </w:pPr>
    </w:p>
    <w:p>
      <w:pPr>
        <w:spacing w:line="300" w:lineRule="auto"/>
        <w:ind w:left="420" w:hanging="420"/>
        <w:jc w:val="center"/>
        <w:rPr>
          <w:rFonts w:hint="eastAsia" w:ascii="黑体" w:hAnsi="宋体" w:eastAsia="黑体"/>
          <w:b/>
          <w:color w:val="auto"/>
          <w:kern w:val="0"/>
          <w:sz w:val="32"/>
          <w:szCs w:val="32"/>
          <w:highlight w:val="none"/>
        </w:rPr>
      </w:pPr>
    </w:p>
    <w:p>
      <w:pPr>
        <w:spacing w:line="300" w:lineRule="auto"/>
        <w:ind w:left="420" w:hanging="420"/>
        <w:jc w:val="center"/>
        <w:rPr>
          <w:rFonts w:hint="eastAsia" w:ascii="黑体" w:hAnsi="宋体" w:eastAsia="黑体"/>
          <w:b/>
          <w:color w:val="auto"/>
          <w:kern w:val="0"/>
          <w:sz w:val="32"/>
          <w:szCs w:val="32"/>
          <w:highlight w:val="none"/>
        </w:rPr>
      </w:pPr>
    </w:p>
    <w:p>
      <w:pPr>
        <w:spacing w:line="300" w:lineRule="auto"/>
        <w:ind w:left="420" w:hanging="420"/>
        <w:jc w:val="center"/>
        <w:rPr>
          <w:rFonts w:hint="eastAsia" w:ascii="黑体" w:hAnsi="宋体" w:eastAsia="黑体"/>
          <w:b/>
          <w:color w:val="auto"/>
          <w:kern w:val="0"/>
          <w:sz w:val="32"/>
          <w:szCs w:val="32"/>
          <w:highlight w:val="none"/>
        </w:rPr>
      </w:pPr>
    </w:p>
    <w:p>
      <w:pPr>
        <w:spacing w:line="300" w:lineRule="auto"/>
        <w:ind w:left="420" w:hanging="420"/>
        <w:jc w:val="center"/>
        <w:rPr>
          <w:rFonts w:hint="eastAsia" w:ascii="黑体" w:hAnsi="宋体" w:eastAsia="黑体"/>
          <w:b/>
          <w:color w:val="auto"/>
          <w:kern w:val="0"/>
          <w:sz w:val="32"/>
          <w:szCs w:val="32"/>
          <w:highlight w:val="none"/>
        </w:rPr>
      </w:pPr>
    </w:p>
    <w:p>
      <w:pPr>
        <w:pStyle w:val="3"/>
        <w:rPr>
          <w:rFonts w:hint="eastAsia"/>
          <w:color w:val="auto"/>
          <w:highlight w:val="none"/>
        </w:rPr>
      </w:pPr>
    </w:p>
    <w:p>
      <w:pPr>
        <w:spacing w:line="300" w:lineRule="auto"/>
        <w:ind w:left="420" w:hanging="420"/>
        <w:jc w:val="center"/>
        <w:rPr>
          <w:rFonts w:hint="eastAsia" w:ascii="黑体" w:hAnsi="宋体" w:eastAsia="黑体"/>
          <w:b/>
          <w:color w:val="auto"/>
          <w:kern w:val="0"/>
          <w:sz w:val="32"/>
          <w:szCs w:val="32"/>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spacing w:line="300" w:lineRule="auto"/>
        <w:ind w:left="420" w:hanging="420"/>
        <w:jc w:val="center"/>
        <w:rPr>
          <w:rFonts w:ascii="黑体" w:hAnsi="黑体" w:eastAsia="黑体" w:cs="宋体"/>
          <w:b/>
          <w:color w:val="auto"/>
          <w:sz w:val="44"/>
          <w:szCs w:val="44"/>
          <w:highlight w:val="none"/>
        </w:rPr>
      </w:pPr>
      <w:r>
        <w:rPr>
          <w:rFonts w:hint="eastAsia" w:ascii="黑体" w:hAnsi="黑体" w:eastAsia="黑体" w:cs="宋体"/>
          <w:b/>
          <w:color w:val="auto"/>
          <w:sz w:val="44"/>
          <w:szCs w:val="44"/>
          <w:highlight w:val="none"/>
        </w:rPr>
        <w:t>采购合同文本</w:t>
      </w:r>
    </w:p>
    <w:p>
      <w:pPr>
        <w:spacing w:line="360" w:lineRule="exact"/>
        <w:jc w:val="center"/>
        <w:rPr>
          <w:rFonts w:hint="eastAsia" w:ascii="宋体" w:hAnsi="宋体" w:cs="宋体"/>
          <w:b/>
          <w:color w:val="auto"/>
          <w:szCs w:val="21"/>
          <w:highlight w:val="none"/>
        </w:rPr>
      </w:pPr>
    </w:p>
    <w:p>
      <w:pPr>
        <w:spacing w:line="360" w:lineRule="exact"/>
        <w:ind w:right="480" w:firstLine="5985"/>
        <w:rPr>
          <w:rFonts w:hint="eastAsia" w:ascii="宋体" w:hAnsi="宋体" w:cs="宋体"/>
          <w:color w:val="auto"/>
          <w:szCs w:val="21"/>
          <w:highlight w:val="none"/>
          <w:u w:val="single"/>
        </w:rPr>
      </w:pPr>
      <w:r>
        <w:rPr>
          <w:rFonts w:hint="eastAsia" w:ascii="宋体" w:hAnsi="宋体" w:cs="宋体"/>
          <w:color w:val="auto"/>
          <w:szCs w:val="21"/>
          <w:highlight w:val="none"/>
        </w:rPr>
        <w:t>合同编号：</w:t>
      </w:r>
    </w:p>
    <w:p>
      <w:pPr>
        <w:spacing w:line="360" w:lineRule="exact"/>
        <w:rPr>
          <w:rFonts w:hint="eastAsia" w:ascii="宋体" w:hAnsi="宋体" w:cs="宋体"/>
          <w:color w:val="auto"/>
          <w:szCs w:val="21"/>
          <w:highlight w:val="none"/>
        </w:rPr>
      </w:pPr>
    </w:p>
    <w:p>
      <w:pPr>
        <w:spacing w:line="360" w:lineRule="exact"/>
        <w:rPr>
          <w:rFonts w:hint="eastAsia" w:ascii="宋体" w:hAnsi="宋体" w:cs="宋体"/>
          <w:color w:val="auto"/>
          <w:szCs w:val="21"/>
          <w:highlight w:val="none"/>
          <w:u w:val="single"/>
        </w:rPr>
      </w:pPr>
      <w:r>
        <w:rPr>
          <w:rFonts w:hint="eastAsia" w:ascii="宋体" w:hAnsi="宋体" w:cs="宋体"/>
          <w:color w:val="auto"/>
          <w:szCs w:val="21"/>
          <w:highlight w:val="none"/>
        </w:rPr>
        <w:t>采购单位（甲方）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pacing w:val="-20"/>
          <w:szCs w:val="21"/>
          <w:highlight w:val="none"/>
        </w:rPr>
        <w:t>采 购 计 划 号</w:t>
      </w:r>
      <w:r>
        <w:rPr>
          <w:rFonts w:hint="eastAsia" w:ascii="宋体" w:hAnsi="宋体" w:cs="宋体"/>
          <w:color w:val="auto"/>
          <w:szCs w:val="21"/>
          <w:highlight w:val="none"/>
          <w:u w:val="single"/>
        </w:rPr>
        <w:t xml:space="preserve">                        </w:t>
      </w:r>
    </w:p>
    <w:p>
      <w:pPr>
        <w:spacing w:line="360" w:lineRule="exact"/>
        <w:rPr>
          <w:rFonts w:hint="eastAsia" w:ascii="宋体" w:hAnsi="宋体" w:cs="宋体"/>
          <w:color w:val="auto"/>
          <w:szCs w:val="21"/>
          <w:highlight w:val="none"/>
          <w:u w:val="single"/>
        </w:rPr>
      </w:pPr>
      <w:r>
        <w:rPr>
          <w:rFonts w:hint="eastAsia" w:ascii="宋体" w:hAnsi="宋体" w:cs="宋体"/>
          <w:color w:val="auto"/>
          <w:szCs w:val="21"/>
          <w:highlight w:val="none"/>
        </w:rPr>
        <w:t>供 应 商（乙方）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项目名称</w:t>
      </w:r>
      <w:r>
        <w:rPr>
          <w:rFonts w:hint="eastAsia" w:ascii="宋体" w:hAnsi="宋体" w:cs="宋体"/>
          <w:color w:val="auto"/>
          <w:spacing w:val="-20"/>
          <w:szCs w:val="21"/>
          <w:highlight w:val="none"/>
        </w:rPr>
        <w:t>编号</w:t>
      </w:r>
      <w:r>
        <w:rPr>
          <w:rFonts w:hint="eastAsia" w:ascii="宋体" w:hAnsi="宋体" w:cs="宋体"/>
          <w:color w:val="auto"/>
          <w:szCs w:val="21"/>
          <w:highlight w:val="none"/>
          <w:u w:val="single"/>
        </w:rPr>
        <w:t xml:space="preserve">                       </w:t>
      </w:r>
    </w:p>
    <w:p>
      <w:pPr>
        <w:spacing w:line="360" w:lineRule="exact"/>
        <w:rPr>
          <w:rFonts w:hint="eastAsia" w:ascii="宋体" w:hAnsi="宋体" w:cs="宋体"/>
          <w:color w:val="auto"/>
          <w:szCs w:val="21"/>
          <w:highlight w:val="none"/>
          <w:u w:val="single"/>
        </w:rPr>
      </w:pPr>
      <w:r>
        <w:rPr>
          <w:rFonts w:hint="eastAsia" w:ascii="宋体" w:hAnsi="宋体" w:cs="宋体"/>
          <w:color w:val="auto"/>
          <w:szCs w:val="21"/>
          <w:highlight w:val="none"/>
        </w:rPr>
        <w:t xml:space="preserve">签  订  地  点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签 订 时 间</w:t>
      </w:r>
      <w:r>
        <w:rPr>
          <w:rFonts w:hint="eastAsia" w:ascii="宋体" w:hAnsi="宋体" w:cs="宋体"/>
          <w:color w:val="auto"/>
          <w:szCs w:val="21"/>
          <w:highlight w:val="none"/>
          <w:u w:val="single"/>
        </w:rPr>
        <w:t xml:space="preserve">                       </w:t>
      </w:r>
    </w:p>
    <w:p>
      <w:pPr>
        <w:spacing w:line="360" w:lineRule="exact"/>
        <w:ind w:firstLine="420"/>
        <w:rPr>
          <w:rFonts w:hint="eastAsia" w:ascii="宋体" w:hAnsi="宋体" w:cs="宋体"/>
          <w:color w:val="auto"/>
          <w:szCs w:val="21"/>
          <w:highlight w:val="none"/>
        </w:rPr>
      </w:pPr>
    </w:p>
    <w:p>
      <w:pPr>
        <w:pStyle w:val="22"/>
        <w:spacing w:line="420" w:lineRule="exact"/>
        <w:ind w:firstLine="420"/>
        <w:rPr>
          <w:rFonts w:hint="eastAsia" w:cs="宋体"/>
          <w:color w:val="auto"/>
          <w:highlight w:val="none"/>
        </w:rPr>
      </w:pPr>
      <w:r>
        <w:rPr>
          <w:rFonts w:hint="eastAsia"/>
          <w:color w:val="auto"/>
          <w:highlight w:val="none"/>
        </w:rPr>
        <w:t>根据《中华人民共和国政府采购法》、《中华人民共和国合同法》等法律、法规规定，按照招标文件规定条款和中标供应商投标文件及其承诺，甲乙双方签订本合同。</w:t>
      </w:r>
    </w:p>
    <w:p>
      <w:pPr>
        <w:spacing w:line="360" w:lineRule="exact"/>
        <w:ind w:firstLine="422"/>
        <w:rPr>
          <w:rFonts w:hint="eastAsia" w:ascii="宋体" w:hAnsi="宋体" w:cs="宋体"/>
          <w:b/>
          <w:color w:val="auto"/>
          <w:szCs w:val="21"/>
          <w:highlight w:val="none"/>
        </w:rPr>
      </w:pPr>
      <w:r>
        <w:rPr>
          <w:rFonts w:hint="eastAsia" w:ascii="宋体" w:hAnsi="宋体" w:cs="宋体"/>
          <w:b/>
          <w:color w:val="auto"/>
          <w:szCs w:val="21"/>
          <w:highlight w:val="none"/>
        </w:rPr>
        <w:t>第一条　合同标的</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1.供货一览表</w:t>
      </w:r>
    </w:p>
    <w:tbl>
      <w:tblPr>
        <w:tblStyle w:val="36"/>
        <w:tblW w:w="0" w:type="auto"/>
        <w:tblInd w:w="-72" w:type="dxa"/>
        <w:tblLayout w:type="fixed"/>
        <w:tblCellMar>
          <w:top w:w="0" w:type="dxa"/>
          <w:left w:w="108" w:type="dxa"/>
          <w:bottom w:w="0" w:type="dxa"/>
          <w:right w:w="108" w:type="dxa"/>
        </w:tblCellMar>
      </w:tblPr>
      <w:tblGrid>
        <w:gridCol w:w="496"/>
        <w:gridCol w:w="1304"/>
        <w:gridCol w:w="1081"/>
        <w:gridCol w:w="1194"/>
        <w:gridCol w:w="1193"/>
        <w:gridCol w:w="672"/>
        <w:gridCol w:w="1080"/>
        <w:gridCol w:w="1080"/>
        <w:gridCol w:w="1440"/>
      </w:tblGrid>
      <w:tr>
        <w:tblPrEx>
          <w:tblCellMar>
            <w:top w:w="0" w:type="dxa"/>
            <w:left w:w="108" w:type="dxa"/>
            <w:bottom w:w="0" w:type="dxa"/>
            <w:right w:w="108" w:type="dxa"/>
          </w:tblCellMar>
        </w:tblPrEx>
        <w:trPr>
          <w:cantSplit/>
          <w:trHeight w:val="820"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产品</w:t>
            </w:r>
          </w:p>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名称</w:t>
            </w:r>
          </w:p>
        </w:tc>
        <w:tc>
          <w:tcPr>
            <w:tcW w:w="108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商标</w:t>
            </w:r>
          </w:p>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品牌</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型号</w:t>
            </w:r>
          </w:p>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参数</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生产</w:t>
            </w:r>
          </w:p>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厂家</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数  量</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单位</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单  价</w:t>
            </w:r>
          </w:p>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（元）</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金  额</w:t>
            </w:r>
          </w:p>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（元）</w:t>
            </w:r>
          </w:p>
        </w:tc>
      </w:tr>
      <w:tr>
        <w:tblPrEx>
          <w:tblCellMar>
            <w:top w:w="0" w:type="dxa"/>
            <w:left w:w="108" w:type="dxa"/>
            <w:bottom w:w="0" w:type="dxa"/>
            <w:right w:w="108" w:type="dxa"/>
          </w:tblCellMar>
        </w:tblPrEx>
        <w:trPr>
          <w:cantSplit/>
          <w:trHeight w:val="46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hAnsi="宋体" w:cs="宋体"/>
                <w:color w:val="auto"/>
                <w:szCs w:val="21"/>
                <w:highlight w:val="none"/>
              </w:rPr>
            </w:pPr>
          </w:p>
        </w:tc>
        <w:tc>
          <w:tcPr>
            <w:tcW w:w="108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hAnsi="宋体" w:cs="宋体"/>
                <w:color w:val="auto"/>
                <w:szCs w:val="21"/>
                <w:highlight w:val="none"/>
              </w:rPr>
            </w:pP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hAnsi="宋体" w:cs="宋体"/>
                <w:color w:val="auto"/>
                <w:szCs w:val="21"/>
                <w:highlight w:val="none"/>
              </w:rPr>
            </w:pPr>
          </w:p>
        </w:tc>
        <w:tc>
          <w:tcPr>
            <w:tcW w:w="1193"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宋体" w:hAnsi="宋体" w:cs="宋体"/>
                <w:color w:val="auto"/>
                <w:szCs w:val="21"/>
                <w:highlight w:val="none"/>
              </w:rPr>
            </w:pPr>
          </w:p>
        </w:tc>
        <w:tc>
          <w:tcPr>
            <w:tcW w:w="67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宋体" w:hAnsi="宋体" w:cs="宋体"/>
                <w:color w:val="auto"/>
                <w:szCs w:val="21"/>
                <w:highlight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宋体" w:hAnsi="宋体" w:cs="宋体"/>
                <w:color w:val="auto"/>
                <w:szCs w:val="21"/>
                <w:highlight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hAnsi="宋体" w:cs="宋体"/>
                <w:color w:val="auto"/>
                <w:szCs w:val="21"/>
                <w:highlight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hAnsi="宋体" w:cs="宋体"/>
                <w:color w:val="auto"/>
                <w:szCs w:val="21"/>
                <w:highlight w:val="none"/>
              </w:rPr>
            </w:pPr>
          </w:p>
        </w:tc>
      </w:tr>
      <w:tr>
        <w:tblPrEx>
          <w:tblCellMar>
            <w:top w:w="0" w:type="dxa"/>
            <w:left w:w="108" w:type="dxa"/>
            <w:bottom w:w="0" w:type="dxa"/>
            <w:right w:w="108" w:type="dxa"/>
          </w:tblCellMar>
        </w:tblPrEx>
        <w:trPr>
          <w:cantSplit/>
          <w:trHeight w:val="46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hAnsi="宋体" w:cs="宋体"/>
                <w:color w:val="auto"/>
                <w:szCs w:val="21"/>
                <w:highlight w:val="none"/>
              </w:rPr>
            </w:pPr>
          </w:p>
        </w:tc>
        <w:tc>
          <w:tcPr>
            <w:tcW w:w="108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hAnsi="宋体" w:cs="宋体"/>
                <w:color w:val="auto"/>
                <w:szCs w:val="21"/>
                <w:highlight w:val="none"/>
              </w:rPr>
            </w:pP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hAnsi="宋体" w:cs="宋体"/>
                <w:color w:val="auto"/>
                <w:szCs w:val="21"/>
                <w:highlight w:val="none"/>
              </w:rPr>
            </w:pPr>
          </w:p>
        </w:tc>
        <w:tc>
          <w:tcPr>
            <w:tcW w:w="1193"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宋体" w:hAnsi="宋体" w:cs="宋体"/>
                <w:color w:val="auto"/>
                <w:szCs w:val="21"/>
                <w:highlight w:val="none"/>
              </w:rPr>
            </w:pPr>
          </w:p>
        </w:tc>
        <w:tc>
          <w:tcPr>
            <w:tcW w:w="67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宋体" w:hAnsi="宋体" w:cs="宋体"/>
                <w:color w:val="auto"/>
                <w:szCs w:val="21"/>
                <w:highlight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宋体" w:hAnsi="宋体" w:cs="宋体"/>
                <w:color w:val="auto"/>
                <w:szCs w:val="21"/>
                <w:highlight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hAnsi="宋体" w:cs="宋体"/>
                <w:color w:val="auto"/>
                <w:szCs w:val="21"/>
                <w:highlight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hAnsi="宋体" w:cs="宋体"/>
                <w:color w:val="auto"/>
                <w:szCs w:val="21"/>
                <w:highlight w:val="none"/>
              </w:rPr>
            </w:pPr>
          </w:p>
        </w:tc>
      </w:tr>
      <w:tr>
        <w:tblPrEx>
          <w:tblCellMar>
            <w:top w:w="0" w:type="dxa"/>
            <w:left w:w="108" w:type="dxa"/>
            <w:bottom w:w="0" w:type="dxa"/>
            <w:right w:w="108" w:type="dxa"/>
          </w:tblCellMar>
        </w:tblPrEx>
        <w:trPr>
          <w:cantSplit/>
          <w:trHeight w:val="46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hAnsi="宋体" w:cs="宋体"/>
                <w:color w:val="auto"/>
                <w:szCs w:val="21"/>
                <w:highlight w:val="none"/>
              </w:rPr>
            </w:pPr>
          </w:p>
        </w:tc>
        <w:tc>
          <w:tcPr>
            <w:tcW w:w="108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hAnsi="宋体" w:cs="宋体"/>
                <w:color w:val="auto"/>
                <w:szCs w:val="21"/>
                <w:highlight w:val="none"/>
              </w:rPr>
            </w:pP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hAnsi="宋体" w:cs="宋体"/>
                <w:color w:val="auto"/>
                <w:szCs w:val="21"/>
                <w:highlight w:val="none"/>
              </w:rPr>
            </w:pPr>
          </w:p>
        </w:tc>
        <w:tc>
          <w:tcPr>
            <w:tcW w:w="1193"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宋体" w:hAnsi="宋体" w:cs="宋体"/>
                <w:color w:val="auto"/>
                <w:szCs w:val="21"/>
                <w:highlight w:val="none"/>
              </w:rPr>
            </w:pPr>
          </w:p>
        </w:tc>
        <w:tc>
          <w:tcPr>
            <w:tcW w:w="67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宋体" w:hAnsi="宋体" w:cs="宋体"/>
                <w:color w:val="auto"/>
                <w:szCs w:val="21"/>
                <w:highlight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宋体" w:hAnsi="宋体" w:cs="宋体"/>
                <w:color w:val="auto"/>
                <w:szCs w:val="21"/>
                <w:highlight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hAnsi="宋体" w:cs="宋体"/>
                <w:color w:val="auto"/>
                <w:szCs w:val="21"/>
                <w:highlight w:val="none"/>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hAnsi="宋体" w:cs="宋体"/>
                <w:color w:val="auto"/>
                <w:szCs w:val="21"/>
                <w:highlight w:val="none"/>
              </w:rPr>
            </w:pPr>
          </w:p>
        </w:tc>
      </w:tr>
      <w:tr>
        <w:tblPrEx>
          <w:tblCellMar>
            <w:top w:w="0" w:type="dxa"/>
            <w:left w:w="108" w:type="dxa"/>
            <w:bottom w:w="0" w:type="dxa"/>
            <w:right w:w="108" w:type="dxa"/>
          </w:tblCellMar>
        </w:tblPrEx>
        <w:trPr>
          <w:cantSplit/>
          <w:trHeight w:val="465" w:hRule="atLeast"/>
        </w:trPr>
        <w:tc>
          <w:tcPr>
            <w:tcW w:w="9540" w:type="dxa"/>
            <w:gridSpan w:val="9"/>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 xml:space="preserve">人民币合计金额（大写）                          （小写）                 </w:t>
            </w:r>
          </w:p>
        </w:tc>
      </w:tr>
    </w:tbl>
    <w:p>
      <w:pPr>
        <w:pStyle w:val="22"/>
        <w:spacing w:line="420" w:lineRule="exact"/>
        <w:ind w:firstLine="420"/>
        <w:rPr>
          <w:rFonts w:hint="eastAsia" w:cs="宋体"/>
          <w:color w:val="auto"/>
          <w:highlight w:val="none"/>
        </w:rPr>
      </w:pPr>
      <w:r>
        <w:rPr>
          <w:rFonts w:hint="eastAsia" w:cs="宋体"/>
          <w:color w:val="auto"/>
          <w:highlight w:val="none"/>
        </w:rPr>
        <w:t>2.合同合计金额包括货物价款，备件、专用工具、安装、调试、检验、技术培训及技术资料和包装、运输等全部费用。如招投标文件对其另有规定的，从其规定。</w:t>
      </w:r>
    </w:p>
    <w:p>
      <w:pPr>
        <w:spacing w:line="360" w:lineRule="exact"/>
        <w:ind w:firstLine="422"/>
        <w:rPr>
          <w:rFonts w:hint="eastAsia" w:ascii="宋体" w:hAnsi="宋体" w:cs="宋体"/>
          <w:color w:val="auto"/>
          <w:szCs w:val="21"/>
          <w:highlight w:val="none"/>
        </w:rPr>
      </w:pPr>
      <w:r>
        <w:rPr>
          <w:rFonts w:hint="eastAsia" w:ascii="宋体" w:hAnsi="宋体" w:cs="宋体"/>
          <w:b/>
          <w:color w:val="auto"/>
          <w:szCs w:val="21"/>
          <w:highlight w:val="none"/>
        </w:rPr>
        <w:t>第二条　质量保证</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1.乙方所提供的货物型号、技术规格、技术参数等质量必须与招投标文件和承诺相一致。乙方提供的节能和环保产品必须是列入政府采购清单的产品。</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2.乙方所提供的货物必须是全新、未使用的原装产品，且在正常安装、使用和保养条件下，其使用寿命期内各项指标均达到质量要求。</w:t>
      </w:r>
    </w:p>
    <w:p>
      <w:pPr>
        <w:spacing w:line="360" w:lineRule="exact"/>
        <w:ind w:firstLine="422"/>
        <w:rPr>
          <w:rFonts w:hint="eastAsia" w:ascii="宋体" w:hAnsi="宋体" w:cs="宋体"/>
          <w:color w:val="auto"/>
          <w:szCs w:val="21"/>
          <w:highlight w:val="none"/>
        </w:rPr>
      </w:pPr>
      <w:r>
        <w:rPr>
          <w:rFonts w:hint="eastAsia" w:ascii="宋体" w:hAnsi="宋体" w:cs="宋体"/>
          <w:b/>
          <w:color w:val="auto"/>
          <w:szCs w:val="21"/>
          <w:highlight w:val="none"/>
        </w:rPr>
        <w:t>第三条　权利保证</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乙方应保证所提供货物在使用时不会侵犯任何第三方的专利权、商标权、工业设计权或其他权利。</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乙方应按招标文件规定的时间向甲方提供使用货物的有关技术资料。</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乙方保证所交付的货物的所有权完全属于乙方且无任何抵押、质押、查封等产权瑕疵。</w:t>
      </w:r>
    </w:p>
    <w:p>
      <w:pPr>
        <w:spacing w:line="360" w:lineRule="exact"/>
        <w:ind w:firstLine="422"/>
        <w:rPr>
          <w:rFonts w:hint="eastAsia" w:ascii="宋体" w:hAnsi="宋体" w:cs="宋体"/>
          <w:b/>
          <w:color w:val="auto"/>
          <w:szCs w:val="21"/>
          <w:highlight w:val="none"/>
        </w:rPr>
      </w:pPr>
      <w:r>
        <w:rPr>
          <w:rFonts w:hint="eastAsia" w:ascii="宋体" w:hAnsi="宋体" w:cs="宋体"/>
          <w:b/>
          <w:color w:val="auto"/>
          <w:szCs w:val="21"/>
          <w:highlight w:val="none"/>
        </w:rPr>
        <w:t>第四条　包装和运输</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1.乙方提供的货物均应按招投标文件要求的包装材料、包装标准、包装方式进行包装，每一包装单元内应附详细的装箱单和质量合格证。</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2.货物的运输方式：</w:t>
      </w:r>
      <w:r>
        <w:rPr>
          <w:rFonts w:hint="eastAsia" w:ascii="宋体" w:hAnsi="宋体" w:cs="宋体"/>
          <w:color w:val="auto"/>
          <w:szCs w:val="21"/>
          <w:highlight w:val="none"/>
          <w:u w:val="single"/>
        </w:rPr>
        <w:t>乙方自定。</w:t>
      </w:r>
    </w:p>
    <w:p>
      <w:pPr>
        <w:spacing w:line="360" w:lineRule="exact"/>
        <w:ind w:firstLine="420"/>
        <w:rPr>
          <w:rFonts w:hint="eastAsia" w:ascii="宋体" w:hAnsi="宋体" w:cs="宋体"/>
          <w:color w:val="auto"/>
          <w:szCs w:val="21"/>
          <w:highlight w:val="none"/>
          <w:u w:val="single"/>
        </w:rPr>
      </w:pPr>
      <w:r>
        <w:rPr>
          <w:rFonts w:hint="eastAsia" w:ascii="宋体" w:hAnsi="宋体" w:cs="宋体"/>
          <w:color w:val="auto"/>
          <w:szCs w:val="21"/>
          <w:highlight w:val="none"/>
        </w:rPr>
        <w:t>3.乙方负责货物运输，货物运输合理损耗及计算方法：</w:t>
      </w:r>
      <w:r>
        <w:rPr>
          <w:rFonts w:hint="eastAsia" w:ascii="宋体" w:hAnsi="宋体" w:cs="宋体"/>
          <w:color w:val="auto"/>
          <w:szCs w:val="21"/>
          <w:highlight w:val="none"/>
          <w:u w:val="single"/>
        </w:rPr>
        <w:t xml:space="preserve">  由乙方负责 。</w:t>
      </w:r>
    </w:p>
    <w:p>
      <w:pPr>
        <w:spacing w:line="360" w:lineRule="exact"/>
        <w:ind w:firstLine="422"/>
        <w:rPr>
          <w:rFonts w:hint="eastAsia" w:ascii="宋体" w:hAnsi="宋体" w:cs="宋体"/>
          <w:color w:val="auto"/>
          <w:szCs w:val="21"/>
          <w:highlight w:val="none"/>
        </w:rPr>
      </w:pPr>
      <w:r>
        <w:rPr>
          <w:rFonts w:hint="eastAsia" w:ascii="宋体" w:hAnsi="宋体" w:cs="宋体"/>
          <w:b/>
          <w:color w:val="auto"/>
          <w:szCs w:val="21"/>
          <w:highlight w:val="none"/>
        </w:rPr>
        <w:t>第五条　交付和验收</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1.交付使用时间：</w:t>
      </w:r>
      <w:r>
        <w:rPr>
          <w:rFonts w:hint="eastAsia" w:ascii="宋体" w:hAnsi="宋体" w:cs="宋体"/>
          <w:color w:val="auto"/>
          <w:szCs w:val="21"/>
          <w:highlight w:val="none"/>
          <w:u w:val="single"/>
        </w:rPr>
        <w:t>按乙方投标文件中所承诺的时间</w:t>
      </w:r>
      <w:r>
        <w:rPr>
          <w:rFonts w:hint="eastAsia" w:ascii="宋体" w:hAnsi="宋体" w:cs="宋体"/>
          <w:color w:val="auto"/>
          <w:szCs w:val="21"/>
          <w:highlight w:val="none"/>
        </w:rPr>
        <w:t>、地点：</w:t>
      </w:r>
      <w:r>
        <w:rPr>
          <w:rFonts w:hint="eastAsia" w:ascii="宋体" w:hAnsi="宋体" w:cs="宋体"/>
          <w:color w:val="auto"/>
          <w:szCs w:val="21"/>
          <w:highlight w:val="none"/>
          <w:u w:val="single"/>
        </w:rPr>
        <w:t xml:space="preserve"> 甲方指定地点。</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2.乙方提供不符合招投标文件和本合同规定的货物，甲方有权拒绝接受。</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3.乙方应将所提供货物的装箱清单、用户手册、原厂保修卡、随机资料、工具和备品、备件等交付给甲方，如有缺失应及时补齐，否则视为逾期交货。</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4.甲方应当在到货并安装、调试完后七个工作日内进行验收，逾期不验收的，乙方可视同验收合格。验收合格后由甲乙双方签署货物验收单并加盖采购单位公章，甲乙双方各执一份。</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5.采购人委托本中心组织的验收项目，其验收时间以该项目验收方案确定的验收时间为准，验收结果以该项目验收报告结论为准。在验收过程中发现乙方有违约问题，可暂缓资金结算，待违约问题解决后，方可办理资金结算事宜。</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6.甲方对验收有异议的，在验收后五个工作日内以书面形式向乙方提出，乙方应自收到甲方书面异议后</w:t>
      </w:r>
      <w:r>
        <w:rPr>
          <w:rFonts w:hint="eastAsia" w:ascii="宋体" w:hAnsi="宋体" w:cs="宋体"/>
          <w:color w:val="auto"/>
          <w:szCs w:val="21"/>
          <w:highlight w:val="none"/>
          <w:u w:val="single"/>
        </w:rPr>
        <w:t xml:space="preserve"> 7 </w:t>
      </w:r>
      <w:r>
        <w:rPr>
          <w:rFonts w:hint="eastAsia" w:ascii="宋体" w:hAnsi="宋体" w:cs="宋体"/>
          <w:color w:val="auto"/>
          <w:szCs w:val="21"/>
          <w:highlight w:val="none"/>
        </w:rPr>
        <w:t>日内及时予以解决。</w:t>
      </w:r>
    </w:p>
    <w:p>
      <w:pPr>
        <w:spacing w:line="360" w:lineRule="exact"/>
        <w:ind w:firstLine="422"/>
        <w:rPr>
          <w:rFonts w:hint="eastAsia" w:ascii="宋体" w:hAnsi="宋体" w:cs="宋体"/>
          <w:b/>
          <w:color w:val="auto"/>
          <w:szCs w:val="21"/>
          <w:highlight w:val="none"/>
        </w:rPr>
      </w:pPr>
      <w:r>
        <w:rPr>
          <w:rFonts w:hint="eastAsia" w:ascii="宋体" w:hAnsi="宋体" w:cs="宋体"/>
          <w:b/>
          <w:color w:val="auto"/>
          <w:szCs w:val="21"/>
          <w:highlight w:val="none"/>
        </w:rPr>
        <w:t>第六条　安装和培训</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1.甲方应提供必要安装条件（如场地、电源、水源等）。</w:t>
      </w:r>
    </w:p>
    <w:p>
      <w:pPr>
        <w:spacing w:line="360" w:lineRule="exact"/>
        <w:ind w:firstLine="420"/>
        <w:rPr>
          <w:rFonts w:hint="eastAsia" w:ascii="宋体" w:hAnsi="宋体" w:cs="宋体"/>
          <w:color w:val="auto"/>
          <w:szCs w:val="21"/>
          <w:highlight w:val="none"/>
          <w:u w:val="single"/>
        </w:rPr>
      </w:pPr>
      <w:r>
        <w:rPr>
          <w:rFonts w:hint="eastAsia" w:ascii="宋体" w:hAnsi="宋体" w:cs="宋体"/>
          <w:color w:val="auto"/>
          <w:szCs w:val="21"/>
          <w:highlight w:val="none"/>
        </w:rPr>
        <w:t>2.乙方负责甲方有关人员的培训。培训时间、地点：</w:t>
      </w:r>
      <w:r>
        <w:rPr>
          <w:rFonts w:hint="eastAsia" w:ascii="宋体" w:hAnsi="宋体" w:cs="宋体"/>
          <w:color w:val="auto"/>
          <w:szCs w:val="21"/>
          <w:highlight w:val="none"/>
          <w:u w:val="single"/>
        </w:rPr>
        <w:t xml:space="preserve"> 由甲方决定。</w:t>
      </w:r>
    </w:p>
    <w:p>
      <w:pPr>
        <w:spacing w:line="360" w:lineRule="exact"/>
        <w:ind w:firstLine="422"/>
        <w:rPr>
          <w:rFonts w:hint="eastAsia" w:ascii="宋体" w:hAnsi="宋体" w:cs="宋体"/>
          <w:b/>
          <w:color w:val="auto"/>
          <w:szCs w:val="21"/>
          <w:highlight w:val="none"/>
        </w:rPr>
      </w:pPr>
      <w:r>
        <w:rPr>
          <w:rFonts w:hint="eastAsia" w:ascii="宋体" w:hAnsi="宋体" w:cs="宋体"/>
          <w:b/>
          <w:color w:val="auto"/>
          <w:szCs w:val="21"/>
          <w:highlight w:val="none"/>
        </w:rPr>
        <w:t>第七条  售后服务、保修期</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1.乙方应按照国家有关法律法规和“三包”规定以及招投标文件和本合同所附的《服务承诺》，为甲方提供售后服务。</w:t>
      </w:r>
    </w:p>
    <w:p>
      <w:pPr>
        <w:spacing w:line="360" w:lineRule="exact"/>
        <w:ind w:firstLine="420"/>
        <w:rPr>
          <w:rFonts w:hint="eastAsia" w:ascii="宋体" w:hAnsi="宋体" w:cs="宋体"/>
          <w:color w:val="auto"/>
          <w:szCs w:val="21"/>
          <w:highlight w:val="none"/>
          <w:u w:val="single"/>
        </w:rPr>
      </w:pPr>
      <w:r>
        <w:rPr>
          <w:rFonts w:hint="eastAsia" w:ascii="宋体" w:hAnsi="宋体" w:cs="宋体"/>
          <w:color w:val="auto"/>
          <w:szCs w:val="21"/>
          <w:highlight w:val="none"/>
        </w:rPr>
        <w:t>2.货物保修期：</w:t>
      </w:r>
      <w:r>
        <w:rPr>
          <w:rFonts w:hint="eastAsia" w:ascii="宋体" w:hAnsi="宋体" w:cs="宋体"/>
          <w:b/>
          <w:color w:val="auto"/>
          <w:szCs w:val="21"/>
          <w:highlight w:val="none"/>
          <w:u w:val="single"/>
        </w:rPr>
        <w:t>按乙方承诺，但是不得低于国家相关标准</w:t>
      </w:r>
      <w:r>
        <w:rPr>
          <w:rFonts w:hint="eastAsia" w:ascii="宋体" w:hAnsi="宋体" w:cs="宋体"/>
          <w:color w:val="auto"/>
          <w:szCs w:val="21"/>
          <w:highlight w:val="none"/>
        </w:rPr>
        <w:t>。</w:t>
      </w:r>
    </w:p>
    <w:p>
      <w:pPr>
        <w:spacing w:line="360" w:lineRule="exact"/>
        <w:ind w:firstLine="420"/>
        <w:rPr>
          <w:rFonts w:hint="eastAsia" w:ascii="宋体" w:hAnsi="宋体" w:cs="宋体"/>
          <w:color w:val="auto"/>
          <w:szCs w:val="21"/>
          <w:highlight w:val="none"/>
          <w:u w:val="single"/>
        </w:rPr>
      </w:pPr>
      <w:r>
        <w:rPr>
          <w:rFonts w:hint="eastAsia" w:ascii="宋体" w:hAnsi="宋体" w:cs="宋体"/>
          <w:color w:val="auto"/>
          <w:szCs w:val="21"/>
          <w:highlight w:val="none"/>
        </w:rPr>
        <w:t>3.乙方提供的服务承诺和售后服务及保修期责任等其它具体约定事项。（见合同附件）</w:t>
      </w:r>
    </w:p>
    <w:p>
      <w:pPr>
        <w:spacing w:line="360" w:lineRule="exact"/>
        <w:ind w:firstLine="422"/>
        <w:rPr>
          <w:rFonts w:hint="eastAsia" w:ascii="宋体" w:hAnsi="宋体" w:cs="宋体"/>
          <w:color w:val="auto"/>
          <w:szCs w:val="21"/>
          <w:highlight w:val="none"/>
        </w:rPr>
      </w:pPr>
      <w:r>
        <w:rPr>
          <w:rFonts w:hint="eastAsia" w:ascii="宋体" w:hAnsi="宋体" w:cs="宋体"/>
          <w:b/>
          <w:color w:val="auto"/>
          <w:szCs w:val="21"/>
          <w:highlight w:val="none"/>
        </w:rPr>
        <w:t>第八条　付款方式和保证金</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1.当采购数量与实际使用数量不一致时，乙方应根据实际使用量供货，合同的最终结算金额按实际使用量乘以成交单价进行计算。</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2.资金性质：</w:t>
      </w:r>
      <w:r>
        <w:rPr>
          <w:rFonts w:hint="eastAsia" w:ascii="宋体" w:hAnsi="宋体" w:cs="宋体"/>
          <w:color w:val="auto"/>
          <w:szCs w:val="21"/>
          <w:highlight w:val="none"/>
          <w:u w:val="single"/>
        </w:rPr>
        <w:t>财政性资金</w:t>
      </w:r>
      <w:r>
        <w:rPr>
          <w:rFonts w:hint="eastAsia" w:ascii="宋体" w:hAnsi="宋体" w:cs="宋体"/>
          <w:color w:val="auto"/>
          <w:szCs w:val="21"/>
          <w:highlight w:val="none"/>
        </w:rPr>
        <w:t>。</w:t>
      </w:r>
    </w:p>
    <w:p>
      <w:pPr>
        <w:spacing w:line="360" w:lineRule="auto"/>
        <w:ind w:firstLine="405"/>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3.</w:t>
      </w:r>
      <w:r>
        <w:rPr>
          <w:rFonts w:hint="eastAsia" w:ascii="宋体" w:hAnsi="宋体" w:cs="宋体"/>
          <w:b/>
          <w:color w:val="auto"/>
          <w:szCs w:val="21"/>
          <w:highlight w:val="none"/>
        </w:rPr>
        <w:t>付款方式和质量保证金</w:t>
      </w:r>
      <w:r>
        <w:rPr>
          <w:rFonts w:hint="eastAsia" w:ascii="宋体" w:hAnsi="宋体" w:cs="宋体"/>
          <w:color w:val="auto"/>
          <w:szCs w:val="21"/>
          <w:highlight w:val="none"/>
        </w:rPr>
        <w:t>：</w:t>
      </w:r>
      <w:r>
        <w:rPr>
          <w:rFonts w:hint="eastAsia" w:ascii="宋体" w:hAnsi="宋体" w:cs="宋体"/>
          <w:color w:val="auto"/>
          <w:szCs w:val="21"/>
          <w:highlight w:val="none"/>
          <w:lang w:eastAsia="zh-CN"/>
        </w:rPr>
        <w:t>见采购需求</w:t>
      </w:r>
    </w:p>
    <w:p>
      <w:pPr>
        <w:spacing w:line="360" w:lineRule="auto"/>
        <w:ind w:firstLine="405"/>
        <w:rPr>
          <w:rFonts w:hint="eastAsia" w:ascii="宋体" w:hAnsi="宋体" w:cs="Courier New"/>
          <w:color w:val="auto"/>
          <w:szCs w:val="21"/>
          <w:highlight w:val="none"/>
          <w:u w:val="single"/>
        </w:rPr>
      </w:pPr>
      <w:r>
        <w:rPr>
          <w:rFonts w:hint="eastAsia" w:ascii="宋体" w:hAnsi="宋体" w:cs="宋体"/>
          <w:b/>
          <w:color w:val="auto"/>
          <w:szCs w:val="21"/>
          <w:highlight w:val="none"/>
        </w:rPr>
        <w:t>第九条 履约保证金：</w:t>
      </w:r>
      <w:r>
        <w:rPr>
          <w:rFonts w:hint="eastAsia" w:ascii="宋体" w:hAnsi="宋体" w:cs="宋体"/>
          <w:b/>
          <w:color w:val="auto"/>
          <w:szCs w:val="21"/>
          <w:highlight w:val="none"/>
          <w:u w:val="single"/>
        </w:rPr>
        <w:t xml:space="preserve">   </w:t>
      </w:r>
      <w:r>
        <w:rPr>
          <w:color w:val="auto"/>
          <w:highlight w:val="none"/>
          <w:u w:val="single"/>
        </w:rPr>
        <w:t xml:space="preserve">    </w:t>
      </w:r>
      <w:r>
        <w:rPr>
          <w:rFonts w:hint="eastAsia"/>
          <w:color w:val="auto"/>
          <w:highlight w:val="none"/>
          <w:u w:val="single"/>
        </w:rPr>
        <w:t>无</w:t>
      </w:r>
      <w:r>
        <w:rPr>
          <w:color w:val="auto"/>
          <w:highlight w:val="none"/>
          <w:u w:val="single"/>
        </w:rPr>
        <w:t xml:space="preserve">     </w:t>
      </w:r>
      <w:r>
        <w:rPr>
          <w:rFonts w:hint="eastAsia"/>
          <w:color w:val="auto"/>
          <w:highlight w:val="none"/>
          <w:u w:val="single"/>
        </w:rPr>
        <w:t>。</w:t>
      </w:r>
    </w:p>
    <w:p>
      <w:pPr>
        <w:spacing w:line="360" w:lineRule="exact"/>
        <w:ind w:firstLine="422"/>
        <w:rPr>
          <w:rFonts w:hint="eastAsia" w:ascii="宋体" w:hAnsi="宋体" w:cs="宋体"/>
          <w:b/>
          <w:color w:val="auto"/>
          <w:szCs w:val="21"/>
          <w:highlight w:val="none"/>
        </w:rPr>
      </w:pPr>
      <w:r>
        <w:rPr>
          <w:rFonts w:hint="eastAsia" w:ascii="宋体" w:hAnsi="宋体" w:cs="宋体"/>
          <w:b/>
          <w:color w:val="auto"/>
          <w:szCs w:val="21"/>
          <w:highlight w:val="none"/>
        </w:rPr>
        <w:t>第十条 税费</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本合同执行中相关的一切税费均由乙方负担。</w:t>
      </w:r>
    </w:p>
    <w:p>
      <w:pPr>
        <w:spacing w:line="360" w:lineRule="exact"/>
        <w:ind w:firstLine="422"/>
        <w:rPr>
          <w:rFonts w:hint="eastAsia" w:ascii="宋体" w:hAnsi="宋体" w:cs="宋体"/>
          <w:b/>
          <w:color w:val="auto"/>
          <w:szCs w:val="21"/>
          <w:highlight w:val="none"/>
        </w:rPr>
      </w:pPr>
      <w:r>
        <w:rPr>
          <w:rFonts w:hint="eastAsia" w:ascii="宋体" w:hAnsi="宋体" w:cs="宋体"/>
          <w:b/>
          <w:color w:val="auto"/>
          <w:szCs w:val="21"/>
          <w:highlight w:val="none"/>
        </w:rPr>
        <w:t>第十一条 质量保证及售后服务</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 乙方应按招标文件规定的货物性能、技术要求、质量标准向甲方提供未经使用的全新产品。乙方提供货物的质量保证期按交货验收合格之日起计（期限见《招标项目采购需求》中的要求）。在保证期内因货物本身的质量问题发生故障，乙方应负责免费修理和更换零部件。对达不到技术要求者，根据实际情况，经双方协商，可按以下办法处理：</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⑴更换：由乙方承担所发生的全部费用。</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⑵贬值处理：由甲乙双方合议定价。</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⑶退货处理：乙方应退还甲方支付的合同款，同时应承担该货物的直接费用（运输、保险、检验、货款利息及银行手续费等）。</w:t>
      </w:r>
    </w:p>
    <w:p>
      <w:pPr>
        <w:pStyle w:val="22"/>
        <w:spacing w:before="120" w:after="120" w:line="360" w:lineRule="exact"/>
        <w:ind w:firstLine="420"/>
        <w:rPr>
          <w:rFonts w:hint="eastAsia" w:cs="宋体"/>
          <w:color w:val="auto"/>
          <w:highlight w:val="none"/>
        </w:rPr>
      </w:pPr>
      <w:r>
        <w:rPr>
          <w:rFonts w:hint="eastAsia" w:cs="宋体"/>
          <w:color w:val="auto"/>
          <w:highlight w:val="none"/>
        </w:rPr>
        <w:t>2. 如在使用过程中发生质量问题，乙方在接到甲方通知后在</w:t>
      </w:r>
      <w:r>
        <w:rPr>
          <w:rFonts w:hint="eastAsia" w:cs="宋体"/>
          <w:color w:val="auto"/>
          <w:highlight w:val="none"/>
          <w:u w:val="single"/>
        </w:rPr>
        <w:t xml:space="preserve">    </w:t>
      </w:r>
      <w:r>
        <w:rPr>
          <w:rFonts w:hint="eastAsia" w:cs="宋体"/>
          <w:color w:val="auto"/>
          <w:highlight w:val="none"/>
        </w:rPr>
        <w:t>小时内到达甲方现场。</w:t>
      </w:r>
    </w:p>
    <w:p>
      <w:pPr>
        <w:pStyle w:val="22"/>
        <w:spacing w:before="120" w:after="120" w:line="360" w:lineRule="exact"/>
        <w:ind w:firstLine="420"/>
        <w:rPr>
          <w:rFonts w:hint="eastAsia" w:cs="宋体"/>
          <w:color w:val="auto"/>
          <w:highlight w:val="none"/>
        </w:rPr>
      </w:pPr>
      <w:r>
        <w:rPr>
          <w:rFonts w:hint="eastAsia" w:cs="宋体"/>
          <w:color w:val="auto"/>
          <w:highlight w:val="none"/>
        </w:rPr>
        <w:t>3. 在质保期内，乙方应对货物出现的质量及安全问题负责处理解决并承担一切费用。</w:t>
      </w:r>
    </w:p>
    <w:p>
      <w:pPr>
        <w:pStyle w:val="22"/>
        <w:spacing w:before="120" w:after="120" w:line="360" w:lineRule="exact"/>
        <w:ind w:firstLine="420"/>
        <w:rPr>
          <w:rFonts w:hint="eastAsia" w:cs="宋体"/>
          <w:color w:val="auto"/>
          <w:highlight w:val="none"/>
        </w:rPr>
      </w:pPr>
      <w:r>
        <w:rPr>
          <w:rFonts w:hint="eastAsia" w:cs="宋体"/>
          <w:color w:val="auto"/>
          <w:highlight w:val="none"/>
        </w:rPr>
        <w:t>4.上述的货物因人为因素出现的故障不在免费保修范围内。超过保修期的机器设备，终生维修，维修时只收部件成本费。</w:t>
      </w:r>
    </w:p>
    <w:p>
      <w:pPr>
        <w:pStyle w:val="22"/>
        <w:spacing w:before="120" w:after="120" w:line="360" w:lineRule="exact"/>
        <w:ind w:firstLine="413"/>
        <w:rPr>
          <w:rFonts w:hint="eastAsia" w:cs="宋体"/>
          <w:b/>
          <w:color w:val="auto"/>
          <w:highlight w:val="none"/>
        </w:rPr>
      </w:pPr>
      <w:r>
        <w:rPr>
          <w:rFonts w:hint="eastAsia" w:cs="宋体"/>
          <w:b/>
          <w:color w:val="auto"/>
          <w:highlight w:val="none"/>
        </w:rPr>
        <w:t>第十二条 调试和验收</w:t>
      </w:r>
    </w:p>
    <w:p>
      <w:pPr>
        <w:pStyle w:val="22"/>
        <w:spacing w:before="120" w:after="120" w:line="360" w:lineRule="exact"/>
        <w:ind w:firstLine="420"/>
        <w:jc w:val="left"/>
        <w:rPr>
          <w:rFonts w:hint="eastAsia" w:cs="宋体"/>
          <w:color w:val="auto"/>
          <w:highlight w:val="none"/>
        </w:rPr>
      </w:pPr>
      <w:r>
        <w:rPr>
          <w:rFonts w:hint="eastAsia" w:cs="宋体"/>
          <w:color w:val="auto"/>
          <w:highlight w:val="none"/>
        </w:rPr>
        <w:t>1. 甲方对乙方提交的货物依据招标文件上的技术规格要求和国家有关质量标准进行现场初步验收，外观、说明书符合招标文件技术要求的，给予签收，初步验收不合格的不予签收。货到后，</w:t>
      </w:r>
      <w:r>
        <w:rPr>
          <w:rFonts w:hint="eastAsia" w:cs="宋体"/>
          <w:bCs/>
          <w:color w:val="auto"/>
          <w:highlight w:val="none"/>
        </w:rPr>
        <w:t>甲方应当在到货并安装、调试完后七个工作日内进行验收</w:t>
      </w:r>
      <w:r>
        <w:rPr>
          <w:rFonts w:hint="eastAsia" w:cs="宋体"/>
          <w:color w:val="auto"/>
          <w:highlight w:val="none"/>
        </w:rPr>
        <w:t>。</w:t>
      </w:r>
    </w:p>
    <w:p>
      <w:pPr>
        <w:pStyle w:val="22"/>
        <w:spacing w:before="120" w:after="120" w:line="360" w:lineRule="exact"/>
        <w:ind w:firstLine="420"/>
        <w:rPr>
          <w:rFonts w:hint="eastAsia" w:cs="宋体"/>
          <w:color w:val="auto"/>
          <w:highlight w:val="none"/>
        </w:rPr>
      </w:pPr>
      <w:r>
        <w:rPr>
          <w:rFonts w:hint="eastAsia" w:cs="宋体"/>
          <w:color w:val="auto"/>
          <w:highlight w:val="none"/>
        </w:rPr>
        <w:t>2. 乙方交货前应对产品作出全面检查和对验收文件进行整理，并列出清单，作为甲方收货验收和使用的技术条件依据，检验的结果应随货物交甲方。</w:t>
      </w:r>
    </w:p>
    <w:p>
      <w:pPr>
        <w:pStyle w:val="22"/>
        <w:spacing w:before="120" w:after="120" w:line="360" w:lineRule="exact"/>
        <w:ind w:firstLine="420"/>
        <w:rPr>
          <w:rFonts w:hint="eastAsia" w:cs="宋体"/>
          <w:color w:val="auto"/>
          <w:highlight w:val="none"/>
          <w:u w:val="single"/>
        </w:rPr>
      </w:pPr>
      <w:r>
        <w:rPr>
          <w:rFonts w:hint="eastAsia" w:cs="宋体"/>
          <w:color w:val="auto"/>
          <w:highlight w:val="none"/>
        </w:rPr>
        <w:t>3. 甲方对乙方提供的货物在使用前进行调试时，乙方需负责安装并培训甲方的使用操作人员，并协助甲方一起调试，直到符合技术要求，甲方才做最终验收。</w:t>
      </w:r>
    </w:p>
    <w:p>
      <w:pPr>
        <w:pStyle w:val="22"/>
        <w:spacing w:before="120" w:after="120" w:line="360" w:lineRule="exact"/>
        <w:ind w:firstLine="420"/>
        <w:rPr>
          <w:rFonts w:hint="eastAsia" w:cs="宋体"/>
          <w:color w:val="auto"/>
          <w:highlight w:val="none"/>
        </w:rPr>
      </w:pPr>
      <w:r>
        <w:rPr>
          <w:rFonts w:hint="eastAsia" w:cs="宋体"/>
          <w:color w:val="auto"/>
          <w:highlight w:val="none"/>
        </w:rPr>
        <w:t>4. 对技术复杂的货物，甲方应请国家认可的专业检测机构参与初步验收及最终验收，并由其出具质量检测报告，检测相关费用由</w:t>
      </w:r>
      <w:r>
        <w:rPr>
          <w:rFonts w:hint="eastAsia" w:cs="宋体"/>
          <w:color w:val="auto"/>
          <w:highlight w:val="none"/>
          <w:u w:val="single"/>
        </w:rPr>
        <w:t xml:space="preserve">   </w:t>
      </w:r>
      <w:r>
        <w:rPr>
          <w:rFonts w:hint="eastAsia" w:cs="宋体"/>
          <w:color w:val="auto"/>
          <w:highlight w:val="none"/>
        </w:rPr>
        <w:t>方承担。</w:t>
      </w:r>
    </w:p>
    <w:p>
      <w:pPr>
        <w:pStyle w:val="22"/>
        <w:spacing w:before="120" w:after="120" w:line="360" w:lineRule="exact"/>
        <w:ind w:firstLine="420"/>
        <w:rPr>
          <w:rFonts w:hint="eastAsia" w:cs="宋体"/>
          <w:color w:val="auto"/>
          <w:highlight w:val="none"/>
        </w:rPr>
      </w:pPr>
      <w:r>
        <w:rPr>
          <w:rFonts w:hint="eastAsia" w:cs="宋体"/>
          <w:color w:val="auto"/>
          <w:highlight w:val="none"/>
        </w:rPr>
        <w:t>5. 验收时乙方必须在现场，验收完毕后作出验收结果报告；验收费用由乙方负责。</w:t>
      </w:r>
    </w:p>
    <w:p>
      <w:pPr>
        <w:pStyle w:val="22"/>
        <w:spacing w:before="120" w:after="120" w:line="360" w:lineRule="exact"/>
        <w:ind w:firstLine="413"/>
        <w:rPr>
          <w:rFonts w:hint="eastAsia" w:cs="宋体"/>
          <w:b/>
          <w:color w:val="auto"/>
          <w:highlight w:val="none"/>
        </w:rPr>
      </w:pPr>
      <w:r>
        <w:rPr>
          <w:rFonts w:hint="eastAsia" w:cs="宋体"/>
          <w:b/>
          <w:color w:val="auto"/>
          <w:highlight w:val="none"/>
        </w:rPr>
        <w:t>第十三条 货物包装、发运及运输</w:t>
      </w:r>
    </w:p>
    <w:p>
      <w:pPr>
        <w:pStyle w:val="22"/>
        <w:spacing w:before="120" w:after="120" w:line="360" w:lineRule="exact"/>
        <w:ind w:firstLine="420"/>
        <w:jc w:val="left"/>
        <w:rPr>
          <w:rFonts w:hint="eastAsia" w:cs="宋体"/>
          <w:color w:val="auto"/>
          <w:highlight w:val="none"/>
        </w:rPr>
      </w:pPr>
      <w:r>
        <w:rPr>
          <w:rFonts w:hint="eastAsia" w:cs="宋体"/>
          <w:color w:val="auto"/>
          <w:highlight w:val="none"/>
        </w:rPr>
        <w:t>1. 乙方应在货物发运前对其进行满足运输距离、防潮、防震、防锈和防破损装卸等要求包装，以保证货物安全运达甲方指定地点。</w:t>
      </w:r>
    </w:p>
    <w:p>
      <w:pPr>
        <w:pStyle w:val="22"/>
        <w:spacing w:before="120" w:after="120" w:line="360" w:lineRule="exact"/>
        <w:ind w:firstLine="420"/>
        <w:jc w:val="left"/>
        <w:rPr>
          <w:rFonts w:hint="eastAsia" w:cs="宋体"/>
          <w:color w:val="auto"/>
          <w:highlight w:val="none"/>
        </w:rPr>
      </w:pPr>
      <w:r>
        <w:rPr>
          <w:rFonts w:hint="eastAsia" w:cs="宋体"/>
          <w:color w:val="auto"/>
          <w:highlight w:val="none"/>
        </w:rPr>
        <w:t>2. 使用说明书、质量检验证明书、随配附件和工具以及清单一并附于货物内。</w:t>
      </w:r>
    </w:p>
    <w:p>
      <w:pPr>
        <w:pStyle w:val="22"/>
        <w:spacing w:before="120" w:after="120" w:line="360" w:lineRule="exact"/>
        <w:ind w:firstLine="420"/>
        <w:jc w:val="left"/>
        <w:rPr>
          <w:rFonts w:hint="eastAsia" w:cs="宋体"/>
          <w:color w:val="auto"/>
          <w:highlight w:val="none"/>
        </w:rPr>
      </w:pPr>
      <w:r>
        <w:rPr>
          <w:rFonts w:hint="eastAsia" w:cs="宋体"/>
          <w:color w:val="auto"/>
          <w:highlight w:val="none"/>
        </w:rPr>
        <w:t>3. 乙方在货物发运手续办理完毕后二十四小时内或货到甲方四十八小时前通知甲方，以准备接货。</w:t>
      </w:r>
    </w:p>
    <w:p>
      <w:pPr>
        <w:pStyle w:val="22"/>
        <w:spacing w:before="120" w:after="120" w:line="360" w:lineRule="exact"/>
        <w:ind w:firstLine="420"/>
        <w:jc w:val="left"/>
        <w:rPr>
          <w:rFonts w:hint="eastAsia" w:cs="宋体"/>
          <w:color w:val="auto"/>
          <w:highlight w:val="none"/>
        </w:rPr>
      </w:pPr>
      <w:r>
        <w:rPr>
          <w:rFonts w:hint="eastAsia" w:cs="宋体"/>
          <w:color w:val="auto"/>
          <w:highlight w:val="none"/>
        </w:rPr>
        <w:t>4. 货物在交付甲方前发生的风险均由乙方负责。</w:t>
      </w:r>
    </w:p>
    <w:p>
      <w:pPr>
        <w:pStyle w:val="22"/>
        <w:spacing w:before="120" w:after="120" w:line="360" w:lineRule="exact"/>
        <w:ind w:firstLine="420"/>
        <w:jc w:val="left"/>
        <w:rPr>
          <w:rFonts w:hint="eastAsia" w:cs="宋体"/>
          <w:color w:val="auto"/>
          <w:highlight w:val="none"/>
        </w:rPr>
      </w:pPr>
      <w:r>
        <w:rPr>
          <w:rFonts w:hint="eastAsia" w:cs="宋体"/>
          <w:color w:val="auto"/>
          <w:highlight w:val="none"/>
        </w:rPr>
        <w:t>5. 货物在规定的交付期限内由乙方送达甲方指定的地点并初步验收合格后视为交付，乙方同时需通知甲方货物已送达。</w:t>
      </w:r>
    </w:p>
    <w:p>
      <w:pPr>
        <w:spacing w:line="360" w:lineRule="exact"/>
        <w:ind w:firstLine="422"/>
        <w:rPr>
          <w:rFonts w:hint="eastAsia" w:ascii="宋体" w:hAnsi="宋体" w:cs="宋体"/>
          <w:b/>
          <w:color w:val="auto"/>
          <w:szCs w:val="21"/>
          <w:highlight w:val="none"/>
        </w:rPr>
      </w:pPr>
      <w:r>
        <w:rPr>
          <w:rFonts w:hint="eastAsia" w:ascii="宋体" w:hAnsi="宋体" w:cs="宋体"/>
          <w:b/>
          <w:color w:val="auto"/>
          <w:szCs w:val="21"/>
          <w:highlight w:val="none"/>
        </w:rPr>
        <w:t>第十四条　违约责任</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2.乙方提供的货物如侵犯了第三方合法权益而引发的任何纠纷或诉讼，均由乙方负责交涉并承担全部责任。</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3.因包装、运输引起的货物损坏，按质量不合格处罚。</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4.甲方无故延期接收货物、乙方逾期交货的，每天向对方偿付违约货款额3‰违约金，但违约金累计不得超过违约货款额</w:t>
      </w:r>
      <w:r>
        <w:rPr>
          <w:rFonts w:hint="eastAsia" w:ascii="宋体" w:hAnsi="宋体" w:cs="宋体"/>
          <w:color w:val="auto"/>
          <w:szCs w:val="21"/>
          <w:highlight w:val="none"/>
          <w:u w:val="single"/>
        </w:rPr>
        <w:t>5%</w:t>
      </w:r>
      <w:r>
        <w:rPr>
          <w:rFonts w:hint="eastAsia" w:ascii="宋体" w:hAnsi="宋体" w:cs="宋体"/>
          <w:color w:val="auto"/>
          <w:szCs w:val="21"/>
          <w:highlight w:val="none"/>
        </w:rPr>
        <w:t>，超过</w:t>
      </w:r>
      <w:r>
        <w:rPr>
          <w:rFonts w:hint="eastAsia" w:ascii="宋体" w:hAnsi="宋体" w:cs="宋体"/>
          <w:color w:val="auto"/>
          <w:szCs w:val="21"/>
          <w:highlight w:val="none"/>
          <w:u w:val="single"/>
        </w:rPr>
        <w:t xml:space="preserve"> 30 </w:t>
      </w:r>
      <w:r>
        <w:rPr>
          <w:rFonts w:hint="eastAsia" w:ascii="宋体" w:hAnsi="宋体" w:cs="宋体"/>
          <w:color w:val="auto"/>
          <w:szCs w:val="21"/>
          <w:highlight w:val="none"/>
        </w:rPr>
        <w:t>天对方有权解除合同，违约方承担因此给对方造成经济损失；甲方延期付货款的，每天向乙方偿付延期货款额</w:t>
      </w:r>
      <w:r>
        <w:rPr>
          <w:rFonts w:hint="eastAsia" w:ascii="宋体" w:hAnsi="宋体" w:cs="宋体"/>
          <w:color w:val="auto"/>
          <w:szCs w:val="21"/>
          <w:highlight w:val="none"/>
          <w:u w:val="single"/>
        </w:rPr>
        <w:t xml:space="preserve">3‰ </w:t>
      </w:r>
      <w:r>
        <w:rPr>
          <w:rFonts w:hint="eastAsia" w:ascii="宋体" w:hAnsi="宋体" w:cs="宋体"/>
          <w:color w:val="auto"/>
          <w:szCs w:val="21"/>
          <w:highlight w:val="none"/>
        </w:rPr>
        <w:t>滞纳金，但滞纳金累计不得超过延期货款额</w:t>
      </w:r>
      <w:r>
        <w:rPr>
          <w:rFonts w:hint="eastAsia" w:ascii="宋体" w:hAnsi="宋体" w:cs="宋体"/>
          <w:color w:val="auto"/>
          <w:szCs w:val="21"/>
          <w:highlight w:val="none"/>
          <w:u w:val="single"/>
        </w:rPr>
        <w:t>5%</w:t>
      </w:r>
      <w:r>
        <w:rPr>
          <w:rFonts w:hint="eastAsia" w:ascii="宋体" w:hAnsi="宋体" w:cs="宋体"/>
          <w:color w:val="auto"/>
          <w:szCs w:val="21"/>
          <w:highlight w:val="none"/>
        </w:rPr>
        <w:t>。</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5.乙方未按本合同和投标文件中规定的服务承诺提供售后服务的，乙方应按本合同合计金额</w:t>
      </w:r>
      <w:r>
        <w:rPr>
          <w:rFonts w:hint="eastAsia" w:ascii="宋体" w:hAnsi="宋体" w:cs="宋体"/>
          <w:color w:val="auto"/>
          <w:szCs w:val="21"/>
          <w:highlight w:val="none"/>
          <w:u w:val="single"/>
        </w:rPr>
        <w:t xml:space="preserve"> 5%</w:t>
      </w:r>
      <w:r>
        <w:rPr>
          <w:rFonts w:hint="eastAsia" w:ascii="宋体" w:hAnsi="宋体" w:cs="宋体"/>
          <w:color w:val="auto"/>
          <w:szCs w:val="21"/>
          <w:highlight w:val="none"/>
        </w:rPr>
        <w:t>向甲方支付违约金。</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6.乙方提供的货物在质量保证期内，因设计、工艺或材料的缺陷和其它质量原因造成的问题，由乙方负责，费用从质量保证金中扣除，质量保证金不足以支付的，由乙方另行支付。</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7.乙方签订合同后没有按照合同约定进行供货安装按违约处理，将按货款额5%收取违约金并赔偿经济损失。</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8.其它违约行为按违约货款额5%收取违约金并赔偿经济损失。</w:t>
      </w:r>
    </w:p>
    <w:p>
      <w:pPr>
        <w:pStyle w:val="22"/>
        <w:spacing w:before="120" w:after="120" w:line="360" w:lineRule="exact"/>
        <w:ind w:firstLine="413"/>
        <w:rPr>
          <w:rFonts w:hint="eastAsia" w:cs="宋体"/>
          <w:b/>
          <w:color w:val="auto"/>
          <w:highlight w:val="none"/>
        </w:rPr>
      </w:pPr>
      <w:r>
        <w:rPr>
          <w:rFonts w:hint="eastAsia" w:cs="宋体"/>
          <w:b/>
          <w:color w:val="auto"/>
          <w:highlight w:val="none"/>
        </w:rPr>
        <w:t>第十五条 不可抗力事件处理</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 在合同有效期内，任何一方因不可抗力事件导致不能履行合同，则合同履行期可延长，其延长期与不可抗力影响期相同。</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 不可抗力事件发生后，应立即通知对方，并寄送有关权威机构出具的证明。</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3. 不可抗力事件延续一百二十天以上，双方应通过友好协商，确定是否继续履行合同。</w:t>
      </w:r>
    </w:p>
    <w:p>
      <w:pPr>
        <w:spacing w:line="360" w:lineRule="exact"/>
        <w:ind w:firstLine="422"/>
        <w:rPr>
          <w:rFonts w:hint="eastAsia" w:ascii="宋体" w:hAnsi="宋体" w:cs="宋体"/>
          <w:color w:val="auto"/>
          <w:szCs w:val="21"/>
          <w:highlight w:val="none"/>
        </w:rPr>
      </w:pPr>
      <w:r>
        <w:rPr>
          <w:rFonts w:hint="eastAsia" w:ascii="宋体" w:hAnsi="宋体" w:cs="宋体"/>
          <w:b/>
          <w:color w:val="auto"/>
          <w:szCs w:val="21"/>
          <w:highlight w:val="none"/>
        </w:rPr>
        <w:t>第十六条  合同争议解决</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 因货物质量问题发生争议的，应邀请国家认可的质量检测机构按照国家标准对货物质量进行验收。货物符合国家标准的，鉴定费由甲方承担；货物不符合国家标准的，鉴定费由乙方承担。</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 因履行本合同引起的或与本合同有关的争议，甲乙双方应首先通过友好协商解决，如果协商不能解决，可向甲方所在地人民法院提起诉讼。</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3 诉讼期间，本合同继续履行。</w:t>
      </w:r>
    </w:p>
    <w:p>
      <w:pPr>
        <w:pStyle w:val="22"/>
        <w:spacing w:before="120" w:after="120" w:line="360" w:lineRule="exact"/>
        <w:ind w:firstLine="422"/>
        <w:rPr>
          <w:rFonts w:hint="eastAsia" w:cs="宋体"/>
          <w:b/>
          <w:color w:val="auto"/>
          <w:highlight w:val="none"/>
        </w:rPr>
      </w:pPr>
      <w:r>
        <w:rPr>
          <w:rFonts w:hint="eastAsia" w:cs="宋体"/>
          <w:b/>
          <w:color w:val="auto"/>
          <w:highlight w:val="none"/>
        </w:rPr>
        <w:t>第十七条 合同生效及其它</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1．合同经双方法定代表人或授权代表签字并加盖单位公章后生效。</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2．合同执行中涉及采购资金和采购内容修改或补充的，须经财政部门审批，并签书面补充协议报财政部门备案，方可作为主合同不可分割的一部分。</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3．本合同未尽事宜，遵照《合同法》有关条文执行。</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4.双方确认本合同落款通讯地址作为文书送达地址，该通讯地址适用于包括双方合同履行过程中的各类通知、协议等文件以及就合同发生争议进入民事诉讼程序后的一审、二审、再审和执行程序等阶段法律文书的送达。通讯地址需要变更时应当提前15个工作日书面通知对方。因提供或者确认的通讯地址不准确、通讯地址变更后未及时依程序告知对方或受送达方拒绝签收等原因，导致文书未能被实际接收的，邮寄送达的，以文书退回之日视为送达之日。</w:t>
      </w:r>
    </w:p>
    <w:p>
      <w:pPr>
        <w:spacing w:line="360" w:lineRule="exact"/>
        <w:ind w:firstLine="422"/>
        <w:rPr>
          <w:rFonts w:hint="eastAsia" w:ascii="宋体" w:hAnsi="宋体" w:cs="宋体"/>
          <w:b/>
          <w:color w:val="auto"/>
          <w:szCs w:val="21"/>
          <w:highlight w:val="none"/>
        </w:rPr>
      </w:pPr>
      <w:r>
        <w:rPr>
          <w:rFonts w:hint="eastAsia" w:ascii="宋体" w:hAnsi="宋体" w:cs="宋体"/>
          <w:b/>
          <w:color w:val="auto"/>
          <w:szCs w:val="21"/>
          <w:highlight w:val="none"/>
        </w:rPr>
        <w:t>第十八条　合同的变更、终止与转让</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1.除《中华人民共和国政府采购法》第五十条规定的情形外，本合同一经签订，甲乙双方不得擅自变更、中止或终止。</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2.未经甲方书面同意，乙方不得擅自转让（无进口资格的供应商委托进口货物除外）其应履行的合同义务。</w:t>
      </w:r>
    </w:p>
    <w:p>
      <w:pPr>
        <w:spacing w:line="360" w:lineRule="exact"/>
        <w:ind w:firstLine="422"/>
        <w:rPr>
          <w:rFonts w:hint="eastAsia" w:ascii="宋体" w:hAnsi="宋体" w:cs="宋体"/>
          <w:b/>
          <w:color w:val="auto"/>
          <w:szCs w:val="21"/>
          <w:highlight w:val="none"/>
        </w:rPr>
      </w:pPr>
      <w:r>
        <w:rPr>
          <w:rFonts w:hint="eastAsia" w:ascii="宋体" w:hAnsi="宋体" w:cs="宋体"/>
          <w:b/>
          <w:color w:val="auto"/>
          <w:szCs w:val="21"/>
          <w:highlight w:val="none"/>
        </w:rPr>
        <w:t>第十九条　签订本合同依据</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1.政府采购招标文件；</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2.乙方提供的投标文件；</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3.投标函；</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4.中标通知书；</w:t>
      </w:r>
    </w:p>
    <w:p>
      <w:pPr>
        <w:spacing w:line="360" w:lineRule="exact"/>
        <w:ind w:firstLine="420"/>
        <w:rPr>
          <w:rFonts w:hint="eastAsia" w:ascii="宋体" w:hAnsi="宋体" w:cs="宋体"/>
          <w:color w:val="auto"/>
          <w:szCs w:val="21"/>
          <w:highlight w:val="none"/>
          <w:u w:val="single"/>
        </w:rPr>
      </w:pPr>
      <w:r>
        <w:rPr>
          <w:rFonts w:hint="eastAsia" w:ascii="宋体" w:hAnsi="宋体" w:cs="宋体"/>
          <w:color w:val="auto"/>
          <w:szCs w:val="21"/>
          <w:highlight w:val="none"/>
        </w:rPr>
        <w:t>5、其他约定附件</w:t>
      </w:r>
    </w:p>
    <w:p>
      <w:pPr>
        <w:spacing w:line="360" w:lineRule="exact"/>
        <w:ind w:firstLine="422"/>
        <w:rPr>
          <w:rFonts w:hint="eastAsia" w:ascii="宋体" w:hAnsi="宋体" w:cs="宋体"/>
          <w:color w:val="auto"/>
          <w:szCs w:val="21"/>
          <w:highlight w:val="none"/>
        </w:rPr>
      </w:pPr>
      <w:r>
        <w:rPr>
          <w:rFonts w:hint="eastAsia" w:ascii="宋体" w:hAnsi="宋体" w:cs="宋体"/>
          <w:b/>
          <w:color w:val="auto"/>
          <w:szCs w:val="21"/>
          <w:highlight w:val="none"/>
        </w:rPr>
        <w:t>第二十条　</w:t>
      </w:r>
      <w:r>
        <w:rPr>
          <w:rFonts w:hint="eastAsia" w:ascii="宋体" w:hAnsi="宋体" w:cs="宋体"/>
          <w:color w:val="auto"/>
          <w:szCs w:val="21"/>
          <w:highlight w:val="none"/>
        </w:rPr>
        <w:t>本合同一式</w:t>
      </w:r>
      <w:r>
        <w:rPr>
          <w:rFonts w:hint="eastAsia" w:ascii="宋体" w:hAnsi="宋体" w:cs="宋体"/>
          <w:color w:val="auto"/>
          <w:szCs w:val="21"/>
          <w:highlight w:val="none"/>
          <w:lang w:eastAsia="zh-CN"/>
        </w:rPr>
        <w:t>三</w:t>
      </w:r>
      <w:r>
        <w:rPr>
          <w:rFonts w:hint="eastAsia" w:ascii="宋体" w:hAnsi="宋体" w:cs="宋体"/>
          <w:color w:val="auto"/>
          <w:szCs w:val="21"/>
          <w:highlight w:val="none"/>
        </w:rPr>
        <w:t>份，具有同等法律效力。</w:t>
      </w:r>
      <w:r>
        <w:rPr>
          <w:rFonts w:hint="eastAsia" w:ascii="宋体" w:hAnsi="宋体" w:cs="宋体"/>
          <w:color w:val="auto"/>
          <w:spacing w:val="4"/>
          <w:szCs w:val="21"/>
          <w:highlight w:val="none"/>
        </w:rPr>
        <w:t>梧州市公共资源交易中心（梧州市政府采购中心）</w:t>
      </w:r>
      <w:r>
        <w:rPr>
          <w:rFonts w:hint="eastAsia" w:ascii="宋体" w:hAnsi="宋体" w:cs="宋体"/>
          <w:color w:val="auto"/>
          <w:szCs w:val="21"/>
          <w:highlight w:val="none"/>
        </w:rPr>
        <w:t>各一份，甲方两份，乙方一份。</w:t>
      </w:r>
    </w:p>
    <w:p>
      <w:pPr>
        <w:spacing w:line="36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本合同自签订之日起</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个工作日内，采购人或采购代理机构应当将合同副本</w:t>
      </w:r>
      <w:r>
        <w:rPr>
          <w:rFonts w:hint="eastAsia" w:ascii="宋体" w:hAnsi="宋体" w:cs="宋体"/>
          <w:color w:val="auto"/>
          <w:szCs w:val="21"/>
          <w:highlight w:val="none"/>
          <w:lang w:eastAsia="zh-CN"/>
        </w:rPr>
        <w:t>级扫描件交代理机构进行上传工作</w:t>
      </w:r>
      <w:r>
        <w:rPr>
          <w:rFonts w:hint="eastAsia" w:ascii="宋体" w:hAnsi="宋体" w:cs="宋体"/>
          <w:color w:val="auto"/>
          <w:szCs w:val="21"/>
          <w:highlight w:val="none"/>
        </w:rPr>
        <w:t>。</w:t>
      </w:r>
    </w:p>
    <w:p>
      <w:pPr>
        <w:spacing w:line="360" w:lineRule="exact"/>
        <w:ind w:firstLine="420"/>
        <w:rPr>
          <w:rFonts w:hint="eastAsia" w:ascii="宋体" w:hAnsi="宋体" w:cs="宋体"/>
          <w:color w:val="auto"/>
          <w:szCs w:val="21"/>
          <w:highlight w:val="none"/>
        </w:rPr>
      </w:pPr>
    </w:p>
    <w:tbl>
      <w:tblPr>
        <w:tblStyle w:val="36"/>
        <w:tblW w:w="0" w:type="auto"/>
        <w:jc w:val="center"/>
        <w:tblLayout w:type="fixed"/>
        <w:tblCellMar>
          <w:top w:w="0" w:type="dxa"/>
          <w:left w:w="108" w:type="dxa"/>
          <w:bottom w:w="0" w:type="dxa"/>
          <w:right w:w="108" w:type="dxa"/>
        </w:tblCellMar>
      </w:tblPr>
      <w:tblGrid>
        <w:gridCol w:w="4516"/>
        <w:gridCol w:w="4772"/>
      </w:tblGrid>
      <w:tr>
        <w:tblPrEx>
          <w:tblCellMar>
            <w:top w:w="0" w:type="dxa"/>
            <w:left w:w="108" w:type="dxa"/>
            <w:bottom w:w="0" w:type="dxa"/>
            <w:right w:w="108" w:type="dxa"/>
          </w:tblCellMar>
        </w:tblPrEx>
        <w:trPr>
          <w:cantSplit/>
          <w:trHeight w:val="1078" w:hRule="atLeast"/>
          <w:jc w:val="center"/>
        </w:trPr>
        <w:tc>
          <w:tcPr>
            <w:tcW w:w="451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 xml:space="preserve">甲方（章）           </w:t>
            </w:r>
          </w:p>
          <w:p>
            <w:pPr>
              <w:spacing w:line="360" w:lineRule="exact"/>
              <w:rPr>
                <w:rFonts w:hint="eastAsia" w:ascii="宋体" w:hAnsi="宋体" w:cs="宋体"/>
                <w:color w:val="auto"/>
                <w:szCs w:val="21"/>
                <w:highlight w:val="none"/>
              </w:rPr>
            </w:pPr>
          </w:p>
          <w:p>
            <w:pPr>
              <w:spacing w:line="360" w:lineRule="exact"/>
              <w:rPr>
                <w:rFonts w:hint="eastAsia" w:ascii="宋体" w:hAnsi="宋体" w:cs="宋体"/>
                <w:color w:val="auto"/>
                <w:szCs w:val="21"/>
                <w:highlight w:val="none"/>
              </w:rPr>
            </w:pPr>
          </w:p>
          <w:p>
            <w:pPr>
              <w:spacing w:line="360" w:lineRule="exact"/>
              <w:ind w:firstLine="945"/>
              <w:jc w:val="right"/>
              <w:rPr>
                <w:rFonts w:ascii="宋体" w:hAnsi="宋体" w:cs="宋体"/>
                <w:color w:val="auto"/>
                <w:szCs w:val="21"/>
                <w:highlight w:val="none"/>
              </w:rPr>
            </w:pPr>
            <w:r>
              <w:rPr>
                <w:rFonts w:hint="eastAsia" w:ascii="宋体" w:hAnsi="宋体" w:cs="宋体"/>
                <w:color w:val="auto"/>
                <w:szCs w:val="21"/>
                <w:highlight w:val="none"/>
              </w:rPr>
              <w:t>年   月   日</w:t>
            </w:r>
          </w:p>
        </w:tc>
        <w:tc>
          <w:tcPr>
            <w:tcW w:w="477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 xml:space="preserve">乙方（章）              </w:t>
            </w:r>
          </w:p>
          <w:p>
            <w:pPr>
              <w:spacing w:line="360" w:lineRule="exact"/>
              <w:rPr>
                <w:rFonts w:hint="eastAsia" w:ascii="宋体" w:hAnsi="宋体" w:cs="宋体"/>
                <w:color w:val="auto"/>
                <w:szCs w:val="21"/>
                <w:highlight w:val="none"/>
              </w:rPr>
            </w:pPr>
          </w:p>
          <w:p>
            <w:pPr>
              <w:spacing w:line="360" w:lineRule="exact"/>
              <w:rPr>
                <w:rFonts w:hint="eastAsia" w:ascii="宋体" w:hAnsi="宋体" w:cs="宋体"/>
                <w:color w:val="auto"/>
                <w:szCs w:val="21"/>
                <w:highlight w:val="none"/>
              </w:rPr>
            </w:pPr>
          </w:p>
          <w:p>
            <w:pPr>
              <w:spacing w:line="360" w:lineRule="exact"/>
              <w:jc w:val="right"/>
              <w:rPr>
                <w:rFonts w:ascii="宋体" w:hAnsi="宋体" w:cs="宋体"/>
                <w:color w:val="auto"/>
                <w:szCs w:val="21"/>
                <w:highlight w:val="none"/>
              </w:rPr>
            </w:pPr>
            <w:r>
              <w:rPr>
                <w:rFonts w:hint="eastAsia" w:ascii="宋体" w:hAnsi="宋体" w:cs="宋体"/>
                <w:color w:val="auto"/>
                <w:szCs w:val="21"/>
                <w:highlight w:val="none"/>
              </w:rPr>
              <w:t xml:space="preserve"> 年   月   日</w:t>
            </w:r>
          </w:p>
        </w:tc>
      </w:tr>
      <w:tr>
        <w:tblPrEx>
          <w:tblCellMar>
            <w:top w:w="0" w:type="dxa"/>
            <w:left w:w="108" w:type="dxa"/>
            <w:bottom w:w="0" w:type="dxa"/>
            <w:right w:w="108" w:type="dxa"/>
          </w:tblCellMar>
        </w:tblPrEx>
        <w:trPr>
          <w:cantSplit/>
          <w:trHeight w:val="780" w:hRule="atLeast"/>
          <w:jc w:val="center"/>
        </w:trPr>
        <w:tc>
          <w:tcPr>
            <w:tcW w:w="451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通讯地址：</w:t>
            </w:r>
          </w:p>
        </w:tc>
        <w:tc>
          <w:tcPr>
            <w:tcW w:w="477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通讯地址：</w:t>
            </w:r>
          </w:p>
        </w:tc>
      </w:tr>
      <w:tr>
        <w:tblPrEx>
          <w:tblCellMar>
            <w:top w:w="0" w:type="dxa"/>
            <w:left w:w="108" w:type="dxa"/>
            <w:bottom w:w="0" w:type="dxa"/>
            <w:right w:w="108" w:type="dxa"/>
          </w:tblCellMar>
        </w:tblPrEx>
        <w:trPr>
          <w:cantSplit/>
          <w:trHeight w:val="813" w:hRule="atLeast"/>
          <w:jc w:val="center"/>
        </w:trPr>
        <w:tc>
          <w:tcPr>
            <w:tcW w:w="451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法定代表人：</w:t>
            </w:r>
          </w:p>
        </w:tc>
        <w:tc>
          <w:tcPr>
            <w:tcW w:w="477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法定代表人：</w:t>
            </w:r>
          </w:p>
        </w:tc>
      </w:tr>
      <w:tr>
        <w:tblPrEx>
          <w:tblCellMar>
            <w:top w:w="0" w:type="dxa"/>
            <w:left w:w="108" w:type="dxa"/>
            <w:bottom w:w="0" w:type="dxa"/>
            <w:right w:w="108" w:type="dxa"/>
          </w:tblCellMar>
        </w:tblPrEx>
        <w:trPr>
          <w:cantSplit/>
          <w:trHeight w:val="813" w:hRule="atLeast"/>
          <w:jc w:val="center"/>
        </w:trPr>
        <w:tc>
          <w:tcPr>
            <w:tcW w:w="451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委托代理人：</w:t>
            </w:r>
          </w:p>
        </w:tc>
        <w:tc>
          <w:tcPr>
            <w:tcW w:w="477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委托代理人</w:t>
            </w:r>
          </w:p>
        </w:tc>
      </w:tr>
      <w:tr>
        <w:tblPrEx>
          <w:tblCellMar>
            <w:top w:w="0" w:type="dxa"/>
            <w:left w:w="108" w:type="dxa"/>
            <w:bottom w:w="0" w:type="dxa"/>
            <w:right w:w="108" w:type="dxa"/>
          </w:tblCellMar>
        </w:tblPrEx>
        <w:trPr>
          <w:cantSplit/>
          <w:trHeight w:val="670" w:hRule="atLeast"/>
          <w:jc w:val="center"/>
        </w:trPr>
        <w:tc>
          <w:tcPr>
            <w:tcW w:w="451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电话：</w:t>
            </w:r>
          </w:p>
        </w:tc>
        <w:tc>
          <w:tcPr>
            <w:tcW w:w="477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电话：</w:t>
            </w:r>
          </w:p>
        </w:tc>
      </w:tr>
      <w:tr>
        <w:tblPrEx>
          <w:tblCellMar>
            <w:top w:w="0" w:type="dxa"/>
            <w:left w:w="108" w:type="dxa"/>
            <w:bottom w:w="0" w:type="dxa"/>
            <w:right w:w="108" w:type="dxa"/>
          </w:tblCellMar>
        </w:tblPrEx>
        <w:trPr>
          <w:cantSplit/>
          <w:trHeight w:val="638" w:hRule="atLeast"/>
          <w:jc w:val="center"/>
        </w:trPr>
        <w:tc>
          <w:tcPr>
            <w:tcW w:w="451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电子邮箱：</w:t>
            </w:r>
          </w:p>
        </w:tc>
        <w:tc>
          <w:tcPr>
            <w:tcW w:w="477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电子邮箱：</w:t>
            </w:r>
          </w:p>
        </w:tc>
      </w:tr>
      <w:tr>
        <w:tblPrEx>
          <w:tblCellMar>
            <w:top w:w="0" w:type="dxa"/>
            <w:left w:w="108" w:type="dxa"/>
            <w:bottom w:w="0" w:type="dxa"/>
            <w:right w:w="108" w:type="dxa"/>
          </w:tblCellMar>
        </w:tblPrEx>
        <w:trPr>
          <w:cantSplit/>
          <w:trHeight w:val="813" w:hRule="atLeast"/>
          <w:jc w:val="center"/>
        </w:trPr>
        <w:tc>
          <w:tcPr>
            <w:tcW w:w="451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开户银行：</w:t>
            </w:r>
          </w:p>
        </w:tc>
        <w:tc>
          <w:tcPr>
            <w:tcW w:w="477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开户银行：</w:t>
            </w:r>
          </w:p>
        </w:tc>
      </w:tr>
      <w:tr>
        <w:tblPrEx>
          <w:tblCellMar>
            <w:top w:w="0" w:type="dxa"/>
            <w:left w:w="108" w:type="dxa"/>
            <w:bottom w:w="0" w:type="dxa"/>
            <w:right w:w="108" w:type="dxa"/>
          </w:tblCellMar>
        </w:tblPrEx>
        <w:trPr>
          <w:cantSplit/>
          <w:trHeight w:val="689" w:hRule="atLeast"/>
          <w:jc w:val="center"/>
        </w:trPr>
        <w:tc>
          <w:tcPr>
            <w:tcW w:w="451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账号：</w:t>
            </w:r>
          </w:p>
        </w:tc>
        <w:tc>
          <w:tcPr>
            <w:tcW w:w="477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账号：</w:t>
            </w:r>
          </w:p>
        </w:tc>
      </w:tr>
      <w:tr>
        <w:tblPrEx>
          <w:tblCellMar>
            <w:top w:w="0" w:type="dxa"/>
            <w:left w:w="108" w:type="dxa"/>
            <w:bottom w:w="0" w:type="dxa"/>
            <w:right w:w="108" w:type="dxa"/>
          </w:tblCellMar>
        </w:tblPrEx>
        <w:trPr>
          <w:cantSplit/>
          <w:trHeight w:val="814" w:hRule="atLeast"/>
          <w:jc w:val="center"/>
        </w:trPr>
        <w:tc>
          <w:tcPr>
            <w:tcW w:w="451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邮政编码：</w:t>
            </w:r>
          </w:p>
        </w:tc>
        <w:tc>
          <w:tcPr>
            <w:tcW w:w="477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邮政编码：</w:t>
            </w:r>
          </w:p>
        </w:tc>
      </w:tr>
      <w:tr>
        <w:tblPrEx>
          <w:tblCellMar>
            <w:top w:w="0" w:type="dxa"/>
            <w:left w:w="108" w:type="dxa"/>
            <w:bottom w:w="0" w:type="dxa"/>
            <w:right w:w="108" w:type="dxa"/>
          </w:tblCellMar>
        </w:tblPrEx>
        <w:trPr>
          <w:cantSplit/>
          <w:trHeight w:val="919" w:hRule="atLeast"/>
          <w:jc w:val="center"/>
        </w:trPr>
        <w:tc>
          <w:tcPr>
            <w:tcW w:w="9288"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ascii="宋体" w:hAnsi="宋体" w:cs="宋体"/>
                <w:color w:val="auto"/>
                <w:szCs w:val="21"/>
                <w:highlight w:val="none"/>
              </w:rPr>
            </w:pPr>
            <w:r>
              <w:rPr>
                <w:rFonts w:hint="eastAsia" w:ascii="宋体" w:hAnsi="宋体" w:cs="宋体"/>
                <w:color w:val="auto"/>
                <w:szCs w:val="21"/>
                <w:highlight w:val="none"/>
              </w:rPr>
              <w:t>经办人：</w:t>
            </w:r>
          </w:p>
          <w:p>
            <w:pPr>
              <w:spacing w:line="360" w:lineRule="exact"/>
              <w:ind w:firstLine="630"/>
              <w:jc w:val="right"/>
              <w:rPr>
                <w:rFonts w:hint="eastAsia" w:ascii="宋体" w:hAnsi="宋体" w:cs="宋体"/>
                <w:color w:val="auto"/>
                <w:szCs w:val="21"/>
                <w:highlight w:val="none"/>
              </w:rPr>
            </w:pPr>
          </w:p>
          <w:p>
            <w:pPr>
              <w:spacing w:line="360" w:lineRule="exact"/>
              <w:ind w:firstLine="630"/>
              <w:jc w:val="right"/>
              <w:rPr>
                <w:rFonts w:hint="eastAsia" w:ascii="宋体" w:hAnsi="宋体" w:cs="宋体"/>
                <w:color w:val="auto"/>
                <w:szCs w:val="21"/>
                <w:highlight w:val="none"/>
              </w:rPr>
            </w:pPr>
          </w:p>
          <w:p>
            <w:pPr>
              <w:spacing w:line="360" w:lineRule="exact"/>
              <w:ind w:firstLine="630"/>
              <w:jc w:val="right"/>
              <w:rPr>
                <w:rFonts w:hint="eastAsia" w:ascii="宋体" w:hAnsi="宋体" w:cs="宋体"/>
                <w:color w:val="auto"/>
                <w:szCs w:val="21"/>
                <w:highlight w:val="none"/>
              </w:rPr>
            </w:pPr>
          </w:p>
          <w:p>
            <w:pPr>
              <w:spacing w:line="360" w:lineRule="exact"/>
              <w:ind w:firstLine="630"/>
              <w:jc w:val="right"/>
              <w:rPr>
                <w:rFonts w:hint="eastAsia" w:ascii="宋体" w:hAnsi="宋体" w:cs="宋体"/>
                <w:color w:val="auto"/>
                <w:szCs w:val="21"/>
                <w:highlight w:val="none"/>
              </w:rPr>
            </w:pPr>
          </w:p>
          <w:p>
            <w:pPr>
              <w:spacing w:line="360" w:lineRule="exact"/>
              <w:ind w:firstLine="630"/>
              <w:jc w:val="right"/>
              <w:rPr>
                <w:rFonts w:ascii="宋体" w:hAnsi="宋体" w:cs="宋体"/>
                <w:color w:val="auto"/>
                <w:szCs w:val="21"/>
                <w:highlight w:val="none"/>
              </w:rPr>
            </w:pPr>
            <w:r>
              <w:rPr>
                <w:rFonts w:hint="eastAsia" w:ascii="宋体" w:hAnsi="宋体" w:cs="宋体"/>
                <w:color w:val="auto"/>
                <w:szCs w:val="21"/>
                <w:highlight w:val="none"/>
              </w:rPr>
              <w:t>年    月    日</w:t>
            </w:r>
          </w:p>
        </w:tc>
      </w:tr>
    </w:tbl>
    <w:p>
      <w:pPr>
        <w:spacing w:line="360" w:lineRule="exact"/>
        <w:ind w:left="420" w:hanging="420"/>
        <w:rPr>
          <w:rFonts w:hint="eastAsia" w:ascii="宋体" w:hAnsi="宋体" w:cs="宋体"/>
          <w:color w:val="auto"/>
          <w:szCs w:val="21"/>
          <w:highlight w:val="none"/>
        </w:rPr>
      </w:pPr>
    </w:p>
    <w:p>
      <w:pPr>
        <w:spacing w:line="360" w:lineRule="exact"/>
        <w:jc w:val="center"/>
        <w:rPr>
          <w:rFonts w:hint="eastAsia" w:ascii="宋体" w:hAnsi="宋体" w:cs="宋体"/>
          <w:b/>
          <w:color w:val="auto"/>
          <w:sz w:val="28"/>
          <w:szCs w:val="28"/>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spacing w:line="360" w:lineRule="exact"/>
        <w:jc w:val="center"/>
        <w:rPr>
          <w:rFonts w:hint="eastAsia" w:ascii="宋体" w:hAnsi="宋体" w:cs="宋体"/>
          <w:b/>
          <w:color w:val="auto"/>
          <w:sz w:val="28"/>
          <w:szCs w:val="28"/>
          <w:highlight w:val="none"/>
        </w:rPr>
      </w:pPr>
    </w:p>
    <w:p>
      <w:pPr>
        <w:pStyle w:val="3"/>
        <w:rPr>
          <w:rFonts w:hint="eastAsia"/>
          <w:color w:val="auto"/>
          <w:highlight w:val="none"/>
        </w:rPr>
      </w:pPr>
      <w:r>
        <w:rPr>
          <w:rFonts w:hint="eastAsia"/>
          <w:color w:val="auto"/>
          <w:highlight w:val="none"/>
        </w:rPr>
        <w:t>.</w:t>
      </w:r>
    </w:p>
    <w:p>
      <w:pPr>
        <w:spacing w:line="360" w:lineRule="exact"/>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合 同 附 件</w:t>
      </w:r>
    </w:p>
    <w:p>
      <w:pPr>
        <w:spacing w:line="360" w:lineRule="exact"/>
        <w:jc w:val="center"/>
        <w:rPr>
          <w:rFonts w:hint="eastAsia" w:ascii="宋体" w:hAnsi="宋体" w:cs="宋体"/>
          <w:b/>
          <w:color w:val="auto"/>
          <w:szCs w:val="21"/>
          <w:highlight w:val="none"/>
        </w:rPr>
      </w:pPr>
    </w:p>
    <w:tbl>
      <w:tblPr>
        <w:tblStyle w:val="36"/>
        <w:tblW w:w="0" w:type="auto"/>
        <w:jc w:val="center"/>
        <w:tblLayout w:type="fixed"/>
        <w:tblCellMar>
          <w:top w:w="0" w:type="dxa"/>
          <w:left w:w="108" w:type="dxa"/>
          <w:bottom w:w="0" w:type="dxa"/>
          <w:right w:w="108" w:type="dxa"/>
        </w:tblCellMar>
      </w:tblPr>
      <w:tblGrid>
        <w:gridCol w:w="4788"/>
        <w:gridCol w:w="4680"/>
      </w:tblGrid>
      <w:tr>
        <w:tblPrEx>
          <w:tblCellMar>
            <w:top w:w="0" w:type="dxa"/>
            <w:left w:w="108" w:type="dxa"/>
            <w:bottom w:w="0" w:type="dxa"/>
            <w:right w:w="108" w:type="dxa"/>
          </w:tblCellMar>
        </w:tblPrEx>
        <w:trPr>
          <w:trHeight w:val="1782" w:hRule="atLeast"/>
          <w:jc w:val="center"/>
        </w:trPr>
        <w:tc>
          <w:tcPr>
            <w:tcW w:w="9468"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cs="宋体"/>
                <w:color w:val="auto"/>
                <w:szCs w:val="21"/>
                <w:highlight w:val="none"/>
              </w:rPr>
            </w:pPr>
            <w:r>
              <w:rPr>
                <w:rFonts w:cs="宋体"/>
                <w:color w:val="auto"/>
                <w:szCs w:val="21"/>
                <w:highlight w:val="none"/>
              </w:rPr>
              <w:t>1</w:t>
            </w:r>
            <w:r>
              <w:rPr>
                <w:rFonts w:hint="eastAsia" w:cs="宋体"/>
                <w:color w:val="auto"/>
                <w:szCs w:val="21"/>
                <w:highlight w:val="none"/>
              </w:rPr>
              <w:t>、供应商承诺具体事项：</w:t>
            </w:r>
          </w:p>
        </w:tc>
      </w:tr>
      <w:tr>
        <w:tblPrEx>
          <w:tblCellMar>
            <w:top w:w="0" w:type="dxa"/>
            <w:left w:w="108" w:type="dxa"/>
            <w:bottom w:w="0" w:type="dxa"/>
            <w:right w:w="108" w:type="dxa"/>
          </w:tblCellMar>
        </w:tblPrEx>
        <w:trPr>
          <w:trHeight w:val="1698" w:hRule="atLeast"/>
          <w:jc w:val="center"/>
        </w:trPr>
        <w:tc>
          <w:tcPr>
            <w:tcW w:w="9468"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cs="宋体"/>
                <w:color w:val="auto"/>
                <w:szCs w:val="21"/>
                <w:highlight w:val="none"/>
              </w:rPr>
            </w:pPr>
            <w:r>
              <w:rPr>
                <w:rFonts w:cs="宋体"/>
                <w:color w:val="auto"/>
                <w:szCs w:val="21"/>
                <w:highlight w:val="none"/>
              </w:rPr>
              <w:t>2</w:t>
            </w:r>
            <w:r>
              <w:rPr>
                <w:rFonts w:hint="eastAsia" w:cs="宋体"/>
                <w:color w:val="auto"/>
                <w:szCs w:val="21"/>
                <w:highlight w:val="none"/>
              </w:rPr>
              <w:t>、售后服务具体事项：</w:t>
            </w:r>
          </w:p>
        </w:tc>
      </w:tr>
      <w:tr>
        <w:tblPrEx>
          <w:tblCellMar>
            <w:top w:w="0" w:type="dxa"/>
            <w:left w:w="108" w:type="dxa"/>
            <w:bottom w:w="0" w:type="dxa"/>
            <w:right w:w="108" w:type="dxa"/>
          </w:tblCellMar>
        </w:tblPrEx>
        <w:trPr>
          <w:trHeight w:val="2267" w:hRule="atLeast"/>
          <w:jc w:val="center"/>
        </w:trPr>
        <w:tc>
          <w:tcPr>
            <w:tcW w:w="9468"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cs="宋体"/>
                <w:color w:val="auto"/>
                <w:szCs w:val="21"/>
                <w:highlight w:val="none"/>
              </w:rPr>
            </w:pPr>
            <w:r>
              <w:rPr>
                <w:rFonts w:cs="宋体"/>
                <w:color w:val="auto"/>
                <w:szCs w:val="21"/>
                <w:highlight w:val="none"/>
              </w:rPr>
              <w:t>3</w:t>
            </w:r>
            <w:r>
              <w:rPr>
                <w:rFonts w:hint="eastAsia" w:cs="宋体"/>
                <w:color w:val="auto"/>
                <w:szCs w:val="21"/>
                <w:highlight w:val="none"/>
              </w:rPr>
              <w:t>、保修期责任：</w:t>
            </w:r>
          </w:p>
        </w:tc>
      </w:tr>
      <w:tr>
        <w:tblPrEx>
          <w:tblCellMar>
            <w:top w:w="0" w:type="dxa"/>
            <w:left w:w="108" w:type="dxa"/>
            <w:bottom w:w="0" w:type="dxa"/>
            <w:right w:w="108" w:type="dxa"/>
          </w:tblCellMar>
        </w:tblPrEx>
        <w:trPr>
          <w:trHeight w:val="2062" w:hRule="atLeast"/>
          <w:jc w:val="center"/>
        </w:trPr>
        <w:tc>
          <w:tcPr>
            <w:tcW w:w="9468"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cs="宋体"/>
                <w:color w:val="auto"/>
                <w:szCs w:val="21"/>
                <w:highlight w:val="none"/>
              </w:rPr>
            </w:pPr>
            <w:r>
              <w:rPr>
                <w:rFonts w:cs="宋体"/>
                <w:color w:val="auto"/>
                <w:szCs w:val="21"/>
                <w:highlight w:val="none"/>
              </w:rPr>
              <w:t>4</w:t>
            </w:r>
            <w:r>
              <w:rPr>
                <w:rFonts w:hint="eastAsia" w:cs="宋体"/>
                <w:color w:val="auto"/>
                <w:szCs w:val="21"/>
                <w:highlight w:val="none"/>
              </w:rPr>
              <w:t>、其他具体事项：</w:t>
            </w:r>
          </w:p>
        </w:tc>
      </w:tr>
      <w:tr>
        <w:tblPrEx>
          <w:tblCellMar>
            <w:top w:w="0" w:type="dxa"/>
            <w:left w:w="108" w:type="dxa"/>
            <w:bottom w:w="0" w:type="dxa"/>
            <w:right w:w="108" w:type="dxa"/>
          </w:tblCellMar>
        </w:tblPrEx>
        <w:trPr>
          <w:trHeight w:val="2577" w:hRule="atLeast"/>
          <w:jc w:val="center"/>
        </w:trPr>
        <w:tc>
          <w:tcPr>
            <w:tcW w:w="478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firstLine="422"/>
              <w:rPr>
                <w:rFonts w:cs="宋体"/>
                <w:color w:val="auto"/>
                <w:szCs w:val="21"/>
                <w:highlight w:val="none"/>
              </w:rPr>
            </w:pPr>
            <w:r>
              <w:rPr>
                <w:rFonts w:hint="eastAsia" w:cs="宋体"/>
                <w:color w:val="auto"/>
                <w:szCs w:val="21"/>
                <w:highlight w:val="none"/>
              </w:rPr>
              <w:t>甲方（章）</w:t>
            </w:r>
          </w:p>
          <w:p>
            <w:pPr>
              <w:spacing w:line="360" w:lineRule="exact"/>
              <w:ind w:firstLine="422"/>
              <w:rPr>
                <w:rFonts w:cs="宋体"/>
                <w:color w:val="auto"/>
                <w:szCs w:val="21"/>
                <w:highlight w:val="none"/>
              </w:rPr>
            </w:pPr>
          </w:p>
          <w:p>
            <w:pPr>
              <w:spacing w:line="360" w:lineRule="exact"/>
              <w:ind w:firstLine="422"/>
              <w:rPr>
                <w:rFonts w:cs="宋体"/>
                <w:color w:val="auto"/>
                <w:szCs w:val="21"/>
                <w:highlight w:val="none"/>
              </w:rPr>
            </w:pPr>
          </w:p>
          <w:p>
            <w:pPr>
              <w:spacing w:line="360" w:lineRule="exact"/>
              <w:ind w:firstLine="422"/>
              <w:rPr>
                <w:rFonts w:cs="宋体"/>
                <w:color w:val="auto"/>
                <w:szCs w:val="21"/>
                <w:highlight w:val="none"/>
              </w:rPr>
            </w:pPr>
          </w:p>
          <w:p>
            <w:pPr>
              <w:spacing w:line="360" w:lineRule="exact"/>
              <w:ind w:firstLine="422"/>
              <w:rPr>
                <w:rFonts w:cs="宋体"/>
                <w:color w:val="auto"/>
                <w:szCs w:val="21"/>
                <w:highlight w:val="none"/>
              </w:rPr>
            </w:pPr>
          </w:p>
          <w:p>
            <w:pPr>
              <w:spacing w:line="360" w:lineRule="exact"/>
              <w:ind w:firstLine="422"/>
              <w:rPr>
                <w:rFonts w:cs="宋体"/>
                <w:color w:val="auto"/>
                <w:szCs w:val="21"/>
                <w:highlight w:val="none"/>
              </w:rPr>
            </w:pPr>
          </w:p>
          <w:p>
            <w:pPr>
              <w:spacing w:line="360" w:lineRule="exact"/>
              <w:ind w:firstLine="422"/>
              <w:rPr>
                <w:rFonts w:cs="宋体"/>
                <w:color w:val="auto"/>
                <w:szCs w:val="21"/>
                <w:highlight w:val="none"/>
              </w:rPr>
            </w:pPr>
            <w:r>
              <w:rPr>
                <w:rFonts w:cs="宋体"/>
                <w:color w:val="auto"/>
                <w:szCs w:val="21"/>
                <w:highlight w:val="none"/>
              </w:rPr>
              <w:t xml:space="preserve">                      </w:t>
            </w:r>
            <w:r>
              <w:rPr>
                <w:rFonts w:hint="eastAsia" w:cs="宋体"/>
                <w:color w:val="auto"/>
                <w:szCs w:val="21"/>
                <w:highlight w:val="none"/>
              </w:rPr>
              <w:t>年</w:t>
            </w:r>
            <w:r>
              <w:rPr>
                <w:rFonts w:cs="宋体"/>
                <w:color w:val="auto"/>
                <w:szCs w:val="21"/>
                <w:highlight w:val="none"/>
              </w:rPr>
              <w:t xml:space="preserve">   </w:t>
            </w:r>
            <w:r>
              <w:rPr>
                <w:rFonts w:hint="eastAsia" w:cs="宋体"/>
                <w:color w:val="auto"/>
                <w:szCs w:val="21"/>
                <w:highlight w:val="none"/>
              </w:rPr>
              <w:t>月</w:t>
            </w:r>
            <w:r>
              <w:rPr>
                <w:rFonts w:cs="宋体"/>
                <w:color w:val="auto"/>
                <w:szCs w:val="21"/>
                <w:highlight w:val="none"/>
              </w:rPr>
              <w:t xml:space="preserve">   </w:t>
            </w:r>
            <w:r>
              <w:rPr>
                <w:rFonts w:hint="eastAsia" w:cs="宋体"/>
                <w:color w:val="auto"/>
                <w:szCs w:val="21"/>
                <w:highlight w:val="none"/>
              </w:rPr>
              <w:t>日</w:t>
            </w:r>
            <w:r>
              <w:rPr>
                <w:rFonts w:cs="宋体"/>
                <w:color w:val="auto"/>
                <w:szCs w:val="21"/>
                <w:highlight w:val="none"/>
              </w:rPr>
              <w:t xml:space="preserve"> </w:t>
            </w:r>
          </w:p>
        </w:tc>
        <w:tc>
          <w:tcPr>
            <w:tcW w:w="468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firstLine="422"/>
              <w:rPr>
                <w:rFonts w:cs="宋体"/>
                <w:color w:val="auto"/>
                <w:szCs w:val="21"/>
                <w:highlight w:val="none"/>
              </w:rPr>
            </w:pPr>
            <w:r>
              <w:rPr>
                <w:rFonts w:hint="eastAsia" w:cs="宋体"/>
                <w:color w:val="auto"/>
                <w:szCs w:val="21"/>
                <w:highlight w:val="none"/>
              </w:rPr>
              <w:t>乙方（章）</w:t>
            </w:r>
          </w:p>
          <w:p>
            <w:pPr>
              <w:spacing w:line="360" w:lineRule="exact"/>
              <w:ind w:firstLine="422"/>
              <w:rPr>
                <w:rFonts w:cs="宋体"/>
                <w:color w:val="auto"/>
                <w:szCs w:val="21"/>
                <w:highlight w:val="none"/>
              </w:rPr>
            </w:pPr>
          </w:p>
          <w:p>
            <w:pPr>
              <w:spacing w:line="360" w:lineRule="exact"/>
              <w:ind w:firstLine="422"/>
              <w:rPr>
                <w:rFonts w:cs="宋体"/>
                <w:color w:val="auto"/>
                <w:szCs w:val="21"/>
                <w:highlight w:val="none"/>
              </w:rPr>
            </w:pPr>
          </w:p>
          <w:p>
            <w:pPr>
              <w:spacing w:line="360" w:lineRule="exact"/>
              <w:ind w:firstLine="422"/>
              <w:rPr>
                <w:rFonts w:cs="宋体"/>
                <w:color w:val="auto"/>
                <w:szCs w:val="21"/>
                <w:highlight w:val="none"/>
              </w:rPr>
            </w:pPr>
          </w:p>
          <w:p>
            <w:pPr>
              <w:spacing w:line="360" w:lineRule="exact"/>
              <w:ind w:firstLine="422"/>
              <w:rPr>
                <w:rFonts w:cs="宋体"/>
                <w:color w:val="auto"/>
                <w:szCs w:val="21"/>
                <w:highlight w:val="none"/>
              </w:rPr>
            </w:pPr>
          </w:p>
          <w:p>
            <w:pPr>
              <w:spacing w:line="360" w:lineRule="exact"/>
              <w:ind w:firstLine="422"/>
              <w:rPr>
                <w:rFonts w:cs="宋体"/>
                <w:color w:val="auto"/>
                <w:szCs w:val="21"/>
                <w:highlight w:val="none"/>
              </w:rPr>
            </w:pPr>
          </w:p>
          <w:p>
            <w:pPr>
              <w:spacing w:line="360" w:lineRule="exact"/>
              <w:ind w:firstLine="422"/>
              <w:rPr>
                <w:rFonts w:cs="宋体"/>
                <w:color w:val="auto"/>
                <w:szCs w:val="21"/>
                <w:highlight w:val="none"/>
              </w:rPr>
            </w:pPr>
            <w:r>
              <w:rPr>
                <w:rFonts w:cs="宋体"/>
                <w:color w:val="auto"/>
                <w:szCs w:val="21"/>
                <w:highlight w:val="none"/>
              </w:rPr>
              <w:t xml:space="preserve">                       </w:t>
            </w:r>
            <w:r>
              <w:rPr>
                <w:rFonts w:hint="eastAsia" w:cs="宋体"/>
                <w:color w:val="auto"/>
                <w:szCs w:val="21"/>
                <w:highlight w:val="none"/>
              </w:rPr>
              <w:t>年</w:t>
            </w:r>
            <w:r>
              <w:rPr>
                <w:rFonts w:cs="宋体"/>
                <w:color w:val="auto"/>
                <w:szCs w:val="21"/>
                <w:highlight w:val="none"/>
              </w:rPr>
              <w:t xml:space="preserve">   </w:t>
            </w:r>
            <w:r>
              <w:rPr>
                <w:rFonts w:hint="eastAsia" w:cs="宋体"/>
                <w:color w:val="auto"/>
                <w:szCs w:val="21"/>
                <w:highlight w:val="none"/>
              </w:rPr>
              <w:t>月</w:t>
            </w:r>
            <w:r>
              <w:rPr>
                <w:rFonts w:cs="宋体"/>
                <w:color w:val="auto"/>
                <w:szCs w:val="21"/>
                <w:highlight w:val="none"/>
              </w:rPr>
              <w:t xml:space="preserve">   </w:t>
            </w:r>
            <w:r>
              <w:rPr>
                <w:rFonts w:hint="eastAsia" w:cs="宋体"/>
                <w:color w:val="auto"/>
                <w:szCs w:val="21"/>
                <w:highlight w:val="none"/>
              </w:rPr>
              <w:t>日</w:t>
            </w:r>
          </w:p>
        </w:tc>
      </w:tr>
    </w:tbl>
    <w:p>
      <w:pPr>
        <w:spacing w:line="300" w:lineRule="auto"/>
        <w:ind w:left="420" w:hanging="420"/>
        <w:jc w:val="left"/>
        <w:rPr>
          <w:rFonts w:hint="eastAsia" w:ascii="宋体" w:hAnsi="宋体" w:cs="宋体"/>
          <w:b/>
          <w:color w:val="auto"/>
          <w:szCs w:val="21"/>
          <w:highlight w:val="none"/>
        </w:rPr>
      </w:pPr>
      <w:r>
        <w:rPr>
          <w:rFonts w:hint="eastAsia" w:ascii="宋体" w:hAnsi="宋体" w:cs="宋体"/>
          <w:color w:val="auto"/>
          <w:szCs w:val="21"/>
          <w:highlight w:val="none"/>
        </w:rPr>
        <w:t xml:space="preserve">  注：售后服务事项填不下时可另加附页</w:t>
      </w:r>
    </w:p>
    <w:p>
      <w:pPr>
        <w:adjustRightInd w:val="0"/>
        <w:snapToGrid w:val="0"/>
        <w:spacing w:line="380" w:lineRule="exact"/>
        <w:ind w:firstLine="388" w:firstLineChars="200"/>
        <w:rPr>
          <w:rFonts w:hint="eastAsia" w:ascii="宋体" w:hAnsi="宋体"/>
          <w:color w:val="auto"/>
          <w:spacing w:val="-8"/>
          <w:szCs w:val="21"/>
          <w:highlight w:val="none"/>
        </w:rPr>
      </w:pPr>
    </w:p>
    <w:p>
      <w:pPr>
        <w:autoSpaceDE w:val="0"/>
        <w:autoSpaceDN w:val="0"/>
        <w:adjustRightInd w:val="0"/>
        <w:snapToGrid w:val="0"/>
        <w:spacing w:line="300" w:lineRule="auto"/>
        <w:rPr>
          <w:rFonts w:hint="eastAsia" w:ascii="仿宋_GB2312" w:hAnsi="宋体" w:eastAsia="仿宋_GB2312"/>
          <w:b/>
          <w:color w:val="auto"/>
          <w:kern w:val="0"/>
          <w:sz w:val="44"/>
          <w:szCs w:val="44"/>
          <w:highlight w:val="none"/>
        </w:rPr>
      </w:pPr>
      <w:r>
        <w:rPr>
          <w:rFonts w:ascii="仿宋_GB2312" w:hAnsi="宋体" w:eastAsia="仿宋_GB2312"/>
          <w:b/>
          <w:color w:val="auto"/>
          <w:kern w:val="0"/>
          <w:sz w:val="44"/>
          <w:szCs w:val="44"/>
          <w:highlight w:val="none"/>
        </w:rPr>
        <w:br w:type="page"/>
      </w:r>
    </w:p>
    <w:p>
      <w:pPr>
        <w:autoSpaceDE w:val="0"/>
        <w:autoSpaceDN w:val="0"/>
        <w:adjustRightInd w:val="0"/>
        <w:snapToGrid w:val="0"/>
        <w:spacing w:line="300" w:lineRule="auto"/>
        <w:ind w:firstLine="3264" w:firstLineChars="739"/>
        <w:rPr>
          <w:rFonts w:hint="eastAsia" w:ascii="仿宋_GB2312" w:hAnsi="宋体" w:eastAsia="仿宋_GB2312"/>
          <w:b/>
          <w:color w:val="auto"/>
          <w:kern w:val="0"/>
          <w:sz w:val="44"/>
          <w:szCs w:val="44"/>
          <w:highlight w:val="none"/>
        </w:rPr>
      </w:pPr>
    </w:p>
    <w:p>
      <w:pPr>
        <w:autoSpaceDE w:val="0"/>
        <w:autoSpaceDN w:val="0"/>
        <w:adjustRightInd w:val="0"/>
        <w:snapToGrid w:val="0"/>
        <w:spacing w:line="300" w:lineRule="auto"/>
        <w:ind w:firstLine="3264" w:firstLineChars="739"/>
        <w:rPr>
          <w:rFonts w:hint="eastAsia" w:ascii="仿宋_GB2312" w:hAnsi="宋体" w:eastAsia="仿宋_GB2312"/>
          <w:b/>
          <w:color w:val="auto"/>
          <w:kern w:val="0"/>
          <w:sz w:val="44"/>
          <w:szCs w:val="44"/>
          <w:highlight w:val="none"/>
        </w:rPr>
      </w:pPr>
    </w:p>
    <w:p>
      <w:pPr>
        <w:autoSpaceDE w:val="0"/>
        <w:autoSpaceDN w:val="0"/>
        <w:adjustRightInd w:val="0"/>
        <w:snapToGrid w:val="0"/>
        <w:spacing w:line="300" w:lineRule="auto"/>
        <w:ind w:firstLine="3264" w:firstLineChars="739"/>
        <w:rPr>
          <w:rFonts w:hint="eastAsia" w:ascii="仿宋_GB2312" w:hAnsi="宋体" w:eastAsia="仿宋_GB2312"/>
          <w:b/>
          <w:color w:val="auto"/>
          <w:kern w:val="0"/>
          <w:sz w:val="44"/>
          <w:szCs w:val="44"/>
          <w:highlight w:val="none"/>
        </w:rPr>
      </w:pPr>
    </w:p>
    <w:p>
      <w:pPr>
        <w:autoSpaceDE w:val="0"/>
        <w:autoSpaceDN w:val="0"/>
        <w:adjustRightInd w:val="0"/>
        <w:snapToGrid w:val="0"/>
        <w:spacing w:line="300" w:lineRule="auto"/>
        <w:ind w:firstLine="3264" w:firstLineChars="739"/>
        <w:rPr>
          <w:rFonts w:hint="eastAsia" w:ascii="仿宋_GB2312" w:hAnsi="宋体" w:eastAsia="仿宋_GB2312"/>
          <w:b/>
          <w:color w:val="auto"/>
          <w:kern w:val="0"/>
          <w:sz w:val="44"/>
          <w:szCs w:val="44"/>
          <w:highlight w:val="none"/>
        </w:rPr>
      </w:pPr>
    </w:p>
    <w:p>
      <w:pPr>
        <w:autoSpaceDE w:val="0"/>
        <w:autoSpaceDN w:val="0"/>
        <w:adjustRightInd w:val="0"/>
        <w:snapToGrid w:val="0"/>
        <w:spacing w:line="300" w:lineRule="auto"/>
        <w:ind w:firstLine="3264" w:firstLineChars="739"/>
        <w:rPr>
          <w:rFonts w:hint="eastAsia" w:ascii="仿宋_GB2312" w:hAnsi="宋体" w:eastAsia="仿宋_GB2312"/>
          <w:b/>
          <w:color w:val="auto"/>
          <w:kern w:val="0"/>
          <w:sz w:val="44"/>
          <w:szCs w:val="44"/>
          <w:highlight w:val="none"/>
        </w:rPr>
      </w:pPr>
    </w:p>
    <w:p>
      <w:pPr>
        <w:autoSpaceDE w:val="0"/>
        <w:autoSpaceDN w:val="0"/>
        <w:adjustRightInd w:val="0"/>
        <w:snapToGrid w:val="0"/>
        <w:spacing w:line="300" w:lineRule="auto"/>
        <w:rPr>
          <w:rFonts w:hint="eastAsia" w:ascii="仿宋_GB2312" w:hAnsi="宋体" w:eastAsia="仿宋_GB2312"/>
          <w:b/>
          <w:color w:val="auto"/>
          <w:kern w:val="0"/>
          <w:sz w:val="44"/>
          <w:szCs w:val="44"/>
          <w:highlight w:val="none"/>
        </w:rPr>
      </w:pPr>
    </w:p>
    <w:p>
      <w:pPr>
        <w:autoSpaceDE w:val="0"/>
        <w:autoSpaceDN w:val="0"/>
        <w:adjustRightInd w:val="0"/>
        <w:snapToGrid w:val="0"/>
        <w:spacing w:line="300" w:lineRule="auto"/>
        <w:ind w:firstLine="3264" w:firstLineChars="739"/>
        <w:rPr>
          <w:rFonts w:hint="eastAsia" w:ascii="仿宋_GB2312" w:hAnsi="宋体" w:eastAsia="仿宋_GB2312"/>
          <w:b/>
          <w:color w:val="auto"/>
          <w:kern w:val="0"/>
          <w:sz w:val="44"/>
          <w:szCs w:val="44"/>
          <w:highlight w:val="none"/>
        </w:rPr>
      </w:pPr>
    </w:p>
    <w:p>
      <w:pPr>
        <w:autoSpaceDE w:val="0"/>
        <w:autoSpaceDN w:val="0"/>
        <w:adjustRightInd w:val="0"/>
        <w:snapToGrid w:val="0"/>
        <w:spacing w:line="300" w:lineRule="auto"/>
        <w:ind w:firstLine="3253" w:firstLineChars="739"/>
        <w:outlineLvl w:val="0"/>
        <w:rPr>
          <w:rFonts w:hint="eastAsia" w:ascii="宋体" w:hAnsi="宋体"/>
          <w:b/>
          <w:color w:val="auto"/>
          <w:kern w:val="0"/>
          <w:sz w:val="44"/>
          <w:szCs w:val="44"/>
          <w:highlight w:val="none"/>
        </w:rPr>
      </w:pPr>
      <w:bookmarkStart w:id="104" w:name="_Toc433105012"/>
      <w:r>
        <w:rPr>
          <w:rFonts w:hint="eastAsia" w:ascii="宋体" w:hAnsi="宋体"/>
          <w:b/>
          <w:color w:val="auto"/>
          <w:kern w:val="0"/>
          <w:sz w:val="44"/>
          <w:szCs w:val="44"/>
          <w:highlight w:val="none"/>
        </w:rPr>
        <w:t>第六章  评定标准</w:t>
      </w:r>
      <w:bookmarkEnd w:id="104"/>
    </w:p>
    <w:p>
      <w:pPr>
        <w:pStyle w:val="22"/>
        <w:spacing w:line="440" w:lineRule="exact"/>
        <w:rPr>
          <w:rFonts w:hint="eastAsia" w:ascii="黑体" w:hAnsi="宋体" w:eastAsia="黑体"/>
          <w:b/>
          <w:color w:val="auto"/>
          <w:kern w:val="0"/>
          <w:sz w:val="32"/>
          <w:szCs w:val="32"/>
          <w:highlight w:val="none"/>
        </w:rPr>
      </w:pPr>
    </w:p>
    <w:p>
      <w:pPr>
        <w:pStyle w:val="22"/>
        <w:spacing w:line="440" w:lineRule="exact"/>
        <w:rPr>
          <w:rFonts w:hint="eastAsia" w:ascii="黑体" w:hAnsi="宋体" w:eastAsia="黑体"/>
          <w:b/>
          <w:color w:val="auto"/>
          <w:kern w:val="0"/>
          <w:sz w:val="32"/>
          <w:szCs w:val="32"/>
          <w:highlight w:val="none"/>
        </w:rPr>
      </w:pPr>
    </w:p>
    <w:p>
      <w:pPr>
        <w:pStyle w:val="22"/>
        <w:spacing w:line="440" w:lineRule="exact"/>
        <w:rPr>
          <w:rFonts w:hint="eastAsia" w:ascii="黑体" w:hAnsi="宋体" w:eastAsia="黑体"/>
          <w:b/>
          <w:color w:val="auto"/>
          <w:kern w:val="0"/>
          <w:sz w:val="32"/>
          <w:szCs w:val="32"/>
          <w:highlight w:val="none"/>
        </w:rPr>
      </w:pPr>
    </w:p>
    <w:p>
      <w:pPr>
        <w:pStyle w:val="22"/>
        <w:spacing w:line="440" w:lineRule="exact"/>
        <w:rPr>
          <w:rFonts w:hint="eastAsia" w:ascii="黑体" w:hAnsi="宋体" w:eastAsia="黑体"/>
          <w:b/>
          <w:color w:val="auto"/>
          <w:kern w:val="0"/>
          <w:sz w:val="32"/>
          <w:szCs w:val="32"/>
          <w:highlight w:val="none"/>
        </w:rPr>
      </w:pPr>
    </w:p>
    <w:p>
      <w:pPr>
        <w:pStyle w:val="22"/>
        <w:spacing w:line="440" w:lineRule="exact"/>
        <w:rPr>
          <w:rFonts w:hint="eastAsia" w:ascii="黑体" w:hAnsi="宋体" w:eastAsia="黑体"/>
          <w:b/>
          <w:color w:val="auto"/>
          <w:kern w:val="0"/>
          <w:sz w:val="32"/>
          <w:szCs w:val="32"/>
          <w:highlight w:val="none"/>
        </w:rPr>
      </w:pPr>
    </w:p>
    <w:p>
      <w:pPr>
        <w:pStyle w:val="22"/>
        <w:spacing w:line="440" w:lineRule="exact"/>
        <w:rPr>
          <w:rFonts w:hint="eastAsia" w:ascii="黑体" w:hAnsi="宋体" w:eastAsia="黑体"/>
          <w:b/>
          <w:color w:val="auto"/>
          <w:kern w:val="0"/>
          <w:sz w:val="32"/>
          <w:szCs w:val="32"/>
          <w:highlight w:val="none"/>
        </w:rPr>
      </w:pPr>
    </w:p>
    <w:p>
      <w:pPr>
        <w:pStyle w:val="22"/>
        <w:spacing w:line="440" w:lineRule="exact"/>
        <w:rPr>
          <w:rFonts w:hint="eastAsia" w:ascii="黑体" w:hAnsi="宋体" w:eastAsia="黑体"/>
          <w:b/>
          <w:color w:val="auto"/>
          <w:kern w:val="0"/>
          <w:sz w:val="32"/>
          <w:szCs w:val="32"/>
          <w:highlight w:val="none"/>
        </w:rPr>
      </w:pPr>
    </w:p>
    <w:p>
      <w:pPr>
        <w:pStyle w:val="22"/>
        <w:spacing w:line="440" w:lineRule="exact"/>
        <w:rPr>
          <w:rFonts w:hint="eastAsia" w:ascii="黑体" w:hAnsi="宋体" w:eastAsia="黑体"/>
          <w:b/>
          <w:color w:val="auto"/>
          <w:kern w:val="0"/>
          <w:sz w:val="32"/>
          <w:szCs w:val="32"/>
          <w:highlight w:val="none"/>
        </w:rPr>
      </w:pPr>
    </w:p>
    <w:p>
      <w:pPr>
        <w:pStyle w:val="22"/>
        <w:spacing w:line="440" w:lineRule="exact"/>
        <w:rPr>
          <w:rFonts w:hint="eastAsia" w:ascii="黑体" w:hAnsi="宋体" w:eastAsia="黑体"/>
          <w:b/>
          <w:color w:val="auto"/>
          <w:kern w:val="0"/>
          <w:sz w:val="32"/>
          <w:szCs w:val="32"/>
          <w:highlight w:val="none"/>
        </w:rPr>
      </w:pPr>
    </w:p>
    <w:p>
      <w:pPr>
        <w:pStyle w:val="22"/>
        <w:spacing w:line="440" w:lineRule="exact"/>
        <w:rPr>
          <w:rFonts w:hint="eastAsia" w:ascii="黑体" w:hAnsi="宋体" w:eastAsia="黑体"/>
          <w:b/>
          <w:color w:val="auto"/>
          <w:kern w:val="0"/>
          <w:sz w:val="32"/>
          <w:szCs w:val="32"/>
          <w:highlight w:val="none"/>
        </w:rPr>
      </w:pPr>
    </w:p>
    <w:p>
      <w:pPr>
        <w:pStyle w:val="22"/>
        <w:spacing w:line="440" w:lineRule="exact"/>
        <w:rPr>
          <w:rFonts w:hint="eastAsia" w:ascii="黑体" w:hAnsi="宋体" w:eastAsia="黑体"/>
          <w:b/>
          <w:color w:val="auto"/>
          <w:kern w:val="0"/>
          <w:sz w:val="32"/>
          <w:szCs w:val="32"/>
          <w:highlight w:val="none"/>
        </w:rPr>
      </w:pPr>
    </w:p>
    <w:p>
      <w:pPr>
        <w:pStyle w:val="22"/>
        <w:spacing w:line="440" w:lineRule="exact"/>
        <w:rPr>
          <w:rFonts w:hint="eastAsia" w:ascii="黑体" w:hAnsi="宋体" w:eastAsia="黑体"/>
          <w:b/>
          <w:color w:val="auto"/>
          <w:kern w:val="0"/>
          <w:sz w:val="32"/>
          <w:szCs w:val="32"/>
          <w:highlight w:val="none"/>
        </w:rPr>
      </w:pPr>
    </w:p>
    <w:p>
      <w:pPr>
        <w:pStyle w:val="22"/>
        <w:spacing w:line="440" w:lineRule="exact"/>
        <w:rPr>
          <w:rFonts w:hint="eastAsia" w:ascii="黑体" w:hAnsi="宋体" w:eastAsia="黑体"/>
          <w:b/>
          <w:color w:val="auto"/>
          <w:kern w:val="0"/>
          <w:sz w:val="32"/>
          <w:szCs w:val="32"/>
          <w:highlight w:val="none"/>
        </w:rPr>
      </w:pPr>
    </w:p>
    <w:p>
      <w:pPr>
        <w:pStyle w:val="22"/>
        <w:spacing w:line="440" w:lineRule="exact"/>
        <w:rPr>
          <w:rFonts w:hint="eastAsia" w:hAnsi="宋体"/>
          <w:b/>
          <w:color w:val="auto"/>
          <w:kern w:val="0"/>
          <w:highlight w:val="none"/>
        </w:rPr>
      </w:pPr>
    </w:p>
    <w:p>
      <w:pPr>
        <w:pStyle w:val="22"/>
        <w:spacing w:line="440" w:lineRule="exact"/>
        <w:rPr>
          <w:rFonts w:hint="eastAsia" w:hAnsi="宋体"/>
          <w:b/>
          <w:color w:val="auto"/>
          <w:kern w:val="0"/>
          <w:highlight w:val="none"/>
        </w:rPr>
      </w:pPr>
    </w:p>
    <w:p>
      <w:pPr>
        <w:pStyle w:val="22"/>
        <w:spacing w:line="440" w:lineRule="exact"/>
        <w:rPr>
          <w:rFonts w:hint="eastAsia" w:hAnsi="宋体"/>
          <w:b/>
          <w:color w:val="auto"/>
          <w:kern w:val="0"/>
          <w:highlight w:val="none"/>
        </w:rPr>
      </w:pPr>
    </w:p>
    <w:p>
      <w:pPr>
        <w:pStyle w:val="22"/>
        <w:spacing w:line="440" w:lineRule="exact"/>
        <w:rPr>
          <w:rFonts w:hint="eastAsia" w:hAnsi="宋体"/>
          <w:b/>
          <w:color w:val="auto"/>
          <w:kern w:val="0"/>
          <w:highlight w:val="none"/>
        </w:rPr>
      </w:pPr>
    </w:p>
    <w:p>
      <w:pPr>
        <w:pStyle w:val="22"/>
        <w:spacing w:line="440" w:lineRule="exact"/>
        <w:rPr>
          <w:rFonts w:hint="eastAsia" w:hAnsi="宋体"/>
          <w:b/>
          <w:color w:val="auto"/>
          <w:kern w:val="0"/>
          <w:highlight w:val="none"/>
        </w:rPr>
      </w:pPr>
    </w:p>
    <w:p>
      <w:pPr>
        <w:pStyle w:val="23"/>
        <w:rPr>
          <w:rFonts w:hint="eastAsia" w:hAnsi="宋体"/>
          <w:b/>
          <w:color w:val="auto"/>
          <w:kern w:val="0"/>
          <w:highlight w:val="none"/>
        </w:rPr>
      </w:pPr>
    </w:p>
    <w:p>
      <w:pPr>
        <w:rPr>
          <w:rFonts w:hint="eastAsia"/>
          <w:color w:val="auto"/>
          <w:highlight w:val="none"/>
        </w:rPr>
      </w:pPr>
    </w:p>
    <w:p>
      <w:pPr>
        <w:pStyle w:val="22"/>
        <w:spacing w:line="440" w:lineRule="exact"/>
        <w:ind w:firstLine="3975" w:firstLineChars="900"/>
        <w:rPr>
          <w:rFonts w:hint="eastAsia" w:ascii="仿宋_GB2312" w:hAnsi="宋体" w:eastAsia="仿宋_GB2312"/>
          <w:color w:val="auto"/>
          <w:sz w:val="44"/>
          <w:szCs w:val="44"/>
          <w:highlight w:val="none"/>
        </w:rPr>
      </w:pPr>
      <w:r>
        <w:rPr>
          <w:rFonts w:hint="eastAsia" w:ascii="仿宋_GB2312" w:hAnsi="宋体" w:eastAsia="仿宋_GB2312"/>
          <w:b/>
          <w:color w:val="auto"/>
          <w:kern w:val="0"/>
          <w:sz w:val="44"/>
          <w:szCs w:val="44"/>
          <w:highlight w:val="none"/>
        </w:rPr>
        <w:t>评定标准</w:t>
      </w:r>
    </w:p>
    <w:p>
      <w:pPr>
        <w:spacing w:line="360" w:lineRule="exact"/>
        <w:ind w:firstLine="412" w:firstLineChars="196"/>
        <w:rPr>
          <w:rFonts w:hint="eastAsia" w:ascii="宋体" w:hAnsi="宋体" w:cs="Courier New"/>
          <w:b/>
          <w:color w:val="auto"/>
          <w:szCs w:val="21"/>
          <w:highlight w:val="none"/>
        </w:rPr>
      </w:pPr>
    </w:p>
    <w:p>
      <w:pPr>
        <w:spacing w:line="360" w:lineRule="exact"/>
        <w:ind w:firstLine="412" w:firstLineChars="196"/>
        <w:rPr>
          <w:rFonts w:hint="eastAsia" w:ascii="宋体" w:hAnsi="宋体" w:cs="Courier New"/>
          <w:color w:val="auto"/>
          <w:szCs w:val="21"/>
          <w:highlight w:val="none"/>
        </w:rPr>
      </w:pPr>
      <w:r>
        <w:rPr>
          <w:rFonts w:hint="eastAsia" w:ascii="宋体" w:hAnsi="宋体" w:cs="Courier New"/>
          <w:b/>
          <w:color w:val="auto"/>
          <w:szCs w:val="21"/>
          <w:highlight w:val="none"/>
        </w:rPr>
        <w:t>一、评审原则</w:t>
      </w:r>
    </w:p>
    <w:p>
      <w:pPr>
        <w:spacing w:line="36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w:t>
      </w:r>
      <w:r>
        <w:rPr>
          <w:rFonts w:hint="eastAsia" w:ascii="宋体" w:hAnsi="宋体" w:cs="Arial"/>
          <w:bCs/>
          <w:color w:val="auto"/>
          <w:kern w:val="0"/>
          <w:sz w:val="24"/>
          <w:szCs w:val="22"/>
          <w:highlight w:val="none"/>
        </w:rPr>
        <w:t xml:space="preserve"> </w:t>
      </w:r>
      <w:r>
        <w:rPr>
          <w:rFonts w:hint="eastAsia"/>
          <w:bCs/>
          <w:color w:val="auto"/>
          <w:szCs w:val="21"/>
          <w:highlight w:val="none"/>
        </w:rPr>
        <w:t>谈判小组成员构成：本采购项目的谈判小组成员分别由依法组成的专家、采购单位代表共三人及以上单数构成，其中评审专家人数不少于谈判小组成员总数的三分之二。</w:t>
      </w:r>
    </w:p>
    <w:p>
      <w:pPr>
        <w:spacing w:line="360" w:lineRule="exact"/>
        <w:ind w:firstLine="420" w:firstLineChars="200"/>
        <w:rPr>
          <w:rFonts w:hint="eastAsia" w:ascii="宋体" w:hAnsi="宋体" w:cs="Courier New"/>
          <w:bCs/>
          <w:color w:val="auto"/>
          <w:szCs w:val="21"/>
          <w:highlight w:val="none"/>
        </w:rPr>
      </w:pPr>
      <w:r>
        <w:rPr>
          <w:rFonts w:hint="eastAsia" w:ascii="宋体" w:hAnsi="宋体" w:cs="宋体"/>
          <w:color w:val="auto"/>
          <w:kern w:val="0"/>
          <w:szCs w:val="21"/>
          <w:highlight w:val="none"/>
        </w:rPr>
        <w:t>2.评审依据：以竞争性谈判文</w:t>
      </w:r>
      <w:r>
        <w:rPr>
          <w:rFonts w:hint="eastAsia"/>
          <w:bCs/>
          <w:color w:val="auto"/>
          <w:szCs w:val="21"/>
          <w:highlight w:val="none"/>
        </w:rPr>
        <w:t>件和竞争性谈判响应文件为依据</w:t>
      </w:r>
      <w:r>
        <w:rPr>
          <w:rFonts w:hint="eastAsia" w:ascii="宋体" w:hAnsi="Courier New" w:cs="Courier New"/>
          <w:bCs/>
          <w:color w:val="auto"/>
          <w:szCs w:val="21"/>
          <w:highlight w:val="none"/>
        </w:rPr>
        <w:t>。</w:t>
      </w:r>
    </w:p>
    <w:p>
      <w:pPr>
        <w:spacing w:line="360" w:lineRule="exact"/>
        <w:ind w:firstLine="412" w:firstLineChars="196"/>
        <w:rPr>
          <w:rFonts w:hint="eastAsia" w:ascii="宋体" w:hAnsi="宋体" w:cs="Courier New"/>
          <w:b/>
          <w:color w:val="auto"/>
          <w:szCs w:val="21"/>
          <w:highlight w:val="none"/>
        </w:rPr>
      </w:pPr>
      <w:r>
        <w:rPr>
          <w:rFonts w:hint="eastAsia" w:ascii="宋体" w:hAnsi="宋体" w:cs="Courier New"/>
          <w:b/>
          <w:color w:val="auto"/>
          <w:szCs w:val="21"/>
          <w:highlight w:val="none"/>
        </w:rPr>
        <w:t>二、评标方法</w:t>
      </w:r>
    </w:p>
    <w:p>
      <w:pPr>
        <w:spacing w:line="360" w:lineRule="exact"/>
        <w:ind w:firstLine="420" w:firstLineChars="200"/>
        <w:rPr>
          <w:rFonts w:hint="eastAsia" w:ascii="宋体" w:hAnsi="宋体" w:cs="Courier New"/>
          <w:color w:val="auto"/>
          <w:kern w:val="0"/>
          <w:szCs w:val="21"/>
          <w:highlight w:val="none"/>
        </w:rPr>
      </w:pPr>
      <w:r>
        <w:rPr>
          <w:rFonts w:hint="eastAsia" w:ascii="宋体" w:hAnsi="宋体" w:cs="Courier New"/>
          <w:color w:val="auto"/>
          <w:kern w:val="0"/>
          <w:szCs w:val="21"/>
          <w:highlight w:val="none"/>
        </w:rPr>
        <w:t>谈判小组将以竞争性谈判文件为依据，对资格性和符合性检查合格的竞争性谈判响应文件进行评审，在质量和服务均能满足竞争性谈判文件实质性响应要求的供应商中，按下列程序确定成交供应商：</w:t>
      </w:r>
    </w:p>
    <w:p>
      <w:pPr>
        <w:spacing w:line="3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w:t>
      </w:r>
      <w:r>
        <w:rPr>
          <w:rFonts w:hint="eastAsia" w:ascii="宋体" w:hAnsi="宋体" w:cs="Courier New"/>
          <w:color w:val="auto"/>
          <w:szCs w:val="21"/>
          <w:highlight w:val="none"/>
        </w:rPr>
        <w:t xml:space="preserve"> 竞争性谈判的主要产品按《政府采购促进中小企业发展暂行办法》（财库[2011]181号）认定为小型和微型企业产品的，对最后报价给予6%的扣除，扣除后的价格为评标价，即评标价=最后报价×（1-6%）。</w:t>
      </w:r>
    </w:p>
    <w:p>
      <w:pPr>
        <w:spacing w:line="360" w:lineRule="exact"/>
        <w:ind w:firstLine="420" w:firstLineChars="200"/>
        <w:rPr>
          <w:rFonts w:hint="eastAsia" w:ascii="宋体" w:hAnsi="宋体" w:cs="Courier New"/>
          <w:color w:val="auto"/>
          <w:kern w:val="0"/>
          <w:szCs w:val="21"/>
          <w:highlight w:val="none"/>
        </w:rPr>
      </w:pPr>
      <w:r>
        <w:rPr>
          <w:rFonts w:hint="eastAsia" w:ascii="宋体" w:hAnsi="宋体" w:cs="宋体"/>
          <w:color w:val="auto"/>
          <w:kern w:val="0"/>
          <w:szCs w:val="21"/>
          <w:highlight w:val="none"/>
        </w:rPr>
        <w:t>2.</w:t>
      </w:r>
      <w:r>
        <w:rPr>
          <w:rFonts w:hint="eastAsia" w:ascii="宋体" w:hAnsi="宋体" w:cs="Courier New"/>
          <w:color w:val="auto"/>
          <w:kern w:val="0"/>
          <w:szCs w:val="21"/>
          <w:highlight w:val="none"/>
        </w:rPr>
        <w:t>竞争性谈判的主要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22"/>
        <w:spacing w:line="360" w:lineRule="exact"/>
        <w:ind w:firstLine="430"/>
        <w:rPr>
          <w:rFonts w:hint="eastAsia" w:hAnsi="宋体"/>
          <w:color w:val="auto"/>
          <w:highlight w:val="none"/>
        </w:rPr>
      </w:pPr>
      <w:r>
        <w:rPr>
          <w:rFonts w:hint="eastAsia" w:hAnsi="宋体" w:cs="宋体"/>
          <w:color w:val="auto"/>
          <w:kern w:val="0"/>
          <w:highlight w:val="none"/>
        </w:rPr>
        <w:t>3.</w:t>
      </w:r>
      <w:r>
        <w:rPr>
          <w:rFonts w:hint="eastAsia" w:hAnsi="宋体"/>
          <w:color w:val="auto"/>
          <w:highlight w:val="none"/>
        </w:rPr>
        <w:t>投标人符合《关于促进残疾人就业政府采购政策的通知》（财库〔2017〕141号）规定，提供提供《残疾人福利性单位声明函》，</w:t>
      </w:r>
      <w:r>
        <w:rPr>
          <w:rFonts w:hAnsi="宋体"/>
          <w:color w:val="auto"/>
          <w:highlight w:val="none"/>
        </w:rPr>
        <w:t>享受小型、微型企业政策</w:t>
      </w:r>
      <w:r>
        <w:rPr>
          <w:rFonts w:hint="eastAsia" w:hAnsi="宋体"/>
          <w:color w:val="auto"/>
          <w:highlight w:val="none"/>
        </w:rPr>
        <w:t>，评标时投标价格给予</w:t>
      </w:r>
      <w:r>
        <w:rPr>
          <w:rFonts w:hint="eastAsia" w:hAnsi="宋体"/>
          <w:b/>
          <w:color w:val="auto"/>
          <w:highlight w:val="none"/>
        </w:rPr>
        <w:t>6</w:t>
      </w:r>
      <w:r>
        <w:rPr>
          <w:rFonts w:hAnsi="宋体"/>
          <w:b/>
          <w:color w:val="auto"/>
          <w:highlight w:val="none"/>
        </w:rPr>
        <w:t>％</w:t>
      </w:r>
      <w:r>
        <w:rPr>
          <w:rFonts w:hint="eastAsia" w:hAnsi="宋体"/>
          <w:color w:val="auto"/>
          <w:highlight w:val="none"/>
        </w:rPr>
        <w:t>的扣除</w:t>
      </w:r>
      <w:r>
        <w:rPr>
          <w:rFonts w:hAnsi="宋体"/>
          <w:color w:val="auto"/>
          <w:highlight w:val="none"/>
        </w:rPr>
        <w:t>。</w:t>
      </w:r>
      <w:r>
        <w:rPr>
          <w:rFonts w:hint="eastAsia" w:hAnsi="宋体"/>
          <w:color w:val="auto"/>
          <w:highlight w:val="none"/>
        </w:rPr>
        <w:t>残疾人福利性单位属于小型、微型企业的，不重复享受政策。</w:t>
      </w:r>
    </w:p>
    <w:p>
      <w:pPr>
        <w:tabs>
          <w:tab w:val="left" w:pos="9639"/>
          <w:tab w:val="left" w:pos="9746"/>
        </w:tabs>
        <w:adjustRightInd w:val="0"/>
        <w:snapToGrid w:val="0"/>
        <w:spacing w:line="36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4．落实强制采购节能产品、鼓励节能政策：对国家公布的节能产品政府采购清单中属于强制采购的产品，予以强制采购。属于非强制采购的产品，在技术、服务等指标同等条件下，予以优先采购。</w:t>
      </w:r>
    </w:p>
    <w:p>
      <w:pPr>
        <w:pStyle w:val="22"/>
        <w:spacing w:line="360" w:lineRule="exact"/>
        <w:ind w:firstLine="430"/>
        <w:rPr>
          <w:rFonts w:hint="eastAsia" w:hAnsi="宋体"/>
          <w:color w:val="auto"/>
          <w:highlight w:val="none"/>
        </w:rPr>
      </w:pPr>
      <w:r>
        <w:rPr>
          <w:rFonts w:hint="eastAsia" w:hAnsi="宋体" w:cs="宋体"/>
          <w:color w:val="auto"/>
          <w:kern w:val="0"/>
          <w:highlight w:val="none"/>
        </w:rPr>
        <w:t>5．鼓励环保政策：在技术、服务等指标同等条件下，优先采购国家公布的属于环境标志产品政府采购清单中产品。</w:t>
      </w:r>
    </w:p>
    <w:p>
      <w:pPr>
        <w:spacing w:line="360" w:lineRule="exact"/>
        <w:ind w:firstLine="420" w:firstLineChars="200"/>
        <w:rPr>
          <w:rFonts w:hint="eastAsia" w:ascii="宋体" w:hAnsi="宋体" w:cs="宋体"/>
          <w:color w:val="auto"/>
          <w:kern w:val="0"/>
          <w:szCs w:val="21"/>
          <w:highlight w:val="none"/>
        </w:rPr>
      </w:pPr>
      <w:r>
        <w:rPr>
          <w:rFonts w:hint="eastAsia" w:ascii="宋体" w:hAnsi="宋体" w:cs="Courier New"/>
          <w:color w:val="auto"/>
          <w:kern w:val="0"/>
          <w:szCs w:val="21"/>
          <w:highlight w:val="none"/>
        </w:rPr>
        <w:t>6.谈判小组将以谈判文件、谈判响应文件为评审依据，在谈判响应文件满足谈判文件全部实质性要求且评标价最低的供应商为成交候选人。</w:t>
      </w:r>
    </w:p>
    <w:p>
      <w:pPr>
        <w:spacing w:line="360" w:lineRule="exact"/>
        <w:ind w:firstLine="412" w:firstLineChars="196"/>
        <w:rPr>
          <w:rFonts w:hint="eastAsia" w:ascii="宋体" w:hAnsi="宋体" w:cs="Courier New"/>
          <w:b/>
          <w:color w:val="auto"/>
          <w:szCs w:val="21"/>
          <w:highlight w:val="none"/>
        </w:rPr>
      </w:pPr>
      <w:r>
        <w:rPr>
          <w:rFonts w:hint="eastAsia" w:ascii="宋体" w:hAnsi="宋体" w:cs="Courier New"/>
          <w:b/>
          <w:color w:val="auto"/>
          <w:szCs w:val="21"/>
          <w:highlight w:val="none"/>
        </w:rPr>
        <w:t>三、成交候选人推荐原则</w:t>
      </w:r>
    </w:p>
    <w:p>
      <w:pPr>
        <w:spacing w:line="360" w:lineRule="exact"/>
        <w:ind w:firstLine="462" w:firstLineChars="220"/>
        <w:rPr>
          <w:dstrike/>
          <w:color w:val="auto"/>
          <w:szCs w:val="21"/>
          <w:highlight w:val="none"/>
        </w:rPr>
      </w:pPr>
      <w:r>
        <w:rPr>
          <w:rFonts w:hint="eastAsia"/>
          <w:color w:val="auto"/>
          <w:szCs w:val="21"/>
          <w:highlight w:val="none"/>
        </w:rPr>
        <w:t>竞争性谈判响应文件</w:t>
      </w:r>
      <w:r>
        <w:rPr>
          <w:rFonts w:hint="eastAsia" w:ascii="宋体" w:hAnsi="Courier New" w:cs="Courier New"/>
          <w:color w:val="auto"/>
          <w:szCs w:val="21"/>
          <w:highlight w:val="none"/>
        </w:rPr>
        <w:t>在</w:t>
      </w:r>
      <w:r>
        <w:rPr>
          <w:rFonts w:hint="eastAsia" w:ascii="宋体" w:hAnsi="宋体" w:cs="宋体"/>
          <w:color w:val="auto"/>
          <w:kern w:val="0"/>
          <w:szCs w:val="21"/>
          <w:highlight w:val="none"/>
        </w:rPr>
        <w:t>质量和服务均</w:t>
      </w:r>
      <w:r>
        <w:rPr>
          <w:rFonts w:hint="eastAsia"/>
          <w:color w:val="auto"/>
          <w:szCs w:val="21"/>
          <w:highlight w:val="none"/>
        </w:rPr>
        <w:t>能满足竞争性谈判文件实质性响应要求时，谈判小组将按最后报价由低到高顺序推荐3名以上成交候选人（最后报价相同时，由谈判小组根据响应文件中技术、服务、合同条款情况集体讨论确定排序，并按确定排序由低到高的原则推荐成交候选人）。采购人应当确定谈判小组推荐排名第一的成交候选人为成交供应商。排名第一的成交候选人拒绝签订政府采购合同的，采购人可以确定排名第二的成交候选人为成交供应商，也可以重新开展政府采购活动。排名第二的成交候选人因前款规定的同样原因不能签订合同的，采购人可以确定排名第三的成交候选人为成交供应商，也可以重新开展政府采购活动。其余以此类推。</w:t>
      </w:r>
    </w:p>
    <w:p>
      <w:pPr>
        <w:spacing w:line="360" w:lineRule="exact"/>
        <w:ind w:firstLine="411" w:firstLineChars="196"/>
        <w:rPr>
          <w:rFonts w:hint="eastAsia"/>
          <w:color w:val="auto"/>
          <w:kern w:val="0"/>
          <w:highlight w:val="none"/>
        </w:rPr>
      </w:pPr>
    </w:p>
    <w:p>
      <w:pPr>
        <w:pStyle w:val="2"/>
        <w:rPr>
          <w:rFonts w:hint="eastAsia"/>
          <w:color w:val="auto"/>
          <w:kern w:val="0"/>
          <w:highlight w:val="none"/>
        </w:rPr>
      </w:pPr>
    </w:p>
    <w:p>
      <w:pPr>
        <w:pStyle w:val="2"/>
        <w:rPr>
          <w:rFonts w:hint="eastAsia"/>
          <w:color w:val="auto"/>
          <w:kern w:val="0"/>
          <w:highlight w:val="none"/>
        </w:rPr>
      </w:pPr>
    </w:p>
    <w:p>
      <w:pPr>
        <w:pStyle w:val="2"/>
        <w:rPr>
          <w:rFonts w:hint="eastAsia"/>
          <w:color w:val="auto"/>
          <w:kern w:val="0"/>
          <w:highlight w:val="none"/>
        </w:rPr>
      </w:pPr>
    </w:p>
    <w:p>
      <w:pPr>
        <w:pStyle w:val="2"/>
        <w:rPr>
          <w:rFonts w:hint="eastAsia"/>
          <w:color w:val="auto"/>
          <w:kern w:val="0"/>
          <w:highlight w:val="none"/>
        </w:rPr>
      </w:pPr>
    </w:p>
    <w:p>
      <w:pPr>
        <w:pStyle w:val="2"/>
        <w:rPr>
          <w:rFonts w:hint="eastAsia"/>
          <w:color w:val="auto"/>
          <w:kern w:val="0"/>
          <w:highlight w:val="none"/>
        </w:rPr>
      </w:pPr>
    </w:p>
    <w:sectPr>
      <w:footerReference r:id="rId6" w:type="first"/>
      <w:headerReference r:id="rId3" w:type="default"/>
      <w:footerReference r:id="rId4" w:type="default"/>
      <w:footerReference r:id="rId5" w:type="even"/>
      <w:pgSz w:w="11906" w:h="16838"/>
      <w:pgMar w:top="1247" w:right="1247" w:bottom="1247" w:left="124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6AFFA089-845E-4FBE-9B95-FE85B133F7D5}"/>
  </w:font>
  <w:font w:name="黑体">
    <w:panose1 w:val="02010609060101010101"/>
    <w:charset w:val="86"/>
    <w:family w:val="auto"/>
    <w:pitch w:val="default"/>
    <w:sig w:usb0="800002BF" w:usb1="38CF7CFA" w:usb2="00000016" w:usb3="00000000" w:csb0="00040001" w:csb1="00000000"/>
    <w:embedRegular r:id="rId2" w:fontKey="{FFF7F1CC-5678-43BC-ACB6-2A565FF0BFE9}"/>
  </w:font>
  <w:font w:name="Courier New">
    <w:panose1 w:val="02070309020205020404"/>
    <w:charset w:val="01"/>
    <w:family w:val="modern"/>
    <w:pitch w:val="default"/>
    <w:sig w:usb0="E0002AFF" w:usb1="C0007843" w:usb2="00000009" w:usb3="00000000" w:csb0="400001FF" w:csb1="FFFF0000"/>
    <w:embedRegular r:id="rId3" w:fontKey="{FFCD5174-E577-4E78-AE01-B3448B9E3C4B}"/>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embedRegular r:id="rId4" w:fontKey="{ADDF495F-3314-494F-9446-D399B902ED91}"/>
  </w:font>
  <w:font w:name="仿宋_GB2312">
    <w:altName w:val="仿宋"/>
    <w:panose1 w:val="02010609030101010101"/>
    <w:charset w:val="86"/>
    <w:family w:val="modern"/>
    <w:pitch w:val="default"/>
    <w:sig w:usb0="00000000" w:usb1="00000000" w:usb2="00000010" w:usb3="00000000" w:csb0="00040000" w:csb1="00000000"/>
    <w:embedRegular r:id="rId5" w:fontKey="{CDC1AB85-4830-4B23-94C4-D6771F711E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embedRegular r:id="rId6" w:fontKey="{38E8741C-627C-402B-BB8E-DB0C797C58AE}"/>
  </w:font>
  <w:font w:name="方正小标宋简体">
    <w:panose1 w:val="03000509000000000000"/>
    <w:charset w:val="86"/>
    <w:family w:val="script"/>
    <w:pitch w:val="default"/>
    <w:sig w:usb0="00000000" w:usb1="00000000" w:usb2="00000000" w:usb3="00000000" w:csb0="00000000" w:csb1="00000000"/>
    <w:embedRegular r:id="rId7" w:fontKey="{182F233B-44D8-4EF2-AAF3-13C1759EF623}"/>
  </w:font>
  <w:font w:name="方正宋黑简体">
    <w:panose1 w:val="03000509000000000000"/>
    <w:charset w:val="86"/>
    <w:family w:val="auto"/>
    <w:pitch w:val="default"/>
    <w:sig w:usb0="00000000" w:usb1="00000000" w:usb2="00000000" w:usb3="00000000" w:csb0="00000000" w:csb1="00000000"/>
    <w:embedRegular r:id="rId8" w:fontKey="{DA947C3B-6A28-45FC-AC24-AD07DE21A4B1}"/>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0"/>
      </w:rPr>
    </w:pPr>
    <w:r>
      <w:fldChar w:fldCharType="begin"/>
    </w:r>
    <w:r>
      <w:rPr>
        <w:rStyle w:val="40"/>
      </w:rPr>
      <w:instrText xml:space="preserve">PAGE  </w:instrText>
    </w:r>
    <w:r>
      <w:fldChar w:fldCharType="separate"/>
    </w:r>
    <w:r>
      <w:rPr>
        <w:rStyle w:val="40"/>
      </w:rPr>
      <w:t>2</w:t>
    </w:r>
    <w:r>
      <w:fldChar w:fldCharType="end"/>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0"/>
      </w:rPr>
    </w:pPr>
    <w:r>
      <w:fldChar w:fldCharType="begin"/>
    </w:r>
    <w:r>
      <w:rPr>
        <w:rStyle w:val="40"/>
      </w:rPr>
      <w:instrText xml:space="preserve">PAGE  </w:instrText>
    </w:r>
    <w:r>
      <w:fldChar w:fldCharType="end"/>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both"/>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right"/>
      <w:rPr>
        <w:rFonts w:hint="eastAsia" w:ascii="宋体" w:hAnsi="宋体"/>
      </w:rPr>
    </w:pPr>
    <w:r>
      <w:rPr>
        <w:rFonts w:hint="eastAsia" w:ascii="宋体" w:hAnsi="宋体"/>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5D606F"/>
    <w:multiLevelType w:val="singleLevel"/>
    <w:tmpl w:val="885D606F"/>
    <w:lvl w:ilvl="0" w:tentative="0">
      <w:start w:val="1"/>
      <w:numFmt w:val="decimal"/>
      <w:lvlText w:val="%1)"/>
      <w:lvlJc w:val="left"/>
      <w:pPr>
        <w:ind w:left="425" w:hanging="425"/>
      </w:pPr>
      <w:rPr>
        <w:rFonts w:hint="default"/>
      </w:rPr>
    </w:lvl>
  </w:abstractNum>
  <w:abstractNum w:abstractNumId="1">
    <w:nsid w:val="EE6F13F9"/>
    <w:multiLevelType w:val="singleLevel"/>
    <w:tmpl w:val="EE6F13F9"/>
    <w:lvl w:ilvl="0" w:tentative="0">
      <w:start w:val="1"/>
      <w:numFmt w:val="decimal"/>
      <w:lvlText w:val="%1)"/>
      <w:lvlJc w:val="left"/>
      <w:pPr>
        <w:ind w:left="425" w:hanging="425"/>
      </w:pPr>
      <w:rPr>
        <w:rFonts w:hint="default"/>
      </w:rPr>
    </w:lvl>
  </w:abstractNum>
  <w:abstractNum w:abstractNumId="2">
    <w:nsid w:val="00003F82"/>
    <w:multiLevelType w:val="multilevel"/>
    <w:tmpl w:val="00003F82"/>
    <w:lvl w:ilvl="0" w:tentative="0">
      <w:start w:val="1"/>
      <w:numFmt w:val="decimal"/>
      <w:pStyle w:val="20"/>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pStyle w:val="8"/>
      <w:lvlText w:val="%5)"/>
      <w:lvlJc w:val="left"/>
      <w:pPr>
        <w:tabs>
          <w:tab w:val="left" w:pos="2100"/>
        </w:tabs>
        <w:ind w:left="2100" w:hanging="420"/>
      </w:pPr>
    </w:lvl>
    <w:lvl w:ilvl="5" w:tentative="0">
      <w:start w:val="1"/>
      <w:numFmt w:val="lowerRoman"/>
      <w:pStyle w:val="10"/>
      <w:lvlText w:val="%6."/>
      <w:lvlJc w:val="right"/>
      <w:pPr>
        <w:tabs>
          <w:tab w:val="left" w:pos="2520"/>
        </w:tabs>
        <w:ind w:left="2520" w:hanging="420"/>
      </w:pPr>
    </w:lvl>
    <w:lvl w:ilvl="6" w:tentative="0">
      <w:start w:val="1"/>
      <w:numFmt w:val="decimal"/>
      <w:pStyle w:val="11"/>
      <w:lvlText w:val="%7."/>
      <w:lvlJc w:val="left"/>
      <w:pPr>
        <w:tabs>
          <w:tab w:val="left" w:pos="2940"/>
        </w:tabs>
        <w:ind w:left="2940" w:hanging="420"/>
      </w:pPr>
    </w:lvl>
    <w:lvl w:ilvl="7" w:tentative="0">
      <w:start w:val="1"/>
      <w:numFmt w:val="lowerLetter"/>
      <w:pStyle w:val="12"/>
      <w:lvlText w:val="%8)"/>
      <w:lvlJc w:val="left"/>
      <w:pPr>
        <w:tabs>
          <w:tab w:val="left" w:pos="3360"/>
        </w:tabs>
        <w:ind w:left="3360" w:hanging="420"/>
      </w:pPr>
    </w:lvl>
    <w:lvl w:ilvl="8" w:tentative="0">
      <w:start w:val="1"/>
      <w:numFmt w:val="lowerRoman"/>
      <w:pStyle w:val="13"/>
      <w:lvlText w:val="%9."/>
      <w:lvlJc w:val="right"/>
      <w:pPr>
        <w:tabs>
          <w:tab w:val="left" w:pos="3780"/>
        </w:tabs>
        <w:ind w:left="3780" w:hanging="420"/>
      </w:pPr>
    </w:lvl>
  </w:abstractNum>
  <w:abstractNum w:abstractNumId="3">
    <w:nsid w:val="6AD0A390"/>
    <w:multiLevelType w:val="singleLevel"/>
    <w:tmpl w:val="6AD0A390"/>
    <w:lvl w:ilvl="0" w:tentative="0">
      <w:start w:val="1"/>
      <w:numFmt w:val="decimal"/>
      <w:lvlText w:val="%1)"/>
      <w:lvlJc w:val="left"/>
      <w:pPr>
        <w:ind w:left="425" w:hanging="425"/>
      </w:pPr>
      <w:rPr>
        <w:rFonts w:hint="default"/>
      </w:rPr>
    </w:lvl>
  </w:abstractNum>
  <w:abstractNum w:abstractNumId="4">
    <w:nsid w:val="6ED04496"/>
    <w:multiLevelType w:val="singleLevel"/>
    <w:tmpl w:val="6ED04496"/>
    <w:lvl w:ilvl="0" w:tentative="0">
      <w:start w:val="1"/>
      <w:numFmt w:val="decimal"/>
      <w:lvlText w:val="%1)"/>
      <w:lvlJc w:val="left"/>
      <w:pPr>
        <w:ind w:left="425" w:hanging="425"/>
      </w:pPr>
      <w:rPr>
        <w:rFont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readOnly" w:formatting="1" w:enforcement="1" w:cryptProviderType="rsaFull" w:cryptAlgorithmClass="hash" w:cryptAlgorithmType="typeAny" w:cryptAlgorithmSid="4" w:cryptSpinCount="0" w:hash="bUYG2mCZQt5o2J4cAwRLd5lnCJA=" w:salt="3+a/uQzx4HzQtDN9MfquSA=="/>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984979"/>
    <w:rsid w:val="000001E7"/>
    <w:rsid w:val="00000366"/>
    <w:rsid w:val="0000048D"/>
    <w:rsid w:val="00000C49"/>
    <w:rsid w:val="00000FE5"/>
    <w:rsid w:val="000010F5"/>
    <w:rsid w:val="00002027"/>
    <w:rsid w:val="000027A3"/>
    <w:rsid w:val="00002A66"/>
    <w:rsid w:val="00002DD8"/>
    <w:rsid w:val="0000311F"/>
    <w:rsid w:val="00003301"/>
    <w:rsid w:val="000033B4"/>
    <w:rsid w:val="00003461"/>
    <w:rsid w:val="00003DEE"/>
    <w:rsid w:val="0000402D"/>
    <w:rsid w:val="000043B1"/>
    <w:rsid w:val="00004632"/>
    <w:rsid w:val="0000477D"/>
    <w:rsid w:val="000052CE"/>
    <w:rsid w:val="00005489"/>
    <w:rsid w:val="000060BC"/>
    <w:rsid w:val="0000666E"/>
    <w:rsid w:val="000075CD"/>
    <w:rsid w:val="00007683"/>
    <w:rsid w:val="00007A85"/>
    <w:rsid w:val="00007DA0"/>
    <w:rsid w:val="00007EEE"/>
    <w:rsid w:val="000121F1"/>
    <w:rsid w:val="0001276F"/>
    <w:rsid w:val="00012A74"/>
    <w:rsid w:val="00012CAB"/>
    <w:rsid w:val="00012F2E"/>
    <w:rsid w:val="00013234"/>
    <w:rsid w:val="0001385B"/>
    <w:rsid w:val="00013BF2"/>
    <w:rsid w:val="00014856"/>
    <w:rsid w:val="00015746"/>
    <w:rsid w:val="000159D8"/>
    <w:rsid w:val="00015BFC"/>
    <w:rsid w:val="000160FF"/>
    <w:rsid w:val="0001703D"/>
    <w:rsid w:val="000172F4"/>
    <w:rsid w:val="0002028E"/>
    <w:rsid w:val="0002048F"/>
    <w:rsid w:val="00020E60"/>
    <w:rsid w:val="00021435"/>
    <w:rsid w:val="00021947"/>
    <w:rsid w:val="00022B83"/>
    <w:rsid w:val="00022BE4"/>
    <w:rsid w:val="00023894"/>
    <w:rsid w:val="00023A16"/>
    <w:rsid w:val="00024161"/>
    <w:rsid w:val="000243D1"/>
    <w:rsid w:val="000245C3"/>
    <w:rsid w:val="00024AB6"/>
    <w:rsid w:val="000251AD"/>
    <w:rsid w:val="000253C6"/>
    <w:rsid w:val="00025792"/>
    <w:rsid w:val="000257F2"/>
    <w:rsid w:val="00025934"/>
    <w:rsid w:val="00025979"/>
    <w:rsid w:val="00025A10"/>
    <w:rsid w:val="00025AF3"/>
    <w:rsid w:val="000267AE"/>
    <w:rsid w:val="00026875"/>
    <w:rsid w:val="000268F6"/>
    <w:rsid w:val="00026927"/>
    <w:rsid w:val="00026992"/>
    <w:rsid w:val="00026F49"/>
    <w:rsid w:val="00030269"/>
    <w:rsid w:val="00030A2C"/>
    <w:rsid w:val="00030D49"/>
    <w:rsid w:val="000310B4"/>
    <w:rsid w:val="00031624"/>
    <w:rsid w:val="00031694"/>
    <w:rsid w:val="00031F8C"/>
    <w:rsid w:val="00031FD2"/>
    <w:rsid w:val="000327B2"/>
    <w:rsid w:val="000328F5"/>
    <w:rsid w:val="00032EA5"/>
    <w:rsid w:val="0003315B"/>
    <w:rsid w:val="000341A1"/>
    <w:rsid w:val="000349A8"/>
    <w:rsid w:val="00034A18"/>
    <w:rsid w:val="000354FA"/>
    <w:rsid w:val="0003597C"/>
    <w:rsid w:val="00035A87"/>
    <w:rsid w:val="00036189"/>
    <w:rsid w:val="00036707"/>
    <w:rsid w:val="00036D2F"/>
    <w:rsid w:val="000371E3"/>
    <w:rsid w:val="00037C85"/>
    <w:rsid w:val="000401B0"/>
    <w:rsid w:val="000411F4"/>
    <w:rsid w:val="0004127F"/>
    <w:rsid w:val="00041AB2"/>
    <w:rsid w:val="00041FE8"/>
    <w:rsid w:val="0004266C"/>
    <w:rsid w:val="00042C85"/>
    <w:rsid w:val="000438B4"/>
    <w:rsid w:val="00043F42"/>
    <w:rsid w:val="000443B7"/>
    <w:rsid w:val="000446BD"/>
    <w:rsid w:val="00044BE6"/>
    <w:rsid w:val="00044FA3"/>
    <w:rsid w:val="00044FE9"/>
    <w:rsid w:val="00046963"/>
    <w:rsid w:val="00047604"/>
    <w:rsid w:val="000502A1"/>
    <w:rsid w:val="00050789"/>
    <w:rsid w:val="00051025"/>
    <w:rsid w:val="000515BE"/>
    <w:rsid w:val="00051873"/>
    <w:rsid w:val="00051875"/>
    <w:rsid w:val="00051BF8"/>
    <w:rsid w:val="0005282C"/>
    <w:rsid w:val="00052993"/>
    <w:rsid w:val="00052E8B"/>
    <w:rsid w:val="0005301D"/>
    <w:rsid w:val="0005309B"/>
    <w:rsid w:val="00053519"/>
    <w:rsid w:val="00053947"/>
    <w:rsid w:val="00053C58"/>
    <w:rsid w:val="00054F12"/>
    <w:rsid w:val="0005528E"/>
    <w:rsid w:val="00055508"/>
    <w:rsid w:val="00056055"/>
    <w:rsid w:val="00056178"/>
    <w:rsid w:val="000565D0"/>
    <w:rsid w:val="00056641"/>
    <w:rsid w:val="0005688C"/>
    <w:rsid w:val="00056DD2"/>
    <w:rsid w:val="00057386"/>
    <w:rsid w:val="00057690"/>
    <w:rsid w:val="0005780E"/>
    <w:rsid w:val="00057E84"/>
    <w:rsid w:val="00060609"/>
    <w:rsid w:val="000608DA"/>
    <w:rsid w:val="00061482"/>
    <w:rsid w:val="00061489"/>
    <w:rsid w:val="00061B13"/>
    <w:rsid w:val="00061BC8"/>
    <w:rsid w:val="00061D96"/>
    <w:rsid w:val="0006240E"/>
    <w:rsid w:val="00062874"/>
    <w:rsid w:val="00063349"/>
    <w:rsid w:val="00063564"/>
    <w:rsid w:val="000637F9"/>
    <w:rsid w:val="000638D4"/>
    <w:rsid w:val="00063F74"/>
    <w:rsid w:val="0006479D"/>
    <w:rsid w:val="00064FF9"/>
    <w:rsid w:val="00065247"/>
    <w:rsid w:val="00065383"/>
    <w:rsid w:val="000657DF"/>
    <w:rsid w:val="00065E44"/>
    <w:rsid w:val="000665EC"/>
    <w:rsid w:val="000666F4"/>
    <w:rsid w:val="00066A2F"/>
    <w:rsid w:val="00066C48"/>
    <w:rsid w:val="00066D1C"/>
    <w:rsid w:val="00066FBA"/>
    <w:rsid w:val="00066FD9"/>
    <w:rsid w:val="000678DC"/>
    <w:rsid w:val="00070214"/>
    <w:rsid w:val="00070953"/>
    <w:rsid w:val="00071211"/>
    <w:rsid w:val="000712AE"/>
    <w:rsid w:val="00071709"/>
    <w:rsid w:val="00071769"/>
    <w:rsid w:val="00071863"/>
    <w:rsid w:val="00072539"/>
    <w:rsid w:val="0007287D"/>
    <w:rsid w:val="00072B56"/>
    <w:rsid w:val="00072BED"/>
    <w:rsid w:val="00073509"/>
    <w:rsid w:val="000738C8"/>
    <w:rsid w:val="000739F4"/>
    <w:rsid w:val="00074470"/>
    <w:rsid w:val="0007467E"/>
    <w:rsid w:val="000746C2"/>
    <w:rsid w:val="00074988"/>
    <w:rsid w:val="000764E3"/>
    <w:rsid w:val="00076629"/>
    <w:rsid w:val="00076A3C"/>
    <w:rsid w:val="00077067"/>
    <w:rsid w:val="0007744D"/>
    <w:rsid w:val="00080194"/>
    <w:rsid w:val="00080517"/>
    <w:rsid w:val="000805C7"/>
    <w:rsid w:val="00080AF6"/>
    <w:rsid w:val="00081D56"/>
    <w:rsid w:val="00081EE3"/>
    <w:rsid w:val="00082B45"/>
    <w:rsid w:val="000830AC"/>
    <w:rsid w:val="000830C5"/>
    <w:rsid w:val="000830E5"/>
    <w:rsid w:val="0008458D"/>
    <w:rsid w:val="00085A3E"/>
    <w:rsid w:val="00085BB4"/>
    <w:rsid w:val="00085DF6"/>
    <w:rsid w:val="00085E3B"/>
    <w:rsid w:val="00085E44"/>
    <w:rsid w:val="00086E2A"/>
    <w:rsid w:val="00087061"/>
    <w:rsid w:val="00087117"/>
    <w:rsid w:val="0008734E"/>
    <w:rsid w:val="00090599"/>
    <w:rsid w:val="000908E8"/>
    <w:rsid w:val="000908F5"/>
    <w:rsid w:val="00090E81"/>
    <w:rsid w:val="0009114B"/>
    <w:rsid w:val="0009140A"/>
    <w:rsid w:val="00091B32"/>
    <w:rsid w:val="00091F18"/>
    <w:rsid w:val="00092065"/>
    <w:rsid w:val="000926BC"/>
    <w:rsid w:val="0009299B"/>
    <w:rsid w:val="000930CC"/>
    <w:rsid w:val="00093161"/>
    <w:rsid w:val="0009362D"/>
    <w:rsid w:val="000937AE"/>
    <w:rsid w:val="00093DEB"/>
    <w:rsid w:val="00093E2D"/>
    <w:rsid w:val="00093F68"/>
    <w:rsid w:val="0009404A"/>
    <w:rsid w:val="000940BD"/>
    <w:rsid w:val="0009561D"/>
    <w:rsid w:val="00095AC7"/>
    <w:rsid w:val="00095C3B"/>
    <w:rsid w:val="000960CD"/>
    <w:rsid w:val="00096306"/>
    <w:rsid w:val="000965CA"/>
    <w:rsid w:val="000967D6"/>
    <w:rsid w:val="00096DD4"/>
    <w:rsid w:val="00097105"/>
    <w:rsid w:val="00097277"/>
    <w:rsid w:val="00097A0F"/>
    <w:rsid w:val="00097A38"/>
    <w:rsid w:val="00097A78"/>
    <w:rsid w:val="00097ACA"/>
    <w:rsid w:val="00097B61"/>
    <w:rsid w:val="00097E7D"/>
    <w:rsid w:val="000A0224"/>
    <w:rsid w:val="000A02BC"/>
    <w:rsid w:val="000A04C1"/>
    <w:rsid w:val="000A0726"/>
    <w:rsid w:val="000A0AA4"/>
    <w:rsid w:val="000A0B6E"/>
    <w:rsid w:val="000A0C21"/>
    <w:rsid w:val="000A0FF0"/>
    <w:rsid w:val="000A15A5"/>
    <w:rsid w:val="000A1A01"/>
    <w:rsid w:val="000A2108"/>
    <w:rsid w:val="000A24E9"/>
    <w:rsid w:val="000A3234"/>
    <w:rsid w:val="000A4710"/>
    <w:rsid w:val="000A4958"/>
    <w:rsid w:val="000A49C2"/>
    <w:rsid w:val="000A4C53"/>
    <w:rsid w:val="000A53ED"/>
    <w:rsid w:val="000A555C"/>
    <w:rsid w:val="000A5AC3"/>
    <w:rsid w:val="000A5D9B"/>
    <w:rsid w:val="000A5FD1"/>
    <w:rsid w:val="000A6539"/>
    <w:rsid w:val="000A7792"/>
    <w:rsid w:val="000B04F9"/>
    <w:rsid w:val="000B058D"/>
    <w:rsid w:val="000B0964"/>
    <w:rsid w:val="000B11E4"/>
    <w:rsid w:val="000B15DE"/>
    <w:rsid w:val="000B1A5F"/>
    <w:rsid w:val="000B2278"/>
    <w:rsid w:val="000B35AA"/>
    <w:rsid w:val="000B3886"/>
    <w:rsid w:val="000B3AF9"/>
    <w:rsid w:val="000B3CDE"/>
    <w:rsid w:val="000B43AC"/>
    <w:rsid w:val="000B5B5A"/>
    <w:rsid w:val="000B5F3E"/>
    <w:rsid w:val="000B6175"/>
    <w:rsid w:val="000B6858"/>
    <w:rsid w:val="000B6A2C"/>
    <w:rsid w:val="000B763B"/>
    <w:rsid w:val="000B78B2"/>
    <w:rsid w:val="000B79A9"/>
    <w:rsid w:val="000B7E19"/>
    <w:rsid w:val="000C09E5"/>
    <w:rsid w:val="000C0D87"/>
    <w:rsid w:val="000C0E98"/>
    <w:rsid w:val="000C1181"/>
    <w:rsid w:val="000C19AE"/>
    <w:rsid w:val="000C19B4"/>
    <w:rsid w:val="000C1A4E"/>
    <w:rsid w:val="000C1FA9"/>
    <w:rsid w:val="000C21E8"/>
    <w:rsid w:val="000C285C"/>
    <w:rsid w:val="000C2ACC"/>
    <w:rsid w:val="000C3373"/>
    <w:rsid w:val="000C3478"/>
    <w:rsid w:val="000C3EA7"/>
    <w:rsid w:val="000C4455"/>
    <w:rsid w:val="000C4561"/>
    <w:rsid w:val="000C4739"/>
    <w:rsid w:val="000C4D91"/>
    <w:rsid w:val="000C51D4"/>
    <w:rsid w:val="000C5C42"/>
    <w:rsid w:val="000C6906"/>
    <w:rsid w:val="000C6B70"/>
    <w:rsid w:val="000C7B5B"/>
    <w:rsid w:val="000C7B87"/>
    <w:rsid w:val="000D01D2"/>
    <w:rsid w:val="000D026D"/>
    <w:rsid w:val="000D05B5"/>
    <w:rsid w:val="000D07A7"/>
    <w:rsid w:val="000D08B3"/>
    <w:rsid w:val="000D0A2E"/>
    <w:rsid w:val="000D1528"/>
    <w:rsid w:val="000D158F"/>
    <w:rsid w:val="000D2385"/>
    <w:rsid w:val="000D2860"/>
    <w:rsid w:val="000D2B57"/>
    <w:rsid w:val="000D2F62"/>
    <w:rsid w:val="000D30D3"/>
    <w:rsid w:val="000D35E0"/>
    <w:rsid w:val="000D43F5"/>
    <w:rsid w:val="000D4524"/>
    <w:rsid w:val="000D4FF3"/>
    <w:rsid w:val="000D50F9"/>
    <w:rsid w:val="000D52E9"/>
    <w:rsid w:val="000D57B8"/>
    <w:rsid w:val="000D6610"/>
    <w:rsid w:val="000D6891"/>
    <w:rsid w:val="000D6C67"/>
    <w:rsid w:val="000D6ED6"/>
    <w:rsid w:val="000D74E3"/>
    <w:rsid w:val="000E04F7"/>
    <w:rsid w:val="000E0746"/>
    <w:rsid w:val="000E0D4C"/>
    <w:rsid w:val="000E138A"/>
    <w:rsid w:val="000E14C3"/>
    <w:rsid w:val="000E1DE2"/>
    <w:rsid w:val="000E20BB"/>
    <w:rsid w:val="000E20E3"/>
    <w:rsid w:val="000E21F1"/>
    <w:rsid w:val="000E2A43"/>
    <w:rsid w:val="000E2F71"/>
    <w:rsid w:val="000E3248"/>
    <w:rsid w:val="000E3AA3"/>
    <w:rsid w:val="000E4161"/>
    <w:rsid w:val="000E4182"/>
    <w:rsid w:val="000E454A"/>
    <w:rsid w:val="000E4F0B"/>
    <w:rsid w:val="000E50B2"/>
    <w:rsid w:val="000E5630"/>
    <w:rsid w:val="000E56A7"/>
    <w:rsid w:val="000E5C71"/>
    <w:rsid w:val="000E607D"/>
    <w:rsid w:val="000E61C3"/>
    <w:rsid w:val="000E672E"/>
    <w:rsid w:val="000E7CAD"/>
    <w:rsid w:val="000F01CC"/>
    <w:rsid w:val="000F0599"/>
    <w:rsid w:val="000F0980"/>
    <w:rsid w:val="000F1440"/>
    <w:rsid w:val="000F1513"/>
    <w:rsid w:val="000F174D"/>
    <w:rsid w:val="000F1B49"/>
    <w:rsid w:val="000F21E3"/>
    <w:rsid w:val="000F26EA"/>
    <w:rsid w:val="000F2743"/>
    <w:rsid w:val="000F28AF"/>
    <w:rsid w:val="000F2A54"/>
    <w:rsid w:val="000F2DB6"/>
    <w:rsid w:val="000F2DD9"/>
    <w:rsid w:val="000F3689"/>
    <w:rsid w:val="000F40FC"/>
    <w:rsid w:val="000F4668"/>
    <w:rsid w:val="000F4927"/>
    <w:rsid w:val="000F495B"/>
    <w:rsid w:val="000F4B54"/>
    <w:rsid w:val="000F4FAC"/>
    <w:rsid w:val="000F55DE"/>
    <w:rsid w:val="000F65CA"/>
    <w:rsid w:val="000F698F"/>
    <w:rsid w:val="000F6C79"/>
    <w:rsid w:val="000F7842"/>
    <w:rsid w:val="000F7927"/>
    <w:rsid w:val="001000D3"/>
    <w:rsid w:val="0010019B"/>
    <w:rsid w:val="0010031E"/>
    <w:rsid w:val="001008CC"/>
    <w:rsid w:val="001009A7"/>
    <w:rsid w:val="001009B8"/>
    <w:rsid w:val="001011B4"/>
    <w:rsid w:val="00101354"/>
    <w:rsid w:val="00101757"/>
    <w:rsid w:val="00101758"/>
    <w:rsid w:val="001017C0"/>
    <w:rsid w:val="00101E6C"/>
    <w:rsid w:val="0010217A"/>
    <w:rsid w:val="001022AD"/>
    <w:rsid w:val="0010231C"/>
    <w:rsid w:val="0010247F"/>
    <w:rsid w:val="00102C4A"/>
    <w:rsid w:val="00103293"/>
    <w:rsid w:val="0010335E"/>
    <w:rsid w:val="0010395B"/>
    <w:rsid w:val="00103AB2"/>
    <w:rsid w:val="00103F6D"/>
    <w:rsid w:val="001042A5"/>
    <w:rsid w:val="00104573"/>
    <w:rsid w:val="00104906"/>
    <w:rsid w:val="001049F6"/>
    <w:rsid w:val="00104D25"/>
    <w:rsid w:val="001057FD"/>
    <w:rsid w:val="00105B97"/>
    <w:rsid w:val="00105D98"/>
    <w:rsid w:val="00105F98"/>
    <w:rsid w:val="0010712D"/>
    <w:rsid w:val="001075AA"/>
    <w:rsid w:val="00107A38"/>
    <w:rsid w:val="00107E04"/>
    <w:rsid w:val="001102AA"/>
    <w:rsid w:val="00110D5A"/>
    <w:rsid w:val="0011108B"/>
    <w:rsid w:val="00112010"/>
    <w:rsid w:val="00112115"/>
    <w:rsid w:val="00112448"/>
    <w:rsid w:val="00113101"/>
    <w:rsid w:val="0011311A"/>
    <w:rsid w:val="00113DDA"/>
    <w:rsid w:val="00114507"/>
    <w:rsid w:val="001145AE"/>
    <w:rsid w:val="00114632"/>
    <w:rsid w:val="00114812"/>
    <w:rsid w:val="001157D7"/>
    <w:rsid w:val="0011643A"/>
    <w:rsid w:val="0012068A"/>
    <w:rsid w:val="00120725"/>
    <w:rsid w:val="00120B52"/>
    <w:rsid w:val="001211FC"/>
    <w:rsid w:val="001212CE"/>
    <w:rsid w:val="001215E7"/>
    <w:rsid w:val="00121AD3"/>
    <w:rsid w:val="00121DCE"/>
    <w:rsid w:val="00122EFC"/>
    <w:rsid w:val="001230C7"/>
    <w:rsid w:val="00123733"/>
    <w:rsid w:val="00123871"/>
    <w:rsid w:val="0012389A"/>
    <w:rsid w:val="001238F8"/>
    <w:rsid w:val="00124508"/>
    <w:rsid w:val="0012479F"/>
    <w:rsid w:val="001248CE"/>
    <w:rsid w:val="00124A76"/>
    <w:rsid w:val="00125742"/>
    <w:rsid w:val="001257BC"/>
    <w:rsid w:val="00125D14"/>
    <w:rsid w:val="00125E17"/>
    <w:rsid w:val="0012631D"/>
    <w:rsid w:val="001264DD"/>
    <w:rsid w:val="00126799"/>
    <w:rsid w:val="00126DA3"/>
    <w:rsid w:val="0012788C"/>
    <w:rsid w:val="00127D38"/>
    <w:rsid w:val="00130020"/>
    <w:rsid w:val="00131273"/>
    <w:rsid w:val="00131893"/>
    <w:rsid w:val="001318A4"/>
    <w:rsid w:val="001319AD"/>
    <w:rsid w:val="001326D6"/>
    <w:rsid w:val="0013299B"/>
    <w:rsid w:val="00132EA0"/>
    <w:rsid w:val="001337A8"/>
    <w:rsid w:val="001337F9"/>
    <w:rsid w:val="00133CE4"/>
    <w:rsid w:val="00133D1C"/>
    <w:rsid w:val="00134265"/>
    <w:rsid w:val="0013446A"/>
    <w:rsid w:val="00134D71"/>
    <w:rsid w:val="0013634C"/>
    <w:rsid w:val="001364E7"/>
    <w:rsid w:val="00136A24"/>
    <w:rsid w:val="00136F32"/>
    <w:rsid w:val="001373F4"/>
    <w:rsid w:val="00137ABA"/>
    <w:rsid w:val="0014059C"/>
    <w:rsid w:val="00141225"/>
    <w:rsid w:val="001413BB"/>
    <w:rsid w:val="001414D9"/>
    <w:rsid w:val="00141721"/>
    <w:rsid w:val="00141F7B"/>
    <w:rsid w:val="0014209C"/>
    <w:rsid w:val="001433B7"/>
    <w:rsid w:val="00143681"/>
    <w:rsid w:val="00143C25"/>
    <w:rsid w:val="00143C42"/>
    <w:rsid w:val="00143ED2"/>
    <w:rsid w:val="001440F1"/>
    <w:rsid w:val="0014414C"/>
    <w:rsid w:val="0014490D"/>
    <w:rsid w:val="00144AA3"/>
    <w:rsid w:val="00144E27"/>
    <w:rsid w:val="00145334"/>
    <w:rsid w:val="001453EA"/>
    <w:rsid w:val="0014545B"/>
    <w:rsid w:val="00145BB1"/>
    <w:rsid w:val="00146811"/>
    <w:rsid w:val="00146AB4"/>
    <w:rsid w:val="0014708A"/>
    <w:rsid w:val="001470B7"/>
    <w:rsid w:val="001471F7"/>
    <w:rsid w:val="00147490"/>
    <w:rsid w:val="001474AB"/>
    <w:rsid w:val="001478AC"/>
    <w:rsid w:val="00150218"/>
    <w:rsid w:val="001509EB"/>
    <w:rsid w:val="001510D1"/>
    <w:rsid w:val="00151589"/>
    <w:rsid w:val="00151786"/>
    <w:rsid w:val="00151F80"/>
    <w:rsid w:val="001523B4"/>
    <w:rsid w:val="00152778"/>
    <w:rsid w:val="001527D7"/>
    <w:rsid w:val="00152C02"/>
    <w:rsid w:val="00153DBF"/>
    <w:rsid w:val="00154260"/>
    <w:rsid w:val="001542B8"/>
    <w:rsid w:val="00154EBC"/>
    <w:rsid w:val="0015549A"/>
    <w:rsid w:val="00155BA1"/>
    <w:rsid w:val="00155BEF"/>
    <w:rsid w:val="00156DAB"/>
    <w:rsid w:val="001572CC"/>
    <w:rsid w:val="00157B40"/>
    <w:rsid w:val="001604B4"/>
    <w:rsid w:val="001610FE"/>
    <w:rsid w:val="001615E0"/>
    <w:rsid w:val="00161CB3"/>
    <w:rsid w:val="00161CD6"/>
    <w:rsid w:val="00162689"/>
    <w:rsid w:val="00162955"/>
    <w:rsid w:val="00162A34"/>
    <w:rsid w:val="00163161"/>
    <w:rsid w:val="001635F9"/>
    <w:rsid w:val="00163795"/>
    <w:rsid w:val="001644A0"/>
    <w:rsid w:val="00164A30"/>
    <w:rsid w:val="00164C0A"/>
    <w:rsid w:val="00165378"/>
    <w:rsid w:val="00165AC7"/>
    <w:rsid w:val="00166168"/>
    <w:rsid w:val="00166196"/>
    <w:rsid w:val="001674B1"/>
    <w:rsid w:val="0016792D"/>
    <w:rsid w:val="00167AA5"/>
    <w:rsid w:val="0017003D"/>
    <w:rsid w:val="00170A24"/>
    <w:rsid w:val="00170FB5"/>
    <w:rsid w:val="00171713"/>
    <w:rsid w:val="00171B95"/>
    <w:rsid w:val="00171FB8"/>
    <w:rsid w:val="00172212"/>
    <w:rsid w:val="0017245B"/>
    <w:rsid w:val="00172726"/>
    <w:rsid w:val="001730DD"/>
    <w:rsid w:val="00173A6A"/>
    <w:rsid w:val="001742B5"/>
    <w:rsid w:val="00174C64"/>
    <w:rsid w:val="001752C8"/>
    <w:rsid w:val="001761CD"/>
    <w:rsid w:val="0017634A"/>
    <w:rsid w:val="001764BD"/>
    <w:rsid w:val="00176A73"/>
    <w:rsid w:val="00177738"/>
    <w:rsid w:val="001804B7"/>
    <w:rsid w:val="0018107A"/>
    <w:rsid w:val="00181822"/>
    <w:rsid w:val="00181B8E"/>
    <w:rsid w:val="00182640"/>
    <w:rsid w:val="00182F4F"/>
    <w:rsid w:val="00182FC7"/>
    <w:rsid w:val="001830B4"/>
    <w:rsid w:val="00183288"/>
    <w:rsid w:val="00183588"/>
    <w:rsid w:val="00184282"/>
    <w:rsid w:val="001844AB"/>
    <w:rsid w:val="00184B06"/>
    <w:rsid w:val="00185A2B"/>
    <w:rsid w:val="00185B61"/>
    <w:rsid w:val="00185F2E"/>
    <w:rsid w:val="0018665C"/>
    <w:rsid w:val="001868FA"/>
    <w:rsid w:val="00186987"/>
    <w:rsid w:val="001869B4"/>
    <w:rsid w:val="00186B06"/>
    <w:rsid w:val="00186F2B"/>
    <w:rsid w:val="00187C59"/>
    <w:rsid w:val="00187DCD"/>
    <w:rsid w:val="0019095C"/>
    <w:rsid w:val="00191849"/>
    <w:rsid w:val="001919AB"/>
    <w:rsid w:val="0019272B"/>
    <w:rsid w:val="001930D0"/>
    <w:rsid w:val="00193339"/>
    <w:rsid w:val="0019344B"/>
    <w:rsid w:val="00193ACE"/>
    <w:rsid w:val="00194309"/>
    <w:rsid w:val="00194399"/>
    <w:rsid w:val="00194497"/>
    <w:rsid w:val="001945FA"/>
    <w:rsid w:val="00194CEE"/>
    <w:rsid w:val="00195064"/>
    <w:rsid w:val="00195CAF"/>
    <w:rsid w:val="00195E05"/>
    <w:rsid w:val="0019608F"/>
    <w:rsid w:val="00196168"/>
    <w:rsid w:val="00196289"/>
    <w:rsid w:val="00196A25"/>
    <w:rsid w:val="0019740F"/>
    <w:rsid w:val="00197614"/>
    <w:rsid w:val="00197BB9"/>
    <w:rsid w:val="00197E59"/>
    <w:rsid w:val="001A02FB"/>
    <w:rsid w:val="001A07E6"/>
    <w:rsid w:val="001A0865"/>
    <w:rsid w:val="001A08CE"/>
    <w:rsid w:val="001A090E"/>
    <w:rsid w:val="001A0BDD"/>
    <w:rsid w:val="001A0D71"/>
    <w:rsid w:val="001A18F8"/>
    <w:rsid w:val="001A1C5C"/>
    <w:rsid w:val="001A2017"/>
    <w:rsid w:val="001A2246"/>
    <w:rsid w:val="001A2A66"/>
    <w:rsid w:val="001A3083"/>
    <w:rsid w:val="001A343F"/>
    <w:rsid w:val="001A3486"/>
    <w:rsid w:val="001A3DD7"/>
    <w:rsid w:val="001A3EC8"/>
    <w:rsid w:val="001A440B"/>
    <w:rsid w:val="001A49A2"/>
    <w:rsid w:val="001A4BE3"/>
    <w:rsid w:val="001A4F45"/>
    <w:rsid w:val="001A5682"/>
    <w:rsid w:val="001A5765"/>
    <w:rsid w:val="001A5DEA"/>
    <w:rsid w:val="001A5F9E"/>
    <w:rsid w:val="001A6085"/>
    <w:rsid w:val="001A6233"/>
    <w:rsid w:val="001A65F7"/>
    <w:rsid w:val="001A6A14"/>
    <w:rsid w:val="001A73B5"/>
    <w:rsid w:val="001A790B"/>
    <w:rsid w:val="001A7A2D"/>
    <w:rsid w:val="001A7B8F"/>
    <w:rsid w:val="001B080F"/>
    <w:rsid w:val="001B1096"/>
    <w:rsid w:val="001B145C"/>
    <w:rsid w:val="001B16A2"/>
    <w:rsid w:val="001B1CD2"/>
    <w:rsid w:val="001B3B89"/>
    <w:rsid w:val="001B4283"/>
    <w:rsid w:val="001B4A4F"/>
    <w:rsid w:val="001B4BCC"/>
    <w:rsid w:val="001B553A"/>
    <w:rsid w:val="001B5D49"/>
    <w:rsid w:val="001B5D93"/>
    <w:rsid w:val="001B5E64"/>
    <w:rsid w:val="001B5FD7"/>
    <w:rsid w:val="001B652F"/>
    <w:rsid w:val="001B6ABC"/>
    <w:rsid w:val="001C0024"/>
    <w:rsid w:val="001C00F2"/>
    <w:rsid w:val="001C0186"/>
    <w:rsid w:val="001C0FA2"/>
    <w:rsid w:val="001C1981"/>
    <w:rsid w:val="001C19A8"/>
    <w:rsid w:val="001C1A66"/>
    <w:rsid w:val="001C1D66"/>
    <w:rsid w:val="001C1DBF"/>
    <w:rsid w:val="001C203B"/>
    <w:rsid w:val="001C2342"/>
    <w:rsid w:val="001C294A"/>
    <w:rsid w:val="001C2A82"/>
    <w:rsid w:val="001C32D4"/>
    <w:rsid w:val="001C3305"/>
    <w:rsid w:val="001C3451"/>
    <w:rsid w:val="001C3CCF"/>
    <w:rsid w:val="001C58BE"/>
    <w:rsid w:val="001C58C9"/>
    <w:rsid w:val="001C5FC5"/>
    <w:rsid w:val="001C6636"/>
    <w:rsid w:val="001C6936"/>
    <w:rsid w:val="001C77C4"/>
    <w:rsid w:val="001C7CF3"/>
    <w:rsid w:val="001D0449"/>
    <w:rsid w:val="001D0D67"/>
    <w:rsid w:val="001D126E"/>
    <w:rsid w:val="001D19EC"/>
    <w:rsid w:val="001D2055"/>
    <w:rsid w:val="001D2365"/>
    <w:rsid w:val="001D2837"/>
    <w:rsid w:val="001D3221"/>
    <w:rsid w:val="001D434C"/>
    <w:rsid w:val="001D4409"/>
    <w:rsid w:val="001D4D5D"/>
    <w:rsid w:val="001D593A"/>
    <w:rsid w:val="001D5D2C"/>
    <w:rsid w:val="001D5E55"/>
    <w:rsid w:val="001D5F05"/>
    <w:rsid w:val="001D6124"/>
    <w:rsid w:val="001D6444"/>
    <w:rsid w:val="001D65F1"/>
    <w:rsid w:val="001D6CEF"/>
    <w:rsid w:val="001D6D36"/>
    <w:rsid w:val="001D6DD1"/>
    <w:rsid w:val="001D6EEE"/>
    <w:rsid w:val="001D708C"/>
    <w:rsid w:val="001D7146"/>
    <w:rsid w:val="001D7954"/>
    <w:rsid w:val="001D7EFE"/>
    <w:rsid w:val="001E10B4"/>
    <w:rsid w:val="001E1140"/>
    <w:rsid w:val="001E1884"/>
    <w:rsid w:val="001E256A"/>
    <w:rsid w:val="001E26E8"/>
    <w:rsid w:val="001E2E8A"/>
    <w:rsid w:val="001E2FE6"/>
    <w:rsid w:val="001E3BD5"/>
    <w:rsid w:val="001E3E53"/>
    <w:rsid w:val="001E4887"/>
    <w:rsid w:val="001E4A29"/>
    <w:rsid w:val="001E4FCA"/>
    <w:rsid w:val="001E573C"/>
    <w:rsid w:val="001E5932"/>
    <w:rsid w:val="001E5B73"/>
    <w:rsid w:val="001E64E4"/>
    <w:rsid w:val="001E6905"/>
    <w:rsid w:val="001E6F56"/>
    <w:rsid w:val="001E78AA"/>
    <w:rsid w:val="001F04FF"/>
    <w:rsid w:val="001F05F9"/>
    <w:rsid w:val="001F09C4"/>
    <w:rsid w:val="001F0D9A"/>
    <w:rsid w:val="001F124C"/>
    <w:rsid w:val="001F269A"/>
    <w:rsid w:val="001F2A99"/>
    <w:rsid w:val="001F30EB"/>
    <w:rsid w:val="001F316D"/>
    <w:rsid w:val="001F32B2"/>
    <w:rsid w:val="001F388A"/>
    <w:rsid w:val="001F3DAE"/>
    <w:rsid w:val="001F4286"/>
    <w:rsid w:val="001F4695"/>
    <w:rsid w:val="001F4779"/>
    <w:rsid w:val="001F4F01"/>
    <w:rsid w:val="001F556E"/>
    <w:rsid w:val="001F5BB1"/>
    <w:rsid w:val="001F6190"/>
    <w:rsid w:val="001F66B7"/>
    <w:rsid w:val="001F67F4"/>
    <w:rsid w:val="001F6894"/>
    <w:rsid w:val="001F6927"/>
    <w:rsid w:val="001F7113"/>
    <w:rsid w:val="001F7C3F"/>
    <w:rsid w:val="002017D7"/>
    <w:rsid w:val="00201BEE"/>
    <w:rsid w:val="00202360"/>
    <w:rsid w:val="002025CA"/>
    <w:rsid w:val="0020396D"/>
    <w:rsid w:val="00203A07"/>
    <w:rsid w:val="00203F79"/>
    <w:rsid w:val="0020434F"/>
    <w:rsid w:val="002043A9"/>
    <w:rsid w:val="0020462E"/>
    <w:rsid w:val="00204994"/>
    <w:rsid w:val="00204EBB"/>
    <w:rsid w:val="00204FF5"/>
    <w:rsid w:val="00205338"/>
    <w:rsid w:val="00205CC8"/>
    <w:rsid w:val="002070A1"/>
    <w:rsid w:val="002072F7"/>
    <w:rsid w:val="002073DA"/>
    <w:rsid w:val="00207A83"/>
    <w:rsid w:val="00207DBE"/>
    <w:rsid w:val="0021030E"/>
    <w:rsid w:val="00210477"/>
    <w:rsid w:val="00210B7D"/>
    <w:rsid w:val="0021162F"/>
    <w:rsid w:val="002120B6"/>
    <w:rsid w:val="002120CA"/>
    <w:rsid w:val="002121A4"/>
    <w:rsid w:val="00212698"/>
    <w:rsid w:val="002129DE"/>
    <w:rsid w:val="00212C64"/>
    <w:rsid w:val="00212E00"/>
    <w:rsid w:val="002131E0"/>
    <w:rsid w:val="002139F8"/>
    <w:rsid w:val="00214A5D"/>
    <w:rsid w:val="002152CB"/>
    <w:rsid w:val="00215D65"/>
    <w:rsid w:val="00215DF0"/>
    <w:rsid w:val="00215F4D"/>
    <w:rsid w:val="00216C88"/>
    <w:rsid w:val="00216C90"/>
    <w:rsid w:val="00216D2E"/>
    <w:rsid w:val="0021762C"/>
    <w:rsid w:val="00217E65"/>
    <w:rsid w:val="0022081A"/>
    <w:rsid w:val="00221E8B"/>
    <w:rsid w:val="00221F12"/>
    <w:rsid w:val="002224E1"/>
    <w:rsid w:val="0022256E"/>
    <w:rsid w:val="00222A15"/>
    <w:rsid w:val="00222D68"/>
    <w:rsid w:val="00223430"/>
    <w:rsid w:val="002235F9"/>
    <w:rsid w:val="0022378A"/>
    <w:rsid w:val="00223D37"/>
    <w:rsid w:val="00224C6E"/>
    <w:rsid w:val="00224DA3"/>
    <w:rsid w:val="0022571B"/>
    <w:rsid w:val="00225DDD"/>
    <w:rsid w:val="00225F7F"/>
    <w:rsid w:val="00226942"/>
    <w:rsid w:val="00226DDF"/>
    <w:rsid w:val="00226F1D"/>
    <w:rsid w:val="00226FCB"/>
    <w:rsid w:val="00227628"/>
    <w:rsid w:val="00227D01"/>
    <w:rsid w:val="00230294"/>
    <w:rsid w:val="002320AD"/>
    <w:rsid w:val="002320BF"/>
    <w:rsid w:val="00232190"/>
    <w:rsid w:val="00233D32"/>
    <w:rsid w:val="002346A9"/>
    <w:rsid w:val="00234961"/>
    <w:rsid w:val="00234CAB"/>
    <w:rsid w:val="00234CCD"/>
    <w:rsid w:val="00234D51"/>
    <w:rsid w:val="00234EC4"/>
    <w:rsid w:val="0023514C"/>
    <w:rsid w:val="0023528F"/>
    <w:rsid w:val="002359D6"/>
    <w:rsid w:val="00235D69"/>
    <w:rsid w:val="002363CB"/>
    <w:rsid w:val="00236C44"/>
    <w:rsid w:val="00236EC2"/>
    <w:rsid w:val="00236EC9"/>
    <w:rsid w:val="00237357"/>
    <w:rsid w:val="0023739F"/>
    <w:rsid w:val="0023743C"/>
    <w:rsid w:val="00237663"/>
    <w:rsid w:val="00237E23"/>
    <w:rsid w:val="0024023F"/>
    <w:rsid w:val="002405EF"/>
    <w:rsid w:val="00240987"/>
    <w:rsid w:val="002409AD"/>
    <w:rsid w:val="00240BD4"/>
    <w:rsid w:val="00241A1C"/>
    <w:rsid w:val="00241A8F"/>
    <w:rsid w:val="00241B97"/>
    <w:rsid w:val="00241EFC"/>
    <w:rsid w:val="00243008"/>
    <w:rsid w:val="00243249"/>
    <w:rsid w:val="00244260"/>
    <w:rsid w:val="0024453E"/>
    <w:rsid w:val="0024465B"/>
    <w:rsid w:val="002449CF"/>
    <w:rsid w:val="00244C8A"/>
    <w:rsid w:val="00244F85"/>
    <w:rsid w:val="002452A6"/>
    <w:rsid w:val="002456CF"/>
    <w:rsid w:val="002457DE"/>
    <w:rsid w:val="0024596F"/>
    <w:rsid w:val="002459A5"/>
    <w:rsid w:val="00245FA9"/>
    <w:rsid w:val="002468E6"/>
    <w:rsid w:val="00246906"/>
    <w:rsid w:val="00246F2F"/>
    <w:rsid w:val="0024707A"/>
    <w:rsid w:val="002470C7"/>
    <w:rsid w:val="002474E2"/>
    <w:rsid w:val="0024772C"/>
    <w:rsid w:val="00247FA7"/>
    <w:rsid w:val="00250397"/>
    <w:rsid w:val="002511F1"/>
    <w:rsid w:val="002514C2"/>
    <w:rsid w:val="00251AB8"/>
    <w:rsid w:val="002521D4"/>
    <w:rsid w:val="002524F8"/>
    <w:rsid w:val="00252632"/>
    <w:rsid w:val="00252BBD"/>
    <w:rsid w:val="002532FF"/>
    <w:rsid w:val="002536DE"/>
    <w:rsid w:val="002537F7"/>
    <w:rsid w:val="002552D8"/>
    <w:rsid w:val="0025532F"/>
    <w:rsid w:val="002559BB"/>
    <w:rsid w:val="00256597"/>
    <w:rsid w:val="0025681A"/>
    <w:rsid w:val="00256908"/>
    <w:rsid w:val="00256EE0"/>
    <w:rsid w:val="00260278"/>
    <w:rsid w:val="00260A38"/>
    <w:rsid w:val="00260DC2"/>
    <w:rsid w:val="00260E29"/>
    <w:rsid w:val="0026178F"/>
    <w:rsid w:val="00261D59"/>
    <w:rsid w:val="00261EE6"/>
    <w:rsid w:val="00262015"/>
    <w:rsid w:val="002625A4"/>
    <w:rsid w:val="00262815"/>
    <w:rsid w:val="00262A9F"/>
    <w:rsid w:val="00262C1C"/>
    <w:rsid w:val="00262FAA"/>
    <w:rsid w:val="0026346A"/>
    <w:rsid w:val="0026353F"/>
    <w:rsid w:val="00263832"/>
    <w:rsid w:val="00263EDF"/>
    <w:rsid w:val="00264FB8"/>
    <w:rsid w:val="00265295"/>
    <w:rsid w:val="0026541D"/>
    <w:rsid w:val="0026688E"/>
    <w:rsid w:val="00266B65"/>
    <w:rsid w:val="00266CE6"/>
    <w:rsid w:val="00267345"/>
    <w:rsid w:val="002679D8"/>
    <w:rsid w:val="00270638"/>
    <w:rsid w:val="002707D5"/>
    <w:rsid w:val="00270AB8"/>
    <w:rsid w:val="0027122A"/>
    <w:rsid w:val="00271386"/>
    <w:rsid w:val="00271861"/>
    <w:rsid w:val="00271AC0"/>
    <w:rsid w:val="002727C7"/>
    <w:rsid w:val="00272AD9"/>
    <w:rsid w:val="00272C03"/>
    <w:rsid w:val="00273221"/>
    <w:rsid w:val="0027329A"/>
    <w:rsid w:val="002739F2"/>
    <w:rsid w:val="0027510C"/>
    <w:rsid w:val="00275F97"/>
    <w:rsid w:val="002766F1"/>
    <w:rsid w:val="002767B1"/>
    <w:rsid w:val="00276B6B"/>
    <w:rsid w:val="00276FDD"/>
    <w:rsid w:val="0027723D"/>
    <w:rsid w:val="002772C2"/>
    <w:rsid w:val="00277540"/>
    <w:rsid w:val="00277C97"/>
    <w:rsid w:val="00281303"/>
    <w:rsid w:val="00282946"/>
    <w:rsid w:val="00282BA7"/>
    <w:rsid w:val="00283A41"/>
    <w:rsid w:val="00283C52"/>
    <w:rsid w:val="00284744"/>
    <w:rsid w:val="00284A72"/>
    <w:rsid w:val="00284C5D"/>
    <w:rsid w:val="00284FB9"/>
    <w:rsid w:val="002851CE"/>
    <w:rsid w:val="00285437"/>
    <w:rsid w:val="00285600"/>
    <w:rsid w:val="00285D23"/>
    <w:rsid w:val="002865DA"/>
    <w:rsid w:val="00286814"/>
    <w:rsid w:val="0028710A"/>
    <w:rsid w:val="0028718F"/>
    <w:rsid w:val="00287E53"/>
    <w:rsid w:val="002900B8"/>
    <w:rsid w:val="00290127"/>
    <w:rsid w:val="00290D63"/>
    <w:rsid w:val="00291369"/>
    <w:rsid w:val="002916C2"/>
    <w:rsid w:val="0029191D"/>
    <w:rsid w:val="0029198A"/>
    <w:rsid w:val="002919DF"/>
    <w:rsid w:val="0029200F"/>
    <w:rsid w:val="002926C7"/>
    <w:rsid w:val="00292D66"/>
    <w:rsid w:val="00292EEE"/>
    <w:rsid w:val="0029314A"/>
    <w:rsid w:val="002931F5"/>
    <w:rsid w:val="00293247"/>
    <w:rsid w:val="002939F5"/>
    <w:rsid w:val="002943B7"/>
    <w:rsid w:val="00294A28"/>
    <w:rsid w:val="00296340"/>
    <w:rsid w:val="00296378"/>
    <w:rsid w:val="002965EB"/>
    <w:rsid w:val="00296958"/>
    <w:rsid w:val="00296BD3"/>
    <w:rsid w:val="00296E8C"/>
    <w:rsid w:val="00297586"/>
    <w:rsid w:val="00297A0F"/>
    <w:rsid w:val="00297A8B"/>
    <w:rsid w:val="00297A8D"/>
    <w:rsid w:val="00297B8F"/>
    <w:rsid w:val="00297DED"/>
    <w:rsid w:val="002A193F"/>
    <w:rsid w:val="002A1FC0"/>
    <w:rsid w:val="002A298F"/>
    <w:rsid w:val="002A29AB"/>
    <w:rsid w:val="002A38A2"/>
    <w:rsid w:val="002A4180"/>
    <w:rsid w:val="002A44CE"/>
    <w:rsid w:val="002A473C"/>
    <w:rsid w:val="002A4914"/>
    <w:rsid w:val="002A4B58"/>
    <w:rsid w:val="002A4C07"/>
    <w:rsid w:val="002A508B"/>
    <w:rsid w:val="002A5111"/>
    <w:rsid w:val="002A52F1"/>
    <w:rsid w:val="002A54D4"/>
    <w:rsid w:val="002A5B37"/>
    <w:rsid w:val="002A611C"/>
    <w:rsid w:val="002A6749"/>
    <w:rsid w:val="002A6C4B"/>
    <w:rsid w:val="002A7029"/>
    <w:rsid w:val="002A730A"/>
    <w:rsid w:val="002B0837"/>
    <w:rsid w:val="002B0BA4"/>
    <w:rsid w:val="002B0BBB"/>
    <w:rsid w:val="002B0F45"/>
    <w:rsid w:val="002B1204"/>
    <w:rsid w:val="002B1444"/>
    <w:rsid w:val="002B1567"/>
    <w:rsid w:val="002B1BCB"/>
    <w:rsid w:val="002B24FC"/>
    <w:rsid w:val="002B268B"/>
    <w:rsid w:val="002B2873"/>
    <w:rsid w:val="002B2CAF"/>
    <w:rsid w:val="002B2E2A"/>
    <w:rsid w:val="002B2F5B"/>
    <w:rsid w:val="002B30CC"/>
    <w:rsid w:val="002B32C4"/>
    <w:rsid w:val="002B3686"/>
    <w:rsid w:val="002B3751"/>
    <w:rsid w:val="002B3E67"/>
    <w:rsid w:val="002B4661"/>
    <w:rsid w:val="002B4CE0"/>
    <w:rsid w:val="002B4D33"/>
    <w:rsid w:val="002B4E1B"/>
    <w:rsid w:val="002B581C"/>
    <w:rsid w:val="002B60AC"/>
    <w:rsid w:val="002B623D"/>
    <w:rsid w:val="002B64D8"/>
    <w:rsid w:val="002B67C3"/>
    <w:rsid w:val="002B6995"/>
    <w:rsid w:val="002B6A48"/>
    <w:rsid w:val="002B733B"/>
    <w:rsid w:val="002C046A"/>
    <w:rsid w:val="002C0EE6"/>
    <w:rsid w:val="002C0F35"/>
    <w:rsid w:val="002C0F48"/>
    <w:rsid w:val="002C0FA5"/>
    <w:rsid w:val="002C1053"/>
    <w:rsid w:val="002C22BA"/>
    <w:rsid w:val="002C23EC"/>
    <w:rsid w:val="002C255C"/>
    <w:rsid w:val="002C2BBB"/>
    <w:rsid w:val="002C30E3"/>
    <w:rsid w:val="002C325E"/>
    <w:rsid w:val="002C3BC0"/>
    <w:rsid w:val="002C3C77"/>
    <w:rsid w:val="002C3D37"/>
    <w:rsid w:val="002C42B3"/>
    <w:rsid w:val="002C4410"/>
    <w:rsid w:val="002C488A"/>
    <w:rsid w:val="002C4CBC"/>
    <w:rsid w:val="002C5654"/>
    <w:rsid w:val="002C5924"/>
    <w:rsid w:val="002C5952"/>
    <w:rsid w:val="002C5C94"/>
    <w:rsid w:val="002C5DC1"/>
    <w:rsid w:val="002C60BD"/>
    <w:rsid w:val="002C6200"/>
    <w:rsid w:val="002C6327"/>
    <w:rsid w:val="002C63A9"/>
    <w:rsid w:val="002C6864"/>
    <w:rsid w:val="002C6D31"/>
    <w:rsid w:val="002C7271"/>
    <w:rsid w:val="002C76B0"/>
    <w:rsid w:val="002C7A99"/>
    <w:rsid w:val="002C7B0B"/>
    <w:rsid w:val="002C7B9D"/>
    <w:rsid w:val="002C7C74"/>
    <w:rsid w:val="002D01C5"/>
    <w:rsid w:val="002D04B5"/>
    <w:rsid w:val="002D1026"/>
    <w:rsid w:val="002D2070"/>
    <w:rsid w:val="002D209C"/>
    <w:rsid w:val="002D2541"/>
    <w:rsid w:val="002D2582"/>
    <w:rsid w:val="002D2B58"/>
    <w:rsid w:val="002D2C09"/>
    <w:rsid w:val="002D2E41"/>
    <w:rsid w:val="002D2F24"/>
    <w:rsid w:val="002D347F"/>
    <w:rsid w:val="002D3B87"/>
    <w:rsid w:val="002D3CCB"/>
    <w:rsid w:val="002D4FAC"/>
    <w:rsid w:val="002D504B"/>
    <w:rsid w:val="002D5427"/>
    <w:rsid w:val="002D596C"/>
    <w:rsid w:val="002D6164"/>
    <w:rsid w:val="002D61FD"/>
    <w:rsid w:val="002D66F6"/>
    <w:rsid w:val="002D6DDA"/>
    <w:rsid w:val="002D747A"/>
    <w:rsid w:val="002D76FC"/>
    <w:rsid w:val="002E0CB3"/>
    <w:rsid w:val="002E10A7"/>
    <w:rsid w:val="002E11C5"/>
    <w:rsid w:val="002E131E"/>
    <w:rsid w:val="002E1623"/>
    <w:rsid w:val="002E179F"/>
    <w:rsid w:val="002E1FEF"/>
    <w:rsid w:val="002E24F8"/>
    <w:rsid w:val="002E2614"/>
    <w:rsid w:val="002E2F9C"/>
    <w:rsid w:val="002E34AA"/>
    <w:rsid w:val="002E3974"/>
    <w:rsid w:val="002E3D74"/>
    <w:rsid w:val="002E4029"/>
    <w:rsid w:val="002E4120"/>
    <w:rsid w:val="002E428B"/>
    <w:rsid w:val="002E5480"/>
    <w:rsid w:val="002E6082"/>
    <w:rsid w:val="002E6166"/>
    <w:rsid w:val="002E6B05"/>
    <w:rsid w:val="002E6D4B"/>
    <w:rsid w:val="002E6EB5"/>
    <w:rsid w:val="002E6ED5"/>
    <w:rsid w:val="002E6F9C"/>
    <w:rsid w:val="002E7122"/>
    <w:rsid w:val="002E7A29"/>
    <w:rsid w:val="002E7A5F"/>
    <w:rsid w:val="002F091C"/>
    <w:rsid w:val="002F0A2B"/>
    <w:rsid w:val="002F0B3C"/>
    <w:rsid w:val="002F0C47"/>
    <w:rsid w:val="002F1241"/>
    <w:rsid w:val="002F237B"/>
    <w:rsid w:val="002F26FE"/>
    <w:rsid w:val="002F2B24"/>
    <w:rsid w:val="002F2F61"/>
    <w:rsid w:val="002F3652"/>
    <w:rsid w:val="002F3976"/>
    <w:rsid w:val="002F3A56"/>
    <w:rsid w:val="002F408C"/>
    <w:rsid w:val="002F4C82"/>
    <w:rsid w:val="002F4FF6"/>
    <w:rsid w:val="002F5508"/>
    <w:rsid w:val="002F563E"/>
    <w:rsid w:val="002F5AE7"/>
    <w:rsid w:val="002F6472"/>
    <w:rsid w:val="002F6A81"/>
    <w:rsid w:val="002F6C4C"/>
    <w:rsid w:val="002F6E83"/>
    <w:rsid w:val="002F7122"/>
    <w:rsid w:val="002F79AC"/>
    <w:rsid w:val="002F7A53"/>
    <w:rsid w:val="002F7C4B"/>
    <w:rsid w:val="002F7EE4"/>
    <w:rsid w:val="003002A3"/>
    <w:rsid w:val="003005C3"/>
    <w:rsid w:val="003012F0"/>
    <w:rsid w:val="00301407"/>
    <w:rsid w:val="00301450"/>
    <w:rsid w:val="00301725"/>
    <w:rsid w:val="0030176D"/>
    <w:rsid w:val="00301829"/>
    <w:rsid w:val="00301949"/>
    <w:rsid w:val="00301E6E"/>
    <w:rsid w:val="00302BED"/>
    <w:rsid w:val="00303C54"/>
    <w:rsid w:val="00304362"/>
    <w:rsid w:val="0030483B"/>
    <w:rsid w:val="003048B2"/>
    <w:rsid w:val="00305006"/>
    <w:rsid w:val="0030569F"/>
    <w:rsid w:val="003056DF"/>
    <w:rsid w:val="0030579C"/>
    <w:rsid w:val="0030592C"/>
    <w:rsid w:val="00305B1B"/>
    <w:rsid w:val="00305B47"/>
    <w:rsid w:val="00305E73"/>
    <w:rsid w:val="00306234"/>
    <w:rsid w:val="0030625C"/>
    <w:rsid w:val="003063B3"/>
    <w:rsid w:val="003066E5"/>
    <w:rsid w:val="00306F18"/>
    <w:rsid w:val="00306F74"/>
    <w:rsid w:val="0030730F"/>
    <w:rsid w:val="00307B8C"/>
    <w:rsid w:val="0031059B"/>
    <w:rsid w:val="003113F1"/>
    <w:rsid w:val="00311E6C"/>
    <w:rsid w:val="00312484"/>
    <w:rsid w:val="00312917"/>
    <w:rsid w:val="00313133"/>
    <w:rsid w:val="003133D0"/>
    <w:rsid w:val="00313559"/>
    <w:rsid w:val="00313DD5"/>
    <w:rsid w:val="00313F95"/>
    <w:rsid w:val="003145EC"/>
    <w:rsid w:val="003147EF"/>
    <w:rsid w:val="00314B74"/>
    <w:rsid w:val="00314BDD"/>
    <w:rsid w:val="00314DE8"/>
    <w:rsid w:val="0031583B"/>
    <w:rsid w:val="003158F3"/>
    <w:rsid w:val="00315A20"/>
    <w:rsid w:val="00315EC8"/>
    <w:rsid w:val="003166FC"/>
    <w:rsid w:val="003168EC"/>
    <w:rsid w:val="00316AC0"/>
    <w:rsid w:val="00316CCE"/>
    <w:rsid w:val="0031719D"/>
    <w:rsid w:val="003209CB"/>
    <w:rsid w:val="00320DA6"/>
    <w:rsid w:val="00320F58"/>
    <w:rsid w:val="0032130F"/>
    <w:rsid w:val="00321A04"/>
    <w:rsid w:val="00321C2C"/>
    <w:rsid w:val="00321D20"/>
    <w:rsid w:val="003228AA"/>
    <w:rsid w:val="00322F3A"/>
    <w:rsid w:val="003236FD"/>
    <w:rsid w:val="00323892"/>
    <w:rsid w:val="00323893"/>
    <w:rsid w:val="00324012"/>
    <w:rsid w:val="003240A7"/>
    <w:rsid w:val="00324A05"/>
    <w:rsid w:val="003255C5"/>
    <w:rsid w:val="00325AB9"/>
    <w:rsid w:val="00325D22"/>
    <w:rsid w:val="00326EDE"/>
    <w:rsid w:val="00327163"/>
    <w:rsid w:val="00327199"/>
    <w:rsid w:val="00330466"/>
    <w:rsid w:val="0033053E"/>
    <w:rsid w:val="00330691"/>
    <w:rsid w:val="0033087F"/>
    <w:rsid w:val="00330DA6"/>
    <w:rsid w:val="00331240"/>
    <w:rsid w:val="00331DEE"/>
    <w:rsid w:val="00331DFF"/>
    <w:rsid w:val="00332C53"/>
    <w:rsid w:val="003330C7"/>
    <w:rsid w:val="00333959"/>
    <w:rsid w:val="00333988"/>
    <w:rsid w:val="00333E50"/>
    <w:rsid w:val="00335E21"/>
    <w:rsid w:val="00335F9E"/>
    <w:rsid w:val="00336079"/>
    <w:rsid w:val="003366C3"/>
    <w:rsid w:val="00336DA8"/>
    <w:rsid w:val="00336F7B"/>
    <w:rsid w:val="003371DD"/>
    <w:rsid w:val="00337621"/>
    <w:rsid w:val="00337764"/>
    <w:rsid w:val="00340054"/>
    <w:rsid w:val="00340701"/>
    <w:rsid w:val="003407FF"/>
    <w:rsid w:val="00340AFD"/>
    <w:rsid w:val="003415DF"/>
    <w:rsid w:val="0034185C"/>
    <w:rsid w:val="00341DF8"/>
    <w:rsid w:val="003423F3"/>
    <w:rsid w:val="0034242A"/>
    <w:rsid w:val="003428FF"/>
    <w:rsid w:val="00342922"/>
    <w:rsid w:val="00342ECF"/>
    <w:rsid w:val="003430AB"/>
    <w:rsid w:val="00344064"/>
    <w:rsid w:val="003445DE"/>
    <w:rsid w:val="00344B8D"/>
    <w:rsid w:val="00344BB3"/>
    <w:rsid w:val="003453DE"/>
    <w:rsid w:val="00345814"/>
    <w:rsid w:val="003459EC"/>
    <w:rsid w:val="00345D4F"/>
    <w:rsid w:val="00346225"/>
    <w:rsid w:val="00346EA3"/>
    <w:rsid w:val="003475DD"/>
    <w:rsid w:val="00350099"/>
    <w:rsid w:val="00351464"/>
    <w:rsid w:val="00352169"/>
    <w:rsid w:val="00352467"/>
    <w:rsid w:val="00352825"/>
    <w:rsid w:val="0035297E"/>
    <w:rsid w:val="003529F3"/>
    <w:rsid w:val="00352BA4"/>
    <w:rsid w:val="0035302E"/>
    <w:rsid w:val="0035342D"/>
    <w:rsid w:val="00353BA7"/>
    <w:rsid w:val="00353F51"/>
    <w:rsid w:val="003544E8"/>
    <w:rsid w:val="003547DA"/>
    <w:rsid w:val="00354BC7"/>
    <w:rsid w:val="00354E15"/>
    <w:rsid w:val="0035527F"/>
    <w:rsid w:val="00355972"/>
    <w:rsid w:val="003562F6"/>
    <w:rsid w:val="003564E3"/>
    <w:rsid w:val="00356DAA"/>
    <w:rsid w:val="00357C6C"/>
    <w:rsid w:val="00360BC8"/>
    <w:rsid w:val="00361052"/>
    <w:rsid w:val="00361403"/>
    <w:rsid w:val="00362200"/>
    <w:rsid w:val="003622C4"/>
    <w:rsid w:val="0036262A"/>
    <w:rsid w:val="003626A2"/>
    <w:rsid w:val="00362C62"/>
    <w:rsid w:val="003633C3"/>
    <w:rsid w:val="0036371A"/>
    <w:rsid w:val="0036397E"/>
    <w:rsid w:val="00363CDA"/>
    <w:rsid w:val="003644B2"/>
    <w:rsid w:val="00364505"/>
    <w:rsid w:val="003645CB"/>
    <w:rsid w:val="00364743"/>
    <w:rsid w:val="003650E8"/>
    <w:rsid w:val="00365A95"/>
    <w:rsid w:val="00366037"/>
    <w:rsid w:val="0036636A"/>
    <w:rsid w:val="003665E0"/>
    <w:rsid w:val="00366682"/>
    <w:rsid w:val="00367178"/>
    <w:rsid w:val="00367984"/>
    <w:rsid w:val="00367BE4"/>
    <w:rsid w:val="00367C30"/>
    <w:rsid w:val="00367F02"/>
    <w:rsid w:val="00370456"/>
    <w:rsid w:val="00370605"/>
    <w:rsid w:val="00370FCD"/>
    <w:rsid w:val="00370FD9"/>
    <w:rsid w:val="003711CD"/>
    <w:rsid w:val="003713EB"/>
    <w:rsid w:val="00371676"/>
    <w:rsid w:val="0037182D"/>
    <w:rsid w:val="00371F93"/>
    <w:rsid w:val="0037204A"/>
    <w:rsid w:val="003728A8"/>
    <w:rsid w:val="003728A9"/>
    <w:rsid w:val="003729BA"/>
    <w:rsid w:val="00373663"/>
    <w:rsid w:val="003739A4"/>
    <w:rsid w:val="00373CEA"/>
    <w:rsid w:val="0037425A"/>
    <w:rsid w:val="00374755"/>
    <w:rsid w:val="00374988"/>
    <w:rsid w:val="00375D98"/>
    <w:rsid w:val="00375F4B"/>
    <w:rsid w:val="00376774"/>
    <w:rsid w:val="00376B3C"/>
    <w:rsid w:val="00376BA0"/>
    <w:rsid w:val="003775B2"/>
    <w:rsid w:val="00377BBB"/>
    <w:rsid w:val="00380142"/>
    <w:rsid w:val="003809DB"/>
    <w:rsid w:val="003811E4"/>
    <w:rsid w:val="00381916"/>
    <w:rsid w:val="00381A64"/>
    <w:rsid w:val="00381B61"/>
    <w:rsid w:val="00381FEA"/>
    <w:rsid w:val="00382EBA"/>
    <w:rsid w:val="003833E7"/>
    <w:rsid w:val="00383567"/>
    <w:rsid w:val="003838AD"/>
    <w:rsid w:val="00383A6A"/>
    <w:rsid w:val="00383BB7"/>
    <w:rsid w:val="00384628"/>
    <w:rsid w:val="003848A6"/>
    <w:rsid w:val="00384ED1"/>
    <w:rsid w:val="003851C4"/>
    <w:rsid w:val="00385462"/>
    <w:rsid w:val="00385884"/>
    <w:rsid w:val="003860D3"/>
    <w:rsid w:val="003860E4"/>
    <w:rsid w:val="003865E9"/>
    <w:rsid w:val="00386677"/>
    <w:rsid w:val="003866DF"/>
    <w:rsid w:val="00386DF0"/>
    <w:rsid w:val="0038795D"/>
    <w:rsid w:val="00387FAB"/>
    <w:rsid w:val="00387FB9"/>
    <w:rsid w:val="0039042F"/>
    <w:rsid w:val="003913B5"/>
    <w:rsid w:val="00392186"/>
    <w:rsid w:val="003922C1"/>
    <w:rsid w:val="003922E5"/>
    <w:rsid w:val="00392436"/>
    <w:rsid w:val="00392DAF"/>
    <w:rsid w:val="00392E73"/>
    <w:rsid w:val="0039352B"/>
    <w:rsid w:val="00393580"/>
    <w:rsid w:val="003941C0"/>
    <w:rsid w:val="00394CDC"/>
    <w:rsid w:val="00394EBB"/>
    <w:rsid w:val="003951F9"/>
    <w:rsid w:val="00395687"/>
    <w:rsid w:val="00395881"/>
    <w:rsid w:val="003960AA"/>
    <w:rsid w:val="00396147"/>
    <w:rsid w:val="00396755"/>
    <w:rsid w:val="003967D2"/>
    <w:rsid w:val="00396A60"/>
    <w:rsid w:val="00396AE1"/>
    <w:rsid w:val="00396E57"/>
    <w:rsid w:val="0039707A"/>
    <w:rsid w:val="003A00DC"/>
    <w:rsid w:val="003A0C1B"/>
    <w:rsid w:val="003A10B9"/>
    <w:rsid w:val="003A14C6"/>
    <w:rsid w:val="003A17C0"/>
    <w:rsid w:val="003A1B50"/>
    <w:rsid w:val="003A23F1"/>
    <w:rsid w:val="003A258C"/>
    <w:rsid w:val="003A260E"/>
    <w:rsid w:val="003A2EB4"/>
    <w:rsid w:val="003A3361"/>
    <w:rsid w:val="003A3905"/>
    <w:rsid w:val="003A3970"/>
    <w:rsid w:val="003A3B7F"/>
    <w:rsid w:val="003A3CA7"/>
    <w:rsid w:val="003A4D28"/>
    <w:rsid w:val="003A4E7D"/>
    <w:rsid w:val="003A501B"/>
    <w:rsid w:val="003A5DC5"/>
    <w:rsid w:val="003A616F"/>
    <w:rsid w:val="003A63E4"/>
    <w:rsid w:val="003A65A0"/>
    <w:rsid w:val="003A6804"/>
    <w:rsid w:val="003A6B3E"/>
    <w:rsid w:val="003A72ED"/>
    <w:rsid w:val="003A7B72"/>
    <w:rsid w:val="003B0715"/>
    <w:rsid w:val="003B0BF3"/>
    <w:rsid w:val="003B0CE7"/>
    <w:rsid w:val="003B192E"/>
    <w:rsid w:val="003B2BEA"/>
    <w:rsid w:val="003B30C1"/>
    <w:rsid w:val="003B3277"/>
    <w:rsid w:val="003B462E"/>
    <w:rsid w:val="003B4A15"/>
    <w:rsid w:val="003B4F34"/>
    <w:rsid w:val="003B4F3D"/>
    <w:rsid w:val="003B5197"/>
    <w:rsid w:val="003B51B9"/>
    <w:rsid w:val="003B55EE"/>
    <w:rsid w:val="003B5801"/>
    <w:rsid w:val="003B5AC9"/>
    <w:rsid w:val="003B5BED"/>
    <w:rsid w:val="003B6BB8"/>
    <w:rsid w:val="003B6CD9"/>
    <w:rsid w:val="003B6F42"/>
    <w:rsid w:val="003B74DD"/>
    <w:rsid w:val="003B7617"/>
    <w:rsid w:val="003B7814"/>
    <w:rsid w:val="003B7E52"/>
    <w:rsid w:val="003C11F3"/>
    <w:rsid w:val="003C12BC"/>
    <w:rsid w:val="003C163F"/>
    <w:rsid w:val="003C1754"/>
    <w:rsid w:val="003C2A1D"/>
    <w:rsid w:val="003C2B62"/>
    <w:rsid w:val="003C2F4A"/>
    <w:rsid w:val="003C2FE5"/>
    <w:rsid w:val="003C3B51"/>
    <w:rsid w:val="003C473D"/>
    <w:rsid w:val="003C49C0"/>
    <w:rsid w:val="003C4A5E"/>
    <w:rsid w:val="003C4EE7"/>
    <w:rsid w:val="003C5262"/>
    <w:rsid w:val="003C5466"/>
    <w:rsid w:val="003C54AA"/>
    <w:rsid w:val="003C5C13"/>
    <w:rsid w:val="003C5E3F"/>
    <w:rsid w:val="003C60DF"/>
    <w:rsid w:val="003C620A"/>
    <w:rsid w:val="003C68CB"/>
    <w:rsid w:val="003C69EA"/>
    <w:rsid w:val="003C6F47"/>
    <w:rsid w:val="003C7282"/>
    <w:rsid w:val="003C7B8C"/>
    <w:rsid w:val="003C7C2E"/>
    <w:rsid w:val="003D0178"/>
    <w:rsid w:val="003D017C"/>
    <w:rsid w:val="003D04E2"/>
    <w:rsid w:val="003D05C4"/>
    <w:rsid w:val="003D0A0F"/>
    <w:rsid w:val="003D11C9"/>
    <w:rsid w:val="003D13BC"/>
    <w:rsid w:val="003D2A9B"/>
    <w:rsid w:val="003D2CE7"/>
    <w:rsid w:val="003D2F23"/>
    <w:rsid w:val="003D3788"/>
    <w:rsid w:val="003D37E5"/>
    <w:rsid w:val="003D3B0D"/>
    <w:rsid w:val="003D4521"/>
    <w:rsid w:val="003D56C2"/>
    <w:rsid w:val="003D5B2E"/>
    <w:rsid w:val="003D5BEF"/>
    <w:rsid w:val="003D6351"/>
    <w:rsid w:val="003D67F2"/>
    <w:rsid w:val="003D6BA9"/>
    <w:rsid w:val="003D6D33"/>
    <w:rsid w:val="003D6DE8"/>
    <w:rsid w:val="003D7459"/>
    <w:rsid w:val="003D7724"/>
    <w:rsid w:val="003D773E"/>
    <w:rsid w:val="003D7B46"/>
    <w:rsid w:val="003E006C"/>
    <w:rsid w:val="003E055F"/>
    <w:rsid w:val="003E0887"/>
    <w:rsid w:val="003E1C22"/>
    <w:rsid w:val="003E1E4A"/>
    <w:rsid w:val="003E21E3"/>
    <w:rsid w:val="003E21F2"/>
    <w:rsid w:val="003E2F62"/>
    <w:rsid w:val="003E32AC"/>
    <w:rsid w:val="003E33F0"/>
    <w:rsid w:val="003E3C3B"/>
    <w:rsid w:val="003E4AED"/>
    <w:rsid w:val="003E4E94"/>
    <w:rsid w:val="003E51AA"/>
    <w:rsid w:val="003E5A5A"/>
    <w:rsid w:val="003E61C9"/>
    <w:rsid w:val="003F02D4"/>
    <w:rsid w:val="003F0C43"/>
    <w:rsid w:val="003F0EB5"/>
    <w:rsid w:val="003F1BCE"/>
    <w:rsid w:val="003F1D26"/>
    <w:rsid w:val="003F1DFB"/>
    <w:rsid w:val="003F2104"/>
    <w:rsid w:val="003F21A2"/>
    <w:rsid w:val="003F23A7"/>
    <w:rsid w:val="003F2F6E"/>
    <w:rsid w:val="003F34B6"/>
    <w:rsid w:val="003F37A9"/>
    <w:rsid w:val="003F3B11"/>
    <w:rsid w:val="003F41D2"/>
    <w:rsid w:val="003F434D"/>
    <w:rsid w:val="003F440C"/>
    <w:rsid w:val="003F4DF2"/>
    <w:rsid w:val="003F541B"/>
    <w:rsid w:val="003F5891"/>
    <w:rsid w:val="003F5C00"/>
    <w:rsid w:val="003F5C0F"/>
    <w:rsid w:val="003F5E03"/>
    <w:rsid w:val="003F60B6"/>
    <w:rsid w:val="003F688A"/>
    <w:rsid w:val="003F70EA"/>
    <w:rsid w:val="003F7166"/>
    <w:rsid w:val="003F742F"/>
    <w:rsid w:val="003F75A1"/>
    <w:rsid w:val="003F7838"/>
    <w:rsid w:val="003F7934"/>
    <w:rsid w:val="003F7A10"/>
    <w:rsid w:val="003F7B76"/>
    <w:rsid w:val="003F7BB2"/>
    <w:rsid w:val="003F7CD2"/>
    <w:rsid w:val="00400528"/>
    <w:rsid w:val="004006B7"/>
    <w:rsid w:val="0040122F"/>
    <w:rsid w:val="004013FB"/>
    <w:rsid w:val="0040162C"/>
    <w:rsid w:val="00401697"/>
    <w:rsid w:val="00401BB1"/>
    <w:rsid w:val="00401DB8"/>
    <w:rsid w:val="00402066"/>
    <w:rsid w:val="0040222D"/>
    <w:rsid w:val="004022CC"/>
    <w:rsid w:val="004027A4"/>
    <w:rsid w:val="0040290E"/>
    <w:rsid w:val="00402F75"/>
    <w:rsid w:val="004036F3"/>
    <w:rsid w:val="00403D11"/>
    <w:rsid w:val="0040446D"/>
    <w:rsid w:val="004045C1"/>
    <w:rsid w:val="0040534B"/>
    <w:rsid w:val="004054F0"/>
    <w:rsid w:val="0040570B"/>
    <w:rsid w:val="00405890"/>
    <w:rsid w:val="00405B70"/>
    <w:rsid w:val="004060BE"/>
    <w:rsid w:val="00406969"/>
    <w:rsid w:val="00407245"/>
    <w:rsid w:val="004076BD"/>
    <w:rsid w:val="004077C8"/>
    <w:rsid w:val="00407B9F"/>
    <w:rsid w:val="0041017D"/>
    <w:rsid w:val="0041024D"/>
    <w:rsid w:val="0041071F"/>
    <w:rsid w:val="00410E23"/>
    <w:rsid w:val="00410F8F"/>
    <w:rsid w:val="00410FC9"/>
    <w:rsid w:val="004113FF"/>
    <w:rsid w:val="00412065"/>
    <w:rsid w:val="00412318"/>
    <w:rsid w:val="00412498"/>
    <w:rsid w:val="0041292E"/>
    <w:rsid w:val="00412996"/>
    <w:rsid w:val="00412E47"/>
    <w:rsid w:val="004131F4"/>
    <w:rsid w:val="00413695"/>
    <w:rsid w:val="00413FB6"/>
    <w:rsid w:val="00414101"/>
    <w:rsid w:val="0041466E"/>
    <w:rsid w:val="004146E7"/>
    <w:rsid w:val="00415CE3"/>
    <w:rsid w:val="0041632B"/>
    <w:rsid w:val="00416765"/>
    <w:rsid w:val="004168DE"/>
    <w:rsid w:val="00416A64"/>
    <w:rsid w:val="00416D35"/>
    <w:rsid w:val="00417057"/>
    <w:rsid w:val="0041740D"/>
    <w:rsid w:val="0041758F"/>
    <w:rsid w:val="00417728"/>
    <w:rsid w:val="00417BC4"/>
    <w:rsid w:val="00417E61"/>
    <w:rsid w:val="00420050"/>
    <w:rsid w:val="004204FF"/>
    <w:rsid w:val="004205F5"/>
    <w:rsid w:val="0042096D"/>
    <w:rsid w:val="00420D81"/>
    <w:rsid w:val="004210FF"/>
    <w:rsid w:val="00421505"/>
    <w:rsid w:val="00421954"/>
    <w:rsid w:val="004219FD"/>
    <w:rsid w:val="00421BA4"/>
    <w:rsid w:val="00421D8E"/>
    <w:rsid w:val="004222AC"/>
    <w:rsid w:val="00422727"/>
    <w:rsid w:val="004227F3"/>
    <w:rsid w:val="00423766"/>
    <w:rsid w:val="00423BE3"/>
    <w:rsid w:val="00423D4A"/>
    <w:rsid w:val="004248B4"/>
    <w:rsid w:val="00424961"/>
    <w:rsid w:val="004256CA"/>
    <w:rsid w:val="00425774"/>
    <w:rsid w:val="00425849"/>
    <w:rsid w:val="00425BD0"/>
    <w:rsid w:val="00425EEC"/>
    <w:rsid w:val="00426121"/>
    <w:rsid w:val="00426809"/>
    <w:rsid w:val="004269E0"/>
    <w:rsid w:val="004277DA"/>
    <w:rsid w:val="004277E5"/>
    <w:rsid w:val="00427E15"/>
    <w:rsid w:val="00430110"/>
    <w:rsid w:val="0043042C"/>
    <w:rsid w:val="004308EE"/>
    <w:rsid w:val="0043091C"/>
    <w:rsid w:val="004309F0"/>
    <w:rsid w:val="00430B77"/>
    <w:rsid w:val="00430CB8"/>
    <w:rsid w:val="0043105E"/>
    <w:rsid w:val="004317F0"/>
    <w:rsid w:val="004325DF"/>
    <w:rsid w:val="004326DD"/>
    <w:rsid w:val="00433025"/>
    <w:rsid w:val="00433F4A"/>
    <w:rsid w:val="00434485"/>
    <w:rsid w:val="0043478F"/>
    <w:rsid w:val="00434912"/>
    <w:rsid w:val="00434CD8"/>
    <w:rsid w:val="00435168"/>
    <w:rsid w:val="00435180"/>
    <w:rsid w:val="004355FE"/>
    <w:rsid w:val="004356A3"/>
    <w:rsid w:val="00436379"/>
    <w:rsid w:val="00436D15"/>
    <w:rsid w:val="00437559"/>
    <w:rsid w:val="0044026F"/>
    <w:rsid w:val="00440463"/>
    <w:rsid w:val="004409DC"/>
    <w:rsid w:val="00440A3C"/>
    <w:rsid w:val="00440B9F"/>
    <w:rsid w:val="0044107D"/>
    <w:rsid w:val="00441A4B"/>
    <w:rsid w:val="00441A4C"/>
    <w:rsid w:val="00441FB4"/>
    <w:rsid w:val="004423E5"/>
    <w:rsid w:val="00442CC6"/>
    <w:rsid w:val="00442D69"/>
    <w:rsid w:val="00442D8C"/>
    <w:rsid w:val="00444666"/>
    <w:rsid w:val="004448F7"/>
    <w:rsid w:val="00444A13"/>
    <w:rsid w:val="00444DA2"/>
    <w:rsid w:val="0044503D"/>
    <w:rsid w:val="00445069"/>
    <w:rsid w:val="004450F1"/>
    <w:rsid w:val="00445DA7"/>
    <w:rsid w:val="00445EF6"/>
    <w:rsid w:val="00445FBC"/>
    <w:rsid w:val="0044611E"/>
    <w:rsid w:val="00446599"/>
    <w:rsid w:val="004469A8"/>
    <w:rsid w:val="00446C28"/>
    <w:rsid w:val="00447266"/>
    <w:rsid w:val="00447429"/>
    <w:rsid w:val="00450002"/>
    <w:rsid w:val="004502FF"/>
    <w:rsid w:val="00450808"/>
    <w:rsid w:val="00450F4E"/>
    <w:rsid w:val="004511D8"/>
    <w:rsid w:val="004519B4"/>
    <w:rsid w:val="00451E02"/>
    <w:rsid w:val="00451E80"/>
    <w:rsid w:val="00451F00"/>
    <w:rsid w:val="0045207F"/>
    <w:rsid w:val="0045241F"/>
    <w:rsid w:val="004525E1"/>
    <w:rsid w:val="00452832"/>
    <w:rsid w:val="00452F0E"/>
    <w:rsid w:val="0045309D"/>
    <w:rsid w:val="004535A9"/>
    <w:rsid w:val="004538F4"/>
    <w:rsid w:val="00453985"/>
    <w:rsid w:val="00453D49"/>
    <w:rsid w:val="00453E4C"/>
    <w:rsid w:val="00454EED"/>
    <w:rsid w:val="00456953"/>
    <w:rsid w:val="00456D28"/>
    <w:rsid w:val="00457B77"/>
    <w:rsid w:val="004600D5"/>
    <w:rsid w:val="0046046D"/>
    <w:rsid w:val="004604D7"/>
    <w:rsid w:val="004609EC"/>
    <w:rsid w:val="00460E38"/>
    <w:rsid w:val="004613B8"/>
    <w:rsid w:val="0046167A"/>
    <w:rsid w:val="00462065"/>
    <w:rsid w:val="00462242"/>
    <w:rsid w:val="00463286"/>
    <w:rsid w:val="004638C1"/>
    <w:rsid w:val="00463D64"/>
    <w:rsid w:val="00463F19"/>
    <w:rsid w:val="004641AB"/>
    <w:rsid w:val="00464470"/>
    <w:rsid w:val="004646CA"/>
    <w:rsid w:val="004651E3"/>
    <w:rsid w:val="00465599"/>
    <w:rsid w:val="00465EF4"/>
    <w:rsid w:val="0046620A"/>
    <w:rsid w:val="004662C5"/>
    <w:rsid w:val="004662C9"/>
    <w:rsid w:val="00466333"/>
    <w:rsid w:val="00466341"/>
    <w:rsid w:val="00466E0A"/>
    <w:rsid w:val="00466E10"/>
    <w:rsid w:val="00467255"/>
    <w:rsid w:val="00467FAF"/>
    <w:rsid w:val="0047000B"/>
    <w:rsid w:val="00470207"/>
    <w:rsid w:val="004705F9"/>
    <w:rsid w:val="00470C15"/>
    <w:rsid w:val="00470F5F"/>
    <w:rsid w:val="004722A6"/>
    <w:rsid w:val="004722B5"/>
    <w:rsid w:val="0047266B"/>
    <w:rsid w:val="00472F2D"/>
    <w:rsid w:val="00473041"/>
    <w:rsid w:val="004738D8"/>
    <w:rsid w:val="00473CB8"/>
    <w:rsid w:val="00474817"/>
    <w:rsid w:val="00474827"/>
    <w:rsid w:val="00474AA6"/>
    <w:rsid w:val="00474DD1"/>
    <w:rsid w:val="00475353"/>
    <w:rsid w:val="00475437"/>
    <w:rsid w:val="0047558F"/>
    <w:rsid w:val="004758B7"/>
    <w:rsid w:val="00475D1C"/>
    <w:rsid w:val="00476ABD"/>
    <w:rsid w:val="0047737A"/>
    <w:rsid w:val="00477E95"/>
    <w:rsid w:val="00480266"/>
    <w:rsid w:val="0048099E"/>
    <w:rsid w:val="00480AA6"/>
    <w:rsid w:val="00480AD7"/>
    <w:rsid w:val="00481618"/>
    <w:rsid w:val="00481A3E"/>
    <w:rsid w:val="00481C16"/>
    <w:rsid w:val="00481C7B"/>
    <w:rsid w:val="00481D3F"/>
    <w:rsid w:val="00481DD9"/>
    <w:rsid w:val="0048261F"/>
    <w:rsid w:val="00482BBE"/>
    <w:rsid w:val="00482CFF"/>
    <w:rsid w:val="00482DF7"/>
    <w:rsid w:val="0048328C"/>
    <w:rsid w:val="004836C4"/>
    <w:rsid w:val="00483CE6"/>
    <w:rsid w:val="004840BE"/>
    <w:rsid w:val="0048418C"/>
    <w:rsid w:val="00484320"/>
    <w:rsid w:val="004848D8"/>
    <w:rsid w:val="00484D62"/>
    <w:rsid w:val="0048534D"/>
    <w:rsid w:val="00485F6B"/>
    <w:rsid w:val="00486128"/>
    <w:rsid w:val="00486D15"/>
    <w:rsid w:val="0048715E"/>
    <w:rsid w:val="00490B7A"/>
    <w:rsid w:val="004912D5"/>
    <w:rsid w:val="0049136C"/>
    <w:rsid w:val="00491AF6"/>
    <w:rsid w:val="00491B3B"/>
    <w:rsid w:val="00491FB3"/>
    <w:rsid w:val="00492280"/>
    <w:rsid w:val="00492BD6"/>
    <w:rsid w:val="00492C6A"/>
    <w:rsid w:val="00494013"/>
    <w:rsid w:val="004949A3"/>
    <w:rsid w:val="004949BE"/>
    <w:rsid w:val="00495639"/>
    <w:rsid w:val="0049577E"/>
    <w:rsid w:val="00495965"/>
    <w:rsid w:val="00495DCE"/>
    <w:rsid w:val="00496042"/>
    <w:rsid w:val="00496F2F"/>
    <w:rsid w:val="00497372"/>
    <w:rsid w:val="00497459"/>
    <w:rsid w:val="00497580"/>
    <w:rsid w:val="00497769"/>
    <w:rsid w:val="004A1098"/>
    <w:rsid w:val="004A10B8"/>
    <w:rsid w:val="004A1365"/>
    <w:rsid w:val="004A1506"/>
    <w:rsid w:val="004A23DC"/>
    <w:rsid w:val="004A2C5E"/>
    <w:rsid w:val="004A2DFD"/>
    <w:rsid w:val="004A2EAB"/>
    <w:rsid w:val="004A3708"/>
    <w:rsid w:val="004A3B3B"/>
    <w:rsid w:val="004A44A2"/>
    <w:rsid w:val="004A46C3"/>
    <w:rsid w:val="004A47C3"/>
    <w:rsid w:val="004A50B6"/>
    <w:rsid w:val="004A55EF"/>
    <w:rsid w:val="004A564D"/>
    <w:rsid w:val="004A5890"/>
    <w:rsid w:val="004A5EBA"/>
    <w:rsid w:val="004A604D"/>
    <w:rsid w:val="004A67CB"/>
    <w:rsid w:val="004A6A6B"/>
    <w:rsid w:val="004A6BCC"/>
    <w:rsid w:val="004A6F1F"/>
    <w:rsid w:val="004A706A"/>
    <w:rsid w:val="004B039B"/>
    <w:rsid w:val="004B04EE"/>
    <w:rsid w:val="004B061D"/>
    <w:rsid w:val="004B0D3B"/>
    <w:rsid w:val="004B1282"/>
    <w:rsid w:val="004B1FC4"/>
    <w:rsid w:val="004B2129"/>
    <w:rsid w:val="004B218A"/>
    <w:rsid w:val="004B218B"/>
    <w:rsid w:val="004B261C"/>
    <w:rsid w:val="004B28C5"/>
    <w:rsid w:val="004B2914"/>
    <w:rsid w:val="004B29D0"/>
    <w:rsid w:val="004B2D32"/>
    <w:rsid w:val="004B3055"/>
    <w:rsid w:val="004B3734"/>
    <w:rsid w:val="004B3A7D"/>
    <w:rsid w:val="004B3A88"/>
    <w:rsid w:val="004B40F5"/>
    <w:rsid w:val="004B46D3"/>
    <w:rsid w:val="004B4A0E"/>
    <w:rsid w:val="004B4A25"/>
    <w:rsid w:val="004B4CE8"/>
    <w:rsid w:val="004B4F34"/>
    <w:rsid w:val="004B50B2"/>
    <w:rsid w:val="004B5246"/>
    <w:rsid w:val="004B55EF"/>
    <w:rsid w:val="004B6472"/>
    <w:rsid w:val="004B6A7A"/>
    <w:rsid w:val="004B7321"/>
    <w:rsid w:val="004B7611"/>
    <w:rsid w:val="004C098E"/>
    <w:rsid w:val="004C0B43"/>
    <w:rsid w:val="004C0E4E"/>
    <w:rsid w:val="004C1191"/>
    <w:rsid w:val="004C17F0"/>
    <w:rsid w:val="004C1885"/>
    <w:rsid w:val="004C1B0A"/>
    <w:rsid w:val="004C1E79"/>
    <w:rsid w:val="004C20D5"/>
    <w:rsid w:val="004C2143"/>
    <w:rsid w:val="004C2431"/>
    <w:rsid w:val="004C2D60"/>
    <w:rsid w:val="004C3882"/>
    <w:rsid w:val="004C3C3B"/>
    <w:rsid w:val="004C3E87"/>
    <w:rsid w:val="004C49B0"/>
    <w:rsid w:val="004C516C"/>
    <w:rsid w:val="004C537A"/>
    <w:rsid w:val="004C5AFD"/>
    <w:rsid w:val="004C5C8F"/>
    <w:rsid w:val="004C658C"/>
    <w:rsid w:val="004C68C9"/>
    <w:rsid w:val="004C6E19"/>
    <w:rsid w:val="004C72F7"/>
    <w:rsid w:val="004C7443"/>
    <w:rsid w:val="004C7614"/>
    <w:rsid w:val="004C77A1"/>
    <w:rsid w:val="004C7A21"/>
    <w:rsid w:val="004D0422"/>
    <w:rsid w:val="004D0726"/>
    <w:rsid w:val="004D0EF8"/>
    <w:rsid w:val="004D11FA"/>
    <w:rsid w:val="004D1417"/>
    <w:rsid w:val="004D1573"/>
    <w:rsid w:val="004D1E41"/>
    <w:rsid w:val="004D2C34"/>
    <w:rsid w:val="004D3880"/>
    <w:rsid w:val="004D3986"/>
    <w:rsid w:val="004D3F04"/>
    <w:rsid w:val="004D44B3"/>
    <w:rsid w:val="004D45F5"/>
    <w:rsid w:val="004D492D"/>
    <w:rsid w:val="004D4969"/>
    <w:rsid w:val="004D511C"/>
    <w:rsid w:val="004D563F"/>
    <w:rsid w:val="004D590B"/>
    <w:rsid w:val="004D5988"/>
    <w:rsid w:val="004D63F1"/>
    <w:rsid w:val="004D646C"/>
    <w:rsid w:val="004E0447"/>
    <w:rsid w:val="004E0ACA"/>
    <w:rsid w:val="004E0F8F"/>
    <w:rsid w:val="004E14A7"/>
    <w:rsid w:val="004E1AB5"/>
    <w:rsid w:val="004E258C"/>
    <w:rsid w:val="004E2C6D"/>
    <w:rsid w:val="004E2C83"/>
    <w:rsid w:val="004E32A0"/>
    <w:rsid w:val="004E32C8"/>
    <w:rsid w:val="004E341D"/>
    <w:rsid w:val="004E3756"/>
    <w:rsid w:val="004E39A9"/>
    <w:rsid w:val="004E3D3F"/>
    <w:rsid w:val="004E41DA"/>
    <w:rsid w:val="004E434D"/>
    <w:rsid w:val="004E4602"/>
    <w:rsid w:val="004E52D5"/>
    <w:rsid w:val="004E53CC"/>
    <w:rsid w:val="004E56CC"/>
    <w:rsid w:val="004E5A63"/>
    <w:rsid w:val="004E5D44"/>
    <w:rsid w:val="004E6085"/>
    <w:rsid w:val="004E640F"/>
    <w:rsid w:val="004E657B"/>
    <w:rsid w:val="004E67FD"/>
    <w:rsid w:val="004E71D4"/>
    <w:rsid w:val="004F0258"/>
    <w:rsid w:val="004F057D"/>
    <w:rsid w:val="004F05DC"/>
    <w:rsid w:val="004F0C89"/>
    <w:rsid w:val="004F0D1A"/>
    <w:rsid w:val="004F0F3A"/>
    <w:rsid w:val="004F1147"/>
    <w:rsid w:val="004F1C6C"/>
    <w:rsid w:val="004F22F8"/>
    <w:rsid w:val="004F2E08"/>
    <w:rsid w:val="004F38A0"/>
    <w:rsid w:val="004F3B96"/>
    <w:rsid w:val="004F3E5B"/>
    <w:rsid w:val="004F47FC"/>
    <w:rsid w:val="004F4922"/>
    <w:rsid w:val="004F502E"/>
    <w:rsid w:val="004F69F6"/>
    <w:rsid w:val="004F6D82"/>
    <w:rsid w:val="004F7583"/>
    <w:rsid w:val="004F75D9"/>
    <w:rsid w:val="004F7A7F"/>
    <w:rsid w:val="004F7E52"/>
    <w:rsid w:val="0050023B"/>
    <w:rsid w:val="005007C2"/>
    <w:rsid w:val="005008B4"/>
    <w:rsid w:val="005008E4"/>
    <w:rsid w:val="00500EC4"/>
    <w:rsid w:val="00501719"/>
    <w:rsid w:val="00502ACD"/>
    <w:rsid w:val="00502AFA"/>
    <w:rsid w:val="00502F3F"/>
    <w:rsid w:val="005034E5"/>
    <w:rsid w:val="00503B94"/>
    <w:rsid w:val="00504E50"/>
    <w:rsid w:val="00505C8C"/>
    <w:rsid w:val="00505D50"/>
    <w:rsid w:val="00506147"/>
    <w:rsid w:val="00506677"/>
    <w:rsid w:val="00506968"/>
    <w:rsid w:val="00506B41"/>
    <w:rsid w:val="00506CF8"/>
    <w:rsid w:val="00506D53"/>
    <w:rsid w:val="005075C3"/>
    <w:rsid w:val="005079ED"/>
    <w:rsid w:val="00507BE8"/>
    <w:rsid w:val="00507C26"/>
    <w:rsid w:val="005100FA"/>
    <w:rsid w:val="005104A9"/>
    <w:rsid w:val="00510673"/>
    <w:rsid w:val="0051122B"/>
    <w:rsid w:val="0051132B"/>
    <w:rsid w:val="00511457"/>
    <w:rsid w:val="0051184B"/>
    <w:rsid w:val="00511B39"/>
    <w:rsid w:val="00511F77"/>
    <w:rsid w:val="005121C1"/>
    <w:rsid w:val="00512478"/>
    <w:rsid w:val="00512780"/>
    <w:rsid w:val="005129EB"/>
    <w:rsid w:val="0051339A"/>
    <w:rsid w:val="005138B5"/>
    <w:rsid w:val="00513953"/>
    <w:rsid w:val="00513C86"/>
    <w:rsid w:val="00513C98"/>
    <w:rsid w:val="005147E8"/>
    <w:rsid w:val="0051486E"/>
    <w:rsid w:val="00514AE9"/>
    <w:rsid w:val="005158BD"/>
    <w:rsid w:val="00515D71"/>
    <w:rsid w:val="00515E2C"/>
    <w:rsid w:val="0051635E"/>
    <w:rsid w:val="005165EE"/>
    <w:rsid w:val="005167E4"/>
    <w:rsid w:val="00516C66"/>
    <w:rsid w:val="00516C9A"/>
    <w:rsid w:val="00517404"/>
    <w:rsid w:val="00517415"/>
    <w:rsid w:val="005177D3"/>
    <w:rsid w:val="00517A2D"/>
    <w:rsid w:val="00517D21"/>
    <w:rsid w:val="005203E3"/>
    <w:rsid w:val="0052056D"/>
    <w:rsid w:val="005209A3"/>
    <w:rsid w:val="00522D9F"/>
    <w:rsid w:val="005231A2"/>
    <w:rsid w:val="005234DD"/>
    <w:rsid w:val="005236F2"/>
    <w:rsid w:val="00523A02"/>
    <w:rsid w:val="00523DD9"/>
    <w:rsid w:val="00523E1F"/>
    <w:rsid w:val="00524147"/>
    <w:rsid w:val="00524A28"/>
    <w:rsid w:val="0052510A"/>
    <w:rsid w:val="005264B6"/>
    <w:rsid w:val="00527256"/>
    <w:rsid w:val="00527574"/>
    <w:rsid w:val="00527B09"/>
    <w:rsid w:val="00527D7A"/>
    <w:rsid w:val="005302F4"/>
    <w:rsid w:val="00530550"/>
    <w:rsid w:val="005307BF"/>
    <w:rsid w:val="00530EA0"/>
    <w:rsid w:val="00530F8B"/>
    <w:rsid w:val="00531A23"/>
    <w:rsid w:val="00531B3D"/>
    <w:rsid w:val="00531C55"/>
    <w:rsid w:val="00531DEF"/>
    <w:rsid w:val="005323B8"/>
    <w:rsid w:val="00532B6D"/>
    <w:rsid w:val="00532D64"/>
    <w:rsid w:val="00532F0E"/>
    <w:rsid w:val="005335A0"/>
    <w:rsid w:val="0053369B"/>
    <w:rsid w:val="00533946"/>
    <w:rsid w:val="00533BDC"/>
    <w:rsid w:val="00533EAE"/>
    <w:rsid w:val="00534B36"/>
    <w:rsid w:val="005355A4"/>
    <w:rsid w:val="005355A9"/>
    <w:rsid w:val="00535632"/>
    <w:rsid w:val="00535862"/>
    <w:rsid w:val="0053675C"/>
    <w:rsid w:val="005367A9"/>
    <w:rsid w:val="00536A24"/>
    <w:rsid w:val="00536B4E"/>
    <w:rsid w:val="005370D8"/>
    <w:rsid w:val="0053792C"/>
    <w:rsid w:val="00537A07"/>
    <w:rsid w:val="0054023B"/>
    <w:rsid w:val="005405FF"/>
    <w:rsid w:val="0054070C"/>
    <w:rsid w:val="00540886"/>
    <w:rsid w:val="00540F02"/>
    <w:rsid w:val="0054115D"/>
    <w:rsid w:val="005411DB"/>
    <w:rsid w:val="0054139D"/>
    <w:rsid w:val="005413C8"/>
    <w:rsid w:val="005414AE"/>
    <w:rsid w:val="005415D5"/>
    <w:rsid w:val="005419EF"/>
    <w:rsid w:val="00541AA9"/>
    <w:rsid w:val="00542270"/>
    <w:rsid w:val="0054276D"/>
    <w:rsid w:val="00543473"/>
    <w:rsid w:val="005435F5"/>
    <w:rsid w:val="00543D89"/>
    <w:rsid w:val="00543F44"/>
    <w:rsid w:val="00544A34"/>
    <w:rsid w:val="005450CB"/>
    <w:rsid w:val="0054526B"/>
    <w:rsid w:val="00545704"/>
    <w:rsid w:val="005457D4"/>
    <w:rsid w:val="0054604C"/>
    <w:rsid w:val="00546850"/>
    <w:rsid w:val="00546B68"/>
    <w:rsid w:val="00547509"/>
    <w:rsid w:val="005475A5"/>
    <w:rsid w:val="005475D3"/>
    <w:rsid w:val="00547675"/>
    <w:rsid w:val="005477F5"/>
    <w:rsid w:val="005478AA"/>
    <w:rsid w:val="00547908"/>
    <w:rsid w:val="00547A0B"/>
    <w:rsid w:val="00547B58"/>
    <w:rsid w:val="00547F80"/>
    <w:rsid w:val="00550970"/>
    <w:rsid w:val="00551D05"/>
    <w:rsid w:val="00552177"/>
    <w:rsid w:val="005521A2"/>
    <w:rsid w:val="00552266"/>
    <w:rsid w:val="0055267B"/>
    <w:rsid w:val="0055279C"/>
    <w:rsid w:val="00552AFC"/>
    <w:rsid w:val="00552B49"/>
    <w:rsid w:val="00552EBE"/>
    <w:rsid w:val="00553EDC"/>
    <w:rsid w:val="00554063"/>
    <w:rsid w:val="00554085"/>
    <w:rsid w:val="00554775"/>
    <w:rsid w:val="00554B0A"/>
    <w:rsid w:val="00554C28"/>
    <w:rsid w:val="00554E88"/>
    <w:rsid w:val="005557D3"/>
    <w:rsid w:val="005558D2"/>
    <w:rsid w:val="0055671F"/>
    <w:rsid w:val="00556B20"/>
    <w:rsid w:val="00556F7E"/>
    <w:rsid w:val="00557524"/>
    <w:rsid w:val="00557585"/>
    <w:rsid w:val="0055796B"/>
    <w:rsid w:val="0056004A"/>
    <w:rsid w:val="005609D4"/>
    <w:rsid w:val="00561514"/>
    <w:rsid w:val="00561519"/>
    <w:rsid w:val="00561618"/>
    <w:rsid w:val="00561B3B"/>
    <w:rsid w:val="00561BA2"/>
    <w:rsid w:val="00562153"/>
    <w:rsid w:val="005629E5"/>
    <w:rsid w:val="00562B93"/>
    <w:rsid w:val="00562E31"/>
    <w:rsid w:val="00563687"/>
    <w:rsid w:val="00563AA7"/>
    <w:rsid w:val="00563FC4"/>
    <w:rsid w:val="0056434F"/>
    <w:rsid w:val="00564970"/>
    <w:rsid w:val="00565599"/>
    <w:rsid w:val="00565906"/>
    <w:rsid w:val="00565DF8"/>
    <w:rsid w:val="005669F0"/>
    <w:rsid w:val="00566D25"/>
    <w:rsid w:val="00567126"/>
    <w:rsid w:val="005675B0"/>
    <w:rsid w:val="00567D39"/>
    <w:rsid w:val="00567FC9"/>
    <w:rsid w:val="00570140"/>
    <w:rsid w:val="005701A7"/>
    <w:rsid w:val="0057153A"/>
    <w:rsid w:val="005719E7"/>
    <w:rsid w:val="00571B87"/>
    <w:rsid w:val="00571CAD"/>
    <w:rsid w:val="00571F49"/>
    <w:rsid w:val="005723FE"/>
    <w:rsid w:val="00572654"/>
    <w:rsid w:val="00572A57"/>
    <w:rsid w:val="00572E19"/>
    <w:rsid w:val="0057306C"/>
    <w:rsid w:val="0057319C"/>
    <w:rsid w:val="00573326"/>
    <w:rsid w:val="00573A3C"/>
    <w:rsid w:val="005741DF"/>
    <w:rsid w:val="0057457F"/>
    <w:rsid w:val="00574BB8"/>
    <w:rsid w:val="00574F33"/>
    <w:rsid w:val="00575016"/>
    <w:rsid w:val="00575414"/>
    <w:rsid w:val="0057695F"/>
    <w:rsid w:val="00577419"/>
    <w:rsid w:val="00580752"/>
    <w:rsid w:val="0058113D"/>
    <w:rsid w:val="00581544"/>
    <w:rsid w:val="00581A37"/>
    <w:rsid w:val="00581BFE"/>
    <w:rsid w:val="00582106"/>
    <w:rsid w:val="005821BC"/>
    <w:rsid w:val="005821CD"/>
    <w:rsid w:val="005828AA"/>
    <w:rsid w:val="00582A9A"/>
    <w:rsid w:val="00582B16"/>
    <w:rsid w:val="00583F3E"/>
    <w:rsid w:val="00584CFB"/>
    <w:rsid w:val="00585027"/>
    <w:rsid w:val="0058554F"/>
    <w:rsid w:val="00585752"/>
    <w:rsid w:val="00585A16"/>
    <w:rsid w:val="00585A24"/>
    <w:rsid w:val="005863F5"/>
    <w:rsid w:val="005866BE"/>
    <w:rsid w:val="00586F87"/>
    <w:rsid w:val="005870CE"/>
    <w:rsid w:val="005875E8"/>
    <w:rsid w:val="005901C6"/>
    <w:rsid w:val="005903B8"/>
    <w:rsid w:val="005907E5"/>
    <w:rsid w:val="00590D08"/>
    <w:rsid w:val="00590FCE"/>
    <w:rsid w:val="005911A1"/>
    <w:rsid w:val="005912D8"/>
    <w:rsid w:val="00591382"/>
    <w:rsid w:val="005919BF"/>
    <w:rsid w:val="00591B89"/>
    <w:rsid w:val="00591FC4"/>
    <w:rsid w:val="00592430"/>
    <w:rsid w:val="005924E7"/>
    <w:rsid w:val="00592DA2"/>
    <w:rsid w:val="00592E79"/>
    <w:rsid w:val="00592EEF"/>
    <w:rsid w:val="0059375D"/>
    <w:rsid w:val="00593FCF"/>
    <w:rsid w:val="00594204"/>
    <w:rsid w:val="005944CA"/>
    <w:rsid w:val="00594904"/>
    <w:rsid w:val="00597181"/>
    <w:rsid w:val="00597A75"/>
    <w:rsid w:val="00597D50"/>
    <w:rsid w:val="00597EE3"/>
    <w:rsid w:val="005A0035"/>
    <w:rsid w:val="005A00E2"/>
    <w:rsid w:val="005A025C"/>
    <w:rsid w:val="005A033A"/>
    <w:rsid w:val="005A064D"/>
    <w:rsid w:val="005A06B9"/>
    <w:rsid w:val="005A06E2"/>
    <w:rsid w:val="005A06F2"/>
    <w:rsid w:val="005A0DD3"/>
    <w:rsid w:val="005A1075"/>
    <w:rsid w:val="005A1666"/>
    <w:rsid w:val="005A1C5B"/>
    <w:rsid w:val="005A2B71"/>
    <w:rsid w:val="005A3536"/>
    <w:rsid w:val="005A35F5"/>
    <w:rsid w:val="005A435D"/>
    <w:rsid w:val="005A539E"/>
    <w:rsid w:val="005A5999"/>
    <w:rsid w:val="005A5C15"/>
    <w:rsid w:val="005A5ED1"/>
    <w:rsid w:val="005A6286"/>
    <w:rsid w:val="005A6311"/>
    <w:rsid w:val="005A6346"/>
    <w:rsid w:val="005A694D"/>
    <w:rsid w:val="005A6D2F"/>
    <w:rsid w:val="005A6D83"/>
    <w:rsid w:val="005A728E"/>
    <w:rsid w:val="005A73EE"/>
    <w:rsid w:val="005A7997"/>
    <w:rsid w:val="005A7BC9"/>
    <w:rsid w:val="005B01FC"/>
    <w:rsid w:val="005B09F5"/>
    <w:rsid w:val="005B11EF"/>
    <w:rsid w:val="005B17DD"/>
    <w:rsid w:val="005B1DD4"/>
    <w:rsid w:val="005B1E97"/>
    <w:rsid w:val="005B21DD"/>
    <w:rsid w:val="005B21FB"/>
    <w:rsid w:val="005B22E1"/>
    <w:rsid w:val="005B2589"/>
    <w:rsid w:val="005B28F5"/>
    <w:rsid w:val="005B30B2"/>
    <w:rsid w:val="005B343F"/>
    <w:rsid w:val="005B3962"/>
    <w:rsid w:val="005B3B5A"/>
    <w:rsid w:val="005B3B76"/>
    <w:rsid w:val="005B4329"/>
    <w:rsid w:val="005B4430"/>
    <w:rsid w:val="005B507F"/>
    <w:rsid w:val="005B5626"/>
    <w:rsid w:val="005B5A17"/>
    <w:rsid w:val="005B5BAC"/>
    <w:rsid w:val="005B5F94"/>
    <w:rsid w:val="005B5FE9"/>
    <w:rsid w:val="005B6056"/>
    <w:rsid w:val="005B63FE"/>
    <w:rsid w:val="005B71AB"/>
    <w:rsid w:val="005B72C9"/>
    <w:rsid w:val="005C0014"/>
    <w:rsid w:val="005C0424"/>
    <w:rsid w:val="005C0A90"/>
    <w:rsid w:val="005C0AFC"/>
    <w:rsid w:val="005C0C3B"/>
    <w:rsid w:val="005C0D75"/>
    <w:rsid w:val="005C164F"/>
    <w:rsid w:val="005C1AB2"/>
    <w:rsid w:val="005C1EF2"/>
    <w:rsid w:val="005C2234"/>
    <w:rsid w:val="005C2338"/>
    <w:rsid w:val="005C2676"/>
    <w:rsid w:val="005C29FA"/>
    <w:rsid w:val="005C319D"/>
    <w:rsid w:val="005C371D"/>
    <w:rsid w:val="005C38B6"/>
    <w:rsid w:val="005C417C"/>
    <w:rsid w:val="005C47FE"/>
    <w:rsid w:val="005C4CF7"/>
    <w:rsid w:val="005C4EB4"/>
    <w:rsid w:val="005C4F32"/>
    <w:rsid w:val="005C4F9E"/>
    <w:rsid w:val="005C50DE"/>
    <w:rsid w:val="005C5669"/>
    <w:rsid w:val="005C59AA"/>
    <w:rsid w:val="005C5BB2"/>
    <w:rsid w:val="005C60E9"/>
    <w:rsid w:val="005C6473"/>
    <w:rsid w:val="005C6584"/>
    <w:rsid w:val="005C6713"/>
    <w:rsid w:val="005C6ABB"/>
    <w:rsid w:val="005C6AD7"/>
    <w:rsid w:val="005C6CCE"/>
    <w:rsid w:val="005C6DC0"/>
    <w:rsid w:val="005C71CC"/>
    <w:rsid w:val="005C78DD"/>
    <w:rsid w:val="005C7B9A"/>
    <w:rsid w:val="005C7F6D"/>
    <w:rsid w:val="005D0197"/>
    <w:rsid w:val="005D038C"/>
    <w:rsid w:val="005D047F"/>
    <w:rsid w:val="005D0501"/>
    <w:rsid w:val="005D08D8"/>
    <w:rsid w:val="005D115D"/>
    <w:rsid w:val="005D1179"/>
    <w:rsid w:val="005D12EB"/>
    <w:rsid w:val="005D1490"/>
    <w:rsid w:val="005D16E4"/>
    <w:rsid w:val="005D1B42"/>
    <w:rsid w:val="005D1DC7"/>
    <w:rsid w:val="005D221B"/>
    <w:rsid w:val="005D255B"/>
    <w:rsid w:val="005D2A41"/>
    <w:rsid w:val="005D30BA"/>
    <w:rsid w:val="005D349A"/>
    <w:rsid w:val="005D35CB"/>
    <w:rsid w:val="005D40ED"/>
    <w:rsid w:val="005D42A8"/>
    <w:rsid w:val="005D5019"/>
    <w:rsid w:val="005D50F4"/>
    <w:rsid w:val="005D51DB"/>
    <w:rsid w:val="005D5327"/>
    <w:rsid w:val="005D58FD"/>
    <w:rsid w:val="005D5D94"/>
    <w:rsid w:val="005D647A"/>
    <w:rsid w:val="005D6A6D"/>
    <w:rsid w:val="005D6D00"/>
    <w:rsid w:val="005D6F4B"/>
    <w:rsid w:val="005D79C1"/>
    <w:rsid w:val="005D7C40"/>
    <w:rsid w:val="005E00BD"/>
    <w:rsid w:val="005E0FC4"/>
    <w:rsid w:val="005E1EF3"/>
    <w:rsid w:val="005E26B3"/>
    <w:rsid w:val="005E27AA"/>
    <w:rsid w:val="005E30A7"/>
    <w:rsid w:val="005E3739"/>
    <w:rsid w:val="005E3DA4"/>
    <w:rsid w:val="005E3DA6"/>
    <w:rsid w:val="005E40E0"/>
    <w:rsid w:val="005E41BE"/>
    <w:rsid w:val="005E41C0"/>
    <w:rsid w:val="005E50D7"/>
    <w:rsid w:val="005E5426"/>
    <w:rsid w:val="005E555D"/>
    <w:rsid w:val="005E5DC4"/>
    <w:rsid w:val="005E607E"/>
    <w:rsid w:val="005E65AC"/>
    <w:rsid w:val="005E7188"/>
    <w:rsid w:val="005E7408"/>
    <w:rsid w:val="005E754D"/>
    <w:rsid w:val="005E7593"/>
    <w:rsid w:val="005E7C73"/>
    <w:rsid w:val="005F01D8"/>
    <w:rsid w:val="005F072C"/>
    <w:rsid w:val="005F0D0E"/>
    <w:rsid w:val="005F0DF7"/>
    <w:rsid w:val="005F149F"/>
    <w:rsid w:val="005F15B0"/>
    <w:rsid w:val="005F1879"/>
    <w:rsid w:val="005F1B5A"/>
    <w:rsid w:val="005F2089"/>
    <w:rsid w:val="005F22A7"/>
    <w:rsid w:val="005F2CBF"/>
    <w:rsid w:val="005F3439"/>
    <w:rsid w:val="005F3E3A"/>
    <w:rsid w:val="005F3E51"/>
    <w:rsid w:val="005F4261"/>
    <w:rsid w:val="005F442F"/>
    <w:rsid w:val="005F4784"/>
    <w:rsid w:val="005F4C19"/>
    <w:rsid w:val="005F56AE"/>
    <w:rsid w:val="005F5CDF"/>
    <w:rsid w:val="005F5F8F"/>
    <w:rsid w:val="005F643A"/>
    <w:rsid w:val="005F77BC"/>
    <w:rsid w:val="005F781A"/>
    <w:rsid w:val="006002D8"/>
    <w:rsid w:val="006003BA"/>
    <w:rsid w:val="00600A0C"/>
    <w:rsid w:val="00600B25"/>
    <w:rsid w:val="00601010"/>
    <w:rsid w:val="006011CF"/>
    <w:rsid w:val="00601428"/>
    <w:rsid w:val="006018F8"/>
    <w:rsid w:val="00601C2A"/>
    <w:rsid w:val="0060216E"/>
    <w:rsid w:val="00602E43"/>
    <w:rsid w:val="006034CA"/>
    <w:rsid w:val="00604B22"/>
    <w:rsid w:val="00604B43"/>
    <w:rsid w:val="00605496"/>
    <w:rsid w:val="006058EC"/>
    <w:rsid w:val="00605E6C"/>
    <w:rsid w:val="00606D5C"/>
    <w:rsid w:val="00606FF4"/>
    <w:rsid w:val="00607B49"/>
    <w:rsid w:val="006102A6"/>
    <w:rsid w:val="00610803"/>
    <w:rsid w:val="00611304"/>
    <w:rsid w:val="006115FD"/>
    <w:rsid w:val="0061219C"/>
    <w:rsid w:val="00612344"/>
    <w:rsid w:val="006123DF"/>
    <w:rsid w:val="00612AD8"/>
    <w:rsid w:val="00612EA1"/>
    <w:rsid w:val="006138E1"/>
    <w:rsid w:val="00613F66"/>
    <w:rsid w:val="00614183"/>
    <w:rsid w:val="006142C0"/>
    <w:rsid w:val="006147DC"/>
    <w:rsid w:val="006151A4"/>
    <w:rsid w:val="00615861"/>
    <w:rsid w:val="00615909"/>
    <w:rsid w:val="00615D10"/>
    <w:rsid w:val="00615DF7"/>
    <w:rsid w:val="0061673A"/>
    <w:rsid w:val="0061717F"/>
    <w:rsid w:val="0061725A"/>
    <w:rsid w:val="00617773"/>
    <w:rsid w:val="00617B79"/>
    <w:rsid w:val="00620746"/>
    <w:rsid w:val="00620BC8"/>
    <w:rsid w:val="00620DCD"/>
    <w:rsid w:val="0062105C"/>
    <w:rsid w:val="00621410"/>
    <w:rsid w:val="00621FDB"/>
    <w:rsid w:val="0062265B"/>
    <w:rsid w:val="00622936"/>
    <w:rsid w:val="00622944"/>
    <w:rsid w:val="00622D66"/>
    <w:rsid w:val="00622FED"/>
    <w:rsid w:val="0062385A"/>
    <w:rsid w:val="006238FB"/>
    <w:rsid w:val="00623CFD"/>
    <w:rsid w:val="00623EC4"/>
    <w:rsid w:val="0062411A"/>
    <w:rsid w:val="00624915"/>
    <w:rsid w:val="00624D88"/>
    <w:rsid w:val="0062542B"/>
    <w:rsid w:val="00625DAA"/>
    <w:rsid w:val="00625E48"/>
    <w:rsid w:val="00625F3E"/>
    <w:rsid w:val="00626818"/>
    <w:rsid w:val="006271AA"/>
    <w:rsid w:val="006271CB"/>
    <w:rsid w:val="00627424"/>
    <w:rsid w:val="006278AF"/>
    <w:rsid w:val="0062790C"/>
    <w:rsid w:val="00627EBA"/>
    <w:rsid w:val="00630141"/>
    <w:rsid w:val="0063038B"/>
    <w:rsid w:val="00630767"/>
    <w:rsid w:val="006309C9"/>
    <w:rsid w:val="00630A01"/>
    <w:rsid w:val="006310FD"/>
    <w:rsid w:val="0063113E"/>
    <w:rsid w:val="0063187B"/>
    <w:rsid w:val="0063197A"/>
    <w:rsid w:val="00632415"/>
    <w:rsid w:val="00632663"/>
    <w:rsid w:val="0063271C"/>
    <w:rsid w:val="00632D5B"/>
    <w:rsid w:val="00633471"/>
    <w:rsid w:val="00634494"/>
    <w:rsid w:val="0063454B"/>
    <w:rsid w:val="0063515C"/>
    <w:rsid w:val="006352DA"/>
    <w:rsid w:val="00635642"/>
    <w:rsid w:val="00635BB0"/>
    <w:rsid w:val="00635BC1"/>
    <w:rsid w:val="00635D2D"/>
    <w:rsid w:val="00635FD1"/>
    <w:rsid w:val="006361DD"/>
    <w:rsid w:val="006363A4"/>
    <w:rsid w:val="006369AD"/>
    <w:rsid w:val="00636C69"/>
    <w:rsid w:val="006371ED"/>
    <w:rsid w:val="00637640"/>
    <w:rsid w:val="006405D7"/>
    <w:rsid w:val="006416C6"/>
    <w:rsid w:val="00641DCC"/>
    <w:rsid w:val="0064228D"/>
    <w:rsid w:val="006427BD"/>
    <w:rsid w:val="00642939"/>
    <w:rsid w:val="00642F0E"/>
    <w:rsid w:val="006430AC"/>
    <w:rsid w:val="0064373E"/>
    <w:rsid w:val="006439C0"/>
    <w:rsid w:val="00643B22"/>
    <w:rsid w:val="00643E33"/>
    <w:rsid w:val="0064453D"/>
    <w:rsid w:val="00644DDE"/>
    <w:rsid w:val="00644FD3"/>
    <w:rsid w:val="006453C6"/>
    <w:rsid w:val="00645453"/>
    <w:rsid w:val="00645A33"/>
    <w:rsid w:val="00645ECD"/>
    <w:rsid w:val="00646792"/>
    <w:rsid w:val="00646946"/>
    <w:rsid w:val="006469BE"/>
    <w:rsid w:val="00646E33"/>
    <w:rsid w:val="00646E66"/>
    <w:rsid w:val="0064789A"/>
    <w:rsid w:val="0064798E"/>
    <w:rsid w:val="00647B47"/>
    <w:rsid w:val="006503A9"/>
    <w:rsid w:val="006504A8"/>
    <w:rsid w:val="00650E27"/>
    <w:rsid w:val="006518EF"/>
    <w:rsid w:val="00652529"/>
    <w:rsid w:val="006525B9"/>
    <w:rsid w:val="00652859"/>
    <w:rsid w:val="00652A2F"/>
    <w:rsid w:val="00652C00"/>
    <w:rsid w:val="00653A58"/>
    <w:rsid w:val="00653B56"/>
    <w:rsid w:val="00653E41"/>
    <w:rsid w:val="00653EC0"/>
    <w:rsid w:val="00654271"/>
    <w:rsid w:val="00654F5A"/>
    <w:rsid w:val="00655292"/>
    <w:rsid w:val="0065534F"/>
    <w:rsid w:val="00655C06"/>
    <w:rsid w:val="00656261"/>
    <w:rsid w:val="00656287"/>
    <w:rsid w:val="00656393"/>
    <w:rsid w:val="006565C7"/>
    <w:rsid w:val="00657212"/>
    <w:rsid w:val="00657303"/>
    <w:rsid w:val="0066055C"/>
    <w:rsid w:val="00661363"/>
    <w:rsid w:val="006618E2"/>
    <w:rsid w:val="006619E4"/>
    <w:rsid w:val="006623C8"/>
    <w:rsid w:val="00662552"/>
    <w:rsid w:val="006626CC"/>
    <w:rsid w:val="006627AD"/>
    <w:rsid w:val="00662B0F"/>
    <w:rsid w:val="00663661"/>
    <w:rsid w:val="00663CD6"/>
    <w:rsid w:val="00663DBB"/>
    <w:rsid w:val="006641DB"/>
    <w:rsid w:val="00664D82"/>
    <w:rsid w:val="00664FAA"/>
    <w:rsid w:val="006656BD"/>
    <w:rsid w:val="00666472"/>
    <w:rsid w:val="00666E74"/>
    <w:rsid w:val="006672F2"/>
    <w:rsid w:val="00667EEC"/>
    <w:rsid w:val="0067033F"/>
    <w:rsid w:val="0067140F"/>
    <w:rsid w:val="006720BB"/>
    <w:rsid w:val="00672649"/>
    <w:rsid w:val="00672CDF"/>
    <w:rsid w:val="00672F0E"/>
    <w:rsid w:val="00672F99"/>
    <w:rsid w:val="0067314A"/>
    <w:rsid w:val="00673873"/>
    <w:rsid w:val="00673B23"/>
    <w:rsid w:val="0067419B"/>
    <w:rsid w:val="00674A88"/>
    <w:rsid w:val="00674D44"/>
    <w:rsid w:val="00675718"/>
    <w:rsid w:val="0067594C"/>
    <w:rsid w:val="0067630C"/>
    <w:rsid w:val="006765A5"/>
    <w:rsid w:val="00676BDD"/>
    <w:rsid w:val="00676DD6"/>
    <w:rsid w:val="00676FE8"/>
    <w:rsid w:val="006770BF"/>
    <w:rsid w:val="006771C5"/>
    <w:rsid w:val="00677550"/>
    <w:rsid w:val="006778AB"/>
    <w:rsid w:val="00677DDD"/>
    <w:rsid w:val="006806F0"/>
    <w:rsid w:val="00680BA5"/>
    <w:rsid w:val="00680F0D"/>
    <w:rsid w:val="006815DF"/>
    <w:rsid w:val="00681768"/>
    <w:rsid w:val="0068181D"/>
    <w:rsid w:val="00681B67"/>
    <w:rsid w:val="00682368"/>
    <w:rsid w:val="006835E7"/>
    <w:rsid w:val="00683B1B"/>
    <w:rsid w:val="00683F03"/>
    <w:rsid w:val="00683FF5"/>
    <w:rsid w:val="00683FFB"/>
    <w:rsid w:val="00684ADC"/>
    <w:rsid w:val="00685556"/>
    <w:rsid w:val="00685D63"/>
    <w:rsid w:val="00686054"/>
    <w:rsid w:val="006865A3"/>
    <w:rsid w:val="006869EF"/>
    <w:rsid w:val="00686CDD"/>
    <w:rsid w:val="00686FD4"/>
    <w:rsid w:val="00687204"/>
    <w:rsid w:val="00687E8A"/>
    <w:rsid w:val="006901BC"/>
    <w:rsid w:val="00690A38"/>
    <w:rsid w:val="00691812"/>
    <w:rsid w:val="00691EA1"/>
    <w:rsid w:val="006923D4"/>
    <w:rsid w:val="00692C22"/>
    <w:rsid w:val="00692F62"/>
    <w:rsid w:val="00693613"/>
    <w:rsid w:val="00693634"/>
    <w:rsid w:val="0069495A"/>
    <w:rsid w:val="006954D3"/>
    <w:rsid w:val="00695C3B"/>
    <w:rsid w:val="00695DE0"/>
    <w:rsid w:val="0069608F"/>
    <w:rsid w:val="00696413"/>
    <w:rsid w:val="00696692"/>
    <w:rsid w:val="00696AF6"/>
    <w:rsid w:val="00697403"/>
    <w:rsid w:val="006A0040"/>
    <w:rsid w:val="006A00BE"/>
    <w:rsid w:val="006A0662"/>
    <w:rsid w:val="006A099C"/>
    <w:rsid w:val="006A0CE4"/>
    <w:rsid w:val="006A0E1F"/>
    <w:rsid w:val="006A0EDB"/>
    <w:rsid w:val="006A10DE"/>
    <w:rsid w:val="006A12FD"/>
    <w:rsid w:val="006A180F"/>
    <w:rsid w:val="006A1B0A"/>
    <w:rsid w:val="006A1C83"/>
    <w:rsid w:val="006A294C"/>
    <w:rsid w:val="006A2977"/>
    <w:rsid w:val="006A2B3F"/>
    <w:rsid w:val="006A3740"/>
    <w:rsid w:val="006A37E7"/>
    <w:rsid w:val="006A40DE"/>
    <w:rsid w:val="006A4156"/>
    <w:rsid w:val="006A4AE8"/>
    <w:rsid w:val="006A4EA7"/>
    <w:rsid w:val="006A4FFF"/>
    <w:rsid w:val="006A516F"/>
    <w:rsid w:val="006A57D4"/>
    <w:rsid w:val="006A633E"/>
    <w:rsid w:val="006A6448"/>
    <w:rsid w:val="006A654A"/>
    <w:rsid w:val="006A6B81"/>
    <w:rsid w:val="006A6DB4"/>
    <w:rsid w:val="006A6DF0"/>
    <w:rsid w:val="006A7087"/>
    <w:rsid w:val="006A7251"/>
    <w:rsid w:val="006A742C"/>
    <w:rsid w:val="006A7754"/>
    <w:rsid w:val="006A7AC5"/>
    <w:rsid w:val="006B078C"/>
    <w:rsid w:val="006B0FA4"/>
    <w:rsid w:val="006B111C"/>
    <w:rsid w:val="006B124D"/>
    <w:rsid w:val="006B1480"/>
    <w:rsid w:val="006B19C0"/>
    <w:rsid w:val="006B1B6F"/>
    <w:rsid w:val="006B2719"/>
    <w:rsid w:val="006B29F7"/>
    <w:rsid w:val="006B3752"/>
    <w:rsid w:val="006B3892"/>
    <w:rsid w:val="006B41C3"/>
    <w:rsid w:val="006B4326"/>
    <w:rsid w:val="006B4C44"/>
    <w:rsid w:val="006B4FDA"/>
    <w:rsid w:val="006B53A2"/>
    <w:rsid w:val="006B5468"/>
    <w:rsid w:val="006B55F0"/>
    <w:rsid w:val="006B5B30"/>
    <w:rsid w:val="006B5D00"/>
    <w:rsid w:val="006B6087"/>
    <w:rsid w:val="006B66A4"/>
    <w:rsid w:val="006B6995"/>
    <w:rsid w:val="006B6A26"/>
    <w:rsid w:val="006B71CB"/>
    <w:rsid w:val="006B7263"/>
    <w:rsid w:val="006B72BD"/>
    <w:rsid w:val="006C05ED"/>
    <w:rsid w:val="006C07E9"/>
    <w:rsid w:val="006C120C"/>
    <w:rsid w:val="006C1258"/>
    <w:rsid w:val="006C146B"/>
    <w:rsid w:val="006C295B"/>
    <w:rsid w:val="006C2960"/>
    <w:rsid w:val="006C2C32"/>
    <w:rsid w:val="006C2D06"/>
    <w:rsid w:val="006C2EFB"/>
    <w:rsid w:val="006C38D5"/>
    <w:rsid w:val="006C3D9A"/>
    <w:rsid w:val="006C3FF6"/>
    <w:rsid w:val="006C415A"/>
    <w:rsid w:val="006C487C"/>
    <w:rsid w:val="006C48F3"/>
    <w:rsid w:val="006C4961"/>
    <w:rsid w:val="006C4C80"/>
    <w:rsid w:val="006C4CE9"/>
    <w:rsid w:val="006C4D81"/>
    <w:rsid w:val="006C52D7"/>
    <w:rsid w:val="006C552A"/>
    <w:rsid w:val="006C6516"/>
    <w:rsid w:val="006C65D7"/>
    <w:rsid w:val="006C667C"/>
    <w:rsid w:val="006C694A"/>
    <w:rsid w:val="006C6F82"/>
    <w:rsid w:val="006C7172"/>
    <w:rsid w:val="006C74A5"/>
    <w:rsid w:val="006D0767"/>
    <w:rsid w:val="006D0856"/>
    <w:rsid w:val="006D0F25"/>
    <w:rsid w:val="006D10A8"/>
    <w:rsid w:val="006D1219"/>
    <w:rsid w:val="006D1384"/>
    <w:rsid w:val="006D14B3"/>
    <w:rsid w:val="006D1557"/>
    <w:rsid w:val="006D19CF"/>
    <w:rsid w:val="006D22B4"/>
    <w:rsid w:val="006D2E91"/>
    <w:rsid w:val="006D2EB1"/>
    <w:rsid w:val="006D3086"/>
    <w:rsid w:val="006D3233"/>
    <w:rsid w:val="006D3B1D"/>
    <w:rsid w:val="006D3BFE"/>
    <w:rsid w:val="006D3DD1"/>
    <w:rsid w:val="006D4375"/>
    <w:rsid w:val="006D5839"/>
    <w:rsid w:val="006D5B73"/>
    <w:rsid w:val="006D5F59"/>
    <w:rsid w:val="006D6937"/>
    <w:rsid w:val="006D69A5"/>
    <w:rsid w:val="006D6AF1"/>
    <w:rsid w:val="006D70CB"/>
    <w:rsid w:val="006D77B2"/>
    <w:rsid w:val="006D7BB5"/>
    <w:rsid w:val="006E0049"/>
    <w:rsid w:val="006E0165"/>
    <w:rsid w:val="006E07FA"/>
    <w:rsid w:val="006E12EB"/>
    <w:rsid w:val="006E25A0"/>
    <w:rsid w:val="006E2CAF"/>
    <w:rsid w:val="006E3398"/>
    <w:rsid w:val="006E36C2"/>
    <w:rsid w:val="006E3DD6"/>
    <w:rsid w:val="006E4970"/>
    <w:rsid w:val="006E49EC"/>
    <w:rsid w:val="006E522C"/>
    <w:rsid w:val="006E5589"/>
    <w:rsid w:val="006E5D02"/>
    <w:rsid w:val="006E5D59"/>
    <w:rsid w:val="006E5DE4"/>
    <w:rsid w:val="006E62F3"/>
    <w:rsid w:val="006E65BD"/>
    <w:rsid w:val="006E692D"/>
    <w:rsid w:val="006E6D33"/>
    <w:rsid w:val="006E7038"/>
    <w:rsid w:val="006E72D6"/>
    <w:rsid w:val="006E7961"/>
    <w:rsid w:val="006E7DEB"/>
    <w:rsid w:val="006F052A"/>
    <w:rsid w:val="006F0E09"/>
    <w:rsid w:val="006F15B8"/>
    <w:rsid w:val="006F2417"/>
    <w:rsid w:val="006F27A4"/>
    <w:rsid w:val="006F2817"/>
    <w:rsid w:val="006F2D0A"/>
    <w:rsid w:val="006F2E03"/>
    <w:rsid w:val="006F3711"/>
    <w:rsid w:val="006F4377"/>
    <w:rsid w:val="006F4856"/>
    <w:rsid w:val="006F4958"/>
    <w:rsid w:val="006F5337"/>
    <w:rsid w:val="006F5599"/>
    <w:rsid w:val="006F5746"/>
    <w:rsid w:val="006F66AE"/>
    <w:rsid w:val="006F6919"/>
    <w:rsid w:val="006F6985"/>
    <w:rsid w:val="006F69ED"/>
    <w:rsid w:val="00700135"/>
    <w:rsid w:val="007005B6"/>
    <w:rsid w:val="00700A09"/>
    <w:rsid w:val="00701050"/>
    <w:rsid w:val="00701FFC"/>
    <w:rsid w:val="00702203"/>
    <w:rsid w:val="0070220A"/>
    <w:rsid w:val="007022E3"/>
    <w:rsid w:val="00702F23"/>
    <w:rsid w:val="00703800"/>
    <w:rsid w:val="007044F6"/>
    <w:rsid w:val="007050E6"/>
    <w:rsid w:val="00705E38"/>
    <w:rsid w:val="007061C5"/>
    <w:rsid w:val="007061DF"/>
    <w:rsid w:val="0070620B"/>
    <w:rsid w:val="00706A36"/>
    <w:rsid w:val="00706B39"/>
    <w:rsid w:val="00707249"/>
    <w:rsid w:val="007075A5"/>
    <w:rsid w:val="007076D2"/>
    <w:rsid w:val="00707D4A"/>
    <w:rsid w:val="007104D3"/>
    <w:rsid w:val="007106CA"/>
    <w:rsid w:val="007106D5"/>
    <w:rsid w:val="0071079C"/>
    <w:rsid w:val="00710D8C"/>
    <w:rsid w:val="0071134F"/>
    <w:rsid w:val="00711F0A"/>
    <w:rsid w:val="00712040"/>
    <w:rsid w:val="007126A0"/>
    <w:rsid w:val="0071305A"/>
    <w:rsid w:val="007137E2"/>
    <w:rsid w:val="007138A6"/>
    <w:rsid w:val="007139F1"/>
    <w:rsid w:val="00713D30"/>
    <w:rsid w:val="00714A00"/>
    <w:rsid w:val="00714C6B"/>
    <w:rsid w:val="0071501A"/>
    <w:rsid w:val="00715122"/>
    <w:rsid w:val="00715597"/>
    <w:rsid w:val="007164D9"/>
    <w:rsid w:val="007165B6"/>
    <w:rsid w:val="00716C40"/>
    <w:rsid w:val="00716DCF"/>
    <w:rsid w:val="00717250"/>
    <w:rsid w:val="007173ED"/>
    <w:rsid w:val="00717C82"/>
    <w:rsid w:val="0072010A"/>
    <w:rsid w:val="007202C0"/>
    <w:rsid w:val="007204D6"/>
    <w:rsid w:val="0072084F"/>
    <w:rsid w:val="007211FC"/>
    <w:rsid w:val="00721338"/>
    <w:rsid w:val="0072142C"/>
    <w:rsid w:val="00722080"/>
    <w:rsid w:val="007224E5"/>
    <w:rsid w:val="007225D5"/>
    <w:rsid w:val="007225D6"/>
    <w:rsid w:val="00722C94"/>
    <w:rsid w:val="00723023"/>
    <w:rsid w:val="00723819"/>
    <w:rsid w:val="00723B45"/>
    <w:rsid w:val="00723E1F"/>
    <w:rsid w:val="00723F6B"/>
    <w:rsid w:val="007245FE"/>
    <w:rsid w:val="00724A88"/>
    <w:rsid w:val="00724CA1"/>
    <w:rsid w:val="00724E6C"/>
    <w:rsid w:val="0072525F"/>
    <w:rsid w:val="0072526F"/>
    <w:rsid w:val="007253BB"/>
    <w:rsid w:val="00725722"/>
    <w:rsid w:val="00725C35"/>
    <w:rsid w:val="007269A6"/>
    <w:rsid w:val="00726B5B"/>
    <w:rsid w:val="007270D2"/>
    <w:rsid w:val="007271E2"/>
    <w:rsid w:val="0072740D"/>
    <w:rsid w:val="00727A97"/>
    <w:rsid w:val="00727DC5"/>
    <w:rsid w:val="00727ED8"/>
    <w:rsid w:val="00730338"/>
    <w:rsid w:val="00730693"/>
    <w:rsid w:val="00730D80"/>
    <w:rsid w:val="00731AAB"/>
    <w:rsid w:val="00731C3A"/>
    <w:rsid w:val="0073233E"/>
    <w:rsid w:val="0073294A"/>
    <w:rsid w:val="00732952"/>
    <w:rsid w:val="00732F00"/>
    <w:rsid w:val="007336DC"/>
    <w:rsid w:val="007340C4"/>
    <w:rsid w:val="007349EA"/>
    <w:rsid w:val="00734F94"/>
    <w:rsid w:val="007350A8"/>
    <w:rsid w:val="007350E8"/>
    <w:rsid w:val="00735929"/>
    <w:rsid w:val="00735962"/>
    <w:rsid w:val="0073648E"/>
    <w:rsid w:val="00736F2C"/>
    <w:rsid w:val="00736F7D"/>
    <w:rsid w:val="0073703A"/>
    <w:rsid w:val="0073719C"/>
    <w:rsid w:val="00737C43"/>
    <w:rsid w:val="007406CE"/>
    <w:rsid w:val="00740CA0"/>
    <w:rsid w:val="00741003"/>
    <w:rsid w:val="007414C7"/>
    <w:rsid w:val="00742059"/>
    <w:rsid w:val="00742274"/>
    <w:rsid w:val="00742E7D"/>
    <w:rsid w:val="00742F9D"/>
    <w:rsid w:val="0074301E"/>
    <w:rsid w:val="007433E2"/>
    <w:rsid w:val="00743764"/>
    <w:rsid w:val="007439CB"/>
    <w:rsid w:val="00743DE5"/>
    <w:rsid w:val="00743F6E"/>
    <w:rsid w:val="0074438D"/>
    <w:rsid w:val="00744E38"/>
    <w:rsid w:val="00745233"/>
    <w:rsid w:val="00745528"/>
    <w:rsid w:val="007457FA"/>
    <w:rsid w:val="00745BC4"/>
    <w:rsid w:val="00745BD7"/>
    <w:rsid w:val="007460FB"/>
    <w:rsid w:val="0074642E"/>
    <w:rsid w:val="00746A07"/>
    <w:rsid w:val="00746FB0"/>
    <w:rsid w:val="007475F5"/>
    <w:rsid w:val="007478CE"/>
    <w:rsid w:val="00747D46"/>
    <w:rsid w:val="00747FBA"/>
    <w:rsid w:val="00750284"/>
    <w:rsid w:val="00750A50"/>
    <w:rsid w:val="00750AE9"/>
    <w:rsid w:val="007511BC"/>
    <w:rsid w:val="0075132D"/>
    <w:rsid w:val="0075211A"/>
    <w:rsid w:val="00752940"/>
    <w:rsid w:val="00752A33"/>
    <w:rsid w:val="00752C7B"/>
    <w:rsid w:val="00753128"/>
    <w:rsid w:val="007533D7"/>
    <w:rsid w:val="007534A2"/>
    <w:rsid w:val="007534AA"/>
    <w:rsid w:val="007534F0"/>
    <w:rsid w:val="00754597"/>
    <w:rsid w:val="007551C2"/>
    <w:rsid w:val="00755450"/>
    <w:rsid w:val="00755726"/>
    <w:rsid w:val="00755B29"/>
    <w:rsid w:val="007560D0"/>
    <w:rsid w:val="00756107"/>
    <w:rsid w:val="00756191"/>
    <w:rsid w:val="00756195"/>
    <w:rsid w:val="00757B40"/>
    <w:rsid w:val="00757C47"/>
    <w:rsid w:val="00757EB3"/>
    <w:rsid w:val="00757EFF"/>
    <w:rsid w:val="00757F40"/>
    <w:rsid w:val="00760589"/>
    <w:rsid w:val="00760884"/>
    <w:rsid w:val="00760EAE"/>
    <w:rsid w:val="0076133A"/>
    <w:rsid w:val="00761B8E"/>
    <w:rsid w:val="00761CDF"/>
    <w:rsid w:val="00762431"/>
    <w:rsid w:val="0076285E"/>
    <w:rsid w:val="00762931"/>
    <w:rsid w:val="00762AD5"/>
    <w:rsid w:val="00763369"/>
    <w:rsid w:val="00763462"/>
    <w:rsid w:val="00764784"/>
    <w:rsid w:val="007651F5"/>
    <w:rsid w:val="0076569A"/>
    <w:rsid w:val="00765B1D"/>
    <w:rsid w:val="00765BFA"/>
    <w:rsid w:val="00765E06"/>
    <w:rsid w:val="00765EAC"/>
    <w:rsid w:val="00766046"/>
    <w:rsid w:val="00766054"/>
    <w:rsid w:val="00766937"/>
    <w:rsid w:val="0076705F"/>
    <w:rsid w:val="0076748C"/>
    <w:rsid w:val="00767991"/>
    <w:rsid w:val="00770228"/>
    <w:rsid w:val="00770387"/>
    <w:rsid w:val="007705A0"/>
    <w:rsid w:val="00770A1A"/>
    <w:rsid w:val="00771177"/>
    <w:rsid w:val="00771631"/>
    <w:rsid w:val="007716F5"/>
    <w:rsid w:val="00771CA3"/>
    <w:rsid w:val="00772459"/>
    <w:rsid w:val="00772751"/>
    <w:rsid w:val="00772B15"/>
    <w:rsid w:val="007730F5"/>
    <w:rsid w:val="0077325B"/>
    <w:rsid w:val="0077346C"/>
    <w:rsid w:val="0077392B"/>
    <w:rsid w:val="00773ED4"/>
    <w:rsid w:val="00774648"/>
    <w:rsid w:val="007746C6"/>
    <w:rsid w:val="0077557E"/>
    <w:rsid w:val="00775795"/>
    <w:rsid w:val="007758B5"/>
    <w:rsid w:val="00775C1E"/>
    <w:rsid w:val="0077701D"/>
    <w:rsid w:val="00777211"/>
    <w:rsid w:val="007773F0"/>
    <w:rsid w:val="0077795C"/>
    <w:rsid w:val="00777A43"/>
    <w:rsid w:val="00777DF6"/>
    <w:rsid w:val="007805F8"/>
    <w:rsid w:val="0078074A"/>
    <w:rsid w:val="00780A92"/>
    <w:rsid w:val="00780E57"/>
    <w:rsid w:val="00781584"/>
    <w:rsid w:val="00781ADA"/>
    <w:rsid w:val="0078210E"/>
    <w:rsid w:val="0078223E"/>
    <w:rsid w:val="0078228C"/>
    <w:rsid w:val="007825C7"/>
    <w:rsid w:val="007827EA"/>
    <w:rsid w:val="007829A8"/>
    <w:rsid w:val="00782C8B"/>
    <w:rsid w:val="0078326B"/>
    <w:rsid w:val="00783A91"/>
    <w:rsid w:val="00783CE4"/>
    <w:rsid w:val="007841B8"/>
    <w:rsid w:val="007841EE"/>
    <w:rsid w:val="007844AD"/>
    <w:rsid w:val="007846D2"/>
    <w:rsid w:val="00784BE1"/>
    <w:rsid w:val="007859B0"/>
    <w:rsid w:val="00785B9F"/>
    <w:rsid w:val="00785D60"/>
    <w:rsid w:val="0078667C"/>
    <w:rsid w:val="00786AB0"/>
    <w:rsid w:val="007870C9"/>
    <w:rsid w:val="00787310"/>
    <w:rsid w:val="00787425"/>
    <w:rsid w:val="00787518"/>
    <w:rsid w:val="007875FC"/>
    <w:rsid w:val="00787A8B"/>
    <w:rsid w:val="007905F9"/>
    <w:rsid w:val="00790CAC"/>
    <w:rsid w:val="00790E2F"/>
    <w:rsid w:val="007910F2"/>
    <w:rsid w:val="007918EB"/>
    <w:rsid w:val="0079268E"/>
    <w:rsid w:val="007928B4"/>
    <w:rsid w:val="00792E10"/>
    <w:rsid w:val="007933D8"/>
    <w:rsid w:val="0079368F"/>
    <w:rsid w:val="00793C77"/>
    <w:rsid w:val="00793EC4"/>
    <w:rsid w:val="0079477A"/>
    <w:rsid w:val="00794ABA"/>
    <w:rsid w:val="00794AE6"/>
    <w:rsid w:val="0079571C"/>
    <w:rsid w:val="007959FE"/>
    <w:rsid w:val="00795E98"/>
    <w:rsid w:val="00795E9F"/>
    <w:rsid w:val="00796364"/>
    <w:rsid w:val="00796971"/>
    <w:rsid w:val="00796DA4"/>
    <w:rsid w:val="00797110"/>
    <w:rsid w:val="007977B7"/>
    <w:rsid w:val="007978C9"/>
    <w:rsid w:val="00797923"/>
    <w:rsid w:val="007A08F1"/>
    <w:rsid w:val="007A0B81"/>
    <w:rsid w:val="007A0CE7"/>
    <w:rsid w:val="007A12A4"/>
    <w:rsid w:val="007A22C4"/>
    <w:rsid w:val="007A2435"/>
    <w:rsid w:val="007A2AC2"/>
    <w:rsid w:val="007A2BD4"/>
    <w:rsid w:val="007A3E90"/>
    <w:rsid w:val="007A3E95"/>
    <w:rsid w:val="007A3FC3"/>
    <w:rsid w:val="007A4C68"/>
    <w:rsid w:val="007A50AC"/>
    <w:rsid w:val="007A533E"/>
    <w:rsid w:val="007A5CB5"/>
    <w:rsid w:val="007A605F"/>
    <w:rsid w:val="007A6318"/>
    <w:rsid w:val="007A6A92"/>
    <w:rsid w:val="007A79D6"/>
    <w:rsid w:val="007A7BB9"/>
    <w:rsid w:val="007A7F81"/>
    <w:rsid w:val="007A7F84"/>
    <w:rsid w:val="007A7FB1"/>
    <w:rsid w:val="007A7FD9"/>
    <w:rsid w:val="007B03FB"/>
    <w:rsid w:val="007B0CF0"/>
    <w:rsid w:val="007B1CD2"/>
    <w:rsid w:val="007B1D35"/>
    <w:rsid w:val="007B244A"/>
    <w:rsid w:val="007B2A07"/>
    <w:rsid w:val="007B32EA"/>
    <w:rsid w:val="007B339A"/>
    <w:rsid w:val="007B3C62"/>
    <w:rsid w:val="007B3E51"/>
    <w:rsid w:val="007B42B9"/>
    <w:rsid w:val="007B43DE"/>
    <w:rsid w:val="007B5E8D"/>
    <w:rsid w:val="007B5F7F"/>
    <w:rsid w:val="007B5FAD"/>
    <w:rsid w:val="007B7011"/>
    <w:rsid w:val="007B76FC"/>
    <w:rsid w:val="007C026A"/>
    <w:rsid w:val="007C0306"/>
    <w:rsid w:val="007C0BA2"/>
    <w:rsid w:val="007C0DC1"/>
    <w:rsid w:val="007C18FD"/>
    <w:rsid w:val="007C2003"/>
    <w:rsid w:val="007C2836"/>
    <w:rsid w:val="007C2C40"/>
    <w:rsid w:val="007C2F11"/>
    <w:rsid w:val="007C3A5A"/>
    <w:rsid w:val="007C3A87"/>
    <w:rsid w:val="007C43C5"/>
    <w:rsid w:val="007C49C5"/>
    <w:rsid w:val="007C4F6D"/>
    <w:rsid w:val="007C5905"/>
    <w:rsid w:val="007C6F22"/>
    <w:rsid w:val="007C744E"/>
    <w:rsid w:val="007C7455"/>
    <w:rsid w:val="007C7515"/>
    <w:rsid w:val="007C7AB4"/>
    <w:rsid w:val="007C7D68"/>
    <w:rsid w:val="007D04CF"/>
    <w:rsid w:val="007D1295"/>
    <w:rsid w:val="007D1D3C"/>
    <w:rsid w:val="007D1D44"/>
    <w:rsid w:val="007D1EF0"/>
    <w:rsid w:val="007D2220"/>
    <w:rsid w:val="007D2460"/>
    <w:rsid w:val="007D24DC"/>
    <w:rsid w:val="007D2C11"/>
    <w:rsid w:val="007D3948"/>
    <w:rsid w:val="007D3B70"/>
    <w:rsid w:val="007D3D16"/>
    <w:rsid w:val="007D5587"/>
    <w:rsid w:val="007D5D26"/>
    <w:rsid w:val="007D6084"/>
    <w:rsid w:val="007D60C5"/>
    <w:rsid w:val="007D61BF"/>
    <w:rsid w:val="007D6694"/>
    <w:rsid w:val="007D7085"/>
    <w:rsid w:val="007D7A52"/>
    <w:rsid w:val="007E0E19"/>
    <w:rsid w:val="007E1217"/>
    <w:rsid w:val="007E1338"/>
    <w:rsid w:val="007E199C"/>
    <w:rsid w:val="007E19C2"/>
    <w:rsid w:val="007E1D61"/>
    <w:rsid w:val="007E2422"/>
    <w:rsid w:val="007E287D"/>
    <w:rsid w:val="007E2FDC"/>
    <w:rsid w:val="007E306E"/>
    <w:rsid w:val="007E3378"/>
    <w:rsid w:val="007E34F4"/>
    <w:rsid w:val="007E34FA"/>
    <w:rsid w:val="007E3618"/>
    <w:rsid w:val="007E38FA"/>
    <w:rsid w:val="007E3FC7"/>
    <w:rsid w:val="007E47B3"/>
    <w:rsid w:val="007E4EFD"/>
    <w:rsid w:val="007E5100"/>
    <w:rsid w:val="007E5987"/>
    <w:rsid w:val="007E5E19"/>
    <w:rsid w:val="007E65E4"/>
    <w:rsid w:val="007E66BE"/>
    <w:rsid w:val="007E728A"/>
    <w:rsid w:val="007E769B"/>
    <w:rsid w:val="007E7F7A"/>
    <w:rsid w:val="007F0504"/>
    <w:rsid w:val="007F080C"/>
    <w:rsid w:val="007F13B5"/>
    <w:rsid w:val="007F13BC"/>
    <w:rsid w:val="007F15C2"/>
    <w:rsid w:val="007F1969"/>
    <w:rsid w:val="007F1B8B"/>
    <w:rsid w:val="007F1CD1"/>
    <w:rsid w:val="007F25A8"/>
    <w:rsid w:val="007F264B"/>
    <w:rsid w:val="007F35AF"/>
    <w:rsid w:val="007F3776"/>
    <w:rsid w:val="007F3BBC"/>
    <w:rsid w:val="007F3E78"/>
    <w:rsid w:val="007F43A9"/>
    <w:rsid w:val="007F516E"/>
    <w:rsid w:val="007F5244"/>
    <w:rsid w:val="007F5F2F"/>
    <w:rsid w:val="007F7386"/>
    <w:rsid w:val="00800D9E"/>
    <w:rsid w:val="00802155"/>
    <w:rsid w:val="008022EB"/>
    <w:rsid w:val="00803963"/>
    <w:rsid w:val="008039C1"/>
    <w:rsid w:val="008039F6"/>
    <w:rsid w:val="00803B8B"/>
    <w:rsid w:val="00804042"/>
    <w:rsid w:val="008040D5"/>
    <w:rsid w:val="0080452D"/>
    <w:rsid w:val="00804EBF"/>
    <w:rsid w:val="00804ED7"/>
    <w:rsid w:val="0080547D"/>
    <w:rsid w:val="00805517"/>
    <w:rsid w:val="00805FAA"/>
    <w:rsid w:val="008067FF"/>
    <w:rsid w:val="00806B15"/>
    <w:rsid w:val="00806BCF"/>
    <w:rsid w:val="0080706D"/>
    <w:rsid w:val="008078D7"/>
    <w:rsid w:val="00807BA5"/>
    <w:rsid w:val="00807DCD"/>
    <w:rsid w:val="008109A0"/>
    <w:rsid w:val="008109A2"/>
    <w:rsid w:val="008120DF"/>
    <w:rsid w:val="0081238D"/>
    <w:rsid w:val="0081251C"/>
    <w:rsid w:val="00812741"/>
    <w:rsid w:val="008128C8"/>
    <w:rsid w:val="00812A03"/>
    <w:rsid w:val="0081326E"/>
    <w:rsid w:val="00813367"/>
    <w:rsid w:val="0081352D"/>
    <w:rsid w:val="00814514"/>
    <w:rsid w:val="00814A68"/>
    <w:rsid w:val="00814DD1"/>
    <w:rsid w:val="00814DD7"/>
    <w:rsid w:val="008161B8"/>
    <w:rsid w:val="008167FA"/>
    <w:rsid w:val="008171BA"/>
    <w:rsid w:val="008174E5"/>
    <w:rsid w:val="00817738"/>
    <w:rsid w:val="00817E7E"/>
    <w:rsid w:val="008208C4"/>
    <w:rsid w:val="00821018"/>
    <w:rsid w:val="00821A6F"/>
    <w:rsid w:val="00821BC6"/>
    <w:rsid w:val="008232CA"/>
    <w:rsid w:val="00823629"/>
    <w:rsid w:val="0082397E"/>
    <w:rsid w:val="00823F4E"/>
    <w:rsid w:val="008246C4"/>
    <w:rsid w:val="00824B5A"/>
    <w:rsid w:val="00825A71"/>
    <w:rsid w:val="00825B67"/>
    <w:rsid w:val="00825C56"/>
    <w:rsid w:val="00825EB6"/>
    <w:rsid w:val="008261C2"/>
    <w:rsid w:val="008268E2"/>
    <w:rsid w:val="0082704A"/>
    <w:rsid w:val="00827407"/>
    <w:rsid w:val="00827E17"/>
    <w:rsid w:val="00827F3C"/>
    <w:rsid w:val="008301B4"/>
    <w:rsid w:val="00831A3D"/>
    <w:rsid w:val="00831BD6"/>
    <w:rsid w:val="008325F9"/>
    <w:rsid w:val="008326E4"/>
    <w:rsid w:val="008330F9"/>
    <w:rsid w:val="0083336A"/>
    <w:rsid w:val="008337A7"/>
    <w:rsid w:val="0083410C"/>
    <w:rsid w:val="0083416F"/>
    <w:rsid w:val="0083463E"/>
    <w:rsid w:val="00834671"/>
    <w:rsid w:val="00834A58"/>
    <w:rsid w:val="00834AB9"/>
    <w:rsid w:val="00834C83"/>
    <w:rsid w:val="00834CBB"/>
    <w:rsid w:val="00835C0A"/>
    <w:rsid w:val="0083685F"/>
    <w:rsid w:val="008371DE"/>
    <w:rsid w:val="00837454"/>
    <w:rsid w:val="00837759"/>
    <w:rsid w:val="008377F6"/>
    <w:rsid w:val="00837831"/>
    <w:rsid w:val="00837BFC"/>
    <w:rsid w:val="008407DB"/>
    <w:rsid w:val="00840D8A"/>
    <w:rsid w:val="0084161A"/>
    <w:rsid w:val="008419E1"/>
    <w:rsid w:val="0084200B"/>
    <w:rsid w:val="0084220B"/>
    <w:rsid w:val="0084227E"/>
    <w:rsid w:val="008428BB"/>
    <w:rsid w:val="008429F8"/>
    <w:rsid w:val="00842CAA"/>
    <w:rsid w:val="00842F37"/>
    <w:rsid w:val="00843975"/>
    <w:rsid w:val="00843C2E"/>
    <w:rsid w:val="00843CFF"/>
    <w:rsid w:val="00843D03"/>
    <w:rsid w:val="008447D0"/>
    <w:rsid w:val="00844820"/>
    <w:rsid w:val="00845742"/>
    <w:rsid w:val="00845BF0"/>
    <w:rsid w:val="00847138"/>
    <w:rsid w:val="00847B4F"/>
    <w:rsid w:val="008509A2"/>
    <w:rsid w:val="00851278"/>
    <w:rsid w:val="00851932"/>
    <w:rsid w:val="00851B89"/>
    <w:rsid w:val="008534B9"/>
    <w:rsid w:val="00853711"/>
    <w:rsid w:val="0085374E"/>
    <w:rsid w:val="00853773"/>
    <w:rsid w:val="00853B9D"/>
    <w:rsid w:val="00853D87"/>
    <w:rsid w:val="00853ED1"/>
    <w:rsid w:val="00854979"/>
    <w:rsid w:val="00854CB5"/>
    <w:rsid w:val="008550B1"/>
    <w:rsid w:val="00855171"/>
    <w:rsid w:val="00855394"/>
    <w:rsid w:val="00855779"/>
    <w:rsid w:val="0085595F"/>
    <w:rsid w:val="00856A42"/>
    <w:rsid w:val="00856DC5"/>
    <w:rsid w:val="0086054C"/>
    <w:rsid w:val="00860CC1"/>
    <w:rsid w:val="00860FDA"/>
    <w:rsid w:val="008612A0"/>
    <w:rsid w:val="00861820"/>
    <w:rsid w:val="00861BB3"/>
    <w:rsid w:val="0086219B"/>
    <w:rsid w:val="00862610"/>
    <w:rsid w:val="008631DB"/>
    <w:rsid w:val="00863B29"/>
    <w:rsid w:val="00863CCE"/>
    <w:rsid w:val="00863D38"/>
    <w:rsid w:val="008645CB"/>
    <w:rsid w:val="00864C01"/>
    <w:rsid w:val="00864C0F"/>
    <w:rsid w:val="00864D9E"/>
    <w:rsid w:val="00864E12"/>
    <w:rsid w:val="00865A32"/>
    <w:rsid w:val="00865AFD"/>
    <w:rsid w:val="0086601C"/>
    <w:rsid w:val="0086677C"/>
    <w:rsid w:val="00866AED"/>
    <w:rsid w:val="00866F5E"/>
    <w:rsid w:val="008671A9"/>
    <w:rsid w:val="00867387"/>
    <w:rsid w:val="008678EE"/>
    <w:rsid w:val="00867FD4"/>
    <w:rsid w:val="0087051A"/>
    <w:rsid w:val="00870906"/>
    <w:rsid w:val="00870BA2"/>
    <w:rsid w:val="00870BAE"/>
    <w:rsid w:val="00870FF5"/>
    <w:rsid w:val="0087155D"/>
    <w:rsid w:val="008718AB"/>
    <w:rsid w:val="00871AD8"/>
    <w:rsid w:val="008721C5"/>
    <w:rsid w:val="008723F1"/>
    <w:rsid w:val="00872537"/>
    <w:rsid w:val="00873193"/>
    <w:rsid w:val="0087345F"/>
    <w:rsid w:val="00873C76"/>
    <w:rsid w:val="008741DC"/>
    <w:rsid w:val="00874286"/>
    <w:rsid w:val="00874593"/>
    <w:rsid w:val="0087467E"/>
    <w:rsid w:val="008747CE"/>
    <w:rsid w:val="008748E5"/>
    <w:rsid w:val="0087535E"/>
    <w:rsid w:val="0087567A"/>
    <w:rsid w:val="008764C4"/>
    <w:rsid w:val="00876576"/>
    <w:rsid w:val="008765A9"/>
    <w:rsid w:val="008769AC"/>
    <w:rsid w:val="00876EFF"/>
    <w:rsid w:val="008773DD"/>
    <w:rsid w:val="008776FF"/>
    <w:rsid w:val="0088014A"/>
    <w:rsid w:val="00880557"/>
    <w:rsid w:val="00880592"/>
    <w:rsid w:val="00880DFD"/>
    <w:rsid w:val="00881974"/>
    <w:rsid w:val="00881BE1"/>
    <w:rsid w:val="008826DF"/>
    <w:rsid w:val="00882C4C"/>
    <w:rsid w:val="008838DA"/>
    <w:rsid w:val="00883E46"/>
    <w:rsid w:val="00884C95"/>
    <w:rsid w:val="00884E47"/>
    <w:rsid w:val="0088563C"/>
    <w:rsid w:val="00885AC2"/>
    <w:rsid w:val="0088607E"/>
    <w:rsid w:val="0088664D"/>
    <w:rsid w:val="008866E2"/>
    <w:rsid w:val="00886DED"/>
    <w:rsid w:val="00886F99"/>
    <w:rsid w:val="00887372"/>
    <w:rsid w:val="00887383"/>
    <w:rsid w:val="0088763E"/>
    <w:rsid w:val="00887714"/>
    <w:rsid w:val="00887AA9"/>
    <w:rsid w:val="00887D76"/>
    <w:rsid w:val="00887FC4"/>
    <w:rsid w:val="00890448"/>
    <w:rsid w:val="0089044F"/>
    <w:rsid w:val="00890826"/>
    <w:rsid w:val="00890AEE"/>
    <w:rsid w:val="00890B31"/>
    <w:rsid w:val="00890D89"/>
    <w:rsid w:val="00891003"/>
    <w:rsid w:val="00891582"/>
    <w:rsid w:val="00891682"/>
    <w:rsid w:val="00891B29"/>
    <w:rsid w:val="00891B4F"/>
    <w:rsid w:val="0089222E"/>
    <w:rsid w:val="0089230F"/>
    <w:rsid w:val="00892E8C"/>
    <w:rsid w:val="008939F1"/>
    <w:rsid w:val="00893F5B"/>
    <w:rsid w:val="00895313"/>
    <w:rsid w:val="008966DD"/>
    <w:rsid w:val="00896D36"/>
    <w:rsid w:val="00896E8B"/>
    <w:rsid w:val="008976E0"/>
    <w:rsid w:val="00897FD0"/>
    <w:rsid w:val="008A0E3B"/>
    <w:rsid w:val="008A1D62"/>
    <w:rsid w:val="008A1DE6"/>
    <w:rsid w:val="008A22F5"/>
    <w:rsid w:val="008A2422"/>
    <w:rsid w:val="008A2C0F"/>
    <w:rsid w:val="008A33EC"/>
    <w:rsid w:val="008A3CE0"/>
    <w:rsid w:val="008A41EE"/>
    <w:rsid w:val="008A43C9"/>
    <w:rsid w:val="008A4579"/>
    <w:rsid w:val="008A45A3"/>
    <w:rsid w:val="008A4FC2"/>
    <w:rsid w:val="008A52D6"/>
    <w:rsid w:val="008A544E"/>
    <w:rsid w:val="008A5AF9"/>
    <w:rsid w:val="008A6FDC"/>
    <w:rsid w:val="008A75C7"/>
    <w:rsid w:val="008B0258"/>
    <w:rsid w:val="008B0317"/>
    <w:rsid w:val="008B044A"/>
    <w:rsid w:val="008B0B06"/>
    <w:rsid w:val="008B10BD"/>
    <w:rsid w:val="008B11A0"/>
    <w:rsid w:val="008B1254"/>
    <w:rsid w:val="008B12D6"/>
    <w:rsid w:val="008B1778"/>
    <w:rsid w:val="008B1EE4"/>
    <w:rsid w:val="008B2355"/>
    <w:rsid w:val="008B249C"/>
    <w:rsid w:val="008B2DE8"/>
    <w:rsid w:val="008B2E8E"/>
    <w:rsid w:val="008B315D"/>
    <w:rsid w:val="008B3AA1"/>
    <w:rsid w:val="008B3ED4"/>
    <w:rsid w:val="008B3FBB"/>
    <w:rsid w:val="008B4D87"/>
    <w:rsid w:val="008B5321"/>
    <w:rsid w:val="008B58FA"/>
    <w:rsid w:val="008B5DCC"/>
    <w:rsid w:val="008B5F88"/>
    <w:rsid w:val="008B6217"/>
    <w:rsid w:val="008B6241"/>
    <w:rsid w:val="008B7419"/>
    <w:rsid w:val="008B7F15"/>
    <w:rsid w:val="008C0456"/>
    <w:rsid w:val="008C08A8"/>
    <w:rsid w:val="008C0A46"/>
    <w:rsid w:val="008C189F"/>
    <w:rsid w:val="008C18B9"/>
    <w:rsid w:val="008C1904"/>
    <w:rsid w:val="008C1BE5"/>
    <w:rsid w:val="008C1BED"/>
    <w:rsid w:val="008C1C9A"/>
    <w:rsid w:val="008C26E4"/>
    <w:rsid w:val="008C3D36"/>
    <w:rsid w:val="008C3F7E"/>
    <w:rsid w:val="008C44E1"/>
    <w:rsid w:val="008C4D49"/>
    <w:rsid w:val="008C501A"/>
    <w:rsid w:val="008C55A1"/>
    <w:rsid w:val="008C66D3"/>
    <w:rsid w:val="008C76F4"/>
    <w:rsid w:val="008D010D"/>
    <w:rsid w:val="008D027D"/>
    <w:rsid w:val="008D041F"/>
    <w:rsid w:val="008D0454"/>
    <w:rsid w:val="008D0C39"/>
    <w:rsid w:val="008D0E9A"/>
    <w:rsid w:val="008D0EAB"/>
    <w:rsid w:val="008D1311"/>
    <w:rsid w:val="008D1676"/>
    <w:rsid w:val="008D216C"/>
    <w:rsid w:val="008D21D9"/>
    <w:rsid w:val="008D21F2"/>
    <w:rsid w:val="008D2463"/>
    <w:rsid w:val="008D2F22"/>
    <w:rsid w:val="008D32B4"/>
    <w:rsid w:val="008D38BF"/>
    <w:rsid w:val="008D3AC2"/>
    <w:rsid w:val="008D44FC"/>
    <w:rsid w:val="008D44FD"/>
    <w:rsid w:val="008D4737"/>
    <w:rsid w:val="008D47CF"/>
    <w:rsid w:val="008D4CE2"/>
    <w:rsid w:val="008D58B9"/>
    <w:rsid w:val="008D612D"/>
    <w:rsid w:val="008D65D9"/>
    <w:rsid w:val="008D677A"/>
    <w:rsid w:val="008D68B2"/>
    <w:rsid w:val="008D6A0B"/>
    <w:rsid w:val="008D6BFF"/>
    <w:rsid w:val="008D7801"/>
    <w:rsid w:val="008D7823"/>
    <w:rsid w:val="008D7D57"/>
    <w:rsid w:val="008E0BF5"/>
    <w:rsid w:val="008E123E"/>
    <w:rsid w:val="008E13A0"/>
    <w:rsid w:val="008E1A30"/>
    <w:rsid w:val="008E256D"/>
    <w:rsid w:val="008E2B72"/>
    <w:rsid w:val="008E2F39"/>
    <w:rsid w:val="008E3609"/>
    <w:rsid w:val="008E3A79"/>
    <w:rsid w:val="008E3B41"/>
    <w:rsid w:val="008E40BA"/>
    <w:rsid w:val="008E4355"/>
    <w:rsid w:val="008E4731"/>
    <w:rsid w:val="008E4B0C"/>
    <w:rsid w:val="008E4CB4"/>
    <w:rsid w:val="008E4DCD"/>
    <w:rsid w:val="008E5F15"/>
    <w:rsid w:val="008E616B"/>
    <w:rsid w:val="008E648C"/>
    <w:rsid w:val="008E7477"/>
    <w:rsid w:val="008F019E"/>
    <w:rsid w:val="008F01AD"/>
    <w:rsid w:val="008F0648"/>
    <w:rsid w:val="008F0956"/>
    <w:rsid w:val="008F0CF9"/>
    <w:rsid w:val="008F11A8"/>
    <w:rsid w:val="008F1930"/>
    <w:rsid w:val="008F22AB"/>
    <w:rsid w:val="008F2680"/>
    <w:rsid w:val="008F2797"/>
    <w:rsid w:val="008F2849"/>
    <w:rsid w:val="008F28FE"/>
    <w:rsid w:val="008F29BE"/>
    <w:rsid w:val="008F31DB"/>
    <w:rsid w:val="008F3D96"/>
    <w:rsid w:val="008F42F7"/>
    <w:rsid w:val="008F456A"/>
    <w:rsid w:val="008F4668"/>
    <w:rsid w:val="008F50B4"/>
    <w:rsid w:val="008F5B28"/>
    <w:rsid w:val="008F5C0B"/>
    <w:rsid w:val="008F5E41"/>
    <w:rsid w:val="008F5E8D"/>
    <w:rsid w:val="008F615F"/>
    <w:rsid w:val="008F6322"/>
    <w:rsid w:val="008F6547"/>
    <w:rsid w:val="008F65A7"/>
    <w:rsid w:val="008F6868"/>
    <w:rsid w:val="008F6C30"/>
    <w:rsid w:val="008F71BD"/>
    <w:rsid w:val="008F79F7"/>
    <w:rsid w:val="008F7D0F"/>
    <w:rsid w:val="008F7FB4"/>
    <w:rsid w:val="009010DF"/>
    <w:rsid w:val="00901103"/>
    <w:rsid w:val="009011AD"/>
    <w:rsid w:val="00901862"/>
    <w:rsid w:val="00902024"/>
    <w:rsid w:val="0090245C"/>
    <w:rsid w:val="00902537"/>
    <w:rsid w:val="00902584"/>
    <w:rsid w:val="00902725"/>
    <w:rsid w:val="009031F0"/>
    <w:rsid w:val="00903314"/>
    <w:rsid w:val="00903569"/>
    <w:rsid w:val="00903B9D"/>
    <w:rsid w:val="009040DF"/>
    <w:rsid w:val="00904898"/>
    <w:rsid w:val="0090490D"/>
    <w:rsid w:val="00904F85"/>
    <w:rsid w:val="00905918"/>
    <w:rsid w:val="00905BAE"/>
    <w:rsid w:val="00905D41"/>
    <w:rsid w:val="009061B6"/>
    <w:rsid w:val="009063E7"/>
    <w:rsid w:val="009064F8"/>
    <w:rsid w:val="00906C1D"/>
    <w:rsid w:val="0090749D"/>
    <w:rsid w:val="009076E8"/>
    <w:rsid w:val="0090783F"/>
    <w:rsid w:val="009078EA"/>
    <w:rsid w:val="00907A3A"/>
    <w:rsid w:val="00907E93"/>
    <w:rsid w:val="00907F6B"/>
    <w:rsid w:val="0091019E"/>
    <w:rsid w:val="009101E2"/>
    <w:rsid w:val="00910786"/>
    <w:rsid w:val="00911ADA"/>
    <w:rsid w:val="00911B6C"/>
    <w:rsid w:val="0091209C"/>
    <w:rsid w:val="00912E8B"/>
    <w:rsid w:val="009136D5"/>
    <w:rsid w:val="00913F0E"/>
    <w:rsid w:val="0091427B"/>
    <w:rsid w:val="00914409"/>
    <w:rsid w:val="0091443F"/>
    <w:rsid w:val="0091481C"/>
    <w:rsid w:val="00914CB7"/>
    <w:rsid w:val="00914EA8"/>
    <w:rsid w:val="00915065"/>
    <w:rsid w:val="0091536C"/>
    <w:rsid w:val="00915757"/>
    <w:rsid w:val="0091660B"/>
    <w:rsid w:val="00916B4A"/>
    <w:rsid w:val="00917631"/>
    <w:rsid w:val="00917E2D"/>
    <w:rsid w:val="00917F2D"/>
    <w:rsid w:val="00917F36"/>
    <w:rsid w:val="009207CD"/>
    <w:rsid w:val="00920A06"/>
    <w:rsid w:val="009210CB"/>
    <w:rsid w:val="0092118D"/>
    <w:rsid w:val="009211EF"/>
    <w:rsid w:val="0092136C"/>
    <w:rsid w:val="0092188B"/>
    <w:rsid w:val="00923129"/>
    <w:rsid w:val="00924A23"/>
    <w:rsid w:val="00924B20"/>
    <w:rsid w:val="00924BF6"/>
    <w:rsid w:val="00924CC4"/>
    <w:rsid w:val="00925177"/>
    <w:rsid w:val="00925787"/>
    <w:rsid w:val="00925909"/>
    <w:rsid w:val="00926094"/>
    <w:rsid w:val="00926405"/>
    <w:rsid w:val="0092683C"/>
    <w:rsid w:val="00926A0F"/>
    <w:rsid w:val="00926FA6"/>
    <w:rsid w:val="009279DD"/>
    <w:rsid w:val="00927C72"/>
    <w:rsid w:val="00930327"/>
    <w:rsid w:val="00930360"/>
    <w:rsid w:val="0093094A"/>
    <w:rsid w:val="0093187D"/>
    <w:rsid w:val="00932246"/>
    <w:rsid w:val="009323FF"/>
    <w:rsid w:val="009326FC"/>
    <w:rsid w:val="00932C4E"/>
    <w:rsid w:val="00933751"/>
    <w:rsid w:val="00933779"/>
    <w:rsid w:val="00933856"/>
    <w:rsid w:val="009338B6"/>
    <w:rsid w:val="00933917"/>
    <w:rsid w:val="00933EC2"/>
    <w:rsid w:val="0093402C"/>
    <w:rsid w:val="00935197"/>
    <w:rsid w:val="00935692"/>
    <w:rsid w:val="00935B81"/>
    <w:rsid w:val="00935C2B"/>
    <w:rsid w:val="009368ED"/>
    <w:rsid w:val="00936B6C"/>
    <w:rsid w:val="009377A4"/>
    <w:rsid w:val="00937A60"/>
    <w:rsid w:val="00937BD1"/>
    <w:rsid w:val="00937CB4"/>
    <w:rsid w:val="00937F59"/>
    <w:rsid w:val="009401BB"/>
    <w:rsid w:val="0094094E"/>
    <w:rsid w:val="00940CBA"/>
    <w:rsid w:val="009410DC"/>
    <w:rsid w:val="009413E6"/>
    <w:rsid w:val="00941BBC"/>
    <w:rsid w:val="00941C00"/>
    <w:rsid w:val="00941E1B"/>
    <w:rsid w:val="00942273"/>
    <w:rsid w:val="009425FC"/>
    <w:rsid w:val="00942676"/>
    <w:rsid w:val="00942A61"/>
    <w:rsid w:val="009432C9"/>
    <w:rsid w:val="00944337"/>
    <w:rsid w:val="0094461B"/>
    <w:rsid w:val="00944CE5"/>
    <w:rsid w:val="009452FB"/>
    <w:rsid w:val="009454E8"/>
    <w:rsid w:val="00945B30"/>
    <w:rsid w:val="009462D0"/>
    <w:rsid w:val="0094667F"/>
    <w:rsid w:val="00946973"/>
    <w:rsid w:val="00946F86"/>
    <w:rsid w:val="00947001"/>
    <w:rsid w:val="009472F5"/>
    <w:rsid w:val="00947761"/>
    <w:rsid w:val="00947B47"/>
    <w:rsid w:val="00947B9C"/>
    <w:rsid w:val="00947BB4"/>
    <w:rsid w:val="00947BD1"/>
    <w:rsid w:val="009501B6"/>
    <w:rsid w:val="00950AA3"/>
    <w:rsid w:val="009515B6"/>
    <w:rsid w:val="009519FF"/>
    <w:rsid w:val="00951B8F"/>
    <w:rsid w:val="00951C7C"/>
    <w:rsid w:val="00951D26"/>
    <w:rsid w:val="00951D3B"/>
    <w:rsid w:val="00952754"/>
    <w:rsid w:val="00952BA2"/>
    <w:rsid w:val="009530DC"/>
    <w:rsid w:val="009530F0"/>
    <w:rsid w:val="009536A7"/>
    <w:rsid w:val="00953FF5"/>
    <w:rsid w:val="009542E8"/>
    <w:rsid w:val="00954793"/>
    <w:rsid w:val="00954979"/>
    <w:rsid w:val="00954B61"/>
    <w:rsid w:val="00954EA6"/>
    <w:rsid w:val="00955423"/>
    <w:rsid w:val="00955748"/>
    <w:rsid w:val="00955974"/>
    <w:rsid w:val="00955A63"/>
    <w:rsid w:val="00955AF9"/>
    <w:rsid w:val="0095668F"/>
    <w:rsid w:val="00956A4D"/>
    <w:rsid w:val="00956F77"/>
    <w:rsid w:val="009574FE"/>
    <w:rsid w:val="009575E7"/>
    <w:rsid w:val="0095785D"/>
    <w:rsid w:val="00957FC4"/>
    <w:rsid w:val="00957FC5"/>
    <w:rsid w:val="00960041"/>
    <w:rsid w:val="009606EE"/>
    <w:rsid w:val="00960954"/>
    <w:rsid w:val="00960A87"/>
    <w:rsid w:val="0096152A"/>
    <w:rsid w:val="0096172D"/>
    <w:rsid w:val="009617C1"/>
    <w:rsid w:val="009618FB"/>
    <w:rsid w:val="00961DF4"/>
    <w:rsid w:val="0096227F"/>
    <w:rsid w:val="009622AD"/>
    <w:rsid w:val="00962343"/>
    <w:rsid w:val="00962443"/>
    <w:rsid w:val="0096262B"/>
    <w:rsid w:val="0096306A"/>
    <w:rsid w:val="009634EE"/>
    <w:rsid w:val="009636AA"/>
    <w:rsid w:val="00963D58"/>
    <w:rsid w:val="00964082"/>
    <w:rsid w:val="0096470D"/>
    <w:rsid w:val="00964E63"/>
    <w:rsid w:val="0096580B"/>
    <w:rsid w:val="00965F4D"/>
    <w:rsid w:val="00966346"/>
    <w:rsid w:val="00966B98"/>
    <w:rsid w:val="00966BE4"/>
    <w:rsid w:val="00967037"/>
    <w:rsid w:val="0096735B"/>
    <w:rsid w:val="00967B53"/>
    <w:rsid w:val="009700DC"/>
    <w:rsid w:val="00970234"/>
    <w:rsid w:val="009704D5"/>
    <w:rsid w:val="009709AC"/>
    <w:rsid w:val="00970D5F"/>
    <w:rsid w:val="00970FA1"/>
    <w:rsid w:val="00971B29"/>
    <w:rsid w:val="00971E70"/>
    <w:rsid w:val="009735F3"/>
    <w:rsid w:val="00973641"/>
    <w:rsid w:val="00973705"/>
    <w:rsid w:val="0097379F"/>
    <w:rsid w:val="00974BE3"/>
    <w:rsid w:val="009753C7"/>
    <w:rsid w:val="009755AB"/>
    <w:rsid w:val="009758E7"/>
    <w:rsid w:val="00976038"/>
    <w:rsid w:val="00976285"/>
    <w:rsid w:val="009766C3"/>
    <w:rsid w:val="009769A3"/>
    <w:rsid w:val="00976EEE"/>
    <w:rsid w:val="00976F0B"/>
    <w:rsid w:val="0097750C"/>
    <w:rsid w:val="009778D0"/>
    <w:rsid w:val="00977A52"/>
    <w:rsid w:val="00977C1E"/>
    <w:rsid w:val="0098052B"/>
    <w:rsid w:val="00980C72"/>
    <w:rsid w:val="00980E3A"/>
    <w:rsid w:val="009812A0"/>
    <w:rsid w:val="0098178A"/>
    <w:rsid w:val="00981986"/>
    <w:rsid w:val="009819B2"/>
    <w:rsid w:val="00981AEF"/>
    <w:rsid w:val="00981EA6"/>
    <w:rsid w:val="009824AA"/>
    <w:rsid w:val="009839B0"/>
    <w:rsid w:val="009841A4"/>
    <w:rsid w:val="00984348"/>
    <w:rsid w:val="009843B2"/>
    <w:rsid w:val="00984580"/>
    <w:rsid w:val="009846FE"/>
    <w:rsid w:val="00984FC4"/>
    <w:rsid w:val="00984FFC"/>
    <w:rsid w:val="00985567"/>
    <w:rsid w:val="0098584D"/>
    <w:rsid w:val="00985897"/>
    <w:rsid w:val="00985D39"/>
    <w:rsid w:val="00986C78"/>
    <w:rsid w:val="00987368"/>
    <w:rsid w:val="00987572"/>
    <w:rsid w:val="0098761E"/>
    <w:rsid w:val="0098763D"/>
    <w:rsid w:val="00990021"/>
    <w:rsid w:val="0099048A"/>
    <w:rsid w:val="009905FC"/>
    <w:rsid w:val="00990811"/>
    <w:rsid w:val="00991828"/>
    <w:rsid w:val="00992514"/>
    <w:rsid w:val="00992573"/>
    <w:rsid w:val="00992BDB"/>
    <w:rsid w:val="009931C3"/>
    <w:rsid w:val="0099330B"/>
    <w:rsid w:val="0099377B"/>
    <w:rsid w:val="009941C4"/>
    <w:rsid w:val="00994C4B"/>
    <w:rsid w:val="0099535C"/>
    <w:rsid w:val="0099554C"/>
    <w:rsid w:val="00995D09"/>
    <w:rsid w:val="00995D8D"/>
    <w:rsid w:val="009963EB"/>
    <w:rsid w:val="009965A4"/>
    <w:rsid w:val="00996FF0"/>
    <w:rsid w:val="009974D1"/>
    <w:rsid w:val="00997592"/>
    <w:rsid w:val="00997ACF"/>
    <w:rsid w:val="00997E7B"/>
    <w:rsid w:val="00997E8C"/>
    <w:rsid w:val="009A01DE"/>
    <w:rsid w:val="009A05CF"/>
    <w:rsid w:val="009A0BF6"/>
    <w:rsid w:val="009A0EAF"/>
    <w:rsid w:val="009A0FF5"/>
    <w:rsid w:val="009A10D4"/>
    <w:rsid w:val="009A1318"/>
    <w:rsid w:val="009A2037"/>
    <w:rsid w:val="009A234C"/>
    <w:rsid w:val="009A2510"/>
    <w:rsid w:val="009A29F3"/>
    <w:rsid w:val="009A2CDF"/>
    <w:rsid w:val="009A30C0"/>
    <w:rsid w:val="009A47EE"/>
    <w:rsid w:val="009A5BC9"/>
    <w:rsid w:val="009A646B"/>
    <w:rsid w:val="009A7783"/>
    <w:rsid w:val="009A783E"/>
    <w:rsid w:val="009B1D27"/>
    <w:rsid w:val="009B1E6C"/>
    <w:rsid w:val="009B202D"/>
    <w:rsid w:val="009B20A7"/>
    <w:rsid w:val="009B2298"/>
    <w:rsid w:val="009B24C8"/>
    <w:rsid w:val="009B289B"/>
    <w:rsid w:val="009B2A1A"/>
    <w:rsid w:val="009B2C2E"/>
    <w:rsid w:val="009B2C59"/>
    <w:rsid w:val="009B3347"/>
    <w:rsid w:val="009B3837"/>
    <w:rsid w:val="009B3A89"/>
    <w:rsid w:val="009B3AAD"/>
    <w:rsid w:val="009B3AB6"/>
    <w:rsid w:val="009B40CA"/>
    <w:rsid w:val="009B466D"/>
    <w:rsid w:val="009B48F9"/>
    <w:rsid w:val="009B51AF"/>
    <w:rsid w:val="009B5289"/>
    <w:rsid w:val="009B5439"/>
    <w:rsid w:val="009B55A5"/>
    <w:rsid w:val="009B57C8"/>
    <w:rsid w:val="009B6027"/>
    <w:rsid w:val="009B69F1"/>
    <w:rsid w:val="009B6A10"/>
    <w:rsid w:val="009B7791"/>
    <w:rsid w:val="009C0014"/>
    <w:rsid w:val="009C087D"/>
    <w:rsid w:val="009C0DF5"/>
    <w:rsid w:val="009C14FE"/>
    <w:rsid w:val="009C1B77"/>
    <w:rsid w:val="009C1E78"/>
    <w:rsid w:val="009C21D0"/>
    <w:rsid w:val="009C23CD"/>
    <w:rsid w:val="009C240F"/>
    <w:rsid w:val="009C2730"/>
    <w:rsid w:val="009C2C62"/>
    <w:rsid w:val="009C3119"/>
    <w:rsid w:val="009C327E"/>
    <w:rsid w:val="009C381A"/>
    <w:rsid w:val="009C3F3C"/>
    <w:rsid w:val="009C3F57"/>
    <w:rsid w:val="009C4BBA"/>
    <w:rsid w:val="009C4BD9"/>
    <w:rsid w:val="009C4DF8"/>
    <w:rsid w:val="009C4E2C"/>
    <w:rsid w:val="009C4F06"/>
    <w:rsid w:val="009C4F8D"/>
    <w:rsid w:val="009C4FAA"/>
    <w:rsid w:val="009C5AA8"/>
    <w:rsid w:val="009C5C4C"/>
    <w:rsid w:val="009C5D87"/>
    <w:rsid w:val="009C657C"/>
    <w:rsid w:val="009C69BA"/>
    <w:rsid w:val="009C6CE4"/>
    <w:rsid w:val="009C7012"/>
    <w:rsid w:val="009C7297"/>
    <w:rsid w:val="009C7C0C"/>
    <w:rsid w:val="009C7EED"/>
    <w:rsid w:val="009D0205"/>
    <w:rsid w:val="009D030A"/>
    <w:rsid w:val="009D0372"/>
    <w:rsid w:val="009D0425"/>
    <w:rsid w:val="009D0447"/>
    <w:rsid w:val="009D09A3"/>
    <w:rsid w:val="009D0A04"/>
    <w:rsid w:val="009D0B58"/>
    <w:rsid w:val="009D0CD1"/>
    <w:rsid w:val="009D0F4F"/>
    <w:rsid w:val="009D1EA4"/>
    <w:rsid w:val="009D2067"/>
    <w:rsid w:val="009D25ED"/>
    <w:rsid w:val="009D2B6E"/>
    <w:rsid w:val="009D3E8D"/>
    <w:rsid w:val="009D5743"/>
    <w:rsid w:val="009D5CCC"/>
    <w:rsid w:val="009D5DF1"/>
    <w:rsid w:val="009D60D3"/>
    <w:rsid w:val="009D723D"/>
    <w:rsid w:val="009D775C"/>
    <w:rsid w:val="009D7C21"/>
    <w:rsid w:val="009D7FEF"/>
    <w:rsid w:val="009E02CC"/>
    <w:rsid w:val="009E0328"/>
    <w:rsid w:val="009E03D0"/>
    <w:rsid w:val="009E065E"/>
    <w:rsid w:val="009E12AE"/>
    <w:rsid w:val="009E1649"/>
    <w:rsid w:val="009E1BFB"/>
    <w:rsid w:val="009E28A2"/>
    <w:rsid w:val="009E300D"/>
    <w:rsid w:val="009E3271"/>
    <w:rsid w:val="009E36AE"/>
    <w:rsid w:val="009E38D3"/>
    <w:rsid w:val="009E3907"/>
    <w:rsid w:val="009E3D57"/>
    <w:rsid w:val="009E47B7"/>
    <w:rsid w:val="009E4BF1"/>
    <w:rsid w:val="009E57DD"/>
    <w:rsid w:val="009E5D07"/>
    <w:rsid w:val="009E5FD3"/>
    <w:rsid w:val="009E5FE5"/>
    <w:rsid w:val="009E604C"/>
    <w:rsid w:val="009E60C6"/>
    <w:rsid w:val="009E6A2A"/>
    <w:rsid w:val="009E6BAC"/>
    <w:rsid w:val="009E6F4A"/>
    <w:rsid w:val="009E710A"/>
    <w:rsid w:val="009E723D"/>
    <w:rsid w:val="009E7A4E"/>
    <w:rsid w:val="009E7E65"/>
    <w:rsid w:val="009F10E9"/>
    <w:rsid w:val="009F11F7"/>
    <w:rsid w:val="009F126D"/>
    <w:rsid w:val="009F1367"/>
    <w:rsid w:val="009F1E45"/>
    <w:rsid w:val="009F22DC"/>
    <w:rsid w:val="009F27C3"/>
    <w:rsid w:val="009F2ACA"/>
    <w:rsid w:val="009F2AEB"/>
    <w:rsid w:val="009F2B85"/>
    <w:rsid w:val="009F2CDB"/>
    <w:rsid w:val="009F2E61"/>
    <w:rsid w:val="009F4009"/>
    <w:rsid w:val="009F41B9"/>
    <w:rsid w:val="009F4773"/>
    <w:rsid w:val="009F4791"/>
    <w:rsid w:val="009F572F"/>
    <w:rsid w:val="009F5B39"/>
    <w:rsid w:val="009F5DD0"/>
    <w:rsid w:val="009F6BFF"/>
    <w:rsid w:val="009F7307"/>
    <w:rsid w:val="009F7710"/>
    <w:rsid w:val="009F7ABA"/>
    <w:rsid w:val="00A006B4"/>
    <w:rsid w:val="00A008B2"/>
    <w:rsid w:val="00A00BED"/>
    <w:rsid w:val="00A017E7"/>
    <w:rsid w:val="00A023D7"/>
    <w:rsid w:val="00A0243F"/>
    <w:rsid w:val="00A02593"/>
    <w:rsid w:val="00A02844"/>
    <w:rsid w:val="00A03485"/>
    <w:rsid w:val="00A03616"/>
    <w:rsid w:val="00A039C9"/>
    <w:rsid w:val="00A04189"/>
    <w:rsid w:val="00A04241"/>
    <w:rsid w:val="00A04435"/>
    <w:rsid w:val="00A049A9"/>
    <w:rsid w:val="00A04B78"/>
    <w:rsid w:val="00A04DC1"/>
    <w:rsid w:val="00A05185"/>
    <w:rsid w:val="00A05493"/>
    <w:rsid w:val="00A059C2"/>
    <w:rsid w:val="00A06425"/>
    <w:rsid w:val="00A07139"/>
    <w:rsid w:val="00A071B2"/>
    <w:rsid w:val="00A10016"/>
    <w:rsid w:val="00A10673"/>
    <w:rsid w:val="00A12260"/>
    <w:rsid w:val="00A12681"/>
    <w:rsid w:val="00A126B1"/>
    <w:rsid w:val="00A12D3A"/>
    <w:rsid w:val="00A12F20"/>
    <w:rsid w:val="00A13095"/>
    <w:rsid w:val="00A1314F"/>
    <w:rsid w:val="00A13BF0"/>
    <w:rsid w:val="00A13E9D"/>
    <w:rsid w:val="00A1421E"/>
    <w:rsid w:val="00A155CD"/>
    <w:rsid w:val="00A155FD"/>
    <w:rsid w:val="00A16B4E"/>
    <w:rsid w:val="00A16CEB"/>
    <w:rsid w:val="00A17392"/>
    <w:rsid w:val="00A17493"/>
    <w:rsid w:val="00A175EA"/>
    <w:rsid w:val="00A203D4"/>
    <w:rsid w:val="00A20592"/>
    <w:rsid w:val="00A21987"/>
    <w:rsid w:val="00A21DA8"/>
    <w:rsid w:val="00A21E44"/>
    <w:rsid w:val="00A2292A"/>
    <w:rsid w:val="00A22DA8"/>
    <w:rsid w:val="00A22ED3"/>
    <w:rsid w:val="00A22F08"/>
    <w:rsid w:val="00A23642"/>
    <w:rsid w:val="00A23831"/>
    <w:rsid w:val="00A238E4"/>
    <w:rsid w:val="00A23913"/>
    <w:rsid w:val="00A23A29"/>
    <w:rsid w:val="00A23A96"/>
    <w:rsid w:val="00A2435E"/>
    <w:rsid w:val="00A24372"/>
    <w:rsid w:val="00A243F9"/>
    <w:rsid w:val="00A24858"/>
    <w:rsid w:val="00A24B2F"/>
    <w:rsid w:val="00A25055"/>
    <w:rsid w:val="00A258CA"/>
    <w:rsid w:val="00A26448"/>
    <w:rsid w:val="00A268AE"/>
    <w:rsid w:val="00A27F6E"/>
    <w:rsid w:val="00A305A8"/>
    <w:rsid w:val="00A30959"/>
    <w:rsid w:val="00A3147F"/>
    <w:rsid w:val="00A31C14"/>
    <w:rsid w:val="00A31E84"/>
    <w:rsid w:val="00A320DD"/>
    <w:rsid w:val="00A322B3"/>
    <w:rsid w:val="00A325FB"/>
    <w:rsid w:val="00A32697"/>
    <w:rsid w:val="00A32AC9"/>
    <w:rsid w:val="00A33134"/>
    <w:rsid w:val="00A3332F"/>
    <w:rsid w:val="00A33342"/>
    <w:rsid w:val="00A33872"/>
    <w:rsid w:val="00A33878"/>
    <w:rsid w:val="00A33BC3"/>
    <w:rsid w:val="00A345C0"/>
    <w:rsid w:val="00A34694"/>
    <w:rsid w:val="00A34DA5"/>
    <w:rsid w:val="00A34F31"/>
    <w:rsid w:val="00A35713"/>
    <w:rsid w:val="00A36311"/>
    <w:rsid w:val="00A36CC5"/>
    <w:rsid w:val="00A373FB"/>
    <w:rsid w:val="00A37CFA"/>
    <w:rsid w:val="00A401FA"/>
    <w:rsid w:val="00A4049C"/>
    <w:rsid w:val="00A40687"/>
    <w:rsid w:val="00A41411"/>
    <w:rsid w:val="00A4169A"/>
    <w:rsid w:val="00A4174A"/>
    <w:rsid w:val="00A42039"/>
    <w:rsid w:val="00A42944"/>
    <w:rsid w:val="00A42CCA"/>
    <w:rsid w:val="00A431F9"/>
    <w:rsid w:val="00A436C7"/>
    <w:rsid w:val="00A439AF"/>
    <w:rsid w:val="00A45024"/>
    <w:rsid w:val="00A450DF"/>
    <w:rsid w:val="00A455E3"/>
    <w:rsid w:val="00A4578A"/>
    <w:rsid w:val="00A45A16"/>
    <w:rsid w:val="00A46397"/>
    <w:rsid w:val="00A465B5"/>
    <w:rsid w:val="00A46913"/>
    <w:rsid w:val="00A47763"/>
    <w:rsid w:val="00A477B8"/>
    <w:rsid w:val="00A47891"/>
    <w:rsid w:val="00A47A3D"/>
    <w:rsid w:val="00A503B6"/>
    <w:rsid w:val="00A50AEE"/>
    <w:rsid w:val="00A520F6"/>
    <w:rsid w:val="00A525D9"/>
    <w:rsid w:val="00A52AA2"/>
    <w:rsid w:val="00A52E83"/>
    <w:rsid w:val="00A5310B"/>
    <w:rsid w:val="00A53BDA"/>
    <w:rsid w:val="00A53C45"/>
    <w:rsid w:val="00A53E29"/>
    <w:rsid w:val="00A53F7B"/>
    <w:rsid w:val="00A540E2"/>
    <w:rsid w:val="00A545CC"/>
    <w:rsid w:val="00A555A7"/>
    <w:rsid w:val="00A55645"/>
    <w:rsid w:val="00A55682"/>
    <w:rsid w:val="00A5568D"/>
    <w:rsid w:val="00A55996"/>
    <w:rsid w:val="00A562AA"/>
    <w:rsid w:val="00A603AB"/>
    <w:rsid w:val="00A604AE"/>
    <w:rsid w:val="00A60A77"/>
    <w:rsid w:val="00A60BDB"/>
    <w:rsid w:val="00A60CEC"/>
    <w:rsid w:val="00A60FFD"/>
    <w:rsid w:val="00A6153A"/>
    <w:rsid w:val="00A62123"/>
    <w:rsid w:val="00A62244"/>
    <w:rsid w:val="00A62393"/>
    <w:rsid w:val="00A62A71"/>
    <w:rsid w:val="00A62AFC"/>
    <w:rsid w:val="00A62D8A"/>
    <w:rsid w:val="00A62F62"/>
    <w:rsid w:val="00A62FBC"/>
    <w:rsid w:val="00A63473"/>
    <w:rsid w:val="00A638C0"/>
    <w:rsid w:val="00A639B7"/>
    <w:rsid w:val="00A63FD1"/>
    <w:rsid w:val="00A64878"/>
    <w:rsid w:val="00A64E5C"/>
    <w:rsid w:val="00A65359"/>
    <w:rsid w:val="00A66131"/>
    <w:rsid w:val="00A666B8"/>
    <w:rsid w:val="00A700A5"/>
    <w:rsid w:val="00A70549"/>
    <w:rsid w:val="00A709F6"/>
    <w:rsid w:val="00A7117A"/>
    <w:rsid w:val="00A717D7"/>
    <w:rsid w:val="00A718E3"/>
    <w:rsid w:val="00A71A79"/>
    <w:rsid w:val="00A71C19"/>
    <w:rsid w:val="00A72201"/>
    <w:rsid w:val="00A7265B"/>
    <w:rsid w:val="00A72A86"/>
    <w:rsid w:val="00A732F8"/>
    <w:rsid w:val="00A734C1"/>
    <w:rsid w:val="00A7353E"/>
    <w:rsid w:val="00A73E75"/>
    <w:rsid w:val="00A73FA2"/>
    <w:rsid w:val="00A747B4"/>
    <w:rsid w:val="00A7499E"/>
    <w:rsid w:val="00A74A70"/>
    <w:rsid w:val="00A74ED0"/>
    <w:rsid w:val="00A751DF"/>
    <w:rsid w:val="00A7537E"/>
    <w:rsid w:val="00A75617"/>
    <w:rsid w:val="00A75929"/>
    <w:rsid w:val="00A75D68"/>
    <w:rsid w:val="00A76467"/>
    <w:rsid w:val="00A767DA"/>
    <w:rsid w:val="00A76F2F"/>
    <w:rsid w:val="00A778E5"/>
    <w:rsid w:val="00A77BCD"/>
    <w:rsid w:val="00A77C29"/>
    <w:rsid w:val="00A77C72"/>
    <w:rsid w:val="00A77DD5"/>
    <w:rsid w:val="00A8034E"/>
    <w:rsid w:val="00A805FA"/>
    <w:rsid w:val="00A80622"/>
    <w:rsid w:val="00A80E2B"/>
    <w:rsid w:val="00A80E83"/>
    <w:rsid w:val="00A80F17"/>
    <w:rsid w:val="00A80FAC"/>
    <w:rsid w:val="00A81823"/>
    <w:rsid w:val="00A81E32"/>
    <w:rsid w:val="00A82089"/>
    <w:rsid w:val="00A822F3"/>
    <w:rsid w:val="00A82903"/>
    <w:rsid w:val="00A83454"/>
    <w:rsid w:val="00A8364E"/>
    <w:rsid w:val="00A83953"/>
    <w:rsid w:val="00A839E1"/>
    <w:rsid w:val="00A83FE6"/>
    <w:rsid w:val="00A840F1"/>
    <w:rsid w:val="00A84AFE"/>
    <w:rsid w:val="00A84B08"/>
    <w:rsid w:val="00A851AF"/>
    <w:rsid w:val="00A85474"/>
    <w:rsid w:val="00A85E23"/>
    <w:rsid w:val="00A8644F"/>
    <w:rsid w:val="00A865A2"/>
    <w:rsid w:val="00A86B8A"/>
    <w:rsid w:val="00A86E47"/>
    <w:rsid w:val="00A86F26"/>
    <w:rsid w:val="00A874C5"/>
    <w:rsid w:val="00A87671"/>
    <w:rsid w:val="00A876FA"/>
    <w:rsid w:val="00A87A2C"/>
    <w:rsid w:val="00A90573"/>
    <w:rsid w:val="00A90F5E"/>
    <w:rsid w:val="00A913A5"/>
    <w:rsid w:val="00A91432"/>
    <w:rsid w:val="00A9176A"/>
    <w:rsid w:val="00A91BF7"/>
    <w:rsid w:val="00A92695"/>
    <w:rsid w:val="00A934EB"/>
    <w:rsid w:val="00A93612"/>
    <w:rsid w:val="00A93DD8"/>
    <w:rsid w:val="00A9437A"/>
    <w:rsid w:val="00A94415"/>
    <w:rsid w:val="00A94947"/>
    <w:rsid w:val="00A94964"/>
    <w:rsid w:val="00A95E82"/>
    <w:rsid w:val="00A9605C"/>
    <w:rsid w:val="00A9695C"/>
    <w:rsid w:val="00A97AC6"/>
    <w:rsid w:val="00A97C2A"/>
    <w:rsid w:val="00AA145F"/>
    <w:rsid w:val="00AA1680"/>
    <w:rsid w:val="00AA1739"/>
    <w:rsid w:val="00AA26A4"/>
    <w:rsid w:val="00AA26CD"/>
    <w:rsid w:val="00AA32F0"/>
    <w:rsid w:val="00AA3463"/>
    <w:rsid w:val="00AA3A73"/>
    <w:rsid w:val="00AA3DA8"/>
    <w:rsid w:val="00AA48A4"/>
    <w:rsid w:val="00AA498E"/>
    <w:rsid w:val="00AA4B2B"/>
    <w:rsid w:val="00AA4E40"/>
    <w:rsid w:val="00AA52A8"/>
    <w:rsid w:val="00AA5404"/>
    <w:rsid w:val="00AA5A56"/>
    <w:rsid w:val="00AA5F58"/>
    <w:rsid w:val="00AA5FF2"/>
    <w:rsid w:val="00AA63C8"/>
    <w:rsid w:val="00AA66D6"/>
    <w:rsid w:val="00AA69E4"/>
    <w:rsid w:val="00AB0850"/>
    <w:rsid w:val="00AB086E"/>
    <w:rsid w:val="00AB0946"/>
    <w:rsid w:val="00AB1047"/>
    <w:rsid w:val="00AB12EC"/>
    <w:rsid w:val="00AB1D00"/>
    <w:rsid w:val="00AB4133"/>
    <w:rsid w:val="00AB4971"/>
    <w:rsid w:val="00AB49A6"/>
    <w:rsid w:val="00AB55C7"/>
    <w:rsid w:val="00AB5CFB"/>
    <w:rsid w:val="00AB5F22"/>
    <w:rsid w:val="00AB6C62"/>
    <w:rsid w:val="00AB76FC"/>
    <w:rsid w:val="00AB7845"/>
    <w:rsid w:val="00AC05F7"/>
    <w:rsid w:val="00AC148D"/>
    <w:rsid w:val="00AC1E3B"/>
    <w:rsid w:val="00AC2402"/>
    <w:rsid w:val="00AC2813"/>
    <w:rsid w:val="00AC2D8F"/>
    <w:rsid w:val="00AC312D"/>
    <w:rsid w:val="00AC384C"/>
    <w:rsid w:val="00AC3FDF"/>
    <w:rsid w:val="00AC42DC"/>
    <w:rsid w:val="00AC4443"/>
    <w:rsid w:val="00AC44EC"/>
    <w:rsid w:val="00AC4A75"/>
    <w:rsid w:val="00AC4F79"/>
    <w:rsid w:val="00AC51C1"/>
    <w:rsid w:val="00AC5337"/>
    <w:rsid w:val="00AC5DE8"/>
    <w:rsid w:val="00AC714B"/>
    <w:rsid w:val="00AC71AE"/>
    <w:rsid w:val="00AC7258"/>
    <w:rsid w:val="00AC7ACE"/>
    <w:rsid w:val="00AC7AF7"/>
    <w:rsid w:val="00AC7EB6"/>
    <w:rsid w:val="00AD06FF"/>
    <w:rsid w:val="00AD09D1"/>
    <w:rsid w:val="00AD19B0"/>
    <w:rsid w:val="00AD21D2"/>
    <w:rsid w:val="00AD241A"/>
    <w:rsid w:val="00AD24FE"/>
    <w:rsid w:val="00AD350D"/>
    <w:rsid w:val="00AD3981"/>
    <w:rsid w:val="00AD4539"/>
    <w:rsid w:val="00AD4BB3"/>
    <w:rsid w:val="00AD5D35"/>
    <w:rsid w:val="00AD7512"/>
    <w:rsid w:val="00AD7896"/>
    <w:rsid w:val="00AD78EF"/>
    <w:rsid w:val="00AD794C"/>
    <w:rsid w:val="00AD7FF1"/>
    <w:rsid w:val="00AE068E"/>
    <w:rsid w:val="00AE10C8"/>
    <w:rsid w:val="00AE1899"/>
    <w:rsid w:val="00AE18F6"/>
    <w:rsid w:val="00AE1C11"/>
    <w:rsid w:val="00AE1D8A"/>
    <w:rsid w:val="00AE23EE"/>
    <w:rsid w:val="00AE2768"/>
    <w:rsid w:val="00AE2C48"/>
    <w:rsid w:val="00AE2E62"/>
    <w:rsid w:val="00AE31D4"/>
    <w:rsid w:val="00AE31DC"/>
    <w:rsid w:val="00AE3505"/>
    <w:rsid w:val="00AE3D60"/>
    <w:rsid w:val="00AE3FC6"/>
    <w:rsid w:val="00AE4A81"/>
    <w:rsid w:val="00AE4D38"/>
    <w:rsid w:val="00AE4D50"/>
    <w:rsid w:val="00AE4DF1"/>
    <w:rsid w:val="00AE541D"/>
    <w:rsid w:val="00AE542A"/>
    <w:rsid w:val="00AE589D"/>
    <w:rsid w:val="00AE602E"/>
    <w:rsid w:val="00AE6096"/>
    <w:rsid w:val="00AE6252"/>
    <w:rsid w:val="00AE661A"/>
    <w:rsid w:val="00AE72CB"/>
    <w:rsid w:val="00AE7C15"/>
    <w:rsid w:val="00AF0493"/>
    <w:rsid w:val="00AF04F3"/>
    <w:rsid w:val="00AF07AD"/>
    <w:rsid w:val="00AF0990"/>
    <w:rsid w:val="00AF1011"/>
    <w:rsid w:val="00AF164A"/>
    <w:rsid w:val="00AF1C02"/>
    <w:rsid w:val="00AF31D7"/>
    <w:rsid w:val="00AF37D1"/>
    <w:rsid w:val="00AF3CFD"/>
    <w:rsid w:val="00AF42B5"/>
    <w:rsid w:val="00AF45B3"/>
    <w:rsid w:val="00AF517C"/>
    <w:rsid w:val="00AF570C"/>
    <w:rsid w:val="00AF61F1"/>
    <w:rsid w:val="00AF6247"/>
    <w:rsid w:val="00AF63B6"/>
    <w:rsid w:val="00AF6473"/>
    <w:rsid w:val="00AF6915"/>
    <w:rsid w:val="00AF69D2"/>
    <w:rsid w:val="00AF7ECA"/>
    <w:rsid w:val="00B002B4"/>
    <w:rsid w:val="00B00848"/>
    <w:rsid w:val="00B018C6"/>
    <w:rsid w:val="00B01C26"/>
    <w:rsid w:val="00B01FDC"/>
    <w:rsid w:val="00B0253B"/>
    <w:rsid w:val="00B02871"/>
    <w:rsid w:val="00B02F9B"/>
    <w:rsid w:val="00B035CC"/>
    <w:rsid w:val="00B039DD"/>
    <w:rsid w:val="00B0421D"/>
    <w:rsid w:val="00B04ED9"/>
    <w:rsid w:val="00B05E20"/>
    <w:rsid w:val="00B064F7"/>
    <w:rsid w:val="00B06880"/>
    <w:rsid w:val="00B06921"/>
    <w:rsid w:val="00B070CF"/>
    <w:rsid w:val="00B10023"/>
    <w:rsid w:val="00B10184"/>
    <w:rsid w:val="00B10229"/>
    <w:rsid w:val="00B104A2"/>
    <w:rsid w:val="00B1088E"/>
    <w:rsid w:val="00B10BE2"/>
    <w:rsid w:val="00B10C94"/>
    <w:rsid w:val="00B10CA7"/>
    <w:rsid w:val="00B10EF8"/>
    <w:rsid w:val="00B1179C"/>
    <w:rsid w:val="00B11E2A"/>
    <w:rsid w:val="00B12174"/>
    <w:rsid w:val="00B12941"/>
    <w:rsid w:val="00B13721"/>
    <w:rsid w:val="00B1396C"/>
    <w:rsid w:val="00B13A6E"/>
    <w:rsid w:val="00B13DF6"/>
    <w:rsid w:val="00B1425F"/>
    <w:rsid w:val="00B1458B"/>
    <w:rsid w:val="00B14B61"/>
    <w:rsid w:val="00B14B6B"/>
    <w:rsid w:val="00B15384"/>
    <w:rsid w:val="00B1545B"/>
    <w:rsid w:val="00B156A4"/>
    <w:rsid w:val="00B1652F"/>
    <w:rsid w:val="00B165E3"/>
    <w:rsid w:val="00B16AE9"/>
    <w:rsid w:val="00B16B96"/>
    <w:rsid w:val="00B16F6F"/>
    <w:rsid w:val="00B1743E"/>
    <w:rsid w:val="00B1745D"/>
    <w:rsid w:val="00B178A8"/>
    <w:rsid w:val="00B17AB7"/>
    <w:rsid w:val="00B17ECE"/>
    <w:rsid w:val="00B203E3"/>
    <w:rsid w:val="00B2082C"/>
    <w:rsid w:val="00B21F56"/>
    <w:rsid w:val="00B21FBB"/>
    <w:rsid w:val="00B22386"/>
    <w:rsid w:val="00B22865"/>
    <w:rsid w:val="00B228FB"/>
    <w:rsid w:val="00B22CB7"/>
    <w:rsid w:val="00B22D99"/>
    <w:rsid w:val="00B23362"/>
    <w:rsid w:val="00B23C86"/>
    <w:rsid w:val="00B23CD2"/>
    <w:rsid w:val="00B23E06"/>
    <w:rsid w:val="00B23F97"/>
    <w:rsid w:val="00B24911"/>
    <w:rsid w:val="00B24DCB"/>
    <w:rsid w:val="00B256F6"/>
    <w:rsid w:val="00B25C45"/>
    <w:rsid w:val="00B25CD7"/>
    <w:rsid w:val="00B275D7"/>
    <w:rsid w:val="00B27E92"/>
    <w:rsid w:val="00B27E97"/>
    <w:rsid w:val="00B27F1A"/>
    <w:rsid w:val="00B27FC8"/>
    <w:rsid w:val="00B30366"/>
    <w:rsid w:val="00B31011"/>
    <w:rsid w:val="00B311E9"/>
    <w:rsid w:val="00B3154C"/>
    <w:rsid w:val="00B31C43"/>
    <w:rsid w:val="00B31D26"/>
    <w:rsid w:val="00B33A58"/>
    <w:rsid w:val="00B33DA7"/>
    <w:rsid w:val="00B3404C"/>
    <w:rsid w:val="00B346B1"/>
    <w:rsid w:val="00B3485E"/>
    <w:rsid w:val="00B348DC"/>
    <w:rsid w:val="00B349B6"/>
    <w:rsid w:val="00B350E2"/>
    <w:rsid w:val="00B35793"/>
    <w:rsid w:val="00B35ED7"/>
    <w:rsid w:val="00B35F75"/>
    <w:rsid w:val="00B36411"/>
    <w:rsid w:val="00B364F7"/>
    <w:rsid w:val="00B366AA"/>
    <w:rsid w:val="00B36826"/>
    <w:rsid w:val="00B36ACF"/>
    <w:rsid w:val="00B36FDC"/>
    <w:rsid w:val="00B37865"/>
    <w:rsid w:val="00B37926"/>
    <w:rsid w:val="00B37EC0"/>
    <w:rsid w:val="00B40A8A"/>
    <w:rsid w:val="00B40C61"/>
    <w:rsid w:val="00B40F71"/>
    <w:rsid w:val="00B4119A"/>
    <w:rsid w:val="00B41248"/>
    <w:rsid w:val="00B41943"/>
    <w:rsid w:val="00B41A46"/>
    <w:rsid w:val="00B41F2D"/>
    <w:rsid w:val="00B41FA6"/>
    <w:rsid w:val="00B42399"/>
    <w:rsid w:val="00B42480"/>
    <w:rsid w:val="00B429E8"/>
    <w:rsid w:val="00B42A87"/>
    <w:rsid w:val="00B42DB1"/>
    <w:rsid w:val="00B43CF7"/>
    <w:rsid w:val="00B4544D"/>
    <w:rsid w:val="00B4545D"/>
    <w:rsid w:val="00B456C8"/>
    <w:rsid w:val="00B46231"/>
    <w:rsid w:val="00B4670F"/>
    <w:rsid w:val="00B46724"/>
    <w:rsid w:val="00B4672B"/>
    <w:rsid w:val="00B46CE2"/>
    <w:rsid w:val="00B46F45"/>
    <w:rsid w:val="00B47E7C"/>
    <w:rsid w:val="00B501A7"/>
    <w:rsid w:val="00B50446"/>
    <w:rsid w:val="00B50762"/>
    <w:rsid w:val="00B50C1D"/>
    <w:rsid w:val="00B510FD"/>
    <w:rsid w:val="00B5114A"/>
    <w:rsid w:val="00B513C7"/>
    <w:rsid w:val="00B51AE0"/>
    <w:rsid w:val="00B51C68"/>
    <w:rsid w:val="00B51F5D"/>
    <w:rsid w:val="00B52A9D"/>
    <w:rsid w:val="00B52F19"/>
    <w:rsid w:val="00B53038"/>
    <w:rsid w:val="00B534B7"/>
    <w:rsid w:val="00B537C4"/>
    <w:rsid w:val="00B5386E"/>
    <w:rsid w:val="00B53FA6"/>
    <w:rsid w:val="00B54148"/>
    <w:rsid w:val="00B5416D"/>
    <w:rsid w:val="00B54191"/>
    <w:rsid w:val="00B549A3"/>
    <w:rsid w:val="00B556E8"/>
    <w:rsid w:val="00B55943"/>
    <w:rsid w:val="00B55C60"/>
    <w:rsid w:val="00B55D04"/>
    <w:rsid w:val="00B56CA6"/>
    <w:rsid w:val="00B573BA"/>
    <w:rsid w:val="00B57BEE"/>
    <w:rsid w:val="00B57D7A"/>
    <w:rsid w:val="00B605B5"/>
    <w:rsid w:val="00B60B65"/>
    <w:rsid w:val="00B6138F"/>
    <w:rsid w:val="00B619C2"/>
    <w:rsid w:val="00B61E0F"/>
    <w:rsid w:val="00B61F8F"/>
    <w:rsid w:val="00B62086"/>
    <w:rsid w:val="00B62214"/>
    <w:rsid w:val="00B62558"/>
    <w:rsid w:val="00B62B0A"/>
    <w:rsid w:val="00B62D82"/>
    <w:rsid w:val="00B62F60"/>
    <w:rsid w:val="00B6366B"/>
    <w:rsid w:val="00B639C4"/>
    <w:rsid w:val="00B6404C"/>
    <w:rsid w:val="00B6436F"/>
    <w:rsid w:val="00B64B47"/>
    <w:rsid w:val="00B6557A"/>
    <w:rsid w:val="00B663CA"/>
    <w:rsid w:val="00B66403"/>
    <w:rsid w:val="00B6667F"/>
    <w:rsid w:val="00B666B9"/>
    <w:rsid w:val="00B66CEB"/>
    <w:rsid w:val="00B67303"/>
    <w:rsid w:val="00B6732E"/>
    <w:rsid w:val="00B7038B"/>
    <w:rsid w:val="00B70433"/>
    <w:rsid w:val="00B708B7"/>
    <w:rsid w:val="00B70956"/>
    <w:rsid w:val="00B70D1D"/>
    <w:rsid w:val="00B70DCB"/>
    <w:rsid w:val="00B71038"/>
    <w:rsid w:val="00B7111D"/>
    <w:rsid w:val="00B7146A"/>
    <w:rsid w:val="00B71B55"/>
    <w:rsid w:val="00B71E4B"/>
    <w:rsid w:val="00B72208"/>
    <w:rsid w:val="00B7283B"/>
    <w:rsid w:val="00B72943"/>
    <w:rsid w:val="00B72F5A"/>
    <w:rsid w:val="00B73542"/>
    <w:rsid w:val="00B73698"/>
    <w:rsid w:val="00B7390E"/>
    <w:rsid w:val="00B74069"/>
    <w:rsid w:val="00B7444C"/>
    <w:rsid w:val="00B746B7"/>
    <w:rsid w:val="00B75124"/>
    <w:rsid w:val="00B754D2"/>
    <w:rsid w:val="00B75C48"/>
    <w:rsid w:val="00B7666E"/>
    <w:rsid w:val="00B7667F"/>
    <w:rsid w:val="00B7670C"/>
    <w:rsid w:val="00B7678A"/>
    <w:rsid w:val="00B769C1"/>
    <w:rsid w:val="00B76F56"/>
    <w:rsid w:val="00B7731E"/>
    <w:rsid w:val="00B7745C"/>
    <w:rsid w:val="00B7798C"/>
    <w:rsid w:val="00B779B6"/>
    <w:rsid w:val="00B802EE"/>
    <w:rsid w:val="00B80FE9"/>
    <w:rsid w:val="00B816CB"/>
    <w:rsid w:val="00B81981"/>
    <w:rsid w:val="00B81AB6"/>
    <w:rsid w:val="00B81D7A"/>
    <w:rsid w:val="00B81ECE"/>
    <w:rsid w:val="00B81F9A"/>
    <w:rsid w:val="00B82004"/>
    <w:rsid w:val="00B8231D"/>
    <w:rsid w:val="00B828A9"/>
    <w:rsid w:val="00B83178"/>
    <w:rsid w:val="00B83227"/>
    <w:rsid w:val="00B833AF"/>
    <w:rsid w:val="00B836C7"/>
    <w:rsid w:val="00B837CC"/>
    <w:rsid w:val="00B84D64"/>
    <w:rsid w:val="00B84E7B"/>
    <w:rsid w:val="00B84FD8"/>
    <w:rsid w:val="00B850D8"/>
    <w:rsid w:val="00B85A6A"/>
    <w:rsid w:val="00B85CE0"/>
    <w:rsid w:val="00B86612"/>
    <w:rsid w:val="00B86BC2"/>
    <w:rsid w:val="00B86F40"/>
    <w:rsid w:val="00B875EF"/>
    <w:rsid w:val="00B87B66"/>
    <w:rsid w:val="00B900CD"/>
    <w:rsid w:val="00B90F09"/>
    <w:rsid w:val="00B913B5"/>
    <w:rsid w:val="00B91B41"/>
    <w:rsid w:val="00B91D9C"/>
    <w:rsid w:val="00B9202B"/>
    <w:rsid w:val="00B92339"/>
    <w:rsid w:val="00B92400"/>
    <w:rsid w:val="00B93171"/>
    <w:rsid w:val="00B935D0"/>
    <w:rsid w:val="00B940B6"/>
    <w:rsid w:val="00B94DF0"/>
    <w:rsid w:val="00B9522B"/>
    <w:rsid w:val="00B9578C"/>
    <w:rsid w:val="00B9590C"/>
    <w:rsid w:val="00B95A93"/>
    <w:rsid w:val="00B95F51"/>
    <w:rsid w:val="00B96956"/>
    <w:rsid w:val="00B97BD4"/>
    <w:rsid w:val="00B97EDA"/>
    <w:rsid w:val="00BA04CF"/>
    <w:rsid w:val="00BA0F57"/>
    <w:rsid w:val="00BA0F7A"/>
    <w:rsid w:val="00BA12EE"/>
    <w:rsid w:val="00BA1D53"/>
    <w:rsid w:val="00BA2F13"/>
    <w:rsid w:val="00BA4074"/>
    <w:rsid w:val="00BA479E"/>
    <w:rsid w:val="00BA4909"/>
    <w:rsid w:val="00BA4E7D"/>
    <w:rsid w:val="00BA4F11"/>
    <w:rsid w:val="00BA50DF"/>
    <w:rsid w:val="00BA539B"/>
    <w:rsid w:val="00BA57D4"/>
    <w:rsid w:val="00BA5A5A"/>
    <w:rsid w:val="00BA5F76"/>
    <w:rsid w:val="00BA6AF1"/>
    <w:rsid w:val="00BA6E86"/>
    <w:rsid w:val="00BA73B6"/>
    <w:rsid w:val="00BA7C0A"/>
    <w:rsid w:val="00BA7FF9"/>
    <w:rsid w:val="00BB00B8"/>
    <w:rsid w:val="00BB0621"/>
    <w:rsid w:val="00BB07D7"/>
    <w:rsid w:val="00BB0986"/>
    <w:rsid w:val="00BB0D3A"/>
    <w:rsid w:val="00BB12BD"/>
    <w:rsid w:val="00BB1BB3"/>
    <w:rsid w:val="00BB2153"/>
    <w:rsid w:val="00BB2777"/>
    <w:rsid w:val="00BB27A3"/>
    <w:rsid w:val="00BB27F6"/>
    <w:rsid w:val="00BB3151"/>
    <w:rsid w:val="00BB3FA9"/>
    <w:rsid w:val="00BB423B"/>
    <w:rsid w:val="00BB5EA7"/>
    <w:rsid w:val="00BB6297"/>
    <w:rsid w:val="00BB65EF"/>
    <w:rsid w:val="00BB69D7"/>
    <w:rsid w:val="00BB6A31"/>
    <w:rsid w:val="00BB6F2A"/>
    <w:rsid w:val="00BB7C0C"/>
    <w:rsid w:val="00BC0829"/>
    <w:rsid w:val="00BC10BB"/>
    <w:rsid w:val="00BC1194"/>
    <w:rsid w:val="00BC1BD1"/>
    <w:rsid w:val="00BC247C"/>
    <w:rsid w:val="00BC2CB6"/>
    <w:rsid w:val="00BC3DF8"/>
    <w:rsid w:val="00BC4542"/>
    <w:rsid w:val="00BC5659"/>
    <w:rsid w:val="00BC5C7F"/>
    <w:rsid w:val="00BC6038"/>
    <w:rsid w:val="00BC6E7C"/>
    <w:rsid w:val="00BC7611"/>
    <w:rsid w:val="00BC7A89"/>
    <w:rsid w:val="00BD0417"/>
    <w:rsid w:val="00BD0F1C"/>
    <w:rsid w:val="00BD169C"/>
    <w:rsid w:val="00BD1851"/>
    <w:rsid w:val="00BD1C34"/>
    <w:rsid w:val="00BD1F1E"/>
    <w:rsid w:val="00BD2073"/>
    <w:rsid w:val="00BD2D0B"/>
    <w:rsid w:val="00BD3E9F"/>
    <w:rsid w:val="00BD4920"/>
    <w:rsid w:val="00BD523F"/>
    <w:rsid w:val="00BD536A"/>
    <w:rsid w:val="00BD55FF"/>
    <w:rsid w:val="00BD57D1"/>
    <w:rsid w:val="00BD72E7"/>
    <w:rsid w:val="00BD7529"/>
    <w:rsid w:val="00BD783A"/>
    <w:rsid w:val="00BD794A"/>
    <w:rsid w:val="00BD7B4F"/>
    <w:rsid w:val="00BD7C3A"/>
    <w:rsid w:val="00BD7D30"/>
    <w:rsid w:val="00BD7FCE"/>
    <w:rsid w:val="00BE0236"/>
    <w:rsid w:val="00BE02A8"/>
    <w:rsid w:val="00BE0BBF"/>
    <w:rsid w:val="00BE1098"/>
    <w:rsid w:val="00BE1263"/>
    <w:rsid w:val="00BE1AC7"/>
    <w:rsid w:val="00BE1FBA"/>
    <w:rsid w:val="00BE22C8"/>
    <w:rsid w:val="00BE289D"/>
    <w:rsid w:val="00BE2AC5"/>
    <w:rsid w:val="00BE30D6"/>
    <w:rsid w:val="00BE3C07"/>
    <w:rsid w:val="00BE477A"/>
    <w:rsid w:val="00BE4C92"/>
    <w:rsid w:val="00BE50D2"/>
    <w:rsid w:val="00BE52C2"/>
    <w:rsid w:val="00BE6217"/>
    <w:rsid w:val="00BE6361"/>
    <w:rsid w:val="00BE6735"/>
    <w:rsid w:val="00BE6AD5"/>
    <w:rsid w:val="00BE6CEA"/>
    <w:rsid w:val="00BE7214"/>
    <w:rsid w:val="00BE76A9"/>
    <w:rsid w:val="00BE772F"/>
    <w:rsid w:val="00BE7984"/>
    <w:rsid w:val="00BE7AF6"/>
    <w:rsid w:val="00BE7E84"/>
    <w:rsid w:val="00BF00D7"/>
    <w:rsid w:val="00BF0855"/>
    <w:rsid w:val="00BF0CF2"/>
    <w:rsid w:val="00BF155D"/>
    <w:rsid w:val="00BF157F"/>
    <w:rsid w:val="00BF20C0"/>
    <w:rsid w:val="00BF29E8"/>
    <w:rsid w:val="00BF2AA3"/>
    <w:rsid w:val="00BF2B63"/>
    <w:rsid w:val="00BF2EC9"/>
    <w:rsid w:val="00BF3073"/>
    <w:rsid w:val="00BF310B"/>
    <w:rsid w:val="00BF34D3"/>
    <w:rsid w:val="00BF4099"/>
    <w:rsid w:val="00BF49FE"/>
    <w:rsid w:val="00BF4E51"/>
    <w:rsid w:val="00BF52BA"/>
    <w:rsid w:val="00BF56A0"/>
    <w:rsid w:val="00BF58A6"/>
    <w:rsid w:val="00BF5A82"/>
    <w:rsid w:val="00BF5B40"/>
    <w:rsid w:val="00BF640C"/>
    <w:rsid w:val="00BF6705"/>
    <w:rsid w:val="00BF6BE9"/>
    <w:rsid w:val="00BF780E"/>
    <w:rsid w:val="00BF7A59"/>
    <w:rsid w:val="00BF7E18"/>
    <w:rsid w:val="00BF7F0D"/>
    <w:rsid w:val="00C00125"/>
    <w:rsid w:val="00C007F5"/>
    <w:rsid w:val="00C00A28"/>
    <w:rsid w:val="00C00C0B"/>
    <w:rsid w:val="00C00E59"/>
    <w:rsid w:val="00C013B5"/>
    <w:rsid w:val="00C013EB"/>
    <w:rsid w:val="00C01791"/>
    <w:rsid w:val="00C018F8"/>
    <w:rsid w:val="00C01A36"/>
    <w:rsid w:val="00C02D16"/>
    <w:rsid w:val="00C02E16"/>
    <w:rsid w:val="00C03508"/>
    <w:rsid w:val="00C035CC"/>
    <w:rsid w:val="00C039B6"/>
    <w:rsid w:val="00C03F76"/>
    <w:rsid w:val="00C04D46"/>
    <w:rsid w:val="00C04ED4"/>
    <w:rsid w:val="00C05290"/>
    <w:rsid w:val="00C0532A"/>
    <w:rsid w:val="00C0566F"/>
    <w:rsid w:val="00C05D72"/>
    <w:rsid w:val="00C05E4D"/>
    <w:rsid w:val="00C065D3"/>
    <w:rsid w:val="00C069D5"/>
    <w:rsid w:val="00C06AFA"/>
    <w:rsid w:val="00C06C47"/>
    <w:rsid w:val="00C07F39"/>
    <w:rsid w:val="00C101E1"/>
    <w:rsid w:val="00C107CA"/>
    <w:rsid w:val="00C10A27"/>
    <w:rsid w:val="00C10C88"/>
    <w:rsid w:val="00C1148A"/>
    <w:rsid w:val="00C11CE3"/>
    <w:rsid w:val="00C1221B"/>
    <w:rsid w:val="00C128B2"/>
    <w:rsid w:val="00C13A07"/>
    <w:rsid w:val="00C13DDE"/>
    <w:rsid w:val="00C13FA0"/>
    <w:rsid w:val="00C14434"/>
    <w:rsid w:val="00C14AE6"/>
    <w:rsid w:val="00C14C5E"/>
    <w:rsid w:val="00C14F31"/>
    <w:rsid w:val="00C1551F"/>
    <w:rsid w:val="00C158BE"/>
    <w:rsid w:val="00C16588"/>
    <w:rsid w:val="00C165EA"/>
    <w:rsid w:val="00C170DC"/>
    <w:rsid w:val="00C17C44"/>
    <w:rsid w:val="00C17D77"/>
    <w:rsid w:val="00C20385"/>
    <w:rsid w:val="00C20397"/>
    <w:rsid w:val="00C203FB"/>
    <w:rsid w:val="00C208E1"/>
    <w:rsid w:val="00C209FE"/>
    <w:rsid w:val="00C21697"/>
    <w:rsid w:val="00C2180F"/>
    <w:rsid w:val="00C21BDE"/>
    <w:rsid w:val="00C22714"/>
    <w:rsid w:val="00C22AA2"/>
    <w:rsid w:val="00C231F6"/>
    <w:rsid w:val="00C2364B"/>
    <w:rsid w:val="00C23A94"/>
    <w:rsid w:val="00C23DF1"/>
    <w:rsid w:val="00C240AC"/>
    <w:rsid w:val="00C2428E"/>
    <w:rsid w:val="00C24421"/>
    <w:rsid w:val="00C246E2"/>
    <w:rsid w:val="00C24836"/>
    <w:rsid w:val="00C25B45"/>
    <w:rsid w:val="00C26612"/>
    <w:rsid w:val="00C26869"/>
    <w:rsid w:val="00C26A20"/>
    <w:rsid w:val="00C271F8"/>
    <w:rsid w:val="00C2767A"/>
    <w:rsid w:val="00C279AD"/>
    <w:rsid w:val="00C27E3D"/>
    <w:rsid w:val="00C27F38"/>
    <w:rsid w:val="00C30180"/>
    <w:rsid w:val="00C301E4"/>
    <w:rsid w:val="00C301EA"/>
    <w:rsid w:val="00C3039C"/>
    <w:rsid w:val="00C30F41"/>
    <w:rsid w:val="00C31251"/>
    <w:rsid w:val="00C32809"/>
    <w:rsid w:val="00C32903"/>
    <w:rsid w:val="00C32FF5"/>
    <w:rsid w:val="00C3309E"/>
    <w:rsid w:val="00C335D6"/>
    <w:rsid w:val="00C337D8"/>
    <w:rsid w:val="00C33D5B"/>
    <w:rsid w:val="00C33D7B"/>
    <w:rsid w:val="00C34223"/>
    <w:rsid w:val="00C34597"/>
    <w:rsid w:val="00C345CD"/>
    <w:rsid w:val="00C346B6"/>
    <w:rsid w:val="00C34AB3"/>
    <w:rsid w:val="00C35215"/>
    <w:rsid w:val="00C35742"/>
    <w:rsid w:val="00C35E7E"/>
    <w:rsid w:val="00C35F7B"/>
    <w:rsid w:val="00C3647B"/>
    <w:rsid w:val="00C36667"/>
    <w:rsid w:val="00C366E3"/>
    <w:rsid w:val="00C36AB6"/>
    <w:rsid w:val="00C36C6C"/>
    <w:rsid w:val="00C371E2"/>
    <w:rsid w:val="00C3793E"/>
    <w:rsid w:val="00C37A1E"/>
    <w:rsid w:val="00C37D06"/>
    <w:rsid w:val="00C37FEF"/>
    <w:rsid w:val="00C41ED6"/>
    <w:rsid w:val="00C42407"/>
    <w:rsid w:val="00C42B17"/>
    <w:rsid w:val="00C42C66"/>
    <w:rsid w:val="00C43291"/>
    <w:rsid w:val="00C44455"/>
    <w:rsid w:val="00C4466C"/>
    <w:rsid w:val="00C448D4"/>
    <w:rsid w:val="00C44944"/>
    <w:rsid w:val="00C44A78"/>
    <w:rsid w:val="00C44A84"/>
    <w:rsid w:val="00C45A18"/>
    <w:rsid w:val="00C45A71"/>
    <w:rsid w:val="00C466BA"/>
    <w:rsid w:val="00C46851"/>
    <w:rsid w:val="00C46A70"/>
    <w:rsid w:val="00C46ABE"/>
    <w:rsid w:val="00C46BA5"/>
    <w:rsid w:val="00C471B7"/>
    <w:rsid w:val="00C471FB"/>
    <w:rsid w:val="00C501DB"/>
    <w:rsid w:val="00C501E3"/>
    <w:rsid w:val="00C5022C"/>
    <w:rsid w:val="00C508D1"/>
    <w:rsid w:val="00C50A05"/>
    <w:rsid w:val="00C50AB0"/>
    <w:rsid w:val="00C518A9"/>
    <w:rsid w:val="00C51946"/>
    <w:rsid w:val="00C51AB1"/>
    <w:rsid w:val="00C51E7E"/>
    <w:rsid w:val="00C52222"/>
    <w:rsid w:val="00C524FE"/>
    <w:rsid w:val="00C52969"/>
    <w:rsid w:val="00C529A5"/>
    <w:rsid w:val="00C52BB3"/>
    <w:rsid w:val="00C53642"/>
    <w:rsid w:val="00C536BE"/>
    <w:rsid w:val="00C5377D"/>
    <w:rsid w:val="00C53F3F"/>
    <w:rsid w:val="00C543FE"/>
    <w:rsid w:val="00C548B7"/>
    <w:rsid w:val="00C548D0"/>
    <w:rsid w:val="00C54A5B"/>
    <w:rsid w:val="00C55294"/>
    <w:rsid w:val="00C561F1"/>
    <w:rsid w:val="00C5637A"/>
    <w:rsid w:val="00C565F5"/>
    <w:rsid w:val="00C56BB8"/>
    <w:rsid w:val="00C57D82"/>
    <w:rsid w:val="00C60746"/>
    <w:rsid w:val="00C607FC"/>
    <w:rsid w:val="00C608A7"/>
    <w:rsid w:val="00C60CAF"/>
    <w:rsid w:val="00C61365"/>
    <w:rsid w:val="00C62066"/>
    <w:rsid w:val="00C625B3"/>
    <w:rsid w:val="00C6319D"/>
    <w:rsid w:val="00C63282"/>
    <w:rsid w:val="00C63548"/>
    <w:rsid w:val="00C639FF"/>
    <w:rsid w:val="00C63A08"/>
    <w:rsid w:val="00C63EE9"/>
    <w:rsid w:val="00C64CFB"/>
    <w:rsid w:val="00C65753"/>
    <w:rsid w:val="00C66AC2"/>
    <w:rsid w:val="00C6702E"/>
    <w:rsid w:val="00C67609"/>
    <w:rsid w:val="00C678A0"/>
    <w:rsid w:val="00C702F5"/>
    <w:rsid w:val="00C718A5"/>
    <w:rsid w:val="00C71987"/>
    <w:rsid w:val="00C71F67"/>
    <w:rsid w:val="00C72130"/>
    <w:rsid w:val="00C721F2"/>
    <w:rsid w:val="00C726F0"/>
    <w:rsid w:val="00C72FC8"/>
    <w:rsid w:val="00C73911"/>
    <w:rsid w:val="00C7466D"/>
    <w:rsid w:val="00C74694"/>
    <w:rsid w:val="00C7486C"/>
    <w:rsid w:val="00C74897"/>
    <w:rsid w:val="00C74C5C"/>
    <w:rsid w:val="00C75023"/>
    <w:rsid w:val="00C75522"/>
    <w:rsid w:val="00C75567"/>
    <w:rsid w:val="00C75DB6"/>
    <w:rsid w:val="00C762F3"/>
    <w:rsid w:val="00C76376"/>
    <w:rsid w:val="00C76751"/>
    <w:rsid w:val="00C768E8"/>
    <w:rsid w:val="00C76A11"/>
    <w:rsid w:val="00C76C64"/>
    <w:rsid w:val="00C77039"/>
    <w:rsid w:val="00C776AB"/>
    <w:rsid w:val="00C80525"/>
    <w:rsid w:val="00C806C5"/>
    <w:rsid w:val="00C806FD"/>
    <w:rsid w:val="00C80A0B"/>
    <w:rsid w:val="00C81105"/>
    <w:rsid w:val="00C82281"/>
    <w:rsid w:val="00C827D3"/>
    <w:rsid w:val="00C83340"/>
    <w:rsid w:val="00C834A3"/>
    <w:rsid w:val="00C838B5"/>
    <w:rsid w:val="00C838F3"/>
    <w:rsid w:val="00C83B86"/>
    <w:rsid w:val="00C83D8B"/>
    <w:rsid w:val="00C84422"/>
    <w:rsid w:val="00C8497D"/>
    <w:rsid w:val="00C84AD4"/>
    <w:rsid w:val="00C85459"/>
    <w:rsid w:val="00C85A99"/>
    <w:rsid w:val="00C85BD4"/>
    <w:rsid w:val="00C8640B"/>
    <w:rsid w:val="00C86F11"/>
    <w:rsid w:val="00C86F62"/>
    <w:rsid w:val="00C8707A"/>
    <w:rsid w:val="00C8718C"/>
    <w:rsid w:val="00C87325"/>
    <w:rsid w:val="00C8776F"/>
    <w:rsid w:val="00C87A11"/>
    <w:rsid w:val="00C87FB5"/>
    <w:rsid w:val="00C9128C"/>
    <w:rsid w:val="00C91583"/>
    <w:rsid w:val="00C9162D"/>
    <w:rsid w:val="00C91F08"/>
    <w:rsid w:val="00C91FE9"/>
    <w:rsid w:val="00C9203A"/>
    <w:rsid w:val="00C92159"/>
    <w:rsid w:val="00C92A6B"/>
    <w:rsid w:val="00C930EA"/>
    <w:rsid w:val="00C932F2"/>
    <w:rsid w:val="00C9335D"/>
    <w:rsid w:val="00C9467A"/>
    <w:rsid w:val="00C947A7"/>
    <w:rsid w:val="00C953CA"/>
    <w:rsid w:val="00C95747"/>
    <w:rsid w:val="00C959AC"/>
    <w:rsid w:val="00C95B06"/>
    <w:rsid w:val="00C95D23"/>
    <w:rsid w:val="00C96143"/>
    <w:rsid w:val="00C969A3"/>
    <w:rsid w:val="00C97212"/>
    <w:rsid w:val="00C973AC"/>
    <w:rsid w:val="00C97FD2"/>
    <w:rsid w:val="00CA0309"/>
    <w:rsid w:val="00CA061F"/>
    <w:rsid w:val="00CA0690"/>
    <w:rsid w:val="00CA073F"/>
    <w:rsid w:val="00CA1415"/>
    <w:rsid w:val="00CA2A9D"/>
    <w:rsid w:val="00CA2C1C"/>
    <w:rsid w:val="00CA365B"/>
    <w:rsid w:val="00CA38DE"/>
    <w:rsid w:val="00CA417D"/>
    <w:rsid w:val="00CA41B9"/>
    <w:rsid w:val="00CA42A3"/>
    <w:rsid w:val="00CA453C"/>
    <w:rsid w:val="00CA483E"/>
    <w:rsid w:val="00CA4941"/>
    <w:rsid w:val="00CA5B08"/>
    <w:rsid w:val="00CA635E"/>
    <w:rsid w:val="00CA6C1B"/>
    <w:rsid w:val="00CA6CA4"/>
    <w:rsid w:val="00CA7786"/>
    <w:rsid w:val="00CA7DEE"/>
    <w:rsid w:val="00CB084E"/>
    <w:rsid w:val="00CB091E"/>
    <w:rsid w:val="00CB0A5B"/>
    <w:rsid w:val="00CB0C41"/>
    <w:rsid w:val="00CB0F2F"/>
    <w:rsid w:val="00CB1E29"/>
    <w:rsid w:val="00CB1F12"/>
    <w:rsid w:val="00CB2683"/>
    <w:rsid w:val="00CB2A95"/>
    <w:rsid w:val="00CB31EC"/>
    <w:rsid w:val="00CB35C6"/>
    <w:rsid w:val="00CB3775"/>
    <w:rsid w:val="00CB3DA7"/>
    <w:rsid w:val="00CB42E1"/>
    <w:rsid w:val="00CB43D2"/>
    <w:rsid w:val="00CB56BF"/>
    <w:rsid w:val="00CB59D0"/>
    <w:rsid w:val="00CB60A8"/>
    <w:rsid w:val="00CB6430"/>
    <w:rsid w:val="00CB664C"/>
    <w:rsid w:val="00CB693B"/>
    <w:rsid w:val="00CB6EB1"/>
    <w:rsid w:val="00CB7108"/>
    <w:rsid w:val="00CB793F"/>
    <w:rsid w:val="00CC0867"/>
    <w:rsid w:val="00CC101B"/>
    <w:rsid w:val="00CC114C"/>
    <w:rsid w:val="00CC153A"/>
    <w:rsid w:val="00CC1CC5"/>
    <w:rsid w:val="00CC22A3"/>
    <w:rsid w:val="00CC305A"/>
    <w:rsid w:val="00CC33F4"/>
    <w:rsid w:val="00CC3E0F"/>
    <w:rsid w:val="00CC3FAB"/>
    <w:rsid w:val="00CC46BB"/>
    <w:rsid w:val="00CC48F6"/>
    <w:rsid w:val="00CC4B77"/>
    <w:rsid w:val="00CC56A0"/>
    <w:rsid w:val="00CC5AFC"/>
    <w:rsid w:val="00CC614C"/>
    <w:rsid w:val="00CC615E"/>
    <w:rsid w:val="00CC647E"/>
    <w:rsid w:val="00CC64AF"/>
    <w:rsid w:val="00CC6602"/>
    <w:rsid w:val="00CC66D9"/>
    <w:rsid w:val="00CC69A4"/>
    <w:rsid w:val="00CC6A61"/>
    <w:rsid w:val="00CC6D46"/>
    <w:rsid w:val="00CC73EC"/>
    <w:rsid w:val="00CC7DBF"/>
    <w:rsid w:val="00CD1F4D"/>
    <w:rsid w:val="00CD1F9D"/>
    <w:rsid w:val="00CD2405"/>
    <w:rsid w:val="00CD26B0"/>
    <w:rsid w:val="00CD348C"/>
    <w:rsid w:val="00CD3518"/>
    <w:rsid w:val="00CD351B"/>
    <w:rsid w:val="00CD3615"/>
    <w:rsid w:val="00CD3B3B"/>
    <w:rsid w:val="00CD43D8"/>
    <w:rsid w:val="00CD46DB"/>
    <w:rsid w:val="00CD4B4C"/>
    <w:rsid w:val="00CD4EF6"/>
    <w:rsid w:val="00CD54DF"/>
    <w:rsid w:val="00CD5702"/>
    <w:rsid w:val="00CD5848"/>
    <w:rsid w:val="00CD58A5"/>
    <w:rsid w:val="00CD5BC7"/>
    <w:rsid w:val="00CD5E43"/>
    <w:rsid w:val="00CD60E7"/>
    <w:rsid w:val="00CD6666"/>
    <w:rsid w:val="00CD670E"/>
    <w:rsid w:val="00CD67EA"/>
    <w:rsid w:val="00CD68A7"/>
    <w:rsid w:val="00CD6B5E"/>
    <w:rsid w:val="00CD6F28"/>
    <w:rsid w:val="00CD7295"/>
    <w:rsid w:val="00CD7499"/>
    <w:rsid w:val="00CD772B"/>
    <w:rsid w:val="00CD7892"/>
    <w:rsid w:val="00CE0447"/>
    <w:rsid w:val="00CE0B03"/>
    <w:rsid w:val="00CE1AC0"/>
    <w:rsid w:val="00CE286D"/>
    <w:rsid w:val="00CE3556"/>
    <w:rsid w:val="00CE3B41"/>
    <w:rsid w:val="00CE3DE2"/>
    <w:rsid w:val="00CE3E86"/>
    <w:rsid w:val="00CE43EF"/>
    <w:rsid w:val="00CE4901"/>
    <w:rsid w:val="00CE577B"/>
    <w:rsid w:val="00CE60C9"/>
    <w:rsid w:val="00CE65EB"/>
    <w:rsid w:val="00CE6862"/>
    <w:rsid w:val="00CE6A91"/>
    <w:rsid w:val="00CE6F48"/>
    <w:rsid w:val="00CE76E7"/>
    <w:rsid w:val="00CF0687"/>
    <w:rsid w:val="00CF07F2"/>
    <w:rsid w:val="00CF116B"/>
    <w:rsid w:val="00CF11E0"/>
    <w:rsid w:val="00CF164A"/>
    <w:rsid w:val="00CF1D11"/>
    <w:rsid w:val="00CF32C3"/>
    <w:rsid w:val="00CF3302"/>
    <w:rsid w:val="00CF3327"/>
    <w:rsid w:val="00CF338B"/>
    <w:rsid w:val="00CF349F"/>
    <w:rsid w:val="00CF37B6"/>
    <w:rsid w:val="00CF3D6F"/>
    <w:rsid w:val="00CF4F7E"/>
    <w:rsid w:val="00CF52E3"/>
    <w:rsid w:val="00CF58ED"/>
    <w:rsid w:val="00CF61C5"/>
    <w:rsid w:val="00CF785A"/>
    <w:rsid w:val="00D002A2"/>
    <w:rsid w:val="00D00E25"/>
    <w:rsid w:val="00D019FB"/>
    <w:rsid w:val="00D01C8E"/>
    <w:rsid w:val="00D01D65"/>
    <w:rsid w:val="00D01E01"/>
    <w:rsid w:val="00D022BF"/>
    <w:rsid w:val="00D02BA9"/>
    <w:rsid w:val="00D031C3"/>
    <w:rsid w:val="00D03641"/>
    <w:rsid w:val="00D03701"/>
    <w:rsid w:val="00D03879"/>
    <w:rsid w:val="00D044A6"/>
    <w:rsid w:val="00D04813"/>
    <w:rsid w:val="00D04834"/>
    <w:rsid w:val="00D0483E"/>
    <w:rsid w:val="00D04E40"/>
    <w:rsid w:val="00D04EFB"/>
    <w:rsid w:val="00D058CA"/>
    <w:rsid w:val="00D05AC2"/>
    <w:rsid w:val="00D05AD3"/>
    <w:rsid w:val="00D05FC6"/>
    <w:rsid w:val="00D06AED"/>
    <w:rsid w:val="00D06C58"/>
    <w:rsid w:val="00D07059"/>
    <w:rsid w:val="00D077AE"/>
    <w:rsid w:val="00D1000E"/>
    <w:rsid w:val="00D10040"/>
    <w:rsid w:val="00D102C7"/>
    <w:rsid w:val="00D10604"/>
    <w:rsid w:val="00D106C3"/>
    <w:rsid w:val="00D10BAE"/>
    <w:rsid w:val="00D11981"/>
    <w:rsid w:val="00D11DE8"/>
    <w:rsid w:val="00D1226D"/>
    <w:rsid w:val="00D12311"/>
    <w:rsid w:val="00D128C4"/>
    <w:rsid w:val="00D12CD8"/>
    <w:rsid w:val="00D12CF6"/>
    <w:rsid w:val="00D13623"/>
    <w:rsid w:val="00D13F2A"/>
    <w:rsid w:val="00D143BD"/>
    <w:rsid w:val="00D14578"/>
    <w:rsid w:val="00D14CFE"/>
    <w:rsid w:val="00D15A77"/>
    <w:rsid w:val="00D15BA3"/>
    <w:rsid w:val="00D1630A"/>
    <w:rsid w:val="00D168BF"/>
    <w:rsid w:val="00D16EE6"/>
    <w:rsid w:val="00D17A8E"/>
    <w:rsid w:val="00D17FDE"/>
    <w:rsid w:val="00D202A4"/>
    <w:rsid w:val="00D20626"/>
    <w:rsid w:val="00D20775"/>
    <w:rsid w:val="00D20DDF"/>
    <w:rsid w:val="00D20FCA"/>
    <w:rsid w:val="00D21880"/>
    <w:rsid w:val="00D21BE7"/>
    <w:rsid w:val="00D21D89"/>
    <w:rsid w:val="00D21F1B"/>
    <w:rsid w:val="00D22A8C"/>
    <w:rsid w:val="00D231E7"/>
    <w:rsid w:val="00D23AE3"/>
    <w:rsid w:val="00D23F66"/>
    <w:rsid w:val="00D24BA2"/>
    <w:rsid w:val="00D24DB3"/>
    <w:rsid w:val="00D25061"/>
    <w:rsid w:val="00D25941"/>
    <w:rsid w:val="00D2696F"/>
    <w:rsid w:val="00D26C08"/>
    <w:rsid w:val="00D26FF6"/>
    <w:rsid w:val="00D27227"/>
    <w:rsid w:val="00D27948"/>
    <w:rsid w:val="00D27BC5"/>
    <w:rsid w:val="00D3009F"/>
    <w:rsid w:val="00D308FF"/>
    <w:rsid w:val="00D30A75"/>
    <w:rsid w:val="00D30DF6"/>
    <w:rsid w:val="00D3103E"/>
    <w:rsid w:val="00D3113C"/>
    <w:rsid w:val="00D31146"/>
    <w:rsid w:val="00D31235"/>
    <w:rsid w:val="00D31621"/>
    <w:rsid w:val="00D32A9E"/>
    <w:rsid w:val="00D32CD1"/>
    <w:rsid w:val="00D33D73"/>
    <w:rsid w:val="00D340E6"/>
    <w:rsid w:val="00D341C2"/>
    <w:rsid w:val="00D349BC"/>
    <w:rsid w:val="00D34A5D"/>
    <w:rsid w:val="00D34C59"/>
    <w:rsid w:val="00D352AB"/>
    <w:rsid w:val="00D35594"/>
    <w:rsid w:val="00D356F9"/>
    <w:rsid w:val="00D35EB1"/>
    <w:rsid w:val="00D363C1"/>
    <w:rsid w:val="00D36B0F"/>
    <w:rsid w:val="00D36BF3"/>
    <w:rsid w:val="00D371BB"/>
    <w:rsid w:val="00D37579"/>
    <w:rsid w:val="00D4058D"/>
    <w:rsid w:val="00D406D3"/>
    <w:rsid w:val="00D40C52"/>
    <w:rsid w:val="00D413A7"/>
    <w:rsid w:val="00D41D4F"/>
    <w:rsid w:val="00D4210E"/>
    <w:rsid w:val="00D42B28"/>
    <w:rsid w:val="00D432BF"/>
    <w:rsid w:val="00D43455"/>
    <w:rsid w:val="00D434F6"/>
    <w:rsid w:val="00D43649"/>
    <w:rsid w:val="00D43E2D"/>
    <w:rsid w:val="00D43F3D"/>
    <w:rsid w:val="00D446EA"/>
    <w:rsid w:val="00D447FF"/>
    <w:rsid w:val="00D44988"/>
    <w:rsid w:val="00D44C6C"/>
    <w:rsid w:val="00D4533C"/>
    <w:rsid w:val="00D45BF2"/>
    <w:rsid w:val="00D475BE"/>
    <w:rsid w:val="00D50410"/>
    <w:rsid w:val="00D507AE"/>
    <w:rsid w:val="00D5080F"/>
    <w:rsid w:val="00D5081A"/>
    <w:rsid w:val="00D508E8"/>
    <w:rsid w:val="00D50E7D"/>
    <w:rsid w:val="00D514CE"/>
    <w:rsid w:val="00D5154F"/>
    <w:rsid w:val="00D515BF"/>
    <w:rsid w:val="00D518F4"/>
    <w:rsid w:val="00D51B52"/>
    <w:rsid w:val="00D51BBC"/>
    <w:rsid w:val="00D51FD8"/>
    <w:rsid w:val="00D52121"/>
    <w:rsid w:val="00D52F40"/>
    <w:rsid w:val="00D53047"/>
    <w:rsid w:val="00D53A82"/>
    <w:rsid w:val="00D542E3"/>
    <w:rsid w:val="00D54B39"/>
    <w:rsid w:val="00D54EBA"/>
    <w:rsid w:val="00D54F9D"/>
    <w:rsid w:val="00D559B3"/>
    <w:rsid w:val="00D560B9"/>
    <w:rsid w:val="00D56551"/>
    <w:rsid w:val="00D56677"/>
    <w:rsid w:val="00D5670B"/>
    <w:rsid w:val="00D56B52"/>
    <w:rsid w:val="00D56CE5"/>
    <w:rsid w:val="00D56EC6"/>
    <w:rsid w:val="00D5748E"/>
    <w:rsid w:val="00D57664"/>
    <w:rsid w:val="00D603B0"/>
    <w:rsid w:val="00D60746"/>
    <w:rsid w:val="00D614BE"/>
    <w:rsid w:val="00D61EDA"/>
    <w:rsid w:val="00D6216A"/>
    <w:rsid w:val="00D62C0A"/>
    <w:rsid w:val="00D630E1"/>
    <w:rsid w:val="00D63F48"/>
    <w:rsid w:val="00D64064"/>
    <w:rsid w:val="00D64093"/>
    <w:rsid w:val="00D644BC"/>
    <w:rsid w:val="00D6453A"/>
    <w:rsid w:val="00D64700"/>
    <w:rsid w:val="00D64752"/>
    <w:rsid w:val="00D652F5"/>
    <w:rsid w:val="00D65B8F"/>
    <w:rsid w:val="00D668CE"/>
    <w:rsid w:val="00D67382"/>
    <w:rsid w:val="00D6761C"/>
    <w:rsid w:val="00D677D5"/>
    <w:rsid w:val="00D6785A"/>
    <w:rsid w:val="00D706D0"/>
    <w:rsid w:val="00D707BD"/>
    <w:rsid w:val="00D708F2"/>
    <w:rsid w:val="00D71143"/>
    <w:rsid w:val="00D71FED"/>
    <w:rsid w:val="00D728D2"/>
    <w:rsid w:val="00D730C7"/>
    <w:rsid w:val="00D732A6"/>
    <w:rsid w:val="00D73AB1"/>
    <w:rsid w:val="00D74530"/>
    <w:rsid w:val="00D7474F"/>
    <w:rsid w:val="00D74999"/>
    <w:rsid w:val="00D74B0A"/>
    <w:rsid w:val="00D751E6"/>
    <w:rsid w:val="00D75291"/>
    <w:rsid w:val="00D76D4B"/>
    <w:rsid w:val="00D77228"/>
    <w:rsid w:val="00D77AF6"/>
    <w:rsid w:val="00D80321"/>
    <w:rsid w:val="00D81386"/>
    <w:rsid w:val="00D814F3"/>
    <w:rsid w:val="00D817D8"/>
    <w:rsid w:val="00D819E7"/>
    <w:rsid w:val="00D81C8D"/>
    <w:rsid w:val="00D82157"/>
    <w:rsid w:val="00D82EF3"/>
    <w:rsid w:val="00D83492"/>
    <w:rsid w:val="00D8351C"/>
    <w:rsid w:val="00D83630"/>
    <w:rsid w:val="00D8390A"/>
    <w:rsid w:val="00D839A8"/>
    <w:rsid w:val="00D842AA"/>
    <w:rsid w:val="00D846D6"/>
    <w:rsid w:val="00D84ACA"/>
    <w:rsid w:val="00D84C83"/>
    <w:rsid w:val="00D8511E"/>
    <w:rsid w:val="00D85453"/>
    <w:rsid w:val="00D857E7"/>
    <w:rsid w:val="00D85DCE"/>
    <w:rsid w:val="00D85EE2"/>
    <w:rsid w:val="00D86227"/>
    <w:rsid w:val="00D86B6E"/>
    <w:rsid w:val="00D87165"/>
    <w:rsid w:val="00D909AF"/>
    <w:rsid w:val="00D909D9"/>
    <w:rsid w:val="00D90BBE"/>
    <w:rsid w:val="00D90CE5"/>
    <w:rsid w:val="00D912CF"/>
    <w:rsid w:val="00D91528"/>
    <w:rsid w:val="00D91B26"/>
    <w:rsid w:val="00D92215"/>
    <w:rsid w:val="00D929AD"/>
    <w:rsid w:val="00D92A43"/>
    <w:rsid w:val="00D92CD2"/>
    <w:rsid w:val="00D933CE"/>
    <w:rsid w:val="00D933DA"/>
    <w:rsid w:val="00D936BF"/>
    <w:rsid w:val="00D93FB7"/>
    <w:rsid w:val="00D94302"/>
    <w:rsid w:val="00D9462F"/>
    <w:rsid w:val="00D949DC"/>
    <w:rsid w:val="00D94BB2"/>
    <w:rsid w:val="00D95073"/>
    <w:rsid w:val="00D95D70"/>
    <w:rsid w:val="00D9644F"/>
    <w:rsid w:val="00D96664"/>
    <w:rsid w:val="00D96F3C"/>
    <w:rsid w:val="00D97C54"/>
    <w:rsid w:val="00D97D80"/>
    <w:rsid w:val="00D97F70"/>
    <w:rsid w:val="00DA077A"/>
    <w:rsid w:val="00DA097F"/>
    <w:rsid w:val="00DA0E5F"/>
    <w:rsid w:val="00DA1023"/>
    <w:rsid w:val="00DA1BEF"/>
    <w:rsid w:val="00DA1E73"/>
    <w:rsid w:val="00DA1EA4"/>
    <w:rsid w:val="00DA1FD4"/>
    <w:rsid w:val="00DA246D"/>
    <w:rsid w:val="00DA27B6"/>
    <w:rsid w:val="00DA2E12"/>
    <w:rsid w:val="00DA3085"/>
    <w:rsid w:val="00DA30FE"/>
    <w:rsid w:val="00DA3469"/>
    <w:rsid w:val="00DA34B0"/>
    <w:rsid w:val="00DA3700"/>
    <w:rsid w:val="00DA3A5C"/>
    <w:rsid w:val="00DA3C18"/>
    <w:rsid w:val="00DA41D3"/>
    <w:rsid w:val="00DA462C"/>
    <w:rsid w:val="00DA4A0D"/>
    <w:rsid w:val="00DA4D02"/>
    <w:rsid w:val="00DA54C3"/>
    <w:rsid w:val="00DA5C82"/>
    <w:rsid w:val="00DA60C2"/>
    <w:rsid w:val="00DA63F1"/>
    <w:rsid w:val="00DA6D0F"/>
    <w:rsid w:val="00DA72FB"/>
    <w:rsid w:val="00DA78AE"/>
    <w:rsid w:val="00DA7C57"/>
    <w:rsid w:val="00DA7D85"/>
    <w:rsid w:val="00DA7E60"/>
    <w:rsid w:val="00DB01E6"/>
    <w:rsid w:val="00DB05B5"/>
    <w:rsid w:val="00DB0BBE"/>
    <w:rsid w:val="00DB10C9"/>
    <w:rsid w:val="00DB1281"/>
    <w:rsid w:val="00DB1E53"/>
    <w:rsid w:val="00DB249A"/>
    <w:rsid w:val="00DB27D3"/>
    <w:rsid w:val="00DB2F5C"/>
    <w:rsid w:val="00DB3379"/>
    <w:rsid w:val="00DB34F7"/>
    <w:rsid w:val="00DB357C"/>
    <w:rsid w:val="00DB3608"/>
    <w:rsid w:val="00DB385F"/>
    <w:rsid w:val="00DB3869"/>
    <w:rsid w:val="00DB38AA"/>
    <w:rsid w:val="00DB3D92"/>
    <w:rsid w:val="00DB3EBF"/>
    <w:rsid w:val="00DB3ED2"/>
    <w:rsid w:val="00DB466C"/>
    <w:rsid w:val="00DB468E"/>
    <w:rsid w:val="00DB46BD"/>
    <w:rsid w:val="00DB538B"/>
    <w:rsid w:val="00DB57B8"/>
    <w:rsid w:val="00DB605C"/>
    <w:rsid w:val="00DB6B36"/>
    <w:rsid w:val="00DB776E"/>
    <w:rsid w:val="00DB77EE"/>
    <w:rsid w:val="00DC029B"/>
    <w:rsid w:val="00DC0C3D"/>
    <w:rsid w:val="00DC1126"/>
    <w:rsid w:val="00DC1B6E"/>
    <w:rsid w:val="00DC1B86"/>
    <w:rsid w:val="00DC1C65"/>
    <w:rsid w:val="00DC2161"/>
    <w:rsid w:val="00DC244B"/>
    <w:rsid w:val="00DC24B7"/>
    <w:rsid w:val="00DC2617"/>
    <w:rsid w:val="00DC26F7"/>
    <w:rsid w:val="00DC289B"/>
    <w:rsid w:val="00DC28DD"/>
    <w:rsid w:val="00DC345C"/>
    <w:rsid w:val="00DC3661"/>
    <w:rsid w:val="00DC3710"/>
    <w:rsid w:val="00DC38B7"/>
    <w:rsid w:val="00DC3B39"/>
    <w:rsid w:val="00DC3B5D"/>
    <w:rsid w:val="00DC3B67"/>
    <w:rsid w:val="00DC3CDB"/>
    <w:rsid w:val="00DC3F83"/>
    <w:rsid w:val="00DC53FB"/>
    <w:rsid w:val="00DC5769"/>
    <w:rsid w:val="00DC5B13"/>
    <w:rsid w:val="00DC5D65"/>
    <w:rsid w:val="00DC60F4"/>
    <w:rsid w:val="00DC63AF"/>
    <w:rsid w:val="00DC7A7D"/>
    <w:rsid w:val="00DC7B24"/>
    <w:rsid w:val="00DD027D"/>
    <w:rsid w:val="00DD0394"/>
    <w:rsid w:val="00DD05CE"/>
    <w:rsid w:val="00DD1471"/>
    <w:rsid w:val="00DD23A0"/>
    <w:rsid w:val="00DD288A"/>
    <w:rsid w:val="00DD2D1D"/>
    <w:rsid w:val="00DD39F4"/>
    <w:rsid w:val="00DD3B4B"/>
    <w:rsid w:val="00DD3EF4"/>
    <w:rsid w:val="00DD402D"/>
    <w:rsid w:val="00DD49AE"/>
    <w:rsid w:val="00DD4CBD"/>
    <w:rsid w:val="00DD4FE0"/>
    <w:rsid w:val="00DD51D5"/>
    <w:rsid w:val="00DD540E"/>
    <w:rsid w:val="00DD591B"/>
    <w:rsid w:val="00DD5ED3"/>
    <w:rsid w:val="00DD632E"/>
    <w:rsid w:val="00DD63CB"/>
    <w:rsid w:val="00DD66B0"/>
    <w:rsid w:val="00DD6895"/>
    <w:rsid w:val="00DD692D"/>
    <w:rsid w:val="00DD70F3"/>
    <w:rsid w:val="00DE04C9"/>
    <w:rsid w:val="00DE05C5"/>
    <w:rsid w:val="00DE066B"/>
    <w:rsid w:val="00DE1769"/>
    <w:rsid w:val="00DE1925"/>
    <w:rsid w:val="00DE1F54"/>
    <w:rsid w:val="00DE2124"/>
    <w:rsid w:val="00DE22A6"/>
    <w:rsid w:val="00DE29D0"/>
    <w:rsid w:val="00DE2B80"/>
    <w:rsid w:val="00DE2F89"/>
    <w:rsid w:val="00DE33D5"/>
    <w:rsid w:val="00DE3F99"/>
    <w:rsid w:val="00DE3FE5"/>
    <w:rsid w:val="00DE494F"/>
    <w:rsid w:val="00DE4E2E"/>
    <w:rsid w:val="00DE5161"/>
    <w:rsid w:val="00DE5A54"/>
    <w:rsid w:val="00DE5D50"/>
    <w:rsid w:val="00DE5D79"/>
    <w:rsid w:val="00DE5F09"/>
    <w:rsid w:val="00DE6156"/>
    <w:rsid w:val="00DE61D8"/>
    <w:rsid w:val="00DE63B3"/>
    <w:rsid w:val="00DE652E"/>
    <w:rsid w:val="00DE6642"/>
    <w:rsid w:val="00DE67F4"/>
    <w:rsid w:val="00DE698E"/>
    <w:rsid w:val="00DE6F0A"/>
    <w:rsid w:val="00DE77B1"/>
    <w:rsid w:val="00DE7E6A"/>
    <w:rsid w:val="00DF064C"/>
    <w:rsid w:val="00DF0B6F"/>
    <w:rsid w:val="00DF11B1"/>
    <w:rsid w:val="00DF1AD8"/>
    <w:rsid w:val="00DF1BC8"/>
    <w:rsid w:val="00DF2098"/>
    <w:rsid w:val="00DF2B73"/>
    <w:rsid w:val="00DF2C2C"/>
    <w:rsid w:val="00DF3861"/>
    <w:rsid w:val="00DF3CE6"/>
    <w:rsid w:val="00DF3D53"/>
    <w:rsid w:val="00DF4102"/>
    <w:rsid w:val="00DF4E71"/>
    <w:rsid w:val="00DF4EB5"/>
    <w:rsid w:val="00DF5CE8"/>
    <w:rsid w:val="00DF5E03"/>
    <w:rsid w:val="00DF5F72"/>
    <w:rsid w:val="00DF66CB"/>
    <w:rsid w:val="00DF6890"/>
    <w:rsid w:val="00DF6D18"/>
    <w:rsid w:val="00DF6FC2"/>
    <w:rsid w:val="00DF725A"/>
    <w:rsid w:val="00DF725B"/>
    <w:rsid w:val="00DF7580"/>
    <w:rsid w:val="00DF77FE"/>
    <w:rsid w:val="00E00E18"/>
    <w:rsid w:val="00E00E3C"/>
    <w:rsid w:val="00E00F14"/>
    <w:rsid w:val="00E0194E"/>
    <w:rsid w:val="00E02113"/>
    <w:rsid w:val="00E0229E"/>
    <w:rsid w:val="00E02824"/>
    <w:rsid w:val="00E02D5D"/>
    <w:rsid w:val="00E033EE"/>
    <w:rsid w:val="00E03721"/>
    <w:rsid w:val="00E037B5"/>
    <w:rsid w:val="00E03FC5"/>
    <w:rsid w:val="00E0486F"/>
    <w:rsid w:val="00E049BE"/>
    <w:rsid w:val="00E04B3D"/>
    <w:rsid w:val="00E0567E"/>
    <w:rsid w:val="00E05EAC"/>
    <w:rsid w:val="00E0641D"/>
    <w:rsid w:val="00E06607"/>
    <w:rsid w:val="00E0668F"/>
    <w:rsid w:val="00E06ABD"/>
    <w:rsid w:val="00E06B3F"/>
    <w:rsid w:val="00E07184"/>
    <w:rsid w:val="00E0734E"/>
    <w:rsid w:val="00E106E7"/>
    <w:rsid w:val="00E10887"/>
    <w:rsid w:val="00E10D7A"/>
    <w:rsid w:val="00E10F90"/>
    <w:rsid w:val="00E1103C"/>
    <w:rsid w:val="00E11491"/>
    <w:rsid w:val="00E11BA8"/>
    <w:rsid w:val="00E12134"/>
    <w:rsid w:val="00E126F4"/>
    <w:rsid w:val="00E12739"/>
    <w:rsid w:val="00E1296E"/>
    <w:rsid w:val="00E13532"/>
    <w:rsid w:val="00E14CCB"/>
    <w:rsid w:val="00E153FA"/>
    <w:rsid w:val="00E15A51"/>
    <w:rsid w:val="00E15EFD"/>
    <w:rsid w:val="00E1698F"/>
    <w:rsid w:val="00E16D9F"/>
    <w:rsid w:val="00E16E09"/>
    <w:rsid w:val="00E17202"/>
    <w:rsid w:val="00E17424"/>
    <w:rsid w:val="00E17806"/>
    <w:rsid w:val="00E17E73"/>
    <w:rsid w:val="00E20686"/>
    <w:rsid w:val="00E20AF1"/>
    <w:rsid w:val="00E20B88"/>
    <w:rsid w:val="00E210AF"/>
    <w:rsid w:val="00E211CC"/>
    <w:rsid w:val="00E21645"/>
    <w:rsid w:val="00E22697"/>
    <w:rsid w:val="00E230F2"/>
    <w:rsid w:val="00E24070"/>
    <w:rsid w:val="00E24443"/>
    <w:rsid w:val="00E24498"/>
    <w:rsid w:val="00E244B4"/>
    <w:rsid w:val="00E24801"/>
    <w:rsid w:val="00E24F7F"/>
    <w:rsid w:val="00E25888"/>
    <w:rsid w:val="00E25E91"/>
    <w:rsid w:val="00E25FAC"/>
    <w:rsid w:val="00E26D01"/>
    <w:rsid w:val="00E26F69"/>
    <w:rsid w:val="00E271F8"/>
    <w:rsid w:val="00E30673"/>
    <w:rsid w:val="00E309CF"/>
    <w:rsid w:val="00E30D63"/>
    <w:rsid w:val="00E30F5E"/>
    <w:rsid w:val="00E31018"/>
    <w:rsid w:val="00E3128B"/>
    <w:rsid w:val="00E31587"/>
    <w:rsid w:val="00E3178F"/>
    <w:rsid w:val="00E31B8C"/>
    <w:rsid w:val="00E324C7"/>
    <w:rsid w:val="00E324E6"/>
    <w:rsid w:val="00E32DD8"/>
    <w:rsid w:val="00E32E02"/>
    <w:rsid w:val="00E32ED5"/>
    <w:rsid w:val="00E33B62"/>
    <w:rsid w:val="00E33F28"/>
    <w:rsid w:val="00E34013"/>
    <w:rsid w:val="00E34233"/>
    <w:rsid w:val="00E357C8"/>
    <w:rsid w:val="00E35D04"/>
    <w:rsid w:val="00E3717B"/>
    <w:rsid w:val="00E373C0"/>
    <w:rsid w:val="00E37528"/>
    <w:rsid w:val="00E3758B"/>
    <w:rsid w:val="00E3772D"/>
    <w:rsid w:val="00E37850"/>
    <w:rsid w:val="00E37AB0"/>
    <w:rsid w:val="00E408C6"/>
    <w:rsid w:val="00E4093B"/>
    <w:rsid w:val="00E4100D"/>
    <w:rsid w:val="00E41548"/>
    <w:rsid w:val="00E41787"/>
    <w:rsid w:val="00E418F1"/>
    <w:rsid w:val="00E42114"/>
    <w:rsid w:val="00E43274"/>
    <w:rsid w:val="00E432F8"/>
    <w:rsid w:val="00E43982"/>
    <w:rsid w:val="00E44172"/>
    <w:rsid w:val="00E4436B"/>
    <w:rsid w:val="00E44EAD"/>
    <w:rsid w:val="00E44FE2"/>
    <w:rsid w:val="00E45974"/>
    <w:rsid w:val="00E45BD9"/>
    <w:rsid w:val="00E46102"/>
    <w:rsid w:val="00E4686E"/>
    <w:rsid w:val="00E46F66"/>
    <w:rsid w:val="00E470E3"/>
    <w:rsid w:val="00E471D6"/>
    <w:rsid w:val="00E47951"/>
    <w:rsid w:val="00E47B6C"/>
    <w:rsid w:val="00E501BC"/>
    <w:rsid w:val="00E5097F"/>
    <w:rsid w:val="00E50B40"/>
    <w:rsid w:val="00E51A87"/>
    <w:rsid w:val="00E5209D"/>
    <w:rsid w:val="00E524A4"/>
    <w:rsid w:val="00E53D37"/>
    <w:rsid w:val="00E54787"/>
    <w:rsid w:val="00E549ED"/>
    <w:rsid w:val="00E55EF2"/>
    <w:rsid w:val="00E56472"/>
    <w:rsid w:val="00E56A26"/>
    <w:rsid w:val="00E56DB7"/>
    <w:rsid w:val="00E56DCA"/>
    <w:rsid w:val="00E56FA0"/>
    <w:rsid w:val="00E57875"/>
    <w:rsid w:val="00E60756"/>
    <w:rsid w:val="00E60860"/>
    <w:rsid w:val="00E60C14"/>
    <w:rsid w:val="00E61018"/>
    <w:rsid w:val="00E611D2"/>
    <w:rsid w:val="00E6122A"/>
    <w:rsid w:val="00E61426"/>
    <w:rsid w:val="00E61A56"/>
    <w:rsid w:val="00E62729"/>
    <w:rsid w:val="00E628B6"/>
    <w:rsid w:val="00E62A82"/>
    <w:rsid w:val="00E6329E"/>
    <w:rsid w:val="00E633F9"/>
    <w:rsid w:val="00E6364A"/>
    <w:rsid w:val="00E637D2"/>
    <w:rsid w:val="00E64007"/>
    <w:rsid w:val="00E64045"/>
    <w:rsid w:val="00E64204"/>
    <w:rsid w:val="00E642C0"/>
    <w:rsid w:val="00E64343"/>
    <w:rsid w:val="00E64A52"/>
    <w:rsid w:val="00E64C6F"/>
    <w:rsid w:val="00E64E92"/>
    <w:rsid w:val="00E64E9A"/>
    <w:rsid w:val="00E64F17"/>
    <w:rsid w:val="00E6526A"/>
    <w:rsid w:val="00E655CB"/>
    <w:rsid w:val="00E65FB8"/>
    <w:rsid w:val="00E66183"/>
    <w:rsid w:val="00E66731"/>
    <w:rsid w:val="00E66C64"/>
    <w:rsid w:val="00E67237"/>
    <w:rsid w:val="00E702CC"/>
    <w:rsid w:val="00E7036F"/>
    <w:rsid w:val="00E70615"/>
    <w:rsid w:val="00E70929"/>
    <w:rsid w:val="00E70ACD"/>
    <w:rsid w:val="00E71833"/>
    <w:rsid w:val="00E71B8F"/>
    <w:rsid w:val="00E71D05"/>
    <w:rsid w:val="00E72A93"/>
    <w:rsid w:val="00E73AD0"/>
    <w:rsid w:val="00E74354"/>
    <w:rsid w:val="00E7440A"/>
    <w:rsid w:val="00E74B55"/>
    <w:rsid w:val="00E74B6B"/>
    <w:rsid w:val="00E74DEE"/>
    <w:rsid w:val="00E75CB0"/>
    <w:rsid w:val="00E75E21"/>
    <w:rsid w:val="00E76282"/>
    <w:rsid w:val="00E763CB"/>
    <w:rsid w:val="00E766F4"/>
    <w:rsid w:val="00E768AF"/>
    <w:rsid w:val="00E76FC8"/>
    <w:rsid w:val="00E7717C"/>
    <w:rsid w:val="00E77251"/>
    <w:rsid w:val="00E772C4"/>
    <w:rsid w:val="00E77723"/>
    <w:rsid w:val="00E77FDC"/>
    <w:rsid w:val="00E80AFC"/>
    <w:rsid w:val="00E80B8E"/>
    <w:rsid w:val="00E8149F"/>
    <w:rsid w:val="00E81726"/>
    <w:rsid w:val="00E81A72"/>
    <w:rsid w:val="00E81F1D"/>
    <w:rsid w:val="00E823AD"/>
    <w:rsid w:val="00E823B7"/>
    <w:rsid w:val="00E82AD9"/>
    <w:rsid w:val="00E830C1"/>
    <w:rsid w:val="00E83428"/>
    <w:rsid w:val="00E8359B"/>
    <w:rsid w:val="00E8373E"/>
    <w:rsid w:val="00E8399D"/>
    <w:rsid w:val="00E8403B"/>
    <w:rsid w:val="00E8462C"/>
    <w:rsid w:val="00E84F71"/>
    <w:rsid w:val="00E85351"/>
    <w:rsid w:val="00E85529"/>
    <w:rsid w:val="00E85AEC"/>
    <w:rsid w:val="00E85C2C"/>
    <w:rsid w:val="00E85CEE"/>
    <w:rsid w:val="00E862F3"/>
    <w:rsid w:val="00E86308"/>
    <w:rsid w:val="00E863AA"/>
    <w:rsid w:val="00E866D3"/>
    <w:rsid w:val="00E868D0"/>
    <w:rsid w:val="00E87258"/>
    <w:rsid w:val="00E877F6"/>
    <w:rsid w:val="00E87922"/>
    <w:rsid w:val="00E87E86"/>
    <w:rsid w:val="00E900E9"/>
    <w:rsid w:val="00E900F9"/>
    <w:rsid w:val="00E9010A"/>
    <w:rsid w:val="00E90772"/>
    <w:rsid w:val="00E90D14"/>
    <w:rsid w:val="00E917B0"/>
    <w:rsid w:val="00E91AC4"/>
    <w:rsid w:val="00E91D2F"/>
    <w:rsid w:val="00E92756"/>
    <w:rsid w:val="00E9277D"/>
    <w:rsid w:val="00E929B8"/>
    <w:rsid w:val="00E935DC"/>
    <w:rsid w:val="00E94DFD"/>
    <w:rsid w:val="00E952A1"/>
    <w:rsid w:val="00E956DA"/>
    <w:rsid w:val="00E9671D"/>
    <w:rsid w:val="00E97167"/>
    <w:rsid w:val="00E9738B"/>
    <w:rsid w:val="00E977E8"/>
    <w:rsid w:val="00E97AA4"/>
    <w:rsid w:val="00E97EC1"/>
    <w:rsid w:val="00EA0587"/>
    <w:rsid w:val="00EA0603"/>
    <w:rsid w:val="00EA0D51"/>
    <w:rsid w:val="00EA1302"/>
    <w:rsid w:val="00EA17DE"/>
    <w:rsid w:val="00EA2980"/>
    <w:rsid w:val="00EA3595"/>
    <w:rsid w:val="00EA441D"/>
    <w:rsid w:val="00EA4CE4"/>
    <w:rsid w:val="00EA4CF1"/>
    <w:rsid w:val="00EA52A2"/>
    <w:rsid w:val="00EA589A"/>
    <w:rsid w:val="00EA5905"/>
    <w:rsid w:val="00EA6115"/>
    <w:rsid w:val="00EA6298"/>
    <w:rsid w:val="00EA67BF"/>
    <w:rsid w:val="00EA6B9F"/>
    <w:rsid w:val="00EA6DDB"/>
    <w:rsid w:val="00EA6E5A"/>
    <w:rsid w:val="00EA72CD"/>
    <w:rsid w:val="00EA7A71"/>
    <w:rsid w:val="00EB0578"/>
    <w:rsid w:val="00EB0885"/>
    <w:rsid w:val="00EB08E9"/>
    <w:rsid w:val="00EB09A5"/>
    <w:rsid w:val="00EB1098"/>
    <w:rsid w:val="00EB1184"/>
    <w:rsid w:val="00EB2353"/>
    <w:rsid w:val="00EB2D05"/>
    <w:rsid w:val="00EB31A8"/>
    <w:rsid w:val="00EB33D8"/>
    <w:rsid w:val="00EB3CAF"/>
    <w:rsid w:val="00EB41EC"/>
    <w:rsid w:val="00EB4335"/>
    <w:rsid w:val="00EB4B46"/>
    <w:rsid w:val="00EB4C85"/>
    <w:rsid w:val="00EB4E38"/>
    <w:rsid w:val="00EB568C"/>
    <w:rsid w:val="00EB573D"/>
    <w:rsid w:val="00EB5BE6"/>
    <w:rsid w:val="00EB5EFF"/>
    <w:rsid w:val="00EB5F23"/>
    <w:rsid w:val="00EB6143"/>
    <w:rsid w:val="00EB656E"/>
    <w:rsid w:val="00EB69CC"/>
    <w:rsid w:val="00EB6A94"/>
    <w:rsid w:val="00EC0554"/>
    <w:rsid w:val="00EC098A"/>
    <w:rsid w:val="00EC1044"/>
    <w:rsid w:val="00EC16A4"/>
    <w:rsid w:val="00EC1785"/>
    <w:rsid w:val="00EC1E89"/>
    <w:rsid w:val="00EC203B"/>
    <w:rsid w:val="00EC2179"/>
    <w:rsid w:val="00EC22E8"/>
    <w:rsid w:val="00EC263A"/>
    <w:rsid w:val="00EC2EA2"/>
    <w:rsid w:val="00EC441E"/>
    <w:rsid w:val="00EC486D"/>
    <w:rsid w:val="00EC49C1"/>
    <w:rsid w:val="00EC4BFE"/>
    <w:rsid w:val="00EC500D"/>
    <w:rsid w:val="00EC5583"/>
    <w:rsid w:val="00EC55C2"/>
    <w:rsid w:val="00EC5AD3"/>
    <w:rsid w:val="00EC619A"/>
    <w:rsid w:val="00EC62AF"/>
    <w:rsid w:val="00EC63A2"/>
    <w:rsid w:val="00EC67C5"/>
    <w:rsid w:val="00EC6BA3"/>
    <w:rsid w:val="00EC6C55"/>
    <w:rsid w:val="00EC7C64"/>
    <w:rsid w:val="00EC7F21"/>
    <w:rsid w:val="00ED0488"/>
    <w:rsid w:val="00ED0AD9"/>
    <w:rsid w:val="00ED0B67"/>
    <w:rsid w:val="00ED0CAA"/>
    <w:rsid w:val="00ED1631"/>
    <w:rsid w:val="00ED195C"/>
    <w:rsid w:val="00ED2049"/>
    <w:rsid w:val="00ED2509"/>
    <w:rsid w:val="00ED2D50"/>
    <w:rsid w:val="00ED4BA0"/>
    <w:rsid w:val="00ED526A"/>
    <w:rsid w:val="00ED5A52"/>
    <w:rsid w:val="00ED5DF6"/>
    <w:rsid w:val="00ED6157"/>
    <w:rsid w:val="00ED663B"/>
    <w:rsid w:val="00ED6765"/>
    <w:rsid w:val="00ED69C1"/>
    <w:rsid w:val="00ED6E16"/>
    <w:rsid w:val="00ED7971"/>
    <w:rsid w:val="00EE002C"/>
    <w:rsid w:val="00EE042D"/>
    <w:rsid w:val="00EE08C1"/>
    <w:rsid w:val="00EE0DD6"/>
    <w:rsid w:val="00EE0F53"/>
    <w:rsid w:val="00EE1412"/>
    <w:rsid w:val="00EE14FF"/>
    <w:rsid w:val="00EE181F"/>
    <w:rsid w:val="00EE1E05"/>
    <w:rsid w:val="00EE1FD1"/>
    <w:rsid w:val="00EE26AC"/>
    <w:rsid w:val="00EE3997"/>
    <w:rsid w:val="00EE3F8E"/>
    <w:rsid w:val="00EE4A75"/>
    <w:rsid w:val="00EE4DBA"/>
    <w:rsid w:val="00EE4EDE"/>
    <w:rsid w:val="00EE4FBC"/>
    <w:rsid w:val="00EE5006"/>
    <w:rsid w:val="00EE5807"/>
    <w:rsid w:val="00EE5F4D"/>
    <w:rsid w:val="00EE60FA"/>
    <w:rsid w:val="00EE6A4B"/>
    <w:rsid w:val="00EE6C2A"/>
    <w:rsid w:val="00EE7060"/>
    <w:rsid w:val="00EE764E"/>
    <w:rsid w:val="00EE77FC"/>
    <w:rsid w:val="00EE7CB0"/>
    <w:rsid w:val="00EE7D0A"/>
    <w:rsid w:val="00EF0336"/>
    <w:rsid w:val="00EF0A9B"/>
    <w:rsid w:val="00EF0B6A"/>
    <w:rsid w:val="00EF0CF1"/>
    <w:rsid w:val="00EF0DCD"/>
    <w:rsid w:val="00EF1218"/>
    <w:rsid w:val="00EF1633"/>
    <w:rsid w:val="00EF1696"/>
    <w:rsid w:val="00EF1A55"/>
    <w:rsid w:val="00EF1ACA"/>
    <w:rsid w:val="00EF1C73"/>
    <w:rsid w:val="00EF1CF7"/>
    <w:rsid w:val="00EF225B"/>
    <w:rsid w:val="00EF27C0"/>
    <w:rsid w:val="00EF2C5A"/>
    <w:rsid w:val="00EF313A"/>
    <w:rsid w:val="00EF32A8"/>
    <w:rsid w:val="00EF3BD4"/>
    <w:rsid w:val="00EF4595"/>
    <w:rsid w:val="00EF465C"/>
    <w:rsid w:val="00EF475C"/>
    <w:rsid w:val="00EF4A0C"/>
    <w:rsid w:val="00EF4D11"/>
    <w:rsid w:val="00EF5C00"/>
    <w:rsid w:val="00EF5D63"/>
    <w:rsid w:val="00EF6867"/>
    <w:rsid w:val="00EF6A2E"/>
    <w:rsid w:val="00EF6DDE"/>
    <w:rsid w:val="00EF6FB9"/>
    <w:rsid w:val="00EF7209"/>
    <w:rsid w:val="00EF7242"/>
    <w:rsid w:val="00EF7805"/>
    <w:rsid w:val="00EF78EC"/>
    <w:rsid w:val="00EF7D8A"/>
    <w:rsid w:val="00F00140"/>
    <w:rsid w:val="00F0046C"/>
    <w:rsid w:val="00F01432"/>
    <w:rsid w:val="00F01570"/>
    <w:rsid w:val="00F01B64"/>
    <w:rsid w:val="00F01B91"/>
    <w:rsid w:val="00F01CE7"/>
    <w:rsid w:val="00F02C11"/>
    <w:rsid w:val="00F0325A"/>
    <w:rsid w:val="00F03AE1"/>
    <w:rsid w:val="00F03F22"/>
    <w:rsid w:val="00F04069"/>
    <w:rsid w:val="00F0424C"/>
    <w:rsid w:val="00F04B8A"/>
    <w:rsid w:val="00F04D4A"/>
    <w:rsid w:val="00F0564E"/>
    <w:rsid w:val="00F06148"/>
    <w:rsid w:val="00F06237"/>
    <w:rsid w:val="00F062E2"/>
    <w:rsid w:val="00F0672F"/>
    <w:rsid w:val="00F071E9"/>
    <w:rsid w:val="00F077DA"/>
    <w:rsid w:val="00F078FB"/>
    <w:rsid w:val="00F07E04"/>
    <w:rsid w:val="00F07E61"/>
    <w:rsid w:val="00F1011D"/>
    <w:rsid w:val="00F1029B"/>
    <w:rsid w:val="00F105AE"/>
    <w:rsid w:val="00F10DC7"/>
    <w:rsid w:val="00F10F08"/>
    <w:rsid w:val="00F11063"/>
    <w:rsid w:val="00F1109C"/>
    <w:rsid w:val="00F11481"/>
    <w:rsid w:val="00F118C1"/>
    <w:rsid w:val="00F11C28"/>
    <w:rsid w:val="00F11E5F"/>
    <w:rsid w:val="00F11E80"/>
    <w:rsid w:val="00F1209B"/>
    <w:rsid w:val="00F12C92"/>
    <w:rsid w:val="00F1304A"/>
    <w:rsid w:val="00F134CA"/>
    <w:rsid w:val="00F13B3C"/>
    <w:rsid w:val="00F151F9"/>
    <w:rsid w:val="00F154A1"/>
    <w:rsid w:val="00F159F1"/>
    <w:rsid w:val="00F15D97"/>
    <w:rsid w:val="00F16529"/>
    <w:rsid w:val="00F165F9"/>
    <w:rsid w:val="00F166BD"/>
    <w:rsid w:val="00F16A39"/>
    <w:rsid w:val="00F1720B"/>
    <w:rsid w:val="00F1726A"/>
    <w:rsid w:val="00F172C0"/>
    <w:rsid w:val="00F17D12"/>
    <w:rsid w:val="00F17D35"/>
    <w:rsid w:val="00F17F0B"/>
    <w:rsid w:val="00F21D5A"/>
    <w:rsid w:val="00F21E4D"/>
    <w:rsid w:val="00F221AE"/>
    <w:rsid w:val="00F234B9"/>
    <w:rsid w:val="00F2353D"/>
    <w:rsid w:val="00F237D4"/>
    <w:rsid w:val="00F23842"/>
    <w:rsid w:val="00F245B3"/>
    <w:rsid w:val="00F24BCA"/>
    <w:rsid w:val="00F25339"/>
    <w:rsid w:val="00F25375"/>
    <w:rsid w:val="00F25CBF"/>
    <w:rsid w:val="00F2666B"/>
    <w:rsid w:val="00F26A8A"/>
    <w:rsid w:val="00F26B7F"/>
    <w:rsid w:val="00F279D3"/>
    <w:rsid w:val="00F279EF"/>
    <w:rsid w:val="00F27C24"/>
    <w:rsid w:val="00F27C31"/>
    <w:rsid w:val="00F306D4"/>
    <w:rsid w:val="00F30886"/>
    <w:rsid w:val="00F30FBF"/>
    <w:rsid w:val="00F31038"/>
    <w:rsid w:val="00F310C7"/>
    <w:rsid w:val="00F31B05"/>
    <w:rsid w:val="00F32287"/>
    <w:rsid w:val="00F324A7"/>
    <w:rsid w:val="00F32A8A"/>
    <w:rsid w:val="00F32BFF"/>
    <w:rsid w:val="00F33574"/>
    <w:rsid w:val="00F336FA"/>
    <w:rsid w:val="00F33C1A"/>
    <w:rsid w:val="00F33D67"/>
    <w:rsid w:val="00F33F68"/>
    <w:rsid w:val="00F341EE"/>
    <w:rsid w:val="00F35C25"/>
    <w:rsid w:val="00F3640B"/>
    <w:rsid w:val="00F36B05"/>
    <w:rsid w:val="00F36C3C"/>
    <w:rsid w:val="00F36CFC"/>
    <w:rsid w:val="00F3774A"/>
    <w:rsid w:val="00F37EE2"/>
    <w:rsid w:val="00F40091"/>
    <w:rsid w:val="00F4011C"/>
    <w:rsid w:val="00F40A92"/>
    <w:rsid w:val="00F40C75"/>
    <w:rsid w:val="00F411DE"/>
    <w:rsid w:val="00F419AD"/>
    <w:rsid w:val="00F428F2"/>
    <w:rsid w:val="00F42A20"/>
    <w:rsid w:val="00F42D51"/>
    <w:rsid w:val="00F43225"/>
    <w:rsid w:val="00F438D6"/>
    <w:rsid w:val="00F43C3C"/>
    <w:rsid w:val="00F43E4E"/>
    <w:rsid w:val="00F44477"/>
    <w:rsid w:val="00F444DF"/>
    <w:rsid w:val="00F444E8"/>
    <w:rsid w:val="00F445B5"/>
    <w:rsid w:val="00F44701"/>
    <w:rsid w:val="00F44723"/>
    <w:rsid w:val="00F45093"/>
    <w:rsid w:val="00F45487"/>
    <w:rsid w:val="00F45B68"/>
    <w:rsid w:val="00F46457"/>
    <w:rsid w:val="00F46C7D"/>
    <w:rsid w:val="00F47393"/>
    <w:rsid w:val="00F479BC"/>
    <w:rsid w:val="00F501C1"/>
    <w:rsid w:val="00F502F8"/>
    <w:rsid w:val="00F50A18"/>
    <w:rsid w:val="00F50BD5"/>
    <w:rsid w:val="00F51004"/>
    <w:rsid w:val="00F513AE"/>
    <w:rsid w:val="00F518FD"/>
    <w:rsid w:val="00F519F6"/>
    <w:rsid w:val="00F52604"/>
    <w:rsid w:val="00F526E1"/>
    <w:rsid w:val="00F527E1"/>
    <w:rsid w:val="00F53802"/>
    <w:rsid w:val="00F54777"/>
    <w:rsid w:val="00F54FD2"/>
    <w:rsid w:val="00F5503F"/>
    <w:rsid w:val="00F556D9"/>
    <w:rsid w:val="00F558CB"/>
    <w:rsid w:val="00F55B37"/>
    <w:rsid w:val="00F55E6F"/>
    <w:rsid w:val="00F564EB"/>
    <w:rsid w:val="00F56C0B"/>
    <w:rsid w:val="00F56C88"/>
    <w:rsid w:val="00F56C9D"/>
    <w:rsid w:val="00F57483"/>
    <w:rsid w:val="00F57741"/>
    <w:rsid w:val="00F60470"/>
    <w:rsid w:val="00F60A39"/>
    <w:rsid w:val="00F60CA9"/>
    <w:rsid w:val="00F60FBC"/>
    <w:rsid w:val="00F6143D"/>
    <w:rsid w:val="00F6154B"/>
    <w:rsid w:val="00F62C1A"/>
    <w:rsid w:val="00F62C85"/>
    <w:rsid w:val="00F64991"/>
    <w:rsid w:val="00F64BCA"/>
    <w:rsid w:val="00F65111"/>
    <w:rsid w:val="00F654F6"/>
    <w:rsid w:val="00F65642"/>
    <w:rsid w:val="00F65D97"/>
    <w:rsid w:val="00F6604C"/>
    <w:rsid w:val="00F6635B"/>
    <w:rsid w:val="00F664FC"/>
    <w:rsid w:val="00F6690A"/>
    <w:rsid w:val="00F66990"/>
    <w:rsid w:val="00F66D1F"/>
    <w:rsid w:val="00F66DDB"/>
    <w:rsid w:val="00F67E19"/>
    <w:rsid w:val="00F7026C"/>
    <w:rsid w:val="00F70387"/>
    <w:rsid w:val="00F7039E"/>
    <w:rsid w:val="00F70ADD"/>
    <w:rsid w:val="00F71E2C"/>
    <w:rsid w:val="00F72435"/>
    <w:rsid w:val="00F72ABC"/>
    <w:rsid w:val="00F73109"/>
    <w:rsid w:val="00F73327"/>
    <w:rsid w:val="00F73894"/>
    <w:rsid w:val="00F738A2"/>
    <w:rsid w:val="00F73ACC"/>
    <w:rsid w:val="00F74385"/>
    <w:rsid w:val="00F74700"/>
    <w:rsid w:val="00F74DCF"/>
    <w:rsid w:val="00F7527D"/>
    <w:rsid w:val="00F75355"/>
    <w:rsid w:val="00F75B21"/>
    <w:rsid w:val="00F75E98"/>
    <w:rsid w:val="00F7613A"/>
    <w:rsid w:val="00F763BB"/>
    <w:rsid w:val="00F766FD"/>
    <w:rsid w:val="00F76906"/>
    <w:rsid w:val="00F76CF1"/>
    <w:rsid w:val="00F7785D"/>
    <w:rsid w:val="00F80104"/>
    <w:rsid w:val="00F80F76"/>
    <w:rsid w:val="00F81219"/>
    <w:rsid w:val="00F813D2"/>
    <w:rsid w:val="00F818C7"/>
    <w:rsid w:val="00F81C1D"/>
    <w:rsid w:val="00F822FA"/>
    <w:rsid w:val="00F82B5F"/>
    <w:rsid w:val="00F831D8"/>
    <w:rsid w:val="00F831E0"/>
    <w:rsid w:val="00F83891"/>
    <w:rsid w:val="00F83CD1"/>
    <w:rsid w:val="00F844DE"/>
    <w:rsid w:val="00F84600"/>
    <w:rsid w:val="00F846A6"/>
    <w:rsid w:val="00F8473C"/>
    <w:rsid w:val="00F84903"/>
    <w:rsid w:val="00F857A8"/>
    <w:rsid w:val="00F857F0"/>
    <w:rsid w:val="00F8590F"/>
    <w:rsid w:val="00F85DAA"/>
    <w:rsid w:val="00F8601E"/>
    <w:rsid w:val="00F86541"/>
    <w:rsid w:val="00F86ACA"/>
    <w:rsid w:val="00F87409"/>
    <w:rsid w:val="00F8753F"/>
    <w:rsid w:val="00F87563"/>
    <w:rsid w:val="00F87FCB"/>
    <w:rsid w:val="00F90238"/>
    <w:rsid w:val="00F902AA"/>
    <w:rsid w:val="00F908AB"/>
    <w:rsid w:val="00F90E25"/>
    <w:rsid w:val="00F90E8A"/>
    <w:rsid w:val="00F90F54"/>
    <w:rsid w:val="00F91592"/>
    <w:rsid w:val="00F91D89"/>
    <w:rsid w:val="00F920F8"/>
    <w:rsid w:val="00F92240"/>
    <w:rsid w:val="00F92B73"/>
    <w:rsid w:val="00F92E59"/>
    <w:rsid w:val="00F92FA4"/>
    <w:rsid w:val="00F92FAF"/>
    <w:rsid w:val="00F9308D"/>
    <w:rsid w:val="00F93ED4"/>
    <w:rsid w:val="00F9518C"/>
    <w:rsid w:val="00F9532D"/>
    <w:rsid w:val="00F953F6"/>
    <w:rsid w:val="00F95958"/>
    <w:rsid w:val="00F95C12"/>
    <w:rsid w:val="00F964F4"/>
    <w:rsid w:val="00F96B01"/>
    <w:rsid w:val="00F96D79"/>
    <w:rsid w:val="00F96F40"/>
    <w:rsid w:val="00F96F75"/>
    <w:rsid w:val="00F97242"/>
    <w:rsid w:val="00F97F26"/>
    <w:rsid w:val="00FA02A7"/>
    <w:rsid w:val="00FA16EF"/>
    <w:rsid w:val="00FA1A49"/>
    <w:rsid w:val="00FA2238"/>
    <w:rsid w:val="00FA266E"/>
    <w:rsid w:val="00FA2A95"/>
    <w:rsid w:val="00FA3138"/>
    <w:rsid w:val="00FA337C"/>
    <w:rsid w:val="00FA3598"/>
    <w:rsid w:val="00FA370B"/>
    <w:rsid w:val="00FA3AFB"/>
    <w:rsid w:val="00FA3B77"/>
    <w:rsid w:val="00FA3FA1"/>
    <w:rsid w:val="00FA523B"/>
    <w:rsid w:val="00FA563E"/>
    <w:rsid w:val="00FA5A81"/>
    <w:rsid w:val="00FA5D9A"/>
    <w:rsid w:val="00FA685A"/>
    <w:rsid w:val="00FA69E8"/>
    <w:rsid w:val="00FA6AA9"/>
    <w:rsid w:val="00FA6B2E"/>
    <w:rsid w:val="00FA6D0A"/>
    <w:rsid w:val="00FA70E0"/>
    <w:rsid w:val="00FA75BD"/>
    <w:rsid w:val="00FA7827"/>
    <w:rsid w:val="00FB0A15"/>
    <w:rsid w:val="00FB1160"/>
    <w:rsid w:val="00FB11A0"/>
    <w:rsid w:val="00FB128E"/>
    <w:rsid w:val="00FB1321"/>
    <w:rsid w:val="00FB14BC"/>
    <w:rsid w:val="00FB277E"/>
    <w:rsid w:val="00FB29C2"/>
    <w:rsid w:val="00FB2AFF"/>
    <w:rsid w:val="00FB31C3"/>
    <w:rsid w:val="00FB3226"/>
    <w:rsid w:val="00FB33D4"/>
    <w:rsid w:val="00FB4097"/>
    <w:rsid w:val="00FB44AE"/>
    <w:rsid w:val="00FB4D78"/>
    <w:rsid w:val="00FB4FE2"/>
    <w:rsid w:val="00FB50FB"/>
    <w:rsid w:val="00FB5182"/>
    <w:rsid w:val="00FB5498"/>
    <w:rsid w:val="00FB5667"/>
    <w:rsid w:val="00FB571F"/>
    <w:rsid w:val="00FB586B"/>
    <w:rsid w:val="00FB5993"/>
    <w:rsid w:val="00FB5CDE"/>
    <w:rsid w:val="00FB60E2"/>
    <w:rsid w:val="00FB69B7"/>
    <w:rsid w:val="00FB6AAC"/>
    <w:rsid w:val="00FB74F4"/>
    <w:rsid w:val="00FB7CC2"/>
    <w:rsid w:val="00FC2137"/>
    <w:rsid w:val="00FC28FF"/>
    <w:rsid w:val="00FC2982"/>
    <w:rsid w:val="00FC3072"/>
    <w:rsid w:val="00FC3438"/>
    <w:rsid w:val="00FC374F"/>
    <w:rsid w:val="00FC3799"/>
    <w:rsid w:val="00FC3B38"/>
    <w:rsid w:val="00FC4C03"/>
    <w:rsid w:val="00FC4C04"/>
    <w:rsid w:val="00FC4FDE"/>
    <w:rsid w:val="00FC539B"/>
    <w:rsid w:val="00FC5AA3"/>
    <w:rsid w:val="00FC5BD0"/>
    <w:rsid w:val="00FC693C"/>
    <w:rsid w:val="00FC6CA3"/>
    <w:rsid w:val="00FC6D9F"/>
    <w:rsid w:val="00FC6E0E"/>
    <w:rsid w:val="00FC7689"/>
    <w:rsid w:val="00FC7EC1"/>
    <w:rsid w:val="00FD06D1"/>
    <w:rsid w:val="00FD0719"/>
    <w:rsid w:val="00FD0A26"/>
    <w:rsid w:val="00FD0B9A"/>
    <w:rsid w:val="00FD12D5"/>
    <w:rsid w:val="00FD1AAF"/>
    <w:rsid w:val="00FD1E4D"/>
    <w:rsid w:val="00FD23EF"/>
    <w:rsid w:val="00FD27E0"/>
    <w:rsid w:val="00FD2A10"/>
    <w:rsid w:val="00FD2A22"/>
    <w:rsid w:val="00FD30E9"/>
    <w:rsid w:val="00FD3168"/>
    <w:rsid w:val="00FD3178"/>
    <w:rsid w:val="00FD3426"/>
    <w:rsid w:val="00FD3548"/>
    <w:rsid w:val="00FD37CD"/>
    <w:rsid w:val="00FD3A95"/>
    <w:rsid w:val="00FD3B7C"/>
    <w:rsid w:val="00FD3E0B"/>
    <w:rsid w:val="00FD406A"/>
    <w:rsid w:val="00FD4722"/>
    <w:rsid w:val="00FD5287"/>
    <w:rsid w:val="00FD542E"/>
    <w:rsid w:val="00FD549A"/>
    <w:rsid w:val="00FD584C"/>
    <w:rsid w:val="00FD5D94"/>
    <w:rsid w:val="00FD5FE8"/>
    <w:rsid w:val="00FD63AE"/>
    <w:rsid w:val="00FD6630"/>
    <w:rsid w:val="00FD687B"/>
    <w:rsid w:val="00FD6D0F"/>
    <w:rsid w:val="00FD7338"/>
    <w:rsid w:val="00FD790A"/>
    <w:rsid w:val="00FE02A8"/>
    <w:rsid w:val="00FE0ECE"/>
    <w:rsid w:val="00FE128B"/>
    <w:rsid w:val="00FE1694"/>
    <w:rsid w:val="00FE18DD"/>
    <w:rsid w:val="00FE1900"/>
    <w:rsid w:val="00FE1D00"/>
    <w:rsid w:val="00FE25E7"/>
    <w:rsid w:val="00FE2FDF"/>
    <w:rsid w:val="00FE3597"/>
    <w:rsid w:val="00FE3902"/>
    <w:rsid w:val="00FE3E97"/>
    <w:rsid w:val="00FE41D6"/>
    <w:rsid w:val="00FE4EDD"/>
    <w:rsid w:val="00FE53A2"/>
    <w:rsid w:val="00FE54D0"/>
    <w:rsid w:val="00FE55EA"/>
    <w:rsid w:val="00FE5C87"/>
    <w:rsid w:val="00FE5F0A"/>
    <w:rsid w:val="00FE5F87"/>
    <w:rsid w:val="00FE640C"/>
    <w:rsid w:val="00FE6798"/>
    <w:rsid w:val="00FE688D"/>
    <w:rsid w:val="00FE6CE1"/>
    <w:rsid w:val="00FE751B"/>
    <w:rsid w:val="00FE77B8"/>
    <w:rsid w:val="00FE79D5"/>
    <w:rsid w:val="00FE7CF0"/>
    <w:rsid w:val="00FE7EB3"/>
    <w:rsid w:val="00FF008E"/>
    <w:rsid w:val="00FF116B"/>
    <w:rsid w:val="00FF251E"/>
    <w:rsid w:val="00FF2D6D"/>
    <w:rsid w:val="00FF2E3D"/>
    <w:rsid w:val="00FF3537"/>
    <w:rsid w:val="00FF3734"/>
    <w:rsid w:val="00FF3BA8"/>
    <w:rsid w:val="00FF434E"/>
    <w:rsid w:val="00FF44A5"/>
    <w:rsid w:val="00FF4640"/>
    <w:rsid w:val="00FF4E89"/>
    <w:rsid w:val="00FF5154"/>
    <w:rsid w:val="00FF5686"/>
    <w:rsid w:val="00FF5E7C"/>
    <w:rsid w:val="00FF610E"/>
    <w:rsid w:val="00FF6515"/>
    <w:rsid w:val="00FF6921"/>
    <w:rsid w:val="00FF6B8E"/>
    <w:rsid w:val="00FF745A"/>
    <w:rsid w:val="00FF75A8"/>
    <w:rsid w:val="00FF7B91"/>
    <w:rsid w:val="02C67B7D"/>
    <w:rsid w:val="05C2189A"/>
    <w:rsid w:val="08CC0C78"/>
    <w:rsid w:val="099B577B"/>
    <w:rsid w:val="09A1314D"/>
    <w:rsid w:val="0A3A3F77"/>
    <w:rsid w:val="0F2C7D04"/>
    <w:rsid w:val="0FBD6FC9"/>
    <w:rsid w:val="10192EC5"/>
    <w:rsid w:val="125A7EFB"/>
    <w:rsid w:val="130C583B"/>
    <w:rsid w:val="13F3748F"/>
    <w:rsid w:val="141B1233"/>
    <w:rsid w:val="15E73804"/>
    <w:rsid w:val="17461986"/>
    <w:rsid w:val="1B984979"/>
    <w:rsid w:val="1BD23741"/>
    <w:rsid w:val="1BD77934"/>
    <w:rsid w:val="1CA522C0"/>
    <w:rsid w:val="1CBF44BD"/>
    <w:rsid w:val="1E1D3286"/>
    <w:rsid w:val="21C433CD"/>
    <w:rsid w:val="22B831B5"/>
    <w:rsid w:val="233C7056"/>
    <w:rsid w:val="238F3129"/>
    <w:rsid w:val="24F608A9"/>
    <w:rsid w:val="25300D08"/>
    <w:rsid w:val="26503C9E"/>
    <w:rsid w:val="26D05571"/>
    <w:rsid w:val="289261EA"/>
    <w:rsid w:val="290B77F3"/>
    <w:rsid w:val="291A4434"/>
    <w:rsid w:val="2A0D657B"/>
    <w:rsid w:val="2B276439"/>
    <w:rsid w:val="2B6F18D5"/>
    <w:rsid w:val="2BF51305"/>
    <w:rsid w:val="2E2753CB"/>
    <w:rsid w:val="2ECD4F05"/>
    <w:rsid w:val="2F2A6C72"/>
    <w:rsid w:val="30CF0188"/>
    <w:rsid w:val="32532A0C"/>
    <w:rsid w:val="3323732E"/>
    <w:rsid w:val="3359589F"/>
    <w:rsid w:val="34C65A39"/>
    <w:rsid w:val="350A761F"/>
    <w:rsid w:val="362600F5"/>
    <w:rsid w:val="3CDF0CEC"/>
    <w:rsid w:val="3D7620B7"/>
    <w:rsid w:val="403E0C27"/>
    <w:rsid w:val="41200C5E"/>
    <w:rsid w:val="424879BD"/>
    <w:rsid w:val="427261A5"/>
    <w:rsid w:val="446B3982"/>
    <w:rsid w:val="46F52E39"/>
    <w:rsid w:val="4CC926AA"/>
    <w:rsid w:val="513C05C5"/>
    <w:rsid w:val="5E1E3504"/>
    <w:rsid w:val="5E452D59"/>
    <w:rsid w:val="5E52156C"/>
    <w:rsid w:val="5F1E5736"/>
    <w:rsid w:val="601049E3"/>
    <w:rsid w:val="62441539"/>
    <w:rsid w:val="62465591"/>
    <w:rsid w:val="634B0000"/>
    <w:rsid w:val="646B26B9"/>
    <w:rsid w:val="681C7D37"/>
    <w:rsid w:val="6BAE7BA3"/>
    <w:rsid w:val="6E213A2A"/>
    <w:rsid w:val="6E8F43B4"/>
    <w:rsid w:val="70825BF9"/>
    <w:rsid w:val="721C4A9F"/>
    <w:rsid w:val="74F3461E"/>
    <w:rsid w:val="75E11AB0"/>
    <w:rsid w:val="79080F8B"/>
    <w:rsid w:val="79224DC2"/>
    <w:rsid w:val="7B0A6C2F"/>
    <w:rsid w:val="7CDF191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7"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HAnsi" w:cstheme="minorBidi"/>
      <w:kern w:val="2"/>
      <w:sz w:val="21"/>
      <w:szCs w:val="24"/>
      <w:lang w:val="en-US" w:eastAsia="zh-CN" w:bidi="ar-SA"/>
    </w:rPr>
  </w:style>
  <w:style w:type="paragraph" w:styleId="4">
    <w:name w:val="heading 1"/>
    <w:basedOn w:val="5"/>
    <w:next w:val="1"/>
    <w:link w:val="87"/>
    <w:qFormat/>
    <w:uiPriority w:val="0"/>
    <w:pPr>
      <w:keepNext/>
      <w:keepLines/>
      <w:spacing w:before="340" w:after="330" w:line="578" w:lineRule="auto"/>
      <w:outlineLvl w:val="0"/>
    </w:pPr>
    <w:rPr>
      <w:b w:val="0"/>
      <w:bCs w:val="0"/>
      <w:kern w:val="44"/>
      <w:sz w:val="44"/>
      <w:szCs w:val="44"/>
    </w:rPr>
  </w:style>
  <w:style w:type="paragraph" w:styleId="6">
    <w:name w:val="heading 2"/>
    <w:basedOn w:val="1"/>
    <w:next w:val="1"/>
    <w:link w:val="82"/>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78"/>
    <w:qFormat/>
    <w:uiPriority w:val="0"/>
    <w:pPr>
      <w:keepNext/>
      <w:keepLines/>
      <w:spacing w:before="260" w:after="260" w:line="416" w:lineRule="auto"/>
      <w:outlineLvl w:val="2"/>
    </w:pPr>
    <w:rPr>
      <w:rFonts w:ascii="Calibri" w:hAnsi="Calibri"/>
      <w:b/>
      <w:bCs/>
      <w:sz w:val="32"/>
      <w:szCs w:val="32"/>
    </w:rPr>
  </w:style>
  <w:style w:type="paragraph" w:styleId="7">
    <w:name w:val="heading 4"/>
    <w:basedOn w:val="1"/>
    <w:next w:val="1"/>
    <w:link w:val="67"/>
    <w:qFormat/>
    <w:uiPriority w:val="0"/>
    <w:pPr>
      <w:keepNext/>
      <w:keepLines/>
      <w:spacing w:before="120" w:beforeLines="50" w:after="120" w:afterLines="50"/>
      <w:ind w:left="864" w:hanging="864"/>
      <w:jc w:val="left"/>
      <w:outlineLvl w:val="3"/>
    </w:pPr>
    <w:rPr>
      <w:rFonts w:ascii="黑体" w:hAnsi="黑体" w:eastAsia="黑体"/>
      <w:b/>
      <w:bCs/>
      <w:sz w:val="24"/>
    </w:rPr>
  </w:style>
  <w:style w:type="paragraph" w:styleId="8">
    <w:name w:val="heading 5"/>
    <w:basedOn w:val="1"/>
    <w:next w:val="9"/>
    <w:qFormat/>
    <w:uiPriority w:val="0"/>
    <w:pPr>
      <w:keepNext/>
      <w:keepLines/>
      <w:numPr>
        <w:ilvl w:val="4"/>
        <w:numId w:val="1"/>
      </w:numPr>
      <w:spacing w:before="280" w:after="290" w:line="376" w:lineRule="auto"/>
      <w:outlineLvl w:val="4"/>
    </w:pPr>
    <w:rPr>
      <w:b/>
      <w:sz w:val="28"/>
    </w:rPr>
  </w:style>
  <w:style w:type="paragraph" w:styleId="10">
    <w:name w:val="heading 6"/>
    <w:basedOn w:val="1"/>
    <w:next w:val="9"/>
    <w:qFormat/>
    <w:uiPriority w:val="0"/>
    <w:pPr>
      <w:keepNext/>
      <w:keepLines/>
      <w:numPr>
        <w:ilvl w:val="5"/>
        <w:numId w:val="1"/>
      </w:numPr>
      <w:spacing w:before="240" w:after="64" w:line="320" w:lineRule="auto"/>
      <w:outlineLvl w:val="5"/>
    </w:pPr>
    <w:rPr>
      <w:rFonts w:ascii="Arial" w:hAnsi="Arial" w:eastAsia="黑体"/>
      <w:b/>
      <w:sz w:val="24"/>
    </w:rPr>
  </w:style>
  <w:style w:type="paragraph" w:styleId="11">
    <w:name w:val="heading 7"/>
    <w:basedOn w:val="1"/>
    <w:next w:val="9"/>
    <w:qFormat/>
    <w:uiPriority w:val="0"/>
    <w:pPr>
      <w:keepNext/>
      <w:keepLines/>
      <w:numPr>
        <w:ilvl w:val="6"/>
        <w:numId w:val="1"/>
      </w:numPr>
      <w:spacing w:before="240" w:after="64" w:line="320" w:lineRule="auto"/>
      <w:outlineLvl w:val="6"/>
    </w:pPr>
    <w:rPr>
      <w:b/>
      <w:sz w:val="24"/>
    </w:rPr>
  </w:style>
  <w:style w:type="paragraph" w:styleId="12">
    <w:name w:val="heading 8"/>
    <w:basedOn w:val="1"/>
    <w:next w:val="9"/>
    <w:qFormat/>
    <w:uiPriority w:val="0"/>
    <w:pPr>
      <w:keepNext/>
      <w:keepLines/>
      <w:numPr>
        <w:ilvl w:val="7"/>
        <w:numId w:val="1"/>
      </w:numPr>
      <w:spacing w:before="240" w:after="64" w:line="320" w:lineRule="auto"/>
      <w:outlineLvl w:val="7"/>
    </w:pPr>
    <w:rPr>
      <w:rFonts w:ascii="Arial" w:hAnsi="Arial" w:eastAsia="黑体"/>
      <w:sz w:val="24"/>
    </w:rPr>
  </w:style>
  <w:style w:type="paragraph" w:styleId="13">
    <w:name w:val="heading 9"/>
    <w:basedOn w:val="1"/>
    <w:next w:val="9"/>
    <w:qFormat/>
    <w:uiPriority w:val="0"/>
    <w:pPr>
      <w:keepNext/>
      <w:keepLines/>
      <w:numPr>
        <w:ilvl w:val="8"/>
        <w:numId w:val="1"/>
      </w:numPr>
      <w:spacing w:before="240" w:after="64" w:line="320" w:lineRule="auto"/>
      <w:outlineLvl w:val="8"/>
    </w:pPr>
    <w:rPr>
      <w:rFonts w:ascii="Arial" w:hAnsi="Arial" w:eastAsia="黑体"/>
    </w:rPr>
  </w:style>
  <w:style w:type="character" w:default="1" w:styleId="38">
    <w:name w:val="Default Paragraph Font"/>
    <w:semiHidden/>
    <w:qFormat/>
    <w:uiPriority w:val="0"/>
  </w:style>
  <w:style w:type="table" w:default="1" w:styleId="3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line="380" w:lineRule="exact"/>
    </w:pPr>
    <w:rPr>
      <w:sz w:val="24"/>
    </w:rPr>
  </w:style>
  <w:style w:type="paragraph" w:styleId="9">
    <w:name w:val="Normal Indent"/>
    <w:basedOn w:val="1"/>
    <w:link w:val="83"/>
    <w:qFormat/>
    <w:uiPriority w:val="0"/>
    <w:pPr>
      <w:ind w:firstLine="420"/>
    </w:pPr>
    <w:rPr>
      <w:szCs w:val="20"/>
    </w:rPr>
  </w:style>
  <w:style w:type="paragraph" w:styleId="14">
    <w:name w:val="List Number"/>
    <w:basedOn w:val="1"/>
    <w:qFormat/>
    <w:uiPriority w:val="0"/>
    <w:pPr>
      <w:widowControl/>
      <w:tabs>
        <w:tab w:val="left" w:pos="454"/>
        <w:tab w:val="left" w:pos="720"/>
        <w:tab w:val="left" w:pos="840"/>
      </w:tabs>
      <w:spacing w:after="50" w:afterLines="50"/>
      <w:ind w:left="454" w:hanging="284"/>
      <w:jc w:val="left"/>
    </w:pPr>
    <w:rPr>
      <w:kern w:val="0"/>
      <w:sz w:val="24"/>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semiHidden/>
    <w:qFormat/>
    <w:uiPriority w:val="0"/>
    <w:pPr>
      <w:shd w:val="clear" w:color="auto" w:fill="000080"/>
    </w:pPr>
  </w:style>
  <w:style w:type="paragraph" w:styleId="17">
    <w:name w:val="annotation text"/>
    <w:basedOn w:val="1"/>
    <w:link w:val="81"/>
    <w:qFormat/>
    <w:uiPriority w:val="0"/>
    <w:pPr>
      <w:jc w:val="left"/>
    </w:pPr>
  </w:style>
  <w:style w:type="paragraph" w:styleId="18">
    <w:name w:val="Body Text 3"/>
    <w:basedOn w:val="1"/>
    <w:qFormat/>
    <w:uiPriority w:val="0"/>
    <w:pPr>
      <w:spacing w:line="500" w:lineRule="exact"/>
    </w:pPr>
    <w:rPr>
      <w:b/>
      <w:bCs/>
      <w:sz w:val="24"/>
    </w:rPr>
  </w:style>
  <w:style w:type="paragraph" w:styleId="19">
    <w:name w:val="Body Text Indent"/>
    <w:basedOn w:val="1"/>
    <w:link w:val="77"/>
    <w:qFormat/>
    <w:uiPriority w:val="0"/>
    <w:pPr>
      <w:ind w:firstLine="830" w:firstLineChars="352"/>
    </w:pPr>
    <w:rPr>
      <w:rFonts w:ascii="仿宋_GB2312" w:eastAsia="仿宋_GB2312"/>
      <w:sz w:val="32"/>
      <w:szCs w:val="20"/>
    </w:rPr>
  </w:style>
  <w:style w:type="paragraph" w:styleId="20">
    <w:name w:val="List Number 3"/>
    <w:basedOn w:val="1"/>
    <w:qFormat/>
    <w:uiPriority w:val="0"/>
    <w:pPr>
      <w:numPr>
        <w:ilvl w:val="0"/>
        <w:numId w:val="1"/>
      </w:numPr>
      <w:tabs>
        <w:tab w:val="left" w:pos="1200"/>
      </w:tabs>
    </w:pPr>
  </w:style>
  <w:style w:type="paragraph" w:styleId="21">
    <w:name w:val="List 2"/>
    <w:basedOn w:val="1"/>
    <w:qFormat/>
    <w:uiPriority w:val="0"/>
    <w:pPr>
      <w:ind w:left="100" w:leftChars="200" w:hanging="200" w:hangingChars="200"/>
    </w:pPr>
    <w:rPr>
      <w:sz w:val="28"/>
    </w:rPr>
  </w:style>
  <w:style w:type="paragraph" w:styleId="22">
    <w:name w:val="Plain Text"/>
    <w:basedOn w:val="1"/>
    <w:next w:val="23"/>
    <w:link w:val="85"/>
    <w:qFormat/>
    <w:uiPriority w:val="0"/>
    <w:rPr>
      <w:rFonts w:ascii="宋体" w:hAnsi="Courier New" w:cs="Courier New"/>
      <w:szCs w:val="21"/>
    </w:rPr>
  </w:style>
  <w:style w:type="paragraph" w:customStyle="1" w:styleId="23">
    <w:name w:val="TOC 标题2"/>
    <w:next w:val="1"/>
    <w:qFormat/>
    <w:uiPriority w:val="0"/>
    <w:pPr>
      <w:wordWrap w:val="0"/>
    </w:pPr>
    <w:rPr>
      <w:rFonts w:ascii="Calibri" w:hAnsi="Calibri" w:eastAsia="宋体" w:cs="Times New Roman"/>
      <w:sz w:val="32"/>
      <w:lang w:val="en-US" w:eastAsia="zh-CN" w:bidi="ar-SA"/>
    </w:rPr>
  </w:style>
  <w:style w:type="paragraph" w:styleId="24">
    <w:name w:val="Date"/>
    <w:basedOn w:val="1"/>
    <w:next w:val="1"/>
    <w:link w:val="73"/>
    <w:qFormat/>
    <w:uiPriority w:val="7"/>
    <w:pPr>
      <w:ind w:left="100" w:leftChars="2500"/>
    </w:pPr>
    <w:rPr>
      <w:rFonts w:ascii="宋体" w:hAnsi="Courier New"/>
      <w:szCs w:val="21"/>
    </w:rPr>
  </w:style>
  <w:style w:type="paragraph" w:styleId="25">
    <w:name w:val="Body Text Indent 2"/>
    <w:basedOn w:val="1"/>
    <w:qFormat/>
    <w:uiPriority w:val="0"/>
    <w:pPr>
      <w:ind w:firstLine="630"/>
    </w:pPr>
    <w:rPr>
      <w:sz w:val="32"/>
      <w:szCs w:val="20"/>
    </w:rPr>
  </w:style>
  <w:style w:type="paragraph" w:styleId="26">
    <w:name w:val="Balloon Text"/>
    <w:basedOn w:val="1"/>
    <w:semiHidden/>
    <w:qFormat/>
    <w:uiPriority w:val="0"/>
    <w:rPr>
      <w:sz w:val="18"/>
      <w:szCs w:val="18"/>
    </w:rPr>
  </w:style>
  <w:style w:type="paragraph" w:styleId="27">
    <w:name w:val="footer"/>
    <w:basedOn w:val="1"/>
    <w:link w:val="75"/>
    <w:qFormat/>
    <w:uiPriority w:val="0"/>
    <w:pPr>
      <w:tabs>
        <w:tab w:val="center" w:pos="4153"/>
        <w:tab w:val="right" w:pos="8306"/>
      </w:tabs>
      <w:snapToGrid w:val="0"/>
      <w:jc w:val="left"/>
    </w:pPr>
    <w:rPr>
      <w:sz w:val="18"/>
      <w:szCs w:val="18"/>
    </w:rPr>
  </w:style>
  <w:style w:type="paragraph" w:styleId="2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qFormat/>
    <w:uiPriority w:val="0"/>
  </w:style>
  <w:style w:type="paragraph" w:styleId="30">
    <w:name w:val="List"/>
    <w:basedOn w:val="1"/>
    <w:qFormat/>
    <w:uiPriority w:val="0"/>
    <w:pPr>
      <w:ind w:left="200" w:hanging="200" w:hangingChars="200"/>
    </w:pPr>
    <w:rPr>
      <w:sz w:val="28"/>
    </w:rPr>
  </w:style>
  <w:style w:type="paragraph" w:styleId="31">
    <w:name w:val="Body Text Indent 3"/>
    <w:basedOn w:val="1"/>
    <w:qFormat/>
    <w:uiPriority w:val="0"/>
    <w:pPr>
      <w:spacing w:after="120"/>
      <w:ind w:left="420" w:leftChars="200"/>
    </w:pPr>
    <w:rPr>
      <w:sz w:val="16"/>
      <w:szCs w:val="16"/>
    </w:rPr>
  </w:style>
  <w:style w:type="paragraph" w:styleId="32">
    <w:name w:val="Body Text 2"/>
    <w:basedOn w:val="1"/>
    <w:qFormat/>
    <w:uiPriority w:val="0"/>
    <w:pPr>
      <w:spacing w:after="120" w:line="480" w:lineRule="auto"/>
    </w:pPr>
  </w:style>
  <w:style w:type="paragraph" w:styleId="33">
    <w:name w:val="Normal (Web)"/>
    <w:basedOn w:val="1"/>
    <w:qFormat/>
    <w:uiPriority w:val="0"/>
    <w:pPr>
      <w:widowControl/>
      <w:spacing w:before="100" w:beforeAutospacing="1" w:after="100" w:afterAutospacing="1"/>
      <w:jc w:val="left"/>
    </w:pPr>
    <w:rPr>
      <w:rFonts w:ascii="宋体" w:hAnsi="宋体"/>
      <w:kern w:val="0"/>
      <w:sz w:val="24"/>
    </w:rPr>
  </w:style>
  <w:style w:type="paragraph" w:styleId="34">
    <w:name w:val="index 1"/>
    <w:basedOn w:val="1"/>
    <w:next w:val="1"/>
    <w:semiHidden/>
    <w:qFormat/>
    <w:uiPriority w:val="0"/>
    <w:pPr>
      <w:spacing w:line="400" w:lineRule="exact"/>
      <w:ind w:firstLine="420" w:firstLineChars="200"/>
    </w:pPr>
    <w:rPr>
      <w:rFonts w:ascii="宋体" w:hAnsi="Courier New"/>
      <w:b/>
      <w:szCs w:val="20"/>
    </w:rPr>
  </w:style>
  <w:style w:type="paragraph" w:styleId="35">
    <w:name w:val="annotation subject"/>
    <w:basedOn w:val="17"/>
    <w:next w:val="17"/>
    <w:link w:val="70"/>
    <w:qFormat/>
    <w:uiPriority w:val="0"/>
    <w:rPr>
      <w:b/>
      <w:bCs/>
    </w:rPr>
  </w:style>
  <w:style w:type="table" w:styleId="37">
    <w:name w:val="Table Grid"/>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qFormat/>
    <w:uiPriority w:val="22"/>
    <w:rPr>
      <w:b/>
      <w:bCs/>
    </w:rPr>
  </w:style>
  <w:style w:type="character" w:styleId="40">
    <w:name w:val="page number"/>
    <w:basedOn w:val="38"/>
    <w:qFormat/>
    <w:uiPriority w:val="0"/>
  </w:style>
  <w:style w:type="character" w:styleId="41">
    <w:name w:val="FollowedHyperlink"/>
    <w:unhideWhenUsed/>
    <w:qFormat/>
    <w:uiPriority w:val="0"/>
    <w:rPr>
      <w:color w:val="800080"/>
      <w:u w:val="single"/>
    </w:rPr>
  </w:style>
  <w:style w:type="character" w:styleId="42">
    <w:name w:val="Hyperlink"/>
    <w:qFormat/>
    <w:uiPriority w:val="99"/>
    <w:rPr>
      <w:color w:val="0000FF"/>
      <w:u w:val="single"/>
    </w:rPr>
  </w:style>
  <w:style w:type="character" w:styleId="43">
    <w:name w:val="annotation reference"/>
    <w:qFormat/>
    <w:uiPriority w:val="0"/>
    <w:rPr>
      <w:sz w:val="21"/>
      <w:szCs w:val="21"/>
    </w:rPr>
  </w:style>
  <w:style w:type="paragraph" w:customStyle="1" w:styleId="44">
    <w:name w:val="Char Char Char"/>
    <w:basedOn w:val="16"/>
    <w:qFormat/>
    <w:uiPriority w:val="0"/>
    <w:pPr>
      <w:snapToGrid w:val="0"/>
    </w:pPr>
    <w:rPr>
      <w:rFonts w:ascii="Calibri" w:hAnsi="Calibri"/>
      <w:sz w:val="28"/>
      <w:szCs w:val="20"/>
    </w:rPr>
  </w:style>
  <w:style w:type="paragraph" w:customStyle="1" w:styleId="45">
    <w:name w:val="p18"/>
    <w:basedOn w:val="1"/>
    <w:qFormat/>
    <w:uiPriority w:val="0"/>
    <w:pPr>
      <w:widowControl/>
    </w:pPr>
    <w:rPr>
      <w:rFonts w:ascii="宋体" w:hAnsi="宋体" w:cs="宋体"/>
      <w:kern w:val="0"/>
      <w:szCs w:val="21"/>
    </w:rPr>
  </w:style>
  <w:style w:type="paragraph" w:customStyle="1" w:styleId="46">
    <w:name w:val="newp"/>
    <w:basedOn w:val="1"/>
    <w:qFormat/>
    <w:uiPriority w:val="99"/>
    <w:pPr>
      <w:widowControl/>
      <w:spacing w:before="100" w:beforeAutospacing="1" w:after="100" w:afterAutospacing="1"/>
      <w:jc w:val="left"/>
    </w:pPr>
    <w:rPr>
      <w:rFonts w:ascii="宋体" w:hAnsi="宋体" w:cs="宋体"/>
      <w:kern w:val="0"/>
      <w:sz w:val="24"/>
    </w:rPr>
  </w:style>
  <w:style w:type="paragraph" w:customStyle="1" w:styleId="47">
    <w:name w:val="样式 加粗 段前: 7.8 磅 段后: 7.8 磅 行距: 固定值 20 磅"/>
    <w:basedOn w:val="1"/>
    <w:qFormat/>
    <w:uiPriority w:val="0"/>
    <w:pPr>
      <w:spacing w:before="60" w:after="60" w:line="360" w:lineRule="exact"/>
    </w:pPr>
    <w:rPr>
      <w:rFonts w:cs="宋体"/>
      <w:b/>
      <w:bCs/>
      <w:spacing w:val="-2"/>
      <w:sz w:val="24"/>
      <w:szCs w:val="20"/>
    </w:rPr>
  </w:style>
  <w:style w:type="paragraph" w:customStyle="1" w:styleId="48">
    <w:name w:val="List Paragraph1"/>
    <w:basedOn w:val="1"/>
    <w:qFormat/>
    <w:uiPriority w:val="0"/>
    <w:pPr>
      <w:ind w:firstLine="420" w:firstLineChars="200"/>
    </w:pPr>
    <w:rPr>
      <w:szCs w:val="20"/>
    </w:rPr>
  </w:style>
  <w:style w:type="paragraph" w:customStyle="1" w:styleId="49">
    <w:name w:val="1"/>
    <w:basedOn w:val="1"/>
    <w:next w:val="22"/>
    <w:qFormat/>
    <w:uiPriority w:val="0"/>
    <w:rPr>
      <w:rFonts w:ascii="宋体" w:hAnsi="Courier New"/>
      <w:szCs w:val="20"/>
    </w:rPr>
  </w:style>
  <w:style w:type="paragraph" w:customStyle="1" w:styleId="50">
    <w:name w:val="正文段"/>
    <w:basedOn w:val="1"/>
    <w:qFormat/>
    <w:uiPriority w:val="0"/>
    <w:pPr>
      <w:widowControl/>
      <w:snapToGrid w:val="0"/>
      <w:spacing w:after="50" w:afterLines="50"/>
      <w:ind w:firstLine="200" w:firstLineChars="200"/>
    </w:pPr>
    <w:rPr>
      <w:kern w:val="0"/>
      <w:sz w:val="24"/>
      <w:szCs w:val="20"/>
    </w:rPr>
  </w:style>
  <w:style w:type="paragraph" w:customStyle="1" w:styleId="51">
    <w:name w:val="Table Text"/>
    <w:basedOn w:val="1"/>
    <w:qFormat/>
    <w:uiPriority w:val="0"/>
    <w:pPr>
      <w:topLinePunct/>
      <w:adjustRightInd w:val="0"/>
      <w:snapToGrid w:val="0"/>
      <w:spacing w:before="80" w:after="80" w:line="240" w:lineRule="atLeast"/>
      <w:jc w:val="left"/>
    </w:pPr>
    <w:rPr>
      <w:rFonts w:cs="Arial"/>
      <w:snapToGrid w:val="0"/>
      <w:kern w:val="0"/>
      <w:szCs w:val="21"/>
    </w:rPr>
  </w:style>
  <w:style w:type="paragraph" w:customStyle="1" w:styleId="52">
    <w:name w:val=" Char"/>
    <w:basedOn w:val="16"/>
    <w:qFormat/>
    <w:uiPriority w:val="0"/>
    <w:pPr>
      <w:widowControl/>
      <w:ind w:firstLine="454"/>
      <w:jc w:val="left"/>
    </w:pPr>
    <w:rPr>
      <w:rFonts w:ascii="Tahoma" w:hAnsi="Tahoma" w:cs="宋体"/>
      <w:kern w:val="0"/>
      <w:sz w:val="24"/>
      <w:szCs w:val="20"/>
    </w:rPr>
  </w:style>
  <w:style w:type="paragraph" w:customStyle="1" w:styleId="53">
    <w:name w:val="Char"/>
    <w:basedOn w:val="16"/>
    <w:qFormat/>
    <w:uiPriority w:val="0"/>
    <w:pPr>
      <w:widowControl/>
      <w:ind w:firstLine="454"/>
      <w:jc w:val="left"/>
    </w:pPr>
    <w:rPr>
      <w:rFonts w:ascii="Tahoma" w:hAnsi="Tahoma" w:cs="宋体"/>
      <w:kern w:val="0"/>
      <w:sz w:val="24"/>
      <w:szCs w:val="20"/>
    </w:rPr>
  </w:style>
  <w:style w:type="paragraph" w:customStyle="1" w:styleId="54">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55">
    <w:name w:val="列出段落1"/>
    <w:basedOn w:val="1"/>
    <w:qFormat/>
    <w:uiPriority w:val="0"/>
    <w:pPr>
      <w:ind w:firstLine="420" w:firstLineChars="200"/>
    </w:pPr>
    <w:rPr>
      <w:szCs w:val="22"/>
    </w:rPr>
  </w:style>
  <w:style w:type="paragraph" w:customStyle="1" w:styleId="56">
    <w:name w:val="默认段落字体 Para Char Char Char Char Char Char Char Char Char1 Char Char Char Char"/>
    <w:basedOn w:val="1"/>
    <w:qFormat/>
    <w:uiPriority w:val="0"/>
    <w:rPr>
      <w:rFonts w:ascii="Tahoma" w:hAnsi="Tahoma"/>
      <w:sz w:val="24"/>
      <w:szCs w:val="20"/>
    </w:rPr>
  </w:style>
  <w:style w:type="paragraph" w:customStyle="1" w:styleId="57">
    <w:name w:val="_Style 8"/>
    <w:basedOn w:val="1"/>
    <w:qFormat/>
    <w:uiPriority w:val="0"/>
    <w:pPr>
      <w:widowControl/>
      <w:ind w:firstLine="420" w:firstLineChars="200"/>
      <w:jc w:val="left"/>
    </w:pPr>
    <w:rPr>
      <w:kern w:val="0"/>
      <w:szCs w:val="22"/>
    </w:rPr>
  </w:style>
  <w:style w:type="paragraph" w:customStyle="1" w:styleId="58">
    <w:name w:val="正文_0_0"/>
    <w:qFormat/>
    <w:uiPriority w:val="5"/>
    <w:pPr>
      <w:widowControl w:val="0"/>
      <w:jc w:val="both"/>
    </w:pPr>
    <w:rPr>
      <w:rFonts w:ascii="Calibri" w:hAnsi="Calibri" w:cs="Calibri" w:eastAsiaTheme="minorHAnsi"/>
      <w:color w:val="000000"/>
      <w:kern w:val="1"/>
      <w:sz w:val="21"/>
      <w:szCs w:val="22"/>
      <w:lang w:val="en-US" w:eastAsia="zh-CN" w:bidi="ar-SA"/>
    </w:rPr>
  </w:style>
  <w:style w:type="paragraph" w:customStyle="1" w:styleId="59">
    <w:name w:val="_Style 341"/>
    <w:basedOn w:val="16"/>
    <w:qFormat/>
    <w:uiPriority w:val="0"/>
    <w:pPr>
      <w:widowControl/>
      <w:ind w:firstLine="454"/>
      <w:jc w:val="left"/>
    </w:pPr>
  </w:style>
  <w:style w:type="paragraph" w:customStyle="1" w:styleId="60">
    <w:name w:val="2"/>
    <w:basedOn w:val="1"/>
    <w:next w:val="22"/>
    <w:qFormat/>
    <w:uiPriority w:val="0"/>
    <w:rPr>
      <w:rFonts w:ascii="宋体" w:hAnsi="Courier New"/>
      <w:szCs w:val="20"/>
    </w:rPr>
  </w:style>
  <w:style w:type="paragraph" w:customStyle="1" w:styleId="61">
    <w:name w:val="1ji"/>
    <w:basedOn w:val="4"/>
    <w:link w:val="74"/>
    <w:qFormat/>
    <w:uiPriority w:val="0"/>
    <w:pPr>
      <w:keepLines w:val="0"/>
      <w:widowControl/>
      <w:spacing w:before="0" w:after="0" w:line="240" w:lineRule="auto"/>
      <w:jc w:val="center"/>
    </w:pPr>
    <w:rPr>
      <w:rFonts w:ascii="宋体" w:hAnsi="宋体"/>
      <w:sz w:val="36"/>
    </w:rPr>
  </w:style>
  <w:style w:type="paragraph" w:customStyle="1" w:styleId="62">
    <w:name w:val="_Style 5"/>
    <w:basedOn w:val="1"/>
    <w:qFormat/>
    <w:uiPriority w:val="0"/>
    <w:pPr>
      <w:spacing w:after="78" w:afterLines="25"/>
    </w:pPr>
    <w:rPr>
      <w:rFonts w:ascii="Arial" w:hAnsi="Arial"/>
    </w:rPr>
  </w:style>
  <w:style w:type="paragraph" w:customStyle="1" w:styleId="63">
    <w:name w:val="Default"/>
    <w:qFormat/>
    <w:uiPriority w:val="0"/>
    <w:pPr>
      <w:widowControl w:val="0"/>
      <w:autoSpaceDE w:val="0"/>
      <w:autoSpaceDN w:val="0"/>
      <w:adjustRightInd w:val="0"/>
    </w:pPr>
    <w:rPr>
      <w:rFonts w:ascii="宋体" w:hAnsi="Calibri" w:cs="宋体" w:eastAsiaTheme="minorHAnsi"/>
      <w:color w:val="000000"/>
      <w:sz w:val="24"/>
      <w:szCs w:val="24"/>
      <w:lang w:val="en-US" w:eastAsia="zh-CN" w:bidi="ar-SA"/>
    </w:rPr>
  </w:style>
  <w:style w:type="paragraph" w:customStyle="1" w:styleId="64">
    <w:name w:val="_Style 34"/>
    <w:basedOn w:val="16"/>
    <w:qFormat/>
    <w:uiPriority w:val="0"/>
    <w:pPr>
      <w:widowControl/>
      <w:ind w:firstLine="454"/>
      <w:jc w:val="left"/>
    </w:pPr>
  </w:style>
  <w:style w:type="paragraph" w:customStyle="1" w:styleId="65">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Cs w:val="21"/>
    </w:rPr>
  </w:style>
  <w:style w:type="paragraph" w:styleId="66">
    <w:name w:val="List Paragraph"/>
    <w:basedOn w:val="1"/>
    <w:link w:val="84"/>
    <w:qFormat/>
    <w:uiPriority w:val="34"/>
    <w:pPr>
      <w:ind w:firstLine="420" w:firstLineChars="200"/>
    </w:pPr>
    <w:rPr>
      <w:rFonts w:ascii="Book Antiqua" w:hAnsi="Book Antiqua" w:cs="Book Antiqua"/>
    </w:rPr>
  </w:style>
  <w:style w:type="character" w:customStyle="1" w:styleId="67">
    <w:name w:val="标题 4 Char"/>
    <w:link w:val="7"/>
    <w:qFormat/>
    <w:uiPriority w:val="0"/>
    <w:rPr>
      <w:rFonts w:ascii="黑体" w:hAnsi="黑体" w:eastAsia="黑体"/>
      <w:b/>
      <w:bCs/>
      <w:kern w:val="2"/>
      <w:sz w:val="24"/>
      <w:szCs w:val="24"/>
    </w:rPr>
  </w:style>
  <w:style w:type="character" w:customStyle="1" w:styleId="68">
    <w:name w:val="apple-converted-space"/>
    <w:qFormat/>
    <w:uiPriority w:val="0"/>
  </w:style>
  <w:style w:type="character" w:customStyle="1" w:styleId="69">
    <w:name w:val="font21"/>
    <w:qFormat/>
    <w:uiPriority w:val="0"/>
    <w:rPr>
      <w:rFonts w:hint="default" w:ascii="仿宋_GB2312" w:eastAsia="仿宋_GB2312" w:cs="仿宋_GB2312"/>
      <w:b/>
      <w:color w:val="000000"/>
      <w:sz w:val="24"/>
      <w:szCs w:val="24"/>
      <w:u w:val="none"/>
    </w:rPr>
  </w:style>
  <w:style w:type="character" w:customStyle="1" w:styleId="70">
    <w:name w:val="批注主题 Char"/>
    <w:link w:val="35"/>
    <w:qFormat/>
    <w:uiPriority w:val="0"/>
    <w:rPr>
      <w:b/>
      <w:bCs/>
      <w:kern w:val="2"/>
      <w:sz w:val="21"/>
      <w:szCs w:val="24"/>
    </w:rPr>
  </w:style>
  <w:style w:type="character" w:customStyle="1" w:styleId="71">
    <w:name w:val="text11"/>
    <w:qFormat/>
    <w:uiPriority w:val="0"/>
    <w:rPr>
      <w:rFonts w:hint="default" w:ascii="Verdana" w:hAnsi="Verdana" w:eastAsia="宋体"/>
      <w:color w:val="4E4E4E"/>
      <w:kern w:val="2"/>
      <w:sz w:val="18"/>
      <w:szCs w:val="18"/>
      <w:lang w:val="en-US" w:eastAsia="zh-CN" w:bidi="ar-SA"/>
    </w:rPr>
  </w:style>
  <w:style w:type="character" w:customStyle="1" w:styleId="72">
    <w:name w:val="普通文字 Char Char2"/>
    <w:qFormat/>
    <w:uiPriority w:val="0"/>
    <w:rPr>
      <w:rFonts w:ascii="宋体" w:hAnsi="Courier New" w:eastAsia="宋体"/>
      <w:kern w:val="2"/>
      <w:sz w:val="21"/>
      <w:lang w:val="en-US" w:eastAsia="zh-CN" w:bidi="ar-SA"/>
    </w:rPr>
  </w:style>
  <w:style w:type="character" w:customStyle="1" w:styleId="73">
    <w:name w:val="日期 Char"/>
    <w:link w:val="24"/>
    <w:qFormat/>
    <w:uiPriority w:val="7"/>
    <w:rPr>
      <w:rFonts w:ascii="宋体" w:hAnsi="Courier New" w:cs="Courier New"/>
      <w:kern w:val="2"/>
      <w:sz w:val="21"/>
      <w:szCs w:val="21"/>
    </w:rPr>
  </w:style>
  <w:style w:type="character" w:customStyle="1" w:styleId="74">
    <w:name w:val="1ji Char"/>
    <w:link w:val="61"/>
    <w:qFormat/>
    <w:uiPriority w:val="0"/>
    <w:rPr>
      <w:rFonts w:ascii="宋体" w:hAnsi="宋体" w:eastAsia="宋体"/>
      <w:b/>
      <w:bCs/>
      <w:kern w:val="44"/>
      <w:sz w:val="36"/>
      <w:szCs w:val="44"/>
      <w:lang w:val="en-US" w:eastAsia="zh-CN" w:bidi="ar-SA"/>
    </w:rPr>
  </w:style>
  <w:style w:type="character" w:customStyle="1" w:styleId="75">
    <w:name w:val="页脚 Char"/>
    <w:basedOn w:val="38"/>
    <w:link w:val="27"/>
    <w:qFormat/>
    <w:uiPriority w:val="0"/>
    <w:rPr>
      <w:kern w:val="2"/>
      <w:sz w:val="18"/>
      <w:szCs w:val="18"/>
    </w:rPr>
  </w:style>
  <w:style w:type="character" w:customStyle="1" w:styleId="76">
    <w:name w:val="mark"/>
    <w:qFormat/>
    <w:uiPriority w:val="0"/>
  </w:style>
  <w:style w:type="character" w:customStyle="1" w:styleId="77">
    <w:name w:val="正文文本缩进 Char"/>
    <w:link w:val="19"/>
    <w:qFormat/>
    <w:uiPriority w:val="0"/>
    <w:rPr>
      <w:rFonts w:ascii="仿宋_GB2312" w:eastAsia="仿宋_GB2312"/>
      <w:kern w:val="2"/>
      <w:sz w:val="32"/>
    </w:rPr>
  </w:style>
  <w:style w:type="character" w:customStyle="1" w:styleId="78">
    <w:name w:val="标题 3 Char"/>
    <w:link w:val="5"/>
    <w:qFormat/>
    <w:uiPriority w:val="0"/>
    <w:rPr>
      <w:rFonts w:ascii="Calibri" w:hAnsi="Calibri" w:eastAsia="宋体"/>
      <w:b/>
      <w:bCs/>
      <w:kern w:val="2"/>
      <w:sz w:val="32"/>
      <w:szCs w:val="32"/>
      <w:lang w:val="en-US" w:eastAsia="zh-CN" w:bidi="ar-SA"/>
    </w:rPr>
  </w:style>
  <w:style w:type="character" w:customStyle="1" w:styleId="79">
    <w:name w:val="param-name param-explain"/>
    <w:qFormat/>
    <w:uiPriority w:val="0"/>
  </w:style>
  <w:style w:type="character" w:customStyle="1" w:styleId="80">
    <w:name w:val="纯文本 Char1"/>
    <w:qFormat/>
    <w:uiPriority w:val="0"/>
    <w:rPr>
      <w:rFonts w:ascii="宋体" w:hAnsi="Courier New" w:eastAsia="宋体" w:cs="Courier New"/>
      <w:szCs w:val="21"/>
    </w:rPr>
  </w:style>
  <w:style w:type="character" w:customStyle="1" w:styleId="81">
    <w:name w:val="批注文字 Char"/>
    <w:link w:val="17"/>
    <w:qFormat/>
    <w:uiPriority w:val="0"/>
    <w:rPr>
      <w:kern w:val="2"/>
      <w:sz w:val="21"/>
      <w:szCs w:val="24"/>
    </w:rPr>
  </w:style>
  <w:style w:type="character" w:customStyle="1" w:styleId="82">
    <w:name w:val="标题 2 Char"/>
    <w:link w:val="6"/>
    <w:qFormat/>
    <w:uiPriority w:val="9"/>
    <w:rPr>
      <w:rFonts w:ascii="Arial" w:hAnsi="Arial" w:eastAsia="黑体"/>
      <w:b/>
      <w:bCs/>
      <w:kern w:val="2"/>
      <w:sz w:val="32"/>
      <w:szCs w:val="32"/>
    </w:rPr>
  </w:style>
  <w:style w:type="character" w:customStyle="1" w:styleId="83">
    <w:name w:val="正文缩进 Char"/>
    <w:link w:val="9"/>
    <w:qFormat/>
    <w:locked/>
    <w:uiPriority w:val="0"/>
    <w:rPr>
      <w:kern w:val="2"/>
      <w:sz w:val="21"/>
    </w:rPr>
  </w:style>
  <w:style w:type="character" w:customStyle="1" w:styleId="84">
    <w:name w:val="列出段落 Char"/>
    <w:basedOn w:val="38"/>
    <w:link w:val="66"/>
    <w:qFormat/>
    <w:uiPriority w:val="0"/>
    <w:rPr>
      <w:rFonts w:ascii="Book Antiqua" w:hAnsi="Book Antiqua" w:cs="Book Antiqua"/>
      <w:kern w:val="2"/>
      <w:sz w:val="21"/>
      <w:szCs w:val="24"/>
    </w:rPr>
  </w:style>
  <w:style w:type="character" w:customStyle="1" w:styleId="85">
    <w:name w:val="纯文本 Char"/>
    <w:link w:val="22"/>
    <w:qFormat/>
    <w:uiPriority w:val="0"/>
    <w:rPr>
      <w:rFonts w:ascii="宋体" w:hAnsi="Courier New" w:eastAsia="宋体" w:cs="Courier New"/>
      <w:kern w:val="2"/>
      <w:sz w:val="21"/>
      <w:szCs w:val="21"/>
      <w:lang w:val="en-US" w:eastAsia="zh-CN" w:bidi="ar-SA"/>
    </w:rPr>
  </w:style>
  <w:style w:type="character" w:customStyle="1" w:styleId="86">
    <w:name w:val="font11"/>
    <w:qFormat/>
    <w:uiPriority w:val="0"/>
    <w:rPr>
      <w:rFonts w:hint="eastAsia" w:ascii="宋体" w:hAnsi="宋体" w:eastAsia="宋体" w:cs="宋体"/>
      <w:color w:val="000000"/>
      <w:sz w:val="20"/>
      <w:szCs w:val="20"/>
      <w:u w:val="none"/>
    </w:rPr>
  </w:style>
  <w:style w:type="character" w:customStyle="1" w:styleId="87">
    <w:name w:val="标题 1 Char"/>
    <w:link w:val="4"/>
    <w:qFormat/>
    <w:uiPriority w:val="0"/>
    <w:rPr>
      <w:rFonts w:eastAsia="宋体"/>
      <w:b/>
      <w:bCs/>
      <w:kern w:val="44"/>
      <w:sz w:val="44"/>
      <w:szCs w:val="44"/>
      <w:lang w:val="en-US" w:eastAsia="zh-CN" w:bidi="ar-SA"/>
    </w:rPr>
  </w:style>
  <w:style w:type="character" w:customStyle="1" w:styleId="88">
    <w:name w:val="style11"/>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6791;&#24030;&#35686;&#23519;&#23398;&#38498;%20&#20108;&#24314;&#20026;&#25237;&#26631;&#20154;&#26631;&#24213;2.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梧州警察学院 二建为投标人标底2.docx</Template>
  <Pages>61</Pages>
  <Words>27860</Words>
  <Characters>29251</Characters>
  <Lines>221</Lines>
  <Paragraphs>62</Paragraphs>
  <TotalTime>1</TotalTime>
  <ScaleCrop>false</ScaleCrop>
  <LinksUpToDate>false</LinksUpToDate>
  <CharactersWithSpaces>32756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2020-09-17T03:46:00Z</dcterms:created>
  <dc:creator>小韦</dc:creator>
  <cp:lastModifiedBy>婉若游龙</cp:lastModifiedBy>
  <dcterms:modified xsi:type="dcterms:W3CDTF">2020-09-21T08:45:54Z</dcterms:modified>
  <dc:title>3</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